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61E8" w14:textId="68088D89" w:rsidR="00587167" w:rsidRPr="006A39BB" w:rsidRDefault="00783A24" w:rsidP="00783A24">
      <w:pPr>
        <w:pStyle w:val="Pagedecouverture"/>
        <w:rPr>
          <w:noProof/>
        </w:rPr>
      </w:pPr>
      <w:r>
        <w:rPr>
          <w:noProof/>
        </w:rPr>
        <w:pict w14:anchorId="78BF4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B383798-89F7-4593-909B-816ADA9CCC1F" style="width:455.4pt;height:494.4pt">
            <v:imagedata r:id="rId8" o:title=""/>
          </v:shape>
        </w:pict>
      </w:r>
    </w:p>
    <w:p w14:paraId="4819E0BE" w14:textId="77777777" w:rsidR="00587167" w:rsidRPr="006A39BB" w:rsidRDefault="00587167" w:rsidP="00EC435D">
      <w:pPr>
        <w:spacing w:line="23" w:lineRule="atLeast"/>
        <w:rPr>
          <w:noProof/>
          <w:szCs w:val="24"/>
        </w:rPr>
        <w:sectPr w:rsidR="00587167" w:rsidRPr="006A39BB" w:rsidSect="00783A2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23CFA7B3" w14:textId="77777777" w:rsidR="00587167" w:rsidRPr="006A39BB" w:rsidRDefault="00587167" w:rsidP="00EC435D">
      <w:pPr>
        <w:pStyle w:val="Exposdesmotifstitre"/>
        <w:spacing w:line="23" w:lineRule="atLeast"/>
        <w:rPr>
          <w:noProof/>
          <w:szCs w:val="24"/>
        </w:rPr>
      </w:pPr>
      <w:bookmarkStart w:id="0" w:name="_Hlk135753957"/>
      <w:r w:rsidRPr="006A39BB">
        <w:rPr>
          <w:noProof/>
          <w:szCs w:val="24"/>
        </w:rPr>
        <w:lastRenderedPageBreak/>
        <w:t>EXPLANATORY MEMORANDUM</w:t>
      </w:r>
    </w:p>
    <w:p w14:paraId="70614D39" w14:textId="77777777" w:rsidR="00587167" w:rsidRPr="006A39BB" w:rsidRDefault="00587167" w:rsidP="00EC435D">
      <w:pPr>
        <w:pStyle w:val="ManualHeading1"/>
        <w:spacing w:before="120" w:line="23" w:lineRule="atLeast"/>
        <w:rPr>
          <w:noProof/>
          <w:szCs w:val="24"/>
        </w:rPr>
      </w:pPr>
      <w:r w:rsidRPr="006A39BB">
        <w:rPr>
          <w:noProof/>
          <w:szCs w:val="24"/>
        </w:rPr>
        <w:t>1.</w:t>
      </w:r>
      <w:r w:rsidRPr="006A39BB">
        <w:rPr>
          <w:noProof/>
          <w:szCs w:val="24"/>
        </w:rPr>
        <w:tab/>
        <w:t>CONTEXT OF THE PROPOSAL</w:t>
      </w:r>
    </w:p>
    <w:p w14:paraId="5FDC83AF" w14:textId="77777777" w:rsidR="00587167" w:rsidRPr="006A39BB" w:rsidRDefault="00587167" w:rsidP="00EC435D">
      <w:pPr>
        <w:pStyle w:val="ManualHeading2"/>
        <w:spacing w:line="23" w:lineRule="atLeast"/>
        <w:rPr>
          <w:rFonts w:eastAsia="Arial Unicode MS"/>
          <w:noProof/>
          <w:szCs w:val="24"/>
        </w:rPr>
      </w:pPr>
      <w:r w:rsidRPr="006A39BB">
        <w:rPr>
          <w:rFonts w:eastAsia="Arial Unicode MS"/>
          <w:noProof/>
          <w:color w:val="000000"/>
          <w:szCs w:val="24"/>
          <w:u w:color="000000"/>
          <w:bdr w:val="nil"/>
          <w:lang w:eastAsia="en-GB"/>
        </w:rPr>
        <w:t>•</w:t>
      </w:r>
      <w:r w:rsidRPr="006A39BB">
        <w:rPr>
          <w:rFonts w:eastAsia="Arial Unicode MS"/>
          <w:noProof/>
          <w:color w:val="000000"/>
          <w:szCs w:val="24"/>
          <w:u w:color="000000"/>
          <w:bdr w:val="nil"/>
          <w:lang w:eastAsia="en-GB"/>
        </w:rPr>
        <w:tab/>
      </w:r>
      <w:r w:rsidRPr="006A39BB">
        <w:rPr>
          <w:rFonts w:eastAsia="Arial Unicode MS"/>
          <w:noProof/>
          <w:szCs w:val="24"/>
        </w:rPr>
        <w:t>Reasons for and objectives of the proposal</w:t>
      </w:r>
    </w:p>
    <w:p w14:paraId="29B4B3B5" w14:textId="77777777" w:rsidR="001850D8" w:rsidRPr="006A39BB" w:rsidRDefault="004B365E" w:rsidP="00EC435D">
      <w:pPr>
        <w:spacing w:line="23" w:lineRule="atLeast"/>
        <w:rPr>
          <w:noProof/>
          <w:szCs w:val="24"/>
        </w:rPr>
      </w:pPr>
      <w:r w:rsidRPr="006A39BB">
        <w:rPr>
          <w:noProof/>
          <w:szCs w:val="24"/>
        </w:rPr>
        <w:t xml:space="preserve">This proposal is </w:t>
      </w:r>
      <w:r w:rsidR="00744400" w:rsidRPr="006A39BB">
        <w:rPr>
          <w:noProof/>
          <w:szCs w:val="24"/>
        </w:rPr>
        <w:t>an integral part of the</w:t>
      </w:r>
      <w:r w:rsidRPr="006A39BB">
        <w:rPr>
          <w:noProof/>
          <w:szCs w:val="24"/>
        </w:rPr>
        <w:t xml:space="preserve"> European Commission</w:t>
      </w:r>
      <w:r w:rsidR="00686DAD" w:rsidRPr="006A39BB">
        <w:rPr>
          <w:noProof/>
          <w:szCs w:val="24"/>
        </w:rPr>
        <w:t>’s renewed sustainable finance strategy adopted in July 2021</w:t>
      </w:r>
      <w:r w:rsidRPr="006A39BB">
        <w:rPr>
          <w:noProof/>
          <w:szCs w:val="24"/>
        </w:rPr>
        <w:t>.</w:t>
      </w:r>
      <w:r w:rsidR="00686DAD" w:rsidRPr="006A39BB">
        <w:rPr>
          <w:rStyle w:val="FootnoteReference"/>
          <w:noProof/>
          <w:szCs w:val="24"/>
        </w:rPr>
        <w:footnoteReference w:id="2"/>
      </w:r>
      <w:r w:rsidRPr="006A39BB">
        <w:rPr>
          <w:noProof/>
          <w:szCs w:val="24"/>
        </w:rPr>
        <w:t xml:space="preserve"> </w:t>
      </w:r>
    </w:p>
    <w:p w14:paraId="145EE625" w14:textId="77777777" w:rsidR="001850D8" w:rsidRPr="006A39BB" w:rsidRDefault="00E10D80" w:rsidP="00EC435D">
      <w:pPr>
        <w:spacing w:line="23" w:lineRule="atLeast"/>
        <w:rPr>
          <w:noProof/>
          <w:szCs w:val="24"/>
        </w:rPr>
      </w:pPr>
      <w:r w:rsidRPr="006A39BB">
        <w:rPr>
          <w:noProof/>
          <w:szCs w:val="24"/>
        </w:rPr>
        <w:t xml:space="preserve">Environmental, social, and governance (ESG) investing, that is, investing which takes ESG factors into account when making investment decisions (also referred to as sustainable investments), is becoming an important part of mainstream finance. Notably, investment funds with sustainable characteristics or objectives have largely increased in number, size and the type of capital they attract. In this context, an ESG investment ecosystem has developed, including amongst others the supply of ESG ratings. Such ESG ratings are marketed as providing an opinion on the exposure of a company or entity to environmental, social and/or governance factors, </w:t>
      </w:r>
      <w:r w:rsidR="003D2675">
        <w:rPr>
          <w:noProof/>
          <w:szCs w:val="24"/>
        </w:rPr>
        <w:t>and</w:t>
      </w:r>
      <w:r w:rsidRPr="006A39BB">
        <w:rPr>
          <w:noProof/>
          <w:szCs w:val="24"/>
        </w:rPr>
        <w:t xml:space="preserve"> their impact on society.</w:t>
      </w:r>
    </w:p>
    <w:p w14:paraId="17AFE68C" w14:textId="7825FD0D" w:rsidR="00C96312" w:rsidRPr="006A39BB" w:rsidRDefault="00744400" w:rsidP="00EC435D">
      <w:pPr>
        <w:spacing w:line="23" w:lineRule="atLeast"/>
        <w:rPr>
          <w:noProof/>
          <w:szCs w:val="24"/>
        </w:rPr>
      </w:pPr>
      <w:r w:rsidRPr="006A39BB">
        <w:rPr>
          <w:noProof/>
          <w:szCs w:val="24"/>
        </w:rPr>
        <w:t>ESG</w:t>
      </w:r>
      <w:r w:rsidR="00F06929" w:rsidRPr="006A39BB">
        <w:rPr>
          <w:noProof/>
          <w:szCs w:val="24"/>
        </w:rPr>
        <w:t xml:space="preserve"> ratings </w:t>
      </w:r>
      <w:r w:rsidR="000566F7" w:rsidRPr="006A39BB">
        <w:rPr>
          <w:noProof/>
          <w:szCs w:val="24"/>
        </w:rPr>
        <w:t xml:space="preserve">have an increasingly important impact on the operation of capital markets and on investor confidence in sustainable products. In particular, ESG ratings </w:t>
      </w:r>
      <w:r w:rsidR="00F06929" w:rsidRPr="006A39BB">
        <w:rPr>
          <w:noProof/>
          <w:szCs w:val="24"/>
        </w:rPr>
        <w:t xml:space="preserve">play an enabling role for the proper functioning of the EU sustainable finance market by providing critical sources of information for investment strategies, risk management and disclosure obligations by investors and financial institutions. </w:t>
      </w:r>
      <w:r w:rsidR="00686DAD" w:rsidRPr="006A39BB">
        <w:rPr>
          <w:noProof/>
          <w:szCs w:val="24"/>
        </w:rPr>
        <w:t xml:space="preserve">They are also used by </w:t>
      </w:r>
      <w:r w:rsidR="2CA5F681" w:rsidRPr="006A39BB">
        <w:rPr>
          <w:noProof/>
          <w:szCs w:val="24"/>
        </w:rPr>
        <w:t>undertakings</w:t>
      </w:r>
      <w:r w:rsidR="00686DAD" w:rsidRPr="006A39BB">
        <w:rPr>
          <w:noProof/>
          <w:szCs w:val="24"/>
        </w:rPr>
        <w:t xml:space="preserve"> who seek to better understand sustainability risks and opportunities linked to their activities or those of their partners, and </w:t>
      </w:r>
      <w:r w:rsidR="006C31E6" w:rsidRPr="006A39BB">
        <w:rPr>
          <w:noProof/>
          <w:szCs w:val="24"/>
        </w:rPr>
        <w:t>for</w:t>
      </w:r>
      <w:r w:rsidR="00686DAD" w:rsidRPr="006A39BB">
        <w:rPr>
          <w:noProof/>
          <w:szCs w:val="24"/>
        </w:rPr>
        <w:t xml:space="preserve"> compar</w:t>
      </w:r>
      <w:r w:rsidR="006C31E6" w:rsidRPr="006A39BB">
        <w:rPr>
          <w:noProof/>
          <w:szCs w:val="24"/>
        </w:rPr>
        <w:t>ison</w:t>
      </w:r>
      <w:r w:rsidR="00686DAD" w:rsidRPr="006A39BB">
        <w:rPr>
          <w:noProof/>
          <w:szCs w:val="24"/>
        </w:rPr>
        <w:t xml:space="preserve"> to their peers.</w:t>
      </w:r>
      <w:r w:rsidR="00C96312" w:rsidRPr="006A39BB">
        <w:rPr>
          <w:noProof/>
          <w:szCs w:val="24"/>
        </w:rPr>
        <w:t xml:space="preserve"> </w:t>
      </w:r>
    </w:p>
    <w:p w14:paraId="522C38D0" w14:textId="77777777" w:rsidR="00D03B5D" w:rsidRPr="006A39BB" w:rsidRDefault="00D03B5D" w:rsidP="00EC435D">
      <w:pPr>
        <w:spacing w:line="23" w:lineRule="atLeast"/>
        <w:rPr>
          <w:noProof/>
          <w:szCs w:val="24"/>
          <w:lang w:eastAsia="en-IE"/>
        </w:rPr>
      </w:pPr>
      <w:r w:rsidRPr="006A39BB">
        <w:rPr>
          <w:noProof/>
          <w:szCs w:val="24"/>
        </w:rPr>
        <w:t xml:space="preserve">The market of ESG ratings is expected to continue to grow substantially in the coming years. Growth and increase in demand for ESG ratings is driven by the changing nature of risks to companies, by growing investor awareness of the financial implications of those risks and by the growth in investment products that explicitly seek to meet certain sustainability standards or achieve certain sustainability objectives. It is also linked to the sustainable finance legislation put forward by the EU since 2018. </w:t>
      </w:r>
    </w:p>
    <w:p w14:paraId="058C66FF" w14:textId="77777777" w:rsidR="00D03B5D" w:rsidRPr="006A39BB" w:rsidRDefault="00D03B5D" w:rsidP="00EC435D">
      <w:pPr>
        <w:spacing w:line="23" w:lineRule="atLeast"/>
        <w:rPr>
          <w:bCs/>
          <w:noProof/>
          <w:szCs w:val="24"/>
        </w:rPr>
      </w:pPr>
      <w:r w:rsidRPr="006A39BB">
        <w:rPr>
          <w:noProof/>
          <w:szCs w:val="24"/>
        </w:rPr>
        <w:t xml:space="preserve">However, the current ESG rating market suffers from </w:t>
      </w:r>
      <w:r w:rsidRPr="006A39BB">
        <w:rPr>
          <w:bCs/>
          <w:noProof/>
          <w:szCs w:val="24"/>
        </w:rPr>
        <w:t xml:space="preserve">deficiencies and is not functioning properly, with investors and rated entities’ needs regarding ESG ratings </w:t>
      </w:r>
      <w:r w:rsidR="00557D39" w:rsidRPr="006A39BB">
        <w:rPr>
          <w:bCs/>
          <w:noProof/>
          <w:szCs w:val="24"/>
        </w:rPr>
        <w:t xml:space="preserve">are </w:t>
      </w:r>
      <w:r w:rsidRPr="006A39BB">
        <w:rPr>
          <w:bCs/>
          <w:noProof/>
          <w:szCs w:val="24"/>
        </w:rPr>
        <w:t>not being met and confidence in ratings</w:t>
      </w:r>
      <w:r w:rsidR="00557D39" w:rsidRPr="006A39BB">
        <w:rPr>
          <w:bCs/>
          <w:noProof/>
          <w:szCs w:val="24"/>
        </w:rPr>
        <w:t xml:space="preserve"> is being</w:t>
      </w:r>
      <w:r w:rsidRPr="006A39BB">
        <w:rPr>
          <w:bCs/>
          <w:noProof/>
          <w:szCs w:val="24"/>
        </w:rPr>
        <w:t xml:space="preserve"> undermined. This problem has a number of different </w:t>
      </w:r>
      <w:r w:rsidR="004660E8" w:rsidRPr="006A39BB">
        <w:rPr>
          <w:bCs/>
          <w:noProof/>
          <w:szCs w:val="24"/>
        </w:rPr>
        <w:t>facets</w:t>
      </w:r>
      <w:r w:rsidRPr="006A39BB">
        <w:rPr>
          <w:bCs/>
          <w:noProof/>
          <w:szCs w:val="24"/>
        </w:rPr>
        <w:t>, mainly (i) the lack of transparency on the characteristics of ESG ratings, their methodologies and their data sources and (ii) the lack of clarity on how ESG rating providers operate.ESG ratings do not sufficiently enable users, investors and rated entities to take informed decisions as regards ESG-related risks, impacts and opportunities.</w:t>
      </w:r>
    </w:p>
    <w:p w14:paraId="7657F988" w14:textId="77777777" w:rsidR="00636131" w:rsidRPr="006A39BB" w:rsidRDefault="0023783C" w:rsidP="00EC435D">
      <w:pPr>
        <w:spacing w:line="23" w:lineRule="atLeast"/>
        <w:rPr>
          <w:noProof/>
          <w:szCs w:val="24"/>
        </w:rPr>
      </w:pPr>
      <w:r w:rsidRPr="006A39BB">
        <w:rPr>
          <w:noProof/>
          <w:szCs w:val="24"/>
        </w:rPr>
        <w:t xml:space="preserve">Hence, the Commission committed in the renewed sustainable finance strategy, to take action to improve the reliability, comparability and transparency of ESG ratings. More specifically, this proposal aims to enhance the quality of information about ESG ratings, by (i) improving transparency of ESG ratings characteristics and methodologies, and by (ii) ensuring increased clarity on operations of ESG rating providers </w:t>
      </w:r>
      <w:r w:rsidR="003D2675">
        <w:rPr>
          <w:noProof/>
          <w:szCs w:val="24"/>
        </w:rPr>
        <w:t>and</w:t>
      </w:r>
      <w:r w:rsidRPr="006A39BB">
        <w:rPr>
          <w:noProof/>
          <w:szCs w:val="24"/>
        </w:rPr>
        <w:t xml:space="preserve"> the prevention of risks of conflict of interest at ESG rating providers’ level. </w:t>
      </w:r>
      <w:r w:rsidR="00636131" w:rsidRPr="006A39BB">
        <w:rPr>
          <w:noProof/>
          <w:szCs w:val="24"/>
        </w:rPr>
        <w:t xml:space="preserve">Since ESG ratings and underlying data are used for investment </w:t>
      </w:r>
      <w:r w:rsidR="00636131" w:rsidRPr="006A39BB">
        <w:rPr>
          <w:noProof/>
          <w:szCs w:val="24"/>
        </w:rPr>
        <w:lastRenderedPageBreak/>
        <w:t>decisions and allocation of capital, the general objective of the initiative is to improve the quality of ESG ratings to enable investors to make better informed investment decisions in regard to sustainability objectives. It will also enable rated entities to take informed decisions about managing ESG risks and the impact of their operations. At the same time, it is crucial to foster trust and confidence in the operations of ESG rating providers by ensuring that the market operates properly and ESG rating providers prevent and manage conflicts of interest.</w:t>
      </w:r>
    </w:p>
    <w:p w14:paraId="280CDFC0" w14:textId="77777777" w:rsidR="00C75A5D" w:rsidRPr="006A39BB" w:rsidRDefault="00C75A5D" w:rsidP="00EC435D">
      <w:pPr>
        <w:spacing w:line="23" w:lineRule="atLeast"/>
        <w:rPr>
          <w:noProof/>
          <w:szCs w:val="24"/>
        </w:rPr>
      </w:pPr>
      <w:r w:rsidRPr="006A39BB">
        <w:rPr>
          <w:noProof/>
          <w:szCs w:val="24"/>
        </w:rPr>
        <w:t xml:space="preserve">This proposal does not intend to harmonise the methodologies for the calculation of ESG ratings, but to increase </w:t>
      </w:r>
      <w:r w:rsidR="0091232F">
        <w:rPr>
          <w:noProof/>
          <w:szCs w:val="24"/>
        </w:rPr>
        <w:t>their</w:t>
      </w:r>
      <w:r w:rsidRPr="006A39BB">
        <w:rPr>
          <w:noProof/>
          <w:szCs w:val="24"/>
        </w:rPr>
        <w:t xml:space="preserve"> transparency. ESG rating providers will remain in full control of the methodologies they use and will continue to be independent in their choice, to ensure that a variety of approaches are available in the ESG ratings market (i.e. ESG ratings may differ amongst themselves and cover different areas).</w:t>
      </w:r>
    </w:p>
    <w:p w14:paraId="10F0A0A5" w14:textId="77777777" w:rsidR="00182F44" w:rsidRPr="006A39BB" w:rsidRDefault="004B365E" w:rsidP="00EC435D">
      <w:pPr>
        <w:spacing w:line="23" w:lineRule="atLeast"/>
        <w:rPr>
          <w:noProof/>
          <w:szCs w:val="24"/>
        </w:rPr>
      </w:pPr>
      <w:r w:rsidRPr="006A39BB">
        <w:rPr>
          <w:noProof/>
          <w:szCs w:val="24"/>
        </w:rPr>
        <w:t xml:space="preserve">This proposal aims to </w:t>
      </w:r>
      <w:r w:rsidR="0070703A" w:rsidRPr="006A39BB">
        <w:rPr>
          <w:noProof/>
          <w:szCs w:val="24"/>
        </w:rPr>
        <w:t xml:space="preserve">make it easier to </w:t>
      </w:r>
      <w:r w:rsidRPr="006A39BB">
        <w:rPr>
          <w:noProof/>
          <w:szCs w:val="24"/>
        </w:rPr>
        <w:t xml:space="preserve">exploit the potential of the </w:t>
      </w:r>
      <w:r w:rsidR="00182F44" w:rsidRPr="006A39BB">
        <w:rPr>
          <w:noProof/>
          <w:szCs w:val="24"/>
        </w:rPr>
        <w:t>European Single M</w:t>
      </w:r>
      <w:r w:rsidRPr="006A39BB">
        <w:rPr>
          <w:noProof/>
          <w:szCs w:val="24"/>
        </w:rPr>
        <w:t xml:space="preserve">arket and the Capital Markets Union </w:t>
      </w:r>
      <w:r w:rsidR="00182F44" w:rsidRPr="006A39BB">
        <w:rPr>
          <w:noProof/>
          <w:szCs w:val="24"/>
        </w:rPr>
        <w:t>and to contribute to the transition towards a fully sustainable and inclusive economic and financial system in accordance with the European Green Deal</w:t>
      </w:r>
      <w:r w:rsidR="00FE234E" w:rsidRPr="006A39BB">
        <w:rPr>
          <w:rStyle w:val="FootnoteReference"/>
          <w:noProof/>
          <w:szCs w:val="24"/>
        </w:rPr>
        <w:footnoteReference w:id="3"/>
      </w:r>
      <w:r w:rsidR="00182F44" w:rsidRPr="006A39BB">
        <w:rPr>
          <w:noProof/>
          <w:szCs w:val="24"/>
        </w:rPr>
        <w:t xml:space="preserve"> and UN Sustainable Development Goals.</w:t>
      </w:r>
    </w:p>
    <w:p w14:paraId="7A4F8FE3" w14:textId="77777777" w:rsidR="003D75BF" w:rsidRPr="006A39BB" w:rsidRDefault="008368B0" w:rsidP="00EC435D">
      <w:pPr>
        <w:spacing w:line="23" w:lineRule="atLeast"/>
        <w:rPr>
          <w:noProof/>
          <w:szCs w:val="24"/>
        </w:rPr>
      </w:pPr>
      <w:r w:rsidRPr="006A39BB">
        <w:rPr>
          <w:noProof/>
          <w:szCs w:val="24"/>
        </w:rPr>
        <w:t>S</w:t>
      </w:r>
      <w:r w:rsidR="007824C6" w:rsidRPr="006A39BB">
        <w:rPr>
          <w:noProof/>
          <w:szCs w:val="24"/>
        </w:rPr>
        <w:t>ignificant investment is required across all sectors of the economy to transition to a climate-neutral economy and reach the Union’s environmental sustainability objectives</w:t>
      </w:r>
      <w:r w:rsidR="00A04512" w:rsidRPr="006A39BB">
        <w:rPr>
          <w:noProof/>
          <w:szCs w:val="24"/>
        </w:rPr>
        <w:t>. It</w:t>
      </w:r>
      <w:r w:rsidR="007824C6" w:rsidRPr="006A39BB">
        <w:rPr>
          <w:noProof/>
          <w:szCs w:val="24"/>
        </w:rPr>
        <w:t xml:space="preserve"> should be made easier for investors and </w:t>
      </w:r>
      <w:r w:rsidR="2CA5F681" w:rsidRPr="006A39BB">
        <w:rPr>
          <w:noProof/>
          <w:szCs w:val="24"/>
        </w:rPr>
        <w:t>undertakings</w:t>
      </w:r>
      <w:r w:rsidR="007824C6" w:rsidRPr="006A39BB">
        <w:rPr>
          <w:noProof/>
          <w:szCs w:val="24"/>
        </w:rPr>
        <w:t xml:space="preserve"> to identify environmentally sustainable investments and ensure that they are credible.</w:t>
      </w:r>
      <w:r w:rsidR="003D75BF" w:rsidRPr="006A39BB">
        <w:rPr>
          <w:noProof/>
          <w:szCs w:val="24"/>
        </w:rPr>
        <w:t xml:space="preserve"> </w:t>
      </w:r>
    </w:p>
    <w:p w14:paraId="594FEF46" w14:textId="77777777" w:rsidR="00DB2B1C" w:rsidRPr="006A39BB" w:rsidRDefault="00DB2B1C" w:rsidP="00EC435D">
      <w:pPr>
        <w:pBdr>
          <w:top w:val="nil"/>
          <w:left w:val="nil"/>
          <w:bottom w:val="nil"/>
          <w:right w:val="nil"/>
          <w:between w:val="nil"/>
          <w:bar w:val="nil"/>
        </w:pBdr>
        <w:spacing w:line="23" w:lineRule="atLeast"/>
        <w:rPr>
          <w:noProof/>
          <w:szCs w:val="24"/>
        </w:rPr>
      </w:pPr>
      <w:r w:rsidRPr="006A39BB">
        <w:rPr>
          <w:noProof/>
          <w:szCs w:val="24"/>
        </w:rPr>
        <w:t>The present initiative is not a regulatory fitness and performance programme (REFIT) initiative.</w:t>
      </w:r>
    </w:p>
    <w:p w14:paraId="6A9B3B5A" w14:textId="77777777" w:rsidR="00587167" w:rsidRPr="006A39BB" w:rsidRDefault="00587167" w:rsidP="00EC435D">
      <w:pPr>
        <w:pStyle w:val="ManualHeading2"/>
        <w:spacing w:line="23" w:lineRule="atLeast"/>
        <w:rPr>
          <w:rFonts w:eastAsia="Arial Unicode MS"/>
          <w:noProof/>
          <w:color w:val="000000"/>
          <w:szCs w:val="24"/>
          <w:u w:color="000000"/>
          <w:bdr w:val="nil"/>
          <w:lang w:eastAsia="en-GB"/>
        </w:rPr>
      </w:pPr>
      <w:r w:rsidRPr="006A39BB">
        <w:rPr>
          <w:rFonts w:eastAsia="Arial Unicode MS"/>
          <w:noProof/>
          <w:color w:val="000000"/>
          <w:szCs w:val="24"/>
          <w:u w:color="000000"/>
          <w:bdr w:val="nil"/>
          <w:lang w:eastAsia="en-GB"/>
        </w:rPr>
        <w:t>•</w:t>
      </w:r>
      <w:r w:rsidRPr="006A39BB">
        <w:rPr>
          <w:rFonts w:eastAsia="Arial Unicode MS"/>
          <w:noProof/>
          <w:color w:val="000000"/>
          <w:szCs w:val="24"/>
          <w:u w:color="000000"/>
          <w:bdr w:val="nil"/>
          <w:lang w:eastAsia="en-GB"/>
        </w:rPr>
        <w:tab/>
      </w:r>
      <w:r w:rsidRPr="006A39BB">
        <w:rPr>
          <w:rFonts w:eastAsia="Arial Unicode MS"/>
          <w:noProof/>
          <w:szCs w:val="24"/>
        </w:rPr>
        <w:t>Consistency with existing provisions in the policy area</w:t>
      </w:r>
    </w:p>
    <w:p w14:paraId="6040CD40" w14:textId="77777777" w:rsidR="000B2700" w:rsidRPr="006A39BB" w:rsidRDefault="00D32AD6" w:rsidP="00EC435D">
      <w:pPr>
        <w:pBdr>
          <w:top w:val="nil"/>
          <w:left w:val="nil"/>
          <w:bottom w:val="nil"/>
          <w:right w:val="nil"/>
          <w:between w:val="nil"/>
          <w:bar w:val="nil"/>
        </w:pBdr>
        <w:spacing w:line="23" w:lineRule="atLeast"/>
        <w:rPr>
          <w:noProof/>
          <w:szCs w:val="24"/>
        </w:rPr>
      </w:pPr>
      <w:r w:rsidRPr="006A39BB">
        <w:rPr>
          <w:noProof/>
          <w:szCs w:val="24"/>
        </w:rPr>
        <w:t>T</w:t>
      </w:r>
      <w:r w:rsidR="000B2700" w:rsidRPr="006A39BB">
        <w:rPr>
          <w:noProof/>
          <w:szCs w:val="24"/>
        </w:rPr>
        <w:t>he EU has put in place the building blocks for a sustainable finance framework</w:t>
      </w:r>
      <w:r w:rsidR="000B2700" w:rsidRPr="006A39BB">
        <w:rPr>
          <w:rStyle w:val="FootnoteReference"/>
          <w:noProof/>
          <w:szCs w:val="24"/>
        </w:rPr>
        <w:footnoteReference w:id="4"/>
      </w:r>
      <w:r w:rsidR="004A19E8" w:rsidRPr="006A39BB">
        <w:rPr>
          <w:noProof/>
          <w:szCs w:val="24"/>
        </w:rPr>
        <w:t>.</w:t>
      </w:r>
      <w:r w:rsidR="000B2700" w:rsidRPr="006A39BB">
        <w:rPr>
          <w:noProof/>
          <w:szCs w:val="24"/>
        </w:rPr>
        <w:t xml:space="preserve"> </w:t>
      </w:r>
      <w:r w:rsidR="004A19E8" w:rsidRPr="006A39BB">
        <w:rPr>
          <w:noProof/>
          <w:szCs w:val="24"/>
        </w:rPr>
        <w:t>S</w:t>
      </w:r>
      <w:r w:rsidR="000B2700" w:rsidRPr="006A39BB">
        <w:rPr>
          <w:noProof/>
          <w:szCs w:val="24"/>
        </w:rPr>
        <w:t>takeholders are now pointing out remaining market inefficiencies and regulatory gaps</w:t>
      </w:r>
      <w:r w:rsidR="00A44821" w:rsidRPr="006A39BB">
        <w:rPr>
          <w:noProof/>
          <w:szCs w:val="24"/>
        </w:rPr>
        <w:t xml:space="preserve"> that could</w:t>
      </w:r>
      <w:r w:rsidR="000B2700" w:rsidRPr="006A39BB">
        <w:rPr>
          <w:noProof/>
          <w:szCs w:val="24"/>
        </w:rPr>
        <w:t xml:space="preserve"> hinder the development of the market. ESG rating providers and data providers use information published by </w:t>
      </w:r>
      <w:r w:rsidR="00CC4B98" w:rsidRPr="006A39BB">
        <w:rPr>
          <w:noProof/>
          <w:szCs w:val="24"/>
        </w:rPr>
        <w:t>undertakings</w:t>
      </w:r>
      <w:r w:rsidR="000B2700" w:rsidRPr="006A39BB">
        <w:rPr>
          <w:noProof/>
          <w:szCs w:val="24"/>
        </w:rPr>
        <w:t xml:space="preserve">; the availability, accuracy and consistency of this data are key to the quality of the downstream products that depend on it. </w:t>
      </w:r>
      <w:r w:rsidR="007B1524" w:rsidRPr="006A39BB">
        <w:rPr>
          <w:noProof/>
          <w:szCs w:val="24"/>
        </w:rPr>
        <w:t>U</w:t>
      </w:r>
      <w:r w:rsidRPr="006A39BB">
        <w:rPr>
          <w:noProof/>
          <w:szCs w:val="24"/>
        </w:rPr>
        <w:t>nder the C</w:t>
      </w:r>
      <w:r w:rsidR="008874BF" w:rsidRPr="006A39BB">
        <w:rPr>
          <w:noProof/>
          <w:szCs w:val="24"/>
        </w:rPr>
        <w:t xml:space="preserve">orporate </w:t>
      </w:r>
      <w:r w:rsidRPr="006A39BB">
        <w:rPr>
          <w:noProof/>
          <w:szCs w:val="24"/>
        </w:rPr>
        <w:t>S</w:t>
      </w:r>
      <w:r w:rsidR="008874BF" w:rsidRPr="006A39BB">
        <w:rPr>
          <w:noProof/>
          <w:szCs w:val="24"/>
        </w:rPr>
        <w:t xml:space="preserve">ustainability </w:t>
      </w:r>
      <w:r w:rsidRPr="006A39BB">
        <w:rPr>
          <w:noProof/>
          <w:szCs w:val="24"/>
        </w:rPr>
        <w:t>R</w:t>
      </w:r>
      <w:r w:rsidR="008874BF" w:rsidRPr="006A39BB">
        <w:rPr>
          <w:noProof/>
          <w:szCs w:val="24"/>
        </w:rPr>
        <w:t xml:space="preserve">eporting </w:t>
      </w:r>
      <w:r w:rsidRPr="006A39BB">
        <w:rPr>
          <w:noProof/>
          <w:szCs w:val="24"/>
        </w:rPr>
        <w:t>D</w:t>
      </w:r>
      <w:r w:rsidR="008874BF" w:rsidRPr="006A39BB">
        <w:rPr>
          <w:noProof/>
          <w:szCs w:val="24"/>
        </w:rPr>
        <w:t>irective (CSRD)</w:t>
      </w:r>
      <w:r w:rsidR="008B53DC" w:rsidRPr="006A39BB">
        <w:rPr>
          <w:rStyle w:val="FootnoteReference"/>
          <w:noProof/>
          <w:szCs w:val="24"/>
        </w:rPr>
        <w:footnoteReference w:id="5"/>
      </w:r>
      <w:r w:rsidRPr="006A39BB">
        <w:rPr>
          <w:noProof/>
          <w:szCs w:val="24"/>
        </w:rPr>
        <w:t xml:space="preserve"> and the EU </w:t>
      </w:r>
      <w:r w:rsidR="00EC4ADA" w:rsidRPr="006A39BB">
        <w:rPr>
          <w:noProof/>
          <w:szCs w:val="24"/>
        </w:rPr>
        <w:t>T</w:t>
      </w:r>
      <w:r w:rsidRPr="006A39BB">
        <w:rPr>
          <w:noProof/>
          <w:szCs w:val="24"/>
        </w:rPr>
        <w:t>axonomy</w:t>
      </w:r>
      <w:r w:rsidR="00E1367E" w:rsidRPr="006A39BB">
        <w:rPr>
          <w:noProof/>
          <w:szCs w:val="24"/>
        </w:rPr>
        <w:t xml:space="preserve"> Regulation</w:t>
      </w:r>
      <w:r w:rsidR="00E1367E" w:rsidRPr="006A39BB">
        <w:rPr>
          <w:rStyle w:val="FootnoteReference"/>
          <w:noProof/>
          <w:szCs w:val="24"/>
        </w:rPr>
        <w:footnoteReference w:id="6"/>
      </w:r>
      <w:r w:rsidR="00EC4ADA" w:rsidRPr="006A39BB">
        <w:rPr>
          <w:noProof/>
          <w:szCs w:val="24"/>
        </w:rPr>
        <w:t xml:space="preserve">, undertakings are required </w:t>
      </w:r>
      <w:r w:rsidRPr="006A39BB">
        <w:rPr>
          <w:noProof/>
          <w:szCs w:val="24"/>
        </w:rPr>
        <w:t xml:space="preserve">to </w:t>
      </w:r>
      <w:r w:rsidR="00EC4ADA" w:rsidRPr="006A39BB">
        <w:rPr>
          <w:noProof/>
          <w:szCs w:val="24"/>
        </w:rPr>
        <w:t xml:space="preserve">produce </w:t>
      </w:r>
      <w:r w:rsidR="00E1367E" w:rsidRPr="006A39BB">
        <w:rPr>
          <w:noProof/>
          <w:szCs w:val="24"/>
        </w:rPr>
        <w:t>information</w:t>
      </w:r>
      <w:r w:rsidRPr="006A39BB">
        <w:rPr>
          <w:noProof/>
          <w:szCs w:val="24"/>
        </w:rPr>
        <w:t xml:space="preserve"> on specific ESG factors. ESG ratings will</w:t>
      </w:r>
      <w:r w:rsidR="000B2700" w:rsidRPr="006A39BB">
        <w:rPr>
          <w:noProof/>
          <w:szCs w:val="24"/>
        </w:rPr>
        <w:t xml:space="preserve"> build on and complement </w:t>
      </w:r>
      <w:r w:rsidR="000B2700" w:rsidRPr="006A39BB" w:rsidDel="5DDFC8D2">
        <w:rPr>
          <w:noProof/>
          <w:szCs w:val="24"/>
        </w:rPr>
        <w:t>that</w:t>
      </w:r>
      <w:r w:rsidR="000B2700" w:rsidRPr="006A39BB">
        <w:rPr>
          <w:noProof/>
          <w:szCs w:val="24"/>
        </w:rPr>
        <w:t xml:space="preserve"> by providing critical sources of information for investment strategies, risk management and internal analysis by investors and financial institutions.</w:t>
      </w:r>
      <w:r w:rsidR="00561254" w:rsidRPr="006A39BB">
        <w:rPr>
          <w:noProof/>
          <w:szCs w:val="24"/>
        </w:rPr>
        <w:t xml:space="preserve"> ESG rating providers use data coming from undertakings, and the more reliable, accurate and standardised data that is available, the less need there is to use estimations to fill in the gaps.</w:t>
      </w:r>
      <w:r w:rsidR="0057056D" w:rsidRPr="006A39BB">
        <w:rPr>
          <w:noProof/>
          <w:szCs w:val="24"/>
        </w:rPr>
        <w:t xml:space="preserve"> For instance, corporate sustainability reports will facilitate the assessments carried out by the ESG rating providers.</w:t>
      </w:r>
    </w:p>
    <w:p w14:paraId="310EFD1F" w14:textId="77777777" w:rsidR="006C33A1" w:rsidRPr="006A39BB" w:rsidRDefault="00D32AD6" w:rsidP="00EC435D">
      <w:pPr>
        <w:pBdr>
          <w:top w:val="nil"/>
          <w:left w:val="nil"/>
          <w:bottom w:val="nil"/>
          <w:right w:val="nil"/>
          <w:between w:val="nil"/>
          <w:bar w:val="nil"/>
        </w:pBdr>
        <w:spacing w:line="23" w:lineRule="atLeast"/>
        <w:rPr>
          <w:noProof/>
          <w:szCs w:val="24"/>
        </w:rPr>
      </w:pPr>
      <w:r w:rsidRPr="006A39BB">
        <w:rPr>
          <w:noProof/>
          <w:szCs w:val="24"/>
        </w:rPr>
        <w:t xml:space="preserve">In addition, the new requirements imposed on financial institutions and market participants </w:t>
      </w:r>
      <w:r w:rsidR="00EC4ADA" w:rsidRPr="006A39BB">
        <w:rPr>
          <w:noProof/>
          <w:szCs w:val="24"/>
        </w:rPr>
        <w:t xml:space="preserve">by </w:t>
      </w:r>
      <w:r w:rsidRPr="006A39BB">
        <w:rPr>
          <w:noProof/>
          <w:szCs w:val="24"/>
        </w:rPr>
        <w:t>the sustainable finance legislation (such as the CSRD, S</w:t>
      </w:r>
      <w:r w:rsidR="00E1367E" w:rsidRPr="006A39BB">
        <w:rPr>
          <w:noProof/>
          <w:szCs w:val="24"/>
        </w:rPr>
        <w:t xml:space="preserve">ustainable </w:t>
      </w:r>
      <w:r w:rsidRPr="006A39BB">
        <w:rPr>
          <w:noProof/>
          <w:szCs w:val="24"/>
        </w:rPr>
        <w:t>F</w:t>
      </w:r>
      <w:r w:rsidR="00E1367E" w:rsidRPr="006A39BB">
        <w:rPr>
          <w:noProof/>
          <w:szCs w:val="24"/>
        </w:rPr>
        <w:t xml:space="preserve">inance </w:t>
      </w:r>
      <w:r w:rsidRPr="006A39BB">
        <w:rPr>
          <w:noProof/>
          <w:szCs w:val="24"/>
        </w:rPr>
        <w:t>D</w:t>
      </w:r>
      <w:r w:rsidR="00E1367E" w:rsidRPr="006A39BB">
        <w:rPr>
          <w:noProof/>
          <w:szCs w:val="24"/>
        </w:rPr>
        <w:t xml:space="preserve">isclosure </w:t>
      </w:r>
      <w:r w:rsidRPr="006A39BB">
        <w:rPr>
          <w:noProof/>
          <w:szCs w:val="24"/>
        </w:rPr>
        <w:t>R</w:t>
      </w:r>
      <w:r w:rsidR="00E1367E" w:rsidRPr="006A39BB">
        <w:rPr>
          <w:noProof/>
          <w:szCs w:val="24"/>
        </w:rPr>
        <w:t>egulation</w:t>
      </w:r>
      <w:r w:rsidR="008B53DC" w:rsidRPr="006A39BB">
        <w:rPr>
          <w:rStyle w:val="FootnoteReference"/>
          <w:noProof/>
          <w:szCs w:val="24"/>
        </w:rPr>
        <w:footnoteReference w:id="7"/>
      </w:r>
      <w:r w:rsidRPr="006A39BB">
        <w:rPr>
          <w:noProof/>
          <w:szCs w:val="24"/>
        </w:rPr>
        <w:t xml:space="preserve"> </w:t>
      </w:r>
      <w:r w:rsidR="009633E2" w:rsidRPr="006A39BB">
        <w:rPr>
          <w:noProof/>
          <w:szCs w:val="24"/>
        </w:rPr>
        <w:t xml:space="preserve">and the </w:t>
      </w:r>
      <w:r w:rsidR="00E1367E" w:rsidRPr="006A39BB">
        <w:rPr>
          <w:noProof/>
          <w:szCs w:val="24"/>
        </w:rPr>
        <w:t xml:space="preserve">EU </w:t>
      </w:r>
      <w:r w:rsidR="009633E2" w:rsidRPr="006A39BB">
        <w:rPr>
          <w:noProof/>
          <w:szCs w:val="24"/>
        </w:rPr>
        <w:t>T</w:t>
      </w:r>
      <w:r w:rsidRPr="006A39BB">
        <w:rPr>
          <w:noProof/>
          <w:szCs w:val="24"/>
        </w:rPr>
        <w:t xml:space="preserve">axonomy Regulation) will  lead to an increased demand for ESG ratings. </w:t>
      </w:r>
    </w:p>
    <w:p w14:paraId="2711652E" w14:textId="77777777" w:rsidR="00B83EFF" w:rsidRPr="006A39BB" w:rsidRDefault="00651A16" w:rsidP="00EC435D">
      <w:pPr>
        <w:pBdr>
          <w:top w:val="nil"/>
          <w:left w:val="nil"/>
          <w:bottom w:val="nil"/>
          <w:right w:val="nil"/>
          <w:between w:val="nil"/>
          <w:bar w:val="nil"/>
        </w:pBdr>
        <w:spacing w:line="23" w:lineRule="atLeast"/>
        <w:rPr>
          <w:noProof/>
          <w:szCs w:val="24"/>
        </w:rPr>
      </w:pPr>
      <w:r w:rsidRPr="006A39BB">
        <w:rPr>
          <w:noProof/>
          <w:szCs w:val="24"/>
        </w:rPr>
        <w:t>T</w:t>
      </w:r>
      <w:r w:rsidR="000B2700" w:rsidRPr="006A39BB">
        <w:rPr>
          <w:noProof/>
          <w:szCs w:val="24"/>
        </w:rPr>
        <w:t>his initiative also interacts with th</w:t>
      </w:r>
      <w:r w:rsidR="00B83EFF" w:rsidRPr="006A39BB">
        <w:rPr>
          <w:noProof/>
          <w:szCs w:val="24"/>
        </w:rPr>
        <w:t>e work on green bonds s</w:t>
      </w:r>
      <w:r w:rsidR="000B2700" w:rsidRPr="006A39BB">
        <w:rPr>
          <w:noProof/>
          <w:szCs w:val="24"/>
        </w:rPr>
        <w:t>tandards and EU climate benchmarks.</w:t>
      </w:r>
      <w:r w:rsidR="00B83EFF" w:rsidRPr="006A39BB">
        <w:rPr>
          <w:noProof/>
          <w:szCs w:val="24"/>
        </w:rPr>
        <w:t xml:space="preserve"> Regarding the</w:t>
      </w:r>
      <w:r w:rsidR="0057056D" w:rsidRPr="006A39BB">
        <w:rPr>
          <w:noProof/>
          <w:szCs w:val="24"/>
        </w:rPr>
        <w:t xml:space="preserve"> proposal for a</w:t>
      </w:r>
      <w:r w:rsidR="00B83EFF" w:rsidRPr="006A39BB">
        <w:rPr>
          <w:noProof/>
          <w:szCs w:val="24"/>
        </w:rPr>
        <w:t xml:space="preserve"> European </w:t>
      </w:r>
      <w:r w:rsidR="00B50BE7" w:rsidRPr="006A39BB">
        <w:rPr>
          <w:noProof/>
          <w:szCs w:val="24"/>
        </w:rPr>
        <w:t>G</w:t>
      </w:r>
      <w:r w:rsidR="00B83EFF" w:rsidRPr="006A39BB">
        <w:rPr>
          <w:noProof/>
          <w:szCs w:val="24"/>
        </w:rPr>
        <w:t xml:space="preserve">reen </w:t>
      </w:r>
      <w:r w:rsidR="00B50BE7" w:rsidRPr="006A39BB">
        <w:rPr>
          <w:noProof/>
          <w:szCs w:val="24"/>
        </w:rPr>
        <w:t>B</w:t>
      </w:r>
      <w:r w:rsidR="00B83EFF" w:rsidRPr="006A39BB">
        <w:rPr>
          <w:noProof/>
          <w:szCs w:val="24"/>
        </w:rPr>
        <w:t>ond Regulation,</w:t>
      </w:r>
      <w:r w:rsidR="00B83EFF" w:rsidRPr="006A39BB">
        <w:rPr>
          <w:rStyle w:val="FootnoteReference"/>
          <w:noProof/>
          <w:szCs w:val="24"/>
        </w:rPr>
        <w:footnoteReference w:id="8"/>
      </w:r>
      <w:r w:rsidR="00B83EFF" w:rsidRPr="006A39BB">
        <w:rPr>
          <w:noProof/>
          <w:szCs w:val="24"/>
        </w:rPr>
        <w:t xml:space="preserve"> issuers of future EU </w:t>
      </w:r>
      <w:r w:rsidR="00B50BE7" w:rsidRPr="006A39BB">
        <w:rPr>
          <w:noProof/>
          <w:szCs w:val="24"/>
        </w:rPr>
        <w:t>green bond standard</w:t>
      </w:r>
      <w:r w:rsidR="00B57CCA" w:rsidRPr="006A39BB">
        <w:rPr>
          <w:noProof/>
          <w:szCs w:val="24"/>
        </w:rPr>
        <w:t>s</w:t>
      </w:r>
      <w:r w:rsidR="00B50BE7" w:rsidRPr="006A39BB">
        <w:rPr>
          <w:noProof/>
          <w:szCs w:val="24"/>
        </w:rPr>
        <w:t xml:space="preserve"> </w:t>
      </w:r>
      <w:r w:rsidR="00B83EFF" w:rsidRPr="006A39BB">
        <w:rPr>
          <w:noProof/>
          <w:szCs w:val="24"/>
        </w:rPr>
        <w:t xml:space="preserve">are required to disclose the </w:t>
      </w:r>
      <w:r w:rsidR="00B57CCA" w:rsidRPr="006A39BB">
        <w:rPr>
          <w:noProof/>
          <w:szCs w:val="24"/>
        </w:rPr>
        <w:t>t</w:t>
      </w:r>
      <w:r w:rsidR="00B83EFF" w:rsidRPr="006A39BB">
        <w:rPr>
          <w:noProof/>
          <w:szCs w:val="24"/>
        </w:rPr>
        <w:t>axonomy-alignment of projects funded by their bond</w:t>
      </w:r>
      <w:r w:rsidR="00B57CCA" w:rsidRPr="006A39BB">
        <w:rPr>
          <w:noProof/>
          <w:szCs w:val="24"/>
        </w:rPr>
        <w:t>s</w:t>
      </w:r>
      <w:r w:rsidR="00B83EFF" w:rsidRPr="006A39BB">
        <w:rPr>
          <w:noProof/>
          <w:szCs w:val="24"/>
        </w:rPr>
        <w:t>. F</w:t>
      </w:r>
      <w:r w:rsidR="00B96CA0" w:rsidRPr="006A39BB">
        <w:rPr>
          <w:noProof/>
          <w:szCs w:val="24"/>
        </w:rPr>
        <w:t xml:space="preserve">or that purpose, they may seek </w:t>
      </w:r>
      <w:r w:rsidR="00B83EFF" w:rsidRPr="006A39BB">
        <w:rPr>
          <w:noProof/>
          <w:szCs w:val="24"/>
        </w:rPr>
        <w:t xml:space="preserve">ESG ratings to obtain underlying data that would </w:t>
      </w:r>
      <w:r w:rsidR="00F85475" w:rsidRPr="006A39BB">
        <w:rPr>
          <w:noProof/>
          <w:szCs w:val="24"/>
        </w:rPr>
        <w:t>feed into their projec</w:t>
      </w:r>
      <w:r w:rsidR="00F70160" w:rsidRPr="006A39BB">
        <w:rPr>
          <w:noProof/>
          <w:szCs w:val="24"/>
        </w:rPr>
        <w:t>t</w:t>
      </w:r>
      <w:r w:rsidR="00C757AC" w:rsidRPr="006A39BB">
        <w:rPr>
          <w:noProof/>
          <w:szCs w:val="24"/>
        </w:rPr>
        <w:t>s</w:t>
      </w:r>
      <w:r w:rsidR="00F70160" w:rsidRPr="006A39BB">
        <w:rPr>
          <w:noProof/>
          <w:szCs w:val="24"/>
        </w:rPr>
        <w:t xml:space="preserve"> assessments</w:t>
      </w:r>
      <w:r w:rsidR="00B83EFF" w:rsidRPr="006A39BB">
        <w:rPr>
          <w:noProof/>
          <w:szCs w:val="24"/>
        </w:rPr>
        <w:t xml:space="preserve">. The information disclosed in ESG ratings </w:t>
      </w:r>
      <w:r w:rsidR="004406D9" w:rsidRPr="006A39BB">
        <w:rPr>
          <w:noProof/>
          <w:szCs w:val="24"/>
        </w:rPr>
        <w:t>helps</w:t>
      </w:r>
      <w:r w:rsidR="00B83EFF" w:rsidRPr="006A39BB">
        <w:rPr>
          <w:noProof/>
          <w:szCs w:val="24"/>
        </w:rPr>
        <w:t xml:space="preserve"> investors, including green bond investors, to better assess the overall non-financial performance of </w:t>
      </w:r>
      <w:r w:rsidR="2CA5F681" w:rsidRPr="006A39BB">
        <w:rPr>
          <w:noProof/>
          <w:szCs w:val="24"/>
        </w:rPr>
        <w:t>undertakings</w:t>
      </w:r>
      <w:r w:rsidR="00B83EFF" w:rsidRPr="006A39BB">
        <w:rPr>
          <w:noProof/>
          <w:szCs w:val="24"/>
        </w:rPr>
        <w:t xml:space="preserve">. </w:t>
      </w:r>
    </w:p>
    <w:p w14:paraId="61636429" w14:textId="77777777" w:rsidR="00B83EFF" w:rsidRPr="006A39BB" w:rsidRDefault="00B83EFF" w:rsidP="00EC435D">
      <w:pPr>
        <w:pBdr>
          <w:top w:val="nil"/>
          <w:left w:val="nil"/>
          <w:bottom w:val="nil"/>
          <w:right w:val="nil"/>
          <w:between w:val="nil"/>
          <w:bar w:val="nil"/>
        </w:pBdr>
        <w:spacing w:line="23" w:lineRule="atLeast"/>
        <w:rPr>
          <w:noProof/>
          <w:szCs w:val="24"/>
        </w:rPr>
      </w:pPr>
      <w:r w:rsidRPr="006A39BB">
        <w:rPr>
          <w:noProof/>
          <w:szCs w:val="24"/>
        </w:rPr>
        <w:t xml:space="preserve">As </w:t>
      </w:r>
      <w:r w:rsidR="00500351" w:rsidRPr="006A39BB">
        <w:rPr>
          <w:noProof/>
          <w:szCs w:val="24"/>
        </w:rPr>
        <w:t>for</w:t>
      </w:r>
      <w:r w:rsidRPr="006A39BB">
        <w:rPr>
          <w:noProof/>
          <w:szCs w:val="24"/>
        </w:rPr>
        <w:t xml:space="preserve"> the EU </w:t>
      </w:r>
      <w:r w:rsidR="004406D9" w:rsidRPr="006A39BB">
        <w:rPr>
          <w:noProof/>
          <w:szCs w:val="24"/>
        </w:rPr>
        <w:t>C</w:t>
      </w:r>
      <w:r w:rsidRPr="006A39BB">
        <w:rPr>
          <w:noProof/>
          <w:szCs w:val="24"/>
        </w:rPr>
        <w:t xml:space="preserve">limate </w:t>
      </w:r>
      <w:r w:rsidR="004406D9" w:rsidRPr="006A39BB">
        <w:rPr>
          <w:noProof/>
          <w:szCs w:val="24"/>
        </w:rPr>
        <w:t>B</w:t>
      </w:r>
      <w:r w:rsidRPr="006A39BB">
        <w:rPr>
          <w:noProof/>
          <w:szCs w:val="24"/>
        </w:rPr>
        <w:t>enchmark Regulation,</w:t>
      </w:r>
      <w:r w:rsidRPr="006A39BB">
        <w:rPr>
          <w:rStyle w:val="FootnoteReference"/>
          <w:noProof/>
          <w:szCs w:val="24"/>
        </w:rPr>
        <w:footnoteReference w:id="9"/>
      </w:r>
      <w:r w:rsidRPr="006A39BB">
        <w:rPr>
          <w:noProof/>
          <w:szCs w:val="24"/>
        </w:rPr>
        <w:t xml:space="preserve"> </w:t>
      </w:r>
      <w:r w:rsidR="00701D7D" w:rsidRPr="006A39BB">
        <w:rPr>
          <w:noProof/>
          <w:szCs w:val="24"/>
        </w:rPr>
        <w:t xml:space="preserve">a </w:t>
      </w:r>
      <w:r w:rsidR="004406D9" w:rsidRPr="006A39BB">
        <w:rPr>
          <w:noProof/>
          <w:szCs w:val="24"/>
        </w:rPr>
        <w:t>D</w:t>
      </w:r>
      <w:r w:rsidRPr="006A39BB">
        <w:rPr>
          <w:noProof/>
          <w:szCs w:val="24"/>
        </w:rPr>
        <w:t>elegated Regulation</w:t>
      </w:r>
      <w:r w:rsidR="00701D7D" w:rsidRPr="006A39BB">
        <w:rPr>
          <w:rStyle w:val="FootnoteReference"/>
          <w:noProof/>
          <w:szCs w:val="24"/>
        </w:rPr>
        <w:footnoteReference w:id="10"/>
      </w:r>
      <w:r w:rsidRPr="006A39BB">
        <w:rPr>
          <w:noProof/>
          <w:szCs w:val="24"/>
        </w:rPr>
        <w:t xml:space="preserve"> lay</w:t>
      </w:r>
      <w:r w:rsidR="00857337" w:rsidRPr="006A39BB">
        <w:rPr>
          <w:noProof/>
          <w:szCs w:val="24"/>
        </w:rPr>
        <w:t>s</w:t>
      </w:r>
      <w:r w:rsidRPr="006A39BB">
        <w:rPr>
          <w:noProof/>
          <w:szCs w:val="24"/>
        </w:rPr>
        <w:t xml:space="preserve"> down a list of ESG factors to be disclosed by benchmark administrators, for those benchmarks that pursue ESG objectives, depending on the type of underlying assets concerned (e.g. equity, fixed income, sovereign). They will have to source the information directly from </w:t>
      </w:r>
      <w:r w:rsidR="2CA5F681" w:rsidRPr="006A39BB">
        <w:rPr>
          <w:noProof/>
          <w:szCs w:val="24"/>
        </w:rPr>
        <w:t>undertakings</w:t>
      </w:r>
      <w:r w:rsidRPr="006A39BB">
        <w:rPr>
          <w:noProof/>
          <w:szCs w:val="24"/>
        </w:rPr>
        <w:t xml:space="preserve"> (e.g. via their annual reports) or obtain this information from external rating/data providers.</w:t>
      </w:r>
      <w:r w:rsidR="00A81D22" w:rsidRPr="006A39BB">
        <w:rPr>
          <w:noProof/>
          <w:szCs w:val="24"/>
        </w:rPr>
        <w:t xml:space="preserve"> </w:t>
      </w:r>
      <w:r w:rsidR="00B46C50" w:rsidRPr="006A39BB">
        <w:rPr>
          <w:noProof/>
          <w:szCs w:val="24"/>
        </w:rPr>
        <w:t>The</w:t>
      </w:r>
      <w:r w:rsidR="00A04512" w:rsidRPr="006A39BB">
        <w:rPr>
          <w:noProof/>
          <w:szCs w:val="24"/>
        </w:rPr>
        <w:t xml:space="preserve"> </w:t>
      </w:r>
      <w:r w:rsidR="00A81D22" w:rsidRPr="006A39BB">
        <w:rPr>
          <w:noProof/>
          <w:szCs w:val="24"/>
        </w:rPr>
        <w:t xml:space="preserve">Delegated Regulation </w:t>
      </w:r>
      <w:r w:rsidR="00AE7112" w:rsidRPr="006A39BB">
        <w:rPr>
          <w:noProof/>
          <w:szCs w:val="24"/>
        </w:rPr>
        <w:t>gives</w:t>
      </w:r>
      <w:r w:rsidR="00A81D22" w:rsidRPr="006A39BB">
        <w:rPr>
          <w:noProof/>
          <w:szCs w:val="24"/>
        </w:rPr>
        <w:t xml:space="preserve"> benchmark administrators the </w:t>
      </w:r>
      <w:r w:rsidR="00AE7112" w:rsidRPr="006A39BB">
        <w:rPr>
          <w:noProof/>
          <w:szCs w:val="24"/>
        </w:rPr>
        <w:t>option of</w:t>
      </w:r>
      <w:r w:rsidR="00A81D22" w:rsidRPr="006A39BB">
        <w:rPr>
          <w:noProof/>
          <w:szCs w:val="24"/>
        </w:rPr>
        <w:t xml:space="preserve"> disclos</w:t>
      </w:r>
      <w:r w:rsidR="00AE7112" w:rsidRPr="006A39BB">
        <w:rPr>
          <w:noProof/>
          <w:szCs w:val="24"/>
        </w:rPr>
        <w:t>ing</w:t>
      </w:r>
      <w:r w:rsidR="00A81D22" w:rsidRPr="006A39BB">
        <w:rPr>
          <w:noProof/>
          <w:szCs w:val="24"/>
        </w:rPr>
        <w:t xml:space="preserve"> information on ESG ratings of the benchmarks. Better information </w:t>
      </w:r>
      <w:r w:rsidR="00AE7112" w:rsidRPr="006A39BB">
        <w:rPr>
          <w:noProof/>
          <w:szCs w:val="24"/>
        </w:rPr>
        <w:t xml:space="preserve">on </w:t>
      </w:r>
      <w:r w:rsidR="00A81D22" w:rsidRPr="006A39BB">
        <w:rPr>
          <w:noProof/>
          <w:szCs w:val="24"/>
        </w:rPr>
        <w:t xml:space="preserve">the methodologies used </w:t>
      </w:r>
      <w:r w:rsidR="0015391D" w:rsidRPr="006A39BB">
        <w:rPr>
          <w:noProof/>
          <w:szCs w:val="24"/>
        </w:rPr>
        <w:t xml:space="preserve">for ESG </w:t>
      </w:r>
      <w:r w:rsidR="00A81D22" w:rsidRPr="006A39BB">
        <w:rPr>
          <w:noProof/>
          <w:szCs w:val="24"/>
        </w:rPr>
        <w:t xml:space="preserve">ratings should help </w:t>
      </w:r>
      <w:r w:rsidR="007A2B1A" w:rsidRPr="006A39BB">
        <w:rPr>
          <w:noProof/>
          <w:szCs w:val="24"/>
        </w:rPr>
        <w:t xml:space="preserve">provide </w:t>
      </w:r>
      <w:r w:rsidR="00A81D22" w:rsidRPr="006A39BB">
        <w:rPr>
          <w:noProof/>
          <w:szCs w:val="24"/>
        </w:rPr>
        <w:t xml:space="preserve">benchmark administrators </w:t>
      </w:r>
      <w:r w:rsidR="007A2B1A" w:rsidRPr="006A39BB">
        <w:rPr>
          <w:noProof/>
          <w:szCs w:val="24"/>
        </w:rPr>
        <w:t>with</w:t>
      </w:r>
      <w:r w:rsidR="00A81D22" w:rsidRPr="006A39BB">
        <w:rPr>
          <w:noProof/>
          <w:szCs w:val="24"/>
        </w:rPr>
        <w:t xml:space="preserve"> clarity </w:t>
      </w:r>
      <w:r w:rsidR="007A2B1A" w:rsidRPr="006A39BB">
        <w:rPr>
          <w:noProof/>
          <w:szCs w:val="24"/>
        </w:rPr>
        <w:t>regarding the</w:t>
      </w:r>
      <w:r w:rsidR="00A81D22" w:rsidRPr="006A39BB">
        <w:rPr>
          <w:noProof/>
          <w:szCs w:val="24"/>
        </w:rPr>
        <w:t xml:space="preserve"> constituents of the benchmarks. </w:t>
      </w:r>
      <w:r w:rsidR="003B2E98" w:rsidRPr="006A39BB">
        <w:rPr>
          <w:noProof/>
          <w:szCs w:val="24"/>
        </w:rPr>
        <w:t xml:space="preserve">Better, more reliable </w:t>
      </w:r>
      <w:r w:rsidR="00A81D22" w:rsidRPr="006A39BB">
        <w:rPr>
          <w:noProof/>
          <w:szCs w:val="24"/>
        </w:rPr>
        <w:t>ratings will</w:t>
      </w:r>
      <w:r w:rsidR="0015391D" w:rsidRPr="006A39BB">
        <w:rPr>
          <w:noProof/>
          <w:szCs w:val="24"/>
        </w:rPr>
        <w:t xml:space="preserve"> </w:t>
      </w:r>
      <w:r w:rsidR="003B2E98" w:rsidRPr="006A39BB">
        <w:rPr>
          <w:noProof/>
          <w:szCs w:val="24"/>
        </w:rPr>
        <w:t xml:space="preserve">build </w:t>
      </w:r>
      <w:r w:rsidR="00A81D22" w:rsidRPr="006A39BB">
        <w:rPr>
          <w:noProof/>
          <w:szCs w:val="24"/>
        </w:rPr>
        <w:t>benchmark administrators</w:t>
      </w:r>
      <w:r w:rsidR="005A2AFA" w:rsidRPr="006A39BB">
        <w:rPr>
          <w:noProof/>
          <w:szCs w:val="24"/>
        </w:rPr>
        <w:t>’ trust</w:t>
      </w:r>
      <w:r w:rsidR="00A81D22" w:rsidRPr="006A39BB">
        <w:rPr>
          <w:noProof/>
          <w:szCs w:val="24"/>
        </w:rPr>
        <w:t xml:space="preserve">, and eventually improve the </w:t>
      </w:r>
      <w:r w:rsidR="002A5C9D" w:rsidRPr="006A39BB">
        <w:rPr>
          <w:noProof/>
          <w:szCs w:val="24"/>
        </w:rPr>
        <w:t>adoption</w:t>
      </w:r>
      <w:r w:rsidR="00A81D22" w:rsidRPr="006A39BB">
        <w:rPr>
          <w:noProof/>
          <w:szCs w:val="24"/>
        </w:rPr>
        <w:t xml:space="preserve"> of those ratings as a reliable tool </w:t>
      </w:r>
      <w:r w:rsidR="005A2AFA" w:rsidRPr="006A39BB">
        <w:rPr>
          <w:noProof/>
          <w:szCs w:val="24"/>
        </w:rPr>
        <w:t xml:space="preserve">for </w:t>
      </w:r>
      <w:r w:rsidR="00A81D22" w:rsidRPr="006A39BB">
        <w:rPr>
          <w:noProof/>
          <w:szCs w:val="24"/>
        </w:rPr>
        <w:t>design</w:t>
      </w:r>
      <w:r w:rsidR="005A2AFA" w:rsidRPr="006A39BB">
        <w:rPr>
          <w:noProof/>
          <w:szCs w:val="24"/>
        </w:rPr>
        <w:t>ing</w:t>
      </w:r>
      <w:r w:rsidR="00A81D22" w:rsidRPr="006A39BB">
        <w:rPr>
          <w:noProof/>
          <w:szCs w:val="24"/>
        </w:rPr>
        <w:t xml:space="preserve"> meaningful benchmarks. </w:t>
      </w:r>
      <w:r w:rsidR="005A2AFA" w:rsidRPr="006A39BB">
        <w:rPr>
          <w:noProof/>
          <w:szCs w:val="24"/>
        </w:rPr>
        <w:t>Further,</w:t>
      </w:r>
      <w:r w:rsidR="00A81D22" w:rsidRPr="006A39BB">
        <w:rPr>
          <w:noProof/>
          <w:szCs w:val="24"/>
        </w:rPr>
        <w:t xml:space="preserve"> it will help </w:t>
      </w:r>
      <w:r w:rsidR="007E1E78" w:rsidRPr="006A39BB">
        <w:rPr>
          <w:noProof/>
          <w:szCs w:val="24"/>
        </w:rPr>
        <w:t xml:space="preserve">benchmark users </w:t>
      </w:r>
      <w:r w:rsidR="00A81D22" w:rsidRPr="006A39BB">
        <w:rPr>
          <w:noProof/>
          <w:szCs w:val="24"/>
        </w:rPr>
        <w:t xml:space="preserve">to ensure they identify benchmarks that are aligned with their investment strategy and </w:t>
      </w:r>
      <w:r w:rsidR="007E1E78" w:rsidRPr="006A39BB">
        <w:rPr>
          <w:noProof/>
          <w:szCs w:val="24"/>
        </w:rPr>
        <w:t>help</w:t>
      </w:r>
      <w:r w:rsidR="00A81D22" w:rsidRPr="006A39BB">
        <w:rPr>
          <w:noProof/>
          <w:szCs w:val="24"/>
        </w:rPr>
        <w:t xml:space="preserve"> them to implement </w:t>
      </w:r>
      <w:r w:rsidR="007E1E78" w:rsidRPr="006A39BB">
        <w:rPr>
          <w:noProof/>
          <w:szCs w:val="24"/>
        </w:rPr>
        <w:t>it</w:t>
      </w:r>
      <w:r w:rsidR="00A81D22" w:rsidRPr="006A39BB">
        <w:rPr>
          <w:noProof/>
          <w:szCs w:val="24"/>
        </w:rPr>
        <w:t xml:space="preserve">, avoiding risks of greenwashing. </w:t>
      </w:r>
      <w:r w:rsidR="0015391D" w:rsidRPr="006A39BB">
        <w:rPr>
          <w:noProof/>
          <w:szCs w:val="24"/>
        </w:rPr>
        <w:t xml:space="preserve">This </w:t>
      </w:r>
      <w:r w:rsidR="007E1E78" w:rsidRPr="006A39BB">
        <w:rPr>
          <w:noProof/>
          <w:szCs w:val="24"/>
        </w:rPr>
        <w:t>R</w:t>
      </w:r>
      <w:r w:rsidR="0015391D" w:rsidRPr="006A39BB">
        <w:rPr>
          <w:noProof/>
          <w:szCs w:val="24"/>
        </w:rPr>
        <w:t xml:space="preserve">egulation should also </w:t>
      </w:r>
      <w:r w:rsidR="00A81D22" w:rsidRPr="006A39BB">
        <w:rPr>
          <w:noProof/>
          <w:szCs w:val="24"/>
        </w:rPr>
        <w:t>improve the confidence of investors in ESG benchmarks</w:t>
      </w:r>
      <w:r w:rsidR="002A5C9D" w:rsidRPr="006A39BB">
        <w:rPr>
          <w:noProof/>
          <w:szCs w:val="24"/>
        </w:rPr>
        <w:t xml:space="preserve"> and</w:t>
      </w:r>
      <w:r w:rsidR="00A81D22" w:rsidRPr="006A39BB">
        <w:rPr>
          <w:noProof/>
          <w:szCs w:val="24"/>
        </w:rPr>
        <w:t>, thus further support</w:t>
      </w:r>
      <w:r w:rsidR="002A5C9D" w:rsidRPr="006A39BB">
        <w:rPr>
          <w:noProof/>
          <w:szCs w:val="24"/>
        </w:rPr>
        <w:t xml:space="preserve"> </w:t>
      </w:r>
      <w:r w:rsidR="00A81D22" w:rsidRPr="006A39BB">
        <w:rPr>
          <w:noProof/>
          <w:szCs w:val="24"/>
        </w:rPr>
        <w:t>sustainable investing.</w:t>
      </w:r>
    </w:p>
    <w:p w14:paraId="3D06598D" w14:textId="77777777" w:rsidR="000B2700" w:rsidRPr="006A39BB" w:rsidRDefault="00587167" w:rsidP="00EC435D">
      <w:pPr>
        <w:pStyle w:val="ManualHeading2"/>
        <w:spacing w:line="23" w:lineRule="atLeast"/>
        <w:rPr>
          <w:noProof/>
          <w:szCs w:val="24"/>
        </w:rPr>
      </w:pPr>
      <w:r w:rsidRPr="006A39BB">
        <w:rPr>
          <w:rFonts w:eastAsia="Arial Unicode MS"/>
          <w:noProof/>
          <w:color w:val="000000"/>
          <w:szCs w:val="24"/>
          <w:u w:color="000000"/>
          <w:bdr w:val="nil"/>
          <w:lang w:eastAsia="en-GB"/>
        </w:rPr>
        <w:t>•</w:t>
      </w:r>
      <w:r w:rsidRPr="006A39BB">
        <w:rPr>
          <w:rFonts w:eastAsia="Arial Unicode MS"/>
          <w:noProof/>
          <w:color w:val="000000"/>
          <w:szCs w:val="24"/>
          <w:u w:color="000000"/>
          <w:bdr w:val="nil"/>
          <w:lang w:eastAsia="en-GB"/>
        </w:rPr>
        <w:tab/>
      </w:r>
      <w:r w:rsidRPr="006A39BB">
        <w:rPr>
          <w:rFonts w:eastAsia="Arial Unicode MS"/>
          <w:noProof/>
          <w:szCs w:val="24"/>
        </w:rPr>
        <w:t>Consistency with other Union policies</w:t>
      </w:r>
    </w:p>
    <w:p w14:paraId="37A65C33" w14:textId="77777777" w:rsidR="009E3E73" w:rsidRPr="006A39BB" w:rsidRDefault="009E3E73" w:rsidP="00EC435D">
      <w:pPr>
        <w:pBdr>
          <w:top w:val="nil"/>
          <w:left w:val="nil"/>
          <w:bottom w:val="nil"/>
          <w:right w:val="nil"/>
          <w:between w:val="nil"/>
          <w:bar w:val="nil"/>
        </w:pBdr>
        <w:spacing w:line="23" w:lineRule="atLeast"/>
        <w:rPr>
          <w:noProof/>
          <w:szCs w:val="24"/>
        </w:rPr>
      </w:pPr>
      <w:r w:rsidRPr="006A39BB">
        <w:rPr>
          <w:noProof/>
          <w:szCs w:val="24"/>
        </w:rPr>
        <w:t xml:space="preserve">This proposal is part of a package of </w:t>
      </w:r>
      <w:r w:rsidR="006C7BC6" w:rsidRPr="006A39BB">
        <w:rPr>
          <w:noProof/>
          <w:szCs w:val="24"/>
        </w:rPr>
        <w:t xml:space="preserve">sustainable finance </w:t>
      </w:r>
      <w:r w:rsidRPr="006A39BB">
        <w:rPr>
          <w:noProof/>
          <w:szCs w:val="24"/>
        </w:rPr>
        <w:t xml:space="preserve">measures that is a priority under the Capital Markets Union project. It contains measures to harness the transformative power of financial </w:t>
      </w:r>
      <w:r w:rsidR="001535C5" w:rsidRPr="006A39BB">
        <w:rPr>
          <w:noProof/>
          <w:szCs w:val="24"/>
        </w:rPr>
        <w:t>services</w:t>
      </w:r>
      <w:r w:rsidR="003B211D" w:rsidRPr="006A39BB">
        <w:rPr>
          <w:noProof/>
          <w:szCs w:val="24"/>
        </w:rPr>
        <w:t xml:space="preserve"> </w:t>
      </w:r>
      <w:r w:rsidRPr="006A39BB">
        <w:rPr>
          <w:noProof/>
          <w:szCs w:val="24"/>
        </w:rPr>
        <w:t>and to shift private capital towards sustainable investment. It contributes to the development of more integrated capital markets by making it easier for investors to benefit from the single market whilst taking</w:t>
      </w:r>
      <w:r w:rsidR="002105C3" w:rsidRPr="006A39BB">
        <w:rPr>
          <w:noProof/>
          <w:szCs w:val="24"/>
        </w:rPr>
        <w:t xml:space="preserve"> better</w:t>
      </w:r>
      <w:r w:rsidRPr="006A39BB">
        <w:rPr>
          <w:noProof/>
          <w:szCs w:val="24"/>
        </w:rPr>
        <w:t xml:space="preserve"> informed decisions.</w:t>
      </w:r>
      <w:r w:rsidR="008B53DC" w:rsidRPr="006A39BB">
        <w:rPr>
          <w:noProof/>
          <w:szCs w:val="24"/>
        </w:rPr>
        <w:t xml:space="preserve"> For instance, </w:t>
      </w:r>
      <w:r w:rsidR="008B53DC" w:rsidRPr="006A39BB">
        <w:rPr>
          <w:iCs/>
          <w:noProof/>
          <w:szCs w:val="24"/>
        </w:rPr>
        <w:t>the European Single Access Point (ESAP)</w:t>
      </w:r>
      <w:r w:rsidR="00A817A5" w:rsidRPr="006A39BB">
        <w:rPr>
          <w:iCs/>
          <w:noProof/>
          <w:szCs w:val="24"/>
        </w:rPr>
        <w:t xml:space="preserve"> gives stakeholders </w:t>
      </w:r>
      <w:r w:rsidR="008B53DC" w:rsidRPr="006A39BB">
        <w:rPr>
          <w:iCs/>
          <w:noProof/>
          <w:szCs w:val="24"/>
        </w:rPr>
        <w:t xml:space="preserve">easier access </w:t>
      </w:r>
      <w:r w:rsidR="00A817A5" w:rsidRPr="006A39BB">
        <w:rPr>
          <w:iCs/>
          <w:noProof/>
          <w:szCs w:val="24"/>
        </w:rPr>
        <w:t>to data</w:t>
      </w:r>
      <w:r w:rsidR="005A30C2" w:rsidRPr="006A39BB">
        <w:rPr>
          <w:iCs/>
          <w:noProof/>
          <w:szCs w:val="24"/>
        </w:rPr>
        <w:t xml:space="preserve">, and </w:t>
      </w:r>
      <w:r w:rsidR="008B53DC" w:rsidRPr="006A39BB">
        <w:rPr>
          <w:iCs/>
          <w:noProof/>
          <w:szCs w:val="24"/>
        </w:rPr>
        <w:t>can also serve as</w:t>
      </w:r>
      <w:r w:rsidR="00F96B4A" w:rsidRPr="006A39BB">
        <w:rPr>
          <w:iCs/>
          <w:noProof/>
          <w:szCs w:val="24"/>
        </w:rPr>
        <w:t xml:space="preserve"> a</w:t>
      </w:r>
      <w:r w:rsidR="008B53DC" w:rsidRPr="006A39BB">
        <w:rPr>
          <w:iCs/>
          <w:noProof/>
          <w:szCs w:val="24"/>
        </w:rPr>
        <w:t xml:space="preserve"> source of information / input data for ESG rating providers, reducing </w:t>
      </w:r>
      <w:r w:rsidR="00F96B4A" w:rsidRPr="006A39BB">
        <w:rPr>
          <w:iCs/>
          <w:noProof/>
          <w:szCs w:val="24"/>
        </w:rPr>
        <w:t xml:space="preserve">the </w:t>
      </w:r>
      <w:r w:rsidR="008B53DC" w:rsidRPr="006A39BB">
        <w:rPr>
          <w:iCs/>
          <w:noProof/>
          <w:szCs w:val="24"/>
        </w:rPr>
        <w:t>use of estimations but also contributing to better quality of ratings overall.</w:t>
      </w:r>
    </w:p>
    <w:p w14:paraId="042BF28A" w14:textId="77777777" w:rsidR="000B2700" w:rsidRDefault="000B2700" w:rsidP="00EC435D">
      <w:pPr>
        <w:pBdr>
          <w:top w:val="nil"/>
          <w:left w:val="nil"/>
          <w:bottom w:val="nil"/>
          <w:right w:val="nil"/>
          <w:between w:val="nil"/>
          <w:bar w:val="nil"/>
        </w:pBdr>
        <w:spacing w:line="23" w:lineRule="atLeast"/>
        <w:rPr>
          <w:noProof/>
          <w:szCs w:val="24"/>
        </w:rPr>
      </w:pPr>
      <w:r w:rsidRPr="006A39BB">
        <w:rPr>
          <w:noProof/>
          <w:szCs w:val="24"/>
        </w:rPr>
        <w:t xml:space="preserve">This proposal </w:t>
      </w:r>
      <w:r w:rsidR="00681A55" w:rsidRPr="006A39BB">
        <w:rPr>
          <w:noProof/>
          <w:szCs w:val="24"/>
        </w:rPr>
        <w:t xml:space="preserve">also </w:t>
      </w:r>
      <w:r w:rsidRPr="006A39BB">
        <w:rPr>
          <w:noProof/>
          <w:szCs w:val="24"/>
        </w:rPr>
        <w:t>complies with the overarching policy goals of the European Green Deal. The European Green Deal is the Union’s response to the</w:t>
      </w:r>
      <w:r w:rsidR="00EB723C" w:rsidRPr="006A39BB">
        <w:rPr>
          <w:noProof/>
          <w:szCs w:val="24"/>
        </w:rPr>
        <w:t xml:space="preserve"> generation-defining</w:t>
      </w:r>
      <w:r w:rsidRPr="006A39BB">
        <w:rPr>
          <w:noProof/>
          <w:szCs w:val="24"/>
        </w:rPr>
        <w:t xml:space="preserve"> climate and environment-related challenges. It aims to transform th</w:t>
      </w:r>
      <w:r w:rsidR="00F06929" w:rsidRPr="006A39BB">
        <w:rPr>
          <w:noProof/>
          <w:szCs w:val="24"/>
        </w:rPr>
        <w:t>e Union into a modern, resource-</w:t>
      </w:r>
      <w:r w:rsidRPr="006A39BB">
        <w:rPr>
          <w:noProof/>
          <w:szCs w:val="24"/>
        </w:rPr>
        <w:t>efficient and competitive economy with no net emissions of gree</w:t>
      </w:r>
      <w:r w:rsidR="00F06929" w:rsidRPr="006A39BB">
        <w:rPr>
          <w:noProof/>
          <w:szCs w:val="24"/>
        </w:rPr>
        <w:t>nhouse gases by 2050.</w:t>
      </w:r>
    </w:p>
    <w:p w14:paraId="25043BBA" w14:textId="77777777" w:rsidR="00544A29" w:rsidRPr="006A39BB" w:rsidRDefault="00544A29" w:rsidP="00EC435D">
      <w:pPr>
        <w:pBdr>
          <w:top w:val="nil"/>
          <w:left w:val="nil"/>
          <w:bottom w:val="nil"/>
          <w:right w:val="nil"/>
          <w:between w:val="nil"/>
          <w:bar w:val="nil"/>
        </w:pBdr>
        <w:spacing w:line="23" w:lineRule="atLeast"/>
        <w:rPr>
          <w:noProof/>
          <w:szCs w:val="24"/>
        </w:rPr>
      </w:pPr>
      <w:r w:rsidRPr="00544A29">
        <w:rPr>
          <w:noProof/>
          <w:szCs w:val="24"/>
        </w:rPr>
        <w:t xml:space="preserve">Furthermore, a fully functioning and integrated market for capital will allow the EU’s economy to grow in a sustainable way and be more competitive, in line with the strategic priority of the Commission for an Economy that Works for People, focused on creating the right conditions for job creation, growth and investment. </w:t>
      </w:r>
    </w:p>
    <w:p w14:paraId="2E740CC3" w14:textId="77777777" w:rsidR="00681A55" w:rsidRPr="006A39BB" w:rsidRDefault="00681A55" w:rsidP="00EC435D">
      <w:pPr>
        <w:pBdr>
          <w:top w:val="nil"/>
          <w:left w:val="nil"/>
          <w:bottom w:val="nil"/>
          <w:right w:val="nil"/>
          <w:between w:val="nil"/>
          <w:bar w:val="nil"/>
        </w:pBdr>
        <w:spacing w:line="23" w:lineRule="atLeast"/>
        <w:rPr>
          <w:noProof/>
          <w:szCs w:val="24"/>
        </w:rPr>
      </w:pPr>
      <w:r w:rsidRPr="006A39BB">
        <w:rPr>
          <w:noProof/>
          <w:szCs w:val="24"/>
        </w:rPr>
        <w:t>Th</w:t>
      </w:r>
      <w:r w:rsidR="006D1C3A">
        <w:rPr>
          <w:noProof/>
          <w:szCs w:val="24"/>
        </w:rPr>
        <w:t>is</w:t>
      </w:r>
      <w:r w:rsidRPr="006A39BB">
        <w:rPr>
          <w:noProof/>
          <w:szCs w:val="24"/>
        </w:rPr>
        <w:t xml:space="preserve"> proposal complements the existing EU environmental and climate policies by </w:t>
      </w:r>
      <w:r w:rsidR="00767849" w:rsidRPr="006A39BB">
        <w:rPr>
          <w:noProof/>
          <w:szCs w:val="24"/>
        </w:rPr>
        <w:t>making the</w:t>
      </w:r>
      <w:r w:rsidRPr="006A39BB">
        <w:rPr>
          <w:noProof/>
          <w:szCs w:val="24"/>
        </w:rPr>
        <w:t xml:space="preserve"> methodologies for ESG ratings </w:t>
      </w:r>
      <w:r w:rsidR="00767849" w:rsidRPr="006A39BB">
        <w:rPr>
          <w:noProof/>
          <w:szCs w:val="24"/>
        </w:rPr>
        <w:t xml:space="preserve">more transparent, which </w:t>
      </w:r>
      <w:r w:rsidRPr="006A39BB">
        <w:rPr>
          <w:noProof/>
          <w:szCs w:val="24"/>
        </w:rPr>
        <w:t xml:space="preserve">should lead to </w:t>
      </w:r>
      <w:r w:rsidR="002A5C9D" w:rsidRPr="006A39BB">
        <w:rPr>
          <w:noProof/>
          <w:szCs w:val="24"/>
        </w:rPr>
        <w:t xml:space="preserve">the </w:t>
      </w:r>
      <w:r w:rsidRPr="006A39BB">
        <w:rPr>
          <w:noProof/>
          <w:szCs w:val="24"/>
        </w:rPr>
        <w:t xml:space="preserve">more efficient channelling of investment towards sustainable assets. </w:t>
      </w:r>
    </w:p>
    <w:p w14:paraId="351A658A" w14:textId="77777777" w:rsidR="00587167" w:rsidRPr="006A39BB" w:rsidRDefault="00587167" w:rsidP="00EC435D">
      <w:pPr>
        <w:pStyle w:val="ManualHeading1"/>
        <w:spacing w:before="120" w:line="23" w:lineRule="atLeast"/>
        <w:rPr>
          <w:noProof/>
          <w:szCs w:val="24"/>
        </w:rPr>
      </w:pPr>
      <w:r w:rsidRPr="006A39BB">
        <w:rPr>
          <w:noProof/>
          <w:szCs w:val="24"/>
        </w:rPr>
        <w:t>2.</w:t>
      </w:r>
      <w:r w:rsidRPr="006A39BB">
        <w:rPr>
          <w:noProof/>
          <w:szCs w:val="24"/>
        </w:rPr>
        <w:tab/>
        <w:t>LEGAL BASIS, SUBSIDIARITY AND PROPORTIONALITY</w:t>
      </w:r>
    </w:p>
    <w:p w14:paraId="50B62AA9"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Legal basis</w:t>
      </w:r>
    </w:p>
    <w:p w14:paraId="778F72D4" w14:textId="77777777" w:rsidR="00121A92" w:rsidRPr="006A39BB" w:rsidRDefault="00121A92" w:rsidP="00EC435D">
      <w:pPr>
        <w:spacing w:line="23" w:lineRule="atLeast"/>
        <w:rPr>
          <w:noProof/>
          <w:szCs w:val="24"/>
        </w:rPr>
      </w:pPr>
      <w:r w:rsidRPr="006A39BB">
        <w:rPr>
          <w:noProof/>
          <w:szCs w:val="24"/>
        </w:rPr>
        <w:t xml:space="preserve">This proposal falls within the area of shared competence in accordance with Article 4(2)(a) of the Treaty on the Functioning of the European Union (TFEU) and is based on Article 114 TFEU, which confers </w:t>
      </w:r>
      <w:r w:rsidR="008A0A45" w:rsidRPr="006A39BB">
        <w:rPr>
          <w:noProof/>
          <w:szCs w:val="24"/>
        </w:rPr>
        <w:t xml:space="preserve">on the EU </w:t>
      </w:r>
      <w:r w:rsidRPr="006A39BB">
        <w:rPr>
          <w:noProof/>
          <w:szCs w:val="24"/>
        </w:rPr>
        <w:t xml:space="preserve">competence </w:t>
      </w:r>
      <w:r w:rsidR="008A0A45" w:rsidRPr="006A39BB">
        <w:rPr>
          <w:noProof/>
          <w:szCs w:val="24"/>
        </w:rPr>
        <w:t xml:space="preserve">for </w:t>
      </w:r>
      <w:r w:rsidRPr="006A39BB">
        <w:rPr>
          <w:noProof/>
          <w:szCs w:val="24"/>
        </w:rPr>
        <w:t>lay</w:t>
      </w:r>
      <w:r w:rsidR="008A0A45" w:rsidRPr="006A39BB">
        <w:rPr>
          <w:noProof/>
          <w:szCs w:val="24"/>
        </w:rPr>
        <w:t>ing</w:t>
      </w:r>
      <w:r w:rsidRPr="006A39BB">
        <w:rPr>
          <w:noProof/>
          <w:szCs w:val="24"/>
        </w:rPr>
        <w:t xml:space="preserve"> down appropriate provisions</w:t>
      </w:r>
      <w:r w:rsidR="008A0A45" w:rsidRPr="006A39BB">
        <w:rPr>
          <w:noProof/>
          <w:szCs w:val="24"/>
        </w:rPr>
        <w:t xml:space="preserve"> for the</w:t>
      </w:r>
      <w:r w:rsidRPr="006A39BB">
        <w:rPr>
          <w:noProof/>
          <w:szCs w:val="24"/>
        </w:rPr>
        <w:t xml:space="preserve"> establishment and functioning of the internal market. </w:t>
      </w:r>
    </w:p>
    <w:p w14:paraId="55351C43" w14:textId="77777777" w:rsidR="00121A92" w:rsidRPr="006A39BB" w:rsidRDefault="00121A92" w:rsidP="00EC435D">
      <w:pPr>
        <w:spacing w:line="23" w:lineRule="atLeast"/>
        <w:rPr>
          <w:noProof/>
          <w:szCs w:val="24"/>
        </w:rPr>
      </w:pPr>
      <w:r w:rsidRPr="006A39BB">
        <w:rPr>
          <w:noProof/>
          <w:szCs w:val="24"/>
        </w:rPr>
        <w:t xml:space="preserve">Article 114 TFEU allows the Union to take measures not only to eliminate existing obstacles to the exercise of the fundamental freedoms, but also to prevent the likely emergence of such obstacles in the future. This includes obstacles that make it difficult for market participants, such as ESG rating providers or investors, to take full advantage of the benefits of the internal market. </w:t>
      </w:r>
    </w:p>
    <w:p w14:paraId="718A09E2"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 xml:space="preserve">Subsidiarity (for non-exclusive competence) </w:t>
      </w:r>
    </w:p>
    <w:p w14:paraId="57AA113F" w14:textId="77777777" w:rsidR="00B477B3" w:rsidRPr="006A39BB" w:rsidRDefault="00B477B3" w:rsidP="00EC435D">
      <w:pPr>
        <w:spacing w:line="23" w:lineRule="atLeast"/>
        <w:rPr>
          <w:noProof/>
          <w:szCs w:val="24"/>
        </w:rPr>
      </w:pPr>
      <w:r w:rsidRPr="006A39BB">
        <w:rPr>
          <w:noProof/>
          <w:szCs w:val="24"/>
        </w:rPr>
        <w:t xml:space="preserve">The objective of this initiative, to improve clarity </w:t>
      </w:r>
      <w:r w:rsidR="004764A0" w:rsidRPr="006A39BB">
        <w:rPr>
          <w:noProof/>
          <w:szCs w:val="24"/>
        </w:rPr>
        <w:t xml:space="preserve">as to </w:t>
      </w:r>
      <w:r w:rsidRPr="006A39BB">
        <w:rPr>
          <w:noProof/>
          <w:szCs w:val="24"/>
        </w:rPr>
        <w:t xml:space="preserve">the characteristics </w:t>
      </w:r>
      <w:r w:rsidR="000E18B6" w:rsidRPr="006A39BB">
        <w:rPr>
          <w:noProof/>
          <w:szCs w:val="24"/>
        </w:rPr>
        <w:t xml:space="preserve">and objectives </w:t>
      </w:r>
      <w:r w:rsidRPr="006A39BB">
        <w:rPr>
          <w:noProof/>
          <w:szCs w:val="24"/>
        </w:rPr>
        <w:t xml:space="preserve">of ESG ratings </w:t>
      </w:r>
      <w:r w:rsidR="004764A0" w:rsidRPr="006A39BB">
        <w:rPr>
          <w:noProof/>
          <w:szCs w:val="24"/>
        </w:rPr>
        <w:t>and the</w:t>
      </w:r>
      <w:r w:rsidRPr="006A39BB">
        <w:rPr>
          <w:noProof/>
          <w:szCs w:val="24"/>
        </w:rPr>
        <w:t xml:space="preserve"> operations of ESG rating providers, cannot be </w:t>
      </w:r>
      <w:r w:rsidR="002A5C9D" w:rsidRPr="006A39BB">
        <w:rPr>
          <w:noProof/>
          <w:szCs w:val="24"/>
        </w:rPr>
        <w:t>adequately</w:t>
      </w:r>
      <w:r w:rsidRPr="006A39BB">
        <w:rPr>
          <w:noProof/>
          <w:szCs w:val="24"/>
        </w:rPr>
        <w:t xml:space="preserve"> achieved by Member States acting independently and </w:t>
      </w:r>
      <w:r w:rsidR="002A5C9D" w:rsidRPr="006A39BB">
        <w:rPr>
          <w:noProof/>
          <w:szCs w:val="24"/>
        </w:rPr>
        <w:t xml:space="preserve">thus </w:t>
      </w:r>
      <w:r w:rsidRPr="006A39BB">
        <w:rPr>
          <w:noProof/>
          <w:szCs w:val="24"/>
        </w:rPr>
        <w:t>action at EU level is necessary for the proper functioning of EU capital markets.</w:t>
      </w:r>
    </w:p>
    <w:p w14:paraId="32647854" w14:textId="77777777" w:rsidR="00B477B3" w:rsidRPr="006A39BB" w:rsidRDefault="00B477B3" w:rsidP="00EC435D">
      <w:pPr>
        <w:spacing w:line="23" w:lineRule="atLeast"/>
        <w:rPr>
          <w:noProof/>
          <w:color w:val="000000"/>
          <w:szCs w:val="24"/>
        </w:rPr>
      </w:pPr>
      <w:r w:rsidRPr="006A39BB">
        <w:rPr>
          <w:noProof/>
          <w:szCs w:val="24"/>
        </w:rPr>
        <w:t xml:space="preserve">There is currently no EU regulatory framework for ESG rating providers. </w:t>
      </w:r>
      <w:r w:rsidRPr="006A39BB">
        <w:rPr>
          <w:noProof/>
          <w:color w:val="000000"/>
          <w:szCs w:val="24"/>
        </w:rPr>
        <w:t xml:space="preserve">Member States do not regulate the activities of ESG rating providers or the conditions under which they </w:t>
      </w:r>
      <w:r w:rsidR="00626506" w:rsidRPr="006A39BB">
        <w:rPr>
          <w:noProof/>
          <w:color w:val="000000"/>
          <w:szCs w:val="24"/>
        </w:rPr>
        <w:t>provide</w:t>
      </w:r>
      <w:r w:rsidRPr="006A39BB">
        <w:rPr>
          <w:noProof/>
          <w:color w:val="000000"/>
          <w:szCs w:val="24"/>
        </w:rPr>
        <w:t xml:space="preserve"> </w:t>
      </w:r>
      <w:r w:rsidR="00BE2BB4" w:rsidRPr="006A39BB">
        <w:rPr>
          <w:noProof/>
          <w:color w:val="000000"/>
          <w:szCs w:val="24"/>
        </w:rPr>
        <w:t>ESG ratings</w:t>
      </w:r>
      <w:r w:rsidRPr="006A39BB">
        <w:rPr>
          <w:noProof/>
          <w:color w:val="000000"/>
          <w:szCs w:val="24"/>
        </w:rPr>
        <w:t>. Each ESG rating provider follows its own rules</w:t>
      </w:r>
      <w:r w:rsidR="00C654CE" w:rsidRPr="006A39BB">
        <w:rPr>
          <w:noProof/>
          <w:color w:val="000000"/>
          <w:szCs w:val="24"/>
        </w:rPr>
        <w:t>, with a lack of</w:t>
      </w:r>
      <w:r w:rsidRPr="006A39BB">
        <w:rPr>
          <w:noProof/>
          <w:color w:val="000000"/>
          <w:szCs w:val="24"/>
        </w:rPr>
        <w:t xml:space="preserve">clarity </w:t>
      </w:r>
      <w:r w:rsidR="00C654CE" w:rsidRPr="006A39BB">
        <w:rPr>
          <w:noProof/>
          <w:color w:val="000000"/>
          <w:szCs w:val="24"/>
        </w:rPr>
        <w:t xml:space="preserve">as to </w:t>
      </w:r>
      <w:r w:rsidRPr="006A39BB">
        <w:rPr>
          <w:noProof/>
          <w:color w:val="000000"/>
          <w:szCs w:val="24"/>
        </w:rPr>
        <w:t xml:space="preserve">what they do and how they do it. </w:t>
      </w:r>
    </w:p>
    <w:p w14:paraId="5368EB35" w14:textId="77777777" w:rsidR="00B477B3" w:rsidRPr="006A39BB" w:rsidRDefault="00B477B3" w:rsidP="00EC435D">
      <w:pPr>
        <w:spacing w:line="23" w:lineRule="atLeast"/>
        <w:rPr>
          <w:noProof/>
          <w:szCs w:val="24"/>
        </w:rPr>
      </w:pPr>
      <w:r w:rsidRPr="006A39BB">
        <w:rPr>
          <w:noProof/>
          <w:szCs w:val="24"/>
        </w:rPr>
        <w:t>The ESG rating</w:t>
      </w:r>
      <w:r w:rsidR="008E09CC" w:rsidRPr="006A39BB">
        <w:rPr>
          <w:noProof/>
          <w:szCs w:val="24"/>
        </w:rPr>
        <w:t>s market</w:t>
      </w:r>
      <w:r w:rsidRPr="006A39BB">
        <w:rPr>
          <w:noProof/>
          <w:szCs w:val="24"/>
        </w:rPr>
        <w:t xml:space="preserve"> is global</w:t>
      </w:r>
      <w:r w:rsidR="00641753" w:rsidRPr="006A39BB">
        <w:rPr>
          <w:noProof/>
          <w:szCs w:val="24"/>
        </w:rPr>
        <w:t xml:space="preserve">. </w:t>
      </w:r>
      <w:r w:rsidR="0015391D" w:rsidRPr="006A39BB">
        <w:rPr>
          <w:noProof/>
          <w:szCs w:val="24"/>
        </w:rPr>
        <w:t xml:space="preserve">Some large ESG providers have their </w:t>
      </w:r>
      <w:r w:rsidRPr="006A39BB">
        <w:rPr>
          <w:noProof/>
          <w:szCs w:val="24"/>
        </w:rPr>
        <w:t>headquarter</w:t>
      </w:r>
      <w:r w:rsidR="008E09CC" w:rsidRPr="006A39BB">
        <w:rPr>
          <w:noProof/>
          <w:szCs w:val="24"/>
        </w:rPr>
        <w:t>s</w:t>
      </w:r>
      <w:r w:rsidRPr="006A39BB">
        <w:rPr>
          <w:noProof/>
          <w:szCs w:val="24"/>
        </w:rPr>
        <w:t xml:space="preserve"> in </w:t>
      </w:r>
      <w:r w:rsidR="0015391D" w:rsidRPr="006A39BB">
        <w:rPr>
          <w:noProof/>
          <w:szCs w:val="24"/>
        </w:rPr>
        <w:t xml:space="preserve">the EU, whereas many </w:t>
      </w:r>
      <w:r w:rsidRPr="006A39BB">
        <w:rPr>
          <w:noProof/>
          <w:szCs w:val="24"/>
        </w:rPr>
        <w:t xml:space="preserve">others </w:t>
      </w:r>
      <w:r w:rsidR="008E09CC" w:rsidRPr="006A39BB">
        <w:rPr>
          <w:noProof/>
          <w:szCs w:val="24"/>
        </w:rPr>
        <w:t xml:space="preserve">are </w:t>
      </w:r>
      <w:r w:rsidRPr="006A39BB">
        <w:rPr>
          <w:noProof/>
          <w:szCs w:val="24"/>
        </w:rPr>
        <w:t>headqua</w:t>
      </w:r>
      <w:r w:rsidR="00D82C70" w:rsidRPr="006A39BB">
        <w:rPr>
          <w:noProof/>
          <w:szCs w:val="24"/>
        </w:rPr>
        <w:t>r</w:t>
      </w:r>
      <w:r w:rsidRPr="006A39BB">
        <w:rPr>
          <w:noProof/>
          <w:szCs w:val="24"/>
        </w:rPr>
        <w:t>ter</w:t>
      </w:r>
      <w:r w:rsidR="008E09CC" w:rsidRPr="006A39BB">
        <w:rPr>
          <w:noProof/>
          <w:szCs w:val="24"/>
        </w:rPr>
        <w:t>ed</w:t>
      </w:r>
      <w:r w:rsidRPr="006A39BB">
        <w:rPr>
          <w:noProof/>
          <w:szCs w:val="24"/>
        </w:rPr>
        <w:t xml:space="preserve"> outside the EU </w:t>
      </w:r>
      <w:r w:rsidR="008E09CC" w:rsidRPr="006A39BB">
        <w:rPr>
          <w:noProof/>
          <w:szCs w:val="24"/>
        </w:rPr>
        <w:t xml:space="preserve">but have </w:t>
      </w:r>
      <w:r w:rsidRPr="006A39BB">
        <w:rPr>
          <w:noProof/>
          <w:szCs w:val="24"/>
        </w:rPr>
        <w:t>subsidiaries within the EU.</w:t>
      </w:r>
    </w:p>
    <w:p w14:paraId="7B142F09" w14:textId="77777777" w:rsidR="00B477B3" w:rsidRPr="006A39BB" w:rsidRDefault="00B477B3" w:rsidP="00EC435D">
      <w:pPr>
        <w:spacing w:line="23" w:lineRule="atLeast"/>
        <w:rPr>
          <w:noProof/>
          <w:szCs w:val="24"/>
        </w:rPr>
      </w:pPr>
      <w:r w:rsidRPr="006A39BB">
        <w:rPr>
          <w:noProof/>
          <w:szCs w:val="24"/>
        </w:rPr>
        <w:t xml:space="preserve">Although Member States could individually take action to strengthen the reliability and </w:t>
      </w:r>
      <w:r w:rsidR="000E18B6" w:rsidRPr="006A39BB">
        <w:rPr>
          <w:noProof/>
          <w:szCs w:val="24"/>
        </w:rPr>
        <w:t xml:space="preserve">transparency </w:t>
      </w:r>
      <w:r w:rsidRPr="006A39BB">
        <w:rPr>
          <w:noProof/>
          <w:szCs w:val="24"/>
        </w:rPr>
        <w:t xml:space="preserve">of ESG ratings, such measures are likely to </w:t>
      </w:r>
      <w:r w:rsidR="002A5C9D" w:rsidRPr="006A39BB">
        <w:rPr>
          <w:noProof/>
          <w:szCs w:val="24"/>
        </w:rPr>
        <w:t>differ significantly</w:t>
      </w:r>
      <w:r w:rsidRPr="006A39BB">
        <w:rPr>
          <w:noProof/>
          <w:szCs w:val="24"/>
        </w:rPr>
        <w:t xml:space="preserve"> between Member States</w:t>
      </w:r>
      <w:r w:rsidR="008E09CC" w:rsidRPr="006A39BB">
        <w:rPr>
          <w:noProof/>
          <w:szCs w:val="24"/>
        </w:rPr>
        <w:t>. This</w:t>
      </w:r>
      <w:r w:rsidRPr="006A39BB">
        <w:rPr>
          <w:noProof/>
          <w:szCs w:val="24"/>
        </w:rPr>
        <w:t xml:space="preserve"> may create diverging levels of transparency, barriers for market participants and challenges for those operating across borders (as </w:t>
      </w:r>
      <w:r w:rsidR="00AE677C" w:rsidRPr="006A39BB">
        <w:rPr>
          <w:noProof/>
          <w:szCs w:val="24"/>
        </w:rPr>
        <w:t>they do</w:t>
      </w:r>
      <w:r w:rsidRPr="006A39BB">
        <w:rPr>
          <w:noProof/>
          <w:szCs w:val="24"/>
        </w:rPr>
        <w:t xml:space="preserve"> </w:t>
      </w:r>
      <w:r w:rsidR="0065294F" w:rsidRPr="006A39BB">
        <w:rPr>
          <w:noProof/>
          <w:szCs w:val="24"/>
        </w:rPr>
        <w:t>in the E</w:t>
      </w:r>
      <w:r w:rsidR="00DF011D" w:rsidRPr="006A39BB">
        <w:rPr>
          <w:noProof/>
          <w:szCs w:val="24"/>
        </w:rPr>
        <w:t>U</w:t>
      </w:r>
      <w:r w:rsidRPr="006A39BB">
        <w:rPr>
          <w:noProof/>
          <w:szCs w:val="24"/>
        </w:rPr>
        <w:t xml:space="preserve"> market, with users </w:t>
      </w:r>
      <w:r w:rsidR="0065294F" w:rsidRPr="006A39BB">
        <w:rPr>
          <w:noProof/>
          <w:szCs w:val="24"/>
        </w:rPr>
        <w:t>across</w:t>
      </w:r>
      <w:r w:rsidRPr="006A39BB">
        <w:rPr>
          <w:noProof/>
          <w:szCs w:val="24"/>
        </w:rPr>
        <w:t xml:space="preserve"> a number of Member States), in addition to limiting comparability between ratings.</w:t>
      </w:r>
      <w:r w:rsidR="00AE677C" w:rsidRPr="006A39BB">
        <w:rPr>
          <w:noProof/>
          <w:szCs w:val="24"/>
        </w:rPr>
        <w:t xml:space="preserve"> Alternatively, with no </w:t>
      </w:r>
      <w:r w:rsidRPr="006A39BB">
        <w:rPr>
          <w:noProof/>
          <w:szCs w:val="24"/>
        </w:rPr>
        <w:t>f rules</w:t>
      </w:r>
      <w:r w:rsidR="00AE677C" w:rsidRPr="006A39BB">
        <w:rPr>
          <w:noProof/>
          <w:szCs w:val="24"/>
        </w:rPr>
        <w:t xml:space="preserve"> at all</w:t>
      </w:r>
      <w:r w:rsidRPr="006A39BB">
        <w:rPr>
          <w:noProof/>
          <w:szCs w:val="24"/>
        </w:rPr>
        <w:t xml:space="preserve"> on the operations of ESG rating providers, the</w:t>
      </w:r>
      <w:r w:rsidR="00162597" w:rsidRPr="006A39BB">
        <w:rPr>
          <w:noProof/>
          <w:szCs w:val="24"/>
        </w:rPr>
        <w:t xml:space="preserve"> current</w:t>
      </w:r>
      <w:r w:rsidRPr="006A39BB">
        <w:rPr>
          <w:noProof/>
          <w:szCs w:val="24"/>
        </w:rPr>
        <w:t xml:space="preserve"> situation and </w:t>
      </w:r>
      <w:r w:rsidR="00162597" w:rsidRPr="006A39BB">
        <w:rPr>
          <w:noProof/>
          <w:szCs w:val="24"/>
        </w:rPr>
        <w:t xml:space="preserve">the transparency </w:t>
      </w:r>
      <w:r w:rsidRPr="006A39BB">
        <w:rPr>
          <w:noProof/>
          <w:szCs w:val="24"/>
        </w:rPr>
        <w:t>issues relating to transparency would continue and could even worsen.</w:t>
      </w:r>
    </w:p>
    <w:p w14:paraId="505D63DB" w14:textId="77777777" w:rsidR="005B18D6" w:rsidRPr="006A39BB" w:rsidRDefault="005B18D6" w:rsidP="00EC435D">
      <w:pPr>
        <w:spacing w:line="23" w:lineRule="atLeast"/>
        <w:rPr>
          <w:noProof/>
          <w:szCs w:val="24"/>
        </w:rPr>
      </w:pPr>
      <w:bookmarkStart w:id="1" w:name="_Hlk134189306"/>
      <w:r w:rsidRPr="006A39BB">
        <w:rPr>
          <w:noProof/>
          <w:szCs w:val="24"/>
        </w:rPr>
        <w:t>With sustainable investing and ESG ratings attracting increasing attention in jurisdictions around the world, it is becoming essential for the EU to engage with its partners on the basis of a coherent and comprehensive harmonised approach. The initiative would not replace national legislation as currently no Member State has legislation regulating the functioning of ESG rating providers.</w:t>
      </w:r>
    </w:p>
    <w:p w14:paraId="29CC9E81" w14:textId="77777777" w:rsidR="005B18D6" w:rsidRPr="006A39BB" w:rsidRDefault="005B18D6" w:rsidP="00EC435D">
      <w:pPr>
        <w:spacing w:line="23" w:lineRule="atLeast"/>
        <w:rPr>
          <w:noProof/>
          <w:szCs w:val="24"/>
        </w:rPr>
      </w:pPr>
      <w:r w:rsidRPr="006A39BB">
        <w:rPr>
          <w:noProof/>
          <w:szCs w:val="24"/>
        </w:rPr>
        <w:t>The functioning of the internal market would be improved by greater clarity about the operations of entities that are increasingly important for channelling finance.</w:t>
      </w:r>
    </w:p>
    <w:bookmarkEnd w:id="1"/>
    <w:p w14:paraId="29E97B74"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Proportionality</w:t>
      </w:r>
    </w:p>
    <w:p w14:paraId="7D31DAA4" w14:textId="77777777" w:rsidR="00DC4402" w:rsidRPr="006A39BB" w:rsidRDefault="00DC4402" w:rsidP="00EC435D">
      <w:pPr>
        <w:pBdr>
          <w:top w:val="nil"/>
          <w:left w:val="nil"/>
          <w:bottom w:val="nil"/>
          <w:right w:val="nil"/>
          <w:between w:val="nil"/>
          <w:bar w:val="nil"/>
        </w:pBdr>
        <w:spacing w:line="23" w:lineRule="atLeast"/>
        <w:rPr>
          <w:noProof/>
          <w:szCs w:val="24"/>
        </w:rPr>
      </w:pPr>
      <w:r w:rsidRPr="006A39BB">
        <w:rPr>
          <w:noProof/>
          <w:szCs w:val="24"/>
        </w:rPr>
        <w:t>This proposal complies with the principle of proportionality as set out in Article 5 T</w:t>
      </w:r>
      <w:r w:rsidR="003325C3" w:rsidRPr="006A39BB">
        <w:rPr>
          <w:noProof/>
          <w:szCs w:val="24"/>
        </w:rPr>
        <w:t>F</w:t>
      </w:r>
      <w:r w:rsidRPr="006A39BB">
        <w:rPr>
          <w:noProof/>
          <w:szCs w:val="24"/>
        </w:rPr>
        <w:t xml:space="preserve">EU. The proposed measures are necessary to achieve the objectives, and also the most suitable. </w:t>
      </w:r>
    </w:p>
    <w:p w14:paraId="7C9DCD0C" w14:textId="77777777" w:rsidR="00BF282E" w:rsidRPr="006A39BB" w:rsidRDefault="00BF282E" w:rsidP="00EC435D">
      <w:pPr>
        <w:pBdr>
          <w:top w:val="nil"/>
          <w:left w:val="nil"/>
          <w:bottom w:val="nil"/>
          <w:right w:val="nil"/>
          <w:between w:val="nil"/>
          <w:bar w:val="nil"/>
        </w:pBdr>
        <w:spacing w:line="23" w:lineRule="atLeast"/>
        <w:rPr>
          <w:noProof/>
          <w:szCs w:val="24"/>
        </w:rPr>
      </w:pPr>
      <w:r w:rsidRPr="006A39BB">
        <w:rPr>
          <w:noProof/>
          <w:szCs w:val="24"/>
        </w:rPr>
        <w:t>The proposal focuses on the activities of providers of ESG ratings operating in the EU. It addresses market shortcomings, namely: (a) the lack of clarity on the characteristics of ESG ratings, the methodologies used and data sources, and (b) the lack of clarity about, and control of, operations of ESG rating providers.</w:t>
      </w:r>
    </w:p>
    <w:p w14:paraId="4CD02EC8" w14:textId="77777777" w:rsidR="00BF282E" w:rsidRPr="006A39BB" w:rsidRDefault="00BF282E" w:rsidP="00EC435D">
      <w:pPr>
        <w:pBdr>
          <w:top w:val="nil"/>
          <w:left w:val="nil"/>
          <w:bottom w:val="nil"/>
          <w:right w:val="nil"/>
          <w:between w:val="nil"/>
          <w:bar w:val="nil"/>
        </w:pBdr>
        <w:spacing w:line="23" w:lineRule="atLeast"/>
        <w:rPr>
          <w:b/>
          <w:noProof/>
          <w:szCs w:val="24"/>
        </w:rPr>
      </w:pPr>
      <w:r w:rsidRPr="006A39BB">
        <w:rPr>
          <w:noProof/>
          <w:szCs w:val="24"/>
        </w:rPr>
        <w:t>This proposal goes no further than is necessary to address and remedy each of these issues in the most effective way, namely by: (1) creating an authorisation system that would apply to ESG rating providers operating in the EU, subjecting them to proportionate rules governing their operations and ongoing proportionate supervision, and (2) requiring ESG rating providers operating in the EU to publish key information about ESG rating characteristics and methodologies, and disclose granular methodological information to their subscribers and to rated entities.</w:t>
      </w:r>
    </w:p>
    <w:p w14:paraId="699F9E5F" w14:textId="77777777" w:rsidR="002F358C" w:rsidRPr="006A39BB" w:rsidRDefault="00582419" w:rsidP="00EC435D">
      <w:pPr>
        <w:pBdr>
          <w:top w:val="nil"/>
          <w:left w:val="nil"/>
          <w:bottom w:val="nil"/>
          <w:right w:val="nil"/>
          <w:between w:val="nil"/>
          <w:bar w:val="nil"/>
        </w:pBdr>
        <w:spacing w:line="23" w:lineRule="atLeast"/>
        <w:rPr>
          <w:rFonts w:eastAsia="Times New Roman"/>
          <w:noProof/>
          <w:szCs w:val="24"/>
        </w:rPr>
      </w:pPr>
      <w:r w:rsidRPr="006A39BB">
        <w:rPr>
          <w:noProof/>
          <w:szCs w:val="24"/>
        </w:rPr>
        <w:t xml:space="preserve">This proposal does not include </w:t>
      </w:r>
      <w:r w:rsidR="00AA6EE8" w:rsidRPr="006A39BB">
        <w:rPr>
          <w:noProof/>
          <w:szCs w:val="24"/>
        </w:rPr>
        <w:t>in-house ratings</w:t>
      </w:r>
      <w:r w:rsidRPr="006A39BB">
        <w:rPr>
          <w:noProof/>
          <w:szCs w:val="24"/>
        </w:rPr>
        <w:t xml:space="preserve"> developed by asset managers or </w:t>
      </w:r>
      <w:r w:rsidR="00AA6EE8" w:rsidRPr="006A39BB">
        <w:rPr>
          <w:noProof/>
          <w:szCs w:val="24"/>
        </w:rPr>
        <w:t xml:space="preserve">other </w:t>
      </w:r>
      <w:r w:rsidR="00311B21" w:rsidRPr="006A39BB">
        <w:rPr>
          <w:noProof/>
          <w:szCs w:val="24"/>
        </w:rPr>
        <w:t xml:space="preserve">institutions such as </w:t>
      </w:r>
      <w:r w:rsidRPr="006A39BB">
        <w:rPr>
          <w:noProof/>
          <w:szCs w:val="24"/>
        </w:rPr>
        <w:t>benchmark administrators, as they</w:t>
      </w:r>
      <w:r w:rsidR="00311B21" w:rsidRPr="006A39BB">
        <w:rPr>
          <w:noProof/>
          <w:szCs w:val="24"/>
        </w:rPr>
        <w:t xml:space="preserve"> are used for own decisions and investments and</w:t>
      </w:r>
      <w:r w:rsidRPr="006A39BB">
        <w:rPr>
          <w:noProof/>
          <w:szCs w:val="24"/>
        </w:rPr>
        <w:t xml:space="preserve"> </w:t>
      </w:r>
      <w:r w:rsidR="00311B21" w:rsidRPr="006A39BB">
        <w:rPr>
          <w:noProof/>
          <w:szCs w:val="24"/>
        </w:rPr>
        <w:t xml:space="preserve">do not serve the same purpose and </w:t>
      </w:r>
      <w:r w:rsidR="0072395F" w:rsidRPr="006A39BB">
        <w:rPr>
          <w:noProof/>
          <w:szCs w:val="24"/>
        </w:rPr>
        <w:t>are</w:t>
      </w:r>
      <w:r w:rsidR="00311B21" w:rsidRPr="006A39BB">
        <w:rPr>
          <w:noProof/>
          <w:szCs w:val="24"/>
        </w:rPr>
        <w:t xml:space="preserve"> not</w:t>
      </w:r>
      <w:r w:rsidRPr="006A39BB">
        <w:rPr>
          <w:noProof/>
          <w:szCs w:val="24"/>
        </w:rPr>
        <w:t xml:space="preserve"> </w:t>
      </w:r>
      <w:r w:rsidR="0072395F" w:rsidRPr="006A39BB">
        <w:rPr>
          <w:noProof/>
          <w:szCs w:val="24"/>
        </w:rPr>
        <w:t xml:space="preserve">subject of </w:t>
      </w:r>
      <w:r w:rsidRPr="006A39BB">
        <w:rPr>
          <w:noProof/>
          <w:szCs w:val="24"/>
        </w:rPr>
        <w:t>public disclosure or distribution by subscription or other means.</w:t>
      </w:r>
    </w:p>
    <w:p w14:paraId="2B8B9C0C" w14:textId="77777777" w:rsidR="002F358C" w:rsidRPr="006A39BB" w:rsidRDefault="002F358C" w:rsidP="00EC435D">
      <w:pPr>
        <w:pBdr>
          <w:top w:val="nil"/>
          <w:left w:val="nil"/>
          <w:bottom w:val="nil"/>
          <w:right w:val="nil"/>
          <w:between w:val="nil"/>
          <w:bar w:val="nil"/>
        </w:pBdr>
        <w:spacing w:line="23" w:lineRule="atLeast"/>
        <w:rPr>
          <w:noProof/>
          <w:szCs w:val="24"/>
          <w:highlight w:val="yellow"/>
        </w:rPr>
      </w:pPr>
      <w:r w:rsidRPr="006A39BB">
        <w:rPr>
          <w:noProof/>
          <w:szCs w:val="24"/>
        </w:rPr>
        <w:t xml:space="preserve">As a result, </w:t>
      </w:r>
      <w:r w:rsidR="00EA50E5" w:rsidRPr="006A39BB">
        <w:rPr>
          <w:noProof/>
          <w:szCs w:val="24"/>
        </w:rPr>
        <w:t>T</w:t>
      </w:r>
      <w:r w:rsidRPr="006A39BB">
        <w:rPr>
          <w:noProof/>
          <w:szCs w:val="24"/>
        </w:rPr>
        <w:t xml:space="preserve">his initiative will target </w:t>
      </w:r>
      <w:r w:rsidR="008A7837" w:rsidRPr="006A39BB">
        <w:rPr>
          <w:noProof/>
          <w:szCs w:val="24"/>
        </w:rPr>
        <w:t>legal persons</w:t>
      </w:r>
      <w:r w:rsidRPr="006A39BB">
        <w:rPr>
          <w:noProof/>
          <w:szCs w:val="24"/>
        </w:rPr>
        <w:t xml:space="preserve"> providing ESG ratings to the public or to subscribers</w:t>
      </w:r>
      <w:r w:rsidR="00CA7E36" w:rsidRPr="006A39BB">
        <w:rPr>
          <w:noProof/>
          <w:szCs w:val="24"/>
        </w:rPr>
        <w:t>. It</w:t>
      </w:r>
      <w:r w:rsidRPr="006A39BB">
        <w:rPr>
          <w:noProof/>
          <w:szCs w:val="24"/>
        </w:rPr>
        <w:t xml:space="preserve"> will not cover financial institutions or other market participants developing ESG ratings for their own purposes</w:t>
      </w:r>
      <w:r w:rsidR="00DB2B1C" w:rsidRPr="006A39BB">
        <w:rPr>
          <w:noProof/>
          <w:szCs w:val="24"/>
        </w:rPr>
        <w:t xml:space="preserve"> or own use</w:t>
      </w:r>
      <w:r w:rsidRPr="006A39BB">
        <w:rPr>
          <w:noProof/>
          <w:szCs w:val="24"/>
        </w:rPr>
        <w:t>.</w:t>
      </w:r>
    </w:p>
    <w:p w14:paraId="25EE43AA"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Choice of the instrument</w:t>
      </w:r>
    </w:p>
    <w:p w14:paraId="40A6994A" w14:textId="77777777" w:rsidR="0094735B" w:rsidRPr="006A39BB" w:rsidRDefault="0094735B" w:rsidP="00EC435D">
      <w:pPr>
        <w:spacing w:line="23" w:lineRule="atLeast"/>
        <w:rPr>
          <w:rFonts w:eastAsia="Arial Unicode MS"/>
          <w:noProof/>
          <w:szCs w:val="24"/>
        </w:rPr>
      </w:pPr>
      <w:r w:rsidRPr="006A39BB">
        <w:rPr>
          <w:noProof/>
          <w:szCs w:val="24"/>
        </w:rPr>
        <w:t>This proposal aims to put in place a system that would improve clarity as to the characteristics of ESG ratings. To that effect, it sets rules for ESG rating providers operating in the EU. The proposal seeks to make it easier to better exploit the potential of the European single market and to contribute to the transition towards a fully sustainable and inclusive economic and financial system in line with the European Green Deal and UN Sustainable Development Goals. A regulation is necessary to achieve these policy objectives and is the best way to improve clarity as to operations by entities that are increasingly important for channelling finance.</w:t>
      </w:r>
    </w:p>
    <w:p w14:paraId="52537F21" w14:textId="77777777" w:rsidR="0094735B" w:rsidRPr="006A39BB" w:rsidRDefault="0094735B" w:rsidP="00EC435D">
      <w:pPr>
        <w:spacing w:line="23" w:lineRule="atLeast"/>
        <w:rPr>
          <w:rFonts w:eastAsia="Arial Unicode MS"/>
          <w:noProof/>
          <w:color w:val="0000FF"/>
          <w:szCs w:val="24"/>
        </w:rPr>
      </w:pPr>
      <w:r w:rsidRPr="006A39BB">
        <w:rPr>
          <w:noProof/>
          <w:szCs w:val="24"/>
        </w:rPr>
        <w:t>A regulatory framework would be aligned with the approach taken for other financial market participants and relevant legislation, e.g. the EU Benchmark Regulation, Credit Rating Agencies Regulation and EU Green Bond Standard proposal that provide for ongoing supervision and lay down a number of organisational requirements and requirements concerning governance processes and documents. Other tools such as soft law measures and codes of conduct would only partially achieve the objectives of this initiative, since there would be no incentive to produce a sufficiently rigorous code of conduct. Existing market pressures would determine the rigour and comprehensiveness of a code, and those pressures have proven insufficient to address the problems. Moreover, a code of conduct would be voluntary. Some providers might choose not to adopt it, or multiple industry codes might arise. Both cases would undermine any prospect of greater clarity across the market for users or rated entities.</w:t>
      </w:r>
    </w:p>
    <w:p w14:paraId="6840E742" w14:textId="77777777" w:rsidR="00587167" w:rsidRPr="006A39BB" w:rsidRDefault="00587167" w:rsidP="00EC435D">
      <w:pPr>
        <w:pStyle w:val="ManualHeading1"/>
        <w:spacing w:before="120" w:line="23" w:lineRule="atLeast"/>
        <w:rPr>
          <w:noProof/>
          <w:szCs w:val="24"/>
        </w:rPr>
      </w:pPr>
      <w:r w:rsidRPr="006A39BB">
        <w:rPr>
          <w:noProof/>
          <w:szCs w:val="24"/>
        </w:rPr>
        <w:t>3.</w:t>
      </w:r>
      <w:r w:rsidRPr="006A39BB">
        <w:rPr>
          <w:noProof/>
          <w:szCs w:val="24"/>
        </w:rPr>
        <w:tab/>
        <w:t xml:space="preserve">RESULTS OF </w:t>
      </w:r>
      <w:r w:rsidRPr="006A39BB">
        <w:rPr>
          <w:i/>
          <w:iCs/>
          <w:noProof/>
          <w:szCs w:val="24"/>
        </w:rPr>
        <w:t>EX-POST</w:t>
      </w:r>
      <w:r w:rsidRPr="006A39BB">
        <w:rPr>
          <w:noProof/>
          <w:szCs w:val="24"/>
        </w:rPr>
        <w:t xml:space="preserve"> EVALUATIONS, STAKEHOLDER CONSULTATIONS AND IMPACT ASSESSMENTS</w:t>
      </w:r>
    </w:p>
    <w:p w14:paraId="1CF4B9C0"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r>
      <w:r w:rsidRPr="006A39BB">
        <w:rPr>
          <w:rFonts w:eastAsia="Arial Unicode MS"/>
          <w:i/>
          <w:iCs/>
          <w:noProof/>
          <w:szCs w:val="24"/>
          <w:u w:color="000000"/>
          <w:bdr w:val="nil"/>
          <w:lang w:eastAsia="en-GB"/>
        </w:rPr>
        <w:t>Ex-post</w:t>
      </w:r>
      <w:r w:rsidRPr="006A39BB">
        <w:rPr>
          <w:rFonts w:eastAsia="Arial Unicode MS"/>
          <w:noProof/>
          <w:szCs w:val="24"/>
          <w:u w:color="000000"/>
          <w:bdr w:val="nil"/>
          <w:lang w:eastAsia="en-GB"/>
        </w:rPr>
        <w:t xml:space="preserve"> evaluations/fitness checks of existing legislation</w:t>
      </w:r>
    </w:p>
    <w:p w14:paraId="7386CE5E" w14:textId="77777777" w:rsidR="00587167" w:rsidRPr="006A39BB" w:rsidRDefault="00C56A30" w:rsidP="00EC435D">
      <w:pPr>
        <w:pBdr>
          <w:top w:val="nil"/>
          <w:left w:val="nil"/>
          <w:bottom w:val="nil"/>
          <w:right w:val="nil"/>
          <w:between w:val="nil"/>
          <w:bar w:val="nil"/>
        </w:pBdr>
        <w:spacing w:line="23" w:lineRule="atLeast"/>
        <w:rPr>
          <w:rFonts w:eastAsia="Arial Unicode MS"/>
          <w:noProof/>
          <w:szCs w:val="24"/>
        </w:rPr>
      </w:pPr>
      <w:r w:rsidRPr="006A39BB">
        <w:rPr>
          <w:noProof/>
          <w:szCs w:val="24"/>
        </w:rPr>
        <w:t>Not applicable.</w:t>
      </w:r>
    </w:p>
    <w:p w14:paraId="15A7E144" w14:textId="77777777" w:rsidR="00DF1E2F" w:rsidRPr="006A39BB" w:rsidRDefault="00DF1E2F" w:rsidP="00EC435D">
      <w:pPr>
        <w:pBdr>
          <w:top w:val="nil"/>
          <w:left w:val="nil"/>
          <w:bottom w:val="nil"/>
          <w:right w:val="nil"/>
          <w:between w:val="nil"/>
          <w:bar w:val="nil"/>
        </w:pBdr>
        <w:spacing w:line="23" w:lineRule="atLeast"/>
        <w:rPr>
          <w:rFonts w:eastAsia="Arial Unicode MS"/>
          <w:noProof/>
          <w:szCs w:val="24"/>
        </w:rPr>
      </w:pPr>
      <w:r w:rsidRPr="006A39BB">
        <w:rPr>
          <w:noProof/>
          <w:szCs w:val="24"/>
        </w:rPr>
        <w:t>There is currently no EU-level legal regime for ESG ratings.</w:t>
      </w:r>
    </w:p>
    <w:p w14:paraId="64799D95"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Stakeholder consultations</w:t>
      </w:r>
    </w:p>
    <w:p w14:paraId="289F3998" w14:textId="77777777" w:rsidR="006741EE" w:rsidRPr="006A39BB" w:rsidRDefault="006741EE" w:rsidP="00EC435D">
      <w:pPr>
        <w:spacing w:line="23" w:lineRule="atLeast"/>
        <w:rPr>
          <w:rFonts w:eastAsia="Times New Roman"/>
          <w:noProof/>
          <w:szCs w:val="24"/>
        </w:rPr>
      </w:pPr>
      <w:r w:rsidRPr="006A39BB">
        <w:rPr>
          <w:rFonts w:eastAsia="Times New Roman"/>
          <w:noProof/>
          <w:szCs w:val="24"/>
        </w:rPr>
        <w:t>The Commission has gathered a significant amount of evidence from different sources, including a study commissioned by the European Commission’s Directorate-General for Financial Stability, Financial Services and Capital Markets Union (DG FISMA), a Commission consultation and outreach activities and exchanges with stakeholders. The European Securities and Markets Authority (ESMA) also supported the Commission’s work via a call for evidence published in 2022 and provided a mapping of ESG rating providers operating in the EU. The Commission also analysed existing international recommendations and codes for ESG rating providers, in particular the recommendations from the International Organization of Securities Commissions (IOSCO). A total of 168 organisations and private individuals responded to the targeted consultation supporting this initiative, mainly investors, ESG rating providers and listed companies.</w:t>
      </w:r>
    </w:p>
    <w:p w14:paraId="7F71353C" w14:textId="77777777" w:rsidR="006741EE" w:rsidRPr="006A39BB" w:rsidRDefault="006741EE"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Collection and use of expertise</w:t>
      </w:r>
    </w:p>
    <w:p w14:paraId="351447C4" w14:textId="77777777" w:rsidR="006741EE" w:rsidRPr="006A39BB" w:rsidRDefault="006741EE" w:rsidP="00EC435D">
      <w:pPr>
        <w:pBdr>
          <w:top w:val="nil"/>
          <w:left w:val="nil"/>
          <w:bottom w:val="nil"/>
          <w:right w:val="nil"/>
          <w:between w:val="nil"/>
          <w:bar w:val="nil"/>
        </w:pBdr>
        <w:spacing w:line="23" w:lineRule="atLeast"/>
        <w:rPr>
          <w:rFonts w:eastAsia="Times New Roman"/>
          <w:noProof/>
          <w:szCs w:val="24"/>
        </w:rPr>
      </w:pPr>
      <w:r w:rsidRPr="006A39BB">
        <w:rPr>
          <w:rFonts w:eastAsia="Times New Roman"/>
          <w:noProof/>
          <w:szCs w:val="24"/>
        </w:rPr>
        <w:t>To better understand the problems which the market faces in practice, and following the targeted consultation, the Commission has undertaken a major review of academic literature</w:t>
      </w:r>
      <w:r w:rsidRPr="006A39BB">
        <w:rPr>
          <w:rStyle w:val="FootnoteReference"/>
          <w:rFonts w:eastAsia="Times New Roman"/>
          <w:noProof/>
          <w:szCs w:val="24"/>
        </w:rPr>
        <w:footnoteReference w:id="11"/>
      </w:r>
      <w:r w:rsidRPr="006A39BB">
        <w:rPr>
          <w:rFonts w:eastAsia="Times New Roman"/>
          <w:noProof/>
          <w:szCs w:val="24"/>
        </w:rPr>
        <w:t>, market analysis and outreach activities with a large number of key stakeholders in the ESG ratings market.</w:t>
      </w:r>
    </w:p>
    <w:p w14:paraId="6612058A" w14:textId="77777777" w:rsidR="006741EE" w:rsidRPr="006A39BB" w:rsidRDefault="006741EE" w:rsidP="00EC435D">
      <w:pPr>
        <w:pBdr>
          <w:top w:val="nil"/>
          <w:left w:val="nil"/>
          <w:bottom w:val="nil"/>
          <w:right w:val="nil"/>
          <w:between w:val="nil"/>
          <w:bar w:val="nil"/>
        </w:pBdr>
        <w:spacing w:line="23" w:lineRule="atLeast"/>
        <w:rPr>
          <w:rFonts w:eastAsia="Arial Unicode MS"/>
          <w:noProof/>
          <w:szCs w:val="24"/>
        </w:rPr>
      </w:pPr>
      <w:r w:rsidRPr="006A39BB">
        <w:rPr>
          <w:noProof/>
          <w:szCs w:val="24"/>
        </w:rPr>
        <w:t>Between April and October 2022, the Commission held bilateral meetings with various stakeholders, including 14 different ESG rating providers, users, and associations representing, among others, rating users, academics, non-governmental organisations, public bodies and supervisory authorities.</w:t>
      </w:r>
    </w:p>
    <w:p w14:paraId="5C6B6914" w14:textId="77777777" w:rsidR="007C5924" w:rsidRPr="006A39BB" w:rsidRDefault="006741EE" w:rsidP="00EC435D">
      <w:pPr>
        <w:pBdr>
          <w:top w:val="nil"/>
          <w:left w:val="nil"/>
          <w:bottom w:val="nil"/>
          <w:right w:val="nil"/>
          <w:between w:val="nil"/>
          <w:bar w:val="nil"/>
        </w:pBdr>
        <w:spacing w:line="23" w:lineRule="atLeast"/>
        <w:rPr>
          <w:noProof/>
          <w:szCs w:val="24"/>
        </w:rPr>
      </w:pPr>
      <w:r w:rsidRPr="006A39BB">
        <w:rPr>
          <w:noProof/>
          <w:szCs w:val="24"/>
        </w:rPr>
        <w:t>The Commission also held regular calls with ESMA for its opinion and advice, including on a potential authorisation and supervision regime for ESG rating providers at EU level.</w:t>
      </w:r>
      <w:r w:rsidR="007C5924" w:rsidRPr="006A39BB">
        <w:rPr>
          <w:noProof/>
          <w:szCs w:val="24"/>
        </w:rPr>
        <w:t xml:space="preserve"> </w:t>
      </w:r>
    </w:p>
    <w:p w14:paraId="1FAB1E53"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Impact assessment</w:t>
      </w:r>
    </w:p>
    <w:p w14:paraId="02B72BE0" w14:textId="77777777" w:rsidR="00312D98" w:rsidRPr="006A39BB" w:rsidRDefault="00312D98" w:rsidP="00EC435D">
      <w:pPr>
        <w:pBdr>
          <w:top w:val="nil"/>
          <w:left w:val="nil"/>
          <w:bottom w:val="nil"/>
          <w:right w:val="nil"/>
          <w:between w:val="nil"/>
          <w:bar w:val="nil"/>
        </w:pBdr>
        <w:spacing w:line="23" w:lineRule="atLeast"/>
        <w:rPr>
          <w:noProof/>
          <w:szCs w:val="24"/>
        </w:rPr>
      </w:pPr>
      <w:r w:rsidRPr="006A39BB">
        <w:rPr>
          <w:noProof/>
          <w:szCs w:val="24"/>
        </w:rPr>
        <w:t>This proposal is accompanied by an impact assessment</w:t>
      </w:r>
      <w:r w:rsidRPr="006A39BB">
        <w:rPr>
          <w:rStyle w:val="FootnoteReference"/>
          <w:noProof/>
          <w:szCs w:val="24"/>
        </w:rPr>
        <w:footnoteReference w:id="12"/>
      </w:r>
      <w:r w:rsidRPr="006A39BB">
        <w:rPr>
          <w:noProof/>
          <w:szCs w:val="24"/>
        </w:rPr>
        <w:t xml:space="preserve">, which was submitted to the Regulatory Scrutiny Board (RSB) on </w:t>
      </w:r>
      <w:r w:rsidR="0003582E" w:rsidRPr="006A39BB">
        <w:rPr>
          <w:noProof/>
          <w:szCs w:val="24"/>
        </w:rPr>
        <w:t>16</w:t>
      </w:r>
      <w:r w:rsidRPr="006A39BB">
        <w:rPr>
          <w:noProof/>
          <w:szCs w:val="24"/>
        </w:rPr>
        <w:t xml:space="preserve"> </w:t>
      </w:r>
      <w:r w:rsidR="0003582E" w:rsidRPr="006A39BB">
        <w:rPr>
          <w:noProof/>
          <w:szCs w:val="24"/>
        </w:rPr>
        <w:t>November</w:t>
      </w:r>
      <w:r w:rsidRPr="006A39BB">
        <w:rPr>
          <w:noProof/>
          <w:szCs w:val="24"/>
        </w:rPr>
        <w:t xml:space="preserve"> 2022 and, </w:t>
      </w:r>
      <w:r w:rsidR="00CB35A0" w:rsidRPr="006A39BB">
        <w:rPr>
          <w:noProof/>
          <w:szCs w:val="24"/>
        </w:rPr>
        <w:t>received a positive opinion with reservations on 16 December</w:t>
      </w:r>
      <w:r w:rsidRPr="006A39BB">
        <w:rPr>
          <w:noProof/>
          <w:szCs w:val="24"/>
        </w:rPr>
        <w:t xml:space="preserve">. </w:t>
      </w:r>
    </w:p>
    <w:p w14:paraId="481ADC0F" w14:textId="77777777" w:rsidR="00312D98" w:rsidRPr="006A39BB" w:rsidRDefault="00312D98" w:rsidP="00EC435D">
      <w:pPr>
        <w:pBdr>
          <w:top w:val="nil"/>
          <w:left w:val="nil"/>
          <w:bottom w:val="nil"/>
          <w:right w:val="nil"/>
          <w:between w:val="nil"/>
          <w:bar w:val="nil"/>
        </w:pBdr>
        <w:spacing w:line="23" w:lineRule="atLeast"/>
        <w:rPr>
          <w:noProof/>
          <w:szCs w:val="24"/>
        </w:rPr>
      </w:pPr>
      <w:r w:rsidRPr="006A39BB">
        <w:rPr>
          <w:noProof/>
          <w:szCs w:val="24"/>
        </w:rPr>
        <w:t xml:space="preserve">The impact assessment </w:t>
      </w:r>
      <w:r w:rsidR="00A8705F" w:rsidRPr="006A39BB">
        <w:rPr>
          <w:noProof/>
          <w:szCs w:val="24"/>
        </w:rPr>
        <w:t xml:space="preserve">concludes </w:t>
      </w:r>
      <w:r w:rsidRPr="006A39BB">
        <w:rPr>
          <w:noProof/>
          <w:szCs w:val="24"/>
        </w:rPr>
        <w:t>that the key problem</w:t>
      </w:r>
      <w:r w:rsidR="0003582E" w:rsidRPr="006A39BB">
        <w:rPr>
          <w:noProof/>
          <w:szCs w:val="24"/>
        </w:rPr>
        <w:t xml:space="preserve"> is two-fold:</w:t>
      </w:r>
      <w:r w:rsidRPr="006A39BB">
        <w:rPr>
          <w:noProof/>
          <w:szCs w:val="24"/>
        </w:rPr>
        <w:t xml:space="preserve"> </w:t>
      </w:r>
      <w:r w:rsidR="0003582E" w:rsidRPr="006A39BB">
        <w:rPr>
          <w:noProof/>
          <w:szCs w:val="24"/>
        </w:rPr>
        <w:t xml:space="preserve">while investors and </w:t>
      </w:r>
      <w:r w:rsidR="2CA5F681" w:rsidRPr="006A39BB">
        <w:rPr>
          <w:noProof/>
          <w:szCs w:val="24"/>
        </w:rPr>
        <w:t>undertakings</w:t>
      </w:r>
      <w:r w:rsidR="0003582E" w:rsidRPr="006A39BB">
        <w:rPr>
          <w:noProof/>
          <w:szCs w:val="24"/>
        </w:rPr>
        <w:t xml:space="preserve"> observe issues with the reliability, accuracy and timeliness of ESG ratings, rated </w:t>
      </w:r>
      <w:r w:rsidR="00AC13FA" w:rsidRPr="006A39BB">
        <w:rPr>
          <w:noProof/>
          <w:szCs w:val="24"/>
        </w:rPr>
        <w:t>entities</w:t>
      </w:r>
      <w:r w:rsidR="0003582E" w:rsidRPr="006A39BB">
        <w:rPr>
          <w:noProof/>
          <w:szCs w:val="24"/>
        </w:rPr>
        <w:t xml:space="preserve"> are unsure </w:t>
      </w:r>
      <w:r w:rsidR="00722DC8" w:rsidRPr="006A39BB">
        <w:rPr>
          <w:noProof/>
          <w:szCs w:val="24"/>
        </w:rPr>
        <w:t xml:space="preserve">which categories/criteria are used to assess them and </w:t>
      </w:r>
      <w:r w:rsidR="0003582E" w:rsidRPr="006A39BB">
        <w:rPr>
          <w:noProof/>
          <w:szCs w:val="24"/>
        </w:rPr>
        <w:t>how accurately ESG ratings reflect their actual performance and how to improve it</w:t>
      </w:r>
      <w:r w:rsidRPr="006A39BB">
        <w:rPr>
          <w:noProof/>
          <w:szCs w:val="24"/>
        </w:rPr>
        <w:t xml:space="preserve">. </w:t>
      </w:r>
    </w:p>
    <w:p w14:paraId="49790152" w14:textId="77777777" w:rsidR="0003582E" w:rsidRPr="006A39BB" w:rsidRDefault="0003582E" w:rsidP="00EC435D">
      <w:pPr>
        <w:spacing w:line="23" w:lineRule="atLeast"/>
        <w:rPr>
          <w:noProof/>
          <w:szCs w:val="24"/>
        </w:rPr>
      </w:pPr>
      <w:r w:rsidRPr="006A39BB">
        <w:rPr>
          <w:noProof/>
          <w:szCs w:val="24"/>
        </w:rPr>
        <w:t xml:space="preserve">There are several consequences of this problem. The </w:t>
      </w:r>
      <w:r w:rsidRPr="006A39BB">
        <w:rPr>
          <w:b/>
          <w:noProof/>
          <w:szCs w:val="24"/>
        </w:rPr>
        <w:t>consequences from a user</w:t>
      </w:r>
      <w:r w:rsidR="004B02B8" w:rsidRPr="006A39BB">
        <w:rPr>
          <w:b/>
          <w:noProof/>
          <w:szCs w:val="24"/>
        </w:rPr>
        <w:t>’s</w:t>
      </w:r>
      <w:r w:rsidRPr="006A39BB">
        <w:rPr>
          <w:b/>
          <w:noProof/>
          <w:szCs w:val="24"/>
        </w:rPr>
        <w:t xml:space="preserve"> perspective</w:t>
      </w:r>
      <w:r w:rsidRPr="006A39BB">
        <w:rPr>
          <w:noProof/>
          <w:szCs w:val="24"/>
        </w:rPr>
        <w:t xml:space="preserve"> are:</w:t>
      </w:r>
    </w:p>
    <w:p w14:paraId="42347769" w14:textId="739BC6D8" w:rsidR="0003582E" w:rsidRPr="006A39BB" w:rsidRDefault="002A7F8C" w:rsidP="002A7F8C">
      <w:pPr>
        <w:pStyle w:val="Point0"/>
        <w:rPr>
          <w:noProof/>
        </w:rPr>
      </w:pPr>
      <w:r w:rsidRPr="002A7F8C">
        <w:rPr>
          <w:noProof/>
        </w:rPr>
        <w:t>(1)</w:t>
      </w:r>
      <w:r w:rsidRPr="002A7F8C">
        <w:rPr>
          <w:noProof/>
        </w:rPr>
        <w:tab/>
      </w:r>
      <w:r w:rsidR="0003582E" w:rsidRPr="006A39BB">
        <w:rPr>
          <w:noProof/>
        </w:rPr>
        <w:t>Investors are unable to take sufficient account of sustainability-related and other non-financial risks and opportunities in their investment decisions,</w:t>
      </w:r>
    </w:p>
    <w:p w14:paraId="71D5E211" w14:textId="7C20063A" w:rsidR="0003582E" w:rsidRPr="006A39BB" w:rsidRDefault="002A7F8C" w:rsidP="002A7F8C">
      <w:pPr>
        <w:pStyle w:val="Point0"/>
        <w:rPr>
          <w:noProof/>
        </w:rPr>
      </w:pPr>
      <w:r w:rsidRPr="002A7F8C">
        <w:rPr>
          <w:noProof/>
        </w:rPr>
        <w:t>(2)</w:t>
      </w:r>
      <w:r w:rsidRPr="002A7F8C">
        <w:rPr>
          <w:noProof/>
        </w:rPr>
        <w:tab/>
      </w:r>
      <w:r w:rsidR="0003582E" w:rsidRPr="006A39BB">
        <w:rPr>
          <w:noProof/>
        </w:rPr>
        <w:t xml:space="preserve">Investors are also less able to channel financial resources to </w:t>
      </w:r>
      <w:r w:rsidR="2CA5F681" w:rsidRPr="006A39BB">
        <w:rPr>
          <w:noProof/>
        </w:rPr>
        <w:t>undertakings</w:t>
      </w:r>
      <w:r w:rsidR="0003582E" w:rsidRPr="006A39BB">
        <w:rPr>
          <w:noProof/>
        </w:rPr>
        <w:t xml:space="preserve"> and economic activities that address and do not exacerbate social and environmental problems,</w:t>
      </w:r>
    </w:p>
    <w:p w14:paraId="354E87BC" w14:textId="28971283" w:rsidR="0003582E" w:rsidRPr="006A39BB" w:rsidRDefault="002A7F8C" w:rsidP="002A7F8C">
      <w:pPr>
        <w:pStyle w:val="Point0"/>
        <w:rPr>
          <w:noProof/>
        </w:rPr>
      </w:pPr>
      <w:r w:rsidRPr="002A7F8C">
        <w:rPr>
          <w:noProof/>
        </w:rPr>
        <w:t>(3)</w:t>
      </w:r>
      <w:r w:rsidRPr="002A7F8C">
        <w:rPr>
          <w:noProof/>
        </w:rPr>
        <w:tab/>
      </w:r>
      <w:r w:rsidR="0003582E" w:rsidRPr="006A39BB">
        <w:rPr>
          <w:noProof/>
        </w:rPr>
        <w:t>Benchmark administrators construct benchmarks based on ESG ratings where they do not have fully clarity over how they were computed,</w:t>
      </w:r>
    </w:p>
    <w:p w14:paraId="20B9FDF5" w14:textId="5AE73492" w:rsidR="0003582E" w:rsidRPr="006A39BB" w:rsidRDefault="002A7F8C" w:rsidP="002A7F8C">
      <w:pPr>
        <w:pStyle w:val="Point0"/>
        <w:rPr>
          <w:noProof/>
        </w:rPr>
      </w:pPr>
      <w:r w:rsidRPr="002A7F8C">
        <w:rPr>
          <w:noProof/>
        </w:rPr>
        <w:t>(4)</w:t>
      </w:r>
      <w:r w:rsidRPr="002A7F8C">
        <w:rPr>
          <w:noProof/>
        </w:rPr>
        <w:tab/>
      </w:r>
      <w:r w:rsidR="2CA5F681" w:rsidRPr="006A39BB">
        <w:rPr>
          <w:noProof/>
        </w:rPr>
        <w:t>Undertakings</w:t>
      </w:r>
      <w:r w:rsidR="0003582E" w:rsidRPr="006A39BB">
        <w:rPr>
          <w:noProof/>
        </w:rPr>
        <w:t xml:space="preserve"> cannot consider all potential risks and opportunities from their activities and channel investments accordingly.</w:t>
      </w:r>
    </w:p>
    <w:p w14:paraId="1A505E7F" w14:textId="77777777" w:rsidR="0003582E" w:rsidRPr="006A39BB" w:rsidRDefault="0003582E" w:rsidP="00EC435D">
      <w:pPr>
        <w:spacing w:line="23" w:lineRule="atLeast"/>
        <w:rPr>
          <w:noProof/>
          <w:szCs w:val="24"/>
        </w:rPr>
      </w:pPr>
      <w:r w:rsidRPr="006A39BB">
        <w:rPr>
          <w:noProof/>
          <w:szCs w:val="24"/>
        </w:rPr>
        <w:t xml:space="preserve">The </w:t>
      </w:r>
      <w:r w:rsidRPr="006A39BB">
        <w:rPr>
          <w:b/>
          <w:noProof/>
          <w:szCs w:val="24"/>
        </w:rPr>
        <w:t>specific consequence from a rated entity perspective</w:t>
      </w:r>
      <w:r w:rsidRPr="006A39BB">
        <w:rPr>
          <w:noProof/>
          <w:szCs w:val="24"/>
        </w:rPr>
        <w:t xml:space="preserve"> is that they may receive an ESG rating in relation to elements that are outdated or incorrect, which can impact the terms of their access to finance.</w:t>
      </w:r>
    </w:p>
    <w:p w14:paraId="1845F459" w14:textId="77777777" w:rsidR="0003582E" w:rsidRPr="006A39BB" w:rsidRDefault="0003582E" w:rsidP="00EC435D">
      <w:pPr>
        <w:spacing w:line="23" w:lineRule="atLeast"/>
        <w:rPr>
          <w:noProof/>
          <w:szCs w:val="24"/>
        </w:rPr>
      </w:pPr>
      <w:r w:rsidRPr="006A39BB">
        <w:rPr>
          <w:noProof/>
          <w:szCs w:val="24"/>
        </w:rPr>
        <w:t xml:space="preserve">The </w:t>
      </w:r>
      <w:r w:rsidRPr="006A39BB">
        <w:rPr>
          <w:b/>
          <w:bCs/>
          <w:noProof/>
          <w:szCs w:val="24"/>
        </w:rPr>
        <w:t xml:space="preserve">specific consequence from other stakeholders’ perspective </w:t>
      </w:r>
      <w:r w:rsidRPr="006A39BB">
        <w:rPr>
          <w:noProof/>
          <w:szCs w:val="24"/>
        </w:rPr>
        <w:t>is that</w:t>
      </w:r>
      <w:r w:rsidRPr="006A39BB">
        <w:rPr>
          <w:b/>
          <w:bCs/>
          <w:noProof/>
          <w:szCs w:val="24"/>
        </w:rPr>
        <w:t xml:space="preserve"> </w:t>
      </w:r>
      <w:r w:rsidRPr="006A39BB">
        <w:rPr>
          <w:noProof/>
          <w:szCs w:val="24"/>
        </w:rPr>
        <w:t xml:space="preserve">non-governmental organisations, trade unions and other stakeholders are less able to hold </w:t>
      </w:r>
      <w:r w:rsidR="2CA5F681" w:rsidRPr="006A39BB">
        <w:rPr>
          <w:noProof/>
          <w:szCs w:val="24"/>
        </w:rPr>
        <w:t>undertakings</w:t>
      </w:r>
      <w:r w:rsidRPr="006A39BB">
        <w:rPr>
          <w:noProof/>
          <w:szCs w:val="24"/>
        </w:rPr>
        <w:t xml:space="preserve"> accountable for their impacts on society and the environment.</w:t>
      </w:r>
    </w:p>
    <w:p w14:paraId="4EBBB560" w14:textId="77777777" w:rsidR="0003582E" w:rsidRPr="006A39BB" w:rsidRDefault="0003582E" w:rsidP="00EC435D">
      <w:pPr>
        <w:spacing w:line="23" w:lineRule="atLeast"/>
        <w:rPr>
          <w:noProof/>
          <w:szCs w:val="24"/>
        </w:rPr>
      </w:pPr>
      <w:r w:rsidRPr="006A39BB">
        <w:rPr>
          <w:noProof/>
          <w:szCs w:val="24"/>
        </w:rPr>
        <w:t xml:space="preserve">The problems have </w:t>
      </w:r>
      <w:r w:rsidRPr="006A39BB">
        <w:rPr>
          <w:b/>
          <w:bCs/>
          <w:noProof/>
          <w:szCs w:val="24"/>
        </w:rPr>
        <w:t>negative consequences for the functioning of the EU sustainable finance market</w:t>
      </w:r>
      <w:r w:rsidRPr="006A39BB">
        <w:rPr>
          <w:noProof/>
          <w:szCs w:val="24"/>
        </w:rPr>
        <w:t xml:space="preserve">, leaving a gap in the EU sustainable finance framework that was established to provide more transparency and the tools for private capital to flow to sustainable investments that are urgently needed for the transition. The </w:t>
      </w:r>
      <w:r w:rsidRPr="006A39BB">
        <w:rPr>
          <w:b/>
          <w:noProof/>
          <w:szCs w:val="24"/>
        </w:rPr>
        <w:t>wider consequences are</w:t>
      </w:r>
      <w:r w:rsidRPr="006A39BB">
        <w:rPr>
          <w:noProof/>
          <w:szCs w:val="24"/>
        </w:rPr>
        <w:t xml:space="preserve"> that the potential of the European Single Market to contribute to the objectives of </w:t>
      </w:r>
      <w:r w:rsidR="004B02B8" w:rsidRPr="006A39BB">
        <w:rPr>
          <w:noProof/>
          <w:szCs w:val="24"/>
        </w:rPr>
        <w:t xml:space="preserve">the </w:t>
      </w:r>
      <w:r w:rsidRPr="006A39BB">
        <w:rPr>
          <w:noProof/>
          <w:szCs w:val="24"/>
        </w:rPr>
        <w:t xml:space="preserve">European Green Deal, and to the achievement of the UN Sustainable Development Goals, is not fully utilised. </w:t>
      </w:r>
    </w:p>
    <w:p w14:paraId="122A02D0" w14:textId="77777777" w:rsidR="0003582E" w:rsidRPr="006A39BB" w:rsidRDefault="00E95A2F" w:rsidP="00EC435D">
      <w:pPr>
        <w:pBdr>
          <w:top w:val="nil"/>
          <w:left w:val="nil"/>
          <w:bottom w:val="nil"/>
          <w:right w:val="nil"/>
          <w:between w:val="nil"/>
          <w:bar w:val="nil"/>
        </w:pBdr>
        <w:spacing w:line="23" w:lineRule="atLeast"/>
        <w:rPr>
          <w:noProof/>
          <w:szCs w:val="24"/>
        </w:rPr>
      </w:pPr>
      <w:r w:rsidRPr="006A39BB">
        <w:rPr>
          <w:noProof/>
          <w:szCs w:val="24"/>
        </w:rPr>
        <w:t xml:space="preserve">Two complementary </w:t>
      </w:r>
      <w:r w:rsidR="0003582E" w:rsidRPr="006A39BB">
        <w:rPr>
          <w:noProof/>
          <w:szCs w:val="24"/>
        </w:rPr>
        <w:t>problem drivers were identified:</w:t>
      </w:r>
    </w:p>
    <w:p w14:paraId="70BA9E5B" w14:textId="3524ABFF" w:rsidR="00C62E7C" w:rsidRPr="006A39BB" w:rsidRDefault="002A7F8C" w:rsidP="002A7F8C">
      <w:pPr>
        <w:pStyle w:val="Point0"/>
        <w:rPr>
          <w:noProof/>
        </w:rPr>
      </w:pPr>
      <w:r w:rsidRPr="002A7F8C">
        <w:rPr>
          <w:noProof/>
        </w:rPr>
        <w:t>(1)</w:t>
      </w:r>
      <w:r w:rsidRPr="002A7F8C">
        <w:rPr>
          <w:noProof/>
        </w:rPr>
        <w:tab/>
      </w:r>
      <w:r w:rsidR="00C62E7C" w:rsidRPr="006A39BB">
        <w:rPr>
          <w:noProof/>
        </w:rPr>
        <w:t>Lack of clarity about and control of operations of ESG rating providers.</w:t>
      </w:r>
    </w:p>
    <w:p w14:paraId="4259FD1F" w14:textId="06603D84" w:rsidR="00E95A2F" w:rsidRPr="006A39BB" w:rsidRDefault="002A7F8C" w:rsidP="002A7F8C">
      <w:pPr>
        <w:pStyle w:val="Point0"/>
        <w:rPr>
          <w:noProof/>
        </w:rPr>
      </w:pPr>
      <w:r w:rsidRPr="002A7F8C">
        <w:rPr>
          <w:noProof/>
        </w:rPr>
        <w:t>(2)</w:t>
      </w:r>
      <w:r w:rsidRPr="002A7F8C">
        <w:rPr>
          <w:noProof/>
        </w:rPr>
        <w:tab/>
      </w:r>
      <w:r w:rsidR="00E95A2F" w:rsidRPr="006A39BB">
        <w:rPr>
          <w:noProof/>
        </w:rPr>
        <w:t>Lack of clarity on the charateristics of ESG ratings, their methodologies and their data sources (this includes how they are created and disclosure/transparency on these), and</w:t>
      </w:r>
    </w:p>
    <w:p w14:paraId="1150760A" w14:textId="77777777" w:rsidR="008E1A66" w:rsidRPr="006A39BB" w:rsidRDefault="008E1A66" w:rsidP="00EC435D">
      <w:pPr>
        <w:pBdr>
          <w:top w:val="nil"/>
          <w:left w:val="nil"/>
          <w:bottom w:val="nil"/>
          <w:right w:val="nil"/>
          <w:between w:val="nil"/>
          <w:bar w:val="nil"/>
        </w:pBdr>
        <w:spacing w:line="23" w:lineRule="atLeast"/>
        <w:rPr>
          <w:noProof/>
          <w:szCs w:val="24"/>
        </w:rPr>
      </w:pPr>
      <w:r w:rsidRPr="006A39BB">
        <w:rPr>
          <w:noProof/>
          <w:szCs w:val="24"/>
        </w:rPr>
        <w:t xml:space="preserve">The impact assessment considered a range of policy options </w:t>
      </w:r>
      <w:r w:rsidR="00A644B4" w:rsidRPr="006A39BB">
        <w:rPr>
          <w:noProof/>
          <w:szCs w:val="24"/>
        </w:rPr>
        <w:t>for two main variables:</w:t>
      </w:r>
    </w:p>
    <w:p w14:paraId="56CD2710" w14:textId="77777777" w:rsidR="00A644B4" w:rsidRPr="006A39BB" w:rsidRDefault="00A644B4" w:rsidP="00580A58">
      <w:pPr>
        <w:pStyle w:val="Bullet0"/>
        <w:numPr>
          <w:ilvl w:val="0"/>
          <w:numId w:val="5"/>
        </w:numPr>
        <w:spacing w:line="23" w:lineRule="atLeast"/>
        <w:rPr>
          <w:noProof/>
          <w:szCs w:val="24"/>
        </w:rPr>
      </w:pPr>
      <w:r w:rsidRPr="006A39BB">
        <w:rPr>
          <w:noProof/>
          <w:szCs w:val="24"/>
        </w:rPr>
        <w:t xml:space="preserve">increased </w:t>
      </w:r>
      <w:r w:rsidRPr="006A39BB">
        <w:rPr>
          <w:b/>
          <w:bCs/>
          <w:noProof/>
          <w:szCs w:val="24"/>
        </w:rPr>
        <w:t>clarity on operations of ESG rating providers</w:t>
      </w:r>
      <w:r w:rsidRPr="006A39BB">
        <w:rPr>
          <w:noProof/>
          <w:szCs w:val="24"/>
        </w:rPr>
        <w:t xml:space="preserve"> </w:t>
      </w:r>
      <w:r w:rsidR="003D2675">
        <w:rPr>
          <w:noProof/>
          <w:szCs w:val="24"/>
        </w:rPr>
        <w:t>and</w:t>
      </w:r>
      <w:r w:rsidRPr="006A39BB">
        <w:rPr>
          <w:noProof/>
          <w:szCs w:val="24"/>
        </w:rPr>
        <w:t xml:space="preserve"> the prevention of risks of </w:t>
      </w:r>
      <w:r w:rsidRPr="006A39BB">
        <w:rPr>
          <w:b/>
          <w:bCs/>
          <w:noProof/>
          <w:szCs w:val="24"/>
        </w:rPr>
        <w:t>conflict of interest</w:t>
      </w:r>
      <w:r w:rsidRPr="006A39BB">
        <w:rPr>
          <w:noProof/>
          <w:szCs w:val="24"/>
        </w:rPr>
        <w:t xml:space="preserve"> at ESG rating providers level, and </w:t>
      </w:r>
    </w:p>
    <w:p w14:paraId="17606AF4" w14:textId="77777777" w:rsidR="00A644B4" w:rsidRPr="006A39BB" w:rsidRDefault="00A644B4" w:rsidP="00964D3D">
      <w:pPr>
        <w:pStyle w:val="Bullet0"/>
        <w:spacing w:line="23" w:lineRule="atLeast"/>
        <w:rPr>
          <w:noProof/>
          <w:szCs w:val="24"/>
        </w:rPr>
      </w:pPr>
      <w:r w:rsidRPr="006A39BB">
        <w:rPr>
          <w:noProof/>
          <w:szCs w:val="24"/>
        </w:rPr>
        <w:t xml:space="preserve">the need to </w:t>
      </w:r>
      <w:r w:rsidRPr="006A39BB">
        <w:rPr>
          <w:b/>
          <w:bCs/>
          <w:noProof/>
          <w:szCs w:val="24"/>
        </w:rPr>
        <w:t>improve clarity of ESG ratings characteristics</w:t>
      </w:r>
      <w:r w:rsidRPr="006A39BB">
        <w:rPr>
          <w:noProof/>
          <w:szCs w:val="24"/>
        </w:rPr>
        <w:t xml:space="preserve"> (i.e. what they mean and what objectives they pursue, the methodologies and the data sources or estimates used for their development). </w:t>
      </w:r>
    </w:p>
    <w:p w14:paraId="68F3D9D2" w14:textId="77777777" w:rsidR="00974B1E" w:rsidRPr="006A39BB" w:rsidRDefault="00052024" w:rsidP="00EC435D">
      <w:pPr>
        <w:spacing w:line="23" w:lineRule="atLeast"/>
        <w:rPr>
          <w:noProof/>
          <w:szCs w:val="24"/>
        </w:rPr>
      </w:pPr>
      <w:r w:rsidRPr="006A39BB">
        <w:rPr>
          <w:noProof/>
          <w:szCs w:val="24"/>
        </w:rPr>
        <w:t>Several legislative and non-legislative policy options were analysed</w:t>
      </w:r>
      <w:r w:rsidRPr="006A39BB">
        <w:rPr>
          <w:bCs/>
          <w:noProof/>
          <w:szCs w:val="24"/>
        </w:rPr>
        <w:t xml:space="preserve"> for the following two dimensions: </w:t>
      </w:r>
      <w:r w:rsidRPr="006A39BB">
        <w:rPr>
          <w:noProof/>
          <w:szCs w:val="24"/>
        </w:rPr>
        <w:t xml:space="preserve">entities (ESG rating providers) and products (ESG ratings). Regarding the regulatory treatment of ESG rating providers, the three options considered </w:t>
      </w:r>
      <w:r w:rsidR="004B02B8" w:rsidRPr="006A39BB">
        <w:rPr>
          <w:noProof/>
          <w:szCs w:val="24"/>
        </w:rPr>
        <w:t>were</w:t>
      </w:r>
      <w:r w:rsidRPr="006A39BB">
        <w:rPr>
          <w:noProof/>
          <w:szCs w:val="24"/>
        </w:rPr>
        <w:t xml:space="preserve"> an industry code of conduct (Option 1), registration and light supervision (Option 2), and authorisation, principle-based organisational requirements, and risk-based supervision (Option 3). Regarding the extent of transparency requirements on ESG ratings and their methodologies, the two options considered are minimum disclosure requirements to the public (Option 1) and minimum disclosure requirements to the public and more comprehensive disclosure requirements to clients of ESG rating providers and rated </w:t>
      </w:r>
      <w:r w:rsidR="00AC13FA" w:rsidRPr="006A39BB">
        <w:rPr>
          <w:noProof/>
          <w:szCs w:val="24"/>
        </w:rPr>
        <w:t>entities</w:t>
      </w:r>
      <w:r w:rsidRPr="006A39BB">
        <w:rPr>
          <w:noProof/>
          <w:szCs w:val="24"/>
        </w:rPr>
        <w:t xml:space="preserve"> (Option 2). The analysis also considers carefully their cost-effectiveness and coherence. </w:t>
      </w:r>
      <w:r w:rsidR="00974B1E" w:rsidRPr="006A39BB">
        <w:rPr>
          <w:noProof/>
          <w:szCs w:val="24"/>
        </w:rPr>
        <w:t>The following options were discarded at an early stage: registration and supervision at national level, harmonising methodologies of ESG rating providers, setting minimum requirements on the content of ESG ratings and detailed templates for disclosure requirements.</w:t>
      </w:r>
    </w:p>
    <w:p w14:paraId="6DF83C8E" w14:textId="77777777" w:rsidR="00052024" w:rsidRPr="006A39BB" w:rsidRDefault="00052024" w:rsidP="00EC435D">
      <w:pPr>
        <w:pBdr>
          <w:top w:val="nil"/>
          <w:left w:val="nil"/>
          <w:bottom w:val="nil"/>
          <w:right w:val="nil"/>
          <w:between w:val="nil"/>
          <w:bar w:val="nil"/>
        </w:pBdr>
        <w:spacing w:line="23" w:lineRule="atLeast"/>
        <w:rPr>
          <w:noProof/>
          <w:szCs w:val="24"/>
        </w:rPr>
      </w:pPr>
      <w:r w:rsidRPr="006A39BB">
        <w:rPr>
          <w:noProof/>
          <w:szCs w:val="24"/>
        </w:rPr>
        <w:t xml:space="preserve">As to the scope, the definition of ESG ratings by IOSCO would form the basis for the scope of this initiative, covering both scores and ratings, </w:t>
      </w:r>
      <w:r w:rsidR="003D2675">
        <w:rPr>
          <w:noProof/>
          <w:szCs w:val="24"/>
        </w:rPr>
        <w:t>and</w:t>
      </w:r>
      <w:r w:rsidRPr="006A39BB">
        <w:rPr>
          <w:noProof/>
          <w:szCs w:val="24"/>
        </w:rPr>
        <w:t xml:space="preserve"> products which are a mixture of both. This initiative would target the specialised entities providing ESG ratings or scores to the public or to subscribers and would not cover financial institutions or other market participants developing ESG ratings for their own purposes, as they use their own proprietary models and don’t provide ESG ratings commercially to other financial market participants.</w:t>
      </w:r>
    </w:p>
    <w:p w14:paraId="673809AC" w14:textId="77777777" w:rsidR="00974B1E" w:rsidRPr="006A39BB" w:rsidRDefault="00974B1E" w:rsidP="00EC435D">
      <w:pPr>
        <w:spacing w:line="23" w:lineRule="atLeast"/>
        <w:rPr>
          <w:noProof/>
          <w:szCs w:val="24"/>
        </w:rPr>
      </w:pPr>
      <w:r w:rsidRPr="006A39BB">
        <w:rPr>
          <w:noProof/>
          <w:szCs w:val="24"/>
        </w:rPr>
        <w:t xml:space="preserve">Based on the comparison of effectiveness, efficiency and coherence, the preferred option would combine </w:t>
      </w:r>
      <w:r w:rsidRPr="006A39BB">
        <w:rPr>
          <w:bCs/>
          <w:noProof/>
          <w:szCs w:val="24"/>
        </w:rPr>
        <w:t>Option 3 on ESG rating providers</w:t>
      </w:r>
      <w:r w:rsidRPr="006A39BB">
        <w:rPr>
          <w:noProof/>
          <w:szCs w:val="24"/>
        </w:rPr>
        <w:t xml:space="preserve"> (authorisation, organisational requirements and supervision) together with Option 2 on ESG ratings (minimum transparency disclosures to the general public and more comprehensive disclosures to clients of ESG rating providers and rated </w:t>
      </w:r>
      <w:r w:rsidR="00AC13FA" w:rsidRPr="006A39BB">
        <w:rPr>
          <w:noProof/>
          <w:szCs w:val="24"/>
        </w:rPr>
        <w:t>entities</w:t>
      </w:r>
      <w:r w:rsidRPr="006A39BB">
        <w:rPr>
          <w:noProof/>
          <w:szCs w:val="24"/>
        </w:rPr>
        <w:t xml:space="preserve">). The detailed analysis found that the combination of such options would fully address the objectives (unlike the other options) and result in the highest benefits to users and rated entities, </w:t>
      </w:r>
      <w:r w:rsidR="003D2675">
        <w:rPr>
          <w:noProof/>
          <w:szCs w:val="24"/>
        </w:rPr>
        <w:t>and</w:t>
      </w:r>
      <w:r w:rsidRPr="006A39BB">
        <w:rPr>
          <w:noProof/>
          <w:szCs w:val="24"/>
        </w:rPr>
        <w:t xml:space="preserve"> providers themselves and society. Even though the preferred option may entail higher upfront costs, in the long-term the benefits are expected to outweigh the costs.</w:t>
      </w:r>
    </w:p>
    <w:p w14:paraId="6BD7EF83" w14:textId="77777777" w:rsidR="00F205C2" w:rsidRPr="006A39BB" w:rsidRDefault="00F205C2" w:rsidP="00EC435D">
      <w:pPr>
        <w:spacing w:line="23" w:lineRule="atLeast"/>
        <w:rPr>
          <w:rFonts w:eastAsia="Arial Unicode MS"/>
          <w:noProof/>
          <w:szCs w:val="24"/>
        </w:rPr>
      </w:pPr>
      <w:r w:rsidRPr="006A39BB">
        <w:rPr>
          <w:noProof/>
          <w:szCs w:val="24"/>
        </w:rPr>
        <w:t>The preferred option is expected to bring significant economic benefits. This initiative would be expected to positively influence the functioning of financial markets and conditions for ESG investing. The preferred option should enable investors, and rated entities, to understand and make informed ESG choices regarding ratings. It should also reduce the cost of gathering information and the need to use extra providers, thus cutting the cost of doing business. The preferred option would also be non-discriminatory and would apply equally to domestic and non-EU market participants. This initiative may have an impact on the general competitiveness of the ESG rating providers, likely increasing the cost of doing business for them in the short term, but increased trust in ESG ratings could enhance market growth. To mitigate potential concerns about loss of access to the market, a transitional period could be provided for, which would give smaller players in particular more time to adjust. The initiative is also expected to have positive, though marginal, indirect social and environmental impacts.</w:t>
      </w:r>
    </w:p>
    <w:p w14:paraId="560C613C"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Regulatory fitness and simplification</w:t>
      </w:r>
    </w:p>
    <w:p w14:paraId="33FB2353" w14:textId="77777777" w:rsidR="00223E19" w:rsidRPr="006A39BB" w:rsidRDefault="00223E19" w:rsidP="00EC435D">
      <w:pPr>
        <w:pBdr>
          <w:top w:val="nil"/>
          <w:left w:val="nil"/>
          <w:bottom w:val="nil"/>
          <w:right w:val="nil"/>
          <w:between w:val="nil"/>
          <w:bar w:val="nil"/>
        </w:pBdr>
        <w:spacing w:line="23" w:lineRule="atLeast"/>
        <w:rPr>
          <w:noProof/>
          <w:szCs w:val="24"/>
        </w:rPr>
      </w:pPr>
      <w:r w:rsidRPr="006A39BB">
        <w:rPr>
          <w:noProof/>
          <w:szCs w:val="24"/>
        </w:rPr>
        <w:t>The present initiative is not a regulatory fitness and performance programme (REFIT) initiative.</w:t>
      </w:r>
    </w:p>
    <w:p w14:paraId="4486E98A" w14:textId="77777777" w:rsidR="00A8705F" w:rsidRPr="006A39BB" w:rsidRDefault="003D2675" w:rsidP="00EC435D">
      <w:pPr>
        <w:spacing w:line="23" w:lineRule="atLeast"/>
        <w:rPr>
          <w:noProof/>
          <w:szCs w:val="24"/>
        </w:rPr>
      </w:pPr>
      <w:r>
        <w:rPr>
          <w:noProof/>
          <w:szCs w:val="24"/>
        </w:rPr>
        <w:t>T</w:t>
      </w:r>
      <w:r w:rsidR="00A8705F" w:rsidRPr="006A39BB">
        <w:rPr>
          <w:noProof/>
          <w:szCs w:val="24"/>
        </w:rPr>
        <w:t>o mitigate costs and impacts of new requirements under this Regulation on smaller providers, the following mitigating measures are be proposed.</w:t>
      </w:r>
    </w:p>
    <w:p w14:paraId="06BA2A6E" w14:textId="6A6D83A5" w:rsidR="00A8705F" w:rsidRPr="006A39BB" w:rsidRDefault="002A7F8C" w:rsidP="002A7F8C">
      <w:pPr>
        <w:pStyle w:val="Point0"/>
        <w:rPr>
          <w:noProof/>
        </w:rPr>
      </w:pPr>
      <w:r w:rsidRPr="002A7F8C">
        <w:rPr>
          <w:noProof/>
        </w:rPr>
        <w:t>(1)</w:t>
      </w:r>
      <w:r w:rsidRPr="002A7F8C">
        <w:rPr>
          <w:noProof/>
        </w:rPr>
        <w:tab/>
      </w:r>
      <w:r w:rsidR="00A8705F" w:rsidRPr="006A39BB">
        <w:rPr>
          <w:noProof/>
          <w:u w:val="single"/>
        </w:rPr>
        <w:t>Transition period.</w:t>
      </w:r>
      <w:r w:rsidR="00A8705F" w:rsidRPr="006A39BB">
        <w:rPr>
          <w:noProof/>
        </w:rPr>
        <w:t xml:space="preserve"> To mitigate potential concerns about loss of access to market providers due to the authorisation process, providers would be allowed to continue operating on condition that they notify ESMA and become authorised within a pre-determined period of time, i.e. the transitional period.</w:t>
      </w:r>
    </w:p>
    <w:p w14:paraId="2EFA6287" w14:textId="41F83747" w:rsidR="00A8705F" w:rsidRPr="006A39BB" w:rsidRDefault="002A7F8C" w:rsidP="002A7F8C">
      <w:pPr>
        <w:pStyle w:val="Point0"/>
        <w:rPr>
          <w:noProof/>
        </w:rPr>
      </w:pPr>
      <w:r w:rsidRPr="002A7F8C">
        <w:rPr>
          <w:noProof/>
        </w:rPr>
        <w:t>(2)</w:t>
      </w:r>
      <w:r w:rsidRPr="002A7F8C">
        <w:rPr>
          <w:noProof/>
        </w:rPr>
        <w:tab/>
      </w:r>
      <w:r w:rsidR="00A8705F" w:rsidRPr="006A39BB">
        <w:rPr>
          <w:noProof/>
          <w:u w:val="single"/>
        </w:rPr>
        <w:t>Adjustment of supervisory fees to the size of the provider.</w:t>
      </w:r>
      <w:r w:rsidR="00A8705F" w:rsidRPr="006A39BB">
        <w:rPr>
          <w:noProof/>
        </w:rPr>
        <w:t xml:space="preserve"> Fees would be proportionately distributed across providers based on their </w:t>
      </w:r>
      <w:r w:rsidR="00437CCC">
        <w:rPr>
          <w:noProof/>
        </w:rPr>
        <w:t>annual net turnover</w:t>
      </w:r>
      <w:r w:rsidR="00A8705F" w:rsidRPr="006A39BB">
        <w:rPr>
          <w:noProof/>
        </w:rPr>
        <w:t>.</w:t>
      </w:r>
    </w:p>
    <w:p w14:paraId="56A2A118" w14:textId="084B0B2B" w:rsidR="00A8705F" w:rsidRPr="006A39BB" w:rsidRDefault="002A7F8C" w:rsidP="002A7F8C">
      <w:pPr>
        <w:pStyle w:val="Point0"/>
        <w:rPr>
          <w:noProof/>
        </w:rPr>
      </w:pPr>
      <w:r w:rsidRPr="002A7F8C">
        <w:rPr>
          <w:noProof/>
        </w:rPr>
        <w:t>(3)</w:t>
      </w:r>
      <w:r w:rsidRPr="002A7F8C">
        <w:rPr>
          <w:noProof/>
        </w:rPr>
        <w:tab/>
      </w:r>
      <w:r w:rsidR="00A8705F" w:rsidRPr="006A39BB">
        <w:rPr>
          <w:noProof/>
          <w:u w:val="single"/>
        </w:rPr>
        <w:t>Proportionate supervision.</w:t>
      </w:r>
      <w:r w:rsidR="00A8705F" w:rsidRPr="006A39BB">
        <w:rPr>
          <w:b/>
          <w:noProof/>
        </w:rPr>
        <w:t xml:space="preserve"> </w:t>
      </w:r>
      <w:r w:rsidR="00A8705F" w:rsidRPr="006A39BB">
        <w:rPr>
          <w:noProof/>
        </w:rPr>
        <w:t>ESMA has adopted a risk-based, data-driven approach to conducting supervision</w:t>
      </w:r>
      <w:r w:rsidR="00A8705F" w:rsidRPr="006A39BB">
        <w:rPr>
          <w:rStyle w:val="FootnoteReference"/>
          <w:noProof/>
          <w:szCs w:val="24"/>
        </w:rPr>
        <w:footnoteReference w:id="13"/>
      </w:r>
      <w:r w:rsidR="00A8705F" w:rsidRPr="006A39BB">
        <w:rPr>
          <w:noProof/>
        </w:rPr>
        <w:t xml:space="preserve"> and prioritises its supervisory activities according to the level of risk identified and the importance/size of supervised entities.</w:t>
      </w:r>
    </w:p>
    <w:p w14:paraId="380AFD92" w14:textId="7FAF6F3A" w:rsidR="00A8705F" w:rsidRPr="006A39BB" w:rsidRDefault="002A7F8C" w:rsidP="002A7F8C">
      <w:pPr>
        <w:pStyle w:val="Point0"/>
        <w:rPr>
          <w:noProof/>
        </w:rPr>
      </w:pPr>
      <w:r w:rsidRPr="002A7F8C">
        <w:rPr>
          <w:noProof/>
        </w:rPr>
        <w:t>(4)</w:t>
      </w:r>
      <w:r w:rsidRPr="002A7F8C">
        <w:rPr>
          <w:noProof/>
        </w:rPr>
        <w:tab/>
      </w:r>
      <w:r w:rsidR="00A8705F" w:rsidRPr="006A39BB">
        <w:rPr>
          <w:noProof/>
        </w:rPr>
        <w:t xml:space="preserve">Possibility for smaller and innovative entities to apply for </w:t>
      </w:r>
      <w:r w:rsidR="00A8705F" w:rsidRPr="006A39BB">
        <w:rPr>
          <w:noProof/>
          <w:u w:val="single"/>
        </w:rPr>
        <w:t>exemption</w:t>
      </w:r>
      <w:r w:rsidR="00A8705F" w:rsidRPr="006A39BB">
        <w:rPr>
          <w:noProof/>
        </w:rPr>
        <w:t xml:space="preserve"> from a wide range of internal organisational measures, if they can demonstrate the requirements are disproportionate to the nature, scale and complexity of their business and the nature and range of issues assessed by their product (e.g. data-driven rater</w:t>
      </w:r>
      <w:r w:rsidR="00A8705F" w:rsidRPr="006A39BB">
        <w:rPr>
          <w:rStyle w:val="FootnoteReference"/>
          <w:noProof/>
          <w:szCs w:val="24"/>
        </w:rPr>
        <w:footnoteReference w:id="14"/>
      </w:r>
      <w:r w:rsidR="00A8705F" w:rsidRPr="006A39BB">
        <w:rPr>
          <w:noProof/>
        </w:rPr>
        <w:t xml:space="preserve"> or innovative, forward-looking rater)</w:t>
      </w:r>
      <w:r w:rsidR="00A8705F" w:rsidRPr="006A39BB">
        <w:rPr>
          <w:rStyle w:val="FootnoteReference"/>
          <w:noProof/>
          <w:szCs w:val="24"/>
        </w:rPr>
        <w:footnoteReference w:id="15"/>
      </w:r>
      <w:r w:rsidR="00A8705F" w:rsidRPr="006A39BB">
        <w:rPr>
          <w:noProof/>
        </w:rPr>
        <w:t>.</w:t>
      </w:r>
    </w:p>
    <w:p w14:paraId="18AE9A71"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Fundamental rights</w:t>
      </w:r>
    </w:p>
    <w:p w14:paraId="7D6790B4" w14:textId="77777777" w:rsidR="00587167" w:rsidRPr="006A39BB" w:rsidRDefault="00A722C2" w:rsidP="00EC435D">
      <w:pPr>
        <w:pBdr>
          <w:top w:val="nil"/>
          <w:left w:val="nil"/>
          <w:bottom w:val="nil"/>
          <w:right w:val="nil"/>
          <w:between w:val="nil"/>
          <w:bar w:val="nil"/>
        </w:pBdr>
        <w:spacing w:line="23" w:lineRule="atLeast"/>
        <w:rPr>
          <w:rFonts w:eastAsia="Arial Unicode MS"/>
          <w:noProof/>
          <w:szCs w:val="24"/>
        </w:rPr>
      </w:pPr>
      <w:r w:rsidRPr="006A39BB">
        <w:rPr>
          <w:noProof/>
          <w:szCs w:val="24"/>
        </w:rPr>
        <w:t xml:space="preserve">The proposal respects the rights and principles set out in the Charter of Fundamental Rights of the European Union, in particular those in Article 16 (freedom to conduct a business). The free movement of persons, services and establishment </w:t>
      </w:r>
      <w:r w:rsidR="00A8705F" w:rsidRPr="006A39BB">
        <w:rPr>
          <w:noProof/>
          <w:szCs w:val="24"/>
        </w:rPr>
        <w:t xml:space="preserve">is </w:t>
      </w:r>
      <w:r w:rsidRPr="006A39BB">
        <w:rPr>
          <w:noProof/>
          <w:szCs w:val="24"/>
        </w:rPr>
        <w:t>one of the basic rights and freedoms protected by the Treaty on the European Union and the Treaty on the Functioning of the European Union</w:t>
      </w:r>
      <w:r w:rsidR="00A8705F" w:rsidRPr="006A39BB">
        <w:rPr>
          <w:noProof/>
          <w:szCs w:val="24"/>
        </w:rPr>
        <w:t xml:space="preserve"> and</w:t>
      </w:r>
      <w:r w:rsidRPr="006A39BB">
        <w:rPr>
          <w:noProof/>
          <w:szCs w:val="24"/>
        </w:rPr>
        <w:t xml:space="preserve"> is relevant for this measure.</w:t>
      </w:r>
    </w:p>
    <w:p w14:paraId="09273750" w14:textId="77777777" w:rsidR="00BA0985" w:rsidRPr="006A39BB" w:rsidRDefault="00587167" w:rsidP="00EC435D">
      <w:pPr>
        <w:pStyle w:val="ManualHeading1"/>
        <w:spacing w:before="120" w:line="23" w:lineRule="atLeast"/>
        <w:rPr>
          <w:noProof/>
          <w:szCs w:val="24"/>
        </w:rPr>
      </w:pPr>
      <w:r w:rsidRPr="006A39BB">
        <w:rPr>
          <w:noProof/>
          <w:szCs w:val="24"/>
        </w:rPr>
        <w:t>4.</w:t>
      </w:r>
      <w:r w:rsidRPr="006A39BB">
        <w:rPr>
          <w:noProof/>
          <w:szCs w:val="24"/>
        </w:rPr>
        <w:tab/>
        <w:t>BUDGETARY IMPLICATIONS</w:t>
      </w:r>
    </w:p>
    <w:p w14:paraId="4081BD85" w14:textId="352E3BD4" w:rsidR="00385B77" w:rsidRPr="006A39BB" w:rsidRDefault="00385B77" w:rsidP="00EC435D">
      <w:pPr>
        <w:autoSpaceDE w:val="0"/>
        <w:autoSpaceDN w:val="0"/>
        <w:spacing w:line="23" w:lineRule="atLeast"/>
        <w:rPr>
          <w:noProof/>
          <w:szCs w:val="24"/>
        </w:rPr>
      </w:pPr>
      <w:r w:rsidRPr="006A39BB">
        <w:rPr>
          <w:noProof/>
          <w:szCs w:val="24"/>
        </w:rPr>
        <w:t xml:space="preserve">This proposal empowers ESMA to carry out a new function, namely to authorise and supervise ESG rating providers providing their services under this Regulation. This will require ESMA to charge ESG rating providers fees, which should cover all administrative costs incurred by ESMA for its authorisation and supervision activities. The size of the market is 59 entities: 30 ESG providers based in the EU (3 large, 6 medium-sized, 9 small and 12 micro); and 29 non-EU entities. Based on the estimation that it would take ESMA 1.7 full-time equivalents (FTEs) to supervise a large ESG rating provider and 0.2 FTEs to supervise a small ESG rating provider, we have calculated the need for 20 FTEs annually. Based on the same estimation, ESMA would need </w:t>
      </w:r>
      <w:r w:rsidR="001C2B95">
        <w:rPr>
          <w:noProof/>
          <w:szCs w:val="24"/>
        </w:rPr>
        <w:t>7</w:t>
      </w:r>
      <w:r w:rsidR="001C2B95" w:rsidRPr="006A39BB">
        <w:rPr>
          <w:noProof/>
          <w:szCs w:val="24"/>
        </w:rPr>
        <w:t> </w:t>
      </w:r>
      <w:r w:rsidRPr="006A39BB">
        <w:rPr>
          <w:noProof/>
          <w:szCs w:val="24"/>
        </w:rPr>
        <w:t xml:space="preserve">temporary agent (AC) posts and </w:t>
      </w:r>
      <w:r w:rsidR="001C2B95" w:rsidRPr="006A39BB">
        <w:rPr>
          <w:noProof/>
          <w:szCs w:val="24"/>
        </w:rPr>
        <w:t>1</w:t>
      </w:r>
      <w:r w:rsidR="001C2B95">
        <w:rPr>
          <w:noProof/>
          <w:szCs w:val="24"/>
        </w:rPr>
        <w:t>2</w:t>
      </w:r>
      <w:r w:rsidR="001C2B95" w:rsidRPr="006A39BB">
        <w:rPr>
          <w:noProof/>
          <w:szCs w:val="24"/>
        </w:rPr>
        <w:t> </w:t>
      </w:r>
      <w:r w:rsidRPr="006A39BB">
        <w:rPr>
          <w:noProof/>
          <w:szCs w:val="24"/>
        </w:rPr>
        <w:t xml:space="preserve">CA posts for the authorisation of 30 EU entities and 29 non-EU entities, and the supervision of 30 EU entities and 29 non-EU entities starting from year </w:t>
      </w:r>
      <w:r w:rsidRPr="006A39BB">
        <w:rPr>
          <w:b/>
          <w:noProof/>
          <w:szCs w:val="24"/>
        </w:rPr>
        <w:t>N+1</w:t>
      </w:r>
      <w:r w:rsidRPr="006A39BB">
        <w:rPr>
          <w:noProof/>
          <w:szCs w:val="24"/>
        </w:rPr>
        <w:t xml:space="preserve">. We consider it likely that there will be a peak of one-off work in the first year (year </w:t>
      </w:r>
      <w:r w:rsidRPr="006A39BB">
        <w:rPr>
          <w:b/>
          <w:noProof/>
          <w:szCs w:val="24"/>
        </w:rPr>
        <w:t>N</w:t>
      </w:r>
      <w:r w:rsidRPr="006A39BB">
        <w:rPr>
          <w:noProof/>
          <w:szCs w:val="24"/>
        </w:rPr>
        <w:t xml:space="preserve">) relating to authorisation. It is important, therefore, that ESMA is given the </w:t>
      </w:r>
      <w:r w:rsidR="001C2B95">
        <w:rPr>
          <w:noProof/>
          <w:szCs w:val="24"/>
        </w:rPr>
        <w:t>19</w:t>
      </w:r>
      <w:r w:rsidR="001C2B95" w:rsidRPr="006A39BB">
        <w:rPr>
          <w:noProof/>
          <w:szCs w:val="24"/>
        </w:rPr>
        <w:t> </w:t>
      </w:r>
      <w:r w:rsidRPr="006A39BB">
        <w:rPr>
          <w:noProof/>
          <w:szCs w:val="24"/>
        </w:rPr>
        <w:t>FTEs from the outset, to manage this peak.</w:t>
      </w:r>
    </w:p>
    <w:p w14:paraId="4C507FC4" w14:textId="49B9F74D" w:rsidR="00F07B42" w:rsidRPr="006A39BB" w:rsidRDefault="00385B77" w:rsidP="00EC435D">
      <w:pPr>
        <w:autoSpaceDE w:val="0"/>
        <w:autoSpaceDN w:val="0"/>
        <w:spacing w:line="23" w:lineRule="atLeast"/>
        <w:rPr>
          <w:noProof/>
          <w:szCs w:val="24"/>
          <w:highlight w:val="yellow"/>
        </w:rPr>
      </w:pPr>
      <w:r w:rsidRPr="006A39BB">
        <w:rPr>
          <w:noProof/>
          <w:szCs w:val="24"/>
        </w:rPr>
        <w:t>The total annual cost increase is estimated at approximately EUR </w:t>
      </w:r>
      <w:r w:rsidR="001C2B95">
        <w:rPr>
          <w:noProof/>
          <w:szCs w:val="24"/>
        </w:rPr>
        <w:t>3.7-3.8</w:t>
      </w:r>
      <w:r w:rsidRPr="006A39BB">
        <w:rPr>
          <w:noProof/>
          <w:szCs w:val="24"/>
        </w:rPr>
        <w:t> million. This cost will not be borne by EU budget, as the proposal will enable ESMA to charge ESG rating providers authorisation and supervisory fees, so as to cover all supervisory costs. This is similar to other areas, where ESMA is responsible for the oversight of certain entities (e.g. credit rating agencies). For more details please see the Financial Legislative Statement.</w:t>
      </w:r>
    </w:p>
    <w:p w14:paraId="474263FC" w14:textId="77777777" w:rsidR="00587167" w:rsidRPr="006A39BB" w:rsidRDefault="00587167" w:rsidP="00EC435D">
      <w:pPr>
        <w:pStyle w:val="ManualHeading1"/>
        <w:spacing w:before="120" w:line="23" w:lineRule="atLeast"/>
        <w:rPr>
          <w:noProof/>
          <w:szCs w:val="24"/>
        </w:rPr>
      </w:pPr>
      <w:r w:rsidRPr="006A39BB">
        <w:rPr>
          <w:noProof/>
          <w:szCs w:val="24"/>
        </w:rPr>
        <w:t>5.</w:t>
      </w:r>
      <w:r w:rsidRPr="006A39BB">
        <w:rPr>
          <w:noProof/>
          <w:szCs w:val="24"/>
        </w:rPr>
        <w:tab/>
        <w:t>OTHER ELEMENTS</w:t>
      </w:r>
    </w:p>
    <w:p w14:paraId="590295F5"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Implementation plans and monitoring, evaluation and reporting arrangements</w:t>
      </w:r>
    </w:p>
    <w:p w14:paraId="533FC8EC" w14:textId="77777777" w:rsidR="00A13F4C" w:rsidRPr="006A39BB" w:rsidRDefault="00A13F4C" w:rsidP="00EC435D">
      <w:pPr>
        <w:spacing w:line="23" w:lineRule="atLeast"/>
        <w:rPr>
          <w:noProof/>
          <w:szCs w:val="24"/>
        </w:rPr>
      </w:pPr>
      <w:r w:rsidRPr="006A39BB">
        <w:rPr>
          <w:noProof/>
          <w:szCs w:val="24"/>
        </w:rPr>
        <w:t xml:space="preserve">The Commission will ensure that the actions selected in this Regulation contribute to achieving the policy objectives with a blend of specific monitoring elements designed to measure efficiency in implementation and progress towards </w:t>
      </w:r>
      <w:r w:rsidRPr="006A39BB">
        <w:rPr>
          <w:i/>
          <w:iCs/>
          <w:noProof/>
          <w:szCs w:val="24"/>
        </w:rPr>
        <w:t>specific objectives</w:t>
      </w:r>
      <w:r w:rsidRPr="006A39BB">
        <w:rPr>
          <w:noProof/>
          <w:szCs w:val="24"/>
        </w:rPr>
        <w:t xml:space="preserve">, but also, other monitoring tools contributing to the </w:t>
      </w:r>
      <w:r w:rsidRPr="006A39BB">
        <w:rPr>
          <w:i/>
          <w:iCs/>
          <w:noProof/>
          <w:szCs w:val="24"/>
        </w:rPr>
        <w:t>general objectives</w:t>
      </w:r>
      <w:r w:rsidRPr="006A39BB">
        <w:rPr>
          <w:noProof/>
          <w:szCs w:val="24"/>
        </w:rPr>
        <w:t xml:space="preserve">. Those elements and tools are further described below. To monitor progress towards meeting the </w:t>
      </w:r>
      <w:r w:rsidRPr="006A39BB">
        <w:rPr>
          <w:i/>
          <w:iCs/>
          <w:noProof/>
          <w:szCs w:val="24"/>
        </w:rPr>
        <w:t>specific objectives</w:t>
      </w:r>
      <w:r w:rsidRPr="006A39BB">
        <w:rPr>
          <w:noProof/>
          <w:szCs w:val="24"/>
        </w:rPr>
        <w:t>, the Commission will explore the possibility of organising periodic surveys of investors, undertakings and ESG rating providers.</w:t>
      </w:r>
    </w:p>
    <w:p w14:paraId="510BD54F" w14:textId="77777777" w:rsidR="00A13F4C" w:rsidRPr="006A39BB" w:rsidRDefault="00A13F4C" w:rsidP="00EC435D">
      <w:pPr>
        <w:spacing w:line="23" w:lineRule="atLeast"/>
        <w:rPr>
          <w:noProof/>
          <w:szCs w:val="24"/>
        </w:rPr>
      </w:pPr>
      <w:r w:rsidRPr="006A39BB">
        <w:rPr>
          <w:noProof/>
          <w:szCs w:val="24"/>
        </w:rPr>
        <w:t>The surveys would gather data on: (1) users’ and rated entities’ perceptions of changes in the information available particularly with respect to the specific objectives identified in Section 4, and perceptions as to whether those objectives are being met; and (2) the costs and benefits of ESG rating regulation and oversight from an ESG rating provider’s perspective. Such surveys will be dependent on the availability of financial resources.</w:t>
      </w:r>
    </w:p>
    <w:p w14:paraId="4E030DCB" w14:textId="77777777" w:rsidR="00A13F4C" w:rsidRPr="006A39BB" w:rsidRDefault="00A13F4C" w:rsidP="00EC435D">
      <w:pPr>
        <w:spacing w:line="23" w:lineRule="atLeast"/>
        <w:rPr>
          <w:noProof/>
          <w:szCs w:val="24"/>
        </w:rPr>
      </w:pPr>
      <w:r w:rsidRPr="006A39BB">
        <w:rPr>
          <w:noProof/>
          <w:szCs w:val="24"/>
        </w:rPr>
        <w:t xml:space="preserve">Progress towards meeting the specific objectives can also be monitored through a number of indicators, such as the number of ESG ratings made available, </w:t>
      </w:r>
      <w:r w:rsidRPr="006A39BB" w:rsidDel="003F1614">
        <w:rPr>
          <w:noProof/>
          <w:szCs w:val="24"/>
        </w:rPr>
        <w:t>growth in use of ESG rating</w:t>
      </w:r>
      <w:r w:rsidRPr="006A39BB">
        <w:rPr>
          <w:noProof/>
          <w:szCs w:val="24"/>
        </w:rPr>
        <w:t>s</w:t>
      </w:r>
      <w:r w:rsidRPr="006A39BB" w:rsidDel="003F1614">
        <w:rPr>
          <w:noProof/>
          <w:szCs w:val="24"/>
        </w:rPr>
        <w:t xml:space="preserve"> by users and issuers</w:t>
      </w:r>
      <w:r w:rsidRPr="006A39BB">
        <w:rPr>
          <w:noProof/>
          <w:szCs w:val="24"/>
        </w:rPr>
        <w:t xml:space="preserve"> and increase in overall correlation between ESG ratings.</w:t>
      </w:r>
    </w:p>
    <w:p w14:paraId="6634F345" w14:textId="77777777" w:rsidR="00A13F4C" w:rsidRPr="006A39BB" w:rsidRDefault="00A13F4C" w:rsidP="00EC435D">
      <w:pPr>
        <w:spacing w:line="23" w:lineRule="atLeast"/>
        <w:rPr>
          <w:noProof/>
          <w:szCs w:val="24"/>
        </w:rPr>
      </w:pPr>
      <w:r w:rsidRPr="006A39BB">
        <w:rPr>
          <w:noProof/>
          <w:szCs w:val="24"/>
        </w:rPr>
        <w:t xml:space="preserve">Monitoring progress towards meeting the </w:t>
      </w:r>
      <w:r w:rsidRPr="006A39BB">
        <w:rPr>
          <w:i/>
          <w:noProof/>
          <w:szCs w:val="24"/>
        </w:rPr>
        <w:t>general objectives</w:t>
      </w:r>
      <w:r w:rsidRPr="006A39BB">
        <w:rPr>
          <w:noProof/>
          <w:szCs w:val="24"/>
        </w:rPr>
        <w:t xml:space="preserve"> is by definition considerably more complex since it is methodologically difficult to distinguish the impacts of the proposed measures on ESG ratings from other possible factors. Nevertheless, the Commission proposes to monitor progress regarding the general objectives by:</w:t>
      </w:r>
    </w:p>
    <w:p w14:paraId="186585B2" w14:textId="77777777" w:rsidR="00A13F4C" w:rsidRPr="006A39BB" w:rsidRDefault="00A13F4C" w:rsidP="00580A58">
      <w:pPr>
        <w:pStyle w:val="Tiret0"/>
        <w:numPr>
          <w:ilvl w:val="0"/>
          <w:numId w:val="6"/>
        </w:numPr>
        <w:spacing w:line="23" w:lineRule="atLeast"/>
        <w:rPr>
          <w:noProof/>
          <w:szCs w:val="24"/>
        </w:rPr>
      </w:pPr>
      <w:r w:rsidRPr="006A39BB">
        <w:rPr>
          <w:noProof/>
          <w:szCs w:val="24"/>
        </w:rPr>
        <w:t>monitoring trends in investments in undertakings that carry out sustainable economic activities, covering environmental, social and governance aspects</w:t>
      </w:r>
      <w:r w:rsidRPr="006A39BB">
        <w:rPr>
          <w:rStyle w:val="FootnoteReference"/>
          <w:noProof/>
          <w:szCs w:val="24"/>
        </w:rPr>
        <w:footnoteReference w:id="16"/>
      </w:r>
      <w:r w:rsidRPr="006A39BB">
        <w:rPr>
          <w:noProof/>
          <w:szCs w:val="24"/>
        </w:rPr>
        <w:t>;</w:t>
      </w:r>
    </w:p>
    <w:p w14:paraId="09C6B929" w14:textId="77777777" w:rsidR="00A13F4C" w:rsidRPr="006A39BB" w:rsidRDefault="00A13F4C" w:rsidP="00964D3D">
      <w:pPr>
        <w:pStyle w:val="Tiret0"/>
        <w:spacing w:line="23" w:lineRule="atLeast"/>
        <w:rPr>
          <w:noProof/>
          <w:szCs w:val="24"/>
        </w:rPr>
      </w:pPr>
      <w:r w:rsidRPr="006A39BB">
        <w:rPr>
          <w:noProof/>
          <w:szCs w:val="24"/>
        </w:rPr>
        <w:t>engaging with supervisors and other relevant stakeholders to assess whether concerns of greenwashing involving ESG ratings are being reduced.</w:t>
      </w:r>
    </w:p>
    <w:p w14:paraId="27BA15EA" w14:textId="77777777" w:rsidR="00A13F4C" w:rsidRPr="006A39BB" w:rsidRDefault="00A13F4C" w:rsidP="00EC435D">
      <w:pPr>
        <w:spacing w:line="23" w:lineRule="atLeast"/>
        <w:rPr>
          <w:noProof/>
          <w:szCs w:val="24"/>
        </w:rPr>
      </w:pPr>
      <w:r w:rsidRPr="006A39BB">
        <w:rPr>
          <w:noProof/>
          <w:szCs w:val="24"/>
        </w:rPr>
        <w:t>It may also be possible to use the proposed surveys of investors, undertakings and ESG rating providers to gather evidence on whether stakeholders perceive that ESG rating providers are more accountable for their activities.</w:t>
      </w:r>
    </w:p>
    <w:p w14:paraId="28E77871" w14:textId="77777777" w:rsidR="00A13F4C" w:rsidRPr="006A39BB" w:rsidRDefault="00A13F4C" w:rsidP="00EC435D">
      <w:pPr>
        <w:spacing w:line="23" w:lineRule="atLeast"/>
        <w:rPr>
          <w:noProof/>
          <w:szCs w:val="24"/>
        </w:rPr>
      </w:pPr>
      <w:r w:rsidRPr="006A39BB">
        <w:rPr>
          <w:rFonts w:eastAsia="Times New Roman"/>
          <w:noProof/>
          <w:szCs w:val="24"/>
        </w:rPr>
        <w:t>As supervisor of the ESG rating providers under this initiative, ESMA would be the appropriate body to take stock of the developments and highlight potential issues of concern, liaising with relevant national authorities in the Member State where ESG ratings are used and where ESG rating providers are located and have their operations.</w:t>
      </w:r>
    </w:p>
    <w:p w14:paraId="53045700" w14:textId="77777777" w:rsidR="00A13F4C" w:rsidRPr="006A39BB" w:rsidRDefault="00A13F4C" w:rsidP="00EC435D">
      <w:pPr>
        <w:spacing w:line="23" w:lineRule="atLeast"/>
        <w:rPr>
          <w:noProof/>
          <w:szCs w:val="24"/>
        </w:rPr>
      </w:pPr>
      <w:r w:rsidRPr="006A39BB">
        <w:rPr>
          <w:noProof/>
          <w:szCs w:val="24"/>
        </w:rPr>
        <w:t>In addition, various stakeholders, including civil society organisations, ESG rating providers, business organisations and public authorities, are likely to publish reports that monitor developments in this area, which will be a useful complement to the monitoring carried out by the Commission.</w:t>
      </w:r>
    </w:p>
    <w:p w14:paraId="688A6D92" w14:textId="77777777" w:rsidR="00A13F4C" w:rsidRPr="006A39BB" w:rsidRDefault="00A13F4C" w:rsidP="00EC435D">
      <w:pPr>
        <w:pBdr>
          <w:top w:val="nil"/>
          <w:left w:val="nil"/>
          <w:bottom w:val="nil"/>
          <w:right w:val="nil"/>
          <w:between w:val="nil"/>
          <w:bar w:val="nil"/>
        </w:pBdr>
        <w:spacing w:line="23" w:lineRule="atLeast"/>
        <w:rPr>
          <w:rFonts w:eastAsia="Arial Unicode MS"/>
          <w:noProof/>
          <w:szCs w:val="24"/>
        </w:rPr>
      </w:pPr>
      <w:r w:rsidRPr="006A39BB">
        <w:rPr>
          <w:noProof/>
          <w:szCs w:val="24"/>
        </w:rPr>
        <w:t>Both the indicators above and surveys will help evaluate whether the preferred policy option is successful in achieving the specified objectives. These indicators will then serve as a basis for an evaluation that should be presented at the latest 5 years after the entry into force of the present initiative. The draft proposal will further contain a commitment to evaluate the impacts of the new legislative act. The Commission will start monitoring implementation of the preferred policy option after the entry into force of the initiative.</w:t>
      </w:r>
    </w:p>
    <w:p w14:paraId="219A5A53"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Explanatory documents (for directives)</w:t>
      </w:r>
    </w:p>
    <w:p w14:paraId="3987E54A" w14:textId="77777777" w:rsidR="00587167" w:rsidRPr="006A39BB" w:rsidRDefault="004F1532" w:rsidP="00EC435D">
      <w:pPr>
        <w:pBdr>
          <w:top w:val="nil"/>
          <w:left w:val="nil"/>
          <w:bottom w:val="nil"/>
          <w:right w:val="nil"/>
          <w:between w:val="nil"/>
          <w:bar w:val="nil"/>
        </w:pBdr>
        <w:spacing w:line="23" w:lineRule="atLeast"/>
        <w:rPr>
          <w:rFonts w:eastAsia="Arial Unicode MS"/>
          <w:noProof/>
          <w:szCs w:val="24"/>
        </w:rPr>
      </w:pPr>
      <w:r w:rsidRPr="006A39BB">
        <w:rPr>
          <w:noProof/>
          <w:szCs w:val="24"/>
        </w:rPr>
        <w:t>Not applicable.</w:t>
      </w:r>
    </w:p>
    <w:p w14:paraId="2D741822" w14:textId="77777777" w:rsidR="00587167" w:rsidRPr="006A39BB" w:rsidRDefault="00587167" w:rsidP="00EC435D">
      <w:pPr>
        <w:pStyle w:val="ManualHeading2"/>
        <w:spacing w:line="23" w:lineRule="atLeast"/>
        <w:rPr>
          <w:rFonts w:eastAsia="Arial Unicode MS"/>
          <w:noProof/>
          <w:szCs w:val="24"/>
          <w:u w:color="000000"/>
          <w:bdr w:val="nil"/>
          <w:lang w:eastAsia="en-GB"/>
        </w:rPr>
      </w:pPr>
      <w:r w:rsidRPr="006A39BB">
        <w:rPr>
          <w:rFonts w:eastAsia="Arial Unicode MS"/>
          <w:noProof/>
          <w:szCs w:val="24"/>
          <w:u w:color="000000"/>
          <w:bdr w:val="nil"/>
          <w:lang w:eastAsia="en-GB"/>
        </w:rPr>
        <w:t>•</w:t>
      </w:r>
      <w:r w:rsidRPr="006A39BB">
        <w:rPr>
          <w:rFonts w:eastAsia="Arial Unicode MS"/>
          <w:noProof/>
          <w:szCs w:val="24"/>
          <w:u w:color="000000"/>
          <w:bdr w:val="nil"/>
          <w:lang w:eastAsia="en-GB"/>
        </w:rPr>
        <w:tab/>
        <w:t>Detailed explanation of the specific provisions of the proposal</w:t>
      </w:r>
      <w:r w:rsidR="00430E22" w:rsidRPr="006A39BB">
        <w:rPr>
          <w:rFonts w:eastAsia="Arial Unicode MS"/>
          <w:noProof/>
          <w:szCs w:val="24"/>
          <w:u w:color="000000"/>
          <w:bdr w:val="nil"/>
          <w:lang w:eastAsia="en-GB"/>
        </w:rPr>
        <w:t xml:space="preserve"> (to be completed when clarity on articles numbering/reordering</w:t>
      </w:r>
      <w:r w:rsidR="00A67D94" w:rsidRPr="006A39BB">
        <w:rPr>
          <w:rFonts w:eastAsia="Arial Unicode MS"/>
          <w:noProof/>
          <w:szCs w:val="24"/>
          <w:u w:color="000000"/>
          <w:bdr w:val="nil"/>
          <w:lang w:eastAsia="en-GB"/>
        </w:rPr>
        <w:t>)</w:t>
      </w:r>
    </w:p>
    <w:p w14:paraId="59CE986E" w14:textId="1B8B71F9" w:rsidR="006F7AAE" w:rsidRPr="006A39BB" w:rsidRDefault="00A061E3" w:rsidP="00EC435D">
      <w:pPr>
        <w:pBdr>
          <w:top w:val="nil"/>
          <w:left w:val="nil"/>
          <w:bottom w:val="nil"/>
          <w:right w:val="nil"/>
          <w:between w:val="nil"/>
          <w:bar w:val="nil"/>
        </w:pBdr>
        <w:spacing w:line="23" w:lineRule="atLeast"/>
        <w:rPr>
          <w:noProof/>
          <w:szCs w:val="24"/>
        </w:rPr>
      </w:pPr>
      <w:r w:rsidRPr="006A39BB">
        <w:rPr>
          <w:noProof/>
          <w:szCs w:val="24"/>
        </w:rPr>
        <w:t>Title I</w:t>
      </w:r>
      <w:r w:rsidR="00430E22" w:rsidRPr="006A39BB">
        <w:rPr>
          <w:noProof/>
          <w:szCs w:val="24"/>
        </w:rPr>
        <w:t xml:space="preserve"> l</w:t>
      </w:r>
      <w:r w:rsidRPr="006A39BB">
        <w:rPr>
          <w:noProof/>
          <w:szCs w:val="24"/>
        </w:rPr>
        <w:t>ays down the subject matter</w:t>
      </w:r>
      <w:r w:rsidR="009C7463">
        <w:rPr>
          <w:noProof/>
          <w:szCs w:val="24"/>
        </w:rPr>
        <w:t xml:space="preserve">, scope and definitions applicable to </w:t>
      </w:r>
      <w:r w:rsidRPr="006A39BB">
        <w:rPr>
          <w:noProof/>
          <w:szCs w:val="24"/>
        </w:rPr>
        <w:t>the Regulation</w:t>
      </w:r>
      <w:r w:rsidR="009C7463">
        <w:rPr>
          <w:noProof/>
          <w:szCs w:val="24"/>
        </w:rPr>
        <w:t>. Article 1 sets out the subject matter of the Regulation</w:t>
      </w:r>
      <w:r w:rsidRPr="006A39BB">
        <w:rPr>
          <w:noProof/>
          <w:szCs w:val="24"/>
        </w:rPr>
        <w:t xml:space="preserve">, namely </w:t>
      </w:r>
      <w:r w:rsidR="004E74B7" w:rsidRPr="006A39BB">
        <w:rPr>
          <w:noProof/>
          <w:szCs w:val="24"/>
        </w:rPr>
        <w:t xml:space="preserve">the introduction of </w:t>
      </w:r>
      <w:r w:rsidR="00457D57" w:rsidRPr="006A39BB">
        <w:rPr>
          <w:noProof/>
          <w:szCs w:val="24"/>
        </w:rPr>
        <w:t xml:space="preserve">a common regulatory approach to enhance the integrity, transparency, responsibility, good governance and independence of ESG rating </w:t>
      </w:r>
      <w:r w:rsidR="00F20AC0" w:rsidRPr="006A39BB">
        <w:rPr>
          <w:noProof/>
          <w:szCs w:val="24"/>
        </w:rPr>
        <w:t>activities</w:t>
      </w:r>
      <w:r w:rsidR="00457D57" w:rsidRPr="006A39BB">
        <w:rPr>
          <w:noProof/>
          <w:szCs w:val="24"/>
        </w:rPr>
        <w:t xml:space="preserve">, contributing to the transparency and quality of ESG ratings provided to regulated European financial undertakings and European </w:t>
      </w:r>
      <w:r w:rsidR="2CA5F681" w:rsidRPr="006A39BB">
        <w:rPr>
          <w:noProof/>
          <w:szCs w:val="24"/>
        </w:rPr>
        <w:t>undertakings</w:t>
      </w:r>
      <w:r w:rsidRPr="006A39BB">
        <w:rPr>
          <w:noProof/>
          <w:szCs w:val="24"/>
        </w:rPr>
        <w:t xml:space="preserve">. </w:t>
      </w:r>
      <w:r w:rsidR="003071D9" w:rsidRPr="006A39BB">
        <w:rPr>
          <w:noProof/>
          <w:szCs w:val="24"/>
        </w:rPr>
        <w:t>The Regulation also</w:t>
      </w:r>
      <w:r w:rsidR="00457D57" w:rsidRPr="006A39BB">
        <w:rPr>
          <w:noProof/>
          <w:szCs w:val="24"/>
        </w:rPr>
        <w:t xml:space="preserve"> lays down transparency requirements related to ESG ratings and rules on the organisation and conduct of ESG rating providers.</w:t>
      </w:r>
      <w:r w:rsidR="003071D9" w:rsidRPr="006A39BB">
        <w:rPr>
          <w:noProof/>
          <w:szCs w:val="24"/>
        </w:rPr>
        <w:t xml:space="preserve"> </w:t>
      </w:r>
      <w:r w:rsidRPr="006A39BB">
        <w:rPr>
          <w:noProof/>
          <w:szCs w:val="24"/>
        </w:rPr>
        <w:t xml:space="preserve">Article 2 </w:t>
      </w:r>
      <w:r w:rsidR="000A7E07" w:rsidRPr="006A39BB">
        <w:rPr>
          <w:noProof/>
          <w:szCs w:val="24"/>
        </w:rPr>
        <w:t xml:space="preserve">relates to the scope of this Regulation, which applies to ESG rating </w:t>
      </w:r>
      <w:r w:rsidR="00E52A95" w:rsidRPr="006A39BB">
        <w:rPr>
          <w:noProof/>
          <w:szCs w:val="24"/>
        </w:rPr>
        <w:t>activities</w:t>
      </w:r>
      <w:r w:rsidR="00E26B95" w:rsidRPr="006A39BB">
        <w:rPr>
          <w:noProof/>
          <w:szCs w:val="24"/>
        </w:rPr>
        <w:t xml:space="preserve"> provided by ESG rating providers</w:t>
      </w:r>
      <w:r w:rsidR="000A7E07" w:rsidRPr="006A39BB">
        <w:rPr>
          <w:noProof/>
          <w:szCs w:val="24"/>
        </w:rPr>
        <w:t xml:space="preserve"> operating in the EU.</w:t>
      </w:r>
      <w:r w:rsidR="003071D9" w:rsidRPr="006A39BB">
        <w:rPr>
          <w:noProof/>
          <w:szCs w:val="24"/>
        </w:rPr>
        <w:t xml:space="preserve"> </w:t>
      </w:r>
      <w:r w:rsidR="006F7AAE" w:rsidRPr="006A39BB">
        <w:rPr>
          <w:noProof/>
          <w:szCs w:val="24"/>
        </w:rPr>
        <w:t>Article 3 sets out the definitions for the purposes of this Regulation.</w:t>
      </w:r>
    </w:p>
    <w:p w14:paraId="65BAAA1F" w14:textId="77777777" w:rsidR="007477DD" w:rsidRPr="006A39BB" w:rsidRDefault="007477DD" w:rsidP="00EC435D">
      <w:pPr>
        <w:pBdr>
          <w:top w:val="nil"/>
          <w:left w:val="nil"/>
          <w:bottom w:val="nil"/>
          <w:right w:val="nil"/>
          <w:between w:val="nil"/>
          <w:bar w:val="nil"/>
        </w:pBdr>
        <w:spacing w:line="23" w:lineRule="atLeast"/>
        <w:rPr>
          <w:noProof/>
          <w:szCs w:val="24"/>
        </w:rPr>
      </w:pPr>
      <w:r w:rsidRPr="006A39BB">
        <w:rPr>
          <w:noProof/>
          <w:szCs w:val="24"/>
        </w:rPr>
        <w:t>Title II of the Regulation sets out the conditions for the provision of ESG ratings in the Union</w:t>
      </w:r>
    </w:p>
    <w:p w14:paraId="451D5242" w14:textId="6D806BBD" w:rsidR="007477DD" w:rsidRPr="006A39BB" w:rsidRDefault="007477DD" w:rsidP="00EC435D">
      <w:pPr>
        <w:pBdr>
          <w:top w:val="nil"/>
          <w:left w:val="nil"/>
          <w:bottom w:val="nil"/>
          <w:right w:val="nil"/>
          <w:between w:val="nil"/>
          <w:bar w:val="nil"/>
        </w:pBdr>
        <w:spacing w:line="23" w:lineRule="atLeast"/>
        <w:rPr>
          <w:noProof/>
          <w:szCs w:val="24"/>
        </w:rPr>
      </w:pPr>
      <w:r w:rsidRPr="006A39BB">
        <w:rPr>
          <w:noProof/>
          <w:szCs w:val="24"/>
        </w:rPr>
        <w:t xml:space="preserve">Article 4 to 8 lay down requirements relating to the process for authorisation of ESG rating providers, including the submission of an application for authorisation, its examination, notification of a decision to authorise, refuse or withdraw an authorisation by ESMA. </w:t>
      </w:r>
      <w:r w:rsidR="00683E6F" w:rsidRPr="006A39BB">
        <w:rPr>
          <w:noProof/>
          <w:szCs w:val="24"/>
        </w:rPr>
        <w:t xml:space="preserve">Article </w:t>
      </w:r>
      <w:r w:rsidR="00AC5B6F" w:rsidRPr="006A39BB">
        <w:rPr>
          <w:noProof/>
          <w:szCs w:val="24"/>
        </w:rPr>
        <w:t>9</w:t>
      </w:r>
      <w:r w:rsidR="00683E6F" w:rsidRPr="006A39BB">
        <w:rPr>
          <w:noProof/>
          <w:szCs w:val="24"/>
        </w:rPr>
        <w:t xml:space="preserve"> to 12</w:t>
      </w:r>
      <w:r w:rsidR="00B94E35" w:rsidRPr="006A39BB">
        <w:rPr>
          <w:noProof/>
          <w:szCs w:val="24"/>
        </w:rPr>
        <w:t xml:space="preserve"> establishes rules on the provision of ESG ratings in the EU by third country ESG rating providers. Article </w:t>
      </w:r>
      <w:r w:rsidR="001E798F" w:rsidRPr="006A39BB">
        <w:rPr>
          <w:noProof/>
          <w:szCs w:val="24"/>
        </w:rPr>
        <w:t>9</w:t>
      </w:r>
      <w:r w:rsidR="00B94E35" w:rsidRPr="006A39BB">
        <w:rPr>
          <w:noProof/>
          <w:szCs w:val="24"/>
        </w:rPr>
        <w:t xml:space="preserve"> lays down requirements relating to equivalence decisions, while Article </w:t>
      </w:r>
      <w:r w:rsidR="001E798F" w:rsidRPr="006A39BB">
        <w:rPr>
          <w:noProof/>
          <w:szCs w:val="24"/>
        </w:rPr>
        <w:t>10</w:t>
      </w:r>
      <w:r w:rsidR="00B94E35" w:rsidRPr="006A39BB">
        <w:rPr>
          <w:noProof/>
          <w:szCs w:val="24"/>
        </w:rPr>
        <w:t xml:space="preserve"> covers requirements on endorsement of ESG ratings and Article </w:t>
      </w:r>
      <w:r w:rsidR="001E798F" w:rsidRPr="006A39BB">
        <w:rPr>
          <w:noProof/>
          <w:szCs w:val="24"/>
        </w:rPr>
        <w:t>11</w:t>
      </w:r>
      <w:r w:rsidR="00B94E35" w:rsidRPr="006A39BB">
        <w:rPr>
          <w:noProof/>
          <w:szCs w:val="24"/>
        </w:rPr>
        <w:t xml:space="preserve"> lays down requirements on the recognition process.</w:t>
      </w:r>
      <w:r w:rsidR="001E798F" w:rsidRPr="006A39BB">
        <w:rPr>
          <w:noProof/>
          <w:szCs w:val="24"/>
        </w:rPr>
        <w:t xml:space="preserve"> Article 12 concerns cooperation arrangements between ESMA and third country </w:t>
      </w:r>
      <w:r w:rsidR="00B03A6C" w:rsidRPr="006A39BB">
        <w:rPr>
          <w:noProof/>
          <w:szCs w:val="24"/>
        </w:rPr>
        <w:t xml:space="preserve">supervisory authorities. </w:t>
      </w:r>
      <w:r w:rsidRPr="006A39BB">
        <w:rPr>
          <w:noProof/>
          <w:szCs w:val="24"/>
        </w:rPr>
        <w:t xml:space="preserve">Article </w:t>
      </w:r>
      <w:r w:rsidR="009F409B" w:rsidRPr="006A39BB">
        <w:rPr>
          <w:noProof/>
          <w:szCs w:val="24"/>
        </w:rPr>
        <w:t>13</w:t>
      </w:r>
      <w:r w:rsidRPr="006A39BB">
        <w:rPr>
          <w:noProof/>
          <w:szCs w:val="24"/>
        </w:rPr>
        <w:t xml:space="preserve"> introduces a requirement for ESMA to maintain a register on its website with all authorised ESG rating providers</w:t>
      </w:r>
      <w:r w:rsidR="00BE3DA9">
        <w:rPr>
          <w:noProof/>
          <w:szCs w:val="24"/>
        </w:rPr>
        <w:t xml:space="preserve"> and provides for requirements on the accessibility of information on the European Singly Access Point (ESAP)</w:t>
      </w:r>
      <w:r w:rsidRPr="006A39BB">
        <w:rPr>
          <w:noProof/>
          <w:szCs w:val="24"/>
        </w:rPr>
        <w:t>.</w:t>
      </w:r>
    </w:p>
    <w:p w14:paraId="10E99681" w14:textId="77777777" w:rsidR="00847C20" w:rsidRPr="006A39BB" w:rsidRDefault="00847C20" w:rsidP="00EC435D">
      <w:pPr>
        <w:pBdr>
          <w:top w:val="nil"/>
          <w:left w:val="nil"/>
          <w:bottom w:val="nil"/>
          <w:right w:val="nil"/>
          <w:between w:val="nil"/>
          <w:bar w:val="nil"/>
        </w:pBdr>
        <w:spacing w:line="23" w:lineRule="atLeast"/>
        <w:rPr>
          <w:noProof/>
          <w:szCs w:val="24"/>
        </w:rPr>
      </w:pPr>
      <w:r w:rsidRPr="006A39BB">
        <w:rPr>
          <w:noProof/>
          <w:szCs w:val="24"/>
        </w:rPr>
        <w:t>Title III of the Regulation sets out the principles on the integrity and reliability of ESG rating activities.</w:t>
      </w:r>
    </w:p>
    <w:p w14:paraId="6C3F953F" w14:textId="6325949A" w:rsidR="00847C20" w:rsidRPr="006A39BB" w:rsidRDefault="00847C20" w:rsidP="00EC435D">
      <w:pPr>
        <w:pBdr>
          <w:top w:val="nil"/>
          <w:left w:val="nil"/>
          <w:bottom w:val="nil"/>
          <w:right w:val="nil"/>
          <w:between w:val="nil"/>
          <w:bar w:val="nil"/>
        </w:pBdr>
        <w:spacing w:line="23" w:lineRule="atLeast"/>
        <w:rPr>
          <w:noProof/>
          <w:szCs w:val="24"/>
        </w:rPr>
      </w:pPr>
      <w:r w:rsidRPr="006A39BB">
        <w:rPr>
          <w:noProof/>
          <w:szCs w:val="24"/>
        </w:rPr>
        <w:t xml:space="preserve">Chapter 1 determines the organisational requirements, processes and documents concerning governance for ESG rating activities. Article </w:t>
      </w:r>
      <w:r w:rsidR="00254053" w:rsidRPr="006A39BB">
        <w:rPr>
          <w:noProof/>
          <w:szCs w:val="24"/>
        </w:rPr>
        <w:t>14</w:t>
      </w:r>
      <w:r w:rsidRPr="006A39BB">
        <w:rPr>
          <w:noProof/>
          <w:szCs w:val="24"/>
        </w:rPr>
        <w:t xml:space="preserve"> lays down the general principles to be followed by ESG rating providers </w:t>
      </w:r>
      <w:r w:rsidR="006D50DB">
        <w:rPr>
          <w:noProof/>
          <w:szCs w:val="24"/>
        </w:rPr>
        <w:t xml:space="preserve">including </w:t>
      </w:r>
      <w:r w:rsidRPr="006A39BB">
        <w:rPr>
          <w:noProof/>
          <w:szCs w:val="24"/>
        </w:rPr>
        <w:t xml:space="preserve">the need to employ appropriate systems, resources and procedures and ensure the independence of activities. Article </w:t>
      </w:r>
      <w:r w:rsidR="00582573" w:rsidRPr="006A39BB">
        <w:rPr>
          <w:noProof/>
          <w:szCs w:val="24"/>
        </w:rPr>
        <w:t>15</w:t>
      </w:r>
      <w:r w:rsidRPr="006A39BB">
        <w:rPr>
          <w:noProof/>
          <w:szCs w:val="24"/>
        </w:rPr>
        <w:t xml:space="preserve"> requires ESG rating activities to be separated from a number of activities, including the provision of consulting activities, issuance and sale of credit ratings and development of benchmarks.  Article </w:t>
      </w:r>
      <w:r w:rsidR="00582573" w:rsidRPr="006A39BB">
        <w:rPr>
          <w:noProof/>
          <w:szCs w:val="24"/>
        </w:rPr>
        <w:t>1</w:t>
      </w:r>
      <w:r w:rsidRPr="006A39BB">
        <w:rPr>
          <w:noProof/>
          <w:szCs w:val="24"/>
        </w:rPr>
        <w:t xml:space="preserve">6 lays down in more details the obligations for rating analysts, employees and other persons involved in the provision of ESG ratings. Article </w:t>
      </w:r>
      <w:r w:rsidR="00582573" w:rsidRPr="006A39BB">
        <w:rPr>
          <w:noProof/>
          <w:szCs w:val="24"/>
        </w:rPr>
        <w:t>1</w:t>
      </w:r>
      <w:r w:rsidRPr="006A39BB">
        <w:rPr>
          <w:noProof/>
          <w:szCs w:val="24"/>
        </w:rPr>
        <w:t xml:space="preserve">7 introduces requirements on record-keeping related to ESG rating activities. Article </w:t>
      </w:r>
      <w:r w:rsidR="00582573" w:rsidRPr="006A39BB">
        <w:rPr>
          <w:noProof/>
          <w:szCs w:val="24"/>
        </w:rPr>
        <w:t>1</w:t>
      </w:r>
      <w:r w:rsidRPr="006A39BB">
        <w:rPr>
          <w:noProof/>
          <w:szCs w:val="24"/>
        </w:rPr>
        <w:t xml:space="preserve">8 then sets out obligations for ESG rating providers to have an independent complaints procedure established to ensure that stakeholders are able to notify them of complaints and that the ESG rating provider objectively evaluates the merits of any complaint. Article </w:t>
      </w:r>
      <w:r w:rsidR="00582573" w:rsidRPr="006A39BB">
        <w:rPr>
          <w:noProof/>
          <w:szCs w:val="24"/>
        </w:rPr>
        <w:t>1</w:t>
      </w:r>
      <w:r w:rsidRPr="006A39BB">
        <w:rPr>
          <w:noProof/>
          <w:szCs w:val="24"/>
        </w:rPr>
        <w:t xml:space="preserve">9 introduces requirements and safeguards relating to the outsourcing of some functions related to ESG rating activities to third parties. Article </w:t>
      </w:r>
      <w:r w:rsidR="00582573" w:rsidRPr="006A39BB">
        <w:rPr>
          <w:noProof/>
          <w:szCs w:val="24"/>
        </w:rPr>
        <w:t>20</w:t>
      </w:r>
      <w:r w:rsidRPr="006A39BB">
        <w:rPr>
          <w:noProof/>
          <w:szCs w:val="24"/>
        </w:rPr>
        <w:t xml:space="preserve"> sets out exemptions on governance requirements that can be awarded by ESMA to those ESG rating providers that are meeting criteria in particular related to their size.</w:t>
      </w:r>
    </w:p>
    <w:p w14:paraId="5E4D8F8A" w14:textId="3D2C1922" w:rsidR="00847C20" w:rsidRPr="006A39BB" w:rsidRDefault="00847C20" w:rsidP="00EC435D">
      <w:pPr>
        <w:pBdr>
          <w:top w:val="nil"/>
          <w:left w:val="nil"/>
          <w:bottom w:val="nil"/>
          <w:right w:val="nil"/>
          <w:between w:val="nil"/>
          <w:bar w:val="nil"/>
        </w:pBdr>
        <w:spacing w:line="23" w:lineRule="atLeast"/>
        <w:rPr>
          <w:noProof/>
          <w:szCs w:val="24"/>
        </w:rPr>
      </w:pPr>
      <w:r w:rsidRPr="006A39BB">
        <w:rPr>
          <w:noProof/>
          <w:szCs w:val="24"/>
        </w:rPr>
        <w:t xml:space="preserve">Chapter 2 covers the transparency requirements of ESG ratings’ activities. Article </w:t>
      </w:r>
      <w:r w:rsidR="00582573" w:rsidRPr="006A39BB">
        <w:rPr>
          <w:noProof/>
          <w:szCs w:val="24"/>
        </w:rPr>
        <w:t>21</w:t>
      </w:r>
      <w:r w:rsidR="004946DC" w:rsidRPr="006A39BB">
        <w:rPr>
          <w:noProof/>
          <w:szCs w:val="24"/>
        </w:rPr>
        <w:t xml:space="preserve"> </w:t>
      </w:r>
      <w:r w:rsidRPr="006A39BB">
        <w:rPr>
          <w:noProof/>
          <w:szCs w:val="24"/>
        </w:rPr>
        <w:t xml:space="preserve">introduces the transparency requirements over ESG rating activities to be made available to the public. Article </w:t>
      </w:r>
      <w:r w:rsidR="00582573" w:rsidRPr="006A39BB">
        <w:rPr>
          <w:noProof/>
          <w:szCs w:val="24"/>
        </w:rPr>
        <w:t>2</w:t>
      </w:r>
      <w:r w:rsidR="006E7D8F" w:rsidRPr="006A39BB">
        <w:rPr>
          <w:noProof/>
          <w:szCs w:val="24"/>
        </w:rPr>
        <w:t>2</w:t>
      </w:r>
      <w:r w:rsidRPr="006A39BB">
        <w:rPr>
          <w:noProof/>
          <w:szCs w:val="24"/>
        </w:rPr>
        <w:t xml:space="preserve"> introduces transparency requirements over ESG rating activities to be made available to the </w:t>
      </w:r>
      <w:r w:rsidR="006D50DB">
        <w:rPr>
          <w:noProof/>
          <w:szCs w:val="24"/>
        </w:rPr>
        <w:t>subscribers</w:t>
      </w:r>
      <w:r w:rsidRPr="006A39BB">
        <w:rPr>
          <w:noProof/>
          <w:szCs w:val="24"/>
        </w:rPr>
        <w:t xml:space="preserve"> of ESG ratings and to rated entities.</w:t>
      </w:r>
    </w:p>
    <w:p w14:paraId="6088927F" w14:textId="5FACCD55" w:rsidR="006E7D8F" w:rsidRPr="006A39BB" w:rsidRDefault="00847C20" w:rsidP="00EC435D">
      <w:pPr>
        <w:pBdr>
          <w:top w:val="nil"/>
          <w:left w:val="nil"/>
          <w:bottom w:val="nil"/>
          <w:right w:val="nil"/>
          <w:between w:val="nil"/>
          <w:bar w:val="nil"/>
        </w:pBdr>
        <w:spacing w:line="23" w:lineRule="atLeast"/>
        <w:rPr>
          <w:noProof/>
          <w:szCs w:val="24"/>
        </w:rPr>
      </w:pPr>
      <w:r w:rsidRPr="006A39BB">
        <w:rPr>
          <w:noProof/>
          <w:szCs w:val="24"/>
        </w:rPr>
        <w:t xml:space="preserve">Chapter </w:t>
      </w:r>
      <w:r w:rsidR="006D50DB">
        <w:rPr>
          <w:noProof/>
          <w:szCs w:val="24"/>
        </w:rPr>
        <w:t>3</w:t>
      </w:r>
      <w:r w:rsidRPr="006A39BB">
        <w:rPr>
          <w:noProof/>
          <w:szCs w:val="24"/>
        </w:rPr>
        <w:t xml:space="preserve"> lays down obligations relating to the independence and conflict of interests of ESG rating providers. Article </w:t>
      </w:r>
      <w:r w:rsidR="006E7D8F" w:rsidRPr="006A39BB">
        <w:rPr>
          <w:noProof/>
          <w:szCs w:val="24"/>
        </w:rPr>
        <w:t>23</w:t>
      </w:r>
      <w:r w:rsidRPr="006A39BB">
        <w:rPr>
          <w:noProof/>
          <w:szCs w:val="24"/>
        </w:rPr>
        <w:t xml:space="preserve"> requires ESG rating providers to have in place robust governance arrangements which include a clear organisational structure with well-defined, transparent and consistent roles and responsibilities for all persons involved in the provision of an ESG rating. Article </w:t>
      </w:r>
      <w:r w:rsidR="006E7D8F" w:rsidRPr="006A39BB">
        <w:rPr>
          <w:noProof/>
          <w:szCs w:val="24"/>
        </w:rPr>
        <w:t>24</w:t>
      </w:r>
      <w:r w:rsidRPr="006A39BB">
        <w:rPr>
          <w:noProof/>
          <w:szCs w:val="24"/>
        </w:rPr>
        <w:t xml:space="preserve"> lays down requirements on the management of potential conflicts of interest by employees involved in the provision of ESG ratings. Article </w:t>
      </w:r>
      <w:r w:rsidR="006E7D8F" w:rsidRPr="006A39BB">
        <w:rPr>
          <w:noProof/>
          <w:szCs w:val="24"/>
        </w:rPr>
        <w:t>25</w:t>
      </w:r>
      <w:r w:rsidRPr="006A39BB">
        <w:rPr>
          <w:noProof/>
          <w:szCs w:val="24"/>
        </w:rPr>
        <w:t xml:space="preserve"> sets out obligations for ESG ratings’ fees that are charged to clients to</w:t>
      </w:r>
      <w:r w:rsidR="006D50DB">
        <w:rPr>
          <w:noProof/>
          <w:szCs w:val="24"/>
        </w:rPr>
        <w:t xml:space="preserve"> be</w:t>
      </w:r>
      <w:r w:rsidRPr="006A39BB">
        <w:rPr>
          <w:noProof/>
          <w:szCs w:val="24"/>
        </w:rPr>
        <w:t xml:space="preserve"> fair, reasonable, transparent, non-discriminatory and based on actual costs.</w:t>
      </w:r>
    </w:p>
    <w:p w14:paraId="72690B85" w14:textId="6D889274" w:rsidR="007477DD" w:rsidRPr="006A39BB" w:rsidRDefault="007477DD" w:rsidP="00EC435D">
      <w:pPr>
        <w:pBdr>
          <w:top w:val="nil"/>
          <w:left w:val="nil"/>
          <w:bottom w:val="nil"/>
          <w:right w:val="nil"/>
          <w:between w:val="nil"/>
          <w:bar w:val="nil"/>
        </w:pBdr>
        <w:spacing w:line="23" w:lineRule="atLeast"/>
        <w:rPr>
          <w:noProof/>
          <w:szCs w:val="24"/>
        </w:rPr>
      </w:pPr>
      <w:r w:rsidRPr="006A39BB">
        <w:rPr>
          <w:noProof/>
          <w:szCs w:val="24"/>
        </w:rPr>
        <w:t xml:space="preserve">Chapter </w:t>
      </w:r>
      <w:r w:rsidR="006D50DB">
        <w:rPr>
          <w:noProof/>
          <w:szCs w:val="24"/>
        </w:rPr>
        <w:t>4</w:t>
      </w:r>
      <w:r w:rsidRPr="006A39BB">
        <w:rPr>
          <w:noProof/>
          <w:szCs w:val="24"/>
        </w:rPr>
        <w:t xml:space="preserve">, Article </w:t>
      </w:r>
      <w:r w:rsidR="0092500A" w:rsidRPr="006A39BB">
        <w:rPr>
          <w:noProof/>
          <w:szCs w:val="24"/>
        </w:rPr>
        <w:t xml:space="preserve">26 </w:t>
      </w:r>
      <w:r w:rsidRPr="006A39BB">
        <w:rPr>
          <w:noProof/>
          <w:szCs w:val="24"/>
        </w:rPr>
        <w:t xml:space="preserve">to </w:t>
      </w:r>
      <w:r w:rsidR="0092500A" w:rsidRPr="006A39BB">
        <w:rPr>
          <w:noProof/>
          <w:szCs w:val="24"/>
        </w:rPr>
        <w:t>3</w:t>
      </w:r>
      <w:r w:rsidR="000039B2" w:rsidRPr="006A39BB">
        <w:rPr>
          <w:noProof/>
          <w:szCs w:val="24"/>
        </w:rPr>
        <w:t>9</w:t>
      </w:r>
      <w:r w:rsidRPr="006A39BB">
        <w:rPr>
          <w:noProof/>
          <w:szCs w:val="24"/>
        </w:rPr>
        <w:t xml:space="preserve">, sets out ESMA’s powers with regard to the supervision of ESG rating providers. These include the power to request information by simple request or by decision, the power to conduct general investigations </w:t>
      </w:r>
      <w:r w:rsidR="003D2675">
        <w:rPr>
          <w:noProof/>
          <w:szCs w:val="24"/>
        </w:rPr>
        <w:t>and</w:t>
      </w:r>
      <w:r w:rsidRPr="006A39BB">
        <w:rPr>
          <w:noProof/>
          <w:szCs w:val="24"/>
        </w:rPr>
        <w:t xml:space="preserve"> the power to conduct on-site inspections. The chapter also sets out the conditions under which ESMA may exercise its supervisory powers. Several provisions specify the supervisory measures, fines and periodic penalties ESMA may impose. ESMA is also enabled to charge authorisation and supervisory fees.</w:t>
      </w:r>
    </w:p>
    <w:p w14:paraId="42EBD10C" w14:textId="5FCEF45A" w:rsidR="0082257C" w:rsidRPr="006A39BB" w:rsidRDefault="0082257C" w:rsidP="00EC435D">
      <w:pPr>
        <w:pBdr>
          <w:top w:val="nil"/>
          <w:left w:val="nil"/>
          <w:bottom w:val="nil"/>
          <w:right w:val="nil"/>
          <w:between w:val="nil"/>
          <w:bar w:val="nil"/>
        </w:pBdr>
        <w:spacing w:line="23" w:lineRule="atLeast"/>
        <w:rPr>
          <w:noProof/>
          <w:szCs w:val="24"/>
        </w:rPr>
      </w:pPr>
      <w:r w:rsidRPr="006A39BB">
        <w:rPr>
          <w:noProof/>
          <w:szCs w:val="24"/>
        </w:rPr>
        <w:t xml:space="preserve">Chapter </w:t>
      </w:r>
      <w:r w:rsidR="000B2B3F">
        <w:rPr>
          <w:noProof/>
          <w:szCs w:val="24"/>
        </w:rPr>
        <w:t>5</w:t>
      </w:r>
      <w:r w:rsidRPr="006A39BB">
        <w:rPr>
          <w:noProof/>
          <w:szCs w:val="24"/>
        </w:rPr>
        <w:t xml:space="preserve"> lays down principles on cooperation between ESMA and national competent authorities</w:t>
      </w:r>
      <w:r w:rsidR="002202D1" w:rsidRPr="006A39BB">
        <w:rPr>
          <w:noProof/>
          <w:szCs w:val="24"/>
        </w:rPr>
        <w:t>.</w:t>
      </w:r>
    </w:p>
    <w:p w14:paraId="6BBF8A34" w14:textId="41AD41F9" w:rsidR="005F6760" w:rsidRPr="006A39BB" w:rsidRDefault="005F6760" w:rsidP="00EC435D">
      <w:pPr>
        <w:pBdr>
          <w:top w:val="nil"/>
          <w:left w:val="nil"/>
          <w:bottom w:val="nil"/>
          <w:right w:val="nil"/>
          <w:between w:val="nil"/>
          <w:bar w:val="nil"/>
        </w:pBdr>
        <w:spacing w:line="23" w:lineRule="atLeast"/>
        <w:rPr>
          <w:noProof/>
          <w:szCs w:val="24"/>
        </w:rPr>
      </w:pPr>
      <w:r w:rsidRPr="006A39BB">
        <w:rPr>
          <w:noProof/>
          <w:szCs w:val="24"/>
        </w:rPr>
        <w:t>T</w:t>
      </w:r>
      <w:r w:rsidR="00F11D8E" w:rsidRPr="006A39BB">
        <w:rPr>
          <w:noProof/>
          <w:szCs w:val="24"/>
        </w:rPr>
        <w:t xml:space="preserve">itle </w:t>
      </w:r>
      <w:r w:rsidR="009C7463">
        <w:rPr>
          <w:noProof/>
          <w:szCs w:val="24"/>
        </w:rPr>
        <w:t>I</w:t>
      </w:r>
      <w:r w:rsidRPr="006A39BB">
        <w:rPr>
          <w:noProof/>
          <w:szCs w:val="24"/>
        </w:rPr>
        <w:t xml:space="preserve">V on Delegated </w:t>
      </w:r>
      <w:r w:rsidR="00402CB0" w:rsidRPr="006A39BB">
        <w:rPr>
          <w:noProof/>
          <w:szCs w:val="24"/>
        </w:rPr>
        <w:t xml:space="preserve">and Implementing </w:t>
      </w:r>
      <w:r w:rsidRPr="006A39BB">
        <w:rPr>
          <w:noProof/>
          <w:szCs w:val="24"/>
        </w:rPr>
        <w:t xml:space="preserve">Acts confers on the Commission the power to adopt delegated acts subject to the conditions laid down in Article </w:t>
      </w:r>
      <w:r w:rsidR="000D3E37" w:rsidRPr="006A39BB">
        <w:rPr>
          <w:noProof/>
          <w:szCs w:val="24"/>
        </w:rPr>
        <w:t>45</w:t>
      </w:r>
      <w:r w:rsidRPr="006A39BB">
        <w:rPr>
          <w:noProof/>
          <w:szCs w:val="24"/>
        </w:rPr>
        <w:t xml:space="preserve">. </w:t>
      </w:r>
    </w:p>
    <w:p w14:paraId="217DF51E" w14:textId="2F221FAD" w:rsidR="00587167" w:rsidRDefault="005F6760" w:rsidP="00EC435D">
      <w:pPr>
        <w:pBdr>
          <w:top w:val="nil"/>
          <w:left w:val="nil"/>
          <w:bottom w:val="nil"/>
          <w:right w:val="nil"/>
          <w:between w:val="nil"/>
          <w:bar w:val="nil"/>
        </w:pBdr>
        <w:spacing w:line="23" w:lineRule="atLeast"/>
        <w:rPr>
          <w:noProof/>
          <w:szCs w:val="24"/>
        </w:rPr>
      </w:pPr>
      <w:r w:rsidRPr="006A39BB">
        <w:rPr>
          <w:noProof/>
          <w:szCs w:val="24"/>
        </w:rPr>
        <w:t xml:space="preserve">Title V on </w:t>
      </w:r>
      <w:r w:rsidR="00F345DC" w:rsidRPr="006A39BB">
        <w:rPr>
          <w:noProof/>
          <w:szCs w:val="24"/>
        </w:rPr>
        <w:t xml:space="preserve">transitional and </w:t>
      </w:r>
      <w:r w:rsidRPr="006A39BB">
        <w:rPr>
          <w:noProof/>
          <w:szCs w:val="24"/>
        </w:rPr>
        <w:t xml:space="preserve">final provisions </w:t>
      </w:r>
      <w:r w:rsidR="00504B2D" w:rsidRPr="006A39BB">
        <w:rPr>
          <w:noProof/>
          <w:szCs w:val="24"/>
        </w:rPr>
        <w:t xml:space="preserve">sets out </w:t>
      </w:r>
      <w:r w:rsidR="001607BD" w:rsidRPr="006A39BB">
        <w:rPr>
          <w:noProof/>
          <w:szCs w:val="24"/>
        </w:rPr>
        <w:t xml:space="preserve">the date by when ESG rating providers should apply for authorisation, also providing for </w:t>
      </w:r>
      <w:r w:rsidR="00504B2D" w:rsidRPr="006A39BB">
        <w:rPr>
          <w:noProof/>
          <w:szCs w:val="24"/>
        </w:rPr>
        <w:t>a transitional period for</w:t>
      </w:r>
      <w:r w:rsidR="00E02B45" w:rsidRPr="006A39BB">
        <w:rPr>
          <w:noProof/>
          <w:szCs w:val="24"/>
        </w:rPr>
        <w:t xml:space="preserve"> </w:t>
      </w:r>
      <w:r w:rsidR="006D50DB">
        <w:rPr>
          <w:noProof/>
          <w:szCs w:val="24"/>
        </w:rPr>
        <w:t>small and medium-sized ESG rating providers that are</w:t>
      </w:r>
      <w:r w:rsidR="00E02B45" w:rsidRPr="006A39BB">
        <w:rPr>
          <w:noProof/>
          <w:szCs w:val="24"/>
        </w:rPr>
        <w:t xml:space="preserve"> offering their services prior to the entry into application of the Regulation. It also introduces </w:t>
      </w:r>
      <w:r w:rsidR="00804C97" w:rsidRPr="006A39BB">
        <w:rPr>
          <w:noProof/>
          <w:szCs w:val="24"/>
        </w:rPr>
        <w:t xml:space="preserve">a transitional period for new entrants to the market that are </w:t>
      </w:r>
      <w:r w:rsidR="006D50DB">
        <w:rPr>
          <w:noProof/>
          <w:szCs w:val="24"/>
        </w:rPr>
        <w:t>small and medium sized</w:t>
      </w:r>
      <w:r w:rsidR="00804C97" w:rsidRPr="006A39BB">
        <w:rPr>
          <w:noProof/>
          <w:szCs w:val="24"/>
        </w:rPr>
        <w:t xml:space="preserve"> ESG rating providers.</w:t>
      </w:r>
    </w:p>
    <w:p w14:paraId="2E25ECB8" w14:textId="7BEF2C28" w:rsidR="006D50DB" w:rsidRPr="006A39BB" w:rsidRDefault="006D50DB" w:rsidP="00EC435D">
      <w:pPr>
        <w:pBdr>
          <w:top w:val="nil"/>
          <w:left w:val="nil"/>
          <w:bottom w:val="nil"/>
          <w:right w:val="nil"/>
          <w:between w:val="nil"/>
          <w:bar w:val="nil"/>
        </w:pBdr>
        <w:spacing w:line="23" w:lineRule="atLeast"/>
        <w:rPr>
          <w:noProof/>
          <w:szCs w:val="24"/>
        </w:rPr>
        <w:sectPr w:rsidR="006D50DB" w:rsidRPr="006A39BB" w:rsidSect="00783A24">
          <w:footerReference w:type="default" r:id="rId15"/>
          <w:footerReference w:type="first" r:id="rId16"/>
          <w:pgSz w:w="11907" w:h="16839"/>
          <w:pgMar w:top="1134" w:right="1417" w:bottom="1134" w:left="1417" w:header="709" w:footer="709" w:gutter="0"/>
          <w:cols w:space="708"/>
          <w:docGrid w:linePitch="360"/>
        </w:sectPr>
      </w:pPr>
    </w:p>
    <w:p w14:paraId="7FF7242F" w14:textId="64860F7A" w:rsidR="00CD0AD3" w:rsidRDefault="00783A24" w:rsidP="00783A24">
      <w:pPr>
        <w:pStyle w:val="Rfrenceinterinstitutionnelle"/>
        <w:rPr>
          <w:noProof/>
        </w:rPr>
      </w:pPr>
      <w:r w:rsidRPr="00783A24">
        <w:t>2023/0177 (COD)</w:t>
      </w:r>
    </w:p>
    <w:p w14:paraId="47341B01" w14:textId="2DD3FFC6" w:rsidR="00587167" w:rsidRPr="006A39BB" w:rsidRDefault="00783A24" w:rsidP="00783A24">
      <w:pPr>
        <w:pStyle w:val="Statut"/>
        <w:rPr>
          <w:noProof/>
        </w:rPr>
      </w:pPr>
      <w:r w:rsidRPr="00783A24">
        <w:t>Proposal for a</w:t>
      </w:r>
    </w:p>
    <w:p w14:paraId="34FCDFFD" w14:textId="0498D2B7" w:rsidR="00587167" w:rsidRPr="006A39BB" w:rsidRDefault="00783A24" w:rsidP="00783A24">
      <w:pPr>
        <w:pStyle w:val="Typedudocument"/>
        <w:rPr>
          <w:noProof/>
        </w:rPr>
      </w:pPr>
      <w:r w:rsidRPr="00783A24">
        <w:t>REGULATION OF THE EUROPEAN PARLIAMENT AND OF THE COUNCIL</w:t>
      </w:r>
    </w:p>
    <w:p w14:paraId="6429B297" w14:textId="08EA3EC0" w:rsidR="00587167" w:rsidRPr="006A39BB" w:rsidRDefault="00783A24" w:rsidP="00783A24">
      <w:pPr>
        <w:pStyle w:val="Titreobjet"/>
        <w:rPr>
          <w:noProof/>
        </w:rPr>
      </w:pPr>
      <w:r w:rsidRPr="00783A24">
        <w:t>on the transparency and integrity of Environmental, Social and Governance (ESG) rating activities</w:t>
      </w:r>
    </w:p>
    <w:p w14:paraId="2EB54836" w14:textId="53CA1A5C" w:rsidR="00CD0AD3" w:rsidRDefault="00783A24" w:rsidP="00783A24">
      <w:pPr>
        <w:pStyle w:val="IntrtEEE"/>
        <w:rPr>
          <w:noProof/>
        </w:rPr>
      </w:pPr>
      <w:r w:rsidRPr="00783A24">
        <w:t>(Text with EEA relevance)</w:t>
      </w:r>
    </w:p>
    <w:p w14:paraId="7BA01508" w14:textId="77777777" w:rsidR="00587167" w:rsidRPr="006A39BB" w:rsidRDefault="00587167" w:rsidP="00EC435D">
      <w:pPr>
        <w:pStyle w:val="Institutionquiagit"/>
        <w:spacing w:before="120" w:line="23" w:lineRule="atLeast"/>
        <w:rPr>
          <w:noProof/>
          <w:szCs w:val="24"/>
        </w:rPr>
      </w:pPr>
      <w:r w:rsidRPr="006A39BB">
        <w:rPr>
          <w:noProof/>
          <w:szCs w:val="24"/>
        </w:rPr>
        <w:t>THE EUROPEAN PARLIAMENT AND THE COUNCIL OF THE EUROPEAN UNION,</w:t>
      </w:r>
    </w:p>
    <w:p w14:paraId="4753D6CE" w14:textId="77777777" w:rsidR="00587167" w:rsidRPr="006A39BB" w:rsidRDefault="00587167" w:rsidP="00EC435D">
      <w:pPr>
        <w:spacing w:line="23" w:lineRule="atLeast"/>
        <w:rPr>
          <w:noProof/>
          <w:szCs w:val="24"/>
        </w:rPr>
      </w:pPr>
      <w:r w:rsidRPr="006A39BB">
        <w:rPr>
          <w:noProof/>
          <w:szCs w:val="24"/>
        </w:rPr>
        <w:t xml:space="preserve">Having regard to the Treaty on the Functioning of the European Union, and in particular Article </w:t>
      </w:r>
      <w:r w:rsidR="00A97437" w:rsidRPr="006A39BB">
        <w:rPr>
          <w:noProof/>
          <w:szCs w:val="24"/>
        </w:rPr>
        <w:t xml:space="preserve">114 </w:t>
      </w:r>
      <w:r w:rsidRPr="006A39BB">
        <w:rPr>
          <w:noProof/>
          <w:szCs w:val="24"/>
        </w:rPr>
        <w:t>thereof,</w:t>
      </w:r>
    </w:p>
    <w:p w14:paraId="76648343" w14:textId="77777777" w:rsidR="00587167" w:rsidRPr="006A39BB" w:rsidRDefault="00587167" w:rsidP="00EC435D">
      <w:pPr>
        <w:spacing w:line="23" w:lineRule="atLeast"/>
        <w:rPr>
          <w:noProof/>
          <w:szCs w:val="24"/>
        </w:rPr>
      </w:pPr>
      <w:r w:rsidRPr="006A39BB">
        <w:rPr>
          <w:noProof/>
          <w:szCs w:val="24"/>
        </w:rPr>
        <w:t>Having regard to the proposal from the European Commission,</w:t>
      </w:r>
    </w:p>
    <w:p w14:paraId="090C86CC" w14:textId="77777777" w:rsidR="00587167" w:rsidRPr="006A39BB" w:rsidRDefault="00587167" w:rsidP="00EC435D">
      <w:pPr>
        <w:spacing w:line="23" w:lineRule="atLeast"/>
        <w:rPr>
          <w:noProof/>
          <w:szCs w:val="24"/>
        </w:rPr>
      </w:pPr>
      <w:r w:rsidRPr="006A39BB">
        <w:rPr>
          <w:noProof/>
          <w:szCs w:val="24"/>
        </w:rPr>
        <w:t>After transmission of the draft legislative act to the national parliaments,</w:t>
      </w:r>
    </w:p>
    <w:p w14:paraId="409BF17D" w14:textId="77777777" w:rsidR="00587167" w:rsidRPr="006A39BB" w:rsidRDefault="00587167" w:rsidP="00EC435D">
      <w:pPr>
        <w:spacing w:line="23" w:lineRule="atLeast"/>
        <w:rPr>
          <w:noProof/>
          <w:szCs w:val="24"/>
        </w:rPr>
      </w:pPr>
      <w:r w:rsidRPr="006A39BB">
        <w:rPr>
          <w:noProof/>
          <w:szCs w:val="24"/>
        </w:rPr>
        <w:t>Having regard to the opinion of the European Economic and Social Committee</w:t>
      </w:r>
      <w:r w:rsidRPr="006A39BB">
        <w:rPr>
          <w:rStyle w:val="FootnoteReference"/>
          <w:noProof/>
          <w:szCs w:val="24"/>
        </w:rPr>
        <w:footnoteReference w:id="17"/>
      </w:r>
      <w:r w:rsidRPr="006A39BB">
        <w:rPr>
          <w:noProof/>
          <w:szCs w:val="24"/>
        </w:rPr>
        <w:t>,</w:t>
      </w:r>
    </w:p>
    <w:p w14:paraId="398C16C9" w14:textId="77777777" w:rsidR="00587167" w:rsidRPr="006A39BB" w:rsidRDefault="00587167" w:rsidP="00EC435D">
      <w:pPr>
        <w:spacing w:line="23" w:lineRule="atLeast"/>
        <w:rPr>
          <w:noProof/>
          <w:szCs w:val="24"/>
        </w:rPr>
      </w:pPr>
      <w:r w:rsidRPr="006A39BB">
        <w:rPr>
          <w:noProof/>
          <w:szCs w:val="24"/>
        </w:rPr>
        <w:t>Acting in accordance with the ordinary legislative procedure,</w:t>
      </w:r>
    </w:p>
    <w:p w14:paraId="4E52F6B5" w14:textId="77777777" w:rsidR="00587167" w:rsidRPr="006A39BB" w:rsidRDefault="00587167" w:rsidP="00EC435D">
      <w:pPr>
        <w:spacing w:line="23" w:lineRule="atLeast"/>
        <w:rPr>
          <w:noProof/>
          <w:szCs w:val="24"/>
        </w:rPr>
      </w:pPr>
      <w:r w:rsidRPr="006A39BB">
        <w:rPr>
          <w:noProof/>
          <w:szCs w:val="24"/>
        </w:rPr>
        <w:t>Whereas:</w:t>
      </w:r>
    </w:p>
    <w:p w14:paraId="5FCF67DA" w14:textId="7F627856" w:rsidR="000F314C" w:rsidRPr="006A39BB" w:rsidRDefault="002A7F8C" w:rsidP="002A7F8C">
      <w:pPr>
        <w:pStyle w:val="ManualConsidrant"/>
        <w:rPr>
          <w:noProof/>
        </w:rPr>
      </w:pPr>
      <w:r w:rsidRPr="002A7F8C">
        <w:rPr>
          <w:noProof/>
        </w:rPr>
        <w:t>(1)</w:t>
      </w:r>
      <w:r w:rsidRPr="002A7F8C">
        <w:rPr>
          <w:noProof/>
        </w:rPr>
        <w:tab/>
      </w:r>
      <w:r w:rsidR="000F314C" w:rsidRPr="006A39BB">
        <w:rPr>
          <w:noProof/>
        </w:rPr>
        <w:t>On 25 September 2015, the UN General Assembly adopted a new global sustainable development framework: the 2030 Agenda for Sustainable Development</w:t>
      </w:r>
      <w:r w:rsidR="000F314C" w:rsidRPr="006A39BB">
        <w:rPr>
          <w:rStyle w:val="FootnoteReference"/>
          <w:noProof/>
          <w:szCs w:val="24"/>
        </w:rPr>
        <w:footnoteReference w:id="18"/>
      </w:r>
      <w:r w:rsidR="000F314C" w:rsidRPr="006A39BB">
        <w:rPr>
          <w:noProof/>
        </w:rPr>
        <w:t>, having at its core the Sustainable Development Goals (SDGs). The Commission's Communication of 2016 on the next steps for a sustainable European future</w:t>
      </w:r>
      <w:r w:rsidR="000F314C" w:rsidRPr="006A39BB">
        <w:rPr>
          <w:rStyle w:val="FootnoteReference"/>
          <w:noProof/>
          <w:szCs w:val="24"/>
        </w:rPr>
        <w:footnoteReference w:id="19"/>
      </w:r>
      <w:r w:rsidR="000F314C" w:rsidRPr="006A39BB">
        <w:rPr>
          <w:noProof/>
        </w:rPr>
        <w:t xml:space="preserve"> links the SDGs to the Union policy framework to ensure that all Union actions and policy initiatives, within the Union and globally, take the SDGs on board at the outset. The European Council conclusions of 20 June 2017</w:t>
      </w:r>
      <w:r w:rsidR="000F314C" w:rsidRPr="006A39BB">
        <w:rPr>
          <w:rStyle w:val="FootnoteReference"/>
          <w:noProof/>
          <w:szCs w:val="24"/>
        </w:rPr>
        <w:footnoteReference w:id="20"/>
      </w:r>
      <w:r w:rsidR="000F314C" w:rsidRPr="006A39BB">
        <w:rPr>
          <w:noProof/>
        </w:rPr>
        <w:t xml:space="preserve"> confirmed the commitment of the Union and the Member States to the implementation of the 2030 Agenda in a full, coherent, comprehensive, integrated and effective manner and in close cooperation with partners and other stakeholders.</w:t>
      </w:r>
      <w:r w:rsidR="003561C3" w:rsidRPr="006A39BB">
        <w:rPr>
          <w:noProof/>
        </w:rPr>
        <w:t xml:space="preserve"> On 11 December 2019, the Commission published its communication on ‘The European Green Deal’</w:t>
      </w:r>
      <w:r w:rsidR="00E33601" w:rsidRPr="006A39BB">
        <w:rPr>
          <w:rStyle w:val="FootnoteReference"/>
          <w:noProof/>
          <w:szCs w:val="24"/>
        </w:rPr>
        <w:footnoteReference w:id="21"/>
      </w:r>
      <w:r w:rsidR="003561C3" w:rsidRPr="006A39BB">
        <w:rPr>
          <w:noProof/>
        </w:rPr>
        <w:t>.</w:t>
      </w:r>
    </w:p>
    <w:p w14:paraId="32CFF7D4" w14:textId="536C5E17" w:rsidR="00D80D47" w:rsidRPr="006A39BB" w:rsidRDefault="002A7F8C" w:rsidP="002A7F8C">
      <w:pPr>
        <w:pStyle w:val="ManualConsidrant"/>
        <w:rPr>
          <w:noProof/>
        </w:rPr>
      </w:pPr>
      <w:r w:rsidRPr="002A7F8C">
        <w:rPr>
          <w:noProof/>
        </w:rPr>
        <w:t>(2)</w:t>
      </w:r>
      <w:r w:rsidRPr="002A7F8C">
        <w:rPr>
          <w:noProof/>
        </w:rPr>
        <w:tab/>
      </w:r>
      <w:r w:rsidR="001C167A" w:rsidRPr="006A39BB">
        <w:rPr>
          <w:noProof/>
        </w:rPr>
        <w:t>T</w:t>
      </w:r>
      <w:r w:rsidR="00CD7AF6" w:rsidRPr="006A39BB">
        <w:rPr>
          <w:noProof/>
        </w:rPr>
        <w:t>he t</w:t>
      </w:r>
      <w:r w:rsidR="001C167A" w:rsidRPr="006A39BB">
        <w:rPr>
          <w:noProof/>
        </w:rPr>
        <w:t>ransition</w:t>
      </w:r>
      <w:r w:rsidR="000F314C" w:rsidRPr="006A39BB">
        <w:rPr>
          <w:noProof/>
        </w:rPr>
        <w:t xml:space="preserve"> to a </w:t>
      </w:r>
      <w:r w:rsidR="001C167A" w:rsidRPr="006A39BB">
        <w:rPr>
          <w:noProof/>
        </w:rPr>
        <w:t>sustainable</w:t>
      </w:r>
      <w:r w:rsidR="000F314C" w:rsidRPr="006A39BB">
        <w:rPr>
          <w:noProof/>
        </w:rPr>
        <w:t xml:space="preserve"> economy </w:t>
      </w:r>
      <w:r w:rsidR="001C167A" w:rsidRPr="006A39BB">
        <w:rPr>
          <w:noProof/>
        </w:rPr>
        <w:t>is</w:t>
      </w:r>
      <w:r w:rsidR="000F314C" w:rsidRPr="006A39BB">
        <w:rPr>
          <w:noProof/>
        </w:rPr>
        <w:t xml:space="preserve"> key </w:t>
      </w:r>
      <w:r w:rsidR="00CD7AF6" w:rsidRPr="006A39BB">
        <w:rPr>
          <w:noProof/>
        </w:rPr>
        <w:t>to</w:t>
      </w:r>
      <w:r w:rsidR="000F314C" w:rsidRPr="006A39BB">
        <w:rPr>
          <w:noProof/>
        </w:rPr>
        <w:t xml:space="preserve"> ensuring </w:t>
      </w:r>
      <w:r w:rsidR="00CD7AF6" w:rsidRPr="006A39BB">
        <w:rPr>
          <w:noProof/>
        </w:rPr>
        <w:t xml:space="preserve">the </w:t>
      </w:r>
      <w:r w:rsidR="000F314C" w:rsidRPr="006A39BB">
        <w:rPr>
          <w:noProof/>
        </w:rPr>
        <w:t>long-term competitiveness of the Union economy. Sustainability has long been at the heart of the Union project and the Union Treaties give recognition to its social and environmental dimensions.</w:t>
      </w:r>
    </w:p>
    <w:p w14:paraId="6F634D7D" w14:textId="35286034" w:rsidR="00414348" w:rsidRDefault="002A7F8C" w:rsidP="002A7F8C">
      <w:pPr>
        <w:pStyle w:val="ManualConsidrant"/>
        <w:rPr>
          <w:noProof/>
        </w:rPr>
      </w:pPr>
      <w:r w:rsidRPr="002A7F8C">
        <w:rPr>
          <w:noProof/>
        </w:rPr>
        <w:t>(3)</w:t>
      </w:r>
      <w:r w:rsidRPr="002A7F8C">
        <w:rPr>
          <w:noProof/>
        </w:rPr>
        <w:tab/>
      </w:r>
      <w:r w:rsidR="00D80D47" w:rsidRPr="006A39BB">
        <w:rPr>
          <w:noProof/>
        </w:rPr>
        <w:t xml:space="preserve">Achieving SDG objectives in the Union requires the channelling of capital flows towards sustainable investments. It is important to exploit fully the potential of the internal market for the achievement of those goals. In that context, it is crucial to remove obstacles to the efficient movement of capital </w:t>
      </w:r>
      <w:r w:rsidR="00CD7AF6" w:rsidRPr="006A39BB">
        <w:rPr>
          <w:noProof/>
        </w:rPr>
        <w:t>towards</w:t>
      </w:r>
      <w:r w:rsidR="00D80D47" w:rsidRPr="006A39BB">
        <w:rPr>
          <w:noProof/>
        </w:rPr>
        <w:t xml:space="preserve"> sustainable investments in the internal market and to prevent such obstacles from emerging.</w:t>
      </w:r>
    </w:p>
    <w:p w14:paraId="2167A283" w14:textId="7E512327" w:rsidR="00136BD1" w:rsidRPr="00FA585F" w:rsidRDefault="0000347C" w:rsidP="001762CA">
      <w:pPr>
        <w:pStyle w:val="ManualConsidrant"/>
        <w:rPr>
          <w:noProof/>
          <w:lang w:val="en-IE"/>
        </w:rPr>
      </w:pPr>
      <w:r>
        <w:rPr>
          <w:noProof/>
        </w:rPr>
        <w:t>(4)</w:t>
      </w:r>
      <w:r>
        <w:rPr>
          <w:noProof/>
        </w:rPr>
        <w:tab/>
      </w:r>
      <w:r w:rsidR="00D02FA9">
        <w:rPr>
          <w:noProof/>
        </w:rPr>
        <w:t>The EU’s approach to sustainable and inclusive growth is anchored in the 20 principles of the European Pillar of Social Rights to ensure a fair transition towards this goal and policies which leave no one behind. Furthermore, the EU social acquis including the Union of Equality Strategies</w:t>
      </w:r>
      <w:r w:rsidR="00D02FA9">
        <w:rPr>
          <w:rStyle w:val="FootnoteReference"/>
          <w:noProof/>
        </w:rPr>
        <w:footnoteReference w:id="22"/>
      </w:r>
      <w:r w:rsidR="00D02FA9">
        <w:rPr>
          <w:noProof/>
        </w:rPr>
        <w:t xml:space="preserve"> provides standards in the areas of labour law, equality, accessibility, health and safety at work, and anti-discrimination.</w:t>
      </w:r>
    </w:p>
    <w:p w14:paraId="4FA0AD92" w14:textId="09BE9BBD" w:rsidR="009026C1" w:rsidRPr="006A39BB" w:rsidRDefault="002A7F8C" w:rsidP="002A7F8C">
      <w:pPr>
        <w:pStyle w:val="ManualConsidrant"/>
        <w:rPr>
          <w:noProof/>
        </w:rPr>
      </w:pPr>
      <w:r w:rsidRPr="002A7F8C">
        <w:rPr>
          <w:noProof/>
        </w:rPr>
        <w:t>(</w:t>
      </w:r>
      <w:r w:rsidR="0000347C">
        <w:rPr>
          <w:noProof/>
        </w:rPr>
        <w:t>5</w:t>
      </w:r>
      <w:r w:rsidRPr="002A7F8C">
        <w:rPr>
          <w:noProof/>
        </w:rPr>
        <w:t>)</w:t>
      </w:r>
      <w:r w:rsidRPr="002A7F8C">
        <w:rPr>
          <w:noProof/>
        </w:rPr>
        <w:tab/>
      </w:r>
      <w:r w:rsidR="40EB6114" w:rsidRPr="006A39BB">
        <w:rPr>
          <w:noProof/>
        </w:rPr>
        <w:t>In March 2018, the Commission published its Action Plan 'Financing Sustainable Growth'</w:t>
      </w:r>
      <w:r w:rsidR="009026C1" w:rsidRPr="006A39BB">
        <w:rPr>
          <w:rStyle w:val="FootnoteReference"/>
          <w:noProof/>
          <w:szCs w:val="24"/>
        </w:rPr>
        <w:footnoteReference w:id="23"/>
      </w:r>
      <w:r w:rsidR="40EB6114" w:rsidRPr="006A39BB">
        <w:rPr>
          <w:noProof/>
        </w:rPr>
        <w:t xml:space="preserve">, setting up </w:t>
      </w:r>
      <w:r w:rsidR="00C7236F" w:rsidRPr="006A39BB">
        <w:rPr>
          <w:noProof/>
        </w:rPr>
        <w:t>its</w:t>
      </w:r>
      <w:r w:rsidR="40EB6114" w:rsidRPr="006A39BB">
        <w:rPr>
          <w:noProof/>
        </w:rPr>
        <w:t xml:space="preserve"> strategy on sustainable finance. </w:t>
      </w:r>
      <w:r w:rsidR="0CA4C804" w:rsidRPr="006A39BB">
        <w:rPr>
          <w:noProof/>
        </w:rPr>
        <w:t xml:space="preserve">The </w:t>
      </w:r>
      <w:r w:rsidR="40EB6114" w:rsidRPr="006A39BB">
        <w:rPr>
          <w:noProof/>
        </w:rPr>
        <w:t xml:space="preserve">objectives of that Action Plan </w:t>
      </w:r>
      <w:r w:rsidR="54E2E050" w:rsidRPr="006A39BB">
        <w:rPr>
          <w:noProof/>
        </w:rPr>
        <w:t xml:space="preserve">are </w:t>
      </w:r>
      <w:r w:rsidR="40EB6114" w:rsidRPr="006A39BB">
        <w:rPr>
          <w:noProof/>
        </w:rPr>
        <w:t xml:space="preserve">to </w:t>
      </w:r>
      <w:r w:rsidR="0CA4C804" w:rsidRPr="006A39BB">
        <w:rPr>
          <w:noProof/>
        </w:rPr>
        <w:t xml:space="preserve">mainstream sustainability </w:t>
      </w:r>
      <w:r w:rsidR="2DBB6B3F" w:rsidRPr="006A39BB">
        <w:rPr>
          <w:noProof/>
        </w:rPr>
        <w:t xml:space="preserve">factors </w:t>
      </w:r>
      <w:r w:rsidR="0CA4C804" w:rsidRPr="006A39BB">
        <w:rPr>
          <w:noProof/>
        </w:rPr>
        <w:t xml:space="preserve">into risk management and </w:t>
      </w:r>
      <w:r w:rsidR="40EB6114" w:rsidRPr="006A39BB">
        <w:rPr>
          <w:noProof/>
        </w:rPr>
        <w:t>reorient capital flows towards sustainable investment to achieve sustainable and inclusive growth.</w:t>
      </w:r>
    </w:p>
    <w:p w14:paraId="622F88F0" w14:textId="70694BD8" w:rsidR="00F509C0" w:rsidRPr="006A39BB" w:rsidRDefault="002A7F8C" w:rsidP="002A7F8C">
      <w:pPr>
        <w:pStyle w:val="ManualConsidrant"/>
        <w:rPr>
          <w:noProof/>
        </w:rPr>
      </w:pPr>
      <w:r w:rsidRPr="002A7F8C">
        <w:rPr>
          <w:noProof/>
        </w:rPr>
        <w:t>(</w:t>
      </w:r>
      <w:r w:rsidR="0000347C">
        <w:rPr>
          <w:noProof/>
        </w:rPr>
        <w:t>6</w:t>
      </w:r>
      <w:r w:rsidRPr="002A7F8C">
        <w:rPr>
          <w:noProof/>
        </w:rPr>
        <w:t>)</w:t>
      </w:r>
      <w:r w:rsidRPr="002A7F8C">
        <w:rPr>
          <w:noProof/>
        </w:rPr>
        <w:tab/>
      </w:r>
      <w:r w:rsidR="00E362CF" w:rsidRPr="006A39BB">
        <w:rPr>
          <w:noProof/>
        </w:rPr>
        <w:t>As part of the Action Plan</w:t>
      </w:r>
      <w:r w:rsidR="00D80D47" w:rsidRPr="006A39BB">
        <w:rPr>
          <w:noProof/>
        </w:rPr>
        <w:t xml:space="preserve">, the Commission </w:t>
      </w:r>
      <w:r w:rsidR="0080270F" w:rsidRPr="006A39BB">
        <w:rPr>
          <w:noProof/>
        </w:rPr>
        <w:t>commissioned a study entitled “Study on Sustainability Related Ratings, Data and Research”</w:t>
      </w:r>
      <w:r w:rsidR="00371415" w:rsidRPr="006A39BB">
        <w:rPr>
          <w:rStyle w:val="FootnoteReference"/>
          <w:noProof/>
          <w:szCs w:val="24"/>
        </w:rPr>
        <w:footnoteReference w:id="24"/>
      </w:r>
      <w:r w:rsidR="0080270F" w:rsidRPr="006A39BB">
        <w:rPr>
          <w:noProof/>
        </w:rPr>
        <w:t xml:space="preserve"> </w:t>
      </w:r>
      <w:r w:rsidR="009C426C" w:rsidRPr="006A39BB">
        <w:rPr>
          <w:noProof/>
        </w:rPr>
        <w:t xml:space="preserve">to </w:t>
      </w:r>
      <w:r w:rsidR="00E362CF" w:rsidRPr="006A39BB">
        <w:rPr>
          <w:noProof/>
        </w:rPr>
        <w:t xml:space="preserve">take stock of </w:t>
      </w:r>
      <w:r w:rsidR="009C426C" w:rsidRPr="006A39BB">
        <w:rPr>
          <w:noProof/>
        </w:rPr>
        <w:t xml:space="preserve">the </w:t>
      </w:r>
      <w:r w:rsidR="006A38DF" w:rsidRPr="006A39BB">
        <w:rPr>
          <w:noProof/>
        </w:rPr>
        <w:t>developments in</w:t>
      </w:r>
      <w:r w:rsidR="0080270F" w:rsidRPr="006A39BB">
        <w:rPr>
          <w:noProof/>
        </w:rPr>
        <w:t xml:space="preserve"> the sustainability-related products and services market</w:t>
      </w:r>
      <w:r w:rsidR="006A38DF" w:rsidRPr="006A39BB">
        <w:rPr>
          <w:noProof/>
        </w:rPr>
        <w:t xml:space="preserve">, identify </w:t>
      </w:r>
      <w:r w:rsidR="45A8E374" w:rsidRPr="006A39BB">
        <w:rPr>
          <w:noProof/>
        </w:rPr>
        <w:t xml:space="preserve">the </w:t>
      </w:r>
      <w:r w:rsidR="59FFE1F6" w:rsidRPr="006A39BB">
        <w:rPr>
          <w:noProof/>
        </w:rPr>
        <w:t>main</w:t>
      </w:r>
      <w:r w:rsidR="006A38DF" w:rsidRPr="006A39BB">
        <w:rPr>
          <w:noProof/>
        </w:rPr>
        <w:t xml:space="preserve"> market participants and highlight potential shortcomings</w:t>
      </w:r>
      <w:r w:rsidR="0080270F" w:rsidRPr="006A39BB">
        <w:rPr>
          <w:noProof/>
        </w:rPr>
        <w:t xml:space="preserve">. </w:t>
      </w:r>
      <w:r w:rsidR="006A38DF" w:rsidRPr="006A39BB">
        <w:rPr>
          <w:noProof/>
        </w:rPr>
        <w:t>Th</w:t>
      </w:r>
      <w:r w:rsidR="0009429D">
        <w:rPr>
          <w:noProof/>
        </w:rPr>
        <w:t>at</w:t>
      </w:r>
      <w:r w:rsidR="006A38DF" w:rsidRPr="006A39BB">
        <w:rPr>
          <w:noProof/>
        </w:rPr>
        <w:t xml:space="preserve"> </w:t>
      </w:r>
      <w:r w:rsidR="0009429D">
        <w:rPr>
          <w:noProof/>
        </w:rPr>
        <w:t>s</w:t>
      </w:r>
      <w:r w:rsidR="006A38DF" w:rsidRPr="006A39BB">
        <w:rPr>
          <w:noProof/>
        </w:rPr>
        <w:t>tudy</w:t>
      </w:r>
      <w:r w:rsidR="0004459C" w:rsidRPr="006A39BB">
        <w:rPr>
          <w:noProof/>
        </w:rPr>
        <w:t xml:space="preserve"> provided an</w:t>
      </w:r>
      <w:r w:rsidR="0080270F" w:rsidRPr="006A39BB">
        <w:rPr>
          <w:noProof/>
        </w:rPr>
        <w:t xml:space="preserve"> inventory and classification of market actors, sustainability products and services available in the market and </w:t>
      </w:r>
      <w:r w:rsidR="0004459C" w:rsidRPr="006A39BB">
        <w:rPr>
          <w:noProof/>
        </w:rPr>
        <w:t xml:space="preserve">an analysis of </w:t>
      </w:r>
      <w:r w:rsidR="0080270F" w:rsidRPr="006A39BB">
        <w:rPr>
          <w:noProof/>
        </w:rPr>
        <w:t xml:space="preserve">the use and perceived quality of sustainability-related products and services by market participants. The study highlighted </w:t>
      </w:r>
      <w:r w:rsidR="6DD45B22" w:rsidRPr="006A39BB">
        <w:rPr>
          <w:noProof/>
        </w:rPr>
        <w:t xml:space="preserve">the </w:t>
      </w:r>
      <w:r w:rsidR="00617F38" w:rsidRPr="006A39BB">
        <w:rPr>
          <w:noProof/>
        </w:rPr>
        <w:t xml:space="preserve">lack of </w:t>
      </w:r>
      <w:r w:rsidR="0080270F" w:rsidRPr="006A39BB">
        <w:rPr>
          <w:noProof/>
        </w:rPr>
        <w:t>transparency</w:t>
      </w:r>
      <w:r w:rsidR="00617F38" w:rsidRPr="006A39BB">
        <w:rPr>
          <w:noProof/>
        </w:rPr>
        <w:t xml:space="preserve"> and accuracy of </w:t>
      </w:r>
      <w:r w:rsidR="00C33EA0" w:rsidRPr="006A39BB">
        <w:rPr>
          <w:noProof/>
        </w:rPr>
        <w:t>Environmental, Social and Governance (</w:t>
      </w:r>
      <w:r w:rsidR="008E33BC" w:rsidRPr="006A39BB">
        <w:rPr>
          <w:noProof/>
        </w:rPr>
        <w:t>‘</w:t>
      </w:r>
      <w:r w:rsidR="00617F38" w:rsidRPr="006A39BB">
        <w:rPr>
          <w:noProof/>
        </w:rPr>
        <w:t>ESG</w:t>
      </w:r>
      <w:r w:rsidR="008E33BC" w:rsidRPr="006A39BB">
        <w:rPr>
          <w:noProof/>
        </w:rPr>
        <w:t>’)</w:t>
      </w:r>
      <w:r w:rsidR="00617F38" w:rsidRPr="006A39BB">
        <w:rPr>
          <w:noProof/>
        </w:rPr>
        <w:t xml:space="preserve"> ratings methodologies </w:t>
      </w:r>
      <w:r w:rsidR="0080270F" w:rsidRPr="006A39BB">
        <w:rPr>
          <w:noProof/>
        </w:rPr>
        <w:t xml:space="preserve">and </w:t>
      </w:r>
      <w:r w:rsidR="5EAC64DD" w:rsidRPr="006A39BB">
        <w:rPr>
          <w:noProof/>
        </w:rPr>
        <w:t xml:space="preserve">the lack of </w:t>
      </w:r>
      <w:r w:rsidR="00617F38" w:rsidRPr="006A39BB">
        <w:rPr>
          <w:noProof/>
        </w:rPr>
        <w:t xml:space="preserve">clarity over the operations </w:t>
      </w:r>
      <w:r w:rsidR="0080270F" w:rsidRPr="006A39BB">
        <w:rPr>
          <w:noProof/>
        </w:rPr>
        <w:t xml:space="preserve">of </w:t>
      </w:r>
      <w:r w:rsidR="00C24694" w:rsidRPr="006A39BB">
        <w:rPr>
          <w:noProof/>
        </w:rPr>
        <w:t>ESG rating providers</w:t>
      </w:r>
      <w:r w:rsidR="00D80D47" w:rsidRPr="006A39BB">
        <w:rPr>
          <w:noProof/>
        </w:rPr>
        <w:t xml:space="preserve">. </w:t>
      </w:r>
    </w:p>
    <w:p w14:paraId="54A5434A" w14:textId="128F816D" w:rsidR="000D6EC3" w:rsidRPr="006A39BB" w:rsidRDefault="002A7F8C" w:rsidP="002A7F8C">
      <w:pPr>
        <w:pStyle w:val="ManualConsidrant"/>
        <w:rPr>
          <w:noProof/>
        </w:rPr>
      </w:pPr>
      <w:r w:rsidRPr="002A7F8C">
        <w:rPr>
          <w:noProof/>
        </w:rPr>
        <w:t>(</w:t>
      </w:r>
      <w:r w:rsidR="0000347C">
        <w:rPr>
          <w:noProof/>
        </w:rPr>
        <w:t>7</w:t>
      </w:r>
      <w:r w:rsidRPr="002A7F8C">
        <w:rPr>
          <w:noProof/>
        </w:rPr>
        <w:t>)</w:t>
      </w:r>
      <w:r w:rsidRPr="002A7F8C">
        <w:rPr>
          <w:noProof/>
        </w:rPr>
        <w:tab/>
      </w:r>
      <w:r w:rsidR="128C10AD" w:rsidRPr="006A39BB">
        <w:rPr>
          <w:noProof/>
        </w:rPr>
        <w:t xml:space="preserve">In the framework of the European Green Deal, the Commission </w:t>
      </w:r>
      <w:r w:rsidR="004854E1" w:rsidRPr="006A39BB">
        <w:rPr>
          <w:noProof/>
        </w:rPr>
        <w:t>put forward</w:t>
      </w:r>
      <w:r w:rsidR="128C10AD" w:rsidRPr="006A39BB">
        <w:rPr>
          <w:noProof/>
        </w:rPr>
        <w:t xml:space="preserve"> </w:t>
      </w:r>
      <w:r w:rsidR="0008552D" w:rsidRPr="006A39BB">
        <w:rPr>
          <w:noProof/>
        </w:rPr>
        <w:t xml:space="preserve">a </w:t>
      </w:r>
      <w:r w:rsidR="128C10AD" w:rsidRPr="006A39BB">
        <w:rPr>
          <w:noProof/>
        </w:rPr>
        <w:t xml:space="preserve">renewed </w:t>
      </w:r>
      <w:r w:rsidR="00BE750D" w:rsidRPr="006A39BB">
        <w:rPr>
          <w:noProof/>
        </w:rPr>
        <w:t xml:space="preserve">sustainable </w:t>
      </w:r>
      <w:r w:rsidR="128C10AD" w:rsidRPr="006A39BB">
        <w:rPr>
          <w:noProof/>
        </w:rPr>
        <w:t>strategy.</w:t>
      </w:r>
      <w:r w:rsidR="788657B6" w:rsidRPr="006A39BB">
        <w:rPr>
          <w:noProof/>
        </w:rPr>
        <w:t xml:space="preserve"> </w:t>
      </w:r>
      <w:r w:rsidR="128C10AD" w:rsidRPr="006A39BB">
        <w:rPr>
          <w:noProof/>
        </w:rPr>
        <w:t>The renewed sustainable finance strategy was adopted on 6 July 2021</w:t>
      </w:r>
      <w:r w:rsidR="007840BA" w:rsidRPr="006A39BB">
        <w:rPr>
          <w:rStyle w:val="FootnoteReference"/>
          <w:noProof/>
          <w:szCs w:val="24"/>
        </w:rPr>
        <w:footnoteReference w:id="25"/>
      </w:r>
      <w:r w:rsidR="0009429D" w:rsidRPr="0009429D">
        <w:rPr>
          <w:rStyle w:val="FootnoteReference"/>
          <w:noProof/>
          <w:szCs w:val="24"/>
          <w:vertAlign w:val="baseline"/>
        </w:rPr>
        <w:t>.</w:t>
      </w:r>
    </w:p>
    <w:p w14:paraId="6313617F" w14:textId="2664F210" w:rsidR="00E33EE6" w:rsidRPr="006A39BB" w:rsidRDefault="002A7F8C" w:rsidP="002A7F8C">
      <w:pPr>
        <w:pStyle w:val="ManualConsidrant"/>
        <w:rPr>
          <w:noProof/>
        </w:rPr>
      </w:pPr>
      <w:r w:rsidRPr="002A7F8C">
        <w:rPr>
          <w:noProof/>
        </w:rPr>
        <w:t>(</w:t>
      </w:r>
      <w:r w:rsidR="0000347C">
        <w:rPr>
          <w:noProof/>
        </w:rPr>
        <w:t>8</w:t>
      </w:r>
      <w:r w:rsidRPr="002A7F8C">
        <w:rPr>
          <w:noProof/>
        </w:rPr>
        <w:t>)</w:t>
      </w:r>
      <w:r w:rsidRPr="002A7F8C">
        <w:rPr>
          <w:noProof/>
        </w:rPr>
        <w:tab/>
      </w:r>
      <w:r w:rsidR="4B408AA3" w:rsidRPr="006A39BB">
        <w:rPr>
          <w:noProof/>
        </w:rPr>
        <w:t>As a follow-up</w:t>
      </w:r>
      <w:r w:rsidR="057BCA87" w:rsidRPr="006A39BB">
        <w:rPr>
          <w:noProof/>
        </w:rPr>
        <w:t>,</w:t>
      </w:r>
      <w:r w:rsidR="4B408AA3" w:rsidRPr="006A39BB">
        <w:rPr>
          <w:noProof/>
        </w:rPr>
        <w:t xml:space="preserve"> the Commission </w:t>
      </w:r>
      <w:r w:rsidR="413AB4A5" w:rsidRPr="006A39BB">
        <w:rPr>
          <w:noProof/>
        </w:rPr>
        <w:t xml:space="preserve">announced in </w:t>
      </w:r>
      <w:r w:rsidR="057BCA87" w:rsidRPr="006A39BB">
        <w:rPr>
          <w:noProof/>
        </w:rPr>
        <w:t>the</w:t>
      </w:r>
      <w:r w:rsidR="33BCB454" w:rsidRPr="006A39BB">
        <w:rPr>
          <w:noProof/>
        </w:rPr>
        <w:t xml:space="preserve"> renewed sustainable finance strategy</w:t>
      </w:r>
      <w:r w:rsidR="128C10AD" w:rsidRPr="006A39BB">
        <w:rPr>
          <w:noProof/>
        </w:rPr>
        <w:t xml:space="preserve">, </w:t>
      </w:r>
      <w:r w:rsidR="6AAF99D0" w:rsidRPr="006A39BB">
        <w:rPr>
          <w:noProof/>
        </w:rPr>
        <w:t xml:space="preserve">a public consultation on </w:t>
      </w:r>
      <w:r w:rsidR="00BE750D" w:rsidRPr="006A39BB">
        <w:rPr>
          <w:noProof/>
        </w:rPr>
        <w:t>ESG ratings</w:t>
      </w:r>
      <w:r w:rsidR="6AAF99D0" w:rsidRPr="006A39BB">
        <w:rPr>
          <w:noProof/>
        </w:rPr>
        <w:t xml:space="preserve"> to feed into an impact assessment</w:t>
      </w:r>
      <w:r w:rsidR="33BCB454" w:rsidRPr="006A39BB">
        <w:rPr>
          <w:noProof/>
        </w:rPr>
        <w:t xml:space="preserve">. </w:t>
      </w:r>
      <w:r w:rsidR="774CB61D" w:rsidRPr="006A39BB">
        <w:rPr>
          <w:noProof/>
        </w:rPr>
        <w:t>In the</w:t>
      </w:r>
      <w:r w:rsidR="24E883D1" w:rsidRPr="006A39BB">
        <w:rPr>
          <w:noProof/>
        </w:rPr>
        <w:t xml:space="preserve"> public consultation </w:t>
      </w:r>
      <w:r w:rsidR="774CB61D" w:rsidRPr="006A39BB">
        <w:rPr>
          <w:noProof/>
        </w:rPr>
        <w:t xml:space="preserve">that took place in 2022, stakeholders confirmed </w:t>
      </w:r>
      <w:r w:rsidR="4196F76C" w:rsidRPr="006A39BB">
        <w:rPr>
          <w:noProof/>
        </w:rPr>
        <w:t xml:space="preserve">concerns with the lack of transparency of ESG ratings methodologies and objectives and clarity over ESG rating </w:t>
      </w:r>
      <w:r w:rsidR="00342230" w:rsidRPr="006A39BB">
        <w:rPr>
          <w:noProof/>
        </w:rPr>
        <w:t>activities</w:t>
      </w:r>
      <w:r w:rsidR="4196F76C" w:rsidRPr="006A39BB">
        <w:rPr>
          <w:noProof/>
        </w:rPr>
        <w:t>.</w:t>
      </w:r>
    </w:p>
    <w:p w14:paraId="79902963" w14:textId="09A723E3" w:rsidR="005B5FB4" w:rsidRPr="006A39BB" w:rsidRDefault="002A7F8C" w:rsidP="002A7F8C">
      <w:pPr>
        <w:pStyle w:val="ManualConsidrant"/>
        <w:rPr>
          <w:noProof/>
        </w:rPr>
      </w:pPr>
      <w:r w:rsidRPr="002A7F8C">
        <w:rPr>
          <w:noProof/>
        </w:rPr>
        <w:t>(</w:t>
      </w:r>
      <w:r w:rsidR="0000347C">
        <w:rPr>
          <w:noProof/>
        </w:rPr>
        <w:t>9</w:t>
      </w:r>
      <w:r w:rsidRPr="002A7F8C">
        <w:rPr>
          <w:noProof/>
        </w:rPr>
        <w:t>)</w:t>
      </w:r>
      <w:r w:rsidRPr="002A7F8C">
        <w:rPr>
          <w:noProof/>
        </w:rPr>
        <w:tab/>
      </w:r>
      <w:r w:rsidR="005B5FB4" w:rsidRPr="006A39BB">
        <w:rPr>
          <w:noProof/>
        </w:rPr>
        <w:t xml:space="preserve">At international level, </w:t>
      </w:r>
      <w:r w:rsidR="0003482F" w:rsidRPr="006A39BB">
        <w:rPr>
          <w:noProof/>
        </w:rPr>
        <w:t xml:space="preserve">the International Organization of Securities Commissions </w:t>
      </w:r>
      <w:r w:rsidR="00A43EA0" w:rsidRPr="006A39BB">
        <w:rPr>
          <w:noProof/>
        </w:rPr>
        <w:t xml:space="preserve">(‘IOSCO’) </w:t>
      </w:r>
      <w:r w:rsidR="0003482F" w:rsidRPr="006A39BB">
        <w:rPr>
          <w:noProof/>
        </w:rPr>
        <w:t xml:space="preserve">has </w:t>
      </w:r>
      <w:r w:rsidR="009E3322" w:rsidRPr="006A39BB">
        <w:rPr>
          <w:noProof/>
        </w:rPr>
        <w:t>issued</w:t>
      </w:r>
      <w:r w:rsidR="0003482F" w:rsidRPr="006A39BB">
        <w:rPr>
          <w:noProof/>
        </w:rPr>
        <w:t xml:space="preserve"> </w:t>
      </w:r>
      <w:r w:rsidR="00274319" w:rsidRPr="006A39BB">
        <w:rPr>
          <w:noProof/>
        </w:rPr>
        <w:t xml:space="preserve">a report </w:t>
      </w:r>
      <w:r w:rsidR="00A43EA0" w:rsidRPr="006A39BB">
        <w:rPr>
          <w:noProof/>
        </w:rPr>
        <w:t xml:space="preserve">in November 2021 </w:t>
      </w:r>
      <w:r w:rsidR="00274319" w:rsidRPr="006A39BB">
        <w:rPr>
          <w:noProof/>
        </w:rPr>
        <w:t xml:space="preserve">containing a set of recommendations </w:t>
      </w:r>
      <w:r w:rsidR="005B5FB4" w:rsidRPr="006A39BB">
        <w:rPr>
          <w:noProof/>
        </w:rPr>
        <w:t>on ESG ratings providers</w:t>
      </w:r>
      <w:r w:rsidR="005B5FB4" w:rsidRPr="006A39BB">
        <w:rPr>
          <w:rStyle w:val="FootnoteReference"/>
          <w:noProof/>
          <w:szCs w:val="24"/>
        </w:rPr>
        <w:footnoteReference w:id="26"/>
      </w:r>
      <w:r w:rsidR="005B5FB4" w:rsidRPr="006A39BB">
        <w:rPr>
          <w:noProof/>
        </w:rPr>
        <w:t>.</w:t>
      </w:r>
    </w:p>
    <w:p w14:paraId="2A90BC84" w14:textId="6C18674C" w:rsidR="00E33EE6" w:rsidRDefault="002A7F8C" w:rsidP="002A7F8C">
      <w:pPr>
        <w:pStyle w:val="ManualConsidrant"/>
        <w:rPr>
          <w:noProof/>
        </w:rPr>
      </w:pPr>
      <w:r w:rsidRPr="002A7F8C">
        <w:rPr>
          <w:noProof/>
        </w:rPr>
        <w:t>(</w:t>
      </w:r>
      <w:r w:rsidR="0000347C">
        <w:rPr>
          <w:noProof/>
        </w:rPr>
        <w:t>10</w:t>
      </w:r>
      <w:r w:rsidRPr="002A7F8C">
        <w:rPr>
          <w:noProof/>
        </w:rPr>
        <w:t>)</w:t>
      </w:r>
      <w:r w:rsidRPr="002A7F8C">
        <w:rPr>
          <w:noProof/>
        </w:rPr>
        <w:tab/>
      </w:r>
      <w:r w:rsidR="00980796">
        <w:rPr>
          <w:noProof/>
        </w:rPr>
        <w:t xml:space="preserve">ESG ratings </w:t>
      </w:r>
      <w:r w:rsidR="2814F5EE" w:rsidRPr="006A39BB">
        <w:rPr>
          <w:noProof/>
        </w:rPr>
        <w:t>play an important role in global capital markets, as</w:t>
      </w:r>
      <w:r w:rsidR="00980796">
        <w:rPr>
          <w:noProof/>
        </w:rPr>
        <w:t xml:space="preserve"> investors, borrowers and issuers increasingly use</w:t>
      </w:r>
      <w:r w:rsidR="2814F5EE" w:rsidRPr="006A39BB">
        <w:rPr>
          <w:noProof/>
        </w:rPr>
        <w:t xml:space="preserve"> </w:t>
      </w:r>
      <w:r w:rsidR="00980796">
        <w:rPr>
          <w:noProof/>
        </w:rPr>
        <w:t xml:space="preserve">those </w:t>
      </w:r>
      <w:r w:rsidR="2814F5EE" w:rsidRPr="006A39BB">
        <w:rPr>
          <w:noProof/>
        </w:rPr>
        <w:t xml:space="preserve">ESG ratings as part of making informed, sustainable investment and financing decisions. Credit institutions, investment firms, insurance undertakings, assurance undertakings, and reinsurance undertakings, amongst others, </w:t>
      </w:r>
      <w:r w:rsidR="000C0586" w:rsidRPr="006A39BB">
        <w:rPr>
          <w:noProof/>
        </w:rPr>
        <w:t>often</w:t>
      </w:r>
      <w:r w:rsidR="00326A60" w:rsidRPr="006A39BB">
        <w:rPr>
          <w:noProof/>
        </w:rPr>
        <w:t xml:space="preserve"> </w:t>
      </w:r>
      <w:r w:rsidR="2814F5EE" w:rsidRPr="006A39BB">
        <w:rPr>
          <w:noProof/>
        </w:rPr>
        <w:t xml:space="preserve">use those ESG ratings as a reference for the sustainability performance or for </w:t>
      </w:r>
      <w:r w:rsidR="0045384D" w:rsidRPr="006A39BB">
        <w:rPr>
          <w:noProof/>
        </w:rPr>
        <w:t xml:space="preserve">the </w:t>
      </w:r>
      <w:r w:rsidR="2814F5EE" w:rsidRPr="006A39BB">
        <w:rPr>
          <w:noProof/>
        </w:rPr>
        <w:t xml:space="preserve">sustainability risks </w:t>
      </w:r>
      <w:r w:rsidR="003A2316" w:rsidRPr="006A39BB">
        <w:rPr>
          <w:noProof/>
        </w:rPr>
        <w:t>and opportunities</w:t>
      </w:r>
      <w:r w:rsidR="2814F5EE" w:rsidRPr="006A39BB">
        <w:rPr>
          <w:noProof/>
        </w:rPr>
        <w:t xml:space="preserve"> in their investment activity. Consequently, ESG ratings have a significant impact on the operation of the markets and on the trust and confidence of investors and consumers. </w:t>
      </w:r>
      <w:r w:rsidR="00B14B33" w:rsidRPr="006A39BB">
        <w:rPr>
          <w:noProof/>
        </w:rPr>
        <w:t xml:space="preserve">To ensure that ESG ratings </w:t>
      </w:r>
      <w:r w:rsidR="00E20515" w:rsidRPr="006A39BB">
        <w:rPr>
          <w:noProof/>
        </w:rPr>
        <w:t>used</w:t>
      </w:r>
      <w:r w:rsidR="007E57C5" w:rsidRPr="006A39BB">
        <w:rPr>
          <w:noProof/>
        </w:rPr>
        <w:t xml:space="preserve"> </w:t>
      </w:r>
      <w:r w:rsidR="00B14B33" w:rsidRPr="006A39BB">
        <w:rPr>
          <w:noProof/>
        </w:rPr>
        <w:t>in the Union</w:t>
      </w:r>
      <w:r w:rsidR="007E57C5" w:rsidRPr="006A39BB">
        <w:rPr>
          <w:noProof/>
        </w:rPr>
        <w:t xml:space="preserve"> are independent, objective and of adequate quality, it</w:t>
      </w:r>
      <w:r w:rsidR="00B14B33" w:rsidRPr="006A39BB">
        <w:rPr>
          <w:noProof/>
        </w:rPr>
        <w:t xml:space="preserve"> </w:t>
      </w:r>
      <w:r w:rsidR="2814F5EE" w:rsidRPr="006A39BB">
        <w:rPr>
          <w:noProof/>
        </w:rPr>
        <w:t xml:space="preserve">is </w:t>
      </w:r>
      <w:r w:rsidR="000E5988" w:rsidRPr="006A39BB">
        <w:rPr>
          <w:noProof/>
        </w:rPr>
        <w:t>important</w:t>
      </w:r>
      <w:r w:rsidR="2814F5EE" w:rsidRPr="006A39BB">
        <w:rPr>
          <w:noProof/>
        </w:rPr>
        <w:t xml:space="preserve"> that ESG rating activities are conducted in accordance with the principles of integrity, transparency, responsibility</w:t>
      </w:r>
      <w:r w:rsidR="00EC1B9A" w:rsidRPr="006A39BB">
        <w:rPr>
          <w:noProof/>
        </w:rPr>
        <w:t>,</w:t>
      </w:r>
      <w:r w:rsidR="2814F5EE" w:rsidRPr="006A39BB">
        <w:rPr>
          <w:noProof/>
        </w:rPr>
        <w:t xml:space="preserve"> and good governance.</w:t>
      </w:r>
      <w:r w:rsidR="0CD2431C" w:rsidRPr="006A39BB">
        <w:rPr>
          <w:noProof/>
        </w:rPr>
        <w:t xml:space="preserve"> Better comparability and increased reliability of ESG ratings </w:t>
      </w:r>
      <w:r w:rsidR="000E5443" w:rsidRPr="006A39BB">
        <w:rPr>
          <w:noProof/>
        </w:rPr>
        <w:t xml:space="preserve">would </w:t>
      </w:r>
      <w:r w:rsidR="0CD2431C" w:rsidRPr="006A39BB">
        <w:rPr>
          <w:noProof/>
        </w:rPr>
        <w:t xml:space="preserve">enhance the efficiency of </w:t>
      </w:r>
      <w:r w:rsidR="00F91E8B" w:rsidRPr="006A39BB">
        <w:rPr>
          <w:noProof/>
        </w:rPr>
        <w:t xml:space="preserve">that </w:t>
      </w:r>
      <w:r w:rsidR="00CF0D82" w:rsidRPr="006A39BB">
        <w:rPr>
          <w:noProof/>
        </w:rPr>
        <w:t>fast-growing</w:t>
      </w:r>
      <w:r w:rsidR="0CD2431C" w:rsidRPr="006A39BB">
        <w:rPr>
          <w:noProof/>
        </w:rPr>
        <w:t xml:space="preserve"> market, thereby facilitating progress towards the objectives of the Green Deal.</w:t>
      </w:r>
    </w:p>
    <w:p w14:paraId="0D9CF00B" w14:textId="7F3FB269" w:rsidR="00E342C9" w:rsidRDefault="002A7F8C" w:rsidP="002A7F8C">
      <w:pPr>
        <w:pStyle w:val="ManualConsidrant"/>
        <w:rPr>
          <w:noProof/>
        </w:rPr>
      </w:pPr>
      <w:r w:rsidRPr="002A7F8C">
        <w:rPr>
          <w:noProof/>
        </w:rPr>
        <w:t>(</w:t>
      </w:r>
      <w:r w:rsidR="0000347C" w:rsidRPr="002A7F8C">
        <w:rPr>
          <w:noProof/>
        </w:rPr>
        <w:t>1</w:t>
      </w:r>
      <w:r w:rsidR="0000347C">
        <w:rPr>
          <w:noProof/>
        </w:rPr>
        <w:t>1</w:t>
      </w:r>
      <w:r w:rsidRPr="002A7F8C">
        <w:rPr>
          <w:noProof/>
        </w:rPr>
        <w:t>)</w:t>
      </w:r>
      <w:r w:rsidRPr="002A7F8C">
        <w:rPr>
          <w:noProof/>
        </w:rPr>
        <w:tab/>
      </w:r>
      <w:r w:rsidR="00E342C9" w:rsidRPr="006A39BB">
        <w:rPr>
          <w:noProof/>
        </w:rPr>
        <w:t>ESG ratings play an enabling role for the proper functioning of the Union sustainable finance market by providing important information for investment strategies, risk management and disclosure obligations by investors and financial institutions. It is therefore necessary to ensure that ESG ratings provide material decision-useful information to the users, and that users of ESG ratings better understand the objectives which ESG ratings pursue and what specific issues and metrics those ratings measure.</w:t>
      </w:r>
    </w:p>
    <w:p w14:paraId="58B19289" w14:textId="49AC6440" w:rsidR="00E342C9" w:rsidRPr="006A39BB" w:rsidRDefault="002A7F8C" w:rsidP="002A7F8C">
      <w:pPr>
        <w:pStyle w:val="ManualConsidrant"/>
        <w:rPr>
          <w:noProof/>
        </w:rPr>
      </w:pPr>
      <w:r w:rsidRPr="002A7F8C">
        <w:rPr>
          <w:noProof/>
        </w:rPr>
        <w:t>(</w:t>
      </w:r>
      <w:r w:rsidR="0000347C" w:rsidRPr="002A7F8C">
        <w:rPr>
          <w:noProof/>
        </w:rPr>
        <w:t>1</w:t>
      </w:r>
      <w:r w:rsidR="0000347C">
        <w:rPr>
          <w:noProof/>
        </w:rPr>
        <w:t>2</w:t>
      </w:r>
      <w:r w:rsidRPr="002A7F8C">
        <w:rPr>
          <w:noProof/>
        </w:rPr>
        <w:t>)</w:t>
      </w:r>
      <w:r w:rsidRPr="002A7F8C">
        <w:rPr>
          <w:noProof/>
        </w:rPr>
        <w:tab/>
      </w:r>
      <w:r w:rsidR="00E342C9" w:rsidRPr="006A39BB">
        <w:rPr>
          <w:noProof/>
        </w:rPr>
        <w:t>It is necessary to acknowledge the various business models of the ESG rating market. A first business model is the user-paid model, where users are mainly investors that purchase ESG ratings for investment decisions. A second business model is the issuer-pay model, where undertakings purchase ESG ratings for assessing risks and opportunities with their operations.</w:t>
      </w:r>
    </w:p>
    <w:p w14:paraId="07964B01" w14:textId="53757705" w:rsidR="0012044F" w:rsidRDefault="002A7F8C" w:rsidP="002A7F8C">
      <w:pPr>
        <w:pStyle w:val="ManualConsidrant"/>
        <w:rPr>
          <w:noProof/>
        </w:rPr>
      </w:pPr>
      <w:r w:rsidRPr="002A7F8C">
        <w:rPr>
          <w:noProof/>
        </w:rPr>
        <w:t>(</w:t>
      </w:r>
      <w:r w:rsidR="0000347C" w:rsidRPr="002A7F8C">
        <w:rPr>
          <w:noProof/>
        </w:rPr>
        <w:t>1</w:t>
      </w:r>
      <w:r w:rsidR="0000347C">
        <w:rPr>
          <w:noProof/>
        </w:rPr>
        <w:t>3</w:t>
      </w:r>
      <w:r w:rsidRPr="002A7F8C">
        <w:rPr>
          <w:noProof/>
        </w:rPr>
        <w:t>)</w:t>
      </w:r>
      <w:r w:rsidRPr="002A7F8C">
        <w:rPr>
          <w:noProof/>
        </w:rPr>
        <w:tab/>
      </w:r>
      <w:r w:rsidR="00150D04" w:rsidRPr="006A39BB">
        <w:rPr>
          <w:noProof/>
        </w:rPr>
        <w:t>Member States neither regulate nor supervise the activities of ESG rating providers or the conditions for the provision of ESG ratings.</w:t>
      </w:r>
      <w:r w:rsidR="002B7745" w:rsidRPr="006A39BB">
        <w:rPr>
          <w:noProof/>
        </w:rPr>
        <w:t xml:space="preserve"> </w:t>
      </w:r>
      <w:r w:rsidR="3D4A1635" w:rsidRPr="006A39BB">
        <w:rPr>
          <w:noProof/>
        </w:rPr>
        <w:t xml:space="preserve">In ensuring alignment with the objectives of the SDGs and the </w:t>
      </w:r>
      <w:r w:rsidR="00980796">
        <w:rPr>
          <w:noProof/>
        </w:rPr>
        <w:t xml:space="preserve">European </w:t>
      </w:r>
      <w:r w:rsidR="3D4A1635" w:rsidRPr="006A39BB">
        <w:rPr>
          <w:noProof/>
        </w:rPr>
        <w:t>Green Deal, and given the existing divergences</w:t>
      </w:r>
      <w:r w:rsidR="3ADC2CB9" w:rsidRPr="006A39BB">
        <w:rPr>
          <w:noProof/>
        </w:rPr>
        <w:t xml:space="preserve">, </w:t>
      </w:r>
      <w:r w:rsidR="00971F2E" w:rsidRPr="006A39BB">
        <w:rPr>
          <w:noProof/>
        </w:rPr>
        <w:t>lack of transparency</w:t>
      </w:r>
      <w:r w:rsidR="3D4A1635" w:rsidRPr="006A39BB">
        <w:rPr>
          <w:noProof/>
        </w:rPr>
        <w:t xml:space="preserve"> and absence of common rules, it is likely that Member States </w:t>
      </w:r>
      <w:r w:rsidR="3C439669" w:rsidRPr="006A39BB">
        <w:rPr>
          <w:noProof/>
        </w:rPr>
        <w:t>would</w:t>
      </w:r>
      <w:r w:rsidR="3D4A1635" w:rsidRPr="006A39BB">
        <w:rPr>
          <w:noProof/>
        </w:rPr>
        <w:t xml:space="preserve"> adopt diverging measures and approaches, which </w:t>
      </w:r>
      <w:r w:rsidR="3C439669" w:rsidRPr="006A39BB">
        <w:rPr>
          <w:noProof/>
        </w:rPr>
        <w:t>would</w:t>
      </w:r>
      <w:r w:rsidR="3D4A1635" w:rsidRPr="006A39BB">
        <w:rPr>
          <w:noProof/>
        </w:rPr>
        <w:t xml:space="preserve"> have a direct negative impact on, and create obstacles to, the proper functioning of the internal market, and be detrimental to the ESG rating market</w:t>
      </w:r>
      <w:r w:rsidR="7AA68BB4" w:rsidRPr="006A39BB">
        <w:rPr>
          <w:noProof/>
        </w:rPr>
        <w:t xml:space="preserve">. </w:t>
      </w:r>
      <w:r w:rsidR="635C807C" w:rsidRPr="006A39BB">
        <w:rPr>
          <w:noProof/>
        </w:rPr>
        <w:t xml:space="preserve">ESG rating providers issuing ESG ratings for the use of financial institutions </w:t>
      </w:r>
      <w:r w:rsidR="006064FE" w:rsidRPr="006A39BB">
        <w:rPr>
          <w:noProof/>
        </w:rPr>
        <w:t xml:space="preserve">and </w:t>
      </w:r>
      <w:r w:rsidR="2CA5F681" w:rsidRPr="006A39BB">
        <w:rPr>
          <w:noProof/>
        </w:rPr>
        <w:t>undertakings</w:t>
      </w:r>
      <w:r w:rsidR="006064FE" w:rsidRPr="006A39BB">
        <w:rPr>
          <w:noProof/>
        </w:rPr>
        <w:t xml:space="preserve"> </w:t>
      </w:r>
      <w:r w:rsidR="635C807C" w:rsidRPr="006A39BB">
        <w:rPr>
          <w:noProof/>
        </w:rPr>
        <w:t>in the Union would be subject to different rules in different Member States.</w:t>
      </w:r>
      <w:r w:rsidR="3D4A1635" w:rsidRPr="006A39BB">
        <w:rPr>
          <w:noProof/>
        </w:rPr>
        <w:t xml:space="preserve"> Divergent standards and market practices </w:t>
      </w:r>
      <w:r w:rsidR="009A7A58" w:rsidRPr="006A39BB">
        <w:rPr>
          <w:noProof/>
        </w:rPr>
        <w:t xml:space="preserve">would </w:t>
      </w:r>
      <w:r w:rsidR="3D4A1635" w:rsidRPr="006A39BB">
        <w:rPr>
          <w:noProof/>
        </w:rPr>
        <w:t xml:space="preserve">make it difficult to </w:t>
      </w:r>
      <w:r w:rsidR="480798CD" w:rsidRPr="006A39BB">
        <w:rPr>
          <w:noProof/>
        </w:rPr>
        <w:t xml:space="preserve">have clarity over the construction of ESG ratings and </w:t>
      </w:r>
      <w:r w:rsidR="00E97FC5">
        <w:rPr>
          <w:noProof/>
        </w:rPr>
        <w:t>to compare them</w:t>
      </w:r>
      <w:r w:rsidR="3D4A1635" w:rsidRPr="006A39BB">
        <w:rPr>
          <w:noProof/>
        </w:rPr>
        <w:t xml:space="preserve">, </w:t>
      </w:r>
      <w:r w:rsidR="00295610" w:rsidRPr="006A39BB">
        <w:rPr>
          <w:noProof/>
        </w:rPr>
        <w:t xml:space="preserve">thus </w:t>
      </w:r>
      <w:r w:rsidR="3D4A1635" w:rsidRPr="006A39BB">
        <w:rPr>
          <w:noProof/>
        </w:rPr>
        <w:t>creat</w:t>
      </w:r>
      <w:r w:rsidR="2B70FC71" w:rsidRPr="006A39BB">
        <w:rPr>
          <w:noProof/>
        </w:rPr>
        <w:t>ing</w:t>
      </w:r>
      <w:r w:rsidR="3D4A1635" w:rsidRPr="006A39BB">
        <w:rPr>
          <w:noProof/>
        </w:rPr>
        <w:t xml:space="preserve"> uneven market conditions for </w:t>
      </w:r>
      <w:r w:rsidR="620E0A5D" w:rsidRPr="006A39BB">
        <w:rPr>
          <w:noProof/>
        </w:rPr>
        <w:t>users</w:t>
      </w:r>
      <w:r w:rsidR="3D4A1635" w:rsidRPr="006A39BB">
        <w:rPr>
          <w:noProof/>
        </w:rPr>
        <w:t>, caus</w:t>
      </w:r>
      <w:r w:rsidR="324475B7" w:rsidRPr="006A39BB">
        <w:rPr>
          <w:noProof/>
        </w:rPr>
        <w:t>ing</w:t>
      </w:r>
      <w:r w:rsidR="3D4A1635" w:rsidRPr="006A39BB">
        <w:rPr>
          <w:noProof/>
        </w:rPr>
        <w:t xml:space="preserve"> additional barriers within the internal market, and risk</w:t>
      </w:r>
      <w:r w:rsidR="324475B7" w:rsidRPr="006A39BB">
        <w:rPr>
          <w:noProof/>
        </w:rPr>
        <w:t>ing</w:t>
      </w:r>
      <w:r w:rsidR="3D4A1635" w:rsidRPr="006A39BB">
        <w:rPr>
          <w:noProof/>
        </w:rPr>
        <w:t xml:space="preserve"> distorting investment decisions.</w:t>
      </w:r>
    </w:p>
    <w:p w14:paraId="2F4F88FB" w14:textId="1FC88518" w:rsidR="00634E8E" w:rsidRPr="006A39BB" w:rsidRDefault="0012044F" w:rsidP="002A7F8C">
      <w:pPr>
        <w:pStyle w:val="ManualConsidrant"/>
        <w:rPr>
          <w:noProof/>
        </w:rPr>
      </w:pPr>
      <w:r>
        <w:rPr>
          <w:noProof/>
        </w:rPr>
        <w:t>(14)</w:t>
      </w:r>
      <w:r>
        <w:rPr>
          <w:noProof/>
        </w:rPr>
        <w:tab/>
      </w:r>
      <w:r w:rsidRPr="001762CA">
        <w:rPr>
          <w:noProof/>
        </w:rPr>
        <w:t xml:space="preserve">This </w:t>
      </w:r>
      <w:r>
        <w:rPr>
          <w:noProof/>
        </w:rPr>
        <w:t>R</w:t>
      </w:r>
      <w:r w:rsidRPr="001762CA">
        <w:rPr>
          <w:noProof/>
        </w:rPr>
        <w:t>egulation complements the existing EU sustainable finance framework. Ultimately, ESG ratings should facilitate information flow</w:t>
      </w:r>
      <w:r w:rsidR="00B614F4">
        <w:rPr>
          <w:noProof/>
        </w:rPr>
        <w:t>s</w:t>
      </w:r>
      <w:r w:rsidRPr="001762CA">
        <w:rPr>
          <w:noProof/>
        </w:rPr>
        <w:t xml:space="preserve"> </w:t>
      </w:r>
      <w:r w:rsidR="00B614F4">
        <w:rPr>
          <w:noProof/>
        </w:rPr>
        <w:t>in order</w:t>
      </w:r>
      <w:r>
        <w:rPr>
          <w:noProof/>
        </w:rPr>
        <w:t xml:space="preserve"> to facilitate </w:t>
      </w:r>
      <w:r w:rsidRPr="001762CA">
        <w:rPr>
          <w:noProof/>
        </w:rPr>
        <w:t>investment decisions.</w:t>
      </w:r>
    </w:p>
    <w:p w14:paraId="1946DEA7" w14:textId="7F76E8AE" w:rsidR="00843D53" w:rsidRPr="006A39BB" w:rsidRDefault="002A7F8C" w:rsidP="002A7F8C">
      <w:pPr>
        <w:pStyle w:val="ManualConsidrant"/>
        <w:rPr>
          <w:noProof/>
        </w:rPr>
      </w:pPr>
      <w:r w:rsidRPr="002A7F8C">
        <w:rPr>
          <w:noProof/>
        </w:rPr>
        <w:t>(</w:t>
      </w:r>
      <w:r w:rsidR="0000347C" w:rsidRPr="002A7F8C">
        <w:rPr>
          <w:noProof/>
        </w:rPr>
        <w:t>1</w:t>
      </w:r>
      <w:r w:rsidR="0012044F">
        <w:rPr>
          <w:noProof/>
        </w:rPr>
        <w:t>5</w:t>
      </w:r>
      <w:r w:rsidRPr="002A7F8C">
        <w:rPr>
          <w:noProof/>
        </w:rPr>
        <w:t>)</w:t>
      </w:r>
      <w:r w:rsidRPr="002A7F8C">
        <w:rPr>
          <w:noProof/>
        </w:rPr>
        <w:tab/>
      </w:r>
      <w:r w:rsidR="00980796">
        <w:rPr>
          <w:noProof/>
        </w:rPr>
        <w:t xml:space="preserve">Rules on ESG rating providers </w:t>
      </w:r>
      <w:r w:rsidR="00843D53" w:rsidRPr="006A39BB">
        <w:rPr>
          <w:noProof/>
        </w:rPr>
        <w:t xml:space="preserve">should not apply to private ESG ratings produced pursuant to an individual order and provided exclusively to the person who placed the order and which are not intended for public disclosure or distribution by subscription or other means. Neither should </w:t>
      </w:r>
      <w:r w:rsidR="00980796">
        <w:rPr>
          <w:noProof/>
        </w:rPr>
        <w:t>such rules</w:t>
      </w:r>
      <w:r w:rsidR="00843D53" w:rsidRPr="006A39BB">
        <w:rPr>
          <w:noProof/>
        </w:rPr>
        <w:t xml:space="preserve"> apply to ESG ratings produced by European financial undertakings that are used for internal purposes. ESG ratings developed by European or national authorities and by central banks should also be exempted from </w:t>
      </w:r>
      <w:r w:rsidR="00980796">
        <w:rPr>
          <w:noProof/>
        </w:rPr>
        <w:t>such rules</w:t>
      </w:r>
      <w:r w:rsidR="00843D53" w:rsidRPr="006A39BB">
        <w:rPr>
          <w:noProof/>
        </w:rPr>
        <w:t xml:space="preserve">. Finally, </w:t>
      </w:r>
      <w:r w:rsidR="00980796">
        <w:rPr>
          <w:noProof/>
        </w:rPr>
        <w:t>such rules</w:t>
      </w:r>
      <w:r w:rsidR="00843D53" w:rsidRPr="006A39BB">
        <w:rPr>
          <w:noProof/>
        </w:rPr>
        <w:t xml:space="preserve"> should not apply to the provision of ESG data that do not include an element of rating or </w:t>
      </w:r>
      <w:r w:rsidR="00765F9F" w:rsidRPr="006A39BB">
        <w:rPr>
          <w:noProof/>
        </w:rPr>
        <w:t>scoring and</w:t>
      </w:r>
      <w:r w:rsidR="00843D53" w:rsidRPr="006A39BB">
        <w:rPr>
          <w:noProof/>
        </w:rPr>
        <w:t xml:space="preserve"> </w:t>
      </w:r>
      <w:r w:rsidR="00980796">
        <w:rPr>
          <w:noProof/>
        </w:rPr>
        <w:t>are</w:t>
      </w:r>
      <w:r w:rsidR="00843D53" w:rsidRPr="006A39BB">
        <w:rPr>
          <w:noProof/>
        </w:rPr>
        <w:t xml:space="preserve"> not subject to any modelling or analysis resulting in the development of an ESG rating.</w:t>
      </w:r>
    </w:p>
    <w:p w14:paraId="4ED85B7F" w14:textId="0FC967B4" w:rsidR="002E3A68" w:rsidRPr="006A39BB" w:rsidRDefault="002A7F8C" w:rsidP="002A7F8C">
      <w:pPr>
        <w:pStyle w:val="ManualConsidrant"/>
        <w:rPr>
          <w:noProof/>
        </w:rPr>
      </w:pPr>
      <w:r w:rsidRPr="002A7F8C">
        <w:rPr>
          <w:noProof/>
        </w:rPr>
        <w:t>(</w:t>
      </w:r>
      <w:r w:rsidR="0000347C" w:rsidRPr="002A7F8C">
        <w:rPr>
          <w:noProof/>
        </w:rPr>
        <w:t>1</w:t>
      </w:r>
      <w:r w:rsidR="0012044F">
        <w:rPr>
          <w:noProof/>
        </w:rPr>
        <w:t>6</w:t>
      </w:r>
      <w:r w:rsidRPr="002A7F8C">
        <w:rPr>
          <w:noProof/>
        </w:rPr>
        <w:t>)</w:t>
      </w:r>
      <w:r w:rsidRPr="002A7F8C">
        <w:rPr>
          <w:noProof/>
        </w:rPr>
        <w:tab/>
      </w:r>
      <w:r w:rsidR="002E3A68" w:rsidRPr="006A39BB">
        <w:rPr>
          <w:noProof/>
        </w:rPr>
        <w:t>It is important to lay down rules ensuring that ESG ratings</w:t>
      </w:r>
      <w:r w:rsidR="00EE2824" w:rsidRPr="006A39BB">
        <w:rPr>
          <w:noProof/>
        </w:rPr>
        <w:t xml:space="preserve"> </w:t>
      </w:r>
      <w:r w:rsidR="002E3A68" w:rsidRPr="006A39BB">
        <w:rPr>
          <w:noProof/>
        </w:rPr>
        <w:t>provided by ESG rating providers author</w:t>
      </w:r>
      <w:r w:rsidR="00DD1842" w:rsidRPr="006A39BB">
        <w:rPr>
          <w:noProof/>
        </w:rPr>
        <w:t>is</w:t>
      </w:r>
      <w:r w:rsidR="002E3A68" w:rsidRPr="006A39BB">
        <w:rPr>
          <w:noProof/>
        </w:rPr>
        <w:t>ed in the Union are of adequate quality</w:t>
      </w:r>
      <w:r w:rsidR="00342230" w:rsidRPr="006A39BB">
        <w:rPr>
          <w:noProof/>
        </w:rPr>
        <w:t xml:space="preserve">, </w:t>
      </w:r>
      <w:r w:rsidR="002E3A68" w:rsidRPr="006A39BB">
        <w:rPr>
          <w:noProof/>
        </w:rPr>
        <w:t>are subject to appropriate requirements</w:t>
      </w:r>
      <w:r w:rsidR="00342230" w:rsidRPr="006A39BB">
        <w:rPr>
          <w:noProof/>
        </w:rPr>
        <w:t xml:space="preserve"> and ensure market integrity</w:t>
      </w:r>
      <w:r w:rsidR="002E3A68" w:rsidRPr="006A39BB">
        <w:rPr>
          <w:noProof/>
        </w:rPr>
        <w:t>.</w:t>
      </w:r>
      <w:r w:rsidR="00DC1D75" w:rsidRPr="006A39BB">
        <w:rPr>
          <w:noProof/>
        </w:rPr>
        <w:t xml:space="preserve"> </w:t>
      </w:r>
      <w:r w:rsidR="00651440" w:rsidRPr="006A39BB">
        <w:rPr>
          <w:noProof/>
        </w:rPr>
        <w:t>Those rules</w:t>
      </w:r>
      <w:r w:rsidR="00DC1D75" w:rsidRPr="006A39BB">
        <w:rPr>
          <w:noProof/>
        </w:rPr>
        <w:t xml:space="preserve"> </w:t>
      </w:r>
      <w:r w:rsidR="00DB4759" w:rsidRPr="006A39BB">
        <w:rPr>
          <w:noProof/>
        </w:rPr>
        <w:t>w</w:t>
      </w:r>
      <w:r w:rsidR="00DC1D75" w:rsidRPr="006A39BB">
        <w:rPr>
          <w:noProof/>
        </w:rPr>
        <w:t xml:space="preserve">ould apply to overall ESG ratings capturing </w:t>
      </w:r>
      <w:r w:rsidR="0084193B" w:rsidRPr="006A39BB">
        <w:rPr>
          <w:noProof/>
        </w:rPr>
        <w:t>E</w:t>
      </w:r>
      <w:r w:rsidR="00980796">
        <w:rPr>
          <w:noProof/>
        </w:rPr>
        <w:t>nvironmental</w:t>
      </w:r>
      <w:r w:rsidR="0084193B" w:rsidRPr="006A39BB">
        <w:rPr>
          <w:noProof/>
        </w:rPr>
        <w:t>, S</w:t>
      </w:r>
      <w:r w:rsidR="00980796">
        <w:rPr>
          <w:noProof/>
        </w:rPr>
        <w:t>ocial</w:t>
      </w:r>
      <w:r w:rsidR="0084193B" w:rsidRPr="006A39BB">
        <w:rPr>
          <w:noProof/>
        </w:rPr>
        <w:t xml:space="preserve"> and G</w:t>
      </w:r>
      <w:r w:rsidR="00980796">
        <w:rPr>
          <w:noProof/>
        </w:rPr>
        <w:t>overnance</w:t>
      </w:r>
      <w:r w:rsidR="00DC1D75" w:rsidRPr="006A39BB">
        <w:rPr>
          <w:noProof/>
        </w:rPr>
        <w:t xml:space="preserve"> </w:t>
      </w:r>
      <w:r w:rsidR="005A2B58" w:rsidRPr="006A39BB">
        <w:rPr>
          <w:noProof/>
        </w:rPr>
        <w:t>factors</w:t>
      </w:r>
      <w:r w:rsidR="00DC1D75" w:rsidRPr="006A39BB">
        <w:rPr>
          <w:noProof/>
        </w:rPr>
        <w:t xml:space="preserve">, </w:t>
      </w:r>
      <w:r w:rsidR="0002542F" w:rsidRPr="006A39BB">
        <w:rPr>
          <w:noProof/>
        </w:rPr>
        <w:t xml:space="preserve">and </w:t>
      </w:r>
      <w:r w:rsidR="00682780" w:rsidRPr="006A39BB">
        <w:rPr>
          <w:noProof/>
        </w:rPr>
        <w:t xml:space="preserve">to </w:t>
      </w:r>
      <w:r w:rsidR="0002542F" w:rsidRPr="006A39BB">
        <w:rPr>
          <w:noProof/>
        </w:rPr>
        <w:t xml:space="preserve">ratings that are only looking at a single </w:t>
      </w:r>
      <w:r w:rsidR="0084193B" w:rsidRPr="006A39BB">
        <w:rPr>
          <w:noProof/>
        </w:rPr>
        <w:t>E</w:t>
      </w:r>
      <w:r w:rsidR="00980796">
        <w:rPr>
          <w:noProof/>
        </w:rPr>
        <w:t>nvironmental</w:t>
      </w:r>
      <w:r w:rsidR="0084193B" w:rsidRPr="006A39BB">
        <w:rPr>
          <w:noProof/>
        </w:rPr>
        <w:t>, S</w:t>
      </w:r>
      <w:r w:rsidR="00980796">
        <w:rPr>
          <w:noProof/>
        </w:rPr>
        <w:t>ocial</w:t>
      </w:r>
      <w:r w:rsidR="0084193B" w:rsidRPr="006A39BB">
        <w:rPr>
          <w:noProof/>
        </w:rPr>
        <w:t xml:space="preserve"> or G</w:t>
      </w:r>
      <w:r w:rsidR="00980796">
        <w:rPr>
          <w:noProof/>
        </w:rPr>
        <w:t>overnance</w:t>
      </w:r>
      <w:r w:rsidR="0084193B" w:rsidRPr="006A39BB">
        <w:rPr>
          <w:noProof/>
        </w:rPr>
        <w:t xml:space="preserve"> </w:t>
      </w:r>
      <w:r w:rsidR="009E5F3C" w:rsidRPr="006A39BB">
        <w:rPr>
          <w:noProof/>
        </w:rPr>
        <w:t xml:space="preserve">factor </w:t>
      </w:r>
      <w:r w:rsidR="00002580" w:rsidRPr="006A39BB">
        <w:rPr>
          <w:noProof/>
        </w:rPr>
        <w:t xml:space="preserve">or sub-component of that </w:t>
      </w:r>
      <w:r w:rsidR="009E5F3C" w:rsidRPr="006A39BB">
        <w:rPr>
          <w:noProof/>
        </w:rPr>
        <w:t>factor</w:t>
      </w:r>
      <w:r w:rsidR="00682780" w:rsidRPr="006A39BB">
        <w:rPr>
          <w:noProof/>
        </w:rPr>
        <w:t>.</w:t>
      </w:r>
    </w:p>
    <w:p w14:paraId="5D3B0521" w14:textId="3C9C2E0C" w:rsidR="004F2ADA" w:rsidRPr="006A39BB" w:rsidRDefault="002A7F8C" w:rsidP="002A7F8C">
      <w:pPr>
        <w:pStyle w:val="ManualConsidrant"/>
        <w:rPr>
          <w:noProof/>
        </w:rPr>
      </w:pPr>
      <w:r w:rsidRPr="002A7F8C">
        <w:rPr>
          <w:noProof/>
        </w:rPr>
        <w:t>(</w:t>
      </w:r>
      <w:r w:rsidR="0000347C" w:rsidRPr="002A7F8C">
        <w:rPr>
          <w:noProof/>
        </w:rPr>
        <w:t>1</w:t>
      </w:r>
      <w:r w:rsidR="0012044F">
        <w:rPr>
          <w:noProof/>
        </w:rPr>
        <w:t>7</w:t>
      </w:r>
      <w:r w:rsidRPr="002A7F8C">
        <w:rPr>
          <w:noProof/>
        </w:rPr>
        <w:t>)</w:t>
      </w:r>
      <w:r w:rsidRPr="002A7F8C">
        <w:rPr>
          <w:noProof/>
        </w:rPr>
        <w:tab/>
      </w:r>
      <w:r w:rsidR="004F2ADA" w:rsidRPr="006A39BB">
        <w:rPr>
          <w:noProof/>
        </w:rPr>
        <w:t xml:space="preserve">Given the use of ESG ratings from providers located outside the Union, it is necessary to introduce requirements based on which third-country ESG rating providers may offer their services in the Union. </w:t>
      </w:r>
      <w:r w:rsidR="005E2782">
        <w:rPr>
          <w:noProof/>
        </w:rPr>
        <w:t>This is necessary</w:t>
      </w:r>
      <w:r w:rsidR="005E2782" w:rsidRPr="006A39BB">
        <w:rPr>
          <w:noProof/>
        </w:rPr>
        <w:t xml:space="preserve"> to ensure </w:t>
      </w:r>
      <w:r w:rsidR="005E2782">
        <w:rPr>
          <w:noProof/>
        </w:rPr>
        <w:t xml:space="preserve">market integrity, </w:t>
      </w:r>
      <w:r w:rsidR="005E2782" w:rsidRPr="006A39BB">
        <w:rPr>
          <w:noProof/>
        </w:rPr>
        <w:t>investor protection</w:t>
      </w:r>
      <w:r w:rsidR="005E2782">
        <w:rPr>
          <w:noProof/>
        </w:rPr>
        <w:t xml:space="preserve"> and proper enforcement. </w:t>
      </w:r>
      <w:r w:rsidR="00841886" w:rsidRPr="00841886">
        <w:rPr>
          <w:noProof/>
        </w:rPr>
        <w:t>Therefore, three possible regimes are proposed for those third countries ESG rating providers: equivalence, endorsement and recognition.</w:t>
      </w:r>
      <w:r w:rsidR="00841886">
        <w:rPr>
          <w:noProof/>
        </w:rPr>
        <w:t xml:space="preserve"> </w:t>
      </w:r>
      <w:r w:rsidR="004F2ADA" w:rsidRPr="006A39BB">
        <w:rPr>
          <w:noProof/>
        </w:rPr>
        <w:t>As an overarching principle</w:t>
      </w:r>
      <w:r w:rsidR="005E2782">
        <w:rPr>
          <w:noProof/>
        </w:rPr>
        <w:t>,</w:t>
      </w:r>
      <w:r w:rsidR="004F2ADA" w:rsidRPr="006A39BB">
        <w:rPr>
          <w:noProof/>
        </w:rPr>
        <w:t xml:space="preserve"> supervision and regulation in a third country should be equivalent to Union supervision and regulation of ESG ratings. Therefore, ESG ratings provided by an ESG rating provider located in a third country can only be offered in the Union where a positive decision on equivalence of the third-country regime has been taken by the Commission. However, to avoid any adverse impact resulting from a possible abrupt cessation of the offering in the Union of ESG ratings provided </w:t>
      </w:r>
      <w:r w:rsidR="00E342C9">
        <w:rPr>
          <w:noProof/>
        </w:rPr>
        <w:t xml:space="preserve">by a third country ESG rating provider, it is also necessary to </w:t>
      </w:r>
      <w:r w:rsidR="004F2ADA" w:rsidRPr="006A39BB">
        <w:rPr>
          <w:noProof/>
        </w:rPr>
        <w:t>provide</w:t>
      </w:r>
      <w:r w:rsidR="00E342C9">
        <w:rPr>
          <w:noProof/>
        </w:rPr>
        <w:t xml:space="preserve"> </w:t>
      </w:r>
      <w:r w:rsidR="004F2ADA" w:rsidRPr="006A39BB">
        <w:rPr>
          <w:noProof/>
        </w:rPr>
        <w:t>for certain other mechanisms</w:t>
      </w:r>
      <w:r w:rsidR="00E342C9">
        <w:rPr>
          <w:noProof/>
        </w:rPr>
        <w:t xml:space="preserve">, that is </w:t>
      </w:r>
      <w:r w:rsidR="004F2ADA" w:rsidRPr="006A39BB">
        <w:rPr>
          <w:noProof/>
        </w:rPr>
        <w:t>endorsement and recognition.</w:t>
      </w:r>
      <w:r w:rsidR="0096637A">
        <w:rPr>
          <w:noProof/>
        </w:rPr>
        <w:t xml:space="preserve"> </w:t>
      </w:r>
      <w:r w:rsidR="00603013">
        <w:rPr>
          <w:noProof/>
        </w:rPr>
        <w:t xml:space="preserve">Any </w:t>
      </w:r>
      <w:r w:rsidR="0096637A">
        <w:rPr>
          <w:noProof/>
        </w:rPr>
        <w:t xml:space="preserve">ESG rating provider with a group structure should be able to </w:t>
      </w:r>
      <w:r w:rsidR="00926E69">
        <w:rPr>
          <w:noProof/>
        </w:rPr>
        <w:t>use the mechanism of endorsement for the ESG ratings developed outside the Union,</w:t>
      </w:r>
      <w:r w:rsidR="0096637A">
        <w:rPr>
          <w:noProof/>
        </w:rPr>
        <w:t xml:space="preserve"> provided they establish</w:t>
      </w:r>
      <w:r w:rsidR="00926E69">
        <w:rPr>
          <w:noProof/>
        </w:rPr>
        <w:t>,</w:t>
      </w:r>
      <w:r w:rsidR="0096637A">
        <w:rPr>
          <w:noProof/>
        </w:rPr>
        <w:t xml:space="preserve"> within the group, an authorised ESG rating provider in the Union</w:t>
      </w:r>
      <w:r w:rsidR="00926E69">
        <w:rPr>
          <w:noProof/>
        </w:rPr>
        <w:t xml:space="preserve">. </w:t>
      </w:r>
      <w:bookmarkStart w:id="2" w:name="_Hlk135669561"/>
      <w:r w:rsidR="00926E69">
        <w:rPr>
          <w:noProof/>
        </w:rPr>
        <w:t>S</w:t>
      </w:r>
      <w:r w:rsidR="0096637A">
        <w:rPr>
          <w:noProof/>
        </w:rPr>
        <w:t>maller ESG rating providers</w:t>
      </w:r>
      <w:r w:rsidR="00926E69">
        <w:rPr>
          <w:noProof/>
        </w:rPr>
        <w:t xml:space="preserve">, within the meaning </w:t>
      </w:r>
      <w:r w:rsidR="005E2782" w:rsidRPr="005E2782">
        <w:rPr>
          <w:noProof/>
        </w:rPr>
        <w:t xml:space="preserve">of the maximum threshold of net turnover to define small undertakings in </w:t>
      </w:r>
      <w:r w:rsidR="00926E69">
        <w:rPr>
          <w:noProof/>
        </w:rPr>
        <w:t>Directive 2013/34/EU</w:t>
      </w:r>
      <w:r w:rsidR="00603013" w:rsidRPr="00AB2B94">
        <w:rPr>
          <w:rStyle w:val="FootnoteReference"/>
          <w:noProof/>
        </w:rPr>
        <w:footnoteReference w:id="27"/>
      </w:r>
      <w:r w:rsidR="00926E69">
        <w:rPr>
          <w:noProof/>
        </w:rPr>
        <w:t xml:space="preserve">, </w:t>
      </w:r>
      <w:r w:rsidR="00953E71">
        <w:rPr>
          <w:noProof/>
        </w:rPr>
        <w:t xml:space="preserve">that generally do not belong to a group, and may not have the means to have a legal entity authorised in the Union, </w:t>
      </w:r>
      <w:r w:rsidR="0096637A">
        <w:rPr>
          <w:noProof/>
        </w:rPr>
        <w:t xml:space="preserve">should </w:t>
      </w:r>
      <w:r w:rsidR="00603013">
        <w:rPr>
          <w:noProof/>
        </w:rPr>
        <w:t xml:space="preserve">be able to </w:t>
      </w:r>
      <w:r w:rsidR="00953E71">
        <w:rPr>
          <w:noProof/>
        </w:rPr>
        <w:t xml:space="preserve">continue or start offering their services in the Union and should therefore </w:t>
      </w:r>
      <w:r w:rsidR="0096637A">
        <w:rPr>
          <w:noProof/>
        </w:rPr>
        <w:t>benefit from a lighter regime</w:t>
      </w:r>
      <w:r w:rsidR="00603013">
        <w:rPr>
          <w:noProof/>
        </w:rPr>
        <w:t>, that is recognition</w:t>
      </w:r>
      <w:r w:rsidR="0096637A">
        <w:rPr>
          <w:noProof/>
        </w:rPr>
        <w:t>.</w:t>
      </w:r>
      <w:bookmarkEnd w:id="2"/>
      <w:r w:rsidR="00FE1058" w:rsidRPr="00FE1058">
        <w:rPr>
          <w:noProof/>
        </w:rPr>
        <w:t xml:space="preserve"> Where the third country ESG provider is subject to supervision, appropriate cooperation arrangements should be put in place in order to ensure the proper exchange of information with the relevant competent authority of the third country.</w:t>
      </w:r>
    </w:p>
    <w:p w14:paraId="3C40B5B4" w14:textId="4E9F4B0A" w:rsidR="00292AFB" w:rsidRPr="006A39BB" w:rsidRDefault="002A7F8C" w:rsidP="002A7F8C">
      <w:pPr>
        <w:pStyle w:val="ManualConsidrant"/>
        <w:rPr>
          <w:noProof/>
        </w:rPr>
      </w:pPr>
      <w:r w:rsidRPr="002A7F8C">
        <w:rPr>
          <w:noProof/>
        </w:rPr>
        <w:t>(</w:t>
      </w:r>
      <w:r w:rsidR="0000347C" w:rsidRPr="002A7F8C">
        <w:rPr>
          <w:noProof/>
        </w:rPr>
        <w:t>1</w:t>
      </w:r>
      <w:r w:rsidR="0012044F">
        <w:rPr>
          <w:noProof/>
        </w:rPr>
        <w:t>8</w:t>
      </w:r>
      <w:r w:rsidRPr="002A7F8C">
        <w:rPr>
          <w:noProof/>
        </w:rPr>
        <w:t>)</w:t>
      </w:r>
      <w:r w:rsidRPr="002A7F8C">
        <w:rPr>
          <w:noProof/>
        </w:rPr>
        <w:tab/>
      </w:r>
      <w:r w:rsidR="003D2675">
        <w:rPr>
          <w:noProof/>
        </w:rPr>
        <w:t>T</w:t>
      </w:r>
      <w:r w:rsidR="00292AFB" w:rsidRPr="006A39BB">
        <w:rPr>
          <w:noProof/>
        </w:rPr>
        <w:t xml:space="preserve">o ensure a high level of investor and consumer confidence in the internal market, </w:t>
      </w:r>
      <w:r w:rsidR="00A60311" w:rsidRPr="006A39BB">
        <w:rPr>
          <w:noProof/>
        </w:rPr>
        <w:t xml:space="preserve">ESG rating providers </w:t>
      </w:r>
      <w:r w:rsidR="00292AFB" w:rsidRPr="006A39BB">
        <w:rPr>
          <w:noProof/>
        </w:rPr>
        <w:t xml:space="preserve">which </w:t>
      </w:r>
      <w:r w:rsidR="00A60311" w:rsidRPr="006A39BB">
        <w:rPr>
          <w:noProof/>
        </w:rPr>
        <w:t>provide ESG ratings</w:t>
      </w:r>
      <w:r w:rsidR="00292AFB" w:rsidRPr="006A39BB">
        <w:rPr>
          <w:noProof/>
        </w:rPr>
        <w:t xml:space="preserve"> in the </w:t>
      </w:r>
      <w:r w:rsidR="00A60311" w:rsidRPr="006A39BB">
        <w:rPr>
          <w:noProof/>
        </w:rPr>
        <w:t>Union</w:t>
      </w:r>
      <w:r w:rsidR="00292AFB" w:rsidRPr="006A39BB">
        <w:rPr>
          <w:noProof/>
        </w:rPr>
        <w:t xml:space="preserve"> should be </w:t>
      </w:r>
      <w:r w:rsidR="00E342C9">
        <w:rPr>
          <w:noProof/>
        </w:rPr>
        <w:t>authorised</w:t>
      </w:r>
      <w:r w:rsidR="00292AFB" w:rsidRPr="006A39BB">
        <w:rPr>
          <w:noProof/>
        </w:rPr>
        <w:t xml:space="preserve">. It is therefore necessary to lay down harmonised conditions </w:t>
      </w:r>
      <w:r w:rsidR="00E342C9">
        <w:rPr>
          <w:noProof/>
        </w:rPr>
        <w:t xml:space="preserve">for such authorisation </w:t>
      </w:r>
      <w:r w:rsidR="00292AFB" w:rsidRPr="006A39BB">
        <w:rPr>
          <w:noProof/>
        </w:rPr>
        <w:t xml:space="preserve">and the procedure for the granting, suspension and withdrawal of such </w:t>
      </w:r>
      <w:r w:rsidR="00B95BDE" w:rsidRPr="006A39BB">
        <w:rPr>
          <w:noProof/>
        </w:rPr>
        <w:t>authorisation</w:t>
      </w:r>
      <w:r w:rsidR="00292AFB" w:rsidRPr="006A39BB">
        <w:rPr>
          <w:noProof/>
        </w:rPr>
        <w:t>.</w:t>
      </w:r>
    </w:p>
    <w:p w14:paraId="2443A526" w14:textId="500E9FD0" w:rsidR="00CF0D82" w:rsidRDefault="002A7F8C" w:rsidP="002A7F8C">
      <w:pPr>
        <w:pStyle w:val="ManualConsidrant"/>
        <w:rPr>
          <w:noProof/>
        </w:rPr>
      </w:pPr>
      <w:r w:rsidRPr="002A7F8C">
        <w:rPr>
          <w:noProof/>
        </w:rPr>
        <w:t>(</w:t>
      </w:r>
      <w:r w:rsidR="0000347C" w:rsidRPr="002A7F8C">
        <w:rPr>
          <w:noProof/>
        </w:rPr>
        <w:t>1</w:t>
      </w:r>
      <w:r w:rsidR="0012044F">
        <w:rPr>
          <w:noProof/>
        </w:rPr>
        <w:t>9</w:t>
      </w:r>
      <w:r w:rsidRPr="002A7F8C">
        <w:rPr>
          <w:noProof/>
        </w:rPr>
        <w:t>)</w:t>
      </w:r>
      <w:r w:rsidRPr="002A7F8C">
        <w:rPr>
          <w:noProof/>
        </w:rPr>
        <w:tab/>
      </w:r>
      <w:r w:rsidR="00CF0D82">
        <w:rPr>
          <w:noProof/>
        </w:rPr>
        <w:t>To ensure a high level of information to investors and other users of ESG ratings, information on ESG ratings and ESG rating providers should be made available on the European Single Access Point (ESAP)</w:t>
      </w:r>
      <w:r w:rsidR="00CF0D82">
        <w:rPr>
          <w:rStyle w:val="FootnoteReference"/>
          <w:noProof/>
          <w:szCs w:val="24"/>
        </w:rPr>
        <w:footnoteReference w:id="28"/>
      </w:r>
      <w:r w:rsidR="00CF0D82">
        <w:rPr>
          <w:noProof/>
        </w:rPr>
        <w:t xml:space="preserve">. </w:t>
      </w:r>
      <w:r w:rsidR="00CF0D82" w:rsidRPr="00CF0D82">
        <w:rPr>
          <w:noProof/>
        </w:rPr>
        <w:t>ESAP should provide the public with an easy centralised access to</w:t>
      </w:r>
      <w:r w:rsidR="00CF0D82">
        <w:rPr>
          <w:noProof/>
        </w:rPr>
        <w:t xml:space="preserve"> such</w:t>
      </w:r>
      <w:r w:rsidR="00CF0D82" w:rsidRPr="00CF0D82">
        <w:rPr>
          <w:noProof/>
        </w:rPr>
        <w:t xml:space="preserve"> information</w:t>
      </w:r>
      <w:r w:rsidR="00CF0D82">
        <w:rPr>
          <w:noProof/>
        </w:rPr>
        <w:t>.</w:t>
      </w:r>
    </w:p>
    <w:p w14:paraId="198797C1" w14:textId="5C15DEF4" w:rsidR="002F2E9F" w:rsidRDefault="002A7F8C" w:rsidP="002A7F8C">
      <w:pPr>
        <w:pStyle w:val="ManualConsidrant"/>
        <w:rPr>
          <w:noProof/>
        </w:rPr>
      </w:pPr>
      <w:r w:rsidRPr="002A7F8C">
        <w:rPr>
          <w:noProof/>
        </w:rPr>
        <w:t>(</w:t>
      </w:r>
      <w:r w:rsidR="0012044F">
        <w:rPr>
          <w:noProof/>
        </w:rPr>
        <w:t>20</w:t>
      </w:r>
      <w:r w:rsidRPr="002A7F8C">
        <w:rPr>
          <w:noProof/>
        </w:rPr>
        <w:t>)</w:t>
      </w:r>
      <w:r w:rsidRPr="002A7F8C">
        <w:rPr>
          <w:noProof/>
        </w:rPr>
        <w:tab/>
      </w:r>
      <w:r w:rsidR="002F2E9F" w:rsidRPr="006A39BB">
        <w:rPr>
          <w:noProof/>
        </w:rPr>
        <w:t xml:space="preserve">To ensure the quality and reliability of ESG ratings, ESG rating providers should use rating methodologies that are rigorous, systematic, </w:t>
      </w:r>
      <w:r w:rsidR="00B35F8C">
        <w:rPr>
          <w:noProof/>
        </w:rPr>
        <w:t xml:space="preserve">objective, </w:t>
      </w:r>
      <w:r w:rsidR="002F2E9F" w:rsidRPr="006A39BB">
        <w:rPr>
          <w:noProof/>
        </w:rPr>
        <w:t>continuous and subject to validation. ESG rating providers should review ESG ratings methodologies on an on-going basis and at least annually.</w:t>
      </w:r>
    </w:p>
    <w:p w14:paraId="7F75BFFF" w14:textId="688671D5" w:rsidR="00136BD1" w:rsidRPr="006A39BB" w:rsidRDefault="002A7F8C" w:rsidP="002A7F8C">
      <w:pPr>
        <w:pStyle w:val="ManualConsidrant"/>
        <w:rPr>
          <w:noProof/>
        </w:rPr>
      </w:pPr>
      <w:r w:rsidRPr="002A7F8C">
        <w:rPr>
          <w:noProof/>
        </w:rPr>
        <w:t>(</w:t>
      </w:r>
      <w:r w:rsidR="0000347C">
        <w:rPr>
          <w:noProof/>
        </w:rPr>
        <w:t>2</w:t>
      </w:r>
      <w:r w:rsidR="0012044F">
        <w:rPr>
          <w:noProof/>
        </w:rPr>
        <w:t>1</w:t>
      </w:r>
      <w:r w:rsidRPr="002A7F8C">
        <w:rPr>
          <w:noProof/>
        </w:rPr>
        <w:t>)</w:t>
      </w:r>
      <w:r w:rsidRPr="002A7F8C">
        <w:rPr>
          <w:noProof/>
        </w:rPr>
        <w:tab/>
      </w:r>
      <w:r w:rsidR="00CE3DC6" w:rsidRPr="006A39BB">
        <w:rPr>
          <w:noProof/>
        </w:rPr>
        <w:t xml:space="preserve">To ensure a </w:t>
      </w:r>
      <w:r w:rsidR="002F2E9F" w:rsidRPr="006A39BB">
        <w:rPr>
          <w:noProof/>
        </w:rPr>
        <w:t>higher-level</w:t>
      </w:r>
      <w:r w:rsidR="0087037B" w:rsidRPr="006A39BB">
        <w:rPr>
          <w:noProof/>
        </w:rPr>
        <w:t xml:space="preserve"> transparency, </w:t>
      </w:r>
      <w:r w:rsidR="6ABBE202" w:rsidRPr="006A39BB">
        <w:rPr>
          <w:noProof/>
        </w:rPr>
        <w:t xml:space="preserve">ESG rating providers should disclose information to the public on the methodologies, models and key rating assumptions which </w:t>
      </w:r>
      <w:r w:rsidR="0087037B" w:rsidRPr="006A39BB">
        <w:rPr>
          <w:noProof/>
        </w:rPr>
        <w:t xml:space="preserve">those providers </w:t>
      </w:r>
      <w:r w:rsidR="6ABBE202" w:rsidRPr="006A39BB">
        <w:rPr>
          <w:noProof/>
        </w:rPr>
        <w:t>use in their ESG rating activities</w:t>
      </w:r>
      <w:r w:rsidR="00B01C77" w:rsidRPr="006A39BB">
        <w:rPr>
          <w:noProof/>
        </w:rPr>
        <w:t xml:space="preserve"> and in each of their ESG ratings product</w:t>
      </w:r>
      <w:r w:rsidR="6ABBE202" w:rsidRPr="006A39BB">
        <w:rPr>
          <w:noProof/>
        </w:rPr>
        <w:t xml:space="preserve">. </w:t>
      </w:r>
      <w:r w:rsidR="00B2064C" w:rsidRPr="00B2064C">
        <w:rPr>
          <w:noProof/>
        </w:rPr>
        <w:t>In light of the uses of ESG ratings by investors, the rating products should explicitly disclose which dimension of the double materiality the rating addresses</w:t>
      </w:r>
      <w:r w:rsidR="00B2064C">
        <w:rPr>
          <w:noProof/>
        </w:rPr>
        <w:t>,</w:t>
      </w:r>
      <w:r w:rsidR="00B2064C" w:rsidRPr="00B2064C">
        <w:rPr>
          <w:noProof/>
        </w:rPr>
        <w:t xml:space="preserve"> </w:t>
      </w:r>
      <w:r w:rsidR="00B2064C">
        <w:rPr>
          <w:noProof/>
        </w:rPr>
        <w:t xml:space="preserve">whether it is </w:t>
      </w:r>
      <w:r w:rsidR="00B2064C" w:rsidRPr="00B2064C">
        <w:rPr>
          <w:noProof/>
        </w:rPr>
        <w:t>both material financial risk to the rated entity and the material impact of the rated entity on the environment and society in general or whether it takes into account only one of them</w:t>
      </w:r>
      <w:r w:rsidR="001762CA" w:rsidRPr="001762CA">
        <w:rPr>
          <w:noProof/>
        </w:rPr>
        <w:t xml:space="preserve">. </w:t>
      </w:r>
      <w:r w:rsidR="00B2064C" w:rsidRPr="00B2064C">
        <w:rPr>
          <w:noProof/>
        </w:rPr>
        <w:t>They should also explicitly disclose whether the rating addresses other dimensions</w:t>
      </w:r>
      <w:r w:rsidR="00B2064C">
        <w:rPr>
          <w:noProof/>
        </w:rPr>
        <w:t xml:space="preserve">. </w:t>
      </w:r>
      <w:r w:rsidR="00E342C9">
        <w:rPr>
          <w:noProof/>
        </w:rPr>
        <w:t xml:space="preserve">For the same reason, </w:t>
      </w:r>
      <w:r w:rsidR="00E90FF3" w:rsidRPr="006A39BB">
        <w:rPr>
          <w:noProof/>
        </w:rPr>
        <w:t>ESG rating providers should provide</w:t>
      </w:r>
      <w:r w:rsidR="00E342C9">
        <w:rPr>
          <w:noProof/>
        </w:rPr>
        <w:t xml:space="preserve"> more detailed</w:t>
      </w:r>
      <w:r w:rsidR="00E90FF3" w:rsidRPr="006A39BB">
        <w:rPr>
          <w:noProof/>
        </w:rPr>
        <w:t xml:space="preserve"> </w:t>
      </w:r>
      <w:r w:rsidR="004E5568" w:rsidRPr="006A39BB">
        <w:rPr>
          <w:noProof/>
        </w:rPr>
        <w:t>information</w:t>
      </w:r>
      <w:r w:rsidR="01EB2DFC" w:rsidRPr="006A39BB">
        <w:rPr>
          <w:noProof/>
        </w:rPr>
        <w:t xml:space="preserve"> </w:t>
      </w:r>
      <w:r w:rsidR="00E342C9" w:rsidRPr="006A39BB">
        <w:rPr>
          <w:noProof/>
        </w:rPr>
        <w:t xml:space="preserve">on the methodologies, models and key rating assumptions </w:t>
      </w:r>
      <w:r w:rsidR="01EB2DFC" w:rsidRPr="006A39BB">
        <w:rPr>
          <w:noProof/>
        </w:rPr>
        <w:t xml:space="preserve">to </w:t>
      </w:r>
      <w:r w:rsidR="00282A43" w:rsidRPr="006A39BB">
        <w:rPr>
          <w:noProof/>
        </w:rPr>
        <w:t xml:space="preserve">subscribers of ESG </w:t>
      </w:r>
      <w:r w:rsidR="01EB2DFC" w:rsidRPr="006A39BB">
        <w:rPr>
          <w:noProof/>
        </w:rPr>
        <w:t xml:space="preserve">ratings. </w:t>
      </w:r>
      <w:r w:rsidR="6ABBE202" w:rsidRPr="006A39BB">
        <w:rPr>
          <w:noProof/>
        </w:rPr>
        <w:t>Th</w:t>
      </w:r>
      <w:r w:rsidR="006B0F37" w:rsidRPr="006A39BB">
        <w:rPr>
          <w:noProof/>
        </w:rPr>
        <w:t>at</w:t>
      </w:r>
      <w:r w:rsidR="6ABBE202" w:rsidRPr="006A39BB">
        <w:rPr>
          <w:noProof/>
        </w:rPr>
        <w:t xml:space="preserve"> information should </w:t>
      </w:r>
      <w:r w:rsidR="006B0F37" w:rsidRPr="006A39BB">
        <w:rPr>
          <w:noProof/>
        </w:rPr>
        <w:t>enable</w:t>
      </w:r>
      <w:r w:rsidR="6ABBE202" w:rsidRPr="006A39BB">
        <w:rPr>
          <w:noProof/>
        </w:rPr>
        <w:t xml:space="preserve"> users of ESG ratings to perform their own due diligence when assessing whether to rely or not on those ESG ratings. Disclosure of information concerning models should</w:t>
      </w:r>
      <w:r w:rsidR="00734EFA" w:rsidRPr="006A39BB">
        <w:rPr>
          <w:noProof/>
        </w:rPr>
        <w:t xml:space="preserve"> </w:t>
      </w:r>
      <w:r w:rsidR="6ABBE202" w:rsidRPr="006A39BB">
        <w:rPr>
          <w:noProof/>
        </w:rPr>
        <w:t>however</w:t>
      </w:r>
      <w:r w:rsidR="00734EFA" w:rsidRPr="006A39BB">
        <w:rPr>
          <w:noProof/>
        </w:rPr>
        <w:t xml:space="preserve"> not</w:t>
      </w:r>
      <w:r w:rsidR="6ABBE202" w:rsidRPr="006A39BB">
        <w:rPr>
          <w:noProof/>
        </w:rPr>
        <w:t xml:space="preserve"> reveal sensitive business information or impede innovation.</w:t>
      </w:r>
    </w:p>
    <w:p w14:paraId="77A9EF0E" w14:textId="08C9EAA6" w:rsidR="002C482C" w:rsidRPr="006A39BB" w:rsidRDefault="002A7F8C" w:rsidP="002A7F8C">
      <w:pPr>
        <w:pStyle w:val="ManualConsidrant"/>
        <w:rPr>
          <w:noProof/>
        </w:rPr>
      </w:pPr>
      <w:r w:rsidRPr="002A7F8C">
        <w:rPr>
          <w:noProof/>
        </w:rPr>
        <w:t>(</w:t>
      </w:r>
      <w:r w:rsidR="0000347C" w:rsidRPr="002A7F8C">
        <w:rPr>
          <w:noProof/>
        </w:rPr>
        <w:t>2</w:t>
      </w:r>
      <w:r w:rsidR="0000347C">
        <w:rPr>
          <w:noProof/>
        </w:rPr>
        <w:t>2</w:t>
      </w:r>
      <w:r w:rsidRPr="002A7F8C">
        <w:rPr>
          <w:noProof/>
        </w:rPr>
        <w:t>)</w:t>
      </w:r>
      <w:r w:rsidRPr="002A7F8C">
        <w:rPr>
          <w:noProof/>
        </w:rPr>
        <w:tab/>
      </w:r>
      <w:r w:rsidR="00A710BB" w:rsidRPr="006A39BB">
        <w:rPr>
          <w:noProof/>
        </w:rPr>
        <w:t>ESG rating providers should ensure that they provide ESG ratings that are independent, objective and of adequate quality.</w:t>
      </w:r>
      <w:r w:rsidR="00A710BB">
        <w:rPr>
          <w:noProof/>
        </w:rPr>
        <w:t xml:space="preserve"> </w:t>
      </w:r>
      <w:r w:rsidR="6BDDFBCD" w:rsidRPr="006A39BB">
        <w:rPr>
          <w:noProof/>
        </w:rPr>
        <w:t xml:space="preserve">It is </w:t>
      </w:r>
      <w:r w:rsidR="007D5AB2" w:rsidRPr="006A39BB">
        <w:rPr>
          <w:noProof/>
        </w:rPr>
        <w:t xml:space="preserve">important </w:t>
      </w:r>
      <w:r w:rsidR="6BDDFBCD" w:rsidRPr="006A39BB">
        <w:rPr>
          <w:noProof/>
        </w:rPr>
        <w:t xml:space="preserve">to introduce </w:t>
      </w:r>
      <w:r w:rsidR="2AD8D3F1" w:rsidRPr="006A39BB">
        <w:rPr>
          <w:noProof/>
        </w:rPr>
        <w:t xml:space="preserve">organisational requirements </w:t>
      </w:r>
      <w:r w:rsidR="6BDDFBCD" w:rsidRPr="006A39BB">
        <w:rPr>
          <w:noProof/>
        </w:rPr>
        <w:t>ensuring the prevention and mitigation of potential conflicts of interests</w:t>
      </w:r>
      <w:r w:rsidR="2AD8D3F1" w:rsidRPr="006A39BB">
        <w:rPr>
          <w:noProof/>
        </w:rPr>
        <w:t>.</w:t>
      </w:r>
      <w:r w:rsidR="6A96DF0C" w:rsidRPr="006A39BB">
        <w:rPr>
          <w:noProof/>
        </w:rPr>
        <w:t xml:space="preserve"> </w:t>
      </w:r>
      <w:r w:rsidR="00E342C9">
        <w:rPr>
          <w:noProof/>
        </w:rPr>
        <w:t xml:space="preserve">To ensure their independence, </w:t>
      </w:r>
      <w:r w:rsidR="6A96DF0C" w:rsidRPr="006A39BB">
        <w:rPr>
          <w:noProof/>
        </w:rPr>
        <w:t>ESG rating providers should avoid situations of conflict of interest and manage those conflicts adequately whe</w:t>
      </w:r>
      <w:r w:rsidR="00E342C9">
        <w:rPr>
          <w:noProof/>
        </w:rPr>
        <w:t>re</w:t>
      </w:r>
      <w:r w:rsidR="6A96DF0C" w:rsidRPr="006A39BB">
        <w:rPr>
          <w:noProof/>
        </w:rPr>
        <w:t xml:space="preserve"> they are unavoidable. ESG rating providers should disclose conflicts of interest in a timely manner. They should also keep records of all significant threats to the independence of the ESG rating provider and that of its employees and other persons involved in the rating process, </w:t>
      </w:r>
      <w:r w:rsidR="003D2675">
        <w:rPr>
          <w:noProof/>
        </w:rPr>
        <w:t>and</w:t>
      </w:r>
      <w:r w:rsidR="6A96DF0C" w:rsidRPr="006A39BB">
        <w:rPr>
          <w:noProof/>
        </w:rPr>
        <w:t xml:space="preserve"> the safeguards applied to mitigate those threats. </w:t>
      </w:r>
      <w:r w:rsidR="003A2F66" w:rsidRPr="006A39BB">
        <w:rPr>
          <w:noProof/>
        </w:rPr>
        <w:t xml:space="preserve">In addition, </w:t>
      </w:r>
      <w:r w:rsidR="50520783" w:rsidRPr="006A39BB">
        <w:rPr>
          <w:noProof/>
        </w:rPr>
        <w:t xml:space="preserve">to avoid potential conflicts of interest, ESG rating </w:t>
      </w:r>
      <w:r w:rsidR="7670FFA9" w:rsidRPr="006A39BB">
        <w:rPr>
          <w:noProof/>
        </w:rPr>
        <w:t>providers</w:t>
      </w:r>
      <w:r w:rsidR="50520783" w:rsidRPr="006A39BB">
        <w:rPr>
          <w:noProof/>
        </w:rPr>
        <w:t xml:space="preserve"> </w:t>
      </w:r>
      <w:r w:rsidR="035BFDB7" w:rsidRPr="006A39BB">
        <w:rPr>
          <w:noProof/>
        </w:rPr>
        <w:t xml:space="preserve">should </w:t>
      </w:r>
      <w:r w:rsidR="29A96353" w:rsidRPr="006A39BB">
        <w:rPr>
          <w:noProof/>
        </w:rPr>
        <w:t xml:space="preserve">not be allowed to offer a number </w:t>
      </w:r>
      <w:r w:rsidR="002A431C" w:rsidRPr="006A39BB">
        <w:rPr>
          <w:noProof/>
        </w:rPr>
        <w:t xml:space="preserve">of </w:t>
      </w:r>
      <w:r w:rsidR="29A96353" w:rsidRPr="006A39BB">
        <w:rPr>
          <w:noProof/>
        </w:rPr>
        <w:t xml:space="preserve">other services </w:t>
      </w:r>
      <w:r w:rsidR="00A710BB">
        <w:rPr>
          <w:noProof/>
        </w:rPr>
        <w:t>including</w:t>
      </w:r>
      <w:r w:rsidR="29A96353" w:rsidRPr="006A39BB">
        <w:rPr>
          <w:noProof/>
        </w:rPr>
        <w:t xml:space="preserve"> </w:t>
      </w:r>
      <w:r w:rsidR="59F37927" w:rsidRPr="006A39BB">
        <w:rPr>
          <w:noProof/>
        </w:rPr>
        <w:t xml:space="preserve">consulting services, </w:t>
      </w:r>
      <w:r w:rsidR="29A96353" w:rsidRPr="006A39BB">
        <w:rPr>
          <w:noProof/>
        </w:rPr>
        <w:t>credit ratings</w:t>
      </w:r>
      <w:r w:rsidR="59F37927" w:rsidRPr="006A39BB">
        <w:rPr>
          <w:noProof/>
        </w:rPr>
        <w:t xml:space="preserve">, </w:t>
      </w:r>
      <w:r w:rsidR="1EBC3D68" w:rsidRPr="006A39BB">
        <w:rPr>
          <w:noProof/>
        </w:rPr>
        <w:t>benchmarks</w:t>
      </w:r>
      <w:r w:rsidR="007D5AB2" w:rsidRPr="006A39BB">
        <w:rPr>
          <w:noProof/>
        </w:rPr>
        <w:t>,</w:t>
      </w:r>
      <w:r w:rsidR="59F37927" w:rsidRPr="006A39BB">
        <w:rPr>
          <w:noProof/>
        </w:rPr>
        <w:t xml:space="preserve"> investment activities</w:t>
      </w:r>
      <w:r w:rsidR="007D5AB2" w:rsidRPr="006A39BB">
        <w:rPr>
          <w:noProof/>
        </w:rPr>
        <w:t>, audit, or banking, insurance and reinsurance activities</w:t>
      </w:r>
      <w:r w:rsidR="59F37927" w:rsidRPr="006A39BB">
        <w:rPr>
          <w:noProof/>
        </w:rPr>
        <w:t>.</w:t>
      </w:r>
      <w:r w:rsidR="0014330A" w:rsidRPr="006A39BB">
        <w:rPr>
          <w:noProof/>
        </w:rPr>
        <w:t xml:space="preserve"> Finally, to </w:t>
      </w:r>
      <w:r w:rsidR="008E1954" w:rsidRPr="006A39BB">
        <w:rPr>
          <w:noProof/>
        </w:rPr>
        <w:t xml:space="preserve">prevent, identify, eliminate or manage and disclose any conflicts of interest and ensure the quality, integrity and thoroughness of the ESG rating and review process at all times, </w:t>
      </w:r>
      <w:r w:rsidR="233C5836" w:rsidRPr="006A39BB">
        <w:rPr>
          <w:noProof/>
        </w:rPr>
        <w:t xml:space="preserve">ESG rating </w:t>
      </w:r>
      <w:r w:rsidR="7670FFA9" w:rsidRPr="006A39BB">
        <w:rPr>
          <w:noProof/>
        </w:rPr>
        <w:t>providers</w:t>
      </w:r>
      <w:r w:rsidR="233C5836" w:rsidRPr="006A39BB">
        <w:rPr>
          <w:noProof/>
        </w:rPr>
        <w:t xml:space="preserve"> should establish appropriate internal policies and procedures in relation to employees and other persons involved in the rating process. Such policies and procedures s</w:t>
      </w:r>
      <w:r w:rsidR="6EBCF8A8" w:rsidRPr="006A39BB">
        <w:rPr>
          <w:noProof/>
        </w:rPr>
        <w:t xml:space="preserve">hould, in particular, include </w:t>
      </w:r>
      <w:r w:rsidR="233C5836" w:rsidRPr="006A39BB">
        <w:rPr>
          <w:noProof/>
        </w:rPr>
        <w:t>internal control mechanisms and</w:t>
      </w:r>
      <w:r w:rsidR="57AFE3F3" w:rsidRPr="006A39BB">
        <w:rPr>
          <w:noProof/>
        </w:rPr>
        <w:t xml:space="preserve"> a</w:t>
      </w:r>
      <w:r w:rsidR="233C5836" w:rsidRPr="006A39BB">
        <w:rPr>
          <w:noProof/>
        </w:rPr>
        <w:t xml:space="preserve"> compliance function. </w:t>
      </w:r>
    </w:p>
    <w:p w14:paraId="4D44F249" w14:textId="19F0CB34" w:rsidR="004F2ADA" w:rsidRPr="006A39BB" w:rsidRDefault="002A7F8C" w:rsidP="002A7F8C">
      <w:pPr>
        <w:pStyle w:val="ManualConsidrant"/>
        <w:rPr>
          <w:noProof/>
        </w:rPr>
      </w:pPr>
      <w:r w:rsidRPr="002A7F8C">
        <w:rPr>
          <w:noProof/>
        </w:rPr>
        <w:t>(</w:t>
      </w:r>
      <w:r w:rsidR="0000347C" w:rsidRPr="002A7F8C">
        <w:rPr>
          <w:noProof/>
        </w:rPr>
        <w:t>2</w:t>
      </w:r>
      <w:r w:rsidR="0000347C">
        <w:rPr>
          <w:noProof/>
        </w:rPr>
        <w:t>3</w:t>
      </w:r>
      <w:r w:rsidRPr="002A7F8C">
        <w:rPr>
          <w:noProof/>
        </w:rPr>
        <w:t>)</w:t>
      </w:r>
      <w:r w:rsidRPr="002A7F8C">
        <w:rPr>
          <w:noProof/>
        </w:rPr>
        <w:tab/>
      </w:r>
      <w:r w:rsidR="004F2ADA" w:rsidRPr="006A39BB">
        <w:rPr>
          <w:noProof/>
        </w:rPr>
        <w:t>To bring more clarity and to enhance trust on the operations of ESG rating providers, it is necessary to lay down requirements for ongoing supervision of ESG rating providers at Union level. To ensure a level playing field in terms of on-going supervision and to eliminate the risk of regulatory arbitrage across Member States, the European Securities and Markets Authority (ESMA) should be entrusted with the exclusive responsibility for such authorisation and supervision. At the same time, such exclusive responsibility should optimise the allocation of supervisory resources at Union level, thus making ESMA the centre of supervision.</w:t>
      </w:r>
    </w:p>
    <w:p w14:paraId="690FB136" w14:textId="45B038CC" w:rsidR="00DF59EE" w:rsidRPr="006A39BB" w:rsidRDefault="002A7F8C" w:rsidP="002A7F8C">
      <w:pPr>
        <w:pStyle w:val="ManualConsidrant"/>
        <w:rPr>
          <w:noProof/>
        </w:rPr>
      </w:pPr>
      <w:r w:rsidRPr="002A7F8C">
        <w:rPr>
          <w:noProof/>
        </w:rPr>
        <w:t>(</w:t>
      </w:r>
      <w:r w:rsidR="0000347C" w:rsidRPr="002A7F8C">
        <w:rPr>
          <w:noProof/>
        </w:rPr>
        <w:t>2</w:t>
      </w:r>
      <w:r w:rsidR="0000347C">
        <w:rPr>
          <w:noProof/>
        </w:rPr>
        <w:t>4</w:t>
      </w:r>
      <w:r w:rsidRPr="002A7F8C">
        <w:rPr>
          <w:noProof/>
        </w:rPr>
        <w:t>)</w:t>
      </w:r>
      <w:r w:rsidRPr="002A7F8C">
        <w:rPr>
          <w:noProof/>
        </w:rPr>
        <w:tab/>
      </w:r>
      <w:r w:rsidR="2F81F08B" w:rsidRPr="006A39BB">
        <w:rPr>
          <w:noProof/>
        </w:rPr>
        <w:t xml:space="preserve">ESMA should be able to require all information necessary to carry out its supervisory tasks effectively. It should therefore be able to demand such information from </w:t>
      </w:r>
      <w:r w:rsidR="1FCF8E32" w:rsidRPr="006A39BB">
        <w:rPr>
          <w:noProof/>
        </w:rPr>
        <w:t>ESG rating providers</w:t>
      </w:r>
      <w:r w:rsidR="2F81F08B" w:rsidRPr="006A39BB">
        <w:rPr>
          <w:noProof/>
        </w:rPr>
        <w:t xml:space="preserve">, persons involved in </w:t>
      </w:r>
      <w:r w:rsidR="1FCF8E32" w:rsidRPr="006A39BB">
        <w:rPr>
          <w:noProof/>
        </w:rPr>
        <w:t>ESG rating</w:t>
      </w:r>
      <w:r w:rsidR="2F81F08B" w:rsidRPr="006A39BB">
        <w:rPr>
          <w:noProof/>
        </w:rPr>
        <w:t xml:space="preserve"> activities, </w:t>
      </w:r>
      <w:r w:rsidR="1FCF8E32" w:rsidRPr="006A39BB">
        <w:rPr>
          <w:noProof/>
        </w:rPr>
        <w:t>rated</w:t>
      </w:r>
      <w:r w:rsidR="2F81F08B" w:rsidRPr="006A39BB">
        <w:rPr>
          <w:noProof/>
        </w:rPr>
        <w:t xml:space="preserve"> entities</w:t>
      </w:r>
      <w:r w:rsidR="004D6EEA" w:rsidRPr="006A39BB">
        <w:rPr>
          <w:noProof/>
        </w:rPr>
        <w:t xml:space="preserve"> and </w:t>
      </w:r>
      <w:r w:rsidR="2F81F08B" w:rsidRPr="006A39BB">
        <w:rPr>
          <w:noProof/>
        </w:rPr>
        <w:t xml:space="preserve">third parties to whom the </w:t>
      </w:r>
      <w:r w:rsidR="1FCF8E32" w:rsidRPr="006A39BB">
        <w:rPr>
          <w:noProof/>
        </w:rPr>
        <w:t>ESG rating providers</w:t>
      </w:r>
      <w:r w:rsidR="2F81F08B" w:rsidRPr="006A39BB">
        <w:rPr>
          <w:noProof/>
        </w:rPr>
        <w:t xml:space="preserve"> have outsourced operational functions and persons otherwise closely and substantially related or connected to </w:t>
      </w:r>
      <w:r w:rsidR="1FCF8E32" w:rsidRPr="006A39BB">
        <w:rPr>
          <w:noProof/>
        </w:rPr>
        <w:t>ESG rating providers</w:t>
      </w:r>
      <w:r w:rsidR="2F81F08B" w:rsidRPr="006A39BB">
        <w:rPr>
          <w:noProof/>
        </w:rPr>
        <w:t xml:space="preserve"> or </w:t>
      </w:r>
      <w:r w:rsidR="1FCF8E32" w:rsidRPr="006A39BB">
        <w:rPr>
          <w:noProof/>
        </w:rPr>
        <w:t xml:space="preserve">ESG rating </w:t>
      </w:r>
      <w:r w:rsidR="2F81F08B" w:rsidRPr="006A39BB">
        <w:rPr>
          <w:noProof/>
        </w:rPr>
        <w:t>activities.</w:t>
      </w:r>
    </w:p>
    <w:p w14:paraId="1A0E4487" w14:textId="147FB8B6" w:rsidR="00DF59EE" w:rsidRPr="006A39BB" w:rsidRDefault="002A7F8C" w:rsidP="002A7F8C">
      <w:pPr>
        <w:pStyle w:val="ManualConsidrant"/>
        <w:rPr>
          <w:noProof/>
        </w:rPr>
      </w:pPr>
      <w:r w:rsidRPr="002A7F8C">
        <w:rPr>
          <w:noProof/>
        </w:rPr>
        <w:t>(</w:t>
      </w:r>
      <w:r w:rsidR="0000347C" w:rsidRPr="002A7F8C">
        <w:rPr>
          <w:noProof/>
        </w:rPr>
        <w:t>2</w:t>
      </w:r>
      <w:r w:rsidR="0000347C">
        <w:rPr>
          <w:noProof/>
        </w:rPr>
        <w:t>5</w:t>
      </w:r>
      <w:r w:rsidRPr="002A7F8C">
        <w:rPr>
          <w:noProof/>
        </w:rPr>
        <w:t>)</w:t>
      </w:r>
      <w:r w:rsidRPr="002A7F8C">
        <w:rPr>
          <w:noProof/>
        </w:rPr>
        <w:tab/>
      </w:r>
      <w:r w:rsidR="2F81F08B" w:rsidRPr="006A39BB">
        <w:rPr>
          <w:noProof/>
        </w:rPr>
        <w:t>ESMA</w:t>
      </w:r>
      <w:r w:rsidR="00A15F79" w:rsidRPr="006A39BB">
        <w:rPr>
          <w:noProof/>
        </w:rPr>
        <w:t xml:space="preserve"> should be able</w:t>
      </w:r>
      <w:r w:rsidR="2F81F08B" w:rsidRPr="006A39BB">
        <w:rPr>
          <w:noProof/>
        </w:rPr>
        <w:t xml:space="preserve"> to perform its supervisory tasks, and in particular to compel </w:t>
      </w:r>
      <w:r w:rsidR="236DC029" w:rsidRPr="006A39BB">
        <w:rPr>
          <w:noProof/>
        </w:rPr>
        <w:t>ESG rating providers</w:t>
      </w:r>
      <w:r w:rsidR="2F81F08B" w:rsidRPr="006A39BB">
        <w:rPr>
          <w:noProof/>
        </w:rPr>
        <w:t xml:space="preserve"> to end an infringement, to supply complete and correct information</w:t>
      </w:r>
      <w:r w:rsidR="00673B94" w:rsidRPr="006A39BB">
        <w:rPr>
          <w:noProof/>
        </w:rPr>
        <w:t>,</w:t>
      </w:r>
      <w:r w:rsidR="2F81F08B" w:rsidRPr="006A39BB">
        <w:rPr>
          <w:noProof/>
        </w:rPr>
        <w:t xml:space="preserve"> or to comply with an investigation or an on-site inspection</w:t>
      </w:r>
      <w:r w:rsidR="00673B94" w:rsidRPr="006A39BB">
        <w:rPr>
          <w:noProof/>
        </w:rPr>
        <w:t xml:space="preserve">. To ensure that </w:t>
      </w:r>
      <w:r w:rsidR="2F81F08B" w:rsidRPr="006A39BB">
        <w:rPr>
          <w:noProof/>
        </w:rPr>
        <w:t xml:space="preserve">ESMA </w:t>
      </w:r>
      <w:r w:rsidR="00673B94" w:rsidRPr="006A39BB">
        <w:rPr>
          <w:noProof/>
        </w:rPr>
        <w:t xml:space="preserve">is </w:t>
      </w:r>
      <w:r w:rsidR="2F81F08B" w:rsidRPr="006A39BB">
        <w:rPr>
          <w:noProof/>
        </w:rPr>
        <w:t>able to</w:t>
      </w:r>
      <w:r w:rsidR="00673B94" w:rsidRPr="006A39BB">
        <w:rPr>
          <w:noProof/>
        </w:rPr>
        <w:t xml:space="preserve"> perform those supervisory tasks, ESMA should be able to</w:t>
      </w:r>
      <w:r w:rsidR="2F81F08B" w:rsidRPr="006A39BB">
        <w:rPr>
          <w:noProof/>
        </w:rPr>
        <w:t xml:space="preserve"> impose penalties or periodic penalty payments.</w:t>
      </w:r>
    </w:p>
    <w:p w14:paraId="3067B5B4" w14:textId="02DDE65A" w:rsidR="00A540E6" w:rsidRPr="00A710BB" w:rsidRDefault="002A7F8C" w:rsidP="002A7F8C">
      <w:pPr>
        <w:pStyle w:val="ManualConsidrant"/>
        <w:rPr>
          <w:noProof/>
        </w:rPr>
      </w:pPr>
      <w:r w:rsidRPr="002A7F8C">
        <w:rPr>
          <w:noProof/>
        </w:rPr>
        <w:t>(</w:t>
      </w:r>
      <w:r w:rsidR="0000347C" w:rsidRPr="002A7F8C">
        <w:rPr>
          <w:noProof/>
        </w:rPr>
        <w:t>2</w:t>
      </w:r>
      <w:r w:rsidR="0000347C">
        <w:rPr>
          <w:noProof/>
        </w:rPr>
        <w:t>6</w:t>
      </w:r>
      <w:r w:rsidRPr="002A7F8C">
        <w:rPr>
          <w:noProof/>
        </w:rPr>
        <w:t>)</w:t>
      </w:r>
      <w:r w:rsidRPr="002A7F8C">
        <w:rPr>
          <w:noProof/>
        </w:rPr>
        <w:tab/>
      </w:r>
      <w:r w:rsidR="007F0EC6" w:rsidRPr="00A710BB">
        <w:rPr>
          <w:noProof/>
        </w:rPr>
        <w:t>G</w:t>
      </w:r>
      <w:r w:rsidR="354BA0BA" w:rsidRPr="00A710BB">
        <w:rPr>
          <w:noProof/>
        </w:rPr>
        <w:t xml:space="preserve">iven its role </w:t>
      </w:r>
      <w:r w:rsidR="48D87D74" w:rsidRPr="00A710BB">
        <w:rPr>
          <w:noProof/>
        </w:rPr>
        <w:t>to authorise and supervise ESG rating providers,</w:t>
      </w:r>
      <w:r w:rsidR="6876D65A" w:rsidRPr="00A710BB">
        <w:rPr>
          <w:noProof/>
        </w:rPr>
        <w:t xml:space="preserve"> ESMA </w:t>
      </w:r>
      <w:r w:rsidR="00222E4B" w:rsidRPr="00A710BB">
        <w:rPr>
          <w:noProof/>
        </w:rPr>
        <w:t xml:space="preserve">should </w:t>
      </w:r>
      <w:r w:rsidR="6876D65A" w:rsidRPr="00A710BB">
        <w:rPr>
          <w:noProof/>
        </w:rPr>
        <w:t>develop</w:t>
      </w:r>
      <w:r w:rsidR="00222E4B" w:rsidRPr="00A710BB">
        <w:rPr>
          <w:noProof/>
        </w:rPr>
        <w:t xml:space="preserve"> </w:t>
      </w:r>
      <w:r w:rsidR="6876D65A" w:rsidRPr="00A710BB">
        <w:rPr>
          <w:noProof/>
        </w:rPr>
        <w:t>draft regulatory technical standards that do not involve policy choices for submission to the Commission.</w:t>
      </w:r>
      <w:r w:rsidR="00A710BB" w:rsidRPr="00A710BB">
        <w:rPr>
          <w:noProof/>
        </w:rPr>
        <w:t xml:space="preserve"> </w:t>
      </w:r>
      <w:r w:rsidR="39A427C3" w:rsidRPr="00A710BB">
        <w:rPr>
          <w:noProof/>
        </w:rPr>
        <w:t xml:space="preserve">ESMA should specify </w:t>
      </w:r>
      <w:r w:rsidR="6FBDA828" w:rsidRPr="00A710BB">
        <w:rPr>
          <w:noProof/>
        </w:rPr>
        <w:t xml:space="preserve">further </w:t>
      </w:r>
      <w:r w:rsidR="39A427C3" w:rsidRPr="00A710BB">
        <w:rPr>
          <w:noProof/>
        </w:rPr>
        <w:t xml:space="preserve">the information </w:t>
      </w:r>
      <w:r w:rsidR="6FBDA828" w:rsidRPr="00A710BB">
        <w:rPr>
          <w:noProof/>
        </w:rPr>
        <w:t xml:space="preserve">needed </w:t>
      </w:r>
      <w:r w:rsidR="39A427C3" w:rsidRPr="00A710BB">
        <w:rPr>
          <w:noProof/>
        </w:rPr>
        <w:t xml:space="preserve">for the authorisation of ESG rating providers. </w:t>
      </w:r>
      <w:r w:rsidR="39A427C3" w:rsidRPr="007A7335">
        <w:rPr>
          <w:noProof/>
        </w:rPr>
        <w:t xml:space="preserve">The Commission should be empowered to adopt those implementing technical standards by means of </w:t>
      </w:r>
      <w:r w:rsidR="00A710BB" w:rsidRPr="007A7335">
        <w:rPr>
          <w:noProof/>
        </w:rPr>
        <w:t xml:space="preserve">delegated acts </w:t>
      </w:r>
      <w:r w:rsidR="39A427C3" w:rsidRPr="007A7335">
        <w:rPr>
          <w:noProof/>
        </w:rPr>
        <w:t>pursuant to Article 29</w:t>
      </w:r>
      <w:r w:rsidR="00A710BB" w:rsidRPr="007A7335">
        <w:rPr>
          <w:noProof/>
        </w:rPr>
        <w:t>0</w:t>
      </w:r>
      <w:r w:rsidR="39A427C3" w:rsidRPr="007A7335">
        <w:rPr>
          <w:noProof/>
        </w:rPr>
        <w:t xml:space="preserve"> TFEU and in accordance with Article</w:t>
      </w:r>
      <w:r w:rsidR="00A710BB" w:rsidRPr="007A7335">
        <w:rPr>
          <w:noProof/>
        </w:rPr>
        <w:t>s 10 to</w:t>
      </w:r>
      <w:r w:rsidR="39A427C3" w:rsidRPr="007A7335">
        <w:rPr>
          <w:noProof/>
        </w:rPr>
        <w:t xml:space="preserve"> </w:t>
      </w:r>
      <w:r w:rsidR="00A710BB" w:rsidRPr="007A7335">
        <w:rPr>
          <w:noProof/>
        </w:rPr>
        <w:t>14</w:t>
      </w:r>
      <w:r w:rsidR="39A427C3" w:rsidRPr="007A7335">
        <w:rPr>
          <w:noProof/>
        </w:rPr>
        <w:t xml:space="preserve"> of Regulation (EU) No 1095/2010 of the European Parliament and of the Council</w:t>
      </w:r>
      <w:r w:rsidR="00A540E6" w:rsidRPr="007A7335">
        <w:rPr>
          <w:rStyle w:val="FootnoteReference"/>
          <w:noProof/>
          <w:szCs w:val="24"/>
        </w:rPr>
        <w:footnoteReference w:id="29"/>
      </w:r>
      <w:r w:rsidR="006A39BB" w:rsidRPr="007A7335">
        <w:rPr>
          <w:noProof/>
        </w:rPr>
        <w:t>.</w:t>
      </w:r>
    </w:p>
    <w:p w14:paraId="15B278E2" w14:textId="15DAC212" w:rsidR="0006260B" w:rsidRPr="006A39BB" w:rsidRDefault="002A7F8C" w:rsidP="002A7F8C">
      <w:pPr>
        <w:pStyle w:val="ManualConsidrant"/>
        <w:rPr>
          <w:noProof/>
        </w:rPr>
      </w:pPr>
      <w:r w:rsidRPr="002A7F8C">
        <w:rPr>
          <w:noProof/>
        </w:rPr>
        <w:t>(</w:t>
      </w:r>
      <w:r w:rsidR="0000347C" w:rsidRPr="002A7F8C">
        <w:rPr>
          <w:noProof/>
        </w:rPr>
        <w:t>2</w:t>
      </w:r>
      <w:r w:rsidR="0000347C">
        <w:rPr>
          <w:noProof/>
        </w:rPr>
        <w:t>7</w:t>
      </w:r>
      <w:r w:rsidRPr="002A7F8C">
        <w:rPr>
          <w:noProof/>
        </w:rPr>
        <w:t>)</w:t>
      </w:r>
      <w:r w:rsidRPr="002A7F8C">
        <w:rPr>
          <w:noProof/>
        </w:rPr>
        <w:tab/>
      </w:r>
      <w:r w:rsidR="00982880" w:rsidRPr="006A39BB">
        <w:rPr>
          <w:noProof/>
        </w:rPr>
        <w:t>In its role to authorise and supervise ESG rating providers, ESMA should be</w:t>
      </w:r>
      <w:r w:rsidR="0063765B">
        <w:rPr>
          <w:noProof/>
        </w:rPr>
        <w:t xml:space="preserve"> able to </w:t>
      </w:r>
      <w:r w:rsidR="0016437E" w:rsidRPr="006A39BB">
        <w:rPr>
          <w:noProof/>
        </w:rPr>
        <w:t xml:space="preserve">charge </w:t>
      </w:r>
      <w:r w:rsidR="77772B50" w:rsidRPr="006A39BB">
        <w:rPr>
          <w:noProof/>
        </w:rPr>
        <w:t>supervisory fees</w:t>
      </w:r>
      <w:r w:rsidR="0063765B">
        <w:rPr>
          <w:noProof/>
        </w:rPr>
        <w:t xml:space="preserve"> to supervised entities</w:t>
      </w:r>
      <w:r w:rsidR="77772B50" w:rsidRPr="006A39BB">
        <w:rPr>
          <w:noProof/>
        </w:rPr>
        <w:t>. Such fees should be paid by the supervised entities.</w:t>
      </w:r>
    </w:p>
    <w:p w14:paraId="7AD43C4E" w14:textId="0453E8F0" w:rsidR="00EE0C58" w:rsidRPr="006A39BB" w:rsidRDefault="002A7F8C" w:rsidP="002A7F8C">
      <w:pPr>
        <w:pStyle w:val="ManualConsidrant"/>
        <w:rPr>
          <w:noProof/>
        </w:rPr>
      </w:pPr>
      <w:r w:rsidRPr="002A7F8C">
        <w:rPr>
          <w:noProof/>
        </w:rPr>
        <w:t>(</w:t>
      </w:r>
      <w:r w:rsidR="0000347C" w:rsidRPr="002A7F8C">
        <w:rPr>
          <w:noProof/>
        </w:rPr>
        <w:t>2</w:t>
      </w:r>
      <w:r w:rsidR="0000347C">
        <w:rPr>
          <w:noProof/>
        </w:rPr>
        <w:t>8</w:t>
      </w:r>
      <w:r w:rsidRPr="002A7F8C">
        <w:rPr>
          <w:noProof/>
        </w:rPr>
        <w:t>)</w:t>
      </w:r>
      <w:r w:rsidRPr="002A7F8C">
        <w:rPr>
          <w:noProof/>
        </w:rPr>
        <w:tab/>
      </w:r>
      <w:r w:rsidR="00EE0C58" w:rsidRPr="006A39BB">
        <w:rPr>
          <w:noProof/>
        </w:rPr>
        <w:t xml:space="preserve">In </w:t>
      </w:r>
      <w:r w:rsidR="00F1086E">
        <w:rPr>
          <w:noProof/>
        </w:rPr>
        <w:t>order</w:t>
      </w:r>
      <w:r w:rsidR="00EE0C58" w:rsidRPr="006A39BB">
        <w:rPr>
          <w:noProof/>
        </w:rPr>
        <w:t xml:space="preserve"> to specify further technical elements of this Regulation, the power to adopt acts in accordance with Article 290 of the Treaty on the Functioning of the European Union should be delegated to the Commission in respect of </w:t>
      </w:r>
      <w:r w:rsidR="00F1086E">
        <w:rPr>
          <w:noProof/>
        </w:rPr>
        <w:t>the specifications of</w:t>
      </w:r>
      <w:r w:rsidR="00EE0C58" w:rsidRPr="006A39BB">
        <w:rPr>
          <w:noProof/>
        </w:rPr>
        <w:t xml:space="preserve"> the procedure impose fines or periodic penalty payments, including provisions on rights of defence, temporal provisions, the collection of fines or periodic penalty payments, and detailed rules on the limitation periods for the imposition and enforcement of penalties and the type of fees, the matters for which fees are due, the amount of the fees, and the manner in which those fees are to be paid.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EE0C58" w:rsidRPr="006A39BB">
        <w:rPr>
          <w:rStyle w:val="FootnoteReference"/>
          <w:noProof/>
          <w:szCs w:val="24"/>
        </w:rPr>
        <w:footnoteReference w:id="30"/>
      </w:r>
      <w:r w:rsidR="00EE0C58" w:rsidRPr="006A39BB">
        <w:rPr>
          <w:noProof/>
        </w:rPr>
        <w:t>.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p w14:paraId="3B1A841B" w14:textId="221BF2BE" w:rsidR="003E518E" w:rsidRPr="006A39BB" w:rsidRDefault="002A7F8C" w:rsidP="002A7F8C">
      <w:pPr>
        <w:pStyle w:val="ManualConsidrant"/>
        <w:rPr>
          <w:noProof/>
        </w:rPr>
      </w:pPr>
      <w:r w:rsidRPr="002A7F8C">
        <w:rPr>
          <w:noProof/>
        </w:rPr>
        <w:t>(</w:t>
      </w:r>
      <w:r w:rsidR="0000347C" w:rsidRPr="002A7F8C">
        <w:rPr>
          <w:noProof/>
        </w:rPr>
        <w:t>2</w:t>
      </w:r>
      <w:r w:rsidR="0000347C">
        <w:rPr>
          <w:noProof/>
        </w:rPr>
        <w:t>9</w:t>
      </w:r>
      <w:r w:rsidRPr="002A7F8C">
        <w:rPr>
          <w:noProof/>
        </w:rPr>
        <w:t>)</w:t>
      </w:r>
      <w:r w:rsidRPr="002A7F8C">
        <w:rPr>
          <w:noProof/>
        </w:rPr>
        <w:tab/>
      </w:r>
      <w:r w:rsidR="005128A3" w:rsidRPr="006A39BB">
        <w:rPr>
          <w:noProof/>
        </w:rPr>
        <w:t>It is necessary to</w:t>
      </w:r>
      <w:r w:rsidR="00240570" w:rsidRPr="006A39BB">
        <w:rPr>
          <w:noProof/>
        </w:rPr>
        <w:t xml:space="preserve"> have a number of measures supporting </w:t>
      </w:r>
      <w:r w:rsidR="003F03AB" w:rsidRPr="006A39BB">
        <w:rPr>
          <w:noProof/>
        </w:rPr>
        <w:t>smaller ESG rating providers</w:t>
      </w:r>
      <w:r w:rsidR="005128A3" w:rsidRPr="006A39BB">
        <w:rPr>
          <w:noProof/>
        </w:rPr>
        <w:t xml:space="preserve"> </w:t>
      </w:r>
      <w:r w:rsidR="003F03AB" w:rsidRPr="006A39BB">
        <w:rPr>
          <w:noProof/>
        </w:rPr>
        <w:t xml:space="preserve">to </w:t>
      </w:r>
      <w:r w:rsidR="005128A3" w:rsidRPr="006A39BB">
        <w:rPr>
          <w:noProof/>
        </w:rPr>
        <w:t xml:space="preserve">enable </w:t>
      </w:r>
      <w:r w:rsidR="003F03AB" w:rsidRPr="006A39BB">
        <w:rPr>
          <w:noProof/>
        </w:rPr>
        <w:t>them</w:t>
      </w:r>
      <w:r w:rsidR="73E1F9AF" w:rsidRPr="006A39BB">
        <w:rPr>
          <w:noProof/>
        </w:rPr>
        <w:t xml:space="preserve"> to </w:t>
      </w:r>
      <w:r w:rsidR="6D6E316E" w:rsidRPr="006A39BB">
        <w:rPr>
          <w:noProof/>
        </w:rPr>
        <w:t>continue their activities</w:t>
      </w:r>
      <w:r w:rsidR="005128A3" w:rsidRPr="006A39BB">
        <w:rPr>
          <w:noProof/>
        </w:rPr>
        <w:t>, or</w:t>
      </w:r>
      <w:r w:rsidR="6D6E316E" w:rsidRPr="006A39BB">
        <w:rPr>
          <w:noProof/>
        </w:rPr>
        <w:t xml:space="preserve"> to</w:t>
      </w:r>
      <w:r w:rsidR="73E1F9AF" w:rsidRPr="006A39BB">
        <w:rPr>
          <w:noProof/>
        </w:rPr>
        <w:t xml:space="preserve"> enter the market</w:t>
      </w:r>
      <w:r w:rsidR="005128A3" w:rsidRPr="006A39BB">
        <w:rPr>
          <w:noProof/>
        </w:rPr>
        <w:t xml:space="preserve"> after the date of application of this Regulation</w:t>
      </w:r>
      <w:r w:rsidR="6D6E316E" w:rsidRPr="006A39BB">
        <w:rPr>
          <w:noProof/>
        </w:rPr>
        <w:t xml:space="preserve">. </w:t>
      </w:r>
      <w:r w:rsidR="00F1086E">
        <w:rPr>
          <w:noProof/>
        </w:rPr>
        <w:t>Such measures should include the possibility for</w:t>
      </w:r>
      <w:r w:rsidR="6D6E316E" w:rsidRPr="006A39BB">
        <w:rPr>
          <w:noProof/>
        </w:rPr>
        <w:t xml:space="preserve"> ESMA to exempt smaller ESG rating providers from a number of organisational requirements where they meet certain criteria.</w:t>
      </w:r>
      <w:r w:rsidR="0D6BADDA" w:rsidRPr="006A39BB">
        <w:rPr>
          <w:noProof/>
        </w:rPr>
        <w:t xml:space="preserve"> </w:t>
      </w:r>
      <w:r w:rsidR="00031FD5" w:rsidRPr="006A39BB">
        <w:rPr>
          <w:noProof/>
        </w:rPr>
        <w:t>In addition</w:t>
      </w:r>
      <w:r w:rsidR="0D6BADDA" w:rsidRPr="006A39BB">
        <w:rPr>
          <w:noProof/>
        </w:rPr>
        <w:t xml:space="preserve">, </w:t>
      </w:r>
      <w:r w:rsidR="00FD0D1D" w:rsidRPr="006A39BB">
        <w:rPr>
          <w:noProof/>
        </w:rPr>
        <w:t xml:space="preserve">a transitional regime should be introduced for the first months following the application of this Regulation, </w:t>
      </w:r>
      <w:r w:rsidR="00F1086E">
        <w:rPr>
          <w:noProof/>
        </w:rPr>
        <w:t xml:space="preserve">to facilitate </w:t>
      </w:r>
      <w:r w:rsidR="00FD0D1D" w:rsidRPr="006A39BB">
        <w:rPr>
          <w:noProof/>
        </w:rPr>
        <w:t xml:space="preserve">the initial phase of application for smaller ESG rating providers. Finally, supervisory fees should be proportionate to the </w:t>
      </w:r>
      <w:r w:rsidR="00C87265">
        <w:rPr>
          <w:noProof/>
        </w:rPr>
        <w:t>ann</w:t>
      </w:r>
      <w:r w:rsidR="00B51652">
        <w:rPr>
          <w:noProof/>
        </w:rPr>
        <w:t xml:space="preserve">ual net </w:t>
      </w:r>
      <w:r w:rsidR="00FD0D1D" w:rsidRPr="006A39BB">
        <w:rPr>
          <w:noProof/>
        </w:rPr>
        <w:t>turnover of the ESG ratings provider concerned.</w:t>
      </w:r>
    </w:p>
    <w:p w14:paraId="0E3C0566" w14:textId="253C154D" w:rsidR="001762CA" w:rsidRDefault="002A7F8C" w:rsidP="002A7F8C">
      <w:pPr>
        <w:pStyle w:val="ManualConsidrant"/>
        <w:rPr>
          <w:noProof/>
        </w:rPr>
      </w:pPr>
      <w:r w:rsidRPr="002A7F8C">
        <w:rPr>
          <w:noProof/>
        </w:rPr>
        <w:t>(</w:t>
      </w:r>
      <w:r w:rsidR="0000347C">
        <w:rPr>
          <w:noProof/>
        </w:rPr>
        <w:t>30</w:t>
      </w:r>
      <w:r w:rsidRPr="002A7F8C">
        <w:rPr>
          <w:noProof/>
        </w:rPr>
        <w:t>)</w:t>
      </w:r>
      <w:r w:rsidRPr="002A7F8C">
        <w:rPr>
          <w:noProof/>
        </w:rPr>
        <w:tab/>
      </w:r>
      <w:r w:rsidR="00511974" w:rsidRPr="006A39BB">
        <w:rPr>
          <w:noProof/>
        </w:rPr>
        <w:t>Since the objectives of this Regulation cannot be sufficiently achieved by the Member States</w:t>
      </w:r>
      <w:r w:rsidR="00B971BF" w:rsidRPr="006A39BB">
        <w:rPr>
          <w:noProof/>
        </w:rPr>
        <w:t xml:space="preserve">, </w:t>
      </w:r>
      <w:r w:rsidR="00FD152C" w:rsidRPr="006A39BB">
        <w:rPr>
          <w:noProof/>
        </w:rPr>
        <w:t xml:space="preserve">namely </w:t>
      </w:r>
      <w:r w:rsidR="00815AF3" w:rsidRPr="006A39BB">
        <w:rPr>
          <w:rStyle w:val="ui-provider"/>
          <w:noProof/>
          <w:szCs w:val="24"/>
        </w:rPr>
        <w:t xml:space="preserve">to lay down a consistent and effective regime to address the </w:t>
      </w:r>
      <w:r w:rsidR="00E41499" w:rsidRPr="006A39BB">
        <w:rPr>
          <w:rStyle w:val="ui-provider"/>
          <w:noProof/>
          <w:szCs w:val="24"/>
        </w:rPr>
        <w:t xml:space="preserve">shortcomings and </w:t>
      </w:r>
      <w:r w:rsidR="00815AF3" w:rsidRPr="006A39BB">
        <w:rPr>
          <w:rStyle w:val="ui-provider"/>
          <w:noProof/>
          <w:szCs w:val="24"/>
        </w:rPr>
        <w:t xml:space="preserve">vulnerabilities that </w:t>
      </w:r>
      <w:r w:rsidR="00FD152C" w:rsidRPr="006A39BB">
        <w:rPr>
          <w:rStyle w:val="ui-provider"/>
          <w:noProof/>
          <w:szCs w:val="24"/>
        </w:rPr>
        <w:t>ESG ratings</w:t>
      </w:r>
      <w:r w:rsidR="00815AF3" w:rsidRPr="006A39BB">
        <w:rPr>
          <w:rStyle w:val="ui-provider"/>
          <w:noProof/>
          <w:szCs w:val="24"/>
        </w:rPr>
        <w:t xml:space="preserve"> pos</w:t>
      </w:r>
      <w:r w:rsidR="00FD152C" w:rsidRPr="006A39BB">
        <w:rPr>
          <w:rStyle w:val="ui-provider"/>
          <w:noProof/>
          <w:szCs w:val="24"/>
        </w:rPr>
        <w:t>e</w:t>
      </w:r>
      <w:r w:rsidR="008B777B" w:rsidRPr="006A39BB">
        <w:rPr>
          <w:rStyle w:val="ui-provider"/>
          <w:noProof/>
          <w:szCs w:val="24"/>
        </w:rPr>
        <w:t>,</w:t>
      </w:r>
      <w:r w:rsidR="00B971BF" w:rsidRPr="006A39BB">
        <w:rPr>
          <w:noProof/>
        </w:rPr>
        <w:t xml:space="preserve"> </w:t>
      </w:r>
      <w:r w:rsidR="00511974" w:rsidRPr="006A39BB">
        <w:rPr>
          <w:noProof/>
        </w:rPr>
        <w:t>but can rather, by reason</w:t>
      </w:r>
      <w:r w:rsidR="00F1086E">
        <w:rPr>
          <w:noProof/>
        </w:rPr>
        <w:t>s</w:t>
      </w:r>
      <w:r w:rsidR="00511974" w:rsidRPr="006A39BB">
        <w:rPr>
          <w:noProof/>
        </w:rPr>
        <w:t xml:space="preserve"> of </w:t>
      </w:r>
      <w:r w:rsidR="008B777B" w:rsidRPr="006A39BB">
        <w:rPr>
          <w:rStyle w:val="ui-provider"/>
          <w:noProof/>
          <w:szCs w:val="24"/>
        </w:rPr>
        <w:t>the scale and effects</w:t>
      </w:r>
      <w:r w:rsidR="00511974" w:rsidRPr="006A39BB">
        <w:rPr>
          <w:noProof/>
        </w:rPr>
        <w:t>, be better achieved at Union level, the Union may adopt measures, in accordance with the principle of subsidiarity as set out in Article 5 of the Treaty on European Union. In accordance with the principle of proportionality as set out in that Article, this Regulation</w:t>
      </w:r>
      <w:r w:rsidR="008B777B" w:rsidRPr="006A39BB">
        <w:rPr>
          <w:noProof/>
        </w:rPr>
        <w:t xml:space="preserve"> </w:t>
      </w:r>
      <w:r w:rsidR="00511974" w:rsidRPr="006A39BB">
        <w:rPr>
          <w:noProof/>
        </w:rPr>
        <w:t>does not go beyond what is necessary in order to achieve those objectives</w:t>
      </w:r>
      <w:r w:rsidR="00DA084B">
        <w:rPr>
          <w:noProof/>
        </w:rPr>
        <w:t>.</w:t>
      </w:r>
    </w:p>
    <w:p w14:paraId="034ADEBF" w14:textId="09732B05" w:rsidR="00511974" w:rsidRPr="006A39BB" w:rsidRDefault="0000347C" w:rsidP="002A7F8C">
      <w:pPr>
        <w:pStyle w:val="ManualConsidrant"/>
        <w:rPr>
          <w:noProof/>
        </w:rPr>
      </w:pPr>
      <w:r>
        <w:rPr>
          <w:noProof/>
        </w:rPr>
        <w:t>(31)</w:t>
      </w:r>
      <w:r>
        <w:rPr>
          <w:noProof/>
        </w:rPr>
        <w:tab/>
      </w:r>
      <w:r w:rsidR="001762CA">
        <w:rPr>
          <w:noProof/>
        </w:rPr>
        <w:t>This Regulation should apply without prejudice to the application of Aricles 101 and 102 TFEU</w:t>
      </w:r>
      <w:r w:rsidR="006A39BB">
        <w:rPr>
          <w:noProof/>
        </w:rPr>
        <w:t>,</w:t>
      </w:r>
    </w:p>
    <w:p w14:paraId="6A4FFE2E" w14:textId="77777777" w:rsidR="009C34F8" w:rsidRPr="006A39BB" w:rsidRDefault="005B1F05" w:rsidP="00EC435D">
      <w:pPr>
        <w:pStyle w:val="Formuledadoption"/>
        <w:spacing w:line="23" w:lineRule="atLeast"/>
        <w:rPr>
          <w:noProof/>
          <w:szCs w:val="24"/>
        </w:rPr>
      </w:pPr>
      <w:r w:rsidRPr="006A39BB">
        <w:rPr>
          <w:noProof/>
          <w:szCs w:val="24"/>
        </w:rPr>
        <w:t>HAVE ADOPTED THIS REGULATION</w:t>
      </w:r>
    </w:p>
    <w:p w14:paraId="19D71EC8" w14:textId="77777777" w:rsidR="00587167" w:rsidRPr="00B73B86" w:rsidRDefault="00587167" w:rsidP="00CA716D">
      <w:pPr>
        <w:shd w:val="clear" w:color="auto" w:fill="FFFFFF" w:themeFill="background1"/>
        <w:spacing w:before="360" w:line="23" w:lineRule="atLeast"/>
        <w:jc w:val="center"/>
        <w:rPr>
          <w:rFonts w:eastAsia="Times New Roman"/>
          <w:caps/>
          <w:noProof/>
          <w:color w:val="333333"/>
          <w:szCs w:val="24"/>
          <w:lang w:eastAsia="en-IE"/>
        </w:rPr>
      </w:pPr>
      <w:r w:rsidRPr="00B73B86">
        <w:rPr>
          <w:rFonts w:eastAsia="Times New Roman"/>
          <w:caps/>
          <w:noProof/>
          <w:color w:val="333333"/>
          <w:szCs w:val="24"/>
          <w:lang w:eastAsia="en-IE"/>
        </w:rPr>
        <w:t>Title I</w:t>
      </w:r>
    </w:p>
    <w:p w14:paraId="6CC490A2" w14:textId="77777777" w:rsidR="00587167" w:rsidRPr="006A39BB" w:rsidRDefault="00587167" w:rsidP="00EC435D">
      <w:pPr>
        <w:pStyle w:val="ChapterTitle"/>
        <w:spacing w:after="120" w:line="23" w:lineRule="atLeast"/>
        <w:rPr>
          <w:noProof/>
          <w:sz w:val="24"/>
          <w:szCs w:val="24"/>
        </w:rPr>
      </w:pPr>
      <w:r w:rsidRPr="006A39BB">
        <w:rPr>
          <w:rStyle w:val="boldface"/>
          <w:noProof/>
          <w:sz w:val="24"/>
          <w:szCs w:val="24"/>
        </w:rPr>
        <w:t>SUBJECT MATTER, SCOPE AND DEFINITIONS</w:t>
      </w:r>
    </w:p>
    <w:p w14:paraId="4BED769C" w14:textId="77777777" w:rsidR="00587167" w:rsidRPr="006A39BB" w:rsidRDefault="00587167" w:rsidP="00CA716D">
      <w:pPr>
        <w:pStyle w:val="Titrearticle"/>
        <w:spacing w:line="23" w:lineRule="atLeast"/>
        <w:rPr>
          <w:noProof/>
          <w:szCs w:val="24"/>
        </w:rPr>
      </w:pPr>
      <w:r w:rsidRPr="006A39BB">
        <w:rPr>
          <w:noProof/>
          <w:szCs w:val="24"/>
        </w:rPr>
        <w:t>Article 1</w:t>
      </w:r>
    </w:p>
    <w:p w14:paraId="6FEC1DE7" w14:textId="77777777" w:rsidR="00587167" w:rsidRPr="00887EFB" w:rsidRDefault="00587167" w:rsidP="00887EFB">
      <w:pPr>
        <w:pStyle w:val="NormalCentered"/>
        <w:rPr>
          <w:b/>
          <w:bCs/>
          <w:noProof/>
          <w:lang w:eastAsia="en-IE"/>
        </w:rPr>
      </w:pPr>
      <w:r w:rsidRPr="00887EFB">
        <w:rPr>
          <w:b/>
          <w:bCs/>
          <w:noProof/>
          <w:lang w:eastAsia="en-IE"/>
        </w:rPr>
        <w:t>Subject-matter</w:t>
      </w:r>
    </w:p>
    <w:p w14:paraId="504421F3" w14:textId="77777777" w:rsidR="00BD3680" w:rsidRPr="006A39BB" w:rsidRDefault="00BD3680" w:rsidP="00EC435D">
      <w:pPr>
        <w:spacing w:line="23" w:lineRule="atLeast"/>
        <w:rPr>
          <w:noProof/>
          <w:szCs w:val="24"/>
        </w:rPr>
      </w:pPr>
      <w:r w:rsidRPr="006A39BB">
        <w:rPr>
          <w:noProof/>
          <w:szCs w:val="24"/>
        </w:rPr>
        <w:t>This Regulation introduces a common regulatory approach to enhance the integrity, transparency, responsibility, good governance</w:t>
      </w:r>
      <w:r w:rsidR="00CA716D">
        <w:rPr>
          <w:noProof/>
          <w:szCs w:val="24"/>
        </w:rPr>
        <w:t>,</w:t>
      </w:r>
      <w:r w:rsidRPr="006A39BB">
        <w:rPr>
          <w:noProof/>
          <w:szCs w:val="24"/>
        </w:rPr>
        <w:t xml:space="preserve"> and independence of ESG rating </w:t>
      </w:r>
      <w:r w:rsidR="00E44DC9" w:rsidRPr="006A39BB">
        <w:rPr>
          <w:noProof/>
          <w:szCs w:val="24"/>
        </w:rPr>
        <w:t>activities</w:t>
      </w:r>
      <w:r w:rsidRPr="006A39BB">
        <w:rPr>
          <w:noProof/>
          <w:szCs w:val="24"/>
        </w:rPr>
        <w:t xml:space="preserve">, contributing to </w:t>
      </w:r>
      <w:r w:rsidR="008B7AEA" w:rsidRPr="006A39BB">
        <w:rPr>
          <w:noProof/>
          <w:szCs w:val="24"/>
        </w:rPr>
        <w:t>the transparency</w:t>
      </w:r>
      <w:r w:rsidRPr="006A39BB">
        <w:rPr>
          <w:noProof/>
          <w:szCs w:val="24"/>
        </w:rPr>
        <w:t xml:space="preserve"> </w:t>
      </w:r>
      <w:r w:rsidR="008B7AEA" w:rsidRPr="006A39BB">
        <w:rPr>
          <w:noProof/>
          <w:szCs w:val="24"/>
        </w:rPr>
        <w:t xml:space="preserve">and quality </w:t>
      </w:r>
      <w:r w:rsidRPr="006A39BB">
        <w:rPr>
          <w:noProof/>
          <w:szCs w:val="24"/>
        </w:rPr>
        <w:t>of ESG ratings</w:t>
      </w:r>
      <w:r w:rsidR="003E6A69" w:rsidRPr="006A39BB">
        <w:rPr>
          <w:noProof/>
          <w:szCs w:val="24"/>
        </w:rPr>
        <w:t>.</w:t>
      </w:r>
      <w:r w:rsidR="008B7AEA" w:rsidRPr="006A39BB">
        <w:rPr>
          <w:noProof/>
          <w:szCs w:val="24"/>
        </w:rPr>
        <w:t xml:space="preserve"> </w:t>
      </w:r>
      <w:r w:rsidR="00A96541" w:rsidRPr="006A39BB">
        <w:rPr>
          <w:noProof/>
          <w:szCs w:val="24"/>
        </w:rPr>
        <w:t>It</w:t>
      </w:r>
      <w:r w:rsidR="008B7AEA" w:rsidRPr="006A39BB">
        <w:rPr>
          <w:noProof/>
          <w:szCs w:val="24"/>
        </w:rPr>
        <w:t xml:space="preserve"> aims to contribute to</w:t>
      </w:r>
      <w:r w:rsidRPr="006A39BB">
        <w:rPr>
          <w:noProof/>
          <w:szCs w:val="24"/>
        </w:rPr>
        <w:t xml:space="preserve"> the smooth functioning of the internal market, while achieving a high level of consumer and investor protection </w:t>
      </w:r>
      <w:r w:rsidR="00B05ABB" w:rsidRPr="006A39BB">
        <w:rPr>
          <w:noProof/>
          <w:szCs w:val="24"/>
        </w:rPr>
        <w:t>and</w:t>
      </w:r>
      <w:r w:rsidRPr="006A39BB">
        <w:rPr>
          <w:noProof/>
          <w:szCs w:val="24"/>
        </w:rPr>
        <w:t xml:space="preserve"> </w:t>
      </w:r>
      <w:r w:rsidR="004E5D9B" w:rsidRPr="006A39BB">
        <w:rPr>
          <w:noProof/>
          <w:szCs w:val="24"/>
        </w:rPr>
        <w:t>preventing</w:t>
      </w:r>
      <w:r w:rsidRPr="006A39BB">
        <w:rPr>
          <w:noProof/>
          <w:szCs w:val="24"/>
        </w:rPr>
        <w:t xml:space="preserve"> greenwashing</w:t>
      </w:r>
      <w:r w:rsidR="00281559" w:rsidRPr="006A39BB">
        <w:rPr>
          <w:noProof/>
          <w:szCs w:val="24"/>
        </w:rPr>
        <w:t xml:space="preserve"> or other types of misinformation, </w:t>
      </w:r>
      <w:r w:rsidR="00B05ABB" w:rsidRPr="006A39BB">
        <w:rPr>
          <w:noProof/>
          <w:szCs w:val="24"/>
        </w:rPr>
        <w:t>including</w:t>
      </w:r>
      <w:r w:rsidR="00281559" w:rsidRPr="006A39BB">
        <w:rPr>
          <w:noProof/>
          <w:szCs w:val="24"/>
        </w:rPr>
        <w:t xml:space="preserve"> social-washing,</w:t>
      </w:r>
      <w:r w:rsidR="00506606" w:rsidRPr="006A39BB">
        <w:rPr>
          <w:noProof/>
          <w:szCs w:val="24"/>
        </w:rPr>
        <w:t xml:space="preserve"> by introducing</w:t>
      </w:r>
      <w:r w:rsidRPr="006A39BB">
        <w:rPr>
          <w:noProof/>
          <w:szCs w:val="24"/>
        </w:rPr>
        <w:t xml:space="preserve"> </w:t>
      </w:r>
      <w:r w:rsidR="008B7AEA" w:rsidRPr="006A39BB">
        <w:rPr>
          <w:noProof/>
          <w:szCs w:val="24"/>
        </w:rPr>
        <w:t>transparency requirements related to</w:t>
      </w:r>
      <w:r w:rsidRPr="006A39BB">
        <w:rPr>
          <w:noProof/>
          <w:szCs w:val="24"/>
        </w:rPr>
        <w:t xml:space="preserve"> ESG ratings and rules on the organisation and conduct of </w:t>
      </w:r>
      <w:r w:rsidR="004E5D9B" w:rsidRPr="006A39BB">
        <w:rPr>
          <w:noProof/>
          <w:szCs w:val="24"/>
        </w:rPr>
        <w:t>ESG rating</w:t>
      </w:r>
      <w:r w:rsidR="008B7AEA" w:rsidRPr="006A39BB">
        <w:rPr>
          <w:noProof/>
          <w:szCs w:val="24"/>
        </w:rPr>
        <w:t xml:space="preserve"> </w:t>
      </w:r>
      <w:r w:rsidR="00457D57" w:rsidRPr="006A39BB">
        <w:rPr>
          <w:noProof/>
          <w:szCs w:val="24"/>
        </w:rPr>
        <w:t>providers</w:t>
      </w:r>
      <w:r w:rsidRPr="006A39BB">
        <w:rPr>
          <w:noProof/>
          <w:szCs w:val="24"/>
        </w:rPr>
        <w:t>.</w:t>
      </w:r>
    </w:p>
    <w:p w14:paraId="60D74B01" w14:textId="77777777" w:rsidR="00587167" w:rsidRPr="00887EFB" w:rsidRDefault="00587167" w:rsidP="00887EFB">
      <w:pPr>
        <w:pStyle w:val="Titrearticle"/>
        <w:spacing w:line="23" w:lineRule="atLeast"/>
        <w:rPr>
          <w:noProof/>
          <w:szCs w:val="24"/>
        </w:rPr>
      </w:pPr>
      <w:r w:rsidRPr="00887EFB">
        <w:rPr>
          <w:noProof/>
          <w:szCs w:val="24"/>
        </w:rPr>
        <w:t>Article 2</w:t>
      </w:r>
    </w:p>
    <w:p w14:paraId="3E655C80" w14:textId="77777777" w:rsidR="00587167" w:rsidRPr="00887EFB" w:rsidRDefault="00587167" w:rsidP="00887EFB">
      <w:pPr>
        <w:pStyle w:val="NormalCentered"/>
        <w:rPr>
          <w:b/>
          <w:bCs/>
          <w:noProof/>
          <w:lang w:eastAsia="en-IE"/>
        </w:rPr>
      </w:pPr>
      <w:r w:rsidRPr="00887EFB">
        <w:rPr>
          <w:b/>
          <w:bCs/>
          <w:noProof/>
          <w:lang w:eastAsia="en-IE"/>
        </w:rPr>
        <w:t>Scope</w:t>
      </w:r>
    </w:p>
    <w:p w14:paraId="519A6CFF" w14:textId="39ED7F02" w:rsidR="00BD3680" w:rsidRDefault="002A7F8C" w:rsidP="002A7F8C">
      <w:pPr>
        <w:pStyle w:val="ManualNumPar1"/>
        <w:rPr>
          <w:noProof/>
        </w:rPr>
      </w:pPr>
      <w:r w:rsidRPr="002A7F8C">
        <w:rPr>
          <w:noProof/>
        </w:rPr>
        <w:t>1.</w:t>
      </w:r>
      <w:r w:rsidRPr="002A7F8C">
        <w:rPr>
          <w:noProof/>
        </w:rPr>
        <w:tab/>
      </w:r>
      <w:r w:rsidR="00BD3680" w:rsidRPr="006A39BB">
        <w:rPr>
          <w:noProof/>
        </w:rPr>
        <w:t xml:space="preserve">This Regulation applies </w:t>
      </w:r>
      <w:r w:rsidR="00C320F0" w:rsidRPr="006A39BB">
        <w:rPr>
          <w:noProof/>
        </w:rPr>
        <w:t xml:space="preserve">to </w:t>
      </w:r>
      <w:r w:rsidR="00371FA5" w:rsidRPr="006A39BB">
        <w:rPr>
          <w:noProof/>
        </w:rPr>
        <w:t xml:space="preserve">ESG ratings issued by </w:t>
      </w:r>
      <w:r w:rsidR="00BD3680" w:rsidRPr="006A39BB">
        <w:rPr>
          <w:noProof/>
        </w:rPr>
        <w:t>ESG rating</w:t>
      </w:r>
      <w:r w:rsidR="002A7B92" w:rsidRPr="006A39BB">
        <w:rPr>
          <w:noProof/>
        </w:rPr>
        <w:t xml:space="preserve"> </w:t>
      </w:r>
      <w:r w:rsidR="00873D98" w:rsidRPr="006A39BB">
        <w:rPr>
          <w:noProof/>
        </w:rPr>
        <w:t xml:space="preserve">providers </w:t>
      </w:r>
      <w:r w:rsidR="00EA7839" w:rsidRPr="006A39BB">
        <w:rPr>
          <w:noProof/>
        </w:rPr>
        <w:t xml:space="preserve">operating </w:t>
      </w:r>
      <w:r w:rsidR="00BD3680" w:rsidRPr="006A39BB">
        <w:rPr>
          <w:noProof/>
        </w:rPr>
        <w:t xml:space="preserve">in the Union </w:t>
      </w:r>
      <w:r w:rsidR="00EA7839" w:rsidRPr="006A39BB">
        <w:rPr>
          <w:noProof/>
        </w:rPr>
        <w:t xml:space="preserve">that </w:t>
      </w:r>
      <w:r w:rsidR="00BD3680" w:rsidRPr="006A39BB">
        <w:rPr>
          <w:noProof/>
        </w:rPr>
        <w:t xml:space="preserve">are disclosed publicly or </w:t>
      </w:r>
      <w:r w:rsidR="00CA716D">
        <w:rPr>
          <w:noProof/>
        </w:rPr>
        <w:t xml:space="preserve">that are </w:t>
      </w:r>
      <w:r w:rsidR="00BD3680" w:rsidRPr="006A39BB">
        <w:rPr>
          <w:noProof/>
        </w:rPr>
        <w:t xml:space="preserve">distributed to regulated financial </w:t>
      </w:r>
      <w:r w:rsidR="003C22C3" w:rsidRPr="006A39BB">
        <w:rPr>
          <w:noProof/>
        </w:rPr>
        <w:t>undertakings</w:t>
      </w:r>
      <w:r w:rsidR="00B7298F">
        <w:rPr>
          <w:noProof/>
        </w:rPr>
        <w:t xml:space="preserve"> in the Union</w:t>
      </w:r>
      <w:r w:rsidR="00C04FD9" w:rsidRPr="006A39BB">
        <w:rPr>
          <w:noProof/>
        </w:rPr>
        <w:t xml:space="preserve">, </w:t>
      </w:r>
      <w:r w:rsidR="00651045" w:rsidRPr="006A39BB">
        <w:rPr>
          <w:noProof/>
        </w:rPr>
        <w:t>undertakings</w:t>
      </w:r>
      <w:r w:rsidR="001532FB" w:rsidRPr="006A39BB">
        <w:rPr>
          <w:noProof/>
        </w:rPr>
        <w:t xml:space="preserve"> </w:t>
      </w:r>
      <w:r w:rsidR="00EC7841">
        <w:rPr>
          <w:noProof/>
        </w:rPr>
        <w:t xml:space="preserve">that fall under </w:t>
      </w:r>
      <w:r w:rsidR="001532FB" w:rsidRPr="006A39BB">
        <w:rPr>
          <w:noProof/>
        </w:rPr>
        <w:t xml:space="preserve">the scope of </w:t>
      </w:r>
      <w:r w:rsidR="00CC3547" w:rsidRPr="006A39BB">
        <w:rPr>
          <w:noProof/>
        </w:rPr>
        <w:t xml:space="preserve">Directive </w:t>
      </w:r>
      <w:r w:rsidR="00D506A9" w:rsidRPr="006A39BB">
        <w:rPr>
          <w:noProof/>
        </w:rPr>
        <w:t>2013/34/EU</w:t>
      </w:r>
      <w:r w:rsidR="00FC59F9">
        <w:rPr>
          <w:noProof/>
        </w:rPr>
        <w:t xml:space="preserve"> of the European Parliament and of the Council</w:t>
      </w:r>
      <w:r w:rsidR="00CA716D">
        <w:rPr>
          <w:noProof/>
        </w:rPr>
        <w:t>,</w:t>
      </w:r>
      <w:r w:rsidR="00C04FD9" w:rsidRPr="006A39BB">
        <w:rPr>
          <w:noProof/>
        </w:rPr>
        <w:t xml:space="preserve"> or </w:t>
      </w:r>
      <w:r w:rsidR="00F44AA6">
        <w:rPr>
          <w:noProof/>
        </w:rPr>
        <w:t>Union</w:t>
      </w:r>
      <w:r w:rsidR="004C573A" w:rsidRPr="006A39BB">
        <w:rPr>
          <w:noProof/>
        </w:rPr>
        <w:t xml:space="preserve"> or </w:t>
      </w:r>
      <w:r w:rsidR="005A1C0B">
        <w:rPr>
          <w:noProof/>
        </w:rPr>
        <w:t>Member States</w:t>
      </w:r>
      <w:r w:rsidR="00B8093A" w:rsidRPr="006A39BB">
        <w:rPr>
          <w:noProof/>
        </w:rPr>
        <w:t xml:space="preserve"> public </w:t>
      </w:r>
      <w:r w:rsidR="00F80455" w:rsidRPr="006A39BB">
        <w:rPr>
          <w:noProof/>
        </w:rPr>
        <w:t>authorities</w:t>
      </w:r>
      <w:r w:rsidR="001532FB" w:rsidRPr="006A39BB">
        <w:rPr>
          <w:noProof/>
        </w:rPr>
        <w:t>.</w:t>
      </w:r>
    </w:p>
    <w:p w14:paraId="2C544BF4" w14:textId="2846A9D1" w:rsidR="00170A4C" w:rsidRPr="006A39BB" w:rsidRDefault="002A7F8C" w:rsidP="002A7F8C">
      <w:pPr>
        <w:pStyle w:val="ManualNumPar1"/>
        <w:rPr>
          <w:noProof/>
        </w:rPr>
      </w:pPr>
      <w:r w:rsidRPr="002A7F8C">
        <w:rPr>
          <w:noProof/>
        </w:rPr>
        <w:t>2.</w:t>
      </w:r>
      <w:r w:rsidRPr="002A7F8C">
        <w:rPr>
          <w:noProof/>
        </w:rPr>
        <w:tab/>
      </w:r>
      <w:r w:rsidR="00BD3680" w:rsidRPr="006A39BB">
        <w:rPr>
          <w:noProof/>
        </w:rPr>
        <w:t>This Regulation does not apply to</w:t>
      </w:r>
      <w:r w:rsidR="002B30DA" w:rsidRPr="006A39BB">
        <w:rPr>
          <w:noProof/>
        </w:rPr>
        <w:t xml:space="preserve"> any of the following</w:t>
      </w:r>
      <w:r w:rsidR="00BD3680" w:rsidRPr="006A39BB">
        <w:rPr>
          <w:noProof/>
        </w:rPr>
        <w:t>:</w:t>
      </w:r>
    </w:p>
    <w:p w14:paraId="38F296E6" w14:textId="54A064C5" w:rsidR="00BD3680" w:rsidRPr="006A39BB" w:rsidRDefault="002A7F8C" w:rsidP="002A7F8C">
      <w:pPr>
        <w:pStyle w:val="Point1"/>
        <w:rPr>
          <w:noProof/>
        </w:rPr>
      </w:pPr>
      <w:r w:rsidRPr="002A7F8C">
        <w:rPr>
          <w:noProof/>
        </w:rPr>
        <w:t>(a)</w:t>
      </w:r>
      <w:r w:rsidRPr="002A7F8C">
        <w:rPr>
          <w:noProof/>
        </w:rPr>
        <w:tab/>
      </w:r>
      <w:r w:rsidR="00BD3680" w:rsidRPr="006A39BB">
        <w:rPr>
          <w:noProof/>
        </w:rPr>
        <w:t xml:space="preserve">private ESG ratings which are not intended for public disclosure or </w:t>
      </w:r>
      <w:r w:rsidR="004E3690" w:rsidRPr="006A39BB">
        <w:rPr>
          <w:noProof/>
        </w:rPr>
        <w:t xml:space="preserve">for </w:t>
      </w:r>
      <w:r w:rsidR="00BD3680" w:rsidRPr="006A39BB">
        <w:rPr>
          <w:noProof/>
        </w:rPr>
        <w:t>distribution;</w:t>
      </w:r>
    </w:p>
    <w:p w14:paraId="4D93C56E" w14:textId="22348A0A" w:rsidR="00BD3680" w:rsidRPr="006A39BB" w:rsidRDefault="002A7F8C" w:rsidP="002A7F8C">
      <w:pPr>
        <w:pStyle w:val="Point1"/>
        <w:rPr>
          <w:noProof/>
        </w:rPr>
      </w:pPr>
      <w:r w:rsidRPr="002A7F8C">
        <w:rPr>
          <w:noProof/>
        </w:rPr>
        <w:t>(b)</w:t>
      </w:r>
      <w:r w:rsidRPr="002A7F8C">
        <w:rPr>
          <w:noProof/>
        </w:rPr>
        <w:tab/>
      </w:r>
      <w:r w:rsidR="00BD3680" w:rsidRPr="006A39BB">
        <w:rPr>
          <w:noProof/>
        </w:rPr>
        <w:t xml:space="preserve">ESG ratings produced by </w:t>
      </w:r>
      <w:r w:rsidR="00121498" w:rsidRPr="006A39BB">
        <w:rPr>
          <w:noProof/>
        </w:rPr>
        <w:t xml:space="preserve">regulated </w:t>
      </w:r>
      <w:r w:rsidR="00BD3680" w:rsidRPr="006A39BB">
        <w:rPr>
          <w:noProof/>
        </w:rPr>
        <w:t xml:space="preserve">financial </w:t>
      </w:r>
      <w:r w:rsidR="00965E6E" w:rsidRPr="006A39BB">
        <w:rPr>
          <w:noProof/>
        </w:rPr>
        <w:t>undertakings</w:t>
      </w:r>
      <w:r w:rsidR="00B7298F">
        <w:rPr>
          <w:noProof/>
        </w:rPr>
        <w:t xml:space="preserve"> in the Union</w:t>
      </w:r>
      <w:r w:rsidR="00965E6E" w:rsidRPr="006A39BB">
        <w:rPr>
          <w:noProof/>
        </w:rPr>
        <w:t xml:space="preserve"> </w:t>
      </w:r>
      <w:r w:rsidR="00BD3680" w:rsidRPr="006A39BB">
        <w:rPr>
          <w:noProof/>
        </w:rPr>
        <w:t xml:space="preserve">that are used for internal purposes </w:t>
      </w:r>
      <w:r w:rsidR="001532FB" w:rsidRPr="006A39BB">
        <w:rPr>
          <w:noProof/>
        </w:rPr>
        <w:t xml:space="preserve">or </w:t>
      </w:r>
      <w:r w:rsidR="00EC7841">
        <w:rPr>
          <w:noProof/>
        </w:rPr>
        <w:t>for</w:t>
      </w:r>
      <w:r w:rsidR="001532FB" w:rsidRPr="006A39BB">
        <w:rPr>
          <w:noProof/>
        </w:rPr>
        <w:t xml:space="preserve"> providing in-house</w:t>
      </w:r>
      <w:r w:rsidR="008D1F22" w:rsidRPr="006A39BB">
        <w:rPr>
          <w:noProof/>
        </w:rPr>
        <w:t xml:space="preserve"> financial services and products</w:t>
      </w:r>
      <w:r w:rsidR="00BD3680" w:rsidRPr="006A39BB">
        <w:rPr>
          <w:noProof/>
        </w:rPr>
        <w:t>;</w:t>
      </w:r>
    </w:p>
    <w:p w14:paraId="3909D890" w14:textId="5C2212B5" w:rsidR="001A540D" w:rsidRPr="006A39BB" w:rsidRDefault="002A7F8C" w:rsidP="002A7F8C">
      <w:pPr>
        <w:pStyle w:val="Point1"/>
        <w:rPr>
          <w:noProof/>
        </w:rPr>
      </w:pPr>
      <w:r w:rsidRPr="002A7F8C">
        <w:rPr>
          <w:noProof/>
        </w:rPr>
        <w:t>(c)</w:t>
      </w:r>
      <w:r w:rsidRPr="002A7F8C">
        <w:rPr>
          <w:noProof/>
        </w:rPr>
        <w:tab/>
      </w:r>
      <w:r w:rsidR="00B05ABB" w:rsidRPr="006A39BB">
        <w:rPr>
          <w:noProof/>
        </w:rPr>
        <w:t>t</w:t>
      </w:r>
      <w:r w:rsidR="001532FB" w:rsidRPr="006A39BB">
        <w:rPr>
          <w:noProof/>
        </w:rPr>
        <w:t xml:space="preserve">he provision of raw ESG data that </w:t>
      </w:r>
      <w:r w:rsidR="00FF3BD3" w:rsidRPr="006A39BB">
        <w:rPr>
          <w:noProof/>
        </w:rPr>
        <w:t xml:space="preserve">do not </w:t>
      </w:r>
      <w:r w:rsidR="00EC7841">
        <w:rPr>
          <w:noProof/>
        </w:rPr>
        <w:t>contain</w:t>
      </w:r>
      <w:r w:rsidR="00C90080" w:rsidRPr="006A39BB">
        <w:rPr>
          <w:noProof/>
        </w:rPr>
        <w:t xml:space="preserve"> an element of</w:t>
      </w:r>
      <w:r w:rsidR="00FF3BD3" w:rsidRPr="006A39BB">
        <w:rPr>
          <w:noProof/>
        </w:rPr>
        <w:t xml:space="preserve"> rat</w:t>
      </w:r>
      <w:r w:rsidR="00C90080" w:rsidRPr="006A39BB">
        <w:rPr>
          <w:noProof/>
        </w:rPr>
        <w:t>ing</w:t>
      </w:r>
      <w:r w:rsidR="00FB0368" w:rsidRPr="006A39BB">
        <w:rPr>
          <w:noProof/>
        </w:rPr>
        <w:t xml:space="preserve"> </w:t>
      </w:r>
      <w:r w:rsidR="00FF3BD3" w:rsidRPr="006A39BB">
        <w:rPr>
          <w:noProof/>
        </w:rPr>
        <w:t>or scor</w:t>
      </w:r>
      <w:r w:rsidR="00C90080" w:rsidRPr="006A39BB">
        <w:rPr>
          <w:noProof/>
        </w:rPr>
        <w:t>ing</w:t>
      </w:r>
      <w:r w:rsidR="00FF3BD3" w:rsidRPr="006A39BB">
        <w:rPr>
          <w:noProof/>
        </w:rPr>
        <w:t xml:space="preserve">, and </w:t>
      </w:r>
      <w:r w:rsidR="001532FB" w:rsidRPr="006A39BB">
        <w:rPr>
          <w:noProof/>
        </w:rPr>
        <w:t>is not subject to any modelling or analysis resulting in the development</w:t>
      </w:r>
      <w:r w:rsidR="001A540D" w:rsidRPr="006A39BB">
        <w:rPr>
          <w:noProof/>
        </w:rPr>
        <w:t xml:space="preserve"> </w:t>
      </w:r>
      <w:r w:rsidR="001532FB" w:rsidRPr="006A39BB">
        <w:rPr>
          <w:noProof/>
        </w:rPr>
        <w:t xml:space="preserve">of an </w:t>
      </w:r>
      <w:r w:rsidR="001A540D" w:rsidRPr="006A39BB">
        <w:rPr>
          <w:noProof/>
        </w:rPr>
        <w:t>ESG rating</w:t>
      </w:r>
      <w:r w:rsidR="00190A4B" w:rsidRPr="006A39BB">
        <w:rPr>
          <w:noProof/>
        </w:rPr>
        <w:t xml:space="preserve">; </w:t>
      </w:r>
    </w:p>
    <w:p w14:paraId="49C5F0B7" w14:textId="5977987E" w:rsidR="00282BA1" w:rsidRPr="006A39BB" w:rsidRDefault="002A7F8C" w:rsidP="002A7F8C">
      <w:pPr>
        <w:pStyle w:val="Point1"/>
        <w:rPr>
          <w:noProof/>
        </w:rPr>
      </w:pPr>
      <w:r w:rsidRPr="002A7F8C">
        <w:rPr>
          <w:noProof/>
        </w:rPr>
        <w:t>(d)</w:t>
      </w:r>
      <w:r w:rsidRPr="002A7F8C">
        <w:rPr>
          <w:noProof/>
        </w:rPr>
        <w:tab/>
      </w:r>
      <w:r w:rsidR="00B05ABB" w:rsidRPr="006A39BB">
        <w:rPr>
          <w:noProof/>
        </w:rPr>
        <w:t>c</w:t>
      </w:r>
      <w:r w:rsidR="00EA1219" w:rsidRPr="006A39BB">
        <w:rPr>
          <w:noProof/>
        </w:rPr>
        <w:t xml:space="preserve">redit ratings </w:t>
      </w:r>
      <w:r w:rsidR="00A559E2" w:rsidRPr="006A39BB">
        <w:rPr>
          <w:noProof/>
        </w:rPr>
        <w:t xml:space="preserve">issued </w:t>
      </w:r>
      <w:r w:rsidR="00EA1219" w:rsidRPr="006A39BB">
        <w:rPr>
          <w:noProof/>
        </w:rPr>
        <w:t xml:space="preserve">pursuant to Regulation </w:t>
      </w:r>
      <w:r w:rsidR="00A47C62" w:rsidRPr="006A39BB">
        <w:rPr>
          <w:noProof/>
        </w:rPr>
        <w:t xml:space="preserve">(EC) </w:t>
      </w:r>
      <w:r w:rsidR="00EC7841">
        <w:rPr>
          <w:noProof/>
        </w:rPr>
        <w:t>No 1060/2009 of the European Parliament and of the Council</w:t>
      </w:r>
      <w:r w:rsidR="00EC7841">
        <w:rPr>
          <w:rStyle w:val="FootnoteReference"/>
          <w:noProof/>
          <w:szCs w:val="24"/>
        </w:rPr>
        <w:footnoteReference w:id="31"/>
      </w:r>
      <w:r w:rsidR="00281559" w:rsidRPr="006A39BB">
        <w:rPr>
          <w:noProof/>
        </w:rPr>
        <w:t>;</w:t>
      </w:r>
    </w:p>
    <w:p w14:paraId="49B0859B" w14:textId="125EC9FD" w:rsidR="007C3C3E" w:rsidRPr="006A39BB" w:rsidRDefault="002A7F8C" w:rsidP="002A7F8C">
      <w:pPr>
        <w:pStyle w:val="Point1"/>
        <w:rPr>
          <w:noProof/>
        </w:rPr>
      </w:pPr>
      <w:r w:rsidRPr="002A7F8C">
        <w:rPr>
          <w:noProof/>
        </w:rPr>
        <w:t>(e)</w:t>
      </w:r>
      <w:r w:rsidRPr="002A7F8C">
        <w:rPr>
          <w:noProof/>
        </w:rPr>
        <w:tab/>
      </w:r>
      <w:r w:rsidR="00B05ABB" w:rsidRPr="006A39BB">
        <w:rPr>
          <w:noProof/>
        </w:rPr>
        <w:t>p</w:t>
      </w:r>
      <w:r w:rsidR="007C3C3E" w:rsidRPr="006A39BB">
        <w:rPr>
          <w:noProof/>
        </w:rPr>
        <w:t xml:space="preserve">roducts or </w:t>
      </w:r>
      <w:r w:rsidR="006C01F4" w:rsidRPr="006A39BB">
        <w:rPr>
          <w:noProof/>
        </w:rPr>
        <w:t>services</w:t>
      </w:r>
      <w:r w:rsidR="007C3C3E" w:rsidRPr="006A39BB">
        <w:rPr>
          <w:noProof/>
        </w:rPr>
        <w:t xml:space="preserve"> that incorporate an element of </w:t>
      </w:r>
      <w:r w:rsidR="006C01F4" w:rsidRPr="006A39BB">
        <w:rPr>
          <w:noProof/>
        </w:rPr>
        <w:t xml:space="preserve">an ESG </w:t>
      </w:r>
      <w:r w:rsidR="007C3C3E" w:rsidRPr="006A39BB">
        <w:rPr>
          <w:noProof/>
        </w:rPr>
        <w:t>rating</w:t>
      </w:r>
      <w:r w:rsidR="006C01F4" w:rsidRPr="006A39BB">
        <w:rPr>
          <w:noProof/>
        </w:rPr>
        <w:t>;</w:t>
      </w:r>
    </w:p>
    <w:p w14:paraId="14025F15" w14:textId="547B1EF0" w:rsidR="009A4632" w:rsidRPr="006A39BB" w:rsidRDefault="002A7F8C" w:rsidP="002A7F8C">
      <w:pPr>
        <w:pStyle w:val="Point1"/>
        <w:rPr>
          <w:noProof/>
        </w:rPr>
      </w:pPr>
      <w:r w:rsidRPr="002A7F8C">
        <w:rPr>
          <w:noProof/>
        </w:rPr>
        <w:t>(f)</w:t>
      </w:r>
      <w:r w:rsidRPr="002A7F8C">
        <w:rPr>
          <w:noProof/>
        </w:rPr>
        <w:tab/>
      </w:r>
      <w:r w:rsidR="00B05ABB" w:rsidRPr="006A39BB">
        <w:rPr>
          <w:noProof/>
        </w:rPr>
        <w:t>s</w:t>
      </w:r>
      <w:r w:rsidR="009A4632" w:rsidRPr="006A39BB">
        <w:rPr>
          <w:noProof/>
        </w:rPr>
        <w:t>econd-party opinions on sustainability bonds;</w:t>
      </w:r>
    </w:p>
    <w:p w14:paraId="3A065EF4" w14:textId="377667DB" w:rsidR="00E23161" w:rsidRDefault="002A7F8C" w:rsidP="002A7F8C">
      <w:pPr>
        <w:pStyle w:val="Point1"/>
        <w:rPr>
          <w:noProof/>
        </w:rPr>
      </w:pPr>
      <w:r w:rsidRPr="002A7F8C">
        <w:rPr>
          <w:noProof/>
        </w:rPr>
        <w:t>(g)</w:t>
      </w:r>
      <w:r w:rsidRPr="002A7F8C">
        <w:rPr>
          <w:noProof/>
        </w:rPr>
        <w:tab/>
      </w:r>
      <w:r w:rsidR="00E23161" w:rsidRPr="006A39BB">
        <w:rPr>
          <w:noProof/>
        </w:rPr>
        <w:t xml:space="preserve">ESG ratings produced by </w:t>
      </w:r>
      <w:r w:rsidR="004C5A40">
        <w:rPr>
          <w:noProof/>
        </w:rPr>
        <w:t>Union</w:t>
      </w:r>
      <w:r w:rsidR="004C5A40" w:rsidRPr="006A39BB">
        <w:rPr>
          <w:noProof/>
        </w:rPr>
        <w:t xml:space="preserve"> </w:t>
      </w:r>
      <w:r w:rsidR="00E23161" w:rsidRPr="006A39BB">
        <w:rPr>
          <w:noProof/>
        </w:rPr>
        <w:t xml:space="preserve">or </w:t>
      </w:r>
      <w:r w:rsidR="004C5A40">
        <w:rPr>
          <w:noProof/>
        </w:rPr>
        <w:t>Member States</w:t>
      </w:r>
      <w:r w:rsidR="00A7365F">
        <w:rPr>
          <w:noProof/>
        </w:rPr>
        <w:t>’</w:t>
      </w:r>
      <w:r w:rsidR="004C5A40" w:rsidRPr="006A39BB">
        <w:rPr>
          <w:noProof/>
        </w:rPr>
        <w:t xml:space="preserve"> </w:t>
      </w:r>
      <w:r w:rsidR="00E23161" w:rsidRPr="006A39BB">
        <w:rPr>
          <w:noProof/>
        </w:rPr>
        <w:t>public authorities;</w:t>
      </w:r>
    </w:p>
    <w:p w14:paraId="21758491" w14:textId="0FAB3E01" w:rsidR="005A6769" w:rsidRPr="006A39BB" w:rsidRDefault="002A7F8C" w:rsidP="002A7F8C">
      <w:pPr>
        <w:pStyle w:val="Point1"/>
        <w:rPr>
          <w:noProof/>
        </w:rPr>
      </w:pPr>
      <w:r w:rsidRPr="002A7F8C">
        <w:rPr>
          <w:noProof/>
        </w:rPr>
        <w:t>(h)</w:t>
      </w:r>
      <w:r w:rsidRPr="002A7F8C">
        <w:rPr>
          <w:noProof/>
        </w:rPr>
        <w:tab/>
      </w:r>
      <w:r w:rsidR="005A6769">
        <w:rPr>
          <w:noProof/>
        </w:rPr>
        <w:t xml:space="preserve">ESG ratings </w:t>
      </w:r>
      <w:r w:rsidR="005E32A9">
        <w:rPr>
          <w:noProof/>
        </w:rPr>
        <w:t xml:space="preserve">from an authorised ESG rating provider that are made available to users </w:t>
      </w:r>
      <w:r w:rsidR="00B5724F">
        <w:rPr>
          <w:noProof/>
        </w:rPr>
        <w:t>by</w:t>
      </w:r>
      <w:r w:rsidR="005E32A9">
        <w:rPr>
          <w:noProof/>
        </w:rPr>
        <w:t xml:space="preserve"> a third party</w:t>
      </w:r>
      <w:r w:rsidR="00A81710">
        <w:rPr>
          <w:noProof/>
        </w:rPr>
        <w:t>;</w:t>
      </w:r>
    </w:p>
    <w:p w14:paraId="346B84EB" w14:textId="567989E0" w:rsidR="00BD3680" w:rsidRPr="006A39BB" w:rsidRDefault="002A7F8C" w:rsidP="002A7F8C">
      <w:pPr>
        <w:pStyle w:val="Point1"/>
        <w:rPr>
          <w:noProof/>
        </w:rPr>
      </w:pPr>
      <w:r w:rsidRPr="002A7F8C">
        <w:rPr>
          <w:noProof/>
        </w:rPr>
        <w:t>(i)</w:t>
      </w:r>
      <w:r w:rsidRPr="002A7F8C">
        <w:rPr>
          <w:noProof/>
        </w:rPr>
        <w:tab/>
      </w:r>
      <w:r w:rsidR="00BD3680" w:rsidRPr="006A39BB">
        <w:rPr>
          <w:noProof/>
        </w:rPr>
        <w:t>ESG ratings produced by central banks</w:t>
      </w:r>
      <w:r w:rsidR="00EC7841">
        <w:rPr>
          <w:noProof/>
        </w:rPr>
        <w:t xml:space="preserve"> </w:t>
      </w:r>
      <w:r w:rsidR="00B05ABB" w:rsidRPr="006A39BB">
        <w:rPr>
          <w:noProof/>
        </w:rPr>
        <w:t>that fulfil all of the following conditions</w:t>
      </w:r>
      <w:r w:rsidR="00BD3680" w:rsidRPr="006A39BB">
        <w:rPr>
          <w:noProof/>
        </w:rPr>
        <w:t>:</w:t>
      </w:r>
    </w:p>
    <w:p w14:paraId="1BD707D6" w14:textId="14E5FF22" w:rsidR="00BD3680" w:rsidRPr="006A39BB" w:rsidRDefault="002A7F8C" w:rsidP="002A7F8C">
      <w:pPr>
        <w:pStyle w:val="Point2"/>
        <w:rPr>
          <w:noProof/>
        </w:rPr>
      </w:pPr>
      <w:r w:rsidRPr="002A7F8C">
        <w:rPr>
          <w:noProof/>
        </w:rPr>
        <w:t>(a)</w:t>
      </w:r>
      <w:r w:rsidRPr="002A7F8C">
        <w:rPr>
          <w:noProof/>
        </w:rPr>
        <w:tab/>
      </w:r>
      <w:r w:rsidR="00B05ABB" w:rsidRPr="006A39BB">
        <w:rPr>
          <w:noProof/>
        </w:rPr>
        <w:t xml:space="preserve">they </w:t>
      </w:r>
      <w:r w:rsidR="00BD3680" w:rsidRPr="006A39BB">
        <w:rPr>
          <w:noProof/>
        </w:rPr>
        <w:t>are not paid for by the rated entity;</w:t>
      </w:r>
    </w:p>
    <w:p w14:paraId="235455C4" w14:textId="650BE891" w:rsidR="00BD3680" w:rsidRPr="006A39BB" w:rsidRDefault="002A7F8C" w:rsidP="002A7F8C">
      <w:pPr>
        <w:pStyle w:val="Point2"/>
        <w:rPr>
          <w:noProof/>
        </w:rPr>
      </w:pPr>
      <w:r w:rsidRPr="002A7F8C">
        <w:rPr>
          <w:noProof/>
        </w:rPr>
        <w:t>(b)</w:t>
      </w:r>
      <w:r w:rsidRPr="002A7F8C">
        <w:rPr>
          <w:noProof/>
        </w:rPr>
        <w:tab/>
      </w:r>
      <w:r w:rsidR="00B05ABB" w:rsidRPr="006A39BB">
        <w:rPr>
          <w:noProof/>
        </w:rPr>
        <w:t xml:space="preserve">they </w:t>
      </w:r>
      <w:r w:rsidR="00BD3680" w:rsidRPr="006A39BB">
        <w:rPr>
          <w:noProof/>
        </w:rPr>
        <w:t>are not disclosed to the public;</w:t>
      </w:r>
    </w:p>
    <w:p w14:paraId="756AFC71" w14:textId="2ED60F0B" w:rsidR="00964A2C" w:rsidRPr="006A39BB" w:rsidRDefault="002A7F8C" w:rsidP="002A7F8C">
      <w:pPr>
        <w:pStyle w:val="Point2"/>
        <w:rPr>
          <w:noProof/>
        </w:rPr>
      </w:pPr>
      <w:r w:rsidRPr="002A7F8C">
        <w:rPr>
          <w:noProof/>
        </w:rPr>
        <w:t>(c)</w:t>
      </w:r>
      <w:r w:rsidRPr="002A7F8C">
        <w:rPr>
          <w:noProof/>
        </w:rPr>
        <w:tab/>
      </w:r>
      <w:r w:rsidR="00B05ABB" w:rsidRPr="006A39BB">
        <w:rPr>
          <w:noProof/>
        </w:rPr>
        <w:t xml:space="preserve">they </w:t>
      </w:r>
      <w:r w:rsidR="00BD3680" w:rsidRPr="006A39BB">
        <w:rPr>
          <w:noProof/>
        </w:rPr>
        <w:t xml:space="preserve">are </w:t>
      </w:r>
      <w:r w:rsidR="60331AB3" w:rsidRPr="006A39BB">
        <w:rPr>
          <w:noProof/>
        </w:rPr>
        <w:t>provided</w:t>
      </w:r>
      <w:r w:rsidR="00BD3680" w:rsidRPr="006A39BB">
        <w:rPr>
          <w:noProof/>
        </w:rPr>
        <w:t xml:space="preserve"> in accordance with the principles, standards and procedures which ensure the adequa</w:t>
      </w:r>
      <w:r w:rsidR="1B24A0AF" w:rsidRPr="006A39BB">
        <w:rPr>
          <w:noProof/>
        </w:rPr>
        <w:t>cy,</w:t>
      </w:r>
      <w:r w:rsidR="00BD3680" w:rsidRPr="006A39BB">
        <w:rPr>
          <w:noProof/>
        </w:rPr>
        <w:t xml:space="preserve"> integrity and independence of rating activities</w:t>
      </w:r>
      <w:r w:rsidR="2B0CB278" w:rsidRPr="006A39BB">
        <w:rPr>
          <w:noProof/>
        </w:rPr>
        <w:t>,</w:t>
      </w:r>
      <w:r w:rsidR="00BD3680" w:rsidRPr="006A39BB">
        <w:rPr>
          <w:noProof/>
        </w:rPr>
        <w:t xml:space="preserve"> as provided for by this Regulation</w:t>
      </w:r>
      <w:r w:rsidR="00A7365F">
        <w:rPr>
          <w:noProof/>
        </w:rPr>
        <w:t>, and</w:t>
      </w:r>
    </w:p>
    <w:p w14:paraId="24637CC1" w14:textId="689B74A0" w:rsidR="00BD3680" w:rsidRPr="006A39BB" w:rsidRDefault="002A7F8C" w:rsidP="002A7F8C">
      <w:pPr>
        <w:pStyle w:val="Point2"/>
        <w:rPr>
          <w:noProof/>
        </w:rPr>
      </w:pPr>
      <w:r w:rsidRPr="002A7F8C">
        <w:rPr>
          <w:noProof/>
        </w:rPr>
        <w:t>(d)</w:t>
      </w:r>
      <w:r w:rsidRPr="002A7F8C">
        <w:rPr>
          <w:noProof/>
        </w:rPr>
        <w:tab/>
      </w:r>
      <w:r w:rsidR="00B05ABB" w:rsidRPr="006A39BB">
        <w:rPr>
          <w:noProof/>
        </w:rPr>
        <w:t>they</w:t>
      </w:r>
      <w:r w:rsidR="00BD3680" w:rsidRPr="006A39BB">
        <w:rPr>
          <w:noProof/>
        </w:rPr>
        <w:t xml:space="preserve"> </w:t>
      </w:r>
      <w:r w:rsidR="009B3AE1" w:rsidRPr="006A39BB">
        <w:rPr>
          <w:noProof/>
        </w:rPr>
        <w:t>do not relate to financial instruments issued by the respective central banks’ Member States.</w:t>
      </w:r>
    </w:p>
    <w:p w14:paraId="17B5BBC7" w14:textId="77777777" w:rsidR="00587167" w:rsidRPr="00887EFB" w:rsidRDefault="00587167" w:rsidP="00887EFB">
      <w:pPr>
        <w:pStyle w:val="Titrearticle"/>
        <w:spacing w:line="23" w:lineRule="atLeast"/>
        <w:rPr>
          <w:noProof/>
          <w:szCs w:val="24"/>
        </w:rPr>
      </w:pPr>
      <w:r w:rsidRPr="00887EFB">
        <w:rPr>
          <w:noProof/>
          <w:szCs w:val="24"/>
        </w:rPr>
        <w:t>Article 3</w:t>
      </w:r>
    </w:p>
    <w:p w14:paraId="31F17598" w14:textId="77777777" w:rsidR="00587167" w:rsidRPr="00887EFB" w:rsidRDefault="00587167" w:rsidP="00887EFB">
      <w:pPr>
        <w:pStyle w:val="NormalCentered"/>
        <w:rPr>
          <w:b/>
          <w:bCs/>
          <w:noProof/>
          <w:lang w:eastAsia="en-IE"/>
        </w:rPr>
      </w:pPr>
      <w:r w:rsidRPr="00887EFB">
        <w:rPr>
          <w:b/>
          <w:bCs/>
          <w:noProof/>
          <w:lang w:eastAsia="en-IE"/>
        </w:rPr>
        <w:t>Definitions</w:t>
      </w:r>
    </w:p>
    <w:p w14:paraId="173919D2" w14:textId="77777777" w:rsidR="00360124" w:rsidRPr="00887EFB" w:rsidRDefault="00360124" w:rsidP="00887EFB">
      <w:pPr>
        <w:rPr>
          <w:noProof/>
        </w:rPr>
      </w:pPr>
      <w:r w:rsidRPr="00887EFB">
        <w:rPr>
          <w:noProof/>
        </w:rPr>
        <w:t>For the purposes of this Regulation, the following definitions apply:</w:t>
      </w:r>
    </w:p>
    <w:p w14:paraId="04A0395A" w14:textId="6DFA2808" w:rsidR="006006AA" w:rsidRPr="006A39BB" w:rsidRDefault="002A7F8C" w:rsidP="002A7F8C">
      <w:pPr>
        <w:pStyle w:val="Point1"/>
        <w:rPr>
          <w:noProof/>
        </w:rPr>
      </w:pPr>
      <w:r w:rsidRPr="002A7F8C">
        <w:rPr>
          <w:noProof/>
        </w:rPr>
        <w:t>(1)</w:t>
      </w:r>
      <w:r w:rsidRPr="002A7F8C">
        <w:rPr>
          <w:noProof/>
        </w:rPr>
        <w:tab/>
      </w:r>
      <w:r w:rsidR="00360124" w:rsidRPr="006A39BB">
        <w:rPr>
          <w:noProof/>
        </w:rPr>
        <w:t>‘</w:t>
      </w:r>
      <w:r w:rsidR="007C462C" w:rsidRPr="006A39BB">
        <w:rPr>
          <w:noProof/>
        </w:rPr>
        <w:t>ESG rating</w:t>
      </w:r>
      <w:r w:rsidR="00360124" w:rsidRPr="006A39BB">
        <w:rPr>
          <w:noProof/>
        </w:rPr>
        <w:t xml:space="preserve">’ </w:t>
      </w:r>
      <w:r w:rsidR="00576495" w:rsidRPr="006A39BB">
        <w:rPr>
          <w:noProof/>
        </w:rPr>
        <w:t>means</w:t>
      </w:r>
      <w:r w:rsidR="006B2056" w:rsidRPr="006A39BB">
        <w:rPr>
          <w:noProof/>
        </w:rPr>
        <w:t xml:space="preserve"> an opinion</w:t>
      </w:r>
      <w:r w:rsidR="00DA2920" w:rsidRPr="006A39BB">
        <w:rPr>
          <w:noProof/>
        </w:rPr>
        <w:t>,</w:t>
      </w:r>
      <w:r w:rsidR="00423D06" w:rsidRPr="006A39BB">
        <w:rPr>
          <w:noProof/>
        </w:rPr>
        <w:t xml:space="preserve"> a score</w:t>
      </w:r>
      <w:r w:rsidR="00DA2920" w:rsidRPr="006A39BB">
        <w:rPr>
          <w:noProof/>
        </w:rPr>
        <w:t xml:space="preserve"> or a combination of both</w:t>
      </w:r>
      <w:r w:rsidR="00423D06" w:rsidRPr="006A39BB">
        <w:rPr>
          <w:noProof/>
        </w:rPr>
        <w:t xml:space="preserve">, </w:t>
      </w:r>
      <w:r w:rsidR="00335235" w:rsidRPr="006A39BB">
        <w:rPr>
          <w:noProof/>
        </w:rPr>
        <w:t>regarding an entity, a financial instrument</w:t>
      </w:r>
      <w:r w:rsidR="00EC7841">
        <w:rPr>
          <w:noProof/>
        </w:rPr>
        <w:t>,</w:t>
      </w:r>
      <w:r w:rsidR="00335235" w:rsidRPr="006A39BB">
        <w:rPr>
          <w:noProof/>
        </w:rPr>
        <w:t xml:space="preserve"> a financial product, </w:t>
      </w:r>
      <w:r w:rsidR="00EC7841">
        <w:rPr>
          <w:noProof/>
        </w:rPr>
        <w:t xml:space="preserve">or </w:t>
      </w:r>
      <w:r w:rsidR="00B36547" w:rsidRPr="006A39BB">
        <w:rPr>
          <w:noProof/>
        </w:rPr>
        <w:t>an undertaking</w:t>
      </w:r>
      <w:r w:rsidR="003D4EA3" w:rsidRPr="006A39BB">
        <w:rPr>
          <w:noProof/>
        </w:rPr>
        <w:t>’s</w:t>
      </w:r>
      <w:r w:rsidR="00335235" w:rsidRPr="006A39BB">
        <w:rPr>
          <w:noProof/>
        </w:rPr>
        <w:t xml:space="preserve"> ESG profile or characteristics or exposure to ESG risks or </w:t>
      </w:r>
      <w:r w:rsidR="00EC7841">
        <w:rPr>
          <w:noProof/>
        </w:rPr>
        <w:t xml:space="preserve">the </w:t>
      </w:r>
      <w:r w:rsidR="00335235" w:rsidRPr="006A39BB">
        <w:rPr>
          <w:noProof/>
        </w:rPr>
        <w:t xml:space="preserve">impact on </w:t>
      </w:r>
      <w:r w:rsidR="009E594D">
        <w:rPr>
          <w:noProof/>
        </w:rPr>
        <w:t xml:space="preserve">people, </w:t>
      </w:r>
      <w:r w:rsidR="00335235" w:rsidRPr="006A39BB">
        <w:rPr>
          <w:noProof/>
        </w:rPr>
        <w:t>society and the environment</w:t>
      </w:r>
      <w:r w:rsidR="00EC7841">
        <w:rPr>
          <w:noProof/>
        </w:rPr>
        <w:t>,</w:t>
      </w:r>
      <w:r w:rsidR="00335235" w:rsidRPr="006A39BB">
        <w:rPr>
          <w:noProof/>
        </w:rPr>
        <w:t xml:space="preserve"> that are </w:t>
      </w:r>
      <w:r w:rsidR="00EC7841">
        <w:rPr>
          <w:noProof/>
        </w:rPr>
        <w:t>based on</w:t>
      </w:r>
      <w:r w:rsidR="00335235" w:rsidRPr="006A39BB">
        <w:rPr>
          <w:noProof/>
        </w:rPr>
        <w:t xml:space="preserve"> a</w:t>
      </w:r>
      <w:r w:rsidR="00304742" w:rsidRPr="006A39BB">
        <w:rPr>
          <w:noProof/>
        </w:rPr>
        <w:t>n established</w:t>
      </w:r>
      <w:r w:rsidR="00836F33">
        <w:rPr>
          <w:noProof/>
        </w:rPr>
        <w:t xml:space="preserve"> methodology</w:t>
      </w:r>
      <w:r w:rsidR="00304742" w:rsidRPr="006A39BB">
        <w:rPr>
          <w:noProof/>
        </w:rPr>
        <w:t xml:space="preserve"> and</w:t>
      </w:r>
      <w:r w:rsidR="00335235" w:rsidRPr="006A39BB">
        <w:rPr>
          <w:noProof/>
        </w:rPr>
        <w:t xml:space="preserve"> defined ranking system of rating categories</w:t>
      </w:r>
      <w:r w:rsidR="00EC7841">
        <w:rPr>
          <w:noProof/>
        </w:rPr>
        <w:t xml:space="preserve"> and</w:t>
      </w:r>
      <w:r w:rsidR="00335235" w:rsidRPr="006A39BB">
        <w:rPr>
          <w:noProof/>
        </w:rPr>
        <w:t xml:space="preserve"> </w:t>
      </w:r>
      <w:r w:rsidR="000A4BC0" w:rsidRPr="006A39BB">
        <w:rPr>
          <w:noProof/>
        </w:rPr>
        <w:t xml:space="preserve">that </w:t>
      </w:r>
      <w:r w:rsidR="00EC7841">
        <w:rPr>
          <w:noProof/>
        </w:rPr>
        <w:t>are provided</w:t>
      </w:r>
      <w:r w:rsidR="000A4BC0" w:rsidRPr="006A39BB">
        <w:rPr>
          <w:noProof/>
        </w:rPr>
        <w:t xml:space="preserve"> to third parties, </w:t>
      </w:r>
      <w:r w:rsidR="00E64722" w:rsidRPr="006A39BB">
        <w:rPr>
          <w:noProof/>
        </w:rPr>
        <w:t xml:space="preserve">irrespective of whether such </w:t>
      </w:r>
      <w:r w:rsidR="00EC7841">
        <w:rPr>
          <w:noProof/>
        </w:rPr>
        <w:t xml:space="preserve">ESG </w:t>
      </w:r>
      <w:r w:rsidR="00E64722" w:rsidRPr="006A39BB">
        <w:rPr>
          <w:noProof/>
        </w:rPr>
        <w:t xml:space="preserve">rating is </w:t>
      </w:r>
      <w:r w:rsidR="00335235" w:rsidRPr="006A39BB">
        <w:rPr>
          <w:noProof/>
        </w:rPr>
        <w:t xml:space="preserve">explicitly labelled as </w:t>
      </w:r>
      <w:r w:rsidR="00EC7841">
        <w:rPr>
          <w:noProof/>
        </w:rPr>
        <w:t>‘</w:t>
      </w:r>
      <w:r w:rsidR="00335235" w:rsidRPr="006A39BB">
        <w:rPr>
          <w:noProof/>
        </w:rPr>
        <w:t>rating</w:t>
      </w:r>
      <w:r w:rsidR="00EC7841">
        <w:rPr>
          <w:noProof/>
        </w:rPr>
        <w:t>’</w:t>
      </w:r>
      <w:r w:rsidR="00DA2920" w:rsidRPr="006A39BB">
        <w:rPr>
          <w:noProof/>
        </w:rPr>
        <w:t xml:space="preserve"> </w:t>
      </w:r>
      <w:r w:rsidR="00423D06" w:rsidRPr="006A39BB">
        <w:rPr>
          <w:noProof/>
        </w:rPr>
        <w:t xml:space="preserve">or </w:t>
      </w:r>
      <w:r w:rsidR="00EC7841">
        <w:rPr>
          <w:noProof/>
        </w:rPr>
        <w:t>‘</w:t>
      </w:r>
      <w:r w:rsidR="00423D06" w:rsidRPr="006A39BB">
        <w:rPr>
          <w:noProof/>
        </w:rPr>
        <w:t>ESG score</w:t>
      </w:r>
      <w:r w:rsidR="00EC7841">
        <w:rPr>
          <w:noProof/>
        </w:rPr>
        <w:t>’</w:t>
      </w:r>
      <w:r w:rsidR="006F7544" w:rsidRPr="006A39BB">
        <w:rPr>
          <w:noProof/>
        </w:rPr>
        <w:t>;</w:t>
      </w:r>
    </w:p>
    <w:p w14:paraId="11C4DDAE" w14:textId="23356298" w:rsidR="007C462C" w:rsidRPr="006A39BB" w:rsidRDefault="002A7F8C" w:rsidP="002A7F8C">
      <w:pPr>
        <w:pStyle w:val="Point1"/>
        <w:rPr>
          <w:noProof/>
        </w:rPr>
      </w:pPr>
      <w:r w:rsidRPr="002A7F8C">
        <w:rPr>
          <w:noProof/>
        </w:rPr>
        <w:t>(2)</w:t>
      </w:r>
      <w:r w:rsidRPr="002A7F8C">
        <w:rPr>
          <w:noProof/>
        </w:rPr>
        <w:tab/>
      </w:r>
      <w:r w:rsidR="6F260F01" w:rsidRPr="006A39BB">
        <w:rPr>
          <w:noProof/>
        </w:rPr>
        <w:t xml:space="preserve">‘opinion’ means </w:t>
      </w:r>
      <w:r w:rsidR="1F519DAF" w:rsidRPr="006A39BB">
        <w:rPr>
          <w:noProof/>
        </w:rPr>
        <w:t xml:space="preserve">an assessment </w:t>
      </w:r>
      <w:r w:rsidR="00093A67" w:rsidRPr="006A39BB">
        <w:rPr>
          <w:noProof/>
        </w:rPr>
        <w:t xml:space="preserve">that </w:t>
      </w:r>
      <w:r w:rsidR="00226FD4">
        <w:rPr>
          <w:noProof/>
        </w:rPr>
        <w:t>based on</w:t>
      </w:r>
      <w:r w:rsidR="00093A67" w:rsidRPr="006A39BB">
        <w:rPr>
          <w:noProof/>
        </w:rPr>
        <w:t xml:space="preserve"> a rules-based methodology </w:t>
      </w:r>
      <w:r w:rsidR="00EC7841">
        <w:rPr>
          <w:noProof/>
        </w:rPr>
        <w:t xml:space="preserve">and </w:t>
      </w:r>
      <w:r w:rsidR="00093A67" w:rsidRPr="006A39BB">
        <w:rPr>
          <w:noProof/>
        </w:rPr>
        <w:t>defined ranking system of rating categories</w:t>
      </w:r>
      <w:r w:rsidR="1F519DAF" w:rsidRPr="006A39BB">
        <w:rPr>
          <w:noProof/>
        </w:rPr>
        <w:t xml:space="preserve">, involving </w:t>
      </w:r>
      <w:r w:rsidR="5FDFC8B6" w:rsidRPr="006A39BB">
        <w:rPr>
          <w:noProof/>
        </w:rPr>
        <w:t>direc</w:t>
      </w:r>
      <w:r w:rsidR="4AEC53D0" w:rsidRPr="006A39BB">
        <w:rPr>
          <w:noProof/>
        </w:rPr>
        <w:t>tly a</w:t>
      </w:r>
      <w:r w:rsidR="003D4735" w:rsidRPr="006A39BB">
        <w:rPr>
          <w:noProof/>
        </w:rPr>
        <w:t xml:space="preserve"> rating</w:t>
      </w:r>
      <w:r w:rsidR="1F519DAF" w:rsidRPr="006A39BB">
        <w:rPr>
          <w:noProof/>
        </w:rPr>
        <w:t xml:space="preserve"> analyst in the </w:t>
      </w:r>
      <w:r w:rsidR="5E7D6DD2" w:rsidRPr="006A39BB">
        <w:rPr>
          <w:noProof/>
        </w:rPr>
        <w:t>rating process</w:t>
      </w:r>
      <w:r w:rsidR="002A7B92" w:rsidRPr="006A39BB">
        <w:rPr>
          <w:noProof/>
        </w:rPr>
        <w:t xml:space="preserve"> or systems</w:t>
      </w:r>
      <w:r w:rsidR="7FEDD1C7" w:rsidRPr="006A39BB">
        <w:rPr>
          <w:noProof/>
        </w:rPr>
        <w:t xml:space="preserve"> </w:t>
      </w:r>
      <w:r w:rsidR="003E6438" w:rsidRPr="006A39BB">
        <w:rPr>
          <w:noProof/>
        </w:rPr>
        <w:t>process</w:t>
      </w:r>
      <w:r w:rsidR="619C6206" w:rsidRPr="006A39BB">
        <w:rPr>
          <w:noProof/>
        </w:rPr>
        <w:t>;</w:t>
      </w:r>
    </w:p>
    <w:p w14:paraId="48792797" w14:textId="45D1F874" w:rsidR="002A7B92" w:rsidRPr="006A39BB" w:rsidRDefault="002A7F8C" w:rsidP="002A7F8C">
      <w:pPr>
        <w:pStyle w:val="Point1"/>
        <w:rPr>
          <w:noProof/>
        </w:rPr>
      </w:pPr>
      <w:r w:rsidRPr="002A7F8C">
        <w:rPr>
          <w:noProof/>
        </w:rPr>
        <w:t>(3)</w:t>
      </w:r>
      <w:r w:rsidRPr="002A7F8C">
        <w:rPr>
          <w:noProof/>
        </w:rPr>
        <w:tab/>
      </w:r>
      <w:r w:rsidR="00DA2920" w:rsidRPr="006A39BB">
        <w:rPr>
          <w:noProof/>
        </w:rPr>
        <w:t>‘</w:t>
      </w:r>
      <w:r w:rsidR="002A7B92" w:rsidRPr="006A39BB">
        <w:rPr>
          <w:noProof/>
        </w:rPr>
        <w:t>score</w:t>
      </w:r>
      <w:r w:rsidR="00DA2920" w:rsidRPr="006A39BB">
        <w:rPr>
          <w:noProof/>
        </w:rPr>
        <w:t>’</w:t>
      </w:r>
      <w:r w:rsidR="002A7B92" w:rsidRPr="006A39BB">
        <w:rPr>
          <w:noProof/>
        </w:rPr>
        <w:t xml:space="preserve"> means a measure</w:t>
      </w:r>
      <w:r w:rsidR="00DA2920" w:rsidRPr="006A39BB">
        <w:rPr>
          <w:noProof/>
        </w:rPr>
        <w:t xml:space="preserve"> </w:t>
      </w:r>
      <w:r w:rsidR="002A7B92" w:rsidRPr="00887EFB">
        <w:rPr>
          <w:noProof/>
        </w:rPr>
        <w:t>derived from data</w:t>
      </w:r>
      <w:r w:rsidR="00677517" w:rsidRPr="00887EFB">
        <w:rPr>
          <w:noProof/>
        </w:rPr>
        <w:t>,</w:t>
      </w:r>
      <w:r w:rsidR="00C93A49" w:rsidRPr="00887EFB">
        <w:rPr>
          <w:noProof/>
        </w:rPr>
        <w:t xml:space="preserve"> using a rule-based methodology,</w:t>
      </w:r>
      <w:r w:rsidR="002A7B92" w:rsidRPr="00887EFB">
        <w:rPr>
          <w:noProof/>
        </w:rPr>
        <w:t xml:space="preserve"> and based only on a pre-established statistical or algorithmic system or model, without any additional substantial analytical input from a</w:t>
      </w:r>
      <w:r w:rsidR="00C7337C" w:rsidRPr="00887EFB">
        <w:rPr>
          <w:noProof/>
        </w:rPr>
        <w:t>n</w:t>
      </w:r>
      <w:r w:rsidR="002A7B92" w:rsidRPr="00887EFB">
        <w:rPr>
          <w:noProof/>
        </w:rPr>
        <w:t xml:space="preserve"> analyst</w:t>
      </w:r>
      <w:r w:rsidR="00C8431C" w:rsidRPr="00887EFB">
        <w:rPr>
          <w:noProof/>
        </w:rPr>
        <w:t>;</w:t>
      </w:r>
    </w:p>
    <w:p w14:paraId="6AF09B5A" w14:textId="2ADEF10B" w:rsidR="007C462C" w:rsidRPr="006A39BB" w:rsidRDefault="002A7F8C" w:rsidP="002A7F8C">
      <w:pPr>
        <w:pStyle w:val="Point1"/>
        <w:rPr>
          <w:noProof/>
        </w:rPr>
      </w:pPr>
      <w:r w:rsidRPr="002A7F8C">
        <w:rPr>
          <w:noProof/>
        </w:rPr>
        <w:t>(4)</w:t>
      </w:r>
      <w:r w:rsidRPr="002A7F8C">
        <w:rPr>
          <w:noProof/>
        </w:rPr>
        <w:tab/>
      </w:r>
      <w:r w:rsidR="25A84CAD" w:rsidRPr="006A39BB">
        <w:rPr>
          <w:noProof/>
        </w:rPr>
        <w:t>‘</w:t>
      </w:r>
      <w:r w:rsidR="717CA2CC" w:rsidRPr="006A39BB">
        <w:rPr>
          <w:noProof/>
        </w:rPr>
        <w:t>ESG rating</w:t>
      </w:r>
      <w:r w:rsidR="002A7B92" w:rsidRPr="006A39BB">
        <w:rPr>
          <w:noProof/>
        </w:rPr>
        <w:t xml:space="preserve"> </w:t>
      </w:r>
      <w:r w:rsidR="717CA2CC" w:rsidRPr="006A39BB">
        <w:rPr>
          <w:noProof/>
        </w:rPr>
        <w:t>providers</w:t>
      </w:r>
      <w:r w:rsidR="25A84CAD" w:rsidRPr="006A39BB">
        <w:rPr>
          <w:noProof/>
        </w:rPr>
        <w:t xml:space="preserve">’ </w:t>
      </w:r>
      <w:r w:rsidR="000400EA" w:rsidRPr="006A39BB">
        <w:rPr>
          <w:noProof/>
        </w:rPr>
        <w:t xml:space="preserve">means a legal person whose occupation includes the </w:t>
      </w:r>
      <w:r w:rsidR="00E9076B" w:rsidRPr="006A39BB">
        <w:rPr>
          <w:noProof/>
        </w:rPr>
        <w:t>offering</w:t>
      </w:r>
      <w:r w:rsidR="000400EA" w:rsidRPr="006A39BB">
        <w:rPr>
          <w:noProof/>
        </w:rPr>
        <w:t xml:space="preserve"> </w:t>
      </w:r>
      <w:r w:rsidR="00B6615A">
        <w:rPr>
          <w:noProof/>
        </w:rPr>
        <w:t xml:space="preserve">and distribution </w:t>
      </w:r>
      <w:r w:rsidR="000400EA" w:rsidRPr="006A39BB">
        <w:rPr>
          <w:noProof/>
        </w:rPr>
        <w:t>of ESG ratings</w:t>
      </w:r>
      <w:r w:rsidR="00423D06" w:rsidRPr="006A39BB">
        <w:rPr>
          <w:noProof/>
        </w:rPr>
        <w:t xml:space="preserve"> or scores</w:t>
      </w:r>
      <w:r w:rsidR="000400EA" w:rsidRPr="006A39BB">
        <w:rPr>
          <w:noProof/>
        </w:rPr>
        <w:t xml:space="preserve"> on a professional basis</w:t>
      </w:r>
      <w:r w:rsidR="619C6206" w:rsidRPr="006A39BB">
        <w:rPr>
          <w:noProof/>
        </w:rPr>
        <w:t>;</w:t>
      </w:r>
    </w:p>
    <w:p w14:paraId="2B84C12F" w14:textId="5F17B09A" w:rsidR="00220356" w:rsidRPr="006A39BB" w:rsidRDefault="002A7F8C" w:rsidP="002A7F8C">
      <w:pPr>
        <w:pStyle w:val="Point1"/>
        <w:rPr>
          <w:noProof/>
        </w:rPr>
      </w:pPr>
      <w:r w:rsidRPr="002A7F8C">
        <w:rPr>
          <w:noProof/>
        </w:rPr>
        <w:t>(5)</w:t>
      </w:r>
      <w:r w:rsidRPr="002A7F8C">
        <w:rPr>
          <w:noProof/>
        </w:rPr>
        <w:tab/>
      </w:r>
      <w:r w:rsidR="00936881" w:rsidRPr="006A39BB">
        <w:rPr>
          <w:noProof/>
        </w:rPr>
        <w:t xml:space="preserve">‘regulated </w:t>
      </w:r>
      <w:r w:rsidR="00414956" w:rsidRPr="006A39BB">
        <w:rPr>
          <w:noProof/>
        </w:rPr>
        <w:t xml:space="preserve">financial </w:t>
      </w:r>
      <w:r w:rsidR="00936881" w:rsidRPr="006A39BB">
        <w:rPr>
          <w:noProof/>
        </w:rPr>
        <w:t>undertaking</w:t>
      </w:r>
      <w:r w:rsidR="00B7298F">
        <w:rPr>
          <w:noProof/>
        </w:rPr>
        <w:t xml:space="preserve"> in the Union</w:t>
      </w:r>
      <w:r w:rsidR="00936881" w:rsidRPr="006A39BB">
        <w:rPr>
          <w:noProof/>
        </w:rPr>
        <w:t xml:space="preserve">’ means </w:t>
      </w:r>
      <w:r w:rsidR="00956674" w:rsidRPr="006A39BB">
        <w:rPr>
          <w:noProof/>
        </w:rPr>
        <w:t>an undertaking</w:t>
      </w:r>
      <w:r w:rsidR="00220356" w:rsidRPr="006A39BB">
        <w:rPr>
          <w:noProof/>
        </w:rPr>
        <w:t xml:space="preserve">, regardless of its legal form, </w:t>
      </w:r>
      <w:r w:rsidR="00226FD4">
        <w:rPr>
          <w:noProof/>
        </w:rPr>
        <w:t>that</w:t>
      </w:r>
      <w:r w:rsidR="00220356" w:rsidRPr="006A39BB">
        <w:rPr>
          <w:noProof/>
        </w:rPr>
        <w:t xml:space="preserve"> is</w:t>
      </w:r>
      <w:r w:rsidR="00B05ABB" w:rsidRPr="006A39BB">
        <w:rPr>
          <w:noProof/>
        </w:rPr>
        <w:t>:</w:t>
      </w:r>
    </w:p>
    <w:p w14:paraId="1EF3FAB9" w14:textId="77777777" w:rsidR="00F62937" w:rsidRPr="006A39BB" w:rsidRDefault="00B05ABB" w:rsidP="00580A58">
      <w:pPr>
        <w:pStyle w:val="Tiret2"/>
        <w:numPr>
          <w:ilvl w:val="0"/>
          <w:numId w:val="7"/>
        </w:numPr>
        <w:rPr>
          <w:noProof/>
          <w:szCs w:val="24"/>
        </w:rPr>
      </w:pPr>
      <w:r w:rsidRPr="006A39BB">
        <w:rPr>
          <w:noProof/>
          <w:szCs w:val="24"/>
        </w:rPr>
        <w:t>(i)</w:t>
      </w:r>
      <w:r w:rsidRPr="006A39BB">
        <w:rPr>
          <w:noProof/>
          <w:szCs w:val="24"/>
        </w:rPr>
        <w:tab/>
      </w:r>
      <w:r w:rsidR="00F62937" w:rsidRPr="006A39BB">
        <w:rPr>
          <w:noProof/>
          <w:szCs w:val="24"/>
        </w:rPr>
        <w:t>a credit institution as defined in Article 4(1), point (1), of Regulation (EU) No</w:t>
      </w:r>
      <w:r w:rsidR="00226FD4">
        <w:rPr>
          <w:noProof/>
          <w:szCs w:val="24"/>
        </w:rPr>
        <w:t> </w:t>
      </w:r>
      <w:r w:rsidR="00F62937" w:rsidRPr="006A39BB">
        <w:rPr>
          <w:noProof/>
          <w:szCs w:val="24"/>
        </w:rPr>
        <w:t>575/2013</w:t>
      </w:r>
      <w:r w:rsidR="00692A24">
        <w:rPr>
          <w:noProof/>
          <w:szCs w:val="24"/>
        </w:rPr>
        <w:t xml:space="preserve"> of</w:t>
      </w:r>
      <w:r w:rsidR="00F62937" w:rsidRPr="006A39BB">
        <w:rPr>
          <w:noProof/>
          <w:szCs w:val="24"/>
        </w:rPr>
        <w:t xml:space="preserve"> the European Parliament and of the Council</w:t>
      </w:r>
      <w:r w:rsidR="00F62937" w:rsidRPr="006A39BB">
        <w:rPr>
          <w:rStyle w:val="FootnoteReference"/>
          <w:noProof/>
          <w:szCs w:val="24"/>
        </w:rPr>
        <w:footnoteReference w:id="32"/>
      </w:r>
      <w:r w:rsidR="00F62937" w:rsidRPr="006A39BB">
        <w:rPr>
          <w:noProof/>
          <w:szCs w:val="24"/>
        </w:rPr>
        <w:t>;</w:t>
      </w:r>
    </w:p>
    <w:p w14:paraId="10E64C19" w14:textId="77777777" w:rsidR="00F62937" w:rsidRPr="006A39BB" w:rsidRDefault="00B05ABB" w:rsidP="00964D3D">
      <w:pPr>
        <w:pStyle w:val="Tiret2"/>
        <w:rPr>
          <w:noProof/>
          <w:szCs w:val="24"/>
        </w:rPr>
      </w:pPr>
      <w:r w:rsidRPr="006A39BB">
        <w:rPr>
          <w:noProof/>
          <w:szCs w:val="24"/>
        </w:rPr>
        <w:t>(ii)</w:t>
      </w:r>
      <w:r w:rsidRPr="006A39BB">
        <w:rPr>
          <w:noProof/>
          <w:szCs w:val="24"/>
        </w:rPr>
        <w:tab/>
      </w:r>
      <w:r w:rsidR="00F62937" w:rsidRPr="006A39BB">
        <w:rPr>
          <w:noProof/>
          <w:szCs w:val="24"/>
        </w:rPr>
        <w:t>an investment firm as defined in Article 4(1), point (1), of Directive 2014/65/EU the European Parliament and of the Council</w:t>
      </w:r>
      <w:r w:rsidR="00F62937" w:rsidRPr="006A39BB">
        <w:rPr>
          <w:rStyle w:val="FootnoteReference"/>
          <w:noProof/>
          <w:szCs w:val="24"/>
        </w:rPr>
        <w:footnoteReference w:id="33"/>
      </w:r>
      <w:r w:rsidR="00F62937" w:rsidRPr="006A39BB">
        <w:rPr>
          <w:noProof/>
          <w:szCs w:val="24"/>
        </w:rPr>
        <w:t>;</w:t>
      </w:r>
    </w:p>
    <w:p w14:paraId="6E021A18" w14:textId="78C15C8A" w:rsidR="00F62937" w:rsidRPr="006A39BB" w:rsidRDefault="00B05ABB" w:rsidP="00964D3D">
      <w:pPr>
        <w:pStyle w:val="Tiret2"/>
        <w:rPr>
          <w:noProof/>
          <w:szCs w:val="24"/>
        </w:rPr>
      </w:pPr>
      <w:r w:rsidRPr="006A39BB">
        <w:rPr>
          <w:noProof/>
          <w:szCs w:val="24"/>
        </w:rPr>
        <w:t>(iii)</w:t>
      </w:r>
      <w:r w:rsidRPr="006A39BB">
        <w:rPr>
          <w:noProof/>
          <w:szCs w:val="24"/>
        </w:rPr>
        <w:tab/>
      </w:r>
      <w:r w:rsidR="00F62937" w:rsidRPr="006A39BB">
        <w:rPr>
          <w:noProof/>
          <w:szCs w:val="24"/>
        </w:rPr>
        <w:t>an alternative investment fund manager (AIFM) as defined in Article 4(1), point</w:t>
      </w:r>
      <w:r w:rsidR="00226FD4">
        <w:rPr>
          <w:noProof/>
          <w:szCs w:val="24"/>
        </w:rPr>
        <w:t> </w:t>
      </w:r>
      <w:r w:rsidR="00F62937" w:rsidRPr="006A39BB">
        <w:rPr>
          <w:noProof/>
          <w:szCs w:val="24"/>
        </w:rPr>
        <w:t>(b), of Directive 2011/61/EU of the European Parliament and of the Council</w:t>
      </w:r>
      <w:r w:rsidR="00226FD4">
        <w:rPr>
          <w:rStyle w:val="FootnoteReference"/>
          <w:noProof/>
          <w:szCs w:val="24"/>
        </w:rPr>
        <w:footnoteReference w:id="34"/>
      </w:r>
      <w:r w:rsidR="00F62937" w:rsidRPr="006A39BB">
        <w:rPr>
          <w:noProof/>
          <w:szCs w:val="24"/>
        </w:rPr>
        <w:t xml:space="preserve">, including a manager of </w:t>
      </w:r>
      <w:r w:rsidR="00226FD4">
        <w:rPr>
          <w:noProof/>
          <w:szCs w:val="24"/>
        </w:rPr>
        <w:t>a qualifying venture capital fund as defined in Article 3, point (c) of</w:t>
      </w:r>
      <w:r w:rsidR="00F62937" w:rsidRPr="006A39BB">
        <w:rPr>
          <w:noProof/>
          <w:szCs w:val="24"/>
        </w:rPr>
        <w:t xml:space="preserve"> Regulation (EU) No 345/2013 of the European Parliament and of the Council</w:t>
      </w:r>
      <w:r w:rsidR="00F62937" w:rsidRPr="006A39BB">
        <w:rPr>
          <w:rStyle w:val="FootnoteReference"/>
          <w:noProof/>
          <w:szCs w:val="24"/>
        </w:rPr>
        <w:footnoteReference w:id="35"/>
      </w:r>
      <w:r w:rsidR="00F62937" w:rsidRPr="006A39BB">
        <w:rPr>
          <w:noProof/>
          <w:szCs w:val="24"/>
        </w:rPr>
        <w:t xml:space="preserve">, a manager of </w:t>
      </w:r>
      <w:r w:rsidR="00692A24">
        <w:rPr>
          <w:noProof/>
          <w:szCs w:val="24"/>
        </w:rPr>
        <w:t>a qualifying social entrepreneurship fund as defined in Article 3, point (c) of</w:t>
      </w:r>
      <w:r w:rsidR="00F62937" w:rsidRPr="006A39BB">
        <w:rPr>
          <w:noProof/>
          <w:szCs w:val="24"/>
        </w:rPr>
        <w:t xml:space="preserve"> Regulation (EU) No 346/2013 of the European Parliament and of the Council</w:t>
      </w:r>
      <w:r w:rsidR="00F62937" w:rsidRPr="006A39BB">
        <w:rPr>
          <w:rStyle w:val="FootnoteReference"/>
          <w:noProof/>
          <w:szCs w:val="24"/>
        </w:rPr>
        <w:footnoteReference w:id="36"/>
      </w:r>
      <w:r w:rsidR="00F62937" w:rsidRPr="006A39BB">
        <w:rPr>
          <w:noProof/>
          <w:szCs w:val="24"/>
        </w:rPr>
        <w:t xml:space="preserve"> and a manager of </w:t>
      </w:r>
      <w:r w:rsidR="00692A24">
        <w:rPr>
          <w:noProof/>
          <w:szCs w:val="24"/>
        </w:rPr>
        <w:t xml:space="preserve">the </w:t>
      </w:r>
      <w:r w:rsidR="003E0CA2">
        <w:rPr>
          <w:noProof/>
          <w:szCs w:val="24"/>
        </w:rPr>
        <w:t xml:space="preserve">ELTIF </w:t>
      </w:r>
      <w:r w:rsidR="00692A24">
        <w:rPr>
          <w:noProof/>
          <w:szCs w:val="24"/>
        </w:rPr>
        <w:t>as defined in Article 2, point (12) of</w:t>
      </w:r>
      <w:r w:rsidR="00F62937" w:rsidRPr="006A39BB">
        <w:rPr>
          <w:noProof/>
          <w:szCs w:val="24"/>
        </w:rPr>
        <w:t xml:space="preserve"> Regulation (EU) 2015/760 of the European Parliament and of the Council</w:t>
      </w:r>
      <w:r w:rsidR="00F62937" w:rsidRPr="006A39BB">
        <w:rPr>
          <w:rStyle w:val="FootnoteReference"/>
          <w:noProof/>
          <w:szCs w:val="24"/>
        </w:rPr>
        <w:footnoteReference w:id="37"/>
      </w:r>
      <w:r w:rsidR="00F62937" w:rsidRPr="006A39BB">
        <w:rPr>
          <w:noProof/>
          <w:szCs w:val="24"/>
        </w:rPr>
        <w:t>;</w:t>
      </w:r>
    </w:p>
    <w:p w14:paraId="61B001B4" w14:textId="77777777" w:rsidR="00F62937" w:rsidRPr="006A39BB" w:rsidRDefault="00B05ABB" w:rsidP="00964D3D">
      <w:pPr>
        <w:pStyle w:val="Tiret2"/>
        <w:rPr>
          <w:noProof/>
          <w:szCs w:val="24"/>
        </w:rPr>
      </w:pPr>
      <w:r w:rsidRPr="006A39BB">
        <w:rPr>
          <w:noProof/>
          <w:szCs w:val="24"/>
        </w:rPr>
        <w:t>(iv)</w:t>
      </w:r>
      <w:r w:rsidRPr="006A39BB">
        <w:rPr>
          <w:noProof/>
          <w:szCs w:val="24"/>
        </w:rPr>
        <w:tab/>
      </w:r>
      <w:r w:rsidR="00F62937" w:rsidRPr="006A39BB">
        <w:rPr>
          <w:noProof/>
          <w:szCs w:val="24"/>
        </w:rPr>
        <w:t>an undertaking for collective investment in transferable securities (UCITS) management company as defined Article 2(1), point (b), of Directive 2009/65/EC of the European Parliament and of the Council</w:t>
      </w:r>
      <w:r w:rsidR="00F62937" w:rsidRPr="006A39BB">
        <w:rPr>
          <w:rStyle w:val="FootnoteReference"/>
          <w:noProof/>
          <w:szCs w:val="24"/>
        </w:rPr>
        <w:footnoteReference w:id="38"/>
      </w:r>
      <w:r w:rsidR="00F62937" w:rsidRPr="006A39BB">
        <w:rPr>
          <w:noProof/>
          <w:szCs w:val="24"/>
        </w:rPr>
        <w:t>;</w:t>
      </w:r>
    </w:p>
    <w:p w14:paraId="383E4150" w14:textId="77777777" w:rsidR="00F62937" w:rsidRPr="006A39BB" w:rsidRDefault="00B05ABB" w:rsidP="00964D3D">
      <w:pPr>
        <w:pStyle w:val="Tiret2"/>
        <w:rPr>
          <w:noProof/>
          <w:szCs w:val="24"/>
        </w:rPr>
      </w:pPr>
      <w:r w:rsidRPr="006A39BB">
        <w:rPr>
          <w:noProof/>
          <w:szCs w:val="24"/>
        </w:rPr>
        <w:t>(v)</w:t>
      </w:r>
      <w:r w:rsidRPr="006A39BB">
        <w:rPr>
          <w:noProof/>
          <w:szCs w:val="24"/>
        </w:rPr>
        <w:tab/>
      </w:r>
      <w:r w:rsidR="00F62937" w:rsidRPr="006A39BB">
        <w:rPr>
          <w:noProof/>
          <w:szCs w:val="24"/>
        </w:rPr>
        <w:t>an insurance undertaking as defined in Article 13, point (1), of Directive 2009/138/EC of the European Parliament and of the Council</w:t>
      </w:r>
      <w:r w:rsidR="00F62937" w:rsidRPr="006A39BB">
        <w:rPr>
          <w:rStyle w:val="FootnoteReference"/>
          <w:noProof/>
          <w:szCs w:val="24"/>
        </w:rPr>
        <w:footnoteReference w:id="39"/>
      </w:r>
      <w:r w:rsidR="00F62937" w:rsidRPr="006A39BB">
        <w:rPr>
          <w:noProof/>
          <w:szCs w:val="24"/>
        </w:rPr>
        <w:t>;</w:t>
      </w:r>
    </w:p>
    <w:p w14:paraId="475C7B9E" w14:textId="77777777" w:rsidR="00F62937" w:rsidRPr="006A39BB" w:rsidRDefault="00B05ABB" w:rsidP="00964D3D">
      <w:pPr>
        <w:pStyle w:val="Tiret2"/>
        <w:rPr>
          <w:noProof/>
          <w:szCs w:val="24"/>
        </w:rPr>
      </w:pPr>
      <w:r w:rsidRPr="006A39BB">
        <w:rPr>
          <w:noProof/>
          <w:szCs w:val="24"/>
        </w:rPr>
        <w:t>(vi)</w:t>
      </w:r>
      <w:r w:rsidRPr="006A39BB">
        <w:rPr>
          <w:noProof/>
          <w:szCs w:val="24"/>
        </w:rPr>
        <w:tab/>
      </w:r>
      <w:r w:rsidR="00F62937" w:rsidRPr="006A39BB">
        <w:rPr>
          <w:noProof/>
          <w:szCs w:val="24"/>
        </w:rPr>
        <w:t>a reinsurance undertaking as defined in Article 13, point (4), of Directive 2009/138/EC;</w:t>
      </w:r>
    </w:p>
    <w:p w14:paraId="41FF4945" w14:textId="77777777" w:rsidR="00F62937" w:rsidRPr="006A39BB" w:rsidRDefault="00B05ABB" w:rsidP="00964D3D">
      <w:pPr>
        <w:pStyle w:val="Tiret2"/>
        <w:rPr>
          <w:noProof/>
          <w:szCs w:val="24"/>
        </w:rPr>
      </w:pPr>
      <w:r w:rsidRPr="006A39BB">
        <w:rPr>
          <w:noProof/>
          <w:szCs w:val="24"/>
        </w:rPr>
        <w:t>(vii)</w:t>
      </w:r>
      <w:r w:rsidRPr="006A39BB">
        <w:rPr>
          <w:noProof/>
          <w:szCs w:val="24"/>
        </w:rPr>
        <w:tab/>
      </w:r>
      <w:r w:rsidR="00F62937" w:rsidRPr="006A39BB">
        <w:rPr>
          <w:noProof/>
          <w:szCs w:val="24"/>
        </w:rPr>
        <w:t>an institution for occupational retirement provision as defined in Article 1, point</w:t>
      </w:r>
      <w:r w:rsidR="003D2675">
        <w:rPr>
          <w:noProof/>
          <w:szCs w:val="24"/>
        </w:rPr>
        <w:t> </w:t>
      </w:r>
      <w:r w:rsidR="00F62937" w:rsidRPr="006A39BB">
        <w:rPr>
          <w:noProof/>
          <w:szCs w:val="24"/>
        </w:rPr>
        <w:t>(6) of Directive 2016/2341 of the European Parliament and of the Council</w:t>
      </w:r>
      <w:r w:rsidR="00F62937" w:rsidRPr="006A39BB">
        <w:rPr>
          <w:rStyle w:val="FootnoteReference"/>
          <w:noProof/>
          <w:szCs w:val="24"/>
        </w:rPr>
        <w:footnoteReference w:id="40"/>
      </w:r>
      <w:r w:rsidR="00F62937" w:rsidRPr="006A39BB">
        <w:rPr>
          <w:noProof/>
          <w:szCs w:val="24"/>
        </w:rPr>
        <w:t>;</w:t>
      </w:r>
    </w:p>
    <w:p w14:paraId="79AAB2FB" w14:textId="77777777" w:rsidR="00F62937" w:rsidRPr="006A39BB" w:rsidRDefault="00B05ABB" w:rsidP="00964D3D">
      <w:pPr>
        <w:pStyle w:val="Tiret2"/>
        <w:rPr>
          <w:noProof/>
          <w:szCs w:val="24"/>
        </w:rPr>
      </w:pPr>
      <w:r w:rsidRPr="006A39BB">
        <w:rPr>
          <w:noProof/>
          <w:szCs w:val="24"/>
        </w:rPr>
        <w:t>(viii)</w:t>
      </w:r>
      <w:r w:rsidRPr="006A39BB">
        <w:rPr>
          <w:noProof/>
          <w:szCs w:val="24"/>
        </w:rPr>
        <w:tab/>
      </w:r>
      <w:r w:rsidR="00F62937" w:rsidRPr="006A39BB">
        <w:rPr>
          <w:noProof/>
          <w:szCs w:val="24"/>
        </w:rPr>
        <w:t>pension institutions operating pension schemes which are considered to be social security schemes covered by Regulation (EC) No 883/2004 of the European Parliament and of the Council</w:t>
      </w:r>
      <w:r w:rsidR="00F62937" w:rsidRPr="006A39BB">
        <w:rPr>
          <w:rStyle w:val="FootnoteReference"/>
          <w:noProof/>
          <w:szCs w:val="24"/>
        </w:rPr>
        <w:footnoteReference w:id="41"/>
      </w:r>
      <w:r w:rsidR="00F62937" w:rsidRPr="006A39BB">
        <w:rPr>
          <w:noProof/>
          <w:szCs w:val="24"/>
        </w:rPr>
        <w:t xml:space="preserve"> and Regulation (EC) No 987/2009 of the European Parliament and of the Council</w:t>
      </w:r>
      <w:r w:rsidR="00F62937" w:rsidRPr="006A39BB">
        <w:rPr>
          <w:rStyle w:val="FootnoteReference"/>
          <w:noProof/>
          <w:szCs w:val="24"/>
        </w:rPr>
        <w:footnoteReference w:id="42"/>
      </w:r>
      <w:r w:rsidR="003D2675">
        <w:rPr>
          <w:noProof/>
          <w:szCs w:val="24"/>
        </w:rPr>
        <w:t>,</w:t>
      </w:r>
      <w:r w:rsidR="00F62937" w:rsidRPr="006A39BB">
        <w:rPr>
          <w:noProof/>
          <w:szCs w:val="24"/>
        </w:rPr>
        <w:t xml:space="preserve"> </w:t>
      </w:r>
      <w:r w:rsidR="003D2675">
        <w:rPr>
          <w:noProof/>
          <w:szCs w:val="24"/>
        </w:rPr>
        <w:t>and</w:t>
      </w:r>
      <w:r w:rsidR="00F62937" w:rsidRPr="006A39BB">
        <w:rPr>
          <w:noProof/>
          <w:szCs w:val="24"/>
        </w:rPr>
        <w:t xml:space="preserve"> any legal entity set up for the purpose of investment of such </w:t>
      </w:r>
      <w:r w:rsidR="00692A24">
        <w:rPr>
          <w:noProof/>
          <w:szCs w:val="24"/>
        </w:rPr>
        <w:t xml:space="preserve">social security </w:t>
      </w:r>
      <w:r w:rsidR="00F62937" w:rsidRPr="006A39BB">
        <w:rPr>
          <w:noProof/>
          <w:szCs w:val="24"/>
        </w:rPr>
        <w:t>schemes;</w:t>
      </w:r>
    </w:p>
    <w:p w14:paraId="24A13C00" w14:textId="77777777" w:rsidR="00F62937" w:rsidRPr="006A39BB" w:rsidRDefault="00B05ABB" w:rsidP="00964D3D">
      <w:pPr>
        <w:pStyle w:val="Tiret2"/>
        <w:rPr>
          <w:noProof/>
          <w:szCs w:val="24"/>
        </w:rPr>
      </w:pPr>
      <w:r w:rsidRPr="006A39BB">
        <w:rPr>
          <w:noProof/>
          <w:szCs w:val="24"/>
        </w:rPr>
        <w:t>(ix)</w:t>
      </w:r>
      <w:r w:rsidRPr="006A39BB">
        <w:rPr>
          <w:noProof/>
          <w:szCs w:val="24"/>
        </w:rPr>
        <w:tab/>
      </w:r>
      <w:r w:rsidR="00F62937" w:rsidRPr="006A39BB">
        <w:rPr>
          <w:noProof/>
          <w:szCs w:val="24"/>
        </w:rPr>
        <w:t>an alternative investment fund (AIF) managed by an AIFM as defined in Article</w:t>
      </w:r>
      <w:r w:rsidR="00692A24">
        <w:rPr>
          <w:noProof/>
          <w:szCs w:val="24"/>
        </w:rPr>
        <w:t> </w:t>
      </w:r>
      <w:r w:rsidR="00F62937" w:rsidRPr="006A39BB">
        <w:rPr>
          <w:noProof/>
          <w:szCs w:val="24"/>
        </w:rPr>
        <w:t>4(1), point (b), of Directive 2011/61/EU or an AIF supervised under the applicable national law;</w:t>
      </w:r>
    </w:p>
    <w:p w14:paraId="5887865E" w14:textId="77777777" w:rsidR="00F62937" w:rsidRPr="006A39BB" w:rsidRDefault="00B05ABB" w:rsidP="00964D3D">
      <w:pPr>
        <w:pStyle w:val="Tiret2"/>
        <w:rPr>
          <w:noProof/>
          <w:szCs w:val="24"/>
        </w:rPr>
      </w:pPr>
      <w:r w:rsidRPr="006A39BB">
        <w:rPr>
          <w:noProof/>
          <w:szCs w:val="24"/>
        </w:rPr>
        <w:t>(x)</w:t>
      </w:r>
      <w:r w:rsidRPr="006A39BB">
        <w:rPr>
          <w:noProof/>
          <w:szCs w:val="24"/>
        </w:rPr>
        <w:tab/>
        <w:t xml:space="preserve">a </w:t>
      </w:r>
      <w:r w:rsidR="00F62937" w:rsidRPr="006A39BB">
        <w:rPr>
          <w:noProof/>
          <w:szCs w:val="24"/>
        </w:rPr>
        <w:t xml:space="preserve">UCITS </w:t>
      </w:r>
      <w:r w:rsidRPr="006A39BB">
        <w:rPr>
          <w:noProof/>
          <w:szCs w:val="24"/>
        </w:rPr>
        <w:t>as defined in</w:t>
      </w:r>
      <w:r w:rsidR="00F62937" w:rsidRPr="006A39BB">
        <w:rPr>
          <w:noProof/>
          <w:szCs w:val="24"/>
        </w:rPr>
        <w:t xml:space="preserve"> Article 1(2) of Directive 2009/65/EC;</w:t>
      </w:r>
    </w:p>
    <w:p w14:paraId="623AB118" w14:textId="77777777" w:rsidR="00F62937" w:rsidRPr="006A39BB" w:rsidRDefault="00B05ABB" w:rsidP="00964D3D">
      <w:pPr>
        <w:pStyle w:val="Tiret2"/>
        <w:rPr>
          <w:noProof/>
          <w:szCs w:val="24"/>
        </w:rPr>
      </w:pPr>
      <w:r w:rsidRPr="006A39BB">
        <w:rPr>
          <w:noProof/>
          <w:szCs w:val="24"/>
        </w:rPr>
        <w:t>(xi)</w:t>
      </w:r>
      <w:r w:rsidRPr="006A39BB">
        <w:rPr>
          <w:noProof/>
          <w:szCs w:val="24"/>
        </w:rPr>
        <w:tab/>
      </w:r>
      <w:r w:rsidR="00F62937" w:rsidRPr="006A39BB">
        <w:rPr>
          <w:noProof/>
          <w:szCs w:val="24"/>
        </w:rPr>
        <w:t>a central counterparty as defined in Article 2, point (1), of Regulation (EU) No</w:t>
      </w:r>
      <w:r w:rsidR="003D2675">
        <w:rPr>
          <w:noProof/>
          <w:szCs w:val="24"/>
        </w:rPr>
        <w:t> </w:t>
      </w:r>
      <w:r w:rsidR="00F62937" w:rsidRPr="006A39BB">
        <w:rPr>
          <w:noProof/>
          <w:szCs w:val="24"/>
        </w:rPr>
        <w:t>648/2012 of the European Parliament and of the Council</w:t>
      </w:r>
      <w:r w:rsidR="00F62937" w:rsidRPr="006A39BB">
        <w:rPr>
          <w:rStyle w:val="FootnoteReference"/>
          <w:noProof/>
          <w:szCs w:val="24"/>
        </w:rPr>
        <w:footnoteReference w:id="43"/>
      </w:r>
      <w:r w:rsidR="00F62937" w:rsidRPr="006A39BB">
        <w:rPr>
          <w:noProof/>
          <w:szCs w:val="24"/>
        </w:rPr>
        <w:t>;</w:t>
      </w:r>
    </w:p>
    <w:p w14:paraId="00A8C39C" w14:textId="77777777" w:rsidR="00F62937" w:rsidRPr="006A39BB" w:rsidRDefault="00B05ABB" w:rsidP="00964D3D">
      <w:pPr>
        <w:pStyle w:val="Tiret2"/>
        <w:rPr>
          <w:noProof/>
          <w:szCs w:val="24"/>
        </w:rPr>
      </w:pPr>
      <w:r w:rsidRPr="006A39BB">
        <w:rPr>
          <w:noProof/>
          <w:szCs w:val="24"/>
        </w:rPr>
        <w:t>(xii)</w:t>
      </w:r>
      <w:r w:rsidRPr="006A39BB">
        <w:rPr>
          <w:noProof/>
          <w:szCs w:val="24"/>
        </w:rPr>
        <w:tab/>
      </w:r>
      <w:r w:rsidR="00F62937" w:rsidRPr="006A39BB">
        <w:rPr>
          <w:noProof/>
          <w:szCs w:val="24"/>
        </w:rPr>
        <w:t>a central securities depository as defined in Article 2(1), point (1), of Regulation (EU) No 909/2014 of the European Parliament and of the Council</w:t>
      </w:r>
      <w:r w:rsidR="00F62937" w:rsidRPr="006A39BB">
        <w:rPr>
          <w:rStyle w:val="FootnoteReference"/>
          <w:noProof/>
          <w:szCs w:val="24"/>
        </w:rPr>
        <w:footnoteReference w:id="44"/>
      </w:r>
      <w:r w:rsidR="00F62937" w:rsidRPr="006A39BB">
        <w:rPr>
          <w:noProof/>
          <w:szCs w:val="24"/>
        </w:rPr>
        <w:t>;</w:t>
      </w:r>
    </w:p>
    <w:p w14:paraId="6564DBA3" w14:textId="77777777" w:rsidR="00F62937" w:rsidRPr="006A39BB" w:rsidRDefault="00B05ABB" w:rsidP="00964D3D">
      <w:pPr>
        <w:pStyle w:val="Tiret2"/>
        <w:rPr>
          <w:noProof/>
          <w:szCs w:val="24"/>
        </w:rPr>
      </w:pPr>
      <w:r w:rsidRPr="006A39BB">
        <w:rPr>
          <w:noProof/>
          <w:szCs w:val="24"/>
        </w:rPr>
        <w:t>(xiii)</w:t>
      </w:r>
      <w:r w:rsidRPr="006A39BB">
        <w:rPr>
          <w:noProof/>
          <w:szCs w:val="24"/>
        </w:rPr>
        <w:tab/>
      </w:r>
      <w:r w:rsidR="00F62937" w:rsidRPr="006A39BB">
        <w:rPr>
          <w:noProof/>
          <w:szCs w:val="24"/>
        </w:rPr>
        <w:t>an insurance or reinsurance special purpose vehicle authorised in accordance with Article 211 of Directive 2009/138/EC;</w:t>
      </w:r>
    </w:p>
    <w:p w14:paraId="694ADD3F" w14:textId="77777777" w:rsidR="00F62937" w:rsidRPr="006A39BB" w:rsidRDefault="00B05ABB" w:rsidP="00964D3D">
      <w:pPr>
        <w:pStyle w:val="Tiret2"/>
        <w:rPr>
          <w:noProof/>
          <w:szCs w:val="24"/>
        </w:rPr>
      </w:pPr>
      <w:r w:rsidRPr="006A39BB">
        <w:rPr>
          <w:noProof/>
          <w:szCs w:val="24"/>
        </w:rPr>
        <w:t>(xiv)</w:t>
      </w:r>
      <w:r w:rsidRPr="006A39BB">
        <w:rPr>
          <w:noProof/>
          <w:szCs w:val="24"/>
        </w:rPr>
        <w:tab/>
      </w:r>
      <w:r w:rsidR="00692A24">
        <w:rPr>
          <w:noProof/>
          <w:szCs w:val="24"/>
        </w:rPr>
        <w:t xml:space="preserve">a </w:t>
      </w:r>
      <w:r w:rsidR="00F62937" w:rsidRPr="006A39BB">
        <w:rPr>
          <w:noProof/>
          <w:szCs w:val="24"/>
        </w:rPr>
        <w:t>‘securitisation special purpose entity’ as defined in Article 2, point (2), of Regulation (EU) No 2017/2402 of the European Parliament and of the Council</w:t>
      </w:r>
      <w:r w:rsidR="00F62937" w:rsidRPr="006A39BB">
        <w:rPr>
          <w:rStyle w:val="FootnoteReference"/>
          <w:noProof/>
          <w:szCs w:val="24"/>
        </w:rPr>
        <w:footnoteReference w:id="45"/>
      </w:r>
      <w:r w:rsidR="00F62937" w:rsidRPr="006A39BB">
        <w:rPr>
          <w:noProof/>
          <w:szCs w:val="24"/>
        </w:rPr>
        <w:t>;</w:t>
      </w:r>
    </w:p>
    <w:p w14:paraId="7816A7CE" w14:textId="77777777" w:rsidR="00F62937" w:rsidRPr="006A39BB" w:rsidRDefault="00B05ABB" w:rsidP="00964D3D">
      <w:pPr>
        <w:pStyle w:val="Tiret2"/>
        <w:rPr>
          <w:noProof/>
          <w:szCs w:val="24"/>
        </w:rPr>
      </w:pPr>
      <w:r w:rsidRPr="006A39BB">
        <w:rPr>
          <w:noProof/>
          <w:szCs w:val="24"/>
        </w:rPr>
        <w:t>(xv)</w:t>
      </w:r>
      <w:r w:rsidRPr="006A39BB">
        <w:rPr>
          <w:noProof/>
          <w:szCs w:val="24"/>
        </w:rPr>
        <w:tab/>
      </w:r>
      <w:r w:rsidR="00F62937" w:rsidRPr="006A39BB">
        <w:rPr>
          <w:noProof/>
          <w:szCs w:val="24"/>
        </w:rPr>
        <w:t xml:space="preserve">an insurance holding company as defined in Article 212(1), point (f), of Directive 2009/138/EC or a mixed financial holding company as defined in Article 212(1), point (h), of Directive 2009/138/EC, which is part of an insurance group that is subject to supervision at the level of the group pursuant to Article 213 of that Directive and which is not exempted from group supervision pursuant to Article 214(2) of </w:t>
      </w:r>
      <w:r w:rsidR="00FC59F9">
        <w:rPr>
          <w:noProof/>
          <w:szCs w:val="24"/>
        </w:rPr>
        <w:t xml:space="preserve">that </w:t>
      </w:r>
      <w:r w:rsidR="00F62937" w:rsidRPr="006A39BB">
        <w:rPr>
          <w:noProof/>
          <w:szCs w:val="24"/>
        </w:rPr>
        <w:t>Directive;</w:t>
      </w:r>
    </w:p>
    <w:p w14:paraId="18307596" w14:textId="77777777" w:rsidR="00F62937" w:rsidRPr="006A39BB" w:rsidRDefault="00B05ABB" w:rsidP="00964D3D">
      <w:pPr>
        <w:pStyle w:val="Tiret2"/>
        <w:rPr>
          <w:noProof/>
          <w:szCs w:val="24"/>
        </w:rPr>
      </w:pPr>
      <w:r w:rsidRPr="006A39BB">
        <w:rPr>
          <w:noProof/>
          <w:szCs w:val="24"/>
        </w:rPr>
        <w:t>(xvi)</w:t>
      </w:r>
      <w:r w:rsidRPr="006A39BB">
        <w:rPr>
          <w:noProof/>
          <w:szCs w:val="24"/>
        </w:rPr>
        <w:tab/>
      </w:r>
      <w:r w:rsidR="00F62937" w:rsidRPr="006A39BB">
        <w:rPr>
          <w:noProof/>
          <w:szCs w:val="24"/>
        </w:rPr>
        <w:t>a payment institution as defined in Article 1(1)</w:t>
      </w:r>
      <w:r w:rsidRPr="006A39BB">
        <w:rPr>
          <w:noProof/>
          <w:szCs w:val="24"/>
        </w:rPr>
        <w:t>,</w:t>
      </w:r>
      <w:r w:rsidR="00F62937" w:rsidRPr="006A39BB">
        <w:rPr>
          <w:noProof/>
          <w:szCs w:val="24"/>
        </w:rPr>
        <w:t xml:space="preserve"> </w:t>
      </w:r>
      <w:r w:rsidRPr="006A39BB">
        <w:rPr>
          <w:noProof/>
          <w:szCs w:val="24"/>
        </w:rPr>
        <w:t xml:space="preserve">point (d), </w:t>
      </w:r>
      <w:r w:rsidR="00F62937" w:rsidRPr="006A39BB">
        <w:rPr>
          <w:noProof/>
          <w:szCs w:val="24"/>
        </w:rPr>
        <w:t>of Directive (EU) 2015/2366 of the European Parliament and of the Council</w:t>
      </w:r>
      <w:r w:rsidR="00F62937" w:rsidRPr="006A39BB">
        <w:rPr>
          <w:rStyle w:val="FootnoteReference"/>
          <w:noProof/>
          <w:szCs w:val="24"/>
        </w:rPr>
        <w:footnoteReference w:id="46"/>
      </w:r>
      <w:r w:rsidR="00F62937" w:rsidRPr="006A39BB">
        <w:rPr>
          <w:noProof/>
          <w:szCs w:val="24"/>
        </w:rPr>
        <w:t>;</w:t>
      </w:r>
    </w:p>
    <w:p w14:paraId="161BB6C3" w14:textId="77777777" w:rsidR="00F62937" w:rsidRPr="006A39BB" w:rsidRDefault="00B05ABB" w:rsidP="00964D3D">
      <w:pPr>
        <w:pStyle w:val="Tiret2"/>
        <w:rPr>
          <w:noProof/>
          <w:szCs w:val="24"/>
        </w:rPr>
      </w:pPr>
      <w:r w:rsidRPr="006A39BB">
        <w:rPr>
          <w:noProof/>
          <w:szCs w:val="24"/>
        </w:rPr>
        <w:t>(xvii)</w:t>
      </w:r>
      <w:r w:rsidRPr="006A39BB">
        <w:rPr>
          <w:noProof/>
          <w:szCs w:val="24"/>
        </w:rPr>
        <w:tab/>
      </w:r>
      <w:r w:rsidR="00F62937" w:rsidRPr="006A39BB">
        <w:rPr>
          <w:noProof/>
          <w:szCs w:val="24"/>
        </w:rPr>
        <w:t>an electronic money institution as defined in Article 2</w:t>
      </w:r>
      <w:r w:rsidRPr="006A39BB">
        <w:rPr>
          <w:noProof/>
          <w:szCs w:val="24"/>
        </w:rPr>
        <w:t>,</w:t>
      </w:r>
      <w:r w:rsidR="00F62937" w:rsidRPr="006A39BB">
        <w:rPr>
          <w:noProof/>
          <w:szCs w:val="24"/>
        </w:rPr>
        <w:t xml:space="preserve"> </w:t>
      </w:r>
      <w:r w:rsidRPr="006A39BB">
        <w:rPr>
          <w:noProof/>
          <w:szCs w:val="24"/>
        </w:rPr>
        <w:t xml:space="preserve">point (1), </w:t>
      </w:r>
      <w:r w:rsidR="00F62937" w:rsidRPr="006A39BB">
        <w:rPr>
          <w:noProof/>
          <w:szCs w:val="24"/>
        </w:rPr>
        <w:t>of Directive 2009/110/EC of the European Parliament and of the Council</w:t>
      </w:r>
      <w:r w:rsidR="00F62937" w:rsidRPr="006A39BB">
        <w:rPr>
          <w:rStyle w:val="FootnoteReference"/>
          <w:noProof/>
          <w:szCs w:val="24"/>
        </w:rPr>
        <w:footnoteReference w:id="47"/>
      </w:r>
      <w:r w:rsidR="00F62937" w:rsidRPr="006A39BB">
        <w:rPr>
          <w:noProof/>
          <w:szCs w:val="24"/>
        </w:rPr>
        <w:t>;</w:t>
      </w:r>
    </w:p>
    <w:p w14:paraId="403F2451" w14:textId="77777777" w:rsidR="00F62937" w:rsidRPr="006A39BB" w:rsidRDefault="00B05ABB" w:rsidP="00964D3D">
      <w:pPr>
        <w:pStyle w:val="Tiret2"/>
        <w:rPr>
          <w:noProof/>
          <w:szCs w:val="24"/>
        </w:rPr>
      </w:pPr>
      <w:r w:rsidRPr="006A39BB">
        <w:rPr>
          <w:noProof/>
          <w:szCs w:val="24"/>
        </w:rPr>
        <w:t>(xviii)</w:t>
      </w:r>
      <w:r w:rsidRPr="006A39BB">
        <w:rPr>
          <w:noProof/>
          <w:szCs w:val="24"/>
        </w:rPr>
        <w:tab/>
      </w:r>
      <w:r w:rsidR="00F62937" w:rsidRPr="006A39BB">
        <w:rPr>
          <w:noProof/>
          <w:szCs w:val="24"/>
        </w:rPr>
        <w:t xml:space="preserve">a crowdfunding service provider as defined </w:t>
      </w:r>
      <w:r w:rsidR="003D2675">
        <w:rPr>
          <w:noProof/>
          <w:szCs w:val="24"/>
        </w:rPr>
        <w:t xml:space="preserve">in </w:t>
      </w:r>
      <w:r w:rsidR="00F62937" w:rsidRPr="006A39BB">
        <w:rPr>
          <w:noProof/>
          <w:szCs w:val="24"/>
        </w:rPr>
        <w:t>Article 2(1)</w:t>
      </w:r>
      <w:r w:rsidR="003D2675">
        <w:rPr>
          <w:noProof/>
          <w:szCs w:val="24"/>
        </w:rPr>
        <w:t>,</w:t>
      </w:r>
      <w:r w:rsidR="003D2675" w:rsidRPr="006A39BB">
        <w:rPr>
          <w:noProof/>
          <w:szCs w:val="24"/>
        </w:rPr>
        <w:t xml:space="preserve"> point (e)</w:t>
      </w:r>
      <w:r w:rsidR="003D2675">
        <w:rPr>
          <w:noProof/>
          <w:szCs w:val="24"/>
        </w:rPr>
        <w:t>,</w:t>
      </w:r>
      <w:r w:rsidR="003D2675" w:rsidRPr="006A39BB">
        <w:rPr>
          <w:noProof/>
          <w:szCs w:val="24"/>
        </w:rPr>
        <w:t xml:space="preserve"> </w:t>
      </w:r>
      <w:r w:rsidR="00F62937" w:rsidRPr="006A39BB">
        <w:rPr>
          <w:noProof/>
          <w:szCs w:val="24"/>
        </w:rPr>
        <w:t>of Regulation (EU) 2020/1503 of the European Parliament and of the Council</w:t>
      </w:r>
      <w:r w:rsidR="00F62937" w:rsidRPr="006A39BB">
        <w:rPr>
          <w:rStyle w:val="FootnoteReference"/>
          <w:noProof/>
          <w:szCs w:val="24"/>
        </w:rPr>
        <w:footnoteReference w:id="48"/>
      </w:r>
      <w:r w:rsidR="00F62937" w:rsidRPr="006A39BB">
        <w:rPr>
          <w:noProof/>
          <w:szCs w:val="24"/>
        </w:rPr>
        <w:t>;</w:t>
      </w:r>
    </w:p>
    <w:p w14:paraId="51610A39" w14:textId="77777777" w:rsidR="00F62937" w:rsidRPr="006A39BB" w:rsidRDefault="00B05ABB" w:rsidP="00964D3D">
      <w:pPr>
        <w:pStyle w:val="Tiret2"/>
        <w:rPr>
          <w:noProof/>
          <w:szCs w:val="24"/>
        </w:rPr>
      </w:pPr>
      <w:r w:rsidRPr="006A39BB">
        <w:rPr>
          <w:noProof/>
          <w:szCs w:val="24"/>
        </w:rPr>
        <w:t>(xix)</w:t>
      </w:r>
      <w:r w:rsidRPr="006A39BB">
        <w:rPr>
          <w:noProof/>
          <w:szCs w:val="24"/>
        </w:rPr>
        <w:tab/>
      </w:r>
      <w:r w:rsidR="00F62937" w:rsidRPr="006A39BB">
        <w:rPr>
          <w:noProof/>
          <w:szCs w:val="24"/>
        </w:rPr>
        <w:t>a crypto-asset service provider as defined in Article 3(1), point (8), of [the proposal for a Regulation of the European Parliament and of the Council on Markets in Crypto-assets</w:t>
      </w:r>
      <w:r w:rsidR="00F62937" w:rsidRPr="006A39BB">
        <w:rPr>
          <w:rStyle w:val="FootnoteReference"/>
          <w:noProof/>
          <w:szCs w:val="24"/>
        </w:rPr>
        <w:footnoteReference w:id="49"/>
      </w:r>
      <w:r w:rsidR="00F62937" w:rsidRPr="006A39BB">
        <w:rPr>
          <w:noProof/>
          <w:szCs w:val="24"/>
        </w:rPr>
        <w:t xml:space="preserve">] where performing one or more crypto-asset services as defined in Article 3(1), point (9), of [the proposal for a Regulation of the European Parliament and of the Council on Markets in Crypto-assets]; </w:t>
      </w:r>
    </w:p>
    <w:p w14:paraId="12D1FB89" w14:textId="77777777" w:rsidR="00125A7D" w:rsidRPr="006A39BB" w:rsidRDefault="00B05ABB" w:rsidP="00964D3D">
      <w:pPr>
        <w:pStyle w:val="Tiret2"/>
        <w:rPr>
          <w:noProof/>
          <w:szCs w:val="24"/>
        </w:rPr>
      </w:pPr>
      <w:r w:rsidRPr="006A39BB">
        <w:rPr>
          <w:noProof/>
          <w:szCs w:val="24"/>
        </w:rPr>
        <w:t>(xx)</w:t>
      </w:r>
      <w:r w:rsidRPr="006A39BB">
        <w:rPr>
          <w:noProof/>
          <w:szCs w:val="24"/>
        </w:rPr>
        <w:tab/>
      </w:r>
      <w:r w:rsidR="00CE7DC5" w:rsidRPr="006A39BB">
        <w:rPr>
          <w:noProof/>
          <w:szCs w:val="24"/>
        </w:rPr>
        <w:t xml:space="preserve">a </w:t>
      </w:r>
      <w:r w:rsidR="00125A7D" w:rsidRPr="006A39BB">
        <w:rPr>
          <w:noProof/>
          <w:szCs w:val="24"/>
        </w:rPr>
        <w:t>trade repository as defined in Article 2, point (2), of Regulation (EU) No</w:t>
      </w:r>
      <w:r w:rsidR="003D2675">
        <w:rPr>
          <w:noProof/>
          <w:szCs w:val="24"/>
        </w:rPr>
        <w:t> </w:t>
      </w:r>
      <w:r w:rsidR="00125A7D" w:rsidRPr="006A39BB">
        <w:rPr>
          <w:noProof/>
          <w:szCs w:val="24"/>
        </w:rPr>
        <w:t>648/2012;</w:t>
      </w:r>
    </w:p>
    <w:p w14:paraId="1CAB6D8B" w14:textId="77777777" w:rsidR="00125A7D" w:rsidRPr="006A39BB" w:rsidRDefault="00B05ABB" w:rsidP="00964D3D">
      <w:pPr>
        <w:pStyle w:val="Tiret2"/>
        <w:rPr>
          <w:noProof/>
          <w:szCs w:val="24"/>
        </w:rPr>
      </w:pPr>
      <w:r w:rsidRPr="006A39BB">
        <w:rPr>
          <w:noProof/>
          <w:szCs w:val="24"/>
        </w:rPr>
        <w:t>(xxi)</w:t>
      </w:r>
      <w:r w:rsidRPr="006A39BB">
        <w:rPr>
          <w:noProof/>
          <w:szCs w:val="24"/>
        </w:rPr>
        <w:tab/>
      </w:r>
      <w:r w:rsidR="00CE7DC5" w:rsidRPr="006A39BB">
        <w:rPr>
          <w:noProof/>
          <w:szCs w:val="24"/>
        </w:rPr>
        <w:t xml:space="preserve">a </w:t>
      </w:r>
      <w:r w:rsidR="00125A7D" w:rsidRPr="006A39BB">
        <w:rPr>
          <w:noProof/>
          <w:szCs w:val="24"/>
        </w:rPr>
        <w:t>securitisation repository as defined in Article 2, point (23), of Regulation (EU) 2017/2402</w:t>
      </w:r>
      <w:r w:rsidR="00CE7DC5" w:rsidRPr="006A39BB">
        <w:rPr>
          <w:noProof/>
          <w:szCs w:val="24"/>
        </w:rPr>
        <w:t>;</w:t>
      </w:r>
    </w:p>
    <w:p w14:paraId="77963EDD" w14:textId="53B8191F" w:rsidR="00125A7D" w:rsidRPr="006A39BB" w:rsidRDefault="00B05ABB" w:rsidP="00964D3D">
      <w:pPr>
        <w:pStyle w:val="Tiret2"/>
        <w:rPr>
          <w:noProof/>
          <w:szCs w:val="24"/>
        </w:rPr>
      </w:pPr>
      <w:r w:rsidRPr="006A39BB">
        <w:rPr>
          <w:noProof/>
          <w:szCs w:val="24"/>
        </w:rPr>
        <w:t>(xxii)</w:t>
      </w:r>
      <w:r w:rsidRPr="006A39BB">
        <w:rPr>
          <w:noProof/>
          <w:szCs w:val="24"/>
        </w:rPr>
        <w:tab/>
      </w:r>
      <w:r w:rsidR="00CE7DC5" w:rsidRPr="006A39BB">
        <w:rPr>
          <w:noProof/>
          <w:szCs w:val="24"/>
        </w:rPr>
        <w:t xml:space="preserve">an </w:t>
      </w:r>
      <w:r w:rsidR="00125A7D" w:rsidRPr="006A39BB">
        <w:rPr>
          <w:noProof/>
          <w:szCs w:val="24"/>
        </w:rPr>
        <w:t>administrator of benchmarks as defined in Article 3(1), point (</w:t>
      </w:r>
      <w:r w:rsidR="00F9181C">
        <w:rPr>
          <w:noProof/>
          <w:szCs w:val="24"/>
        </w:rPr>
        <w:t>3</w:t>
      </w:r>
      <w:r w:rsidR="00125A7D" w:rsidRPr="006A39BB">
        <w:rPr>
          <w:noProof/>
          <w:szCs w:val="24"/>
        </w:rPr>
        <w:t>), of Regulation (EU) 2016/1011</w:t>
      </w:r>
      <w:r w:rsidR="006A39BB" w:rsidRPr="006A39BB">
        <w:rPr>
          <w:noProof/>
          <w:szCs w:val="24"/>
        </w:rPr>
        <w:t xml:space="preserve"> of the European Parliament and of the Council</w:t>
      </w:r>
      <w:r w:rsidR="00F250BA" w:rsidRPr="006A39BB">
        <w:rPr>
          <w:rStyle w:val="FootnoteReference"/>
          <w:noProof/>
          <w:szCs w:val="24"/>
        </w:rPr>
        <w:footnoteReference w:id="50"/>
      </w:r>
      <w:r w:rsidR="00CE7DC5" w:rsidRPr="006A39BB">
        <w:rPr>
          <w:noProof/>
          <w:szCs w:val="24"/>
        </w:rPr>
        <w:t xml:space="preserve"> </w:t>
      </w:r>
      <w:r w:rsidR="00125A7D" w:rsidRPr="006A39BB">
        <w:rPr>
          <w:noProof/>
          <w:szCs w:val="24"/>
        </w:rPr>
        <w:t>;</w:t>
      </w:r>
    </w:p>
    <w:p w14:paraId="59F6AE87" w14:textId="77777777" w:rsidR="00125A7D" w:rsidRPr="006A39BB" w:rsidRDefault="00B05ABB" w:rsidP="00964D3D">
      <w:pPr>
        <w:pStyle w:val="Tiret2"/>
        <w:rPr>
          <w:noProof/>
          <w:szCs w:val="24"/>
        </w:rPr>
      </w:pPr>
      <w:r w:rsidRPr="006A39BB">
        <w:rPr>
          <w:noProof/>
          <w:szCs w:val="24"/>
        </w:rPr>
        <w:t>(xxiii)</w:t>
      </w:r>
      <w:r w:rsidRPr="006A39BB">
        <w:rPr>
          <w:noProof/>
          <w:szCs w:val="24"/>
        </w:rPr>
        <w:tab/>
      </w:r>
      <w:r w:rsidR="00CE7DC5" w:rsidRPr="006A39BB">
        <w:rPr>
          <w:noProof/>
          <w:szCs w:val="24"/>
        </w:rPr>
        <w:t xml:space="preserve">a </w:t>
      </w:r>
      <w:r w:rsidR="00125A7D" w:rsidRPr="006A39BB">
        <w:rPr>
          <w:noProof/>
          <w:szCs w:val="24"/>
        </w:rPr>
        <w:t>credit rating agency as defined in Article 3(1), point (b), of Regulation (EC) No 1060/2009;</w:t>
      </w:r>
    </w:p>
    <w:p w14:paraId="67924FD3" w14:textId="3A1F5549" w:rsidR="5AC2D6E5" w:rsidRPr="006A39BB" w:rsidRDefault="002A7F8C" w:rsidP="002A7F8C">
      <w:pPr>
        <w:pStyle w:val="Point1"/>
        <w:rPr>
          <w:noProof/>
        </w:rPr>
      </w:pPr>
      <w:r w:rsidRPr="002A7F8C">
        <w:rPr>
          <w:noProof/>
        </w:rPr>
        <w:t>(6)</w:t>
      </w:r>
      <w:r w:rsidRPr="002A7F8C">
        <w:rPr>
          <w:noProof/>
        </w:rPr>
        <w:tab/>
      </w:r>
      <w:r w:rsidR="6CE74522" w:rsidRPr="006A39BB">
        <w:rPr>
          <w:noProof/>
        </w:rPr>
        <w:t>‘</w:t>
      </w:r>
      <w:r w:rsidR="35074E8D" w:rsidRPr="006A39BB">
        <w:rPr>
          <w:noProof/>
        </w:rPr>
        <w:t>r</w:t>
      </w:r>
      <w:r w:rsidR="6CE74522" w:rsidRPr="006A39BB">
        <w:rPr>
          <w:noProof/>
        </w:rPr>
        <w:t xml:space="preserve">ating analyst’ </w:t>
      </w:r>
      <w:r w:rsidR="4B7F4E50" w:rsidRPr="006A39BB">
        <w:rPr>
          <w:noProof/>
        </w:rPr>
        <w:t xml:space="preserve">means a person who performs analytical functions </w:t>
      </w:r>
      <w:r w:rsidR="00BE77DD" w:rsidRPr="006A39BB">
        <w:rPr>
          <w:noProof/>
        </w:rPr>
        <w:t xml:space="preserve">for the purpose of </w:t>
      </w:r>
      <w:r w:rsidR="4B7F4E50" w:rsidRPr="006A39BB">
        <w:rPr>
          <w:noProof/>
        </w:rPr>
        <w:t>issuing ESG rating</w:t>
      </w:r>
      <w:r w:rsidR="00BE77DD" w:rsidRPr="006A39BB">
        <w:rPr>
          <w:noProof/>
        </w:rPr>
        <w:t>s</w:t>
      </w:r>
      <w:r w:rsidR="4B7F4E50" w:rsidRPr="006A39BB">
        <w:rPr>
          <w:noProof/>
        </w:rPr>
        <w:t>;</w:t>
      </w:r>
    </w:p>
    <w:p w14:paraId="730D493C" w14:textId="117B169E" w:rsidR="5AC2D6E5" w:rsidRPr="006A39BB" w:rsidRDefault="002A7F8C" w:rsidP="002A7F8C">
      <w:pPr>
        <w:pStyle w:val="Point1"/>
        <w:rPr>
          <w:noProof/>
        </w:rPr>
      </w:pPr>
      <w:r w:rsidRPr="002A7F8C">
        <w:rPr>
          <w:noProof/>
        </w:rPr>
        <w:t>(7)</w:t>
      </w:r>
      <w:r w:rsidRPr="002A7F8C">
        <w:rPr>
          <w:noProof/>
        </w:rPr>
        <w:tab/>
      </w:r>
      <w:r w:rsidR="6CE74522" w:rsidRPr="006A39BB">
        <w:rPr>
          <w:noProof/>
        </w:rPr>
        <w:t>‘</w:t>
      </w:r>
      <w:r w:rsidR="35074E8D" w:rsidRPr="006A39BB">
        <w:rPr>
          <w:noProof/>
        </w:rPr>
        <w:t>r</w:t>
      </w:r>
      <w:r w:rsidR="6CE74522" w:rsidRPr="006A39BB">
        <w:rPr>
          <w:noProof/>
        </w:rPr>
        <w:t xml:space="preserve">ated entity’ </w:t>
      </w:r>
      <w:r w:rsidR="3FDC403E" w:rsidRPr="006A39BB">
        <w:rPr>
          <w:noProof/>
        </w:rPr>
        <w:t>means a legal person</w:t>
      </w:r>
      <w:r w:rsidR="00EC40FE" w:rsidRPr="006A39BB">
        <w:rPr>
          <w:noProof/>
        </w:rPr>
        <w:t>, a financial instrument</w:t>
      </w:r>
      <w:r w:rsidR="005E2782">
        <w:rPr>
          <w:noProof/>
        </w:rPr>
        <w:t>,</w:t>
      </w:r>
      <w:r w:rsidR="00EC40FE" w:rsidRPr="006A39BB">
        <w:rPr>
          <w:noProof/>
        </w:rPr>
        <w:t xml:space="preserve"> a financial product </w:t>
      </w:r>
      <w:r w:rsidR="005E2782">
        <w:rPr>
          <w:noProof/>
        </w:rPr>
        <w:t xml:space="preserve">or </w:t>
      </w:r>
      <w:r w:rsidR="00353CBA">
        <w:rPr>
          <w:noProof/>
        </w:rPr>
        <w:t xml:space="preserve">a public authority or a body governed by public law </w:t>
      </w:r>
      <w:r w:rsidR="00EC40FE" w:rsidRPr="006A39BB">
        <w:rPr>
          <w:noProof/>
        </w:rPr>
        <w:t>which</w:t>
      </w:r>
      <w:r w:rsidR="3FDC403E" w:rsidRPr="006A39BB">
        <w:rPr>
          <w:noProof/>
        </w:rPr>
        <w:t xml:space="preserve"> is explicitly or implicitly rated in the ESG rating</w:t>
      </w:r>
      <w:r w:rsidR="002A7B92" w:rsidRPr="006A39BB">
        <w:rPr>
          <w:noProof/>
        </w:rPr>
        <w:t xml:space="preserve"> or score</w:t>
      </w:r>
      <w:r w:rsidR="3FDC403E" w:rsidRPr="006A39BB">
        <w:rPr>
          <w:noProof/>
        </w:rPr>
        <w:t xml:space="preserve">, </w:t>
      </w:r>
      <w:r w:rsidR="00FC59F9">
        <w:rPr>
          <w:noProof/>
        </w:rPr>
        <w:t>irrespective of whether such rating has been requested for</w:t>
      </w:r>
      <w:r w:rsidR="3FDC403E" w:rsidRPr="006A39BB">
        <w:rPr>
          <w:noProof/>
        </w:rPr>
        <w:t xml:space="preserve"> and </w:t>
      </w:r>
      <w:r w:rsidR="00FC59F9">
        <w:rPr>
          <w:noProof/>
        </w:rPr>
        <w:t xml:space="preserve">irrespective of </w:t>
      </w:r>
      <w:r w:rsidR="3FDC403E" w:rsidRPr="006A39BB">
        <w:rPr>
          <w:noProof/>
        </w:rPr>
        <w:t xml:space="preserve">whether </w:t>
      </w:r>
      <w:r w:rsidR="00FC59F9">
        <w:rPr>
          <w:noProof/>
        </w:rPr>
        <w:t>the legal person</w:t>
      </w:r>
      <w:r w:rsidR="3FDC403E" w:rsidRPr="006A39BB">
        <w:rPr>
          <w:noProof/>
        </w:rPr>
        <w:t xml:space="preserve"> has provided information for that ESG rating</w:t>
      </w:r>
      <w:r w:rsidR="002A7B92" w:rsidRPr="006A39BB">
        <w:rPr>
          <w:noProof/>
        </w:rPr>
        <w:t xml:space="preserve"> or score</w:t>
      </w:r>
      <w:r w:rsidR="3FDC403E" w:rsidRPr="006A39BB">
        <w:rPr>
          <w:noProof/>
        </w:rPr>
        <w:t>;</w:t>
      </w:r>
    </w:p>
    <w:p w14:paraId="5FBF7F1A" w14:textId="01E035C2" w:rsidR="007F5CA4" w:rsidRPr="006A39BB" w:rsidRDefault="002A7F8C" w:rsidP="002A7F8C">
      <w:pPr>
        <w:pStyle w:val="Point1"/>
        <w:rPr>
          <w:noProof/>
        </w:rPr>
      </w:pPr>
      <w:r w:rsidRPr="002A7F8C">
        <w:rPr>
          <w:noProof/>
        </w:rPr>
        <w:t>(8)</w:t>
      </w:r>
      <w:r w:rsidRPr="002A7F8C">
        <w:rPr>
          <w:noProof/>
        </w:rPr>
        <w:tab/>
      </w:r>
      <w:r w:rsidR="00FC59F9">
        <w:rPr>
          <w:noProof/>
        </w:rPr>
        <w:t>‘</w:t>
      </w:r>
      <w:r w:rsidR="007F5CA4" w:rsidRPr="006A39BB">
        <w:rPr>
          <w:noProof/>
        </w:rPr>
        <w:t>user</w:t>
      </w:r>
      <w:r w:rsidR="00FC59F9">
        <w:rPr>
          <w:noProof/>
        </w:rPr>
        <w:t>’</w:t>
      </w:r>
      <w:r w:rsidR="007F5CA4" w:rsidRPr="006A39BB">
        <w:rPr>
          <w:noProof/>
        </w:rPr>
        <w:t xml:space="preserve"> means a natural or legal person, including a public authority or a body governed by public law, </w:t>
      </w:r>
      <w:r w:rsidR="00260760" w:rsidRPr="006A39BB">
        <w:rPr>
          <w:noProof/>
        </w:rPr>
        <w:t xml:space="preserve">to which </w:t>
      </w:r>
      <w:r w:rsidR="007F5CA4" w:rsidRPr="006A39BB">
        <w:rPr>
          <w:noProof/>
        </w:rPr>
        <w:t xml:space="preserve">an ESG rating </w:t>
      </w:r>
      <w:r w:rsidR="00260760" w:rsidRPr="006A39BB">
        <w:rPr>
          <w:noProof/>
        </w:rPr>
        <w:t xml:space="preserve">is </w:t>
      </w:r>
      <w:r w:rsidR="00FC59F9">
        <w:rPr>
          <w:noProof/>
        </w:rPr>
        <w:t>provided</w:t>
      </w:r>
      <w:r w:rsidR="007F5CA4" w:rsidRPr="006A39BB">
        <w:rPr>
          <w:noProof/>
        </w:rPr>
        <w:t>;</w:t>
      </w:r>
    </w:p>
    <w:p w14:paraId="507BEF79" w14:textId="336341CD" w:rsidR="0069451A" w:rsidRPr="006A39BB" w:rsidRDefault="002A7F8C" w:rsidP="002A7F8C">
      <w:pPr>
        <w:pStyle w:val="Point1"/>
        <w:rPr>
          <w:noProof/>
        </w:rPr>
      </w:pPr>
      <w:r w:rsidRPr="002A7F8C">
        <w:rPr>
          <w:noProof/>
        </w:rPr>
        <w:t>(9)</w:t>
      </w:r>
      <w:r w:rsidRPr="002A7F8C">
        <w:rPr>
          <w:noProof/>
        </w:rPr>
        <w:tab/>
      </w:r>
      <w:r w:rsidR="2BB4EE1E" w:rsidRPr="006A39BB">
        <w:rPr>
          <w:noProof/>
        </w:rPr>
        <w:t>‘competent authorities’</w:t>
      </w:r>
      <w:r w:rsidR="3286D8FA" w:rsidRPr="006A39BB">
        <w:rPr>
          <w:noProof/>
        </w:rPr>
        <w:t xml:space="preserve"> means the authorities designated by each Member State </w:t>
      </w:r>
      <w:r w:rsidR="2FA1D15F" w:rsidRPr="006A39BB">
        <w:rPr>
          <w:noProof/>
        </w:rPr>
        <w:t>for the purposes of this Regulation</w:t>
      </w:r>
      <w:r w:rsidR="3286D8FA" w:rsidRPr="006A39BB">
        <w:rPr>
          <w:noProof/>
        </w:rPr>
        <w:t>;</w:t>
      </w:r>
    </w:p>
    <w:p w14:paraId="3D9EC56E" w14:textId="4C996277" w:rsidR="00B05481" w:rsidRPr="006A39BB" w:rsidRDefault="002A7F8C" w:rsidP="002A7F8C">
      <w:pPr>
        <w:pStyle w:val="Point1"/>
        <w:rPr>
          <w:noProof/>
        </w:rPr>
      </w:pPr>
      <w:r w:rsidRPr="002A7F8C">
        <w:rPr>
          <w:noProof/>
        </w:rPr>
        <w:t>(10)</w:t>
      </w:r>
      <w:r w:rsidRPr="002A7F8C">
        <w:rPr>
          <w:noProof/>
        </w:rPr>
        <w:tab/>
      </w:r>
      <w:r w:rsidR="00B05481" w:rsidRPr="006A39BB">
        <w:rPr>
          <w:noProof/>
        </w:rPr>
        <w:t xml:space="preserve">‘senior management’ means the person or persons who effectively direct the business of the ESG rating provider and the member or members of </w:t>
      </w:r>
      <w:r w:rsidR="00FC59F9">
        <w:rPr>
          <w:noProof/>
        </w:rPr>
        <w:t>the ESG rating provider’s</w:t>
      </w:r>
      <w:r w:rsidR="00B05481" w:rsidRPr="006A39BB">
        <w:rPr>
          <w:noProof/>
        </w:rPr>
        <w:t xml:space="preserve"> administrative or supervisory board.</w:t>
      </w:r>
    </w:p>
    <w:p w14:paraId="0F08E9F3" w14:textId="58082C53" w:rsidR="00BA3786" w:rsidRPr="006A39BB" w:rsidRDefault="002A7F8C" w:rsidP="002A7F8C">
      <w:pPr>
        <w:pStyle w:val="Point1"/>
        <w:rPr>
          <w:noProof/>
        </w:rPr>
      </w:pPr>
      <w:r w:rsidRPr="002A7F8C">
        <w:rPr>
          <w:noProof/>
        </w:rPr>
        <w:t>(11)</w:t>
      </w:r>
      <w:r w:rsidRPr="002A7F8C">
        <w:rPr>
          <w:noProof/>
        </w:rPr>
        <w:tab/>
      </w:r>
      <w:r w:rsidR="00F05853" w:rsidRPr="006A39BB">
        <w:rPr>
          <w:noProof/>
        </w:rPr>
        <w:t xml:space="preserve">‘group of ESG rating </w:t>
      </w:r>
      <w:r w:rsidR="00FD6FD9" w:rsidRPr="006A39BB">
        <w:rPr>
          <w:noProof/>
        </w:rPr>
        <w:t>providers'</w:t>
      </w:r>
      <w:r w:rsidR="00F05853" w:rsidRPr="006A39BB">
        <w:rPr>
          <w:noProof/>
        </w:rPr>
        <w:t xml:space="preserve"> means a group of undertakings established in the Union consisting of a parent undertaking and its subsidiaries within the meaning of Article 2 of Directive </w:t>
      </w:r>
      <w:r w:rsidR="004B6768" w:rsidRPr="006A39BB">
        <w:rPr>
          <w:noProof/>
        </w:rPr>
        <w:t>2013/34/EU</w:t>
      </w:r>
      <w:r w:rsidR="003D2675">
        <w:rPr>
          <w:noProof/>
        </w:rPr>
        <w:t>, and</w:t>
      </w:r>
      <w:r w:rsidR="00F05853" w:rsidRPr="006A39BB">
        <w:rPr>
          <w:noProof/>
        </w:rPr>
        <w:t xml:space="preserve"> undertakings linked to each other by a relationship and whose occupation includes the </w:t>
      </w:r>
      <w:r w:rsidR="00AA1194" w:rsidRPr="006A39BB">
        <w:rPr>
          <w:noProof/>
        </w:rPr>
        <w:t>provision of ESG</w:t>
      </w:r>
      <w:r w:rsidR="00F05853" w:rsidRPr="006A39BB">
        <w:rPr>
          <w:noProof/>
        </w:rPr>
        <w:t xml:space="preserve"> ratings</w:t>
      </w:r>
      <w:r w:rsidR="00971821" w:rsidRPr="006A39BB">
        <w:rPr>
          <w:noProof/>
        </w:rPr>
        <w:t>.</w:t>
      </w:r>
    </w:p>
    <w:p w14:paraId="6403D2B6" w14:textId="77777777" w:rsidR="00587167" w:rsidRPr="006A39BB" w:rsidRDefault="00587167" w:rsidP="005F2D3A">
      <w:pPr>
        <w:shd w:val="clear" w:color="auto" w:fill="FFFFFF" w:themeFill="background1"/>
        <w:spacing w:before="360" w:line="23" w:lineRule="atLeast"/>
        <w:jc w:val="center"/>
        <w:rPr>
          <w:rFonts w:eastAsia="Times New Roman"/>
          <w:noProof/>
          <w:color w:val="333333"/>
          <w:szCs w:val="24"/>
          <w:lang w:eastAsia="en-IE"/>
        </w:rPr>
      </w:pPr>
      <w:r w:rsidRPr="006A39BB">
        <w:rPr>
          <w:rFonts w:eastAsia="Times New Roman"/>
          <w:noProof/>
          <w:color w:val="333333"/>
          <w:szCs w:val="24"/>
          <w:lang w:eastAsia="en-IE"/>
        </w:rPr>
        <w:t>TITLE II</w:t>
      </w:r>
    </w:p>
    <w:p w14:paraId="01B77C3E" w14:textId="77777777" w:rsidR="00870D89" w:rsidRPr="00B73B86" w:rsidRDefault="00870D89" w:rsidP="00EC435D">
      <w:pPr>
        <w:pStyle w:val="ChapterTitle"/>
        <w:spacing w:after="120" w:line="23" w:lineRule="atLeast"/>
        <w:rPr>
          <w:rStyle w:val="boldface"/>
          <w:caps/>
          <w:noProof/>
          <w:sz w:val="24"/>
          <w:szCs w:val="24"/>
        </w:rPr>
      </w:pPr>
      <w:r w:rsidRPr="00B73B86">
        <w:rPr>
          <w:rStyle w:val="boldface"/>
          <w:caps/>
          <w:noProof/>
          <w:sz w:val="24"/>
          <w:szCs w:val="24"/>
        </w:rPr>
        <w:t>Provision of ESG ratings in the Union</w:t>
      </w:r>
    </w:p>
    <w:p w14:paraId="77260E1E" w14:textId="77777777" w:rsidR="00870D89" w:rsidRPr="00674E7A" w:rsidRDefault="00870D89" w:rsidP="00674E7A">
      <w:pPr>
        <w:pStyle w:val="Titrearticle"/>
        <w:spacing w:line="23" w:lineRule="atLeast"/>
        <w:rPr>
          <w:noProof/>
          <w:szCs w:val="24"/>
        </w:rPr>
      </w:pPr>
      <w:r w:rsidRPr="00674E7A">
        <w:rPr>
          <w:noProof/>
          <w:szCs w:val="24"/>
        </w:rPr>
        <w:t>Article 4</w:t>
      </w:r>
    </w:p>
    <w:p w14:paraId="09F88C91" w14:textId="77777777" w:rsidR="00AE01DA" w:rsidRPr="00674E7A" w:rsidRDefault="00AE01DA" w:rsidP="00674E7A">
      <w:pPr>
        <w:pStyle w:val="NormalCentered"/>
        <w:rPr>
          <w:b/>
          <w:bCs/>
          <w:noProof/>
        </w:rPr>
      </w:pPr>
      <w:r w:rsidRPr="00674E7A">
        <w:rPr>
          <w:b/>
          <w:bCs/>
          <w:noProof/>
          <w:lang w:eastAsia="en-IE"/>
        </w:rPr>
        <w:t>Requirements to provide ESG ratings in the Union</w:t>
      </w:r>
    </w:p>
    <w:p w14:paraId="1F353DDE" w14:textId="77777777" w:rsidR="00AE01DA" w:rsidRPr="006A39BB" w:rsidRDefault="004354D0" w:rsidP="00674EB9">
      <w:pPr>
        <w:rPr>
          <w:noProof/>
        </w:rPr>
      </w:pPr>
      <w:r w:rsidRPr="006A39BB">
        <w:rPr>
          <w:noProof/>
        </w:rPr>
        <w:t>Any legal person</w:t>
      </w:r>
      <w:r w:rsidR="00AE01DA" w:rsidRPr="006A39BB">
        <w:rPr>
          <w:noProof/>
        </w:rPr>
        <w:t xml:space="preserve"> who wishes to provide ESG ratings in the Union shall be subject to either of the following:</w:t>
      </w:r>
    </w:p>
    <w:p w14:paraId="5893210C" w14:textId="30D43529" w:rsidR="00AE01DA" w:rsidRPr="006A39BB" w:rsidRDefault="002A7F8C" w:rsidP="002A7F8C">
      <w:pPr>
        <w:pStyle w:val="Point1"/>
        <w:rPr>
          <w:noProof/>
        </w:rPr>
      </w:pPr>
      <w:r w:rsidRPr="002A7F8C">
        <w:rPr>
          <w:noProof/>
        </w:rPr>
        <w:t>(a)</w:t>
      </w:r>
      <w:r w:rsidRPr="002A7F8C">
        <w:rPr>
          <w:noProof/>
        </w:rPr>
        <w:tab/>
      </w:r>
      <w:r w:rsidR="00AE01DA" w:rsidRPr="006A39BB">
        <w:rPr>
          <w:noProof/>
        </w:rPr>
        <w:t xml:space="preserve">an authorisation issued by ESMA as referred to in Article </w:t>
      </w:r>
      <w:r w:rsidR="00947B6B" w:rsidRPr="006A39BB">
        <w:rPr>
          <w:noProof/>
        </w:rPr>
        <w:t>5</w:t>
      </w:r>
      <w:r w:rsidR="00AE01DA" w:rsidRPr="006A39BB">
        <w:rPr>
          <w:noProof/>
        </w:rPr>
        <w:t>;</w:t>
      </w:r>
    </w:p>
    <w:p w14:paraId="1F67BA6E" w14:textId="301F0374" w:rsidR="00AE01DA" w:rsidRPr="006A39BB" w:rsidRDefault="002A7F8C" w:rsidP="002A7F8C">
      <w:pPr>
        <w:pStyle w:val="Point1"/>
        <w:rPr>
          <w:noProof/>
        </w:rPr>
      </w:pPr>
      <w:r w:rsidRPr="002A7F8C">
        <w:rPr>
          <w:noProof/>
        </w:rPr>
        <w:t>(b)</w:t>
      </w:r>
      <w:r w:rsidRPr="002A7F8C">
        <w:rPr>
          <w:noProof/>
        </w:rPr>
        <w:tab/>
      </w:r>
      <w:r w:rsidR="00AE01DA" w:rsidRPr="006A39BB">
        <w:rPr>
          <w:noProof/>
        </w:rPr>
        <w:t>a</w:t>
      </w:r>
      <w:r w:rsidR="00FC59F9">
        <w:rPr>
          <w:noProof/>
        </w:rPr>
        <w:t>n</w:t>
      </w:r>
      <w:r w:rsidR="00AE01DA" w:rsidRPr="006A39BB">
        <w:rPr>
          <w:noProof/>
        </w:rPr>
        <w:t xml:space="preserve"> implementing decision as referred to in Article </w:t>
      </w:r>
      <w:r w:rsidR="00612505" w:rsidRPr="006A39BB">
        <w:rPr>
          <w:noProof/>
        </w:rPr>
        <w:t>9</w:t>
      </w:r>
      <w:r w:rsidR="00AE01DA" w:rsidRPr="006A39BB">
        <w:rPr>
          <w:noProof/>
        </w:rPr>
        <w:t>;</w:t>
      </w:r>
    </w:p>
    <w:p w14:paraId="6967C51B" w14:textId="1FF25E79" w:rsidR="00AE01DA" w:rsidRPr="006A39BB" w:rsidRDefault="002A7F8C" w:rsidP="002A7F8C">
      <w:pPr>
        <w:pStyle w:val="Point1"/>
        <w:rPr>
          <w:noProof/>
        </w:rPr>
      </w:pPr>
      <w:r w:rsidRPr="002A7F8C">
        <w:rPr>
          <w:noProof/>
        </w:rPr>
        <w:t>(c)</w:t>
      </w:r>
      <w:r w:rsidRPr="002A7F8C">
        <w:rPr>
          <w:noProof/>
        </w:rPr>
        <w:tab/>
      </w:r>
      <w:r w:rsidR="00AE01DA" w:rsidRPr="006A39BB">
        <w:rPr>
          <w:noProof/>
        </w:rPr>
        <w:t xml:space="preserve">an authorisation for endorsement as referred to in Article </w:t>
      </w:r>
      <w:r w:rsidR="0001147B" w:rsidRPr="006A39BB">
        <w:rPr>
          <w:noProof/>
        </w:rPr>
        <w:t>10</w:t>
      </w:r>
      <w:r w:rsidR="00AE01DA" w:rsidRPr="006A39BB">
        <w:rPr>
          <w:noProof/>
        </w:rPr>
        <w:t>.</w:t>
      </w:r>
    </w:p>
    <w:p w14:paraId="4D019106" w14:textId="430B34B8" w:rsidR="00AE01DA" w:rsidRPr="006A39BB" w:rsidRDefault="002A7F8C" w:rsidP="002A7F8C">
      <w:pPr>
        <w:pStyle w:val="Point1"/>
        <w:rPr>
          <w:noProof/>
        </w:rPr>
      </w:pPr>
      <w:r w:rsidRPr="002A7F8C">
        <w:rPr>
          <w:noProof/>
        </w:rPr>
        <w:t>(d)</w:t>
      </w:r>
      <w:r w:rsidRPr="002A7F8C">
        <w:rPr>
          <w:noProof/>
        </w:rPr>
        <w:tab/>
      </w:r>
      <w:r w:rsidR="00AE01DA" w:rsidRPr="006A39BB">
        <w:rPr>
          <w:noProof/>
        </w:rPr>
        <w:t xml:space="preserve">a recognition as referred to in Article </w:t>
      </w:r>
      <w:r w:rsidR="00612505" w:rsidRPr="006A39BB">
        <w:rPr>
          <w:noProof/>
        </w:rPr>
        <w:t>11</w:t>
      </w:r>
      <w:r w:rsidR="00AE01DA" w:rsidRPr="006A39BB">
        <w:rPr>
          <w:noProof/>
        </w:rPr>
        <w:t>;</w:t>
      </w:r>
    </w:p>
    <w:p w14:paraId="50256274" w14:textId="77777777" w:rsidR="00E33B03" w:rsidRPr="00B73B86" w:rsidRDefault="00B73B86" w:rsidP="00674E7A">
      <w:pPr>
        <w:pStyle w:val="NormalCentered"/>
        <w:rPr>
          <w:i/>
          <w:iCs/>
          <w:noProof/>
        </w:rPr>
      </w:pPr>
      <w:r w:rsidRPr="00764546">
        <w:rPr>
          <w:noProof/>
        </w:rPr>
        <w:t>CHAPTER 1</w:t>
      </w:r>
    </w:p>
    <w:p w14:paraId="453EDCB9" w14:textId="77777777" w:rsidR="00E33B03" w:rsidRPr="00674E7A" w:rsidRDefault="00517AFF" w:rsidP="00674E7A">
      <w:pPr>
        <w:pStyle w:val="NormalCentered"/>
        <w:rPr>
          <w:rStyle w:val="italics"/>
          <w:b/>
          <w:bCs/>
          <w:noProof/>
        </w:rPr>
      </w:pPr>
      <w:r w:rsidRPr="00674E7A">
        <w:rPr>
          <w:rStyle w:val="italics"/>
          <w:b/>
          <w:bCs/>
          <w:noProof/>
        </w:rPr>
        <w:t>Authorisation to provide ESG ratings in the Union</w:t>
      </w:r>
    </w:p>
    <w:p w14:paraId="17A68438" w14:textId="77777777" w:rsidR="00517AFF" w:rsidRPr="00751C65" w:rsidRDefault="00517AFF" w:rsidP="00751C65">
      <w:pPr>
        <w:pStyle w:val="Titrearticle"/>
        <w:spacing w:line="23" w:lineRule="atLeast"/>
        <w:rPr>
          <w:noProof/>
          <w:szCs w:val="24"/>
        </w:rPr>
      </w:pPr>
      <w:r w:rsidRPr="00751C65">
        <w:rPr>
          <w:noProof/>
          <w:szCs w:val="24"/>
        </w:rPr>
        <w:t xml:space="preserve">Article </w:t>
      </w:r>
      <w:r w:rsidR="001D730B" w:rsidRPr="00751C65">
        <w:rPr>
          <w:noProof/>
          <w:szCs w:val="24"/>
        </w:rPr>
        <w:t>5</w:t>
      </w:r>
    </w:p>
    <w:p w14:paraId="6A2B181B" w14:textId="77777777" w:rsidR="00517AFF" w:rsidRPr="00751C65" w:rsidRDefault="00517AFF" w:rsidP="00751C65">
      <w:pPr>
        <w:pStyle w:val="NormalCentered"/>
        <w:rPr>
          <w:b/>
          <w:bCs/>
          <w:noProof/>
          <w:lang w:eastAsia="en-IE"/>
        </w:rPr>
      </w:pPr>
      <w:r w:rsidRPr="00751C65">
        <w:rPr>
          <w:b/>
          <w:bCs/>
          <w:noProof/>
          <w:lang w:eastAsia="en-IE"/>
        </w:rPr>
        <w:t>Application for an authorisation to provide an ESG rating</w:t>
      </w:r>
    </w:p>
    <w:p w14:paraId="1248B3C1" w14:textId="6CA2F7D9" w:rsidR="00B04FB4" w:rsidRPr="00674EB9" w:rsidRDefault="002A7F8C" w:rsidP="002A7F8C">
      <w:pPr>
        <w:pStyle w:val="ManualNumPar1"/>
        <w:rPr>
          <w:noProof/>
        </w:rPr>
      </w:pPr>
      <w:r w:rsidRPr="002A7F8C">
        <w:rPr>
          <w:noProof/>
        </w:rPr>
        <w:t>1.</w:t>
      </w:r>
      <w:r w:rsidRPr="002A7F8C">
        <w:rPr>
          <w:noProof/>
        </w:rPr>
        <w:tab/>
      </w:r>
      <w:r w:rsidR="00B04FB4" w:rsidRPr="00674EB9">
        <w:rPr>
          <w:noProof/>
        </w:rPr>
        <w:t>Legal persons established in the Union that wish to provide ESG ratings</w:t>
      </w:r>
      <w:r w:rsidR="00B73B86" w:rsidRPr="00674EB9">
        <w:rPr>
          <w:noProof/>
        </w:rPr>
        <w:t xml:space="preserve"> in the Union</w:t>
      </w:r>
      <w:r w:rsidR="00B04FB4" w:rsidRPr="00674EB9">
        <w:rPr>
          <w:noProof/>
        </w:rPr>
        <w:t xml:space="preserve"> shall apply for authorisation to ESMA.</w:t>
      </w:r>
    </w:p>
    <w:p w14:paraId="0A24B4D4" w14:textId="4154C8AA" w:rsidR="0023336E" w:rsidRPr="00674EB9" w:rsidRDefault="002A7F8C" w:rsidP="002A7F8C">
      <w:pPr>
        <w:pStyle w:val="ManualNumPar1"/>
        <w:rPr>
          <w:noProof/>
        </w:rPr>
      </w:pPr>
      <w:r w:rsidRPr="002A7F8C">
        <w:rPr>
          <w:noProof/>
        </w:rPr>
        <w:t>2.</w:t>
      </w:r>
      <w:r w:rsidRPr="002A7F8C">
        <w:rPr>
          <w:noProof/>
        </w:rPr>
        <w:tab/>
      </w:r>
      <w:r w:rsidR="0062594D" w:rsidRPr="00674EB9">
        <w:rPr>
          <w:noProof/>
        </w:rPr>
        <w:t>The</w:t>
      </w:r>
      <w:r w:rsidR="00517AFF" w:rsidRPr="00674EB9">
        <w:rPr>
          <w:noProof/>
        </w:rPr>
        <w:t xml:space="preserve"> application for authorisation shall contain all of the information listed in Annex </w:t>
      </w:r>
      <w:r w:rsidR="00500B61" w:rsidRPr="00674EB9">
        <w:rPr>
          <w:noProof/>
        </w:rPr>
        <w:t>I</w:t>
      </w:r>
      <w:r w:rsidR="0023336E" w:rsidRPr="00674EB9">
        <w:rPr>
          <w:noProof/>
        </w:rPr>
        <w:t xml:space="preserve"> and shall be submitted in any of the official languages of the Union. </w:t>
      </w:r>
      <w:r w:rsidR="00B73B86" w:rsidRPr="00674EB9">
        <w:rPr>
          <w:noProof/>
        </w:rPr>
        <w:t xml:space="preserve">Council </w:t>
      </w:r>
      <w:r w:rsidR="0023336E" w:rsidRPr="00674EB9">
        <w:rPr>
          <w:noProof/>
        </w:rPr>
        <w:t>Regulation No 1</w:t>
      </w:r>
      <w:r w:rsidR="00B73B86" w:rsidRPr="00AB2B94">
        <w:rPr>
          <w:rStyle w:val="FootnoteReference"/>
          <w:noProof/>
        </w:rPr>
        <w:footnoteReference w:id="51"/>
      </w:r>
      <w:r w:rsidR="0023336E" w:rsidRPr="00674EB9">
        <w:rPr>
          <w:noProof/>
        </w:rPr>
        <w:t xml:space="preserve"> shall apply mutatis mutandis to any other communication between ESMA and the ESG rating providers and their staff.</w:t>
      </w:r>
    </w:p>
    <w:p w14:paraId="3D39E7F5" w14:textId="27213E03" w:rsidR="00517AFF" w:rsidRPr="006A39BB" w:rsidRDefault="002A7F8C" w:rsidP="002A7F8C">
      <w:pPr>
        <w:pStyle w:val="ManualNumPar1"/>
        <w:rPr>
          <w:noProof/>
        </w:rPr>
      </w:pPr>
      <w:r w:rsidRPr="002A7F8C">
        <w:rPr>
          <w:noProof/>
        </w:rPr>
        <w:t>3.</w:t>
      </w:r>
      <w:r w:rsidRPr="002A7F8C">
        <w:rPr>
          <w:noProof/>
        </w:rPr>
        <w:tab/>
      </w:r>
      <w:r w:rsidR="00517AFF" w:rsidRPr="006A39BB">
        <w:rPr>
          <w:noProof/>
        </w:rPr>
        <w:t xml:space="preserve">ESMA shall develop draft regulatory technical standards to specify further the information </w:t>
      </w:r>
      <w:r w:rsidR="00B73B86">
        <w:rPr>
          <w:noProof/>
        </w:rPr>
        <w:t>listed</w:t>
      </w:r>
      <w:r w:rsidR="00517AFF" w:rsidRPr="006A39BB">
        <w:rPr>
          <w:noProof/>
        </w:rPr>
        <w:t xml:space="preserve"> in </w:t>
      </w:r>
      <w:r w:rsidR="00087E64" w:rsidRPr="006A39BB">
        <w:rPr>
          <w:noProof/>
        </w:rPr>
        <w:t>Annex I</w:t>
      </w:r>
      <w:r w:rsidR="00517AFF" w:rsidRPr="006A39BB">
        <w:rPr>
          <w:noProof/>
        </w:rPr>
        <w:t>.</w:t>
      </w:r>
    </w:p>
    <w:p w14:paraId="71846BA8" w14:textId="77777777" w:rsidR="00517AFF" w:rsidRPr="006A39BB" w:rsidRDefault="00517AFF" w:rsidP="00674EB9">
      <w:pPr>
        <w:rPr>
          <w:noProof/>
        </w:rPr>
      </w:pPr>
      <w:r w:rsidRPr="006A39BB">
        <w:rPr>
          <w:noProof/>
        </w:rPr>
        <w:t>ESMA shall submit those draft regulatory technical standards to the Commission by XX XXXX XXXX.</w:t>
      </w:r>
    </w:p>
    <w:p w14:paraId="0022FB14" w14:textId="77777777" w:rsidR="00517AFF" w:rsidRPr="006A39BB" w:rsidRDefault="00517AFF" w:rsidP="00751C65">
      <w:pPr>
        <w:rPr>
          <w:noProof/>
        </w:rPr>
      </w:pPr>
      <w:r w:rsidRPr="006A39BB">
        <w:rPr>
          <w:noProof/>
        </w:rPr>
        <w:t>Power is delegated to the Commission to adopt the regulatory technical standards referred to in the first subparagraph in accordance with the procedure laid down in Articles 10 to 14 of Regulation (EU) No 1095/2010.</w:t>
      </w:r>
    </w:p>
    <w:p w14:paraId="5906E93C" w14:textId="20137FF9" w:rsidR="00517AFF" w:rsidRPr="00674EB9" w:rsidRDefault="002A7F8C" w:rsidP="002A7F8C">
      <w:pPr>
        <w:pStyle w:val="ManualNumPar1"/>
        <w:rPr>
          <w:noProof/>
        </w:rPr>
      </w:pPr>
      <w:r w:rsidRPr="002A7F8C">
        <w:rPr>
          <w:noProof/>
        </w:rPr>
        <w:t>4.</w:t>
      </w:r>
      <w:r w:rsidRPr="002A7F8C">
        <w:rPr>
          <w:noProof/>
        </w:rPr>
        <w:tab/>
      </w:r>
      <w:r w:rsidR="00517AFF" w:rsidRPr="00674EB9">
        <w:rPr>
          <w:noProof/>
        </w:rPr>
        <w:t>An authorised ESG rating provider shall comply with the conditions for initial authorisation</w:t>
      </w:r>
      <w:r w:rsidR="00B73B86" w:rsidRPr="00674EB9">
        <w:rPr>
          <w:noProof/>
        </w:rPr>
        <w:t xml:space="preserve"> at all times</w:t>
      </w:r>
      <w:r w:rsidR="00517AFF" w:rsidRPr="00674EB9">
        <w:rPr>
          <w:noProof/>
        </w:rPr>
        <w:t>.</w:t>
      </w:r>
    </w:p>
    <w:p w14:paraId="792E7AC3" w14:textId="0A19EFDC" w:rsidR="00517AFF" w:rsidRPr="006A39BB" w:rsidRDefault="002A7F8C" w:rsidP="002A7F8C">
      <w:pPr>
        <w:pStyle w:val="ManualNumPar1"/>
        <w:rPr>
          <w:noProof/>
        </w:rPr>
      </w:pPr>
      <w:r w:rsidRPr="002A7F8C">
        <w:rPr>
          <w:noProof/>
        </w:rPr>
        <w:t>5.</w:t>
      </w:r>
      <w:r w:rsidRPr="002A7F8C">
        <w:rPr>
          <w:noProof/>
        </w:rPr>
        <w:tab/>
      </w:r>
      <w:r w:rsidR="00517AFF" w:rsidRPr="006A39BB">
        <w:rPr>
          <w:noProof/>
        </w:rPr>
        <w:t>ESG rating providers shall notify ESMA of any material changes to the conditions for initial authorisation, including any opening or closing of a branch within the Union</w:t>
      </w:r>
      <w:r w:rsidR="009304ED" w:rsidRPr="006A39BB">
        <w:rPr>
          <w:noProof/>
        </w:rPr>
        <w:t>, without undue delay</w:t>
      </w:r>
      <w:r w:rsidR="00517AFF" w:rsidRPr="006A39BB">
        <w:rPr>
          <w:noProof/>
        </w:rPr>
        <w:t>.</w:t>
      </w:r>
    </w:p>
    <w:p w14:paraId="07287C83" w14:textId="77777777" w:rsidR="00517AFF" w:rsidRPr="00751C65" w:rsidRDefault="00517AFF" w:rsidP="00751C65">
      <w:pPr>
        <w:pStyle w:val="Titrearticle"/>
        <w:spacing w:line="23" w:lineRule="atLeast"/>
        <w:rPr>
          <w:noProof/>
          <w:szCs w:val="24"/>
        </w:rPr>
      </w:pPr>
      <w:r w:rsidRPr="00751C65">
        <w:rPr>
          <w:noProof/>
          <w:szCs w:val="24"/>
        </w:rPr>
        <w:t xml:space="preserve">Article </w:t>
      </w:r>
      <w:r w:rsidR="001D730B" w:rsidRPr="00751C65">
        <w:rPr>
          <w:noProof/>
          <w:szCs w:val="24"/>
        </w:rPr>
        <w:t>6</w:t>
      </w:r>
    </w:p>
    <w:p w14:paraId="373D4FD5" w14:textId="77777777" w:rsidR="00517AFF" w:rsidRPr="00751C65" w:rsidRDefault="00517AFF" w:rsidP="00751C65">
      <w:pPr>
        <w:pStyle w:val="NormalCentered"/>
        <w:rPr>
          <w:b/>
          <w:bCs/>
          <w:noProof/>
          <w:lang w:eastAsia="en-IE"/>
        </w:rPr>
      </w:pPr>
      <w:r w:rsidRPr="00751C65">
        <w:rPr>
          <w:b/>
          <w:bCs/>
          <w:noProof/>
          <w:lang w:eastAsia="en-IE"/>
        </w:rPr>
        <w:t>Examination of the application for authorisation of ESG rating providers by ESMA</w:t>
      </w:r>
    </w:p>
    <w:p w14:paraId="462C7898" w14:textId="1457DF30" w:rsidR="00861FBD" w:rsidRPr="00751C65" w:rsidRDefault="002A7F8C" w:rsidP="002A7F8C">
      <w:pPr>
        <w:pStyle w:val="ManualNumPar1"/>
        <w:rPr>
          <w:noProof/>
        </w:rPr>
      </w:pPr>
      <w:r w:rsidRPr="002A7F8C">
        <w:rPr>
          <w:noProof/>
        </w:rPr>
        <w:t>1.</w:t>
      </w:r>
      <w:r w:rsidRPr="002A7F8C">
        <w:rPr>
          <w:noProof/>
        </w:rPr>
        <w:tab/>
      </w:r>
      <w:r w:rsidR="00861FBD" w:rsidRPr="00751C65">
        <w:rPr>
          <w:noProof/>
        </w:rPr>
        <w:t>Within 30 working days of receipt of the application</w:t>
      </w:r>
      <w:r w:rsidR="009304ED" w:rsidRPr="00751C65">
        <w:rPr>
          <w:noProof/>
        </w:rPr>
        <w:t xml:space="preserve"> referred to in Article 5(2)</w:t>
      </w:r>
      <w:r w:rsidR="00861FBD" w:rsidRPr="00751C65">
        <w:rPr>
          <w:noProof/>
        </w:rPr>
        <w:t xml:space="preserve">, ESMA shall assess whether the application is complete. </w:t>
      </w:r>
      <w:r w:rsidR="009304ED" w:rsidRPr="00751C65">
        <w:rPr>
          <w:noProof/>
        </w:rPr>
        <w:t>Where</w:t>
      </w:r>
      <w:r w:rsidR="00861FBD" w:rsidRPr="00751C65">
        <w:rPr>
          <w:noProof/>
        </w:rPr>
        <w:t xml:space="preserve"> the application is not complete, ESMA shall set a deadline by which the </w:t>
      </w:r>
      <w:r w:rsidR="009304ED" w:rsidRPr="00751C65">
        <w:rPr>
          <w:noProof/>
        </w:rPr>
        <w:t>applicant</w:t>
      </w:r>
      <w:r w:rsidR="00861FBD" w:rsidRPr="00751C65">
        <w:rPr>
          <w:noProof/>
        </w:rPr>
        <w:t xml:space="preserve"> is to provide additional information.</w:t>
      </w:r>
    </w:p>
    <w:p w14:paraId="331B2D5F" w14:textId="77D07CFD" w:rsidR="00912237" w:rsidRPr="006A39BB" w:rsidRDefault="002A7F8C" w:rsidP="002A7F8C">
      <w:pPr>
        <w:pStyle w:val="ManualNumPar1"/>
        <w:rPr>
          <w:noProof/>
        </w:rPr>
      </w:pPr>
      <w:r w:rsidRPr="002A7F8C">
        <w:rPr>
          <w:noProof/>
        </w:rPr>
        <w:t>2.</w:t>
      </w:r>
      <w:r w:rsidRPr="002A7F8C">
        <w:rPr>
          <w:noProof/>
        </w:rPr>
        <w:tab/>
      </w:r>
      <w:r w:rsidR="00912237" w:rsidRPr="006A39BB">
        <w:rPr>
          <w:noProof/>
        </w:rPr>
        <w:t xml:space="preserve">After </w:t>
      </w:r>
      <w:r w:rsidR="009304ED">
        <w:rPr>
          <w:noProof/>
        </w:rPr>
        <w:t xml:space="preserve">having </w:t>
      </w:r>
      <w:r w:rsidR="00912237" w:rsidRPr="006A39BB">
        <w:rPr>
          <w:noProof/>
        </w:rPr>
        <w:t>assess</w:t>
      </w:r>
      <w:r w:rsidR="009304ED">
        <w:rPr>
          <w:noProof/>
        </w:rPr>
        <w:t>ed</w:t>
      </w:r>
      <w:r w:rsidR="00912237" w:rsidRPr="006A39BB">
        <w:rPr>
          <w:noProof/>
        </w:rPr>
        <w:t xml:space="preserve"> </w:t>
      </w:r>
      <w:r w:rsidR="009304ED">
        <w:rPr>
          <w:noProof/>
        </w:rPr>
        <w:t xml:space="preserve">whether </w:t>
      </w:r>
      <w:r w:rsidR="00912237" w:rsidRPr="006A39BB">
        <w:rPr>
          <w:noProof/>
        </w:rPr>
        <w:t xml:space="preserve">an application </w:t>
      </w:r>
      <w:r w:rsidR="009304ED">
        <w:rPr>
          <w:noProof/>
        </w:rPr>
        <w:t>is</w:t>
      </w:r>
      <w:r w:rsidR="00912237" w:rsidRPr="006A39BB">
        <w:rPr>
          <w:noProof/>
        </w:rPr>
        <w:t xml:space="preserve"> complete, ESMA shall notify the </w:t>
      </w:r>
      <w:r w:rsidR="009304ED">
        <w:rPr>
          <w:noProof/>
        </w:rPr>
        <w:t>applicant</w:t>
      </w:r>
      <w:r w:rsidR="00912237" w:rsidRPr="006A39BB">
        <w:rPr>
          <w:noProof/>
        </w:rPr>
        <w:t xml:space="preserve"> </w:t>
      </w:r>
      <w:r w:rsidR="009304ED">
        <w:rPr>
          <w:noProof/>
        </w:rPr>
        <w:t>of the result of that assessment</w:t>
      </w:r>
      <w:r w:rsidR="00912237" w:rsidRPr="006A39BB">
        <w:rPr>
          <w:noProof/>
        </w:rPr>
        <w:t>.</w:t>
      </w:r>
    </w:p>
    <w:p w14:paraId="34A85A4C" w14:textId="6C6CC4B8" w:rsidR="00A208A8" w:rsidRPr="006A39BB" w:rsidRDefault="002A7F8C" w:rsidP="002A7F8C">
      <w:pPr>
        <w:pStyle w:val="ManualNumPar1"/>
        <w:rPr>
          <w:noProof/>
        </w:rPr>
      </w:pPr>
      <w:r w:rsidRPr="002A7F8C">
        <w:rPr>
          <w:noProof/>
        </w:rPr>
        <w:t>3.</w:t>
      </w:r>
      <w:r w:rsidRPr="002A7F8C">
        <w:rPr>
          <w:noProof/>
        </w:rPr>
        <w:tab/>
      </w:r>
      <w:r w:rsidR="00A208A8" w:rsidRPr="006A39BB">
        <w:rPr>
          <w:noProof/>
        </w:rPr>
        <w:t>Within 120 working days of the notification referred to in paragraph 2, ESMA shall adopt a fully reasoned decision to authorise or refuse authorisation.</w:t>
      </w:r>
    </w:p>
    <w:p w14:paraId="399CE5B5" w14:textId="168E4EAB" w:rsidR="00517AFF" w:rsidRPr="006A39BB" w:rsidRDefault="002A7F8C" w:rsidP="002A7F8C">
      <w:pPr>
        <w:pStyle w:val="ManualNumPar1"/>
        <w:rPr>
          <w:noProof/>
        </w:rPr>
      </w:pPr>
      <w:r w:rsidRPr="002A7F8C">
        <w:rPr>
          <w:noProof/>
        </w:rPr>
        <w:t>4.</w:t>
      </w:r>
      <w:r w:rsidRPr="002A7F8C">
        <w:rPr>
          <w:noProof/>
        </w:rPr>
        <w:tab/>
      </w:r>
      <w:r w:rsidR="00517AFF" w:rsidRPr="006A39BB">
        <w:rPr>
          <w:noProof/>
        </w:rPr>
        <w:t xml:space="preserve">ESMA may extend the period </w:t>
      </w:r>
      <w:r w:rsidR="007A3193" w:rsidRPr="006A39BB">
        <w:rPr>
          <w:noProof/>
        </w:rPr>
        <w:t>referred to in the paragraph</w:t>
      </w:r>
      <w:r w:rsidR="004A52DF" w:rsidRPr="006A39BB">
        <w:rPr>
          <w:noProof/>
        </w:rPr>
        <w:t xml:space="preserve"> 3</w:t>
      </w:r>
      <w:r w:rsidR="007A3193" w:rsidRPr="006A39BB">
        <w:rPr>
          <w:noProof/>
        </w:rPr>
        <w:t xml:space="preserve"> to </w:t>
      </w:r>
      <w:r w:rsidR="00A208A8" w:rsidRPr="006A39BB">
        <w:rPr>
          <w:noProof/>
        </w:rPr>
        <w:t>140</w:t>
      </w:r>
      <w:r w:rsidR="00517AFF" w:rsidRPr="006A39BB">
        <w:rPr>
          <w:noProof/>
        </w:rPr>
        <w:t xml:space="preserve"> working days</w:t>
      </w:r>
      <w:r w:rsidR="005B7D5C">
        <w:rPr>
          <w:noProof/>
        </w:rPr>
        <w:t xml:space="preserve"> in particular</w:t>
      </w:r>
      <w:r w:rsidR="009B6C79" w:rsidRPr="006A39BB">
        <w:rPr>
          <w:noProof/>
        </w:rPr>
        <w:t xml:space="preserve"> </w:t>
      </w:r>
      <w:r w:rsidR="00517AFF" w:rsidRPr="006A39BB">
        <w:rPr>
          <w:noProof/>
        </w:rPr>
        <w:t xml:space="preserve"> </w:t>
      </w:r>
      <w:r w:rsidR="009304ED">
        <w:rPr>
          <w:noProof/>
        </w:rPr>
        <w:t>where</w:t>
      </w:r>
      <w:r w:rsidR="00517AFF" w:rsidRPr="006A39BB">
        <w:rPr>
          <w:noProof/>
        </w:rPr>
        <w:t xml:space="preserve"> the </w:t>
      </w:r>
      <w:r w:rsidR="009304ED">
        <w:rPr>
          <w:noProof/>
        </w:rPr>
        <w:t>applicant</w:t>
      </w:r>
      <w:r w:rsidR="00517AFF" w:rsidRPr="006A39BB">
        <w:rPr>
          <w:noProof/>
        </w:rPr>
        <w:t>:</w:t>
      </w:r>
    </w:p>
    <w:p w14:paraId="53253143" w14:textId="3D5C3C9E" w:rsidR="00517AFF" w:rsidRPr="006A39BB" w:rsidRDefault="002A7F8C" w:rsidP="002A7F8C">
      <w:pPr>
        <w:pStyle w:val="Point1"/>
        <w:rPr>
          <w:noProof/>
        </w:rPr>
      </w:pPr>
      <w:r w:rsidRPr="002A7F8C">
        <w:rPr>
          <w:noProof/>
        </w:rPr>
        <w:t>(a)</w:t>
      </w:r>
      <w:r w:rsidRPr="002A7F8C">
        <w:rPr>
          <w:noProof/>
        </w:rPr>
        <w:tab/>
      </w:r>
      <w:r w:rsidR="00517AFF" w:rsidRPr="006A39BB">
        <w:rPr>
          <w:noProof/>
        </w:rPr>
        <w:t xml:space="preserve">envisages endorsing ESG ratings as referred to in Article </w:t>
      </w:r>
      <w:r w:rsidR="0015522D" w:rsidRPr="006A39BB">
        <w:rPr>
          <w:noProof/>
        </w:rPr>
        <w:t>10</w:t>
      </w:r>
      <w:r w:rsidR="009304ED">
        <w:rPr>
          <w:noProof/>
        </w:rPr>
        <w:t>;</w:t>
      </w:r>
    </w:p>
    <w:p w14:paraId="54DFAF61" w14:textId="4C038042" w:rsidR="00517AFF" w:rsidRPr="006A39BB" w:rsidRDefault="002A7F8C" w:rsidP="002A7F8C">
      <w:pPr>
        <w:pStyle w:val="Point1"/>
        <w:rPr>
          <w:noProof/>
        </w:rPr>
      </w:pPr>
      <w:r w:rsidRPr="002A7F8C">
        <w:rPr>
          <w:noProof/>
        </w:rPr>
        <w:t>(b)</w:t>
      </w:r>
      <w:r w:rsidRPr="002A7F8C">
        <w:rPr>
          <w:noProof/>
        </w:rPr>
        <w:tab/>
      </w:r>
      <w:r w:rsidR="00517AFF" w:rsidRPr="006A39BB">
        <w:rPr>
          <w:noProof/>
        </w:rPr>
        <w:t>envisages using outsourcing;</w:t>
      </w:r>
      <w:r w:rsidR="006D15DF" w:rsidRPr="006A39BB">
        <w:rPr>
          <w:noProof/>
        </w:rPr>
        <w:t xml:space="preserve"> or</w:t>
      </w:r>
    </w:p>
    <w:p w14:paraId="2458067D" w14:textId="04FF2A39" w:rsidR="00517AFF" w:rsidRPr="006A39BB" w:rsidRDefault="002A7F8C" w:rsidP="002A7F8C">
      <w:pPr>
        <w:pStyle w:val="Point1"/>
        <w:rPr>
          <w:noProof/>
        </w:rPr>
      </w:pPr>
      <w:r w:rsidRPr="002A7F8C">
        <w:rPr>
          <w:noProof/>
        </w:rPr>
        <w:t>(c)</w:t>
      </w:r>
      <w:r w:rsidRPr="002A7F8C">
        <w:rPr>
          <w:noProof/>
        </w:rPr>
        <w:tab/>
      </w:r>
      <w:r w:rsidR="00517AFF" w:rsidRPr="006A39BB">
        <w:rPr>
          <w:noProof/>
        </w:rPr>
        <w:t xml:space="preserve">requests exemption from compliance in accordance with Article </w:t>
      </w:r>
      <w:r w:rsidR="0015522D" w:rsidRPr="006A39BB">
        <w:rPr>
          <w:noProof/>
        </w:rPr>
        <w:t>20</w:t>
      </w:r>
      <w:r w:rsidR="00517AFF" w:rsidRPr="006A39BB">
        <w:rPr>
          <w:noProof/>
        </w:rPr>
        <w:t>.</w:t>
      </w:r>
    </w:p>
    <w:p w14:paraId="5FFDB29D" w14:textId="48913085" w:rsidR="00517AFF" w:rsidRPr="006A39BB" w:rsidRDefault="002A7F8C" w:rsidP="002A7F8C">
      <w:pPr>
        <w:pStyle w:val="ManualNumPar1"/>
        <w:rPr>
          <w:rFonts w:eastAsia="Times New Roman"/>
          <w:bCs/>
          <w:noProof/>
          <w:color w:val="333333"/>
          <w:lang w:eastAsia="en-IE"/>
        </w:rPr>
      </w:pPr>
      <w:r w:rsidRPr="002A7F8C">
        <w:rPr>
          <w:noProof/>
        </w:rPr>
        <w:t>5.</w:t>
      </w:r>
      <w:r w:rsidRPr="002A7F8C">
        <w:rPr>
          <w:noProof/>
        </w:rPr>
        <w:tab/>
      </w:r>
      <w:r w:rsidR="00517AFF" w:rsidRPr="006A39BB">
        <w:rPr>
          <w:noProof/>
        </w:rPr>
        <w:t xml:space="preserve">The decision adopted by ESMA pursuant to paragraph </w:t>
      </w:r>
      <w:r w:rsidR="002156D7" w:rsidRPr="006A39BB">
        <w:rPr>
          <w:noProof/>
        </w:rPr>
        <w:t>3</w:t>
      </w:r>
      <w:r w:rsidR="00517AFF" w:rsidRPr="006A39BB">
        <w:rPr>
          <w:noProof/>
        </w:rPr>
        <w:t xml:space="preserve"> shall take effect on the fifth working day following its adoption.</w:t>
      </w:r>
    </w:p>
    <w:p w14:paraId="22BA1CA2" w14:textId="77777777" w:rsidR="00517AFF" w:rsidRPr="00751C65" w:rsidRDefault="00517AFF" w:rsidP="00751C65">
      <w:pPr>
        <w:pStyle w:val="Titrearticle"/>
        <w:spacing w:line="23" w:lineRule="atLeast"/>
        <w:rPr>
          <w:noProof/>
          <w:szCs w:val="24"/>
        </w:rPr>
      </w:pPr>
      <w:r w:rsidRPr="00751C65">
        <w:rPr>
          <w:noProof/>
          <w:szCs w:val="24"/>
        </w:rPr>
        <w:t xml:space="preserve">Article </w:t>
      </w:r>
      <w:r w:rsidR="001D730B" w:rsidRPr="00751C65">
        <w:rPr>
          <w:noProof/>
          <w:szCs w:val="24"/>
        </w:rPr>
        <w:t>7</w:t>
      </w:r>
    </w:p>
    <w:p w14:paraId="58E94665" w14:textId="77777777" w:rsidR="00517AFF" w:rsidRPr="00751C65" w:rsidRDefault="00B92BBA" w:rsidP="00751C65">
      <w:pPr>
        <w:pStyle w:val="NormalCentered"/>
        <w:rPr>
          <w:b/>
          <w:bCs/>
          <w:noProof/>
          <w:lang w:eastAsia="en-IE"/>
        </w:rPr>
      </w:pPr>
      <w:r w:rsidRPr="00751C65">
        <w:rPr>
          <w:b/>
          <w:bCs/>
          <w:noProof/>
          <w:lang w:eastAsia="en-IE"/>
        </w:rPr>
        <w:t>Decision to grant or to refuse the authorisation to provide ESG ratings and notification of that decision</w:t>
      </w:r>
    </w:p>
    <w:p w14:paraId="083E7ED7" w14:textId="53CBB2A4" w:rsidR="00B92BBA" w:rsidRPr="006A39BB" w:rsidRDefault="002A7F8C" w:rsidP="002A7F8C">
      <w:pPr>
        <w:pStyle w:val="ManualNumPar1"/>
        <w:rPr>
          <w:noProof/>
        </w:rPr>
      </w:pPr>
      <w:r w:rsidRPr="002A7F8C">
        <w:rPr>
          <w:noProof/>
        </w:rPr>
        <w:t>1.</w:t>
      </w:r>
      <w:r w:rsidRPr="002A7F8C">
        <w:rPr>
          <w:noProof/>
        </w:rPr>
        <w:tab/>
      </w:r>
      <w:r w:rsidR="00B92BBA" w:rsidRPr="006A39BB">
        <w:rPr>
          <w:noProof/>
        </w:rPr>
        <w:t xml:space="preserve">ESMA shall authorise the </w:t>
      </w:r>
      <w:r w:rsidR="009304ED">
        <w:rPr>
          <w:noProof/>
        </w:rPr>
        <w:t xml:space="preserve">applicant as </w:t>
      </w:r>
      <w:r w:rsidR="00B92BBA" w:rsidRPr="006A39BB">
        <w:rPr>
          <w:noProof/>
        </w:rPr>
        <w:t xml:space="preserve">ESG rating provider </w:t>
      </w:r>
      <w:r w:rsidR="00CC364B" w:rsidRPr="006A39BB">
        <w:rPr>
          <w:noProof/>
        </w:rPr>
        <w:t>where</w:t>
      </w:r>
      <w:r w:rsidR="00B92BBA" w:rsidRPr="006A39BB">
        <w:rPr>
          <w:noProof/>
        </w:rPr>
        <w:t xml:space="preserve"> it concludes from the examination of the application</w:t>
      </w:r>
      <w:r w:rsidR="00CC364B" w:rsidRPr="006A39BB">
        <w:rPr>
          <w:noProof/>
        </w:rPr>
        <w:t xml:space="preserve"> referred to in Article 6</w:t>
      </w:r>
      <w:r w:rsidR="00B92BBA" w:rsidRPr="006A39BB">
        <w:rPr>
          <w:noProof/>
        </w:rPr>
        <w:t xml:space="preserve"> that the </w:t>
      </w:r>
      <w:r w:rsidR="009304ED">
        <w:rPr>
          <w:noProof/>
        </w:rPr>
        <w:t>applicant</w:t>
      </w:r>
      <w:r w:rsidR="00B92BBA" w:rsidRPr="006A39BB">
        <w:rPr>
          <w:noProof/>
        </w:rPr>
        <w:t xml:space="preserve"> complies with the conditions for the provision of ratings set out in this Regulation.</w:t>
      </w:r>
    </w:p>
    <w:p w14:paraId="6094B207" w14:textId="0FB953AC" w:rsidR="00F616D9" w:rsidRPr="006A39BB" w:rsidRDefault="002A7F8C" w:rsidP="002A7F8C">
      <w:pPr>
        <w:pStyle w:val="ManualNumPar1"/>
        <w:rPr>
          <w:noProof/>
        </w:rPr>
      </w:pPr>
      <w:r w:rsidRPr="002A7F8C">
        <w:rPr>
          <w:noProof/>
        </w:rPr>
        <w:t>2.</w:t>
      </w:r>
      <w:r w:rsidRPr="002A7F8C">
        <w:rPr>
          <w:noProof/>
        </w:rPr>
        <w:tab/>
      </w:r>
      <w:r w:rsidR="00F616D9" w:rsidRPr="006A39BB">
        <w:rPr>
          <w:noProof/>
        </w:rPr>
        <w:t>ESMA shall inform the applicant within five working days of that decision</w:t>
      </w:r>
      <w:r w:rsidR="001325AA">
        <w:rPr>
          <w:noProof/>
        </w:rPr>
        <w:t xml:space="preserve"> referred to in the first paragraph</w:t>
      </w:r>
      <w:r w:rsidR="00F616D9" w:rsidRPr="006A39BB">
        <w:rPr>
          <w:noProof/>
        </w:rPr>
        <w:t>.</w:t>
      </w:r>
      <w:r w:rsidR="008737B5" w:rsidDel="008737B5">
        <w:rPr>
          <w:rStyle w:val="CommentReference"/>
          <w:noProof/>
        </w:rPr>
        <w:t xml:space="preserve"> </w:t>
      </w:r>
    </w:p>
    <w:p w14:paraId="437EB206" w14:textId="7AC26C15" w:rsidR="00517AFF" w:rsidRPr="006A39BB" w:rsidRDefault="002A7F8C" w:rsidP="002A7F8C">
      <w:pPr>
        <w:pStyle w:val="ManualNumPar1"/>
        <w:rPr>
          <w:noProof/>
        </w:rPr>
      </w:pPr>
      <w:r w:rsidRPr="002A7F8C">
        <w:rPr>
          <w:noProof/>
        </w:rPr>
        <w:t>3.</w:t>
      </w:r>
      <w:r w:rsidRPr="002A7F8C">
        <w:rPr>
          <w:noProof/>
        </w:rPr>
        <w:tab/>
      </w:r>
      <w:r w:rsidR="00517AFF" w:rsidRPr="006A39BB">
        <w:rPr>
          <w:noProof/>
        </w:rPr>
        <w:t xml:space="preserve">ESMA shall </w:t>
      </w:r>
      <w:r w:rsidR="009A105F" w:rsidRPr="006A39BB">
        <w:rPr>
          <w:noProof/>
        </w:rPr>
        <w:t>inform</w:t>
      </w:r>
      <w:r w:rsidR="00517AFF" w:rsidRPr="006A39BB">
        <w:rPr>
          <w:noProof/>
        </w:rPr>
        <w:t xml:space="preserve"> the Commission, </w:t>
      </w:r>
      <w:r w:rsidR="009A105F" w:rsidRPr="006A39BB">
        <w:rPr>
          <w:noProof/>
        </w:rPr>
        <w:t xml:space="preserve">the </w:t>
      </w:r>
      <w:r w:rsidR="00517AFF" w:rsidRPr="006A39BB">
        <w:rPr>
          <w:noProof/>
        </w:rPr>
        <w:t xml:space="preserve">EBA and EIOPA </w:t>
      </w:r>
      <w:r w:rsidR="009A105F" w:rsidRPr="006A39BB">
        <w:rPr>
          <w:noProof/>
        </w:rPr>
        <w:t xml:space="preserve">of </w:t>
      </w:r>
      <w:r w:rsidR="00517AFF" w:rsidRPr="006A39BB">
        <w:rPr>
          <w:noProof/>
        </w:rPr>
        <w:t xml:space="preserve">any decision </w:t>
      </w:r>
      <w:r w:rsidR="009A105F" w:rsidRPr="006A39BB">
        <w:rPr>
          <w:noProof/>
        </w:rPr>
        <w:t>taken pursuant to paragraph 2</w:t>
      </w:r>
      <w:r w:rsidR="00517AFF" w:rsidRPr="006A39BB">
        <w:rPr>
          <w:noProof/>
        </w:rPr>
        <w:t>.</w:t>
      </w:r>
    </w:p>
    <w:p w14:paraId="6E807734" w14:textId="51490E9D" w:rsidR="00F239C8" w:rsidRPr="006A39BB" w:rsidRDefault="002A7F8C" w:rsidP="002A7F8C">
      <w:pPr>
        <w:pStyle w:val="ManualNumPar1"/>
        <w:rPr>
          <w:noProof/>
        </w:rPr>
      </w:pPr>
      <w:r w:rsidRPr="002A7F8C">
        <w:rPr>
          <w:noProof/>
        </w:rPr>
        <w:t>4.</w:t>
      </w:r>
      <w:r w:rsidRPr="002A7F8C">
        <w:rPr>
          <w:noProof/>
        </w:rPr>
        <w:tab/>
      </w:r>
      <w:r w:rsidR="00F239C8" w:rsidRPr="006A39BB">
        <w:rPr>
          <w:noProof/>
        </w:rPr>
        <w:t>The authorisation shall be effective for the entire territory of the Union.</w:t>
      </w:r>
    </w:p>
    <w:p w14:paraId="5169FCBA" w14:textId="77777777" w:rsidR="00517AFF" w:rsidRPr="00751C65" w:rsidRDefault="00517AFF" w:rsidP="00751C65">
      <w:pPr>
        <w:pStyle w:val="Titrearticle"/>
        <w:spacing w:line="23" w:lineRule="atLeast"/>
        <w:rPr>
          <w:noProof/>
          <w:szCs w:val="24"/>
        </w:rPr>
      </w:pPr>
      <w:r w:rsidRPr="00751C65">
        <w:rPr>
          <w:noProof/>
          <w:szCs w:val="24"/>
        </w:rPr>
        <w:t xml:space="preserve">Article </w:t>
      </w:r>
      <w:r w:rsidR="001D730B" w:rsidRPr="00751C65">
        <w:rPr>
          <w:noProof/>
          <w:szCs w:val="24"/>
        </w:rPr>
        <w:t>8</w:t>
      </w:r>
    </w:p>
    <w:p w14:paraId="6A1148B4" w14:textId="77777777" w:rsidR="00517AFF" w:rsidRPr="00751C65" w:rsidRDefault="00517AFF" w:rsidP="00751C65">
      <w:pPr>
        <w:pStyle w:val="NormalCentered"/>
        <w:rPr>
          <w:b/>
          <w:bCs/>
          <w:noProof/>
          <w:lang w:eastAsia="en-IE"/>
        </w:rPr>
      </w:pPr>
      <w:r w:rsidRPr="00751C65">
        <w:rPr>
          <w:b/>
          <w:bCs/>
          <w:noProof/>
          <w:lang w:eastAsia="en-IE"/>
        </w:rPr>
        <w:t>Withdrawal or suspension of authorisation</w:t>
      </w:r>
    </w:p>
    <w:p w14:paraId="341F1921" w14:textId="26777ED2" w:rsidR="00517AFF" w:rsidRPr="00674EB9" w:rsidRDefault="002A7F8C" w:rsidP="002A7F8C">
      <w:pPr>
        <w:pStyle w:val="ManualNumPar1"/>
        <w:rPr>
          <w:noProof/>
        </w:rPr>
      </w:pPr>
      <w:r w:rsidRPr="002A7F8C">
        <w:rPr>
          <w:noProof/>
        </w:rPr>
        <w:t>1.</w:t>
      </w:r>
      <w:r w:rsidRPr="002A7F8C">
        <w:rPr>
          <w:noProof/>
        </w:rPr>
        <w:tab/>
      </w:r>
      <w:r w:rsidR="00517AFF" w:rsidRPr="00674EB9">
        <w:rPr>
          <w:noProof/>
        </w:rPr>
        <w:t>ESMA shall withdraw</w:t>
      </w:r>
      <w:r w:rsidR="0006664E" w:rsidRPr="00674EB9">
        <w:rPr>
          <w:noProof/>
        </w:rPr>
        <w:t xml:space="preserve"> or suspend</w:t>
      </w:r>
      <w:r w:rsidR="00517AFF" w:rsidRPr="00674EB9">
        <w:rPr>
          <w:noProof/>
        </w:rPr>
        <w:t xml:space="preserve"> the authorisation of </w:t>
      </w:r>
      <w:r w:rsidR="009304ED" w:rsidRPr="00674EB9">
        <w:rPr>
          <w:noProof/>
        </w:rPr>
        <w:t xml:space="preserve">an </w:t>
      </w:r>
      <w:r w:rsidR="00517AFF" w:rsidRPr="00674EB9">
        <w:rPr>
          <w:noProof/>
        </w:rPr>
        <w:t xml:space="preserve">ESG rating provider </w:t>
      </w:r>
      <w:r w:rsidR="004B74AC" w:rsidRPr="00674EB9">
        <w:rPr>
          <w:noProof/>
        </w:rPr>
        <w:t>in any of the following cases</w:t>
      </w:r>
      <w:r w:rsidR="00517AFF" w:rsidRPr="00674EB9">
        <w:rPr>
          <w:noProof/>
        </w:rPr>
        <w:t>:</w:t>
      </w:r>
    </w:p>
    <w:p w14:paraId="2813C482" w14:textId="6624A269" w:rsidR="00517AFF" w:rsidRPr="006A39BB" w:rsidRDefault="002A7F8C" w:rsidP="002A7F8C">
      <w:pPr>
        <w:pStyle w:val="Point1"/>
        <w:rPr>
          <w:noProof/>
        </w:rPr>
      </w:pPr>
      <w:r w:rsidRPr="002A7F8C">
        <w:rPr>
          <w:noProof/>
        </w:rPr>
        <w:t>(a)</w:t>
      </w:r>
      <w:r w:rsidRPr="002A7F8C">
        <w:rPr>
          <w:noProof/>
        </w:rPr>
        <w:tab/>
      </w:r>
      <w:r w:rsidR="004B74AC">
        <w:rPr>
          <w:noProof/>
        </w:rPr>
        <w:t xml:space="preserve">the </w:t>
      </w:r>
      <w:r w:rsidR="004B74AC" w:rsidRPr="006A39BB">
        <w:rPr>
          <w:noProof/>
        </w:rPr>
        <w:t>ESG rating provider</w:t>
      </w:r>
      <w:r w:rsidR="004B74AC">
        <w:rPr>
          <w:noProof/>
        </w:rPr>
        <w:t xml:space="preserve"> has </w:t>
      </w:r>
      <w:r w:rsidR="00517AFF" w:rsidRPr="006A39BB">
        <w:rPr>
          <w:noProof/>
        </w:rPr>
        <w:t>expressly renounce</w:t>
      </w:r>
      <w:r w:rsidR="004B74AC">
        <w:rPr>
          <w:noProof/>
        </w:rPr>
        <w:t>d</w:t>
      </w:r>
      <w:r w:rsidR="00517AFF" w:rsidRPr="006A39BB">
        <w:rPr>
          <w:noProof/>
        </w:rPr>
        <w:t xml:space="preserve"> the authorisation or has provided no ESG ratings for </w:t>
      </w:r>
      <w:r w:rsidR="004B74AC" w:rsidRPr="006A39BB">
        <w:rPr>
          <w:noProof/>
        </w:rPr>
        <w:t>nine months</w:t>
      </w:r>
      <w:r w:rsidR="00517AFF" w:rsidRPr="006A39BB">
        <w:rPr>
          <w:noProof/>
        </w:rPr>
        <w:t xml:space="preserve"> preceding </w:t>
      </w:r>
      <w:r w:rsidR="004B74AC">
        <w:rPr>
          <w:noProof/>
        </w:rPr>
        <w:t>that withdrawal or suspension</w:t>
      </w:r>
      <w:r w:rsidR="00517AFF" w:rsidRPr="006A39BB">
        <w:rPr>
          <w:noProof/>
        </w:rPr>
        <w:t>;</w:t>
      </w:r>
    </w:p>
    <w:p w14:paraId="19666793" w14:textId="2F86EC51" w:rsidR="00517AFF" w:rsidRPr="006A39BB" w:rsidRDefault="002A7F8C" w:rsidP="002A7F8C">
      <w:pPr>
        <w:pStyle w:val="Point1"/>
        <w:rPr>
          <w:noProof/>
        </w:rPr>
      </w:pPr>
      <w:r w:rsidRPr="002A7F8C">
        <w:rPr>
          <w:noProof/>
        </w:rPr>
        <w:t>(b)</w:t>
      </w:r>
      <w:r w:rsidRPr="002A7F8C">
        <w:rPr>
          <w:noProof/>
        </w:rPr>
        <w:tab/>
      </w:r>
      <w:r w:rsidR="004B74AC">
        <w:rPr>
          <w:noProof/>
        </w:rPr>
        <w:t xml:space="preserve">the </w:t>
      </w:r>
      <w:r w:rsidR="004B74AC" w:rsidRPr="006A39BB">
        <w:rPr>
          <w:noProof/>
        </w:rPr>
        <w:t>ESG rating provide</w:t>
      </w:r>
      <w:r w:rsidR="004B74AC">
        <w:rPr>
          <w:noProof/>
        </w:rPr>
        <w:t xml:space="preserve">r has </w:t>
      </w:r>
      <w:r w:rsidR="00517AFF" w:rsidRPr="006A39BB">
        <w:rPr>
          <w:noProof/>
        </w:rPr>
        <w:t xml:space="preserve">obtained </w:t>
      </w:r>
      <w:r w:rsidR="004B74AC">
        <w:rPr>
          <w:noProof/>
        </w:rPr>
        <w:t>its</w:t>
      </w:r>
      <w:r w:rsidR="00517AFF" w:rsidRPr="006A39BB">
        <w:rPr>
          <w:noProof/>
        </w:rPr>
        <w:t xml:space="preserve"> authorisation by making false statements or by any other irregular means;</w:t>
      </w:r>
    </w:p>
    <w:p w14:paraId="08A03CA9" w14:textId="59E489CA" w:rsidR="00517AFF" w:rsidRPr="006A39BB" w:rsidRDefault="002A7F8C" w:rsidP="002A7F8C">
      <w:pPr>
        <w:pStyle w:val="Point1"/>
        <w:rPr>
          <w:noProof/>
        </w:rPr>
      </w:pPr>
      <w:r w:rsidRPr="002A7F8C">
        <w:rPr>
          <w:noProof/>
        </w:rPr>
        <w:t>(c)</w:t>
      </w:r>
      <w:r w:rsidRPr="002A7F8C">
        <w:rPr>
          <w:noProof/>
        </w:rPr>
        <w:tab/>
      </w:r>
      <w:r w:rsidR="004B74AC">
        <w:rPr>
          <w:noProof/>
        </w:rPr>
        <w:t xml:space="preserve">the </w:t>
      </w:r>
      <w:r w:rsidR="004B74AC" w:rsidRPr="006A39BB">
        <w:rPr>
          <w:noProof/>
        </w:rPr>
        <w:t>ESG rating provider</w:t>
      </w:r>
      <w:r w:rsidR="004B74AC">
        <w:rPr>
          <w:noProof/>
        </w:rPr>
        <w:t xml:space="preserve"> </w:t>
      </w:r>
      <w:r w:rsidR="00517AFF" w:rsidRPr="006A39BB">
        <w:rPr>
          <w:noProof/>
        </w:rPr>
        <w:t>no longer meets the conditions under which it was authorised</w:t>
      </w:r>
      <w:r w:rsidR="004768C7" w:rsidRPr="006A39BB">
        <w:rPr>
          <w:noProof/>
        </w:rPr>
        <w:t>;</w:t>
      </w:r>
    </w:p>
    <w:p w14:paraId="0643D319" w14:textId="13706522" w:rsidR="00EC55C6" w:rsidRPr="006A39BB" w:rsidRDefault="002A7F8C" w:rsidP="002A7F8C">
      <w:pPr>
        <w:pStyle w:val="Point1"/>
        <w:rPr>
          <w:noProof/>
        </w:rPr>
      </w:pPr>
      <w:r w:rsidRPr="002A7F8C">
        <w:rPr>
          <w:noProof/>
        </w:rPr>
        <w:t>(d)</w:t>
      </w:r>
      <w:r w:rsidRPr="002A7F8C">
        <w:rPr>
          <w:noProof/>
        </w:rPr>
        <w:tab/>
      </w:r>
      <w:r w:rsidR="004B74AC">
        <w:rPr>
          <w:noProof/>
        </w:rPr>
        <w:t xml:space="preserve">the </w:t>
      </w:r>
      <w:r w:rsidR="004B74AC" w:rsidRPr="006A39BB">
        <w:rPr>
          <w:noProof/>
        </w:rPr>
        <w:t>ESG rating provider</w:t>
      </w:r>
      <w:r w:rsidR="004B74AC">
        <w:rPr>
          <w:noProof/>
        </w:rPr>
        <w:t xml:space="preserve"> </w:t>
      </w:r>
      <w:r w:rsidR="004768C7" w:rsidRPr="006A39BB">
        <w:rPr>
          <w:noProof/>
        </w:rPr>
        <w:t>has seriously or repeatedly infringed this Regulation.</w:t>
      </w:r>
    </w:p>
    <w:p w14:paraId="7306264B" w14:textId="4CC09712" w:rsidR="00517AFF" w:rsidRPr="006A39BB" w:rsidRDefault="002A7F8C" w:rsidP="002A7F8C">
      <w:pPr>
        <w:pStyle w:val="ManualNumPar1"/>
        <w:rPr>
          <w:noProof/>
        </w:rPr>
      </w:pPr>
      <w:r w:rsidRPr="002A7F8C">
        <w:rPr>
          <w:noProof/>
        </w:rPr>
        <w:t>2.</w:t>
      </w:r>
      <w:r w:rsidRPr="002A7F8C">
        <w:rPr>
          <w:noProof/>
        </w:rPr>
        <w:tab/>
      </w:r>
      <w:r w:rsidR="00517AFF" w:rsidRPr="006A39BB">
        <w:rPr>
          <w:noProof/>
        </w:rPr>
        <w:t xml:space="preserve">The decision on the withdrawal </w:t>
      </w:r>
      <w:r w:rsidR="004768C7" w:rsidRPr="006A39BB">
        <w:rPr>
          <w:noProof/>
        </w:rPr>
        <w:t xml:space="preserve">or suspension </w:t>
      </w:r>
      <w:r w:rsidR="00517AFF" w:rsidRPr="006A39BB">
        <w:rPr>
          <w:noProof/>
        </w:rPr>
        <w:t>of authorisation shall take immediate effect throughout the Union.</w:t>
      </w:r>
    </w:p>
    <w:p w14:paraId="4DF7FEA3" w14:textId="77777777" w:rsidR="008B1733" w:rsidRPr="00764546" w:rsidRDefault="004B74AC" w:rsidP="00751C65">
      <w:pPr>
        <w:pStyle w:val="NormalCentered"/>
        <w:rPr>
          <w:noProof/>
        </w:rPr>
      </w:pPr>
      <w:r w:rsidRPr="00764546">
        <w:rPr>
          <w:noProof/>
        </w:rPr>
        <w:t>CHAPTER 2</w:t>
      </w:r>
    </w:p>
    <w:p w14:paraId="3DF08290" w14:textId="77777777" w:rsidR="008B1733" w:rsidRPr="00751C65" w:rsidRDefault="008B1733" w:rsidP="00751C65">
      <w:pPr>
        <w:pStyle w:val="ChapterTitle"/>
        <w:spacing w:after="120" w:line="23" w:lineRule="atLeast"/>
        <w:rPr>
          <w:rStyle w:val="boldface"/>
          <w:noProof/>
          <w:sz w:val="24"/>
        </w:rPr>
      </w:pPr>
      <w:r w:rsidRPr="00751C65">
        <w:rPr>
          <w:rStyle w:val="boldface"/>
          <w:noProof/>
          <w:sz w:val="24"/>
        </w:rPr>
        <w:t>Provision of ESG ratings in the Union by third country ESG rating providers</w:t>
      </w:r>
    </w:p>
    <w:p w14:paraId="4ECDB5DD" w14:textId="77777777" w:rsidR="0013188C" w:rsidRPr="00751C65" w:rsidRDefault="0013188C" w:rsidP="00751C65">
      <w:pPr>
        <w:pStyle w:val="Titrearticle"/>
        <w:spacing w:line="23" w:lineRule="atLeast"/>
        <w:rPr>
          <w:noProof/>
          <w:szCs w:val="24"/>
        </w:rPr>
      </w:pPr>
      <w:r w:rsidRPr="00751C65">
        <w:rPr>
          <w:noProof/>
          <w:szCs w:val="24"/>
        </w:rPr>
        <w:t xml:space="preserve">Article </w:t>
      </w:r>
      <w:r w:rsidR="001D730B" w:rsidRPr="00751C65">
        <w:rPr>
          <w:noProof/>
          <w:szCs w:val="24"/>
        </w:rPr>
        <w:t>9</w:t>
      </w:r>
    </w:p>
    <w:p w14:paraId="44C6BA2C" w14:textId="77777777" w:rsidR="0013188C" w:rsidRPr="00751C65" w:rsidRDefault="0013188C" w:rsidP="00751C65">
      <w:pPr>
        <w:pStyle w:val="NormalCentered"/>
        <w:rPr>
          <w:b/>
          <w:bCs/>
          <w:noProof/>
          <w:lang w:eastAsia="en-IE"/>
        </w:rPr>
      </w:pPr>
      <w:r w:rsidRPr="00751C65">
        <w:rPr>
          <w:b/>
          <w:bCs/>
          <w:noProof/>
          <w:lang w:eastAsia="en-IE"/>
        </w:rPr>
        <w:t>Equivalence decision</w:t>
      </w:r>
    </w:p>
    <w:p w14:paraId="16E1107D" w14:textId="072C6237" w:rsidR="0013188C" w:rsidRDefault="002A7F8C" w:rsidP="002A7F8C">
      <w:pPr>
        <w:pStyle w:val="ManualNumPar1"/>
        <w:rPr>
          <w:noProof/>
        </w:rPr>
      </w:pPr>
      <w:r w:rsidRPr="002A7F8C">
        <w:rPr>
          <w:noProof/>
        </w:rPr>
        <w:t>1.</w:t>
      </w:r>
      <w:r w:rsidRPr="002A7F8C">
        <w:rPr>
          <w:noProof/>
        </w:rPr>
        <w:tab/>
      </w:r>
      <w:r w:rsidR="00B66F40">
        <w:rPr>
          <w:noProof/>
        </w:rPr>
        <w:t>A</w:t>
      </w:r>
      <w:r w:rsidR="00C95B7A">
        <w:rPr>
          <w:noProof/>
        </w:rPr>
        <w:t xml:space="preserve"> third country ESG rating provider </w:t>
      </w:r>
      <w:r w:rsidR="004B74AC">
        <w:rPr>
          <w:noProof/>
        </w:rPr>
        <w:t xml:space="preserve">that wishes to provide ESG ratings in the Union shall only be able to do so where </w:t>
      </w:r>
      <w:r w:rsidR="00EA0921">
        <w:rPr>
          <w:noProof/>
        </w:rPr>
        <w:t xml:space="preserve">it </w:t>
      </w:r>
      <w:r w:rsidR="00B4752E">
        <w:rPr>
          <w:noProof/>
        </w:rPr>
        <w:t xml:space="preserve">is included in the register referred to in Article 13 and provided that </w:t>
      </w:r>
      <w:r w:rsidR="004B74AC">
        <w:rPr>
          <w:noProof/>
        </w:rPr>
        <w:t>all of the following conditions have been complied with</w:t>
      </w:r>
      <w:r w:rsidR="0013188C" w:rsidRPr="006A39BB">
        <w:rPr>
          <w:noProof/>
        </w:rPr>
        <w:t>:</w:t>
      </w:r>
    </w:p>
    <w:p w14:paraId="53425178" w14:textId="1EA6FC5E" w:rsidR="00C95B7A" w:rsidRPr="00C95B7A" w:rsidRDefault="002A7F8C" w:rsidP="002A7F8C">
      <w:pPr>
        <w:pStyle w:val="Point1"/>
        <w:rPr>
          <w:noProof/>
        </w:rPr>
      </w:pPr>
      <w:r w:rsidRPr="002A7F8C">
        <w:rPr>
          <w:noProof/>
        </w:rPr>
        <w:t>(a)</w:t>
      </w:r>
      <w:r w:rsidRPr="002A7F8C">
        <w:rPr>
          <w:noProof/>
        </w:rPr>
        <w:tab/>
      </w:r>
      <w:r w:rsidR="00C95B7A">
        <w:rPr>
          <w:noProof/>
        </w:rPr>
        <w:t>th</w:t>
      </w:r>
      <w:r w:rsidR="00682574">
        <w:rPr>
          <w:noProof/>
        </w:rPr>
        <w:t>e</w:t>
      </w:r>
      <w:r w:rsidR="00C95B7A">
        <w:rPr>
          <w:noProof/>
        </w:rPr>
        <w:t xml:space="preserve"> third country ESG rating provider is a legal person</w:t>
      </w:r>
      <w:r w:rsidR="009459EC">
        <w:rPr>
          <w:noProof/>
        </w:rPr>
        <w:t xml:space="preserve">, </w:t>
      </w:r>
      <w:r w:rsidR="009459EC" w:rsidRPr="006A39BB">
        <w:rPr>
          <w:noProof/>
        </w:rPr>
        <w:t>is authorised or registered</w:t>
      </w:r>
      <w:r w:rsidR="009459EC">
        <w:rPr>
          <w:noProof/>
        </w:rPr>
        <w:t xml:space="preserve"> as an ESG rating provider </w:t>
      </w:r>
      <w:r w:rsidR="009459EC" w:rsidRPr="006A39BB">
        <w:rPr>
          <w:noProof/>
        </w:rPr>
        <w:t xml:space="preserve">in the third country </w:t>
      </w:r>
      <w:r w:rsidR="009459EC">
        <w:rPr>
          <w:noProof/>
        </w:rPr>
        <w:t>concerned</w:t>
      </w:r>
      <w:r w:rsidR="009459EC" w:rsidRPr="006A39BB">
        <w:rPr>
          <w:noProof/>
        </w:rPr>
        <w:t>, and is subject to supervision</w:t>
      </w:r>
      <w:r w:rsidR="009459EC">
        <w:rPr>
          <w:noProof/>
        </w:rPr>
        <w:t xml:space="preserve"> by that third country</w:t>
      </w:r>
      <w:r w:rsidR="00C95B7A">
        <w:rPr>
          <w:noProof/>
        </w:rPr>
        <w:t>;</w:t>
      </w:r>
    </w:p>
    <w:p w14:paraId="323C3C11" w14:textId="58786AD3" w:rsidR="00682574" w:rsidRPr="00162B2D" w:rsidRDefault="002A7F8C" w:rsidP="002A7F8C">
      <w:pPr>
        <w:pStyle w:val="Point1"/>
        <w:rPr>
          <w:noProof/>
        </w:rPr>
      </w:pPr>
      <w:r w:rsidRPr="002A7F8C">
        <w:rPr>
          <w:noProof/>
        </w:rPr>
        <w:t>(b)</w:t>
      </w:r>
      <w:r w:rsidRPr="002A7F8C">
        <w:rPr>
          <w:noProof/>
        </w:rPr>
        <w:tab/>
      </w:r>
      <w:r w:rsidR="00682574" w:rsidRPr="00162B2D">
        <w:rPr>
          <w:noProof/>
        </w:rPr>
        <w:tab/>
        <w:t>the third country ESG rating provider has notified ESMA that it wishes to provide ESG ratings in the Union and has informed ESMA with the name of the competent authority responsible for its supervision in the third country;</w:t>
      </w:r>
    </w:p>
    <w:p w14:paraId="4BD918FD" w14:textId="2D8B6A43" w:rsidR="0013188C" w:rsidRPr="006A39BB" w:rsidRDefault="002A7F8C" w:rsidP="002A7F8C">
      <w:pPr>
        <w:pStyle w:val="Point1"/>
        <w:rPr>
          <w:noProof/>
        </w:rPr>
      </w:pPr>
      <w:r w:rsidRPr="002A7F8C">
        <w:rPr>
          <w:noProof/>
        </w:rPr>
        <w:t>(c)</w:t>
      </w:r>
      <w:r w:rsidRPr="002A7F8C">
        <w:rPr>
          <w:noProof/>
        </w:rPr>
        <w:tab/>
      </w:r>
      <w:r w:rsidR="00C95B7A">
        <w:rPr>
          <w:noProof/>
        </w:rPr>
        <w:tab/>
      </w:r>
      <w:r w:rsidR="004B74AC">
        <w:rPr>
          <w:noProof/>
        </w:rPr>
        <w:t xml:space="preserve">the Commission has adopted </w:t>
      </w:r>
      <w:r w:rsidR="0013188C" w:rsidRPr="006A39BB">
        <w:rPr>
          <w:noProof/>
        </w:rPr>
        <w:t xml:space="preserve">an equivalence decision </w:t>
      </w:r>
      <w:r w:rsidR="004B74AC">
        <w:rPr>
          <w:noProof/>
        </w:rPr>
        <w:t>pursuant to</w:t>
      </w:r>
      <w:r w:rsidR="0013188C" w:rsidRPr="006A39BB">
        <w:rPr>
          <w:noProof/>
        </w:rPr>
        <w:t xml:space="preserve"> paragraph 2;</w:t>
      </w:r>
    </w:p>
    <w:p w14:paraId="62A08051" w14:textId="65BD62FD" w:rsidR="0013188C" w:rsidRPr="006A39BB" w:rsidRDefault="002A7F8C" w:rsidP="002A7F8C">
      <w:pPr>
        <w:pStyle w:val="Point1"/>
        <w:rPr>
          <w:noProof/>
        </w:rPr>
      </w:pPr>
      <w:r w:rsidRPr="002A7F8C">
        <w:rPr>
          <w:noProof/>
        </w:rPr>
        <w:t>(d)</w:t>
      </w:r>
      <w:r w:rsidRPr="002A7F8C">
        <w:rPr>
          <w:noProof/>
        </w:rPr>
        <w:tab/>
      </w:r>
      <w:r w:rsidR="00C95B7A">
        <w:rPr>
          <w:noProof/>
        </w:rPr>
        <w:tab/>
      </w:r>
      <w:r w:rsidR="0013188C" w:rsidRPr="006A39BB">
        <w:rPr>
          <w:noProof/>
        </w:rPr>
        <w:t xml:space="preserve">the cooperation arrangements referred to in paragraph </w:t>
      </w:r>
      <w:r w:rsidR="001A5873">
        <w:rPr>
          <w:noProof/>
        </w:rPr>
        <w:t>4</w:t>
      </w:r>
      <w:r w:rsidR="0013188C" w:rsidRPr="006A39BB">
        <w:rPr>
          <w:noProof/>
        </w:rPr>
        <w:t xml:space="preserve"> are operational.</w:t>
      </w:r>
    </w:p>
    <w:p w14:paraId="42679E88" w14:textId="26F6D105" w:rsidR="0013188C" w:rsidRPr="00751C65" w:rsidRDefault="002A7F8C" w:rsidP="002A7F8C">
      <w:pPr>
        <w:pStyle w:val="ManualNumPar1"/>
        <w:rPr>
          <w:noProof/>
        </w:rPr>
      </w:pPr>
      <w:r w:rsidRPr="002A7F8C">
        <w:rPr>
          <w:noProof/>
        </w:rPr>
        <w:t>2.</w:t>
      </w:r>
      <w:r w:rsidRPr="002A7F8C">
        <w:rPr>
          <w:noProof/>
        </w:rPr>
        <w:tab/>
      </w:r>
      <w:r w:rsidR="0013188C" w:rsidRPr="00751C65">
        <w:rPr>
          <w:noProof/>
        </w:rPr>
        <w:t>The Commission may adopt an implementing decision stating that the legal framework and supervisory practice of a third country ensures that:</w:t>
      </w:r>
    </w:p>
    <w:p w14:paraId="1C39B1F5" w14:textId="7E6FED7D" w:rsidR="0013188C" w:rsidRPr="006A39BB" w:rsidRDefault="002A7F8C" w:rsidP="002A7F8C">
      <w:pPr>
        <w:pStyle w:val="Point1"/>
        <w:rPr>
          <w:noProof/>
        </w:rPr>
      </w:pPr>
      <w:r w:rsidRPr="002A7F8C">
        <w:rPr>
          <w:noProof/>
        </w:rPr>
        <w:t>(a)</w:t>
      </w:r>
      <w:r w:rsidRPr="002A7F8C">
        <w:rPr>
          <w:noProof/>
        </w:rPr>
        <w:tab/>
      </w:r>
      <w:r w:rsidR="00A82E5D">
        <w:rPr>
          <w:noProof/>
        </w:rPr>
        <w:t xml:space="preserve">ESG rating </w:t>
      </w:r>
      <w:r w:rsidR="0013188C" w:rsidRPr="006A39BB">
        <w:rPr>
          <w:noProof/>
        </w:rPr>
        <w:t xml:space="preserve">providers authorised or registered in that third country comply with binding requirements which are equivalent to the requirements under this Regulation, </w:t>
      </w:r>
    </w:p>
    <w:p w14:paraId="6C6CC2B7" w14:textId="4642742E" w:rsidR="00A82E5D" w:rsidRDefault="002A7F8C" w:rsidP="002A7F8C">
      <w:pPr>
        <w:pStyle w:val="Point1"/>
        <w:rPr>
          <w:noProof/>
        </w:rPr>
      </w:pPr>
      <w:r w:rsidRPr="002A7F8C">
        <w:rPr>
          <w:noProof/>
        </w:rPr>
        <w:t>(b)</w:t>
      </w:r>
      <w:r w:rsidRPr="002A7F8C">
        <w:rPr>
          <w:noProof/>
        </w:rPr>
        <w:tab/>
      </w:r>
      <w:r w:rsidR="00A82E5D">
        <w:rPr>
          <w:noProof/>
        </w:rPr>
        <w:t xml:space="preserve">compliance with </w:t>
      </w:r>
      <w:r w:rsidR="0013188C" w:rsidRPr="006A39BB">
        <w:rPr>
          <w:noProof/>
        </w:rPr>
        <w:t xml:space="preserve">the binding requirements </w:t>
      </w:r>
      <w:r w:rsidR="00A82E5D">
        <w:rPr>
          <w:noProof/>
        </w:rPr>
        <w:t>referred to in point (a) is</w:t>
      </w:r>
      <w:r w:rsidR="0013188C" w:rsidRPr="006A39BB">
        <w:rPr>
          <w:noProof/>
        </w:rPr>
        <w:t xml:space="preserve"> subject to effective supervision and enforcement on an on-going basis in that third country.</w:t>
      </w:r>
    </w:p>
    <w:p w14:paraId="2376E7F5" w14:textId="77777777" w:rsidR="00A82E5D" w:rsidRDefault="00A82E5D" w:rsidP="00162B2D">
      <w:pPr>
        <w:rPr>
          <w:noProof/>
        </w:rPr>
      </w:pPr>
      <w:r>
        <w:rPr>
          <w:noProof/>
        </w:rPr>
        <w:t xml:space="preserve">For the purposes of point (a), the Commission shall take into account </w:t>
      </w:r>
      <w:r w:rsidRPr="006A39BB">
        <w:rPr>
          <w:noProof/>
        </w:rPr>
        <w:t>whether the legal framework and supervisory practice of a third country ensures compliance with the IOSCO recommendations for ESG Ratings</w:t>
      </w:r>
      <w:r w:rsidR="00D9466C">
        <w:rPr>
          <w:noProof/>
        </w:rPr>
        <w:t xml:space="preserve"> published </w:t>
      </w:r>
      <w:r w:rsidR="008B2427">
        <w:rPr>
          <w:noProof/>
        </w:rPr>
        <w:t>in November 2021</w:t>
      </w:r>
      <w:r w:rsidR="008225E5">
        <w:rPr>
          <w:noProof/>
        </w:rPr>
        <w:t>.</w:t>
      </w:r>
    </w:p>
    <w:p w14:paraId="23AD770D" w14:textId="77777777" w:rsidR="004E0735" w:rsidRDefault="00A82E5D" w:rsidP="00751C65">
      <w:pPr>
        <w:rPr>
          <w:noProof/>
        </w:rPr>
      </w:pPr>
      <w:r w:rsidRPr="006A39BB">
        <w:rPr>
          <w:noProof/>
        </w:rPr>
        <w:t>Such implementing decision shall be adopted in accordance with the examination procedure referred to in Article 47.</w:t>
      </w:r>
    </w:p>
    <w:p w14:paraId="50BCE76B" w14:textId="02C7CE50" w:rsidR="00A82E5D" w:rsidRDefault="002A7F8C" w:rsidP="002A7F8C">
      <w:pPr>
        <w:pStyle w:val="ManualNumPar1"/>
        <w:rPr>
          <w:noProof/>
        </w:rPr>
      </w:pPr>
      <w:r w:rsidRPr="002A7F8C">
        <w:rPr>
          <w:noProof/>
        </w:rPr>
        <w:t>3.</w:t>
      </w:r>
      <w:r w:rsidRPr="002A7F8C">
        <w:rPr>
          <w:noProof/>
        </w:rPr>
        <w:tab/>
      </w:r>
      <w:r w:rsidR="004E0735" w:rsidRPr="006A39BB">
        <w:rPr>
          <w:noProof/>
        </w:rPr>
        <w:t xml:space="preserve">The Commission may adopt a delegated act in accordance with Article 45 to specify the conditions referred to in points (a) and (b) of </w:t>
      </w:r>
      <w:r w:rsidR="004E0735">
        <w:rPr>
          <w:noProof/>
        </w:rPr>
        <w:t>the first sub</w:t>
      </w:r>
      <w:r w:rsidR="004E0735" w:rsidRPr="006A39BB">
        <w:rPr>
          <w:noProof/>
        </w:rPr>
        <w:t>paragraph.</w:t>
      </w:r>
      <w:r w:rsidR="00605ED9">
        <w:rPr>
          <w:noProof/>
        </w:rPr>
        <w:t xml:space="preserve"> </w:t>
      </w:r>
      <w:r w:rsidR="0013188C" w:rsidRPr="006A39BB">
        <w:rPr>
          <w:noProof/>
        </w:rPr>
        <w:t xml:space="preserve">The Commission may subject the application of the implementing decision referred to in </w:t>
      </w:r>
      <w:r w:rsidR="00C0417B" w:rsidRPr="006A39BB">
        <w:rPr>
          <w:noProof/>
        </w:rPr>
        <w:t xml:space="preserve">paragraph 2 </w:t>
      </w:r>
      <w:r w:rsidR="0013188C" w:rsidRPr="006A39BB">
        <w:rPr>
          <w:noProof/>
        </w:rPr>
        <w:t>to</w:t>
      </w:r>
      <w:r w:rsidR="00A82E5D">
        <w:rPr>
          <w:noProof/>
        </w:rPr>
        <w:t>:</w:t>
      </w:r>
    </w:p>
    <w:p w14:paraId="7A06C876" w14:textId="42278FE3" w:rsidR="00A82E5D" w:rsidRPr="00674E7A" w:rsidRDefault="002A7F8C" w:rsidP="002A7F8C">
      <w:pPr>
        <w:pStyle w:val="Point1"/>
        <w:rPr>
          <w:noProof/>
        </w:rPr>
      </w:pPr>
      <w:r w:rsidRPr="002A7F8C">
        <w:rPr>
          <w:noProof/>
        </w:rPr>
        <w:t>(a)</w:t>
      </w:r>
      <w:r w:rsidRPr="002A7F8C">
        <w:rPr>
          <w:noProof/>
        </w:rPr>
        <w:tab/>
      </w:r>
      <w:r w:rsidR="00A82E5D" w:rsidRPr="00674E7A">
        <w:rPr>
          <w:noProof/>
        </w:rPr>
        <w:tab/>
      </w:r>
      <w:r w:rsidR="0013188C" w:rsidRPr="00674E7A">
        <w:rPr>
          <w:noProof/>
        </w:rPr>
        <w:t xml:space="preserve">the effective fulfilment </w:t>
      </w:r>
      <w:r w:rsidR="00A82E5D" w:rsidRPr="00674E7A">
        <w:rPr>
          <w:noProof/>
        </w:rPr>
        <w:t xml:space="preserve">on an ongoing basis </w:t>
      </w:r>
      <w:r w:rsidR="0013188C" w:rsidRPr="00674E7A">
        <w:rPr>
          <w:noProof/>
        </w:rPr>
        <w:t>by that third country of any condition</w:t>
      </w:r>
      <w:r w:rsidR="00A82E5D" w:rsidRPr="00674E7A">
        <w:rPr>
          <w:noProof/>
        </w:rPr>
        <w:t xml:space="preserve"> set out in that implementing decision that </w:t>
      </w:r>
      <w:r w:rsidR="0013188C" w:rsidRPr="00674E7A">
        <w:rPr>
          <w:noProof/>
        </w:rPr>
        <w:t>aim</w:t>
      </w:r>
      <w:r w:rsidR="00A82E5D" w:rsidRPr="00674E7A">
        <w:rPr>
          <w:noProof/>
        </w:rPr>
        <w:t>s</w:t>
      </w:r>
      <w:r w:rsidR="0013188C" w:rsidRPr="00674E7A">
        <w:rPr>
          <w:noProof/>
        </w:rPr>
        <w:t xml:space="preserve"> at ensuring equivalent supervisory and regulatory standards</w:t>
      </w:r>
      <w:r w:rsidR="00A82E5D" w:rsidRPr="00674E7A">
        <w:rPr>
          <w:noProof/>
        </w:rPr>
        <w:t>;</w:t>
      </w:r>
    </w:p>
    <w:p w14:paraId="714559D7" w14:textId="5A9285E5" w:rsidR="0013188C" w:rsidRPr="006A39BB" w:rsidRDefault="002A7F8C" w:rsidP="002A7F8C">
      <w:pPr>
        <w:pStyle w:val="Point1"/>
        <w:rPr>
          <w:noProof/>
        </w:rPr>
      </w:pPr>
      <w:r w:rsidRPr="002A7F8C">
        <w:rPr>
          <w:noProof/>
        </w:rPr>
        <w:t>(b)</w:t>
      </w:r>
      <w:r w:rsidRPr="002A7F8C">
        <w:rPr>
          <w:noProof/>
        </w:rPr>
        <w:tab/>
      </w:r>
      <w:r w:rsidR="00A82E5D">
        <w:rPr>
          <w:noProof/>
        </w:rPr>
        <w:tab/>
      </w:r>
      <w:r w:rsidR="0013188C" w:rsidRPr="006A39BB">
        <w:rPr>
          <w:noProof/>
        </w:rPr>
        <w:t xml:space="preserve">the ability of ESMA to effectively exercise the monitoring responsibilities referred to in Article 33 of Regulation (EU) No 1095/2010. </w:t>
      </w:r>
    </w:p>
    <w:p w14:paraId="0C947A6E" w14:textId="77777777" w:rsidR="0013188C" w:rsidRPr="004E0735" w:rsidRDefault="004E0735" w:rsidP="004E0735">
      <w:pPr>
        <w:pStyle w:val="Text1"/>
        <w:tabs>
          <w:tab w:val="left" w:pos="567"/>
        </w:tabs>
        <w:spacing w:line="23" w:lineRule="atLeast"/>
        <w:ind w:left="0"/>
        <w:rPr>
          <w:noProof/>
          <w:szCs w:val="24"/>
        </w:rPr>
      </w:pPr>
      <w:r>
        <w:rPr>
          <w:noProof/>
        </w:rPr>
        <w:t>4.</w:t>
      </w:r>
      <w:r>
        <w:rPr>
          <w:noProof/>
        </w:rPr>
        <w:tab/>
      </w:r>
      <w:r w:rsidR="0013188C" w:rsidRPr="006A39BB">
        <w:rPr>
          <w:noProof/>
        </w:rPr>
        <w:t>ESMA shall establish cooperation arrangements with the competent authorities of third countries whose legal framework and supervisory practices have been recognised as equivalent in accordance with paragraph 2.</w:t>
      </w:r>
      <w:r>
        <w:rPr>
          <w:noProof/>
        </w:rPr>
        <w:t xml:space="preserve"> </w:t>
      </w:r>
      <w:r w:rsidR="0013188C" w:rsidRPr="004E0735">
        <w:rPr>
          <w:noProof/>
          <w:szCs w:val="24"/>
        </w:rPr>
        <w:t xml:space="preserve">Such arrangements shall specify </w:t>
      </w:r>
      <w:r>
        <w:rPr>
          <w:noProof/>
          <w:szCs w:val="24"/>
        </w:rPr>
        <w:t>all of the following</w:t>
      </w:r>
      <w:r w:rsidR="0013188C" w:rsidRPr="004E0735">
        <w:rPr>
          <w:noProof/>
          <w:szCs w:val="24"/>
        </w:rPr>
        <w:t>:</w:t>
      </w:r>
    </w:p>
    <w:p w14:paraId="37298209" w14:textId="5209BC88" w:rsidR="0013188C" w:rsidRPr="00674E7A" w:rsidRDefault="002A7F8C" w:rsidP="002A7F8C">
      <w:pPr>
        <w:pStyle w:val="Point1"/>
        <w:rPr>
          <w:noProof/>
        </w:rPr>
      </w:pPr>
      <w:r w:rsidRPr="002A7F8C">
        <w:rPr>
          <w:noProof/>
        </w:rPr>
        <w:t>(a)</w:t>
      </w:r>
      <w:r w:rsidRPr="002A7F8C">
        <w:rPr>
          <w:noProof/>
        </w:rPr>
        <w:tab/>
      </w:r>
      <w:r w:rsidR="0013188C" w:rsidRPr="00674E7A">
        <w:rPr>
          <w:noProof/>
        </w:rPr>
        <w:t xml:space="preserve">the mechanism for </w:t>
      </w:r>
      <w:r w:rsidR="004E0735" w:rsidRPr="00674E7A">
        <w:rPr>
          <w:noProof/>
        </w:rPr>
        <w:t xml:space="preserve">exchanging </w:t>
      </w:r>
      <w:r w:rsidR="0013188C" w:rsidRPr="00674E7A">
        <w:rPr>
          <w:noProof/>
        </w:rPr>
        <w:t xml:space="preserve">information between ESMA and the competent authorities of third countries concerned, including access to all relevant information </w:t>
      </w:r>
      <w:r w:rsidR="004E0735" w:rsidRPr="00674E7A">
        <w:rPr>
          <w:noProof/>
        </w:rPr>
        <w:t xml:space="preserve">requested by ESMA </w:t>
      </w:r>
      <w:r w:rsidR="0013188C" w:rsidRPr="00674E7A">
        <w:rPr>
          <w:noProof/>
        </w:rPr>
        <w:t xml:space="preserve">regarding the </w:t>
      </w:r>
      <w:r w:rsidR="004E0735" w:rsidRPr="00674E7A">
        <w:rPr>
          <w:noProof/>
        </w:rPr>
        <w:t xml:space="preserve">ESG rating </w:t>
      </w:r>
      <w:r w:rsidR="0013188C" w:rsidRPr="00674E7A">
        <w:rPr>
          <w:noProof/>
        </w:rPr>
        <w:t xml:space="preserve">provider authorised </w:t>
      </w:r>
      <w:r w:rsidR="004E0735" w:rsidRPr="00674E7A">
        <w:rPr>
          <w:noProof/>
        </w:rPr>
        <w:t xml:space="preserve">or registered </w:t>
      </w:r>
      <w:r w:rsidR="0013188C" w:rsidRPr="00674E7A">
        <w:rPr>
          <w:noProof/>
        </w:rPr>
        <w:t>in that third country;</w:t>
      </w:r>
    </w:p>
    <w:p w14:paraId="4E6E7653" w14:textId="6D077468" w:rsidR="0013188C" w:rsidRPr="006A39BB" w:rsidRDefault="002A7F8C" w:rsidP="002A7F8C">
      <w:pPr>
        <w:pStyle w:val="Point1"/>
        <w:rPr>
          <w:noProof/>
        </w:rPr>
      </w:pPr>
      <w:r w:rsidRPr="002A7F8C">
        <w:rPr>
          <w:noProof/>
        </w:rPr>
        <w:t>(b)</w:t>
      </w:r>
      <w:r w:rsidRPr="002A7F8C">
        <w:rPr>
          <w:noProof/>
        </w:rPr>
        <w:tab/>
      </w:r>
      <w:r w:rsidR="0013188C" w:rsidRPr="006A39BB">
        <w:rPr>
          <w:noProof/>
        </w:rPr>
        <w:t xml:space="preserve">the mechanism for prompt notification to ESMA where a third country competent authority deems that the </w:t>
      </w:r>
      <w:r w:rsidR="004E0735">
        <w:rPr>
          <w:noProof/>
        </w:rPr>
        <w:t xml:space="preserve">ESG rating </w:t>
      </w:r>
      <w:r w:rsidR="0013188C" w:rsidRPr="006A39BB">
        <w:rPr>
          <w:noProof/>
        </w:rPr>
        <w:t>provider authorised</w:t>
      </w:r>
      <w:r w:rsidR="004E0735">
        <w:rPr>
          <w:noProof/>
        </w:rPr>
        <w:t xml:space="preserve"> or registered</w:t>
      </w:r>
      <w:r w:rsidR="0013188C" w:rsidRPr="006A39BB">
        <w:rPr>
          <w:noProof/>
        </w:rPr>
        <w:t xml:space="preserve"> in that third country </w:t>
      </w:r>
      <w:r w:rsidR="00DF0D6C">
        <w:rPr>
          <w:noProof/>
        </w:rPr>
        <w:t xml:space="preserve">and </w:t>
      </w:r>
      <w:r w:rsidR="0013188C" w:rsidRPr="006A39BB">
        <w:rPr>
          <w:noProof/>
        </w:rPr>
        <w:t>that is supervis</w:t>
      </w:r>
      <w:r w:rsidR="00DF0D6C">
        <w:rPr>
          <w:noProof/>
        </w:rPr>
        <w:t>ed by that third country competent authority</w:t>
      </w:r>
      <w:r w:rsidR="0013188C" w:rsidRPr="006A39BB">
        <w:rPr>
          <w:noProof/>
        </w:rPr>
        <w:t xml:space="preserve"> is </w:t>
      </w:r>
      <w:r w:rsidR="00DF0D6C">
        <w:rPr>
          <w:noProof/>
        </w:rPr>
        <w:t xml:space="preserve">breaching </w:t>
      </w:r>
      <w:r w:rsidR="0013188C" w:rsidRPr="006A39BB">
        <w:rPr>
          <w:noProof/>
        </w:rPr>
        <w:t>the conditions of its authorisation or</w:t>
      </w:r>
      <w:r w:rsidR="00DF0D6C">
        <w:rPr>
          <w:noProof/>
        </w:rPr>
        <w:t xml:space="preserve"> registration, or</w:t>
      </w:r>
      <w:r w:rsidR="0013188C" w:rsidRPr="006A39BB">
        <w:rPr>
          <w:noProof/>
        </w:rPr>
        <w:t xml:space="preserve"> other national </w:t>
      </w:r>
      <w:r w:rsidR="0023252D">
        <w:rPr>
          <w:noProof/>
        </w:rPr>
        <w:t>law</w:t>
      </w:r>
      <w:r w:rsidR="0013188C" w:rsidRPr="006A39BB">
        <w:rPr>
          <w:noProof/>
        </w:rPr>
        <w:t xml:space="preserve"> in th</w:t>
      </w:r>
      <w:r w:rsidR="00DF0D6C">
        <w:rPr>
          <w:noProof/>
        </w:rPr>
        <w:t>at</w:t>
      </w:r>
      <w:r w:rsidR="0013188C" w:rsidRPr="006A39BB">
        <w:rPr>
          <w:noProof/>
        </w:rPr>
        <w:t xml:space="preserve"> third country; </w:t>
      </w:r>
    </w:p>
    <w:p w14:paraId="7EBE2CEF" w14:textId="7DDB9C48" w:rsidR="0013188C" w:rsidRPr="006A39BB" w:rsidRDefault="002A7F8C" w:rsidP="002A7F8C">
      <w:pPr>
        <w:pStyle w:val="Point1"/>
        <w:rPr>
          <w:noProof/>
        </w:rPr>
      </w:pPr>
      <w:r w:rsidRPr="002A7F8C">
        <w:rPr>
          <w:noProof/>
        </w:rPr>
        <w:t>(c)</w:t>
      </w:r>
      <w:r w:rsidRPr="002A7F8C">
        <w:rPr>
          <w:noProof/>
        </w:rPr>
        <w:tab/>
      </w:r>
      <w:r w:rsidR="0013188C" w:rsidRPr="006A39BB">
        <w:rPr>
          <w:noProof/>
        </w:rPr>
        <w:t>the procedures concerning the coordination of supervisory activities, including on-site inspections.</w:t>
      </w:r>
    </w:p>
    <w:p w14:paraId="60CEC468" w14:textId="77777777" w:rsidR="0013188C" w:rsidRPr="00674E7A" w:rsidRDefault="0013188C" w:rsidP="00674E7A">
      <w:pPr>
        <w:pStyle w:val="Titrearticle"/>
        <w:spacing w:line="23" w:lineRule="atLeast"/>
        <w:rPr>
          <w:noProof/>
          <w:szCs w:val="24"/>
        </w:rPr>
      </w:pPr>
      <w:r w:rsidRPr="00674E7A">
        <w:rPr>
          <w:noProof/>
          <w:szCs w:val="24"/>
        </w:rPr>
        <w:t xml:space="preserve">Article </w:t>
      </w:r>
      <w:r w:rsidR="001D730B" w:rsidRPr="00674E7A">
        <w:rPr>
          <w:noProof/>
          <w:szCs w:val="24"/>
        </w:rPr>
        <w:t>10</w:t>
      </w:r>
    </w:p>
    <w:p w14:paraId="7751C616" w14:textId="77777777" w:rsidR="0013188C" w:rsidRPr="00674E7A" w:rsidRDefault="0013188C" w:rsidP="00674E7A">
      <w:pPr>
        <w:pStyle w:val="NormalCentered"/>
        <w:rPr>
          <w:b/>
          <w:bCs/>
          <w:noProof/>
          <w:lang w:eastAsia="en-IE"/>
        </w:rPr>
      </w:pPr>
      <w:r w:rsidRPr="00674E7A">
        <w:rPr>
          <w:b/>
          <w:bCs/>
          <w:noProof/>
          <w:lang w:eastAsia="en-IE"/>
        </w:rPr>
        <w:t xml:space="preserve">Endorsement of ESG ratings provided </w:t>
      </w:r>
      <w:r w:rsidR="001940EC" w:rsidRPr="00674E7A">
        <w:rPr>
          <w:b/>
          <w:bCs/>
          <w:noProof/>
          <w:lang w:eastAsia="en-IE"/>
        </w:rPr>
        <w:t>by</w:t>
      </w:r>
      <w:r w:rsidRPr="00674E7A">
        <w:rPr>
          <w:b/>
          <w:bCs/>
          <w:noProof/>
          <w:lang w:eastAsia="en-IE"/>
        </w:rPr>
        <w:t xml:space="preserve"> a third country</w:t>
      </w:r>
      <w:r w:rsidR="001940EC" w:rsidRPr="00674E7A">
        <w:rPr>
          <w:b/>
          <w:bCs/>
          <w:noProof/>
          <w:lang w:eastAsia="en-IE"/>
        </w:rPr>
        <w:t xml:space="preserve"> ESG rating provider</w:t>
      </w:r>
    </w:p>
    <w:p w14:paraId="172920F2" w14:textId="50879E95" w:rsidR="0013188C" w:rsidRPr="006A39BB" w:rsidRDefault="002A7F8C" w:rsidP="002A7F8C">
      <w:pPr>
        <w:pStyle w:val="ManualNumPar1"/>
        <w:rPr>
          <w:noProof/>
        </w:rPr>
      </w:pPr>
      <w:r w:rsidRPr="002A7F8C">
        <w:rPr>
          <w:noProof/>
        </w:rPr>
        <w:t>1.</w:t>
      </w:r>
      <w:r w:rsidRPr="002A7F8C">
        <w:rPr>
          <w:noProof/>
        </w:rPr>
        <w:tab/>
      </w:r>
      <w:r w:rsidR="0013188C" w:rsidRPr="006A39BB">
        <w:rPr>
          <w:rStyle w:val="ui-provider"/>
          <w:noProof/>
          <w:szCs w:val="24"/>
        </w:rPr>
        <w:t xml:space="preserve">An ESG rating provider located in the Union and authorised in accordance with </w:t>
      </w:r>
      <w:r w:rsidR="00125EC4">
        <w:rPr>
          <w:rStyle w:val="ui-provider"/>
          <w:noProof/>
          <w:szCs w:val="24"/>
        </w:rPr>
        <w:t>Article 7</w:t>
      </w:r>
      <w:r w:rsidR="0013188C" w:rsidRPr="006A39BB">
        <w:rPr>
          <w:rStyle w:val="ui-provider"/>
          <w:noProof/>
          <w:szCs w:val="24"/>
        </w:rPr>
        <w:t xml:space="preserve"> may endorse ESG ratings provided by a third country</w:t>
      </w:r>
      <w:r w:rsidR="001940EC">
        <w:rPr>
          <w:rStyle w:val="ui-provider"/>
          <w:noProof/>
          <w:szCs w:val="24"/>
        </w:rPr>
        <w:t xml:space="preserve"> ESG rating provider</w:t>
      </w:r>
      <w:r w:rsidR="0013188C" w:rsidRPr="006A39BB">
        <w:rPr>
          <w:rStyle w:val="ui-provider"/>
          <w:noProof/>
          <w:szCs w:val="24"/>
        </w:rPr>
        <w:t xml:space="preserve"> belonging to the same group</w:t>
      </w:r>
      <w:r w:rsidR="00DF0D6C">
        <w:rPr>
          <w:rStyle w:val="ui-provider"/>
          <w:noProof/>
          <w:szCs w:val="24"/>
        </w:rPr>
        <w:t>,</w:t>
      </w:r>
      <w:r w:rsidR="0013188C" w:rsidRPr="006A39BB">
        <w:rPr>
          <w:rStyle w:val="ui-provider"/>
          <w:noProof/>
          <w:szCs w:val="24"/>
        </w:rPr>
        <w:t xml:space="preserve"> provided that all of the following conditions</w:t>
      </w:r>
      <w:r w:rsidR="00DF0D6C">
        <w:rPr>
          <w:rStyle w:val="ui-provider"/>
          <w:noProof/>
          <w:szCs w:val="24"/>
        </w:rPr>
        <w:t xml:space="preserve"> have been met</w:t>
      </w:r>
      <w:r w:rsidR="0013188C" w:rsidRPr="006A39BB">
        <w:rPr>
          <w:noProof/>
        </w:rPr>
        <w:t>:</w:t>
      </w:r>
    </w:p>
    <w:p w14:paraId="1FE1AD92" w14:textId="675F5D35" w:rsidR="001940EC" w:rsidRDefault="002A7F8C" w:rsidP="002A7F8C">
      <w:pPr>
        <w:pStyle w:val="Point1"/>
        <w:rPr>
          <w:noProof/>
        </w:rPr>
      </w:pPr>
      <w:r w:rsidRPr="002A7F8C">
        <w:rPr>
          <w:noProof/>
        </w:rPr>
        <w:t>(a)</w:t>
      </w:r>
      <w:r w:rsidRPr="002A7F8C">
        <w:rPr>
          <w:noProof/>
        </w:rPr>
        <w:tab/>
      </w:r>
      <w:r w:rsidR="001940EC">
        <w:rPr>
          <w:noProof/>
        </w:rPr>
        <w:t>the ESG rating provider located in the Union has applied to ESMA for authorisation of such endorsement;</w:t>
      </w:r>
    </w:p>
    <w:p w14:paraId="2FCC82B9" w14:textId="69C93767" w:rsidR="0013188C" w:rsidRPr="006A39BB" w:rsidRDefault="002A7F8C" w:rsidP="002A7F8C">
      <w:pPr>
        <w:pStyle w:val="Point1"/>
        <w:rPr>
          <w:noProof/>
        </w:rPr>
      </w:pPr>
      <w:r w:rsidRPr="002A7F8C">
        <w:rPr>
          <w:noProof/>
        </w:rPr>
        <w:t>(b)</w:t>
      </w:r>
      <w:r w:rsidRPr="002A7F8C">
        <w:rPr>
          <w:noProof/>
        </w:rPr>
        <w:tab/>
      </w:r>
      <w:r w:rsidR="0013188C" w:rsidRPr="006A39BB">
        <w:rPr>
          <w:noProof/>
        </w:rPr>
        <w:t xml:space="preserve">the </w:t>
      </w:r>
      <w:r w:rsidR="001940EC">
        <w:rPr>
          <w:noProof/>
        </w:rPr>
        <w:t xml:space="preserve">ESG rating provider located in the Union </w:t>
      </w:r>
      <w:r w:rsidR="0013188C" w:rsidRPr="006A39BB">
        <w:rPr>
          <w:noProof/>
        </w:rPr>
        <w:t>has verified and is able to demonstrate on an on-going basis to ESMA that the provision of the ESG rating to be endorsed fulfils</w:t>
      </w:r>
      <w:r w:rsidR="00770B3F">
        <w:rPr>
          <w:noProof/>
        </w:rPr>
        <w:t xml:space="preserve"> </w:t>
      </w:r>
      <w:r w:rsidR="0013188C" w:rsidRPr="006A39BB">
        <w:rPr>
          <w:noProof/>
        </w:rPr>
        <w:t>requirements which are at least as stringent as the requirements of this Regulation;</w:t>
      </w:r>
    </w:p>
    <w:p w14:paraId="53BFAE06" w14:textId="1904D76D" w:rsidR="0013188C" w:rsidRPr="006A39BB" w:rsidRDefault="002A7F8C" w:rsidP="002A7F8C">
      <w:pPr>
        <w:pStyle w:val="Point1"/>
        <w:rPr>
          <w:noProof/>
        </w:rPr>
      </w:pPr>
      <w:r w:rsidRPr="002A7F8C">
        <w:rPr>
          <w:noProof/>
        </w:rPr>
        <w:t>(c)</w:t>
      </w:r>
      <w:r w:rsidRPr="002A7F8C">
        <w:rPr>
          <w:noProof/>
        </w:rPr>
        <w:tab/>
      </w:r>
      <w:r w:rsidR="0013188C" w:rsidRPr="006A39BB">
        <w:rPr>
          <w:noProof/>
        </w:rPr>
        <w:t xml:space="preserve">the </w:t>
      </w:r>
      <w:r w:rsidR="001940EC">
        <w:rPr>
          <w:noProof/>
        </w:rPr>
        <w:t xml:space="preserve">ESG rating provider located in the Union </w:t>
      </w:r>
      <w:r w:rsidR="0013188C" w:rsidRPr="006A39BB">
        <w:rPr>
          <w:noProof/>
        </w:rPr>
        <w:t>has the necessary expertise to monitor  the provision of ESG rating</w:t>
      </w:r>
      <w:r w:rsidR="001940EC">
        <w:rPr>
          <w:noProof/>
        </w:rPr>
        <w:t>s by the third country ESG rating provider</w:t>
      </w:r>
      <w:r w:rsidR="0013188C" w:rsidRPr="006A39BB">
        <w:rPr>
          <w:noProof/>
        </w:rPr>
        <w:t xml:space="preserve"> </w:t>
      </w:r>
      <w:r w:rsidR="001940EC" w:rsidRPr="006A39BB">
        <w:rPr>
          <w:noProof/>
        </w:rPr>
        <w:t>effectively</w:t>
      </w:r>
      <w:r w:rsidR="001940EC">
        <w:rPr>
          <w:noProof/>
        </w:rPr>
        <w:t xml:space="preserve">, </w:t>
      </w:r>
      <w:r w:rsidR="0013188C" w:rsidRPr="006A39BB">
        <w:rPr>
          <w:noProof/>
        </w:rPr>
        <w:t xml:space="preserve">and to manage </w:t>
      </w:r>
      <w:r w:rsidR="001940EC">
        <w:rPr>
          <w:noProof/>
        </w:rPr>
        <w:t>any</w:t>
      </w:r>
      <w:r w:rsidR="0013188C" w:rsidRPr="006A39BB">
        <w:rPr>
          <w:noProof/>
        </w:rPr>
        <w:t xml:space="preserve"> associated risks; </w:t>
      </w:r>
    </w:p>
    <w:p w14:paraId="7B840C92" w14:textId="3C54B732" w:rsidR="0013188C" w:rsidRPr="006A39BB" w:rsidRDefault="002A7F8C" w:rsidP="002A7F8C">
      <w:pPr>
        <w:pStyle w:val="Point1"/>
        <w:rPr>
          <w:noProof/>
        </w:rPr>
      </w:pPr>
      <w:r w:rsidRPr="002A7F8C">
        <w:rPr>
          <w:noProof/>
        </w:rPr>
        <w:t>(d)</w:t>
      </w:r>
      <w:r w:rsidRPr="002A7F8C">
        <w:rPr>
          <w:noProof/>
        </w:rPr>
        <w:tab/>
      </w:r>
      <w:r w:rsidR="0013188C" w:rsidRPr="006A39BB">
        <w:rPr>
          <w:noProof/>
        </w:rPr>
        <w:t xml:space="preserve">there is an objective reason </w:t>
      </w:r>
      <w:r w:rsidR="001940EC">
        <w:rPr>
          <w:noProof/>
        </w:rPr>
        <w:t xml:space="preserve">why the </w:t>
      </w:r>
      <w:r w:rsidR="001940EC" w:rsidRPr="001940EC">
        <w:rPr>
          <w:noProof/>
        </w:rPr>
        <w:t>third country ESG rating provider</w:t>
      </w:r>
      <w:r w:rsidR="001940EC">
        <w:rPr>
          <w:noProof/>
        </w:rPr>
        <w:t xml:space="preserve"> has </w:t>
      </w:r>
      <w:r w:rsidR="0013188C" w:rsidRPr="006A39BB">
        <w:rPr>
          <w:noProof/>
        </w:rPr>
        <w:t xml:space="preserve">to provide the ESG rating </w:t>
      </w:r>
      <w:r w:rsidR="001940EC">
        <w:rPr>
          <w:noProof/>
        </w:rPr>
        <w:t>and why that</w:t>
      </w:r>
      <w:r w:rsidR="0013188C" w:rsidRPr="006A39BB">
        <w:rPr>
          <w:noProof/>
        </w:rPr>
        <w:t xml:space="preserve"> ESG rating </w:t>
      </w:r>
      <w:r w:rsidR="001940EC">
        <w:rPr>
          <w:noProof/>
        </w:rPr>
        <w:t xml:space="preserve">has </w:t>
      </w:r>
      <w:r w:rsidR="0013188C" w:rsidRPr="006A39BB">
        <w:rPr>
          <w:noProof/>
        </w:rPr>
        <w:t>to be endorsed</w:t>
      </w:r>
      <w:r w:rsidR="00427220">
        <w:rPr>
          <w:noProof/>
        </w:rPr>
        <w:t xml:space="preserve"> </w:t>
      </w:r>
      <w:r w:rsidR="001678BC" w:rsidRPr="001678BC">
        <w:rPr>
          <w:noProof/>
        </w:rPr>
        <w:t>for their use in the Union</w:t>
      </w:r>
      <w:r w:rsidR="0013188C" w:rsidRPr="006A39BB">
        <w:rPr>
          <w:noProof/>
        </w:rPr>
        <w:t>;</w:t>
      </w:r>
    </w:p>
    <w:p w14:paraId="13E32890" w14:textId="055F83EC" w:rsidR="0013188C" w:rsidRPr="006A39BB" w:rsidRDefault="002A7F8C" w:rsidP="002A7F8C">
      <w:pPr>
        <w:pStyle w:val="Point1"/>
        <w:rPr>
          <w:noProof/>
        </w:rPr>
      </w:pPr>
      <w:r w:rsidRPr="002A7F8C">
        <w:rPr>
          <w:noProof/>
        </w:rPr>
        <w:t>(e)</w:t>
      </w:r>
      <w:r w:rsidRPr="002A7F8C">
        <w:rPr>
          <w:noProof/>
        </w:rPr>
        <w:tab/>
      </w:r>
      <w:r w:rsidR="0013188C" w:rsidRPr="006A39BB">
        <w:rPr>
          <w:noProof/>
        </w:rPr>
        <w:t xml:space="preserve">the ESG rating provider </w:t>
      </w:r>
      <w:r w:rsidR="001940EC">
        <w:rPr>
          <w:noProof/>
        </w:rPr>
        <w:t xml:space="preserve">located in the Union </w:t>
      </w:r>
      <w:r w:rsidR="00062E8A">
        <w:rPr>
          <w:noProof/>
        </w:rPr>
        <w:t>provides</w:t>
      </w:r>
      <w:r w:rsidR="0013188C" w:rsidRPr="006A39BB">
        <w:rPr>
          <w:noProof/>
        </w:rPr>
        <w:t xml:space="preserve"> ESMA </w:t>
      </w:r>
      <w:r w:rsidR="00062E8A">
        <w:rPr>
          <w:noProof/>
        </w:rPr>
        <w:t xml:space="preserve">at its request with </w:t>
      </w:r>
      <w:r w:rsidR="0013188C" w:rsidRPr="006A39BB">
        <w:rPr>
          <w:noProof/>
        </w:rPr>
        <w:t xml:space="preserve">all the information necessary to enable ESMA to supervise the compliance </w:t>
      </w:r>
      <w:r w:rsidR="000266A0">
        <w:rPr>
          <w:noProof/>
        </w:rPr>
        <w:t>by the</w:t>
      </w:r>
      <w:r w:rsidR="007E136B">
        <w:rPr>
          <w:noProof/>
        </w:rPr>
        <w:t xml:space="preserve"> third country</w:t>
      </w:r>
      <w:r w:rsidR="000266A0">
        <w:rPr>
          <w:noProof/>
        </w:rPr>
        <w:t xml:space="preserve"> </w:t>
      </w:r>
      <w:r w:rsidR="007E136B">
        <w:rPr>
          <w:noProof/>
        </w:rPr>
        <w:t xml:space="preserve">ESG rating provider </w:t>
      </w:r>
      <w:r w:rsidR="007E5489">
        <w:rPr>
          <w:noProof/>
        </w:rPr>
        <w:t>with</w:t>
      </w:r>
      <w:r w:rsidR="00A56D7D">
        <w:rPr>
          <w:noProof/>
        </w:rPr>
        <w:t xml:space="preserve"> </w:t>
      </w:r>
      <w:r w:rsidR="0013188C" w:rsidRPr="006A39BB">
        <w:rPr>
          <w:noProof/>
        </w:rPr>
        <w:t>this Regulation</w:t>
      </w:r>
      <w:r w:rsidR="00062E8A">
        <w:rPr>
          <w:noProof/>
        </w:rPr>
        <w:t xml:space="preserve"> </w:t>
      </w:r>
      <w:r w:rsidR="00062E8A" w:rsidRPr="006A39BB">
        <w:rPr>
          <w:noProof/>
        </w:rPr>
        <w:t xml:space="preserve">on an ongoing </w:t>
      </w:r>
      <w:r w:rsidR="00062E8A">
        <w:rPr>
          <w:noProof/>
        </w:rPr>
        <w:t>basis</w:t>
      </w:r>
      <w:r w:rsidR="0013188C" w:rsidRPr="006A39BB">
        <w:rPr>
          <w:noProof/>
        </w:rPr>
        <w:t>;</w:t>
      </w:r>
    </w:p>
    <w:p w14:paraId="0C97E8F8" w14:textId="0723D999" w:rsidR="0013188C" w:rsidRPr="006A39BB" w:rsidRDefault="002A7F8C" w:rsidP="002A7F8C">
      <w:pPr>
        <w:pStyle w:val="Point1"/>
        <w:rPr>
          <w:noProof/>
        </w:rPr>
      </w:pPr>
      <w:r w:rsidRPr="002A7F8C">
        <w:rPr>
          <w:noProof/>
        </w:rPr>
        <w:t>(f)</w:t>
      </w:r>
      <w:r w:rsidRPr="002A7F8C">
        <w:rPr>
          <w:noProof/>
        </w:rPr>
        <w:tab/>
      </w:r>
      <w:r w:rsidR="0013188C" w:rsidRPr="006A39BB">
        <w:rPr>
          <w:noProof/>
        </w:rPr>
        <w:t>where a</w:t>
      </w:r>
      <w:r w:rsidR="008225E5">
        <w:rPr>
          <w:noProof/>
        </w:rPr>
        <w:t xml:space="preserve"> third country</w:t>
      </w:r>
      <w:r w:rsidR="0013188C" w:rsidRPr="006A39BB">
        <w:rPr>
          <w:noProof/>
        </w:rPr>
        <w:t xml:space="preserve"> ESG rating provider is subject to supervision, an appropriate cooperation arrangement is in place between ESMA and the competent authority of the third country where the ESG rating provider is located, to ensure an efficient exchange of information; </w:t>
      </w:r>
    </w:p>
    <w:p w14:paraId="3AD11E9A" w14:textId="77777777" w:rsidR="0013188C" w:rsidRPr="006A39BB" w:rsidRDefault="0013188C" w:rsidP="00674E7A">
      <w:pPr>
        <w:rPr>
          <w:noProof/>
        </w:rPr>
      </w:pPr>
      <w:r w:rsidRPr="006A39BB">
        <w:rPr>
          <w:noProof/>
        </w:rPr>
        <w:t>For the purpose</w:t>
      </w:r>
      <w:r w:rsidR="008225E5">
        <w:rPr>
          <w:noProof/>
        </w:rPr>
        <w:t>s</w:t>
      </w:r>
      <w:r w:rsidRPr="006A39BB">
        <w:rPr>
          <w:noProof/>
        </w:rPr>
        <w:t xml:space="preserve"> of point (</w:t>
      </w:r>
      <w:r w:rsidR="00C95B7A">
        <w:rPr>
          <w:noProof/>
        </w:rPr>
        <w:t>b</w:t>
      </w:r>
      <w:r w:rsidRPr="006A39BB">
        <w:rPr>
          <w:noProof/>
        </w:rPr>
        <w:t>)</w:t>
      </w:r>
      <w:r w:rsidR="00C95B7A">
        <w:rPr>
          <w:noProof/>
        </w:rPr>
        <w:t xml:space="preserve"> of the first subparagraph</w:t>
      </w:r>
      <w:r w:rsidRPr="006A39BB">
        <w:rPr>
          <w:noProof/>
        </w:rPr>
        <w:t xml:space="preserve">, ESMA </w:t>
      </w:r>
      <w:r w:rsidR="00A53AEC">
        <w:rPr>
          <w:noProof/>
        </w:rPr>
        <w:t>may consider that</w:t>
      </w:r>
      <w:r w:rsidRPr="006A39BB">
        <w:rPr>
          <w:noProof/>
        </w:rPr>
        <w:t xml:space="preserve"> compliance of the provision of the ESG rating</w:t>
      </w:r>
      <w:r w:rsidR="00A53AEC">
        <w:rPr>
          <w:noProof/>
        </w:rPr>
        <w:t xml:space="preserve"> to be endorsed</w:t>
      </w:r>
      <w:r w:rsidRPr="006A39BB">
        <w:rPr>
          <w:noProof/>
        </w:rPr>
        <w:t xml:space="preserve"> with the IOSCO recommendations for ESG ratings </w:t>
      </w:r>
      <w:r w:rsidR="00A53AEC">
        <w:rPr>
          <w:noProof/>
        </w:rPr>
        <w:t>is</w:t>
      </w:r>
      <w:r w:rsidRPr="006A39BB">
        <w:rPr>
          <w:noProof/>
        </w:rPr>
        <w:t xml:space="preserve"> equivalent to compliance with the requirements of this Regulation.</w:t>
      </w:r>
    </w:p>
    <w:p w14:paraId="038FCFBE" w14:textId="0A98132A" w:rsidR="0013188C" w:rsidRPr="006A39BB" w:rsidRDefault="002A7F8C" w:rsidP="002A7F8C">
      <w:pPr>
        <w:pStyle w:val="ManualNumPar1"/>
        <w:rPr>
          <w:noProof/>
        </w:rPr>
      </w:pPr>
      <w:r w:rsidRPr="002A7F8C">
        <w:rPr>
          <w:noProof/>
        </w:rPr>
        <w:t>2.</w:t>
      </w:r>
      <w:r w:rsidRPr="002A7F8C">
        <w:rPr>
          <w:noProof/>
        </w:rPr>
        <w:tab/>
      </w:r>
      <w:r w:rsidR="0013188C" w:rsidRPr="006A39BB">
        <w:rPr>
          <w:noProof/>
        </w:rPr>
        <w:t>A</w:t>
      </w:r>
      <w:r w:rsidR="008225E5">
        <w:rPr>
          <w:noProof/>
        </w:rPr>
        <w:t>n ESG rating</w:t>
      </w:r>
      <w:r w:rsidR="0013188C" w:rsidRPr="006A39BB">
        <w:rPr>
          <w:noProof/>
        </w:rPr>
        <w:t xml:space="preserve"> provider that </w:t>
      </w:r>
      <w:r w:rsidR="008225E5">
        <w:rPr>
          <w:noProof/>
        </w:rPr>
        <w:t>applies</w:t>
      </w:r>
      <w:r w:rsidR="0013188C" w:rsidRPr="006A39BB">
        <w:rPr>
          <w:noProof/>
        </w:rPr>
        <w:t xml:space="preserve"> for endorsement as referred to in paragraph 1 shall provide </w:t>
      </w:r>
      <w:r w:rsidR="008225E5">
        <w:rPr>
          <w:noProof/>
        </w:rPr>
        <w:t xml:space="preserve">ESMA with </w:t>
      </w:r>
      <w:r w:rsidR="0013188C" w:rsidRPr="006A39BB">
        <w:rPr>
          <w:noProof/>
        </w:rPr>
        <w:t xml:space="preserve">all information necessary to satisfy ESMA that, at the time of application, all the conditions referred to in that paragraph are fulfilled. </w:t>
      </w:r>
    </w:p>
    <w:p w14:paraId="3F215EAD" w14:textId="201CC401" w:rsidR="0013188C" w:rsidRPr="006A39BB" w:rsidRDefault="002A7F8C" w:rsidP="002A7F8C">
      <w:pPr>
        <w:pStyle w:val="ManualNumPar1"/>
        <w:rPr>
          <w:noProof/>
        </w:rPr>
      </w:pPr>
      <w:r w:rsidRPr="002A7F8C">
        <w:rPr>
          <w:noProof/>
        </w:rPr>
        <w:t>3.</w:t>
      </w:r>
      <w:r w:rsidRPr="002A7F8C">
        <w:rPr>
          <w:noProof/>
        </w:rPr>
        <w:tab/>
      </w:r>
      <w:r w:rsidR="0013188C" w:rsidRPr="006A39BB">
        <w:rPr>
          <w:noProof/>
        </w:rPr>
        <w:t xml:space="preserve">Within 90 working days of receipt of the application for endorsement referred to in paragraph 1, ESMA shall examine the application and </w:t>
      </w:r>
      <w:r w:rsidR="008225E5">
        <w:rPr>
          <w:noProof/>
        </w:rPr>
        <w:t>decide</w:t>
      </w:r>
      <w:r w:rsidR="0013188C" w:rsidRPr="006A39BB">
        <w:rPr>
          <w:noProof/>
        </w:rPr>
        <w:t xml:space="preserve"> either to authorise the endorsement or to refuse it. </w:t>
      </w:r>
      <w:r w:rsidR="008225E5">
        <w:rPr>
          <w:noProof/>
        </w:rPr>
        <w:t>ESMA shall publicly notify t</w:t>
      </w:r>
      <w:r w:rsidR="0013188C" w:rsidRPr="006A39BB">
        <w:rPr>
          <w:noProof/>
        </w:rPr>
        <w:t xml:space="preserve">he decision to endorse provided by a third country </w:t>
      </w:r>
      <w:r w:rsidR="008225E5">
        <w:rPr>
          <w:noProof/>
        </w:rPr>
        <w:t xml:space="preserve">ESG rating </w:t>
      </w:r>
      <w:r w:rsidR="0013188C" w:rsidRPr="006A39BB">
        <w:rPr>
          <w:noProof/>
        </w:rPr>
        <w:t xml:space="preserve">provider. </w:t>
      </w:r>
    </w:p>
    <w:p w14:paraId="7E39E497" w14:textId="67E6E645" w:rsidR="0013188C" w:rsidRPr="006A39BB" w:rsidRDefault="002A7F8C" w:rsidP="002A7F8C">
      <w:pPr>
        <w:pStyle w:val="ManualNumPar1"/>
        <w:rPr>
          <w:noProof/>
        </w:rPr>
      </w:pPr>
      <w:r w:rsidRPr="002A7F8C">
        <w:rPr>
          <w:noProof/>
        </w:rPr>
        <w:t>4.</w:t>
      </w:r>
      <w:r w:rsidRPr="002A7F8C">
        <w:rPr>
          <w:noProof/>
        </w:rPr>
        <w:tab/>
      </w:r>
      <w:r w:rsidR="0013188C" w:rsidRPr="006A39BB">
        <w:rPr>
          <w:noProof/>
        </w:rPr>
        <w:t xml:space="preserve">An endorsed ESG rating shall be considered to be an ESG rating provided by the endorsing </w:t>
      </w:r>
      <w:r w:rsidR="008225E5">
        <w:rPr>
          <w:noProof/>
        </w:rPr>
        <w:t xml:space="preserve">ESG rating </w:t>
      </w:r>
      <w:r w:rsidR="0013188C" w:rsidRPr="006A39BB">
        <w:rPr>
          <w:noProof/>
        </w:rPr>
        <w:t xml:space="preserve">provider. The endorsing provider shall not use the endorsement </w:t>
      </w:r>
      <w:r w:rsidR="008225E5">
        <w:rPr>
          <w:noProof/>
        </w:rPr>
        <w:t>to avoid or circumvent</w:t>
      </w:r>
      <w:r w:rsidR="0013188C" w:rsidRPr="006A39BB">
        <w:rPr>
          <w:noProof/>
        </w:rPr>
        <w:t xml:space="preserve"> the requirements of this Regulation. </w:t>
      </w:r>
    </w:p>
    <w:p w14:paraId="0E037B94" w14:textId="30167082" w:rsidR="0013188C" w:rsidRPr="006A39BB" w:rsidRDefault="002A7F8C" w:rsidP="002A7F8C">
      <w:pPr>
        <w:pStyle w:val="ManualNumPar1"/>
        <w:rPr>
          <w:noProof/>
        </w:rPr>
      </w:pPr>
      <w:r w:rsidRPr="002A7F8C">
        <w:rPr>
          <w:noProof/>
        </w:rPr>
        <w:t>5.</w:t>
      </w:r>
      <w:r w:rsidRPr="002A7F8C">
        <w:rPr>
          <w:noProof/>
        </w:rPr>
        <w:tab/>
      </w:r>
      <w:r w:rsidR="0013188C" w:rsidRPr="006A39BB">
        <w:rPr>
          <w:noProof/>
        </w:rPr>
        <w:t>A</w:t>
      </w:r>
      <w:r w:rsidR="008225E5">
        <w:rPr>
          <w:noProof/>
        </w:rPr>
        <w:t>n ESG rating</w:t>
      </w:r>
      <w:r w:rsidR="0013188C" w:rsidRPr="006A39BB">
        <w:rPr>
          <w:noProof/>
        </w:rPr>
        <w:t xml:space="preserve"> provider that has endorsed an ESG rating provided </w:t>
      </w:r>
      <w:r w:rsidR="008225E5">
        <w:rPr>
          <w:noProof/>
        </w:rPr>
        <w:t>by a</w:t>
      </w:r>
      <w:r w:rsidR="0013188C" w:rsidRPr="006A39BB">
        <w:rPr>
          <w:noProof/>
        </w:rPr>
        <w:t xml:space="preserve"> third country </w:t>
      </w:r>
      <w:r w:rsidR="008225E5">
        <w:rPr>
          <w:noProof/>
        </w:rPr>
        <w:t xml:space="preserve">ESG rating provider </w:t>
      </w:r>
      <w:r w:rsidR="0013188C" w:rsidRPr="006A39BB">
        <w:rPr>
          <w:noProof/>
        </w:rPr>
        <w:t xml:space="preserve">shall remain fully responsible for such an ESG rating and for compliance with the obligations under this Regulation. </w:t>
      </w:r>
    </w:p>
    <w:p w14:paraId="36A8A705" w14:textId="4B0F96BB" w:rsidR="0013188C" w:rsidRPr="006A39BB" w:rsidRDefault="002A7F8C" w:rsidP="002A7F8C">
      <w:pPr>
        <w:pStyle w:val="ManualNumPar1"/>
        <w:rPr>
          <w:noProof/>
        </w:rPr>
      </w:pPr>
      <w:r w:rsidRPr="002A7F8C">
        <w:rPr>
          <w:noProof/>
        </w:rPr>
        <w:t>6.</w:t>
      </w:r>
      <w:r w:rsidRPr="002A7F8C">
        <w:rPr>
          <w:noProof/>
        </w:rPr>
        <w:tab/>
      </w:r>
      <w:r w:rsidR="0013188C" w:rsidRPr="006A39BB">
        <w:rPr>
          <w:noProof/>
        </w:rPr>
        <w:t xml:space="preserve">Where ESMA has well-founded reasons to consider that the conditions laid down </w:t>
      </w:r>
      <w:r w:rsidR="008225E5">
        <w:rPr>
          <w:noProof/>
        </w:rPr>
        <w:t xml:space="preserve">in </w:t>
      </w:r>
      <w:r w:rsidR="0013188C" w:rsidRPr="006A39BB">
        <w:rPr>
          <w:noProof/>
        </w:rPr>
        <w:t xml:space="preserve">paragraph 1 are no longer fulfilled, it shall have the power to require the endorsing </w:t>
      </w:r>
      <w:r w:rsidR="008225E5">
        <w:rPr>
          <w:noProof/>
        </w:rPr>
        <w:t xml:space="preserve">ESG rating </w:t>
      </w:r>
      <w:r w:rsidR="0013188C" w:rsidRPr="006A39BB">
        <w:rPr>
          <w:noProof/>
        </w:rPr>
        <w:t>provider to cease the endorsement.</w:t>
      </w:r>
    </w:p>
    <w:p w14:paraId="7F1C44E0" w14:textId="77777777" w:rsidR="0013188C" w:rsidRPr="00674E7A" w:rsidRDefault="0013188C" w:rsidP="00674E7A">
      <w:pPr>
        <w:pStyle w:val="Titrearticle"/>
        <w:spacing w:line="23" w:lineRule="atLeast"/>
        <w:rPr>
          <w:noProof/>
          <w:szCs w:val="24"/>
        </w:rPr>
      </w:pPr>
      <w:r w:rsidRPr="00674E7A">
        <w:rPr>
          <w:noProof/>
          <w:szCs w:val="24"/>
        </w:rPr>
        <w:t xml:space="preserve">Article </w:t>
      </w:r>
      <w:r w:rsidR="001D730B" w:rsidRPr="00674E7A">
        <w:rPr>
          <w:noProof/>
          <w:szCs w:val="24"/>
        </w:rPr>
        <w:t>11</w:t>
      </w:r>
    </w:p>
    <w:p w14:paraId="7A8B5250" w14:textId="77777777" w:rsidR="0013188C" w:rsidRPr="00674E7A" w:rsidRDefault="0013188C" w:rsidP="00674E7A">
      <w:pPr>
        <w:pStyle w:val="NormalCentered"/>
        <w:rPr>
          <w:b/>
          <w:bCs/>
          <w:noProof/>
          <w:lang w:eastAsia="en-IE"/>
        </w:rPr>
      </w:pPr>
      <w:r w:rsidRPr="00674E7A">
        <w:rPr>
          <w:b/>
          <w:bCs/>
          <w:noProof/>
          <w:lang w:eastAsia="en-IE"/>
        </w:rPr>
        <w:t xml:space="preserve">Recognition of </w:t>
      </w:r>
      <w:r w:rsidR="00F42C2D" w:rsidRPr="00674E7A">
        <w:rPr>
          <w:b/>
          <w:bCs/>
          <w:noProof/>
          <w:lang w:eastAsia="en-IE"/>
        </w:rPr>
        <w:t>third country</w:t>
      </w:r>
      <w:r w:rsidRPr="00674E7A">
        <w:rPr>
          <w:b/>
          <w:bCs/>
          <w:noProof/>
          <w:lang w:eastAsia="en-IE"/>
        </w:rPr>
        <w:t xml:space="preserve"> ESG rating provider</w:t>
      </w:r>
      <w:r w:rsidR="00F42C2D" w:rsidRPr="00674E7A">
        <w:rPr>
          <w:b/>
          <w:bCs/>
          <w:noProof/>
          <w:lang w:eastAsia="en-IE"/>
        </w:rPr>
        <w:t>s</w:t>
      </w:r>
    </w:p>
    <w:p w14:paraId="4DE1BA87" w14:textId="6CBA8866" w:rsidR="00162B2D" w:rsidRPr="00EC7BC1" w:rsidRDefault="002A7F8C" w:rsidP="002A7F8C">
      <w:pPr>
        <w:pStyle w:val="ManualNumPar1"/>
        <w:rPr>
          <w:noProof/>
        </w:rPr>
      </w:pPr>
      <w:r w:rsidRPr="002A7F8C">
        <w:rPr>
          <w:noProof/>
        </w:rPr>
        <w:t>1.</w:t>
      </w:r>
      <w:r w:rsidRPr="002A7F8C">
        <w:rPr>
          <w:noProof/>
        </w:rPr>
        <w:tab/>
      </w:r>
      <w:r w:rsidR="0013188C" w:rsidRPr="00EC7BC1">
        <w:rPr>
          <w:noProof/>
        </w:rPr>
        <w:t xml:space="preserve">Until </w:t>
      </w:r>
      <w:r w:rsidR="00F42C2D" w:rsidRPr="00EC7BC1">
        <w:rPr>
          <w:noProof/>
        </w:rPr>
        <w:t xml:space="preserve">the Commission has adopted </w:t>
      </w:r>
      <w:r w:rsidR="0013188C" w:rsidRPr="00EC7BC1">
        <w:rPr>
          <w:noProof/>
        </w:rPr>
        <w:t xml:space="preserve">an equivalence decision </w:t>
      </w:r>
      <w:r w:rsidR="00F42C2D" w:rsidRPr="00EC7BC1">
        <w:rPr>
          <w:noProof/>
        </w:rPr>
        <w:t>as referred to in</w:t>
      </w:r>
      <w:r w:rsidR="0013188C" w:rsidRPr="00EC7BC1">
        <w:rPr>
          <w:noProof/>
        </w:rPr>
        <w:t xml:space="preserve"> Article </w:t>
      </w:r>
      <w:r w:rsidR="0045586E" w:rsidRPr="00EC7BC1">
        <w:rPr>
          <w:noProof/>
        </w:rPr>
        <w:t>9</w:t>
      </w:r>
      <w:r w:rsidR="0013188C" w:rsidRPr="00EC7BC1">
        <w:rPr>
          <w:noProof/>
        </w:rPr>
        <w:t xml:space="preserve"> or, where adopted, in the event that the equivalence decision is repealed, </w:t>
      </w:r>
      <w:r w:rsidR="00F42C2D" w:rsidRPr="00EC7BC1">
        <w:rPr>
          <w:noProof/>
        </w:rPr>
        <w:t xml:space="preserve">third country </w:t>
      </w:r>
      <w:r w:rsidR="0013188C" w:rsidRPr="00EC7BC1">
        <w:rPr>
          <w:noProof/>
        </w:rPr>
        <w:t xml:space="preserve">ESG rating providers with an annual </w:t>
      </w:r>
      <w:r w:rsidR="00D42A36" w:rsidRPr="00EC7BC1">
        <w:rPr>
          <w:noProof/>
        </w:rPr>
        <w:t>net turnover</w:t>
      </w:r>
      <w:r w:rsidR="0013188C" w:rsidRPr="00EC7BC1">
        <w:rPr>
          <w:noProof/>
        </w:rPr>
        <w:t xml:space="preserve"> on their ESG rating activities below EUR 1</w:t>
      </w:r>
      <w:r w:rsidR="002A204D" w:rsidRPr="00EC7BC1">
        <w:rPr>
          <w:noProof/>
        </w:rPr>
        <w:t>2</w:t>
      </w:r>
      <w:r w:rsidR="0013188C" w:rsidRPr="00EC7BC1">
        <w:rPr>
          <w:noProof/>
        </w:rPr>
        <w:t xml:space="preserve"> million for three consecutive years may provide ESG ratings </w:t>
      </w:r>
      <w:r w:rsidR="00F42C2D" w:rsidRPr="00EC7BC1">
        <w:rPr>
          <w:noProof/>
        </w:rPr>
        <w:t>to regulated financial undertakings</w:t>
      </w:r>
      <w:r w:rsidR="00B7298F" w:rsidRPr="00EC7BC1">
        <w:rPr>
          <w:noProof/>
        </w:rPr>
        <w:t xml:space="preserve"> in the Union</w:t>
      </w:r>
      <w:r w:rsidR="0013188C" w:rsidRPr="00EC7BC1">
        <w:rPr>
          <w:noProof/>
        </w:rPr>
        <w:t xml:space="preserve">, provided that </w:t>
      </w:r>
      <w:r w:rsidR="00F42C2D" w:rsidRPr="00EC7BC1">
        <w:rPr>
          <w:noProof/>
        </w:rPr>
        <w:t xml:space="preserve">ESMA has recognised </w:t>
      </w:r>
      <w:r w:rsidR="0013188C" w:rsidRPr="00EC7BC1">
        <w:rPr>
          <w:noProof/>
        </w:rPr>
        <w:t>that</w:t>
      </w:r>
      <w:r w:rsidR="00F42C2D" w:rsidRPr="00EC7BC1">
        <w:rPr>
          <w:noProof/>
        </w:rPr>
        <w:t xml:space="preserve"> third country</w:t>
      </w:r>
      <w:r w:rsidR="0013188C" w:rsidRPr="00EC7BC1">
        <w:rPr>
          <w:noProof/>
        </w:rPr>
        <w:t xml:space="preserve"> ESG rating provider in accordance with this </w:t>
      </w:r>
      <w:r w:rsidR="00F42C2D" w:rsidRPr="00EC7BC1">
        <w:rPr>
          <w:noProof/>
        </w:rPr>
        <w:t xml:space="preserve">paragraphs </w:t>
      </w:r>
      <w:r w:rsidR="003027AB" w:rsidRPr="00EC7BC1">
        <w:rPr>
          <w:noProof/>
        </w:rPr>
        <w:t>XX and YY</w:t>
      </w:r>
      <w:r w:rsidR="0013188C" w:rsidRPr="00EC7BC1">
        <w:rPr>
          <w:noProof/>
        </w:rPr>
        <w:t>.</w:t>
      </w:r>
    </w:p>
    <w:p w14:paraId="67BDA36F" w14:textId="1056CB1B" w:rsidR="0013188C" w:rsidRPr="00EC7BC1" w:rsidRDefault="002A7F8C" w:rsidP="002A7F8C">
      <w:pPr>
        <w:pStyle w:val="ManualNumPar1"/>
        <w:rPr>
          <w:noProof/>
        </w:rPr>
      </w:pPr>
      <w:r w:rsidRPr="002A7F8C">
        <w:rPr>
          <w:noProof/>
        </w:rPr>
        <w:t>2.</w:t>
      </w:r>
      <w:r w:rsidRPr="002A7F8C">
        <w:rPr>
          <w:noProof/>
        </w:rPr>
        <w:tab/>
      </w:r>
      <w:r w:rsidR="003027AB" w:rsidRPr="00EC7BC1">
        <w:rPr>
          <w:noProof/>
        </w:rPr>
        <w:t xml:space="preserve">Third country </w:t>
      </w:r>
      <w:r w:rsidR="0013188C" w:rsidRPr="00EC7BC1">
        <w:rPr>
          <w:noProof/>
        </w:rPr>
        <w:t xml:space="preserve">ESG rating providers </w:t>
      </w:r>
      <w:r w:rsidR="003027AB" w:rsidRPr="00EC7BC1">
        <w:rPr>
          <w:noProof/>
        </w:rPr>
        <w:t xml:space="preserve">that wish to be recognised </w:t>
      </w:r>
      <w:r w:rsidR="0013188C" w:rsidRPr="00EC7BC1">
        <w:rPr>
          <w:noProof/>
        </w:rPr>
        <w:t>as referred to in paragraph 1 shall comply with the requirements established in this Regulation</w:t>
      </w:r>
      <w:r w:rsidR="00E16889" w:rsidRPr="00EC7BC1">
        <w:rPr>
          <w:noProof/>
        </w:rPr>
        <w:t xml:space="preserve"> and apply for </w:t>
      </w:r>
      <w:r w:rsidR="006E6627" w:rsidRPr="00EC7BC1">
        <w:rPr>
          <w:noProof/>
        </w:rPr>
        <w:t>recognition to ESMA</w:t>
      </w:r>
      <w:r w:rsidR="0013188C" w:rsidRPr="00EC7BC1">
        <w:rPr>
          <w:noProof/>
        </w:rPr>
        <w:t xml:space="preserve">. </w:t>
      </w:r>
      <w:r w:rsidR="008F6CBE" w:rsidRPr="00EC7BC1">
        <w:rPr>
          <w:noProof/>
        </w:rPr>
        <w:t>ESG rating providers may fulfil that condition by applying the IOSCO recommendations on ESG ratings provided that such application is equivalent to compliance with the requirements established in this Regulation.</w:t>
      </w:r>
    </w:p>
    <w:p w14:paraId="7133C3B8" w14:textId="77777777" w:rsidR="0013188C" w:rsidRPr="00EC7BC1" w:rsidRDefault="003027AB" w:rsidP="00EC7BC1">
      <w:pPr>
        <w:rPr>
          <w:noProof/>
        </w:rPr>
      </w:pPr>
      <w:r w:rsidRPr="00EC7BC1">
        <w:rPr>
          <w:noProof/>
        </w:rPr>
        <w:t>For the purposes of the first subparagraph</w:t>
      </w:r>
      <w:r w:rsidR="0013188C" w:rsidRPr="00EC7BC1">
        <w:rPr>
          <w:noProof/>
        </w:rPr>
        <w:t xml:space="preserve">, ESMA may take into account </w:t>
      </w:r>
      <w:r w:rsidR="000253C8" w:rsidRPr="00EC7BC1">
        <w:rPr>
          <w:noProof/>
        </w:rPr>
        <w:t xml:space="preserve">either </w:t>
      </w:r>
      <w:r w:rsidR="0013188C" w:rsidRPr="00EC7BC1">
        <w:rPr>
          <w:noProof/>
        </w:rPr>
        <w:t xml:space="preserve">an assessment by an independent external auditor or a certification </w:t>
      </w:r>
      <w:r w:rsidRPr="00EC7BC1">
        <w:rPr>
          <w:noProof/>
        </w:rPr>
        <w:t>of</w:t>
      </w:r>
      <w:r w:rsidR="0013188C" w:rsidRPr="00EC7BC1">
        <w:rPr>
          <w:noProof/>
        </w:rPr>
        <w:t xml:space="preserve"> the competent authority of the </w:t>
      </w:r>
      <w:r w:rsidR="000253C8" w:rsidRPr="00EC7BC1">
        <w:rPr>
          <w:noProof/>
        </w:rPr>
        <w:t xml:space="preserve">third country where the third country </w:t>
      </w:r>
      <w:r w:rsidR="0013188C" w:rsidRPr="00EC7BC1">
        <w:rPr>
          <w:noProof/>
        </w:rPr>
        <w:t>ESG rating provider is located.</w:t>
      </w:r>
    </w:p>
    <w:p w14:paraId="69E86759" w14:textId="5DE75FE5" w:rsidR="0013188C" w:rsidRPr="00EC7BC1" w:rsidRDefault="002A7F8C" w:rsidP="002A7F8C">
      <w:pPr>
        <w:pStyle w:val="ManualNumPar1"/>
        <w:rPr>
          <w:noProof/>
        </w:rPr>
      </w:pPr>
      <w:r w:rsidRPr="002A7F8C">
        <w:rPr>
          <w:noProof/>
        </w:rPr>
        <w:t>3.</w:t>
      </w:r>
      <w:r w:rsidRPr="002A7F8C">
        <w:rPr>
          <w:noProof/>
        </w:rPr>
        <w:tab/>
      </w:r>
      <w:r w:rsidR="002D62CD" w:rsidRPr="00EC7BC1">
        <w:rPr>
          <w:noProof/>
        </w:rPr>
        <w:t xml:space="preserve">Third country </w:t>
      </w:r>
      <w:r w:rsidR="0013188C" w:rsidRPr="00EC7BC1">
        <w:rPr>
          <w:noProof/>
        </w:rPr>
        <w:t xml:space="preserve">ESG rating providers </w:t>
      </w:r>
      <w:r w:rsidR="002D62CD" w:rsidRPr="00EC7BC1">
        <w:rPr>
          <w:noProof/>
        </w:rPr>
        <w:t>that wish to be recognised</w:t>
      </w:r>
      <w:r w:rsidR="0013188C" w:rsidRPr="00EC7BC1">
        <w:rPr>
          <w:noProof/>
        </w:rPr>
        <w:t xml:space="preserve"> as referred to in paragraph 1 shall have a legal representative. Th</w:t>
      </w:r>
      <w:r w:rsidR="002D62CD" w:rsidRPr="00EC7BC1">
        <w:rPr>
          <w:noProof/>
        </w:rPr>
        <w:t>at</w:t>
      </w:r>
      <w:r w:rsidR="0013188C" w:rsidRPr="00EC7BC1">
        <w:rPr>
          <w:noProof/>
        </w:rPr>
        <w:t xml:space="preserve"> legal representative shall be a legal person located in the Union and expressly appointed by that </w:t>
      </w:r>
      <w:r w:rsidR="002D62CD" w:rsidRPr="00EC7BC1">
        <w:rPr>
          <w:noProof/>
        </w:rPr>
        <w:t xml:space="preserve">third country </w:t>
      </w:r>
      <w:r w:rsidR="0013188C" w:rsidRPr="00EC7BC1">
        <w:rPr>
          <w:noProof/>
        </w:rPr>
        <w:t>ESG rating provider to act on behalf of that ESG rating provider with regard to th</w:t>
      </w:r>
      <w:r w:rsidR="002D62CD" w:rsidRPr="00EC7BC1">
        <w:rPr>
          <w:noProof/>
        </w:rPr>
        <w:t>at</w:t>
      </w:r>
      <w:r w:rsidR="0013188C" w:rsidRPr="00EC7BC1">
        <w:rPr>
          <w:noProof/>
        </w:rPr>
        <w:t xml:space="preserve"> ESG rating provider’s obligations under this Regulation and, in that respect, be accountable to ESMA.</w:t>
      </w:r>
    </w:p>
    <w:p w14:paraId="13D1A4C4" w14:textId="4197215A" w:rsidR="002D62CD" w:rsidRDefault="002A7F8C" w:rsidP="002A7F8C">
      <w:pPr>
        <w:pStyle w:val="ManualNumPar1"/>
        <w:rPr>
          <w:noProof/>
        </w:rPr>
      </w:pPr>
      <w:r w:rsidRPr="002A7F8C">
        <w:rPr>
          <w:noProof/>
        </w:rPr>
        <w:t>4.</w:t>
      </w:r>
      <w:r w:rsidRPr="002A7F8C">
        <w:rPr>
          <w:noProof/>
        </w:rPr>
        <w:tab/>
      </w:r>
      <w:r w:rsidR="0013188C" w:rsidRPr="006A39BB">
        <w:rPr>
          <w:noProof/>
        </w:rPr>
        <w:t xml:space="preserve">The </w:t>
      </w:r>
      <w:r w:rsidR="002D62CD">
        <w:rPr>
          <w:noProof/>
        </w:rPr>
        <w:t>third country</w:t>
      </w:r>
      <w:r w:rsidR="0013188C" w:rsidRPr="006A39BB">
        <w:rPr>
          <w:noProof/>
        </w:rPr>
        <w:t xml:space="preserve"> ESG rating provider shall provide </w:t>
      </w:r>
      <w:r w:rsidR="002D62CD">
        <w:rPr>
          <w:noProof/>
        </w:rPr>
        <w:t>ESMA, prior to the</w:t>
      </w:r>
      <w:r w:rsidR="002D62CD" w:rsidRPr="006A39BB">
        <w:rPr>
          <w:noProof/>
        </w:rPr>
        <w:t xml:space="preserve"> recognition</w:t>
      </w:r>
      <w:r w:rsidR="002D62CD">
        <w:rPr>
          <w:noProof/>
        </w:rPr>
        <w:t xml:space="preserve"> referred to in paragraph 1, with the following</w:t>
      </w:r>
      <w:r w:rsidR="00DF6E5A">
        <w:rPr>
          <w:noProof/>
        </w:rPr>
        <w:t xml:space="preserve"> information</w:t>
      </w:r>
      <w:r w:rsidR="002D62CD">
        <w:rPr>
          <w:noProof/>
        </w:rPr>
        <w:t>:</w:t>
      </w:r>
    </w:p>
    <w:p w14:paraId="6CAAA81A" w14:textId="38196727" w:rsidR="002D62CD" w:rsidRPr="00AB2B94" w:rsidRDefault="002A7F8C" w:rsidP="002A7F8C">
      <w:pPr>
        <w:pStyle w:val="Point1"/>
        <w:rPr>
          <w:noProof/>
        </w:rPr>
      </w:pPr>
      <w:r w:rsidRPr="002A7F8C">
        <w:rPr>
          <w:noProof/>
        </w:rPr>
        <w:t>(a)</w:t>
      </w:r>
      <w:r w:rsidRPr="002A7F8C">
        <w:rPr>
          <w:noProof/>
        </w:rPr>
        <w:tab/>
      </w:r>
      <w:r w:rsidR="002D62CD" w:rsidRPr="00AB2B94">
        <w:rPr>
          <w:noProof/>
        </w:rPr>
        <w:tab/>
        <w:t xml:space="preserve">all </w:t>
      </w:r>
      <w:r w:rsidR="0013188C" w:rsidRPr="00AB2B94">
        <w:rPr>
          <w:noProof/>
        </w:rPr>
        <w:t xml:space="preserve">information necessary to satisfy ESMA that </w:t>
      </w:r>
      <w:r w:rsidR="002D62CD" w:rsidRPr="00AB2B94">
        <w:rPr>
          <w:noProof/>
        </w:rPr>
        <w:t>that third country ESG rating provider</w:t>
      </w:r>
      <w:r w:rsidR="0013188C" w:rsidRPr="00AB2B94">
        <w:rPr>
          <w:noProof/>
        </w:rPr>
        <w:t xml:space="preserve"> has established all the necessary arrangements to meet the requirements referred to in paragraph 2</w:t>
      </w:r>
      <w:r w:rsidR="00F75F65" w:rsidRPr="00AB2B94">
        <w:rPr>
          <w:noProof/>
        </w:rPr>
        <w:t>;</w:t>
      </w:r>
    </w:p>
    <w:p w14:paraId="69FFD06C" w14:textId="36AD7976" w:rsidR="002D62CD" w:rsidRPr="00AB2B94" w:rsidRDefault="002A7F8C" w:rsidP="002A7F8C">
      <w:pPr>
        <w:pStyle w:val="Point1"/>
        <w:rPr>
          <w:noProof/>
        </w:rPr>
      </w:pPr>
      <w:r w:rsidRPr="002A7F8C">
        <w:rPr>
          <w:noProof/>
        </w:rPr>
        <w:t>(b)</w:t>
      </w:r>
      <w:r w:rsidRPr="002A7F8C">
        <w:rPr>
          <w:noProof/>
        </w:rPr>
        <w:tab/>
      </w:r>
      <w:r w:rsidR="002D62CD" w:rsidRPr="00AB2B94">
        <w:rPr>
          <w:noProof/>
        </w:rPr>
        <w:tab/>
      </w:r>
      <w:r w:rsidR="0013188C" w:rsidRPr="00AB2B94">
        <w:rPr>
          <w:noProof/>
        </w:rPr>
        <w:t>the list of its actual or prospective ESG ratings which are intended for provision in the Union</w:t>
      </w:r>
      <w:r w:rsidR="002D62CD" w:rsidRPr="00AB2B94">
        <w:rPr>
          <w:noProof/>
        </w:rPr>
        <w:t>;</w:t>
      </w:r>
    </w:p>
    <w:p w14:paraId="15EBBD7E" w14:textId="12CF52F0" w:rsidR="0013188C" w:rsidRPr="00AB2B94" w:rsidRDefault="002A7F8C" w:rsidP="002A7F8C">
      <w:pPr>
        <w:pStyle w:val="Point1"/>
        <w:rPr>
          <w:noProof/>
        </w:rPr>
      </w:pPr>
      <w:r w:rsidRPr="002A7F8C">
        <w:rPr>
          <w:noProof/>
        </w:rPr>
        <w:t>(c)</w:t>
      </w:r>
      <w:r w:rsidRPr="002A7F8C">
        <w:rPr>
          <w:noProof/>
        </w:rPr>
        <w:tab/>
      </w:r>
      <w:r w:rsidR="002D62CD" w:rsidRPr="00AB2B94">
        <w:rPr>
          <w:noProof/>
        </w:rPr>
        <w:tab/>
      </w:r>
      <w:r w:rsidR="0013188C" w:rsidRPr="00AB2B94">
        <w:rPr>
          <w:noProof/>
        </w:rPr>
        <w:t xml:space="preserve">where applicable, </w:t>
      </w:r>
      <w:r w:rsidR="002D62CD" w:rsidRPr="00AB2B94">
        <w:rPr>
          <w:noProof/>
        </w:rPr>
        <w:t>the name and contact details of</w:t>
      </w:r>
      <w:r w:rsidR="0013188C" w:rsidRPr="00AB2B94">
        <w:rPr>
          <w:noProof/>
        </w:rPr>
        <w:t xml:space="preserve"> the competent authority in the third country responsible for its supervision.</w:t>
      </w:r>
    </w:p>
    <w:p w14:paraId="0FD140BA" w14:textId="77777777" w:rsidR="0013188C" w:rsidRPr="006A39BB" w:rsidRDefault="0013188C" w:rsidP="00EC7BC1">
      <w:pPr>
        <w:rPr>
          <w:noProof/>
        </w:rPr>
      </w:pPr>
      <w:r w:rsidRPr="006A39BB">
        <w:rPr>
          <w:noProof/>
        </w:rPr>
        <w:t>ESMA shall verify that the conditions laid down in paragraphs 2 and 3 are fulfilled</w:t>
      </w:r>
      <w:r w:rsidR="00F75F65">
        <w:rPr>
          <w:noProof/>
        </w:rPr>
        <w:t xml:space="preserve"> w</w:t>
      </w:r>
      <w:r w:rsidR="00F75F65" w:rsidRPr="006A39BB">
        <w:rPr>
          <w:noProof/>
        </w:rPr>
        <w:t>ithin 90 working days of receipt of the application referred to in the first subparagraph of this paragraph</w:t>
      </w:r>
      <w:r w:rsidRPr="006A39BB">
        <w:rPr>
          <w:noProof/>
        </w:rPr>
        <w:t>.</w:t>
      </w:r>
    </w:p>
    <w:p w14:paraId="69ACCAA7" w14:textId="79176D76" w:rsidR="00F75F65" w:rsidRDefault="002A7F8C" w:rsidP="002A7F8C">
      <w:pPr>
        <w:pStyle w:val="ManualNumPar1"/>
        <w:rPr>
          <w:noProof/>
        </w:rPr>
      </w:pPr>
      <w:r w:rsidRPr="002A7F8C">
        <w:rPr>
          <w:noProof/>
        </w:rPr>
        <w:t>5.</w:t>
      </w:r>
      <w:r w:rsidRPr="002A7F8C">
        <w:rPr>
          <w:noProof/>
        </w:rPr>
        <w:tab/>
      </w:r>
      <w:r w:rsidR="0013188C" w:rsidRPr="006A39BB">
        <w:rPr>
          <w:noProof/>
        </w:rPr>
        <w:t xml:space="preserve">ESMA </w:t>
      </w:r>
      <w:r w:rsidR="00F75F65" w:rsidRPr="006A39BB">
        <w:rPr>
          <w:noProof/>
        </w:rPr>
        <w:t>shall recogni</w:t>
      </w:r>
      <w:r w:rsidR="00D10D81">
        <w:rPr>
          <w:noProof/>
        </w:rPr>
        <w:t>se the third country ESG rating provider as referred to in paragraph 1 provided that all of the following conditions are met</w:t>
      </w:r>
      <w:r w:rsidR="00F75F65">
        <w:rPr>
          <w:noProof/>
        </w:rPr>
        <w:t>:</w:t>
      </w:r>
    </w:p>
    <w:p w14:paraId="24E75385" w14:textId="24CD753D" w:rsidR="0013188C" w:rsidRPr="00AB2B94" w:rsidRDefault="002A7F8C" w:rsidP="002A7F8C">
      <w:pPr>
        <w:pStyle w:val="Point1"/>
        <w:rPr>
          <w:noProof/>
        </w:rPr>
      </w:pPr>
      <w:r w:rsidRPr="002A7F8C">
        <w:rPr>
          <w:noProof/>
        </w:rPr>
        <w:t>(a)</w:t>
      </w:r>
      <w:r w:rsidRPr="002A7F8C">
        <w:rPr>
          <w:noProof/>
        </w:rPr>
        <w:tab/>
      </w:r>
      <w:r w:rsidR="00F75F65" w:rsidRPr="00AB2B94">
        <w:rPr>
          <w:noProof/>
        </w:rPr>
        <w:tab/>
      </w:r>
      <w:r w:rsidR="00D10D81" w:rsidRPr="00AB2B94">
        <w:rPr>
          <w:noProof/>
        </w:rPr>
        <w:t xml:space="preserve">the third country ESG rating provider has complied with all </w:t>
      </w:r>
      <w:r w:rsidR="0013188C" w:rsidRPr="00AB2B94">
        <w:rPr>
          <w:noProof/>
        </w:rPr>
        <w:t>the conditions laid down in paragraphs 2</w:t>
      </w:r>
      <w:r w:rsidR="00F75F65" w:rsidRPr="00AB2B94">
        <w:rPr>
          <w:noProof/>
        </w:rPr>
        <w:t>,</w:t>
      </w:r>
      <w:r w:rsidR="0013188C" w:rsidRPr="00AB2B94">
        <w:rPr>
          <w:noProof/>
        </w:rPr>
        <w:t xml:space="preserve"> 3</w:t>
      </w:r>
      <w:r w:rsidR="00F75F65" w:rsidRPr="00AB2B94">
        <w:rPr>
          <w:noProof/>
        </w:rPr>
        <w:t xml:space="preserve"> and 4</w:t>
      </w:r>
    </w:p>
    <w:p w14:paraId="597BC98A" w14:textId="16A721EE" w:rsidR="0013188C" w:rsidRPr="006A39BB" w:rsidRDefault="002A7F8C" w:rsidP="002A7F8C">
      <w:pPr>
        <w:pStyle w:val="Point1"/>
        <w:rPr>
          <w:noProof/>
        </w:rPr>
      </w:pPr>
      <w:r w:rsidRPr="002A7F8C">
        <w:rPr>
          <w:noProof/>
        </w:rPr>
        <w:t>(b)</w:t>
      </w:r>
      <w:r w:rsidRPr="002A7F8C">
        <w:rPr>
          <w:noProof/>
        </w:rPr>
        <w:tab/>
      </w:r>
      <w:r w:rsidR="00D10D81">
        <w:rPr>
          <w:noProof/>
        </w:rPr>
        <w:tab/>
      </w:r>
      <w:r w:rsidR="0013188C" w:rsidRPr="006A39BB">
        <w:rPr>
          <w:noProof/>
        </w:rPr>
        <w:t xml:space="preserve">where </w:t>
      </w:r>
      <w:r w:rsidR="00D10D81">
        <w:rPr>
          <w:noProof/>
        </w:rPr>
        <w:t>the</w:t>
      </w:r>
      <w:r w:rsidR="0013188C" w:rsidRPr="006A39BB">
        <w:rPr>
          <w:noProof/>
        </w:rPr>
        <w:t xml:space="preserve"> </w:t>
      </w:r>
      <w:r w:rsidR="00D10D81">
        <w:rPr>
          <w:noProof/>
        </w:rPr>
        <w:t xml:space="preserve">third country </w:t>
      </w:r>
      <w:r w:rsidR="0013188C" w:rsidRPr="006A39BB">
        <w:rPr>
          <w:noProof/>
        </w:rPr>
        <w:t xml:space="preserve">ESG rating provider is subject to supervision, ESMA </w:t>
      </w:r>
      <w:r w:rsidR="00D830B7">
        <w:rPr>
          <w:noProof/>
        </w:rPr>
        <w:t xml:space="preserve">shall seek to put in place an appropriate cooperation arrangement with the relevant </w:t>
      </w:r>
      <w:r w:rsidR="0013188C" w:rsidRPr="006A39BB">
        <w:rPr>
          <w:noProof/>
        </w:rPr>
        <w:t xml:space="preserve">competent authority of the third country </w:t>
      </w:r>
      <w:r w:rsidR="00D830B7">
        <w:rPr>
          <w:noProof/>
        </w:rPr>
        <w:t>where</w:t>
      </w:r>
      <w:r w:rsidR="009B710B">
        <w:rPr>
          <w:noProof/>
        </w:rPr>
        <w:t xml:space="preserve"> the </w:t>
      </w:r>
      <w:r w:rsidR="009B710B" w:rsidRPr="006A39BB">
        <w:rPr>
          <w:noProof/>
        </w:rPr>
        <w:t>ESG rating provider</w:t>
      </w:r>
      <w:r w:rsidR="009B710B">
        <w:rPr>
          <w:noProof/>
        </w:rPr>
        <w:t xml:space="preserve"> is located, to ensure an efficient exchange of information</w:t>
      </w:r>
      <w:r w:rsidR="0013188C" w:rsidRPr="006A39BB">
        <w:rPr>
          <w:noProof/>
        </w:rPr>
        <w:t>;</w:t>
      </w:r>
    </w:p>
    <w:p w14:paraId="7CEFA41F" w14:textId="2794E879" w:rsidR="00DA7A39" w:rsidRDefault="002A7F8C" w:rsidP="002A7F8C">
      <w:pPr>
        <w:pStyle w:val="ManualNumPar1"/>
        <w:rPr>
          <w:noProof/>
        </w:rPr>
      </w:pPr>
      <w:r w:rsidRPr="002A7F8C">
        <w:rPr>
          <w:noProof/>
        </w:rPr>
        <w:t>6.</w:t>
      </w:r>
      <w:r w:rsidRPr="002A7F8C">
        <w:rPr>
          <w:noProof/>
        </w:rPr>
        <w:tab/>
      </w:r>
      <w:r w:rsidR="00DA7A39">
        <w:rPr>
          <w:noProof/>
        </w:rPr>
        <w:t xml:space="preserve">No recognition shall be granted </w:t>
      </w:r>
      <w:r w:rsidR="00601ACB">
        <w:rPr>
          <w:noProof/>
        </w:rPr>
        <w:t xml:space="preserve">where </w:t>
      </w:r>
      <w:r w:rsidR="00DA7A39" w:rsidRPr="006A39BB">
        <w:rPr>
          <w:noProof/>
        </w:rPr>
        <w:t xml:space="preserve">the effective exercise by ESMA of its supervisory functions under this Regulation is </w:t>
      </w:r>
      <w:r w:rsidR="00601ACB">
        <w:rPr>
          <w:noProof/>
        </w:rPr>
        <w:t>either</w:t>
      </w:r>
      <w:r w:rsidR="00DA7A39" w:rsidRPr="006A39BB">
        <w:rPr>
          <w:noProof/>
        </w:rPr>
        <w:t xml:space="preserve"> prevented by the laws, regulations or administrative provisions of the third country where the </w:t>
      </w:r>
      <w:r w:rsidR="00DA7A39">
        <w:rPr>
          <w:noProof/>
        </w:rPr>
        <w:t>third country ESG rating provider is established</w:t>
      </w:r>
      <w:r w:rsidR="00DA7A39" w:rsidRPr="006A39BB">
        <w:rPr>
          <w:noProof/>
        </w:rPr>
        <w:t>, or, where applicable, by limitations in the supervisory and investigatory powers of that third country’s competent authority.</w:t>
      </w:r>
    </w:p>
    <w:p w14:paraId="1078362C" w14:textId="71B428FA" w:rsidR="0013188C" w:rsidRPr="006A39BB" w:rsidRDefault="002A7F8C" w:rsidP="002A7F8C">
      <w:pPr>
        <w:pStyle w:val="ManualNumPar1"/>
        <w:rPr>
          <w:noProof/>
        </w:rPr>
      </w:pPr>
      <w:r w:rsidRPr="002A7F8C">
        <w:rPr>
          <w:noProof/>
        </w:rPr>
        <w:t>7.</w:t>
      </w:r>
      <w:r w:rsidRPr="002A7F8C">
        <w:rPr>
          <w:noProof/>
        </w:rPr>
        <w:tab/>
      </w:r>
      <w:r w:rsidR="0013188C" w:rsidRPr="006A39BB">
        <w:rPr>
          <w:noProof/>
        </w:rPr>
        <w:t>ESMA shall impose fines</w:t>
      </w:r>
      <w:r w:rsidR="00231534">
        <w:rPr>
          <w:noProof/>
        </w:rPr>
        <w:t>, in accordance with Article 30</w:t>
      </w:r>
      <w:r w:rsidR="0013188C" w:rsidRPr="006A39BB">
        <w:rPr>
          <w:noProof/>
        </w:rPr>
        <w:t xml:space="preserve">, suspend or, where appropriate, withdraw the recognition </w:t>
      </w:r>
      <w:r w:rsidR="002C5B89">
        <w:rPr>
          <w:noProof/>
        </w:rPr>
        <w:t>referred to in</w:t>
      </w:r>
      <w:r w:rsidR="0013188C" w:rsidRPr="006A39BB">
        <w:rPr>
          <w:noProof/>
        </w:rPr>
        <w:t xml:space="preserve"> paragraph 1 where it has well-founded reasons, based on documented evidence, to consider that the ESG rating provider: </w:t>
      </w:r>
    </w:p>
    <w:p w14:paraId="6EC2E1AA" w14:textId="38A01E38" w:rsidR="0013188C" w:rsidRPr="006A39BB" w:rsidRDefault="002A7F8C" w:rsidP="002A7F8C">
      <w:pPr>
        <w:pStyle w:val="Point1"/>
        <w:rPr>
          <w:noProof/>
        </w:rPr>
      </w:pPr>
      <w:r w:rsidRPr="002A7F8C">
        <w:rPr>
          <w:noProof/>
        </w:rPr>
        <w:t>(a)</w:t>
      </w:r>
      <w:r w:rsidRPr="002A7F8C">
        <w:rPr>
          <w:noProof/>
        </w:rPr>
        <w:tab/>
      </w:r>
      <w:r w:rsidR="0013188C" w:rsidRPr="006A39BB">
        <w:rPr>
          <w:noProof/>
        </w:rPr>
        <w:t>is acting</w:t>
      </w:r>
      <w:r w:rsidR="002C5B89">
        <w:rPr>
          <w:noProof/>
        </w:rPr>
        <w:t>, or has been acting,</w:t>
      </w:r>
      <w:r w:rsidR="0013188C" w:rsidRPr="006A39BB">
        <w:rPr>
          <w:noProof/>
        </w:rPr>
        <w:t xml:space="preserve"> in a manner which is clearly prejudicial to the interests of users of its ESG ratings or to the orderly functioning of markets; </w:t>
      </w:r>
    </w:p>
    <w:p w14:paraId="455832FD" w14:textId="3F90FF54" w:rsidR="0013188C" w:rsidRPr="006A39BB" w:rsidRDefault="002A7F8C" w:rsidP="002A7F8C">
      <w:pPr>
        <w:pStyle w:val="Point1"/>
        <w:rPr>
          <w:noProof/>
        </w:rPr>
      </w:pPr>
      <w:r w:rsidRPr="002A7F8C">
        <w:rPr>
          <w:noProof/>
        </w:rPr>
        <w:t>(b)</w:t>
      </w:r>
      <w:r w:rsidRPr="002A7F8C">
        <w:rPr>
          <w:noProof/>
        </w:rPr>
        <w:tab/>
      </w:r>
      <w:r w:rsidR="0013188C" w:rsidRPr="006A39BB">
        <w:rPr>
          <w:noProof/>
        </w:rPr>
        <w:t xml:space="preserve">has seriously infringed the </w:t>
      </w:r>
      <w:r w:rsidR="002C5B89">
        <w:rPr>
          <w:noProof/>
        </w:rPr>
        <w:t>applicable</w:t>
      </w:r>
      <w:r w:rsidR="0013188C" w:rsidRPr="006A39BB">
        <w:rPr>
          <w:noProof/>
        </w:rPr>
        <w:t xml:space="preserve"> requirements set out in this Regulation; </w:t>
      </w:r>
    </w:p>
    <w:p w14:paraId="63A8F40B" w14:textId="644ED6BD" w:rsidR="0013188C" w:rsidRPr="006A39BB" w:rsidRDefault="002A7F8C" w:rsidP="002A7F8C">
      <w:pPr>
        <w:pStyle w:val="Point1"/>
        <w:rPr>
          <w:noProof/>
        </w:rPr>
      </w:pPr>
      <w:r w:rsidRPr="002A7F8C">
        <w:rPr>
          <w:noProof/>
        </w:rPr>
        <w:t>(c)</w:t>
      </w:r>
      <w:r w:rsidRPr="002A7F8C">
        <w:rPr>
          <w:noProof/>
        </w:rPr>
        <w:tab/>
      </w:r>
      <w:r w:rsidR="0013188C" w:rsidRPr="006A39BB">
        <w:rPr>
          <w:noProof/>
        </w:rPr>
        <w:t>made false statements or used any other irregular means to obtain the recognition.</w:t>
      </w:r>
    </w:p>
    <w:p w14:paraId="63A7258E" w14:textId="70DCDE73" w:rsidR="00EC7BC1" w:rsidRDefault="002A7F8C" w:rsidP="002A7F8C">
      <w:pPr>
        <w:pStyle w:val="ManualNumPar1"/>
        <w:rPr>
          <w:noProof/>
        </w:rPr>
      </w:pPr>
      <w:r w:rsidRPr="002A7F8C">
        <w:rPr>
          <w:noProof/>
        </w:rPr>
        <w:t>8.</w:t>
      </w:r>
      <w:r w:rsidRPr="002A7F8C">
        <w:rPr>
          <w:noProof/>
        </w:rPr>
        <w:tab/>
      </w:r>
      <w:r w:rsidR="0013188C" w:rsidRPr="006A39BB">
        <w:rPr>
          <w:noProof/>
        </w:rPr>
        <w:t xml:space="preserve">ESMA </w:t>
      </w:r>
      <w:r w:rsidR="004C7E72">
        <w:rPr>
          <w:noProof/>
        </w:rPr>
        <w:t>shall</w:t>
      </w:r>
      <w:r w:rsidR="0013188C" w:rsidRPr="006A39BB">
        <w:rPr>
          <w:noProof/>
        </w:rPr>
        <w:t xml:space="preserve"> develop draft regulatory technical standards to determine the form and content of the application referred to in paragraph</w:t>
      </w:r>
      <w:r w:rsidR="00C10634">
        <w:rPr>
          <w:noProof/>
        </w:rPr>
        <w:t xml:space="preserve"> 2</w:t>
      </w:r>
      <w:r w:rsidR="0013188C" w:rsidRPr="006A39BB">
        <w:rPr>
          <w:noProof/>
        </w:rPr>
        <w:t xml:space="preserve"> and, in particular, the presentation of the information required in paragraph </w:t>
      </w:r>
      <w:r w:rsidR="002C5B89">
        <w:rPr>
          <w:noProof/>
        </w:rPr>
        <w:t>4</w:t>
      </w:r>
      <w:r w:rsidR="0013188C" w:rsidRPr="006A39BB">
        <w:rPr>
          <w:noProof/>
        </w:rPr>
        <w:t xml:space="preserve">. ESMA shall submit them to the Commission. </w:t>
      </w:r>
    </w:p>
    <w:p w14:paraId="1E58B771" w14:textId="77777777" w:rsidR="0013188C" w:rsidRPr="00EC7BC1" w:rsidRDefault="0013188C" w:rsidP="00EC7BC1">
      <w:pPr>
        <w:rPr>
          <w:noProof/>
        </w:rPr>
      </w:pPr>
      <w:r w:rsidRPr="00EC7BC1">
        <w:rPr>
          <w:noProof/>
        </w:rPr>
        <w:t>Power is conferred on the Commission to adopt the regulatory technical standards referred to in the first subparagraph in accordance with the procedure laid down in Articles 10 to 14 of Regulation (EU) No 1095/2010.</w:t>
      </w:r>
    </w:p>
    <w:p w14:paraId="4C823162" w14:textId="77777777" w:rsidR="0013188C" w:rsidRPr="00674E7A" w:rsidRDefault="0013188C" w:rsidP="00674E7A">
      <w:pPr>
        <w:pStyle w:val="Titrearticle"/>
        <w:spacing w:line="23" w:lineRule="atLeast"/>
        <w:rPr>
          <w:noProof/>
          <w:szCs w:val="24"/>
        </w:rPr>
      </w:pPr>
      <w:r w:rsidRPr="00674E7A">
        <w:rPr>
          <w:noProof/>
          <w:szCs w:val="24"/>
        </w:rPr>
        <w:t xml:space="preserve">Article </w:t>
      </w:r>
      <w:r w:rsidR="001D730B" w:rsidRPr="00674E7A">
        <w:rPr>
          <w:noProof/>
          <w:szCs w:val="24"/>
        </w:rPr>
        <w:t>12</w:t>
      </w:r>
    </w:p>
    <w:p w14:paraId="39AD5372" w14:textId="77777777" w:rsidR="0013188C" w:rsidRPr="00674E7A" w:rsidRDefault="00456A78" w:rsidP="00674E7A">
      <w:pPr>
        <w:pStyle w:val="NormalCentered"/>
        <w:rPr>
          <w:b/>
          <w:bCs/>
          <w:noProof/>
          <w:lang w:eastAsia="en-IE"/>
        </w:rPr>
      </w:pPr>
      <w:r w:rsidRPr="00674E7A">
        <w:rPr>
          <w:b/>
          <w:bCs/>
          <w:noProof/>
          <w:lang w:eastAsia="en-IE"/>
        </w:rPr>
        <w:t>Cooperation arrangements</w:t>
      </w:r>
    </w:p>
    <w:p w14:paraId="496703E5" w14:textId="07555CFC" w:rsidR="001C77B7" w:rsidRPr="00AB2B94" w:rsidRDefault="002A7F8C" w:rsidP="002A7F8C">
      <w:pPr>
        <w:pStyle w:val="ManualNumPar1"/>
        <w:rPr>
          <w:noProof/>
        </w:rPr>
      </w:pPr>
      <w:r w:rsidRPr="002A7F8C">
        <w:rPr>
          <w:noProof/>
        </w:rPr>
        <w:t>1.</w:t>
      </w:r>
      <w:r w:rsidRPr="002A7F8C">
        <w:rPr>
          <w:noProof/>
        </w:rPr>
        <w:tab/>
      </w:r>
      <w:r w:rsidR="00764546" w:rsidRPr="00AB2B94">
        <w:rPr>
          <w:noProof/>
        </w:rPr>
        <w:t>Any</w:t>
      </w:r>
      <w:r w:rsidR="0013188C" w:rsidRPr="00AB2B94">
        <w:rPr>
          <w:noProof/>
        </w:rPr>
        <w:t xml:space="preserve"> cooperation </w:t>
      </w:r>
      <w:r w:rsidR="002A2317" w:rsidRPr="00AB2B94">
        <w:rPr>
          <w:noProof/>
        </w:rPr>
        <w:t>arrangement</w:t>
      </w:r>
      <w:r w:rsidR="00764546" w:rsidRPr="00AB2B94">
        <w:rPr>
          <w:noProof/>
        </w:rPr>
        <w:t xml:space="preserve"> as referred to in </w:t>
      </w:r>
      <w:r w:rsidR="006966AD" w:rsidRPr="00AB2B94">
        <w:rPr>
          <w:noProof/>
        </w:rPr>
        <w:t xml:space="preserve">Article 9(4), Article 10(1), point (f) and </w:t>
      </w:r>
      <w:r w:rsidR="00764546" w:rsidRPr="00AB2B94">
        <w:rPr>
          <w:noProof/>
        </w:rPr>
        <w:t xml:space="preserve">Article 11(5), point (b), shall be </w:t>
      </w:r>
      <w:r w:rsidR="0013188C" w:rsidRPr="00AB2B94">
        <w:rPr>
          <w:noProof/>
        </w:rPr>
        <w:t xml:space="preserve">subject to guarantees of professional secrecy which are at least equivalent to those set out in Article </w:t>
      </w:r>
      <w:r w:rsidR="001762E2" w:rsidRPr="00AB2B94">
        <w:rPr>
          <w:noProof/>
        </w:rPr>
        <w:t>44</w:t>
      </w:r>
      <w:r w:rsidR="0013188C" w:rsidRPr="00AB2B94">
        <w:rPr>
          <w:noProof/>
        </w:rPr>
        <w:t>.</w:t>
      </w:r>
      <w:r w:rsidR="0025756E" w:rsidRPr="00AB2B94">
        <w:rPr>
          <w:noProof/>
        </w:rPr>
        <w:t xml:space="preserve"> </w:t>
      </w:r>
      <w:r w:rsidR="00CC3505" w:rsidRPr="00AB2B94">
        <w:rPr>
          <w:noProof/>
        </w:rPr>
        <w:t>The</w:t>
      </w:r>
      <w:r w:rsidR="0013188C" w:rsidRPr="00AB2B94">
        <w:rPr>
          <w:noProof/>
        </w:rPr>
        <w:t xml:space="preserve"> exchange of information</w:t>
      </w:r>
      <w:r w:rsidR="0025756E" w:rsidRPr="00AB2B94">
        <w:rPr>
          <w:noProof/>
        </w:rPr>
        <w:t xml:space="preserve"> performed under such cooperation arrangements</w:t>
      </w:r>
      <w:r w:rsidR="0013188C" w:rsidRPr="00AB2B94">
        <w:rPr>
          <w:noProof/>
        </w:rPr>
        <w:t xml:space="preserve"> shall be intended for the performance of the tasks of ESMA or </w:t>
      </w:r>
      <w:r w:rsidR="00143EAD" w:rsidRPr="00AB2B94">
        <w:rPr>
          <w:noProof/>
        </w:rPr>
        <w:t>the</w:t>
      </w:r>
      <w:r w:rsidR="0013188C" w:rsidRPr="00AB2B94">
        <w:rPr>
          <w:noProof/>
        </w:rPr>
        <w:t xml:space="preserve"> </w:t>
      </w:r>
      <w:r w:rsidR="004A2E98" w:rsidRPr="00AB2B94">
        <w:rPr>
          <w:noProof/>
        </w:rPr>
        <w:t>competent</w:t>
      </w:r>
      <w:r w:rsidR="0013188C" w:rsidRPr="00AB2B94">
        <w:rPr>
          <w:noProof/>
        </w:rPr>
        <w:t xml:space="preserve"> authorities.</w:t>
      </w:r>
    </w:p>
    <w:p w14:paraId="100D4CF9" w14:textId="411CC243" w:rsidR="0013188C" w:rsidRPr="00EC7BC1" w:rsidRDefault="002A7F8C" w:rsidP="002A7F8C">
      <w:pPr>
        <w:pStyle w:val="ManualNumPar1"/>
        <w:rPr>
          <w:noProof/>
        </w:rPr>
      </w:pPr>
      <w:r w:rsidRPr="002A7F8C">
        <w:rPr>
          <w:noProof/>
        </w:rPr>
        <w:t>2.</w:t>
      </w:r>
      <w:r w:rsidRPr="002A7F8C">
        <w:rPr>
          <w:noProof/>
        </w:rPr>
        <w:tab/>
      </w:r>
      <w:r w:rsidR="0013188C" w:rsidRPr="00EC7BC1">
        <w:rPr>
          <w:noProof/>
        </w:rPr>
        <w:t>With regard to transfer of personal data to a third country, ESMA shall apply Regulation (EU) 2018/1725 of the European Parliament and of the Council</w:t>
      </w:r>
      <w:r w:rsidR="0013188C" w:rsidRPr="00AB2B94">
        <w:rPr>
          <w:rStyle w:val="FootnoteReference"/>
          <w:noProof/>
        </w:rPr>
        <w:footnoteReference w:id="52"/>
      </w:r>
      <w:r w:rsidR="0013188C" w:rsidRPr="00EC7BC1">
        <w:rPr>
          <w:noProof/>
        </w:rPr>
        <w:t>.</w:t>
      </w:r>
    </w:p>
    <w:p w14:paraId="694EABB2" w14:textId="77777777" w:rsidR="00FC5A23" w:rsidRPr="00674E7A" w:rsidRDefault="00764546" w:rsidP="00720AE8">
      <w:pPr>
        <w:pStyle w:val="NormalCentered"/>
        <w:rPr>
          <w:noProof/>
        </w:rPr>
      </w:pPr>
      <w:r w:rsidRPr="00674E7A">
        <w:rPr>
          <w:noProof/>
        </w:rPr>
        <w:t>CHAPTER 3</w:t>
      </w:r>
    </w:p>
    <w:p w14:paraId="0A1DB132" w14:textId="504F6341" w:rsidR="00FC5A23" w:rsidRPr="006A39BB" w:rsidRDefault="007721EE" w:rsidP="00720AE8">
      <w:pPr>
        <w:pStyle w:val="NormalCentered"/>
        <w:rPr>
          <w:rStyle w:val="italics"/>
          <w:b/>
          <w:bCs/>
          <w:noProof/>
          <w:szCs w:val="24"/>
        </w:rPr>
      </w:pPr>
      <w:r w:rsidRPr="006A39BB">
        <w:rPr>
          <w:rStyle w:val="italics"/>
          <w:b/>
          <w:bCs/>
          <w:noProof/>
          <w:szCs w:val="24"/>
        </w:rPr>
        <w:t xml:space="preserve">Register </w:t>
      </w:r>
      <w:r w:rsidR="003C5656">
        <w:rPr>
          <w:rStyle w:val="italics"/>
          <w:b/>
          <w:bCs/>
          <w:noProof/>
          <w:szCs w:val="24"/>
        </w:rPr>
        <w:t>and accessibility of information</w:t>
      </w:r>
    </w:p>
    <w:p w14:paraId="3023835D" w14:textId="77777777" w:rsidR="00FC5A23" w:rsidRPr="00720AE8" w:rsidRDefault="00FC5A23" w:rsidP="00720AE8">
      <w:pPr>
        <w:pStyle w:val="Titrearticle"/>
        <w:spacing w:line="23" w:lineRule="atLeast"/>
        <w:rPr>
          <w:noProof/>
          <w:szCs w:val="24"/>
        </w:rPr>
      </w:pPr>
      <w:r w:rsidRPr="00720AE8">
        <w:rPr>
          <w:noProof/>
          <w:szCs w:val="24"/>
        </w:rPr>
        <w:t xml:space="preserve">Article </w:t>
      </w:r>
      <w:r w:rsidR="001D730B" w:rsidRPr="00720AE8">
        <w:rPr>
          <w:noProof/>
          <w:szCs w:val="24"/>
        </w:rPr>
        <w:t>13</w:t>
      </w:r>
    </w:p>
    <w:p w14:paraId="5D73431A" w14:textId="77B3B195" w:rsidR="00FC5A23" w:rsidRPr="00720AE8" w:rsidRDefault="00FC5A23" w:rsidP="00720AE8">
      <w:pPr>
        <w:pStyle w:val="NormalCentered"/>
        <w:rPr>
          <w:b/>
          <w:bCs/>
          <w:noProof/>
          <w:lang w:eastAsia="en-IE"/>
        </w:rPr>
      </w:pPr>
      <w:r w:rsidRPr="00720AE8">
        <w:rPr>
          <w:b/>
          <w:bCs/>
          <w:noProof/>
          <w:lang w:eastAsia="en-IE"/>
        </w:rPr>
        <w:t>Register of ESG rating providers</w:t>
      </w:r>
      <w:r w:rsidR="003C5656">
        <w:rPr>
          <w:b/>
          <w:bCs/>
          <w:noProof/>
          <w:lang w:eastAsia="en-IE"/>
        </w:rPr>
        <w:t xml:space="preserve"> and accessibility </w:t>
      </w:r>
      <w:r w:rsidR="003C5656" w:rsidRPr="00FF7C12">
        <w:rPr>
          <w:rFonts w:eastAsia="Calibri"/>
          <w:b/>
          <w:bCs/>
          <w:noProof/>
          <w:szCs w:val="24"/>
          <w:lang w:val="en-IE"/>
        </w:rPr>
        <w:t>of information on the European Single Access Point (ESAP)</w:t>
      </w:r>
    </w:p>
    <w:p w14:paraId="29E21EC1" w14:textId="3A07322D" w:rsidR="00FC5A23" w:rsidRPr="0002130B" w:rsidRDefault="002A7F8C" w:rsidP="002A7F8C">
      <w:pPr>
        <w:pStyle w:val="ManualNumPar1"/>
        <w:rPr>
          <w:noProof/>
        </w:rPr>
      </w:pPr>
      <w:r w:rsidRPr="002A7F8C">
        <w:rPr>
          <w:noProof/>
        </w:rPr>
        <w:t>1.</w:t>
      </w:r>
      <w:r w:rsidRPr="002A7F8C">
        <w:rPr>
          <w:noProof/>
        </w:rPr>
        <w:tab/>
      </w:r>
      <w:r w:rsidR="00FC5A23" w:rsidRPr="0002130B">
        <w:rPr>
          <w:noProof/>
        </w:rPr>
        <w:t>ESMA shall establish and maintain a register that contains information on</w:t>
      </w:r>
      <w:r w:rsidR="00764546" w:rsidRPr="0002130B">
        <w:rPr>
          <w:noProof/>
        </w:rPr>
        <w:t xml:space="preserve"> all of the following:</w:t>
      </w:r>
    </w:p>
    <w:p w14:paraId="62C29193" w14:textId="65744EFD" w:rsidR="00FC5A23" w:rsidRPr="00AB2B94" w:rsidRDefault="002A7F8C" w:rsidP="002A7F8C">
      <w:pPr>
        <w:pStyle w:val="Point1"/>
        <w:rPr>
          <w:noProof/>
        </w:rPr>
      </w:pPr>
      <w:r w:rsidRPr="002A7F8C">
        <w:rPr>
          <w:noProof/>
        </w:rPr>
        <w:t>(a)</w:t>
      </w:r>
      <w:r w:rsidRPr="002A7F8C">
        <w:rPr>
          <w:noProof/>
        </w:rPr>
        <w:tab/>
      </w:r>
      <w:r w:rsidR="00125EC4" w:rsidRPr="00AB2B94">
        <w:rPr>
          <w:noProof/>
        </w:rPr>
        <w:tab/>
      </w:r>
      <w:r w:rsidR="00FC5A23" w:rsidRPr="00AB2B94">
        <w:rPr>
          <w:noProof/>
        </w:rPr>
        <w:t xml:space="preserve">the identities of the ESG rating providers authorised pursuant to Article </w:t>
      </w:r>
      <w:r w:rsidR="00C44376" w:rsidRPr="00AB2B94">
        <w:rPr>
          <w:noProof/>
        </w:rPr>
        <w:t>7</w:t>
      </w:r>
      <w:r w:rsidR="00FC5A23" w:rsidRPr="00AB2B94">
        <w:rPr>
          <w:noProof/>
        </w:rPr>
        <w:t>;</w:t>
      </w:r>
    </w:p>
    <w:p w14:paraId="5D57AED5" w14:textId="0DCF5173" w:rsidR="00FC5A23" w:rsidRPr="006A39BB" w:rsidRDefault="002A7F8C" w:rsidP="002A7F8C">
      <w:pPr>
        <w:pStyle w:val="Point1"/>
        <w:rPr>
          <w:noProof/>
        </w:rPr>
      </w:pPr>
      <w:r w:rsidRPr="002A7F8C">
        <w:rPr>
          <w:noProof/>
        </w:rPr>
        <w:t>(b)</w:t>
      </w:r>
      <w:r w:rsidRPr="002A7F8C">
        <w:rPr>
          <w:noProof/>
        </w:rPr>
        <w:tab/>
      </w:r>
      <w:r w:rsidR="00125EC4">
        <w:rPr>
          <w:noProof/>
        </w:rPr>
        <w:tab/>
      </w:r>
      <w:r w:rsidR="00FC5A23" w:rsidRPr="006A39BB">
        <w:rPr>
          <w:noProof/>
        </w:rPr>
        <w:t xml:space="preserve">the identities of </w:t>
      </w:r>
      <w:r w:rsidR="00125EC4">
        <w:rPr>
          <w:noProof/>
        </w:rPr>
        <w:t xml:space="preserve">third country </w:t>
      </w:r>
      <w:r w:rsidR="00FC5A23" w:rsidRPr="006A39BB">
        <w:rPr>
          <w:noProof/>
        </w:rPr>
        <w:t xml:space="preserve">ESG rating providers that comply with the conditions laid down in Article </w:t>
      </w:r>
      <w:r w:rsidR="00C44376" w:rsidRPr="006A39BB">
        <w:rPr>
          <w:noProof/>
        </w:rPr>
        <w:t>9</w:t>
      </w:r>
      <w:r w:rsidR="00FC5A23" w:rsidRPr="006A39BB">
        <w:rPr>
          <w:noProof/>
        </w:rPr>
        <w:t xml:space="preserve"> and the third country competent authorities responsible for the supervision </w:t>
      </w:r>
      <w:r w:rsidR="00125EC4">
        <w:rPr>
          <w:noProof/>
        </w:rPr>
        <w:t>of those third country ESG rating providers</w:t>
      </w:r>
      <w:r w:rsidR="00FC5A23" w:rsidRPr="006A39BB">
        <w:rPr>
          <w:noProof/>
        </w:rPr>
        <w:t>;</w:t>
      </w:r>
    </w:p>
    <w:p w14:paraId="07DB19F1" w14:textId="3E7446DD" w:rsidR="00FC5A23" w:rsidRPr="006A39BB" w:rsidRDefault="002A7F8C" w:rsidP="002A7F8C">
      <w:pPr>
        <w:pStyle w:val="Point1"/>
        <w:rPr>
          <w:noProof/>
        </w:rPr>
      </w:pPr>
      <w:r w:rsidRPr="002A7F8C">
        <w:rPr>
          <w:noProof/>
        </w:rPr>
        <w:t>(c)</w:t>
      </w:r>
      <w:r w:rsidRPr="002A7F8C">
        <w:rPr>
          <w:noProof/>
        </w:rPr>
        <w:tab/>
      </w:r>
      <w:r w:rsidR="00125EC4">
        <w:rPr>
          <w:noProof/>
        </w:rPr>
        <w:tab/>
      </w:r>
      <w:r w:rsidR="00FC5A23" w:rsidRPr="006A39BB">
        <w:rPr>
          <w:noProof/>
        </w:rPr>
        <w:t xml:space="preserve">the identities of the endorsing </w:t>
      </w:r>
      <w:r w:rsidR="00A37945">
        <w:rPr>
          <w:noProof/>
        </w:rPr>
        <w:t xml:space="preserve">ESG rating provider </w:t>
      </w:r>
      <w:r w:rsidR="00FC5A23" w:rsidRPr="006A39BB">
        <w:rPr>
          <w:noProof/>
        </w:rPr>
        <w:t xml:space="preserve">and </w:t>
      </w:r>
      <w:r w:rsidR="00A37945">
        <w:rPr>
          <w:noProof/>
        </w:rPr>
        <w:t xml:space="preserve">the </w:t>
      </w:r>
      <w:r w:rsidR="00FC5A23" w:rsidRPr="006A39BB">
        <w:rPr>
          <w:noProof/>
        </w:rPr>
        <w:t xml:space="preserve">endorsed </w:t>
      </w:r>
      <w:r w:rsidR="00A37945">
        <w:rPr>
          <w:noProof/>
        </w:rPr>
        <w:t xml:space="preserve">third country </w:t>
      </w:r>
      <w:r w:rsidR="00FC5A23" w:rsidRPr="006A39BB">
        <w:rPr>
          <w:noProof/>
        </w:rPr>
        <w:t>ESG rating provider</w:t>
      </w:r>
      <w:r w:rsidR="00A37945">
        <w:rPr>
          <w:noProof/>
        </w:rPr>
        <w:t xml:space="preserve"> referred to in Article 10</w:t>
      </w:r>
      <w:r w:rsidR="00FC5A23" w:rsidRPr="006A39BB">
        <w:rPr>
          <w:noProof/>
        </w:rPr>
        <w:t xml:space="preserve">, and, where applicable, the third country competent authorities </w:t>
      </w:r>
      <w:r w:rsidR="00A37945">
        <w:rPr>
          <w:noProof/>
        </w:rPr>
        <w:t xml:space="preserve">that are </w:t>
      </w:r>
      <w:r w:rsidR="00FC5A23" w:rsidRPr="006A39BB">
        <w:rPr>
          <w:noProof/>
        </w:rPr>
        <w:t xml:space="preserve">responsible for the supervision </w:t>
      </w:r>
      <w:r w:rsidR="00A37945">
        <w:rPr>
          <w:noProof/>
        </w:rPr>
        <w:t>of the endorsed third country ESG rating provider</w:t>
      </w:r>
      <w:r w:rsidR="00E80326" w:rsidRPr="006A39BB">
        <w:rPr>
          <w:noProof/>
        </w:rPr>
        <w:t>;</w:t>
      </w:r>
    </w:p>
    <w:p w14:paraId="7B7EEFFD" w14:textId="7F0358D8" w:rsidR="00FC5A23" w:rsidRPr="006A39BB" w:rsidRDefault="002A7F8C" w:rsidP="002A7F8C">
      <w:pPr>
        <w:pStyle w:val="Point1"/>
        <w:rPr>
          <w:noProof/>
        </w:rPr>
      </w:pPr>
      <w:r w:rsidRPr="002A7F8C">
        <w:rPr>
          <w:noProof/>
        </w:rPr>
        <w:t>(d)</w:t>
      </w:r>
      <w:r w:rsidRPr="002A7F8C">
        <w:rPr>
          <w:noProof/>
        </w:rPr>
        <w:tab/>
      </w:r>
      <w:r w:rsidR="00125EC4">
        <w:rPr>
          <w:noProof/>
        </w:rPr>
        <w:tab/>
      </w:r>
      <w:r w:rsidR="00FC5A23" w:rsidRPr="006A39BB">
        <w:rPr>
          <w:noProof/>
        </w:rPr>
        <w:t xml:space="preserve">the identities of the </w:t>
      </w:r>
      <w:r w:rsidR="005F2D3A">
        <w:rPr>
          <w:noProof/>
        </w:rPr>
        <w:t xml:space="preserve">third country </w:t>
      </w:r>
      <w:r w:rsidR="00FC5A23" w:rsidRPr="006A39BB">
        <w:rPr>
          <w:noProof/>
        </w:rPr>
        <w:t xml:space="preserve">ESG rating providers that </w:t>
      </w:r>
      <w:r w:rsidR="005F2D3A">
        <w:rPr>
          <w:noProof/>
        </w:rPr>
        <w:t>have been recognised</w:t>
      </w:r>
      <w:r w:rsidR="00FC5A23" w:rsidRPr="006A39BB">
        <w:rPr>
          <w:noProof/>
        </w:rPr>
        <w:t xml:space="preserve"> in accordance with Article </w:t>
      </w:r>
      <w:r w:rsidR="00C45968" w:rsidRPr="006A39BB">
        <w:rPr>
          <w:noProof/>
        </w:rPr>
        <w:t>11</w:t>
      </w:r>
      <w:r w:rsidR="00FC5A23" w:rsidRPr="006A39BB">
        <w:rPr>
          <w:noProof/>
        </w:rPr>
        <w:t xml:space="preserve">, and, where applicable, the third country competent authorities responsible for the supervision </w:t>
      </w:r>
      <w:r w:rsidR="005F2D3A">
        <w:rPr>
          <w:noProof/>
        </w:rPr>
        <w:t>of those third country ESG rating providers</w:t>
      </w:r>
      <w:r w:rsidR="00FC5A23" w:rsidRPr="006A39BB">
        <w:rPr>
          <w:noProof/>
        </w:rPr>
        <w:t>;</w:t>
      </w:r>
    </w:p>
    <w:p w14:paraId="4FC9BB04" w14:textId="3A9847B2" w:rsidR="00FC5A23" w:rsidRDefault="002A7F8C" w:rsidP="002A7F8C">
      <w:pPr>
        <w:pStyle w:val="ManualNumPar1"/>
        <w:rPr>
          <w:noProof/>
        </w:rPr>
      </w:pPr>
      <w:r w:rsidRPr="002A7F8C">
        <w:rPr>
          <w:noProof/>
        </w:rPr>
        <w:t>2.</w:t>
      </w:r>
      <w:r w:rsidRPr="002A7F8C">
        <w:rPr>
          <w:noProof/>
        </w:rPr>
        <w:tab/>
      </w:r>
      <w:r w:rsidR="00FC5A23" w:rsidRPr="00720AE8">
        <w:rPr>
          <w:noProof/>
        </w:rPr>
        <w:t>The register referred to in paragraph 1 shall be publicly accessible on the website of ESMA and shall be updated promptly, as necessary.</w:t>
      </w:r>
    </w:p>
    <w:p w14:paraId="0405BB89" w14:textId="0BAB02D4" w:rsidR="003C5656" w:rsidRPr="003C5656" w:rsidRDefault="002A7F8C" w:rsidP="002A7F8C">
      <w:pPr>
        <w:pStyle w:val="ManualNumPar1"/>
        <w:rPr>
          <w:noProof/>
        </w:rPr>
      </w:pPr>
      <w:r w:rsidRPr="002A7F8C">
        <w:rPr>
          <w:noProof/>
        </w:rPr>
        <w:t>3.</w:t>
      </w:r>
      <w:r w:rsidRPr="002A7F8C">
        <w:rPr>
          <w:noProof/>
        </w:rPr>
        <w:tab/>
      </w:r>
      <w:r w:rsidR="003C5656" w:rsidRPr="003C5656">
        <w:rPr>
          <w:noProof/>
        </w:rPr>
        <w:t xml:space="preserve">From </w:t>
      </w:r>
      <w:r w:rsidR="00954BAB">
        <w:rPr>
          <w:noProof/>
        </w:rPr>
        <w:t>1 January 2028</w:t>
      </w:r>
      <w:r w:rsidR="003C5656" w:rsidRPr="003C5656">
        <w:rPr>
          <w:noProof/>
        </w:rPr>
        <w:t xml:space="preserve">, when making public any information pursuant to Article 18(1) and 21(1), the ESG rating provider shall submit that information to the relevant collection body referred to in paragraph </w:t>
      </w:r>
      <w:r w:rsidR="00DF17D5">
        <w:rPr>
          <w:noProof/>
        </w:rPr>
        <w:t>6</w:t>
      </w:r>
      <w:r w:rsidR="003C5656" w:rsidRPr="003C5656">
        <w:rPr>
          <w:noProof/>
        </w:rPr>
        <w:t xml:space="preserve"> of this Article at the same time for accessibility on ESAP established under Regulation (EU) XX/XXXX [ESAP Regulation] of the European Parliament and of the Council*.</w:t>
      </w:r>
    </w:p>
    <w:p w14:paraId="6AF822C0" w14:textId="6273B31B" w:rsidR="003C5656" w:rsidRPr="003C5656" w:rsidRDefault="002A7F8C" w:rsidP="002A7F8C">
      <w:pPr>
        <w:pStyle w:val="ManualNumPar1"/>
        <w:rPr>
          <w:noProof/>
        </w:rPr>
      </w:pPr>
      <w:r w:rsidRPr="002A7F8C">
        <w:rPr>
          <w:noProof/>
        </w:rPr>
        <w:t>4.</w:t>
      </w:r>
      <w:r w:rsidRPr="002A7F8C">
        <w:rPr>
          <w:noProof/>
        </w:rPr>
        <w:tab/>
      </w:r>
      <w:r w:rsidR="003C5656" w:rsidRPr="003C5656">
        <w:rPr>
          <w:noProof/>
        </w:rPr>
        <w:t>That information shall comply with all of the following requirements:</w:t>
      </w:r>
    </w:p>
    <w:p w14:paraId="4C5A117E" w14:textId="411BCC26" w:rsidR="003C5656" w:rsidRPr="003C5656" w:rsidRDefault="002A7F8C" w:rsidP="002A7F8C">
      <w:pPr>
        <w:pStyle w:val="Point1"/>
        <w:rPr>
          <w:noProof/>
        </w:rPr>
      </w:pPr>
      <w:r w:rsidRPr="002A7F8C">
        <w:rPr>
          <w:noProof/>
        </w:rPr>
        <w:t>(a)</w:t>
      </w:r>
      <w:r w:rsidRPr="002A7F8C">
        <w:rPr>
          <w:noProof/>
        </w:rPr>
        <w:tab/>
      </w:r>
      <w:r w:rsidR="003C5656" w:rsidRPr="003C5656">
        <w:rPr>
          <w:noProof/>
        </w:rPr>
        <w:t>the information shall be prepared in a data extractable format as defined in Article 2, point (3), of Regulation (EU) XX/XXXX [ESAP Regulation] or, where required under Union law, in a machine-readable format, as defined in Article 2, point (4), of Regulation (EU) XX/XXXX [ESAP Regulation];</w:t>
      </w:r>
    </w:p>
    <w:p w14:paraId="365DDE6C" w14:textId="64D7AD2F" w:rsidR="003C5656" w:rsidRPr="003C5656" w:rsidRDefault="002A7F8C" w:rsidP="002A7F8C">
      <w:pPr>
        <w:pStyle w:val="Point1"/>
        <w:rPr>
          <w:noProof/>
        </w:rPr>
      </w:pPr>
      <w:r w:rsidRPr="002A7F8C">
        <w:rPr>
          <w:noProof/>
        </w:rPr>
        <w:t>(b)</w:t>
      </w:r>
      <w:r w:rsidRPr="002A7F8C">
        <w:rPr>
          <w:noProof/>
        </w:rPr>
        <w:tab/>
      </w:r>
      <w:r w:rsidR="003C5656" w:rsidRPr="003C5656">
        <w:rPr>
          <w:noProof/>
        </w:rPr>
        <w:t>the information shall be accompanied by the following metadata:</w:t>
      </w:r>
    </w:p>
    <w:p w14:paraId="4A2AB24C" w14:textId="11E3A257" w:rsidR="003C5656" w:rsidRPr="0027581F" w:rsidRDefault="002A7F8C" w:rsidP="002A7F8C">
      <w:pPr>
        <w:pStyle w:val="Point2"/>
        <w:rPr>
          <w:noProof/>
          <w:lang w:val="en-IE"/>
        </w:rPr>
      </w:pPr>
      <w:r w:rsidRPr="002A7F8C">
        <w:rPr>
          <w:noProof/>
        </w:rPr>
        <w:t>(1)</w:t>
      </w:r>
      <w:r w:rsidRPr="002A7F8C">
        <w:rPr>
          <w:noProof/>
        </w:rPr>
        <w:tab/>
      </w:r>
      <w:r w:rsidR="003C5656" w:rsidRPr="0027581F">
        <w:rPr>
          <w:noProof/>
          <w:lang w:val="en-IE"/>
        </w:rPr>
        <w:t xml:space="preserve">all the names of the </w:t>
      </w:r>
      <w:r w:rsidR="003C5656">
        <w:rPr>
          <w:noProof/>
          <w:lang w:val="en-IE"/>
        </w:rPr>
        <w:t>ESG rating provider</w:t>
      </w:r>
      <w:r w:rsidR="003C5656" w:rsidRPr="0027581F">
        <w:rPr>
          <w:noProof/>
          <w:lang w:val="en-IE"/>
        </w:rPr>
        <w:t xml:space="preserve"> submitting the information;</w:t>
      </w:r>
    </w:p>
    <w:p w14:paraId="6306D803" w14:textId="0972BDAF" w:rsidR="003C5656" w:rsidRPr="0027581F" w:rsidRDefault="002A7F8C" w:rsidP="002A7F8C">
      <w:pPr>
        <w:pStyle w:val="Point2"/>
        <w:rPr>
          <w:noProof/>
          <w:lang w:val="en-IE"/>
        </w:rPr>
      </w:pPr>
      <w:r w:rsidRPr="002A7F8C">
        <w:rPr>
          <w:noProof/>
        </w:rPr>
        <w:t>(2)</w:t>
      </w:r>
      <w:r w:rsidRPr="002A7F8C">
        <w:rPr>
          <w:noProof/>
        </w:rPr>
        <w:tab/>
      </w:r>
      <w:r w:rsidR="003C5656" w:rsidRPr="0027581F">
        <w:rPr>
          <w:noProof/>
          <w:lang w:val="en-IE"/>
        </w:rPr>
        <w:t xml:space="preserve">the legal entity identifier of the </w:t>
      </w:r>
      <w:r w:rsidR="003C5656">
        <w:rPr>
          <w:noProof/>
          <w:lang w:val="en-IE"/>
        </w:rPr>
        <w:t>ESG rating provider</w:t>
      </w:r>
      <w:r w:rsidR="003C5656" w:rsidRPr="0027581F">
        <w:rPr>
          <w:noProof/>
          <w:lang w:val="en-IE"/>
        </w:rPr>
        <w:t xml:space="preserve"> as specified pursuant to Article 7(4) of Regulation (EU) XX/XXXX [ESAP Regulation];</w:t>
      </w:r>
    </w:p>
    <w:p w14:paraId="1899D318" w14:textId="6EBAA5AD" w:rsidR="003C5656" w:rsidRPr="0027581F" w:rsidRDefault="002A7F8C" w:rsidP="002A7F8C">
      <w:pPr>
        <w:pStyle w:val="Point2"/>
        <w:rPr>
          <w:noProof/>
          <w:lang w:val="en-IE"/>
        </w:rPr>
      </w:pPr>
      <w:r w:rsidRPr="002A7F8C">
        <w:rPr>
          <w:noProof/>
        </w:rPr>
        <w:t>(3)</w:t>
      </w:r>
      <w:r w:rsidRPr="002A7F8C">
        <w:rPr>
          <w:noProof/>
        </w:rPr>
        <w:tab/>
      </w:r>
      <w:r w:rsidR="003C5656" w:rsidRPr="0027581F">
        <w:rPr>
          <w:noProof/>
          <w:lang w:val="en-IE"/>
        </w:rPr>
        <w:t xml:space="preserve">the size of the </w:t>
      </w:r>
      <w:r w:rsidR="003C5656">
        <w:rPr>
          <w:noProof/>
          <w:lang w:val="en-IE"/>
        </w:rPr>
        <w:t xml:space="preserve">ESG rating </w:t>
      </w:r>
      <w:r w:rsidR="00954BAB">
        <w:rPr>
          <w:noProof/>
          <w:lang w:val="en-IE"/>
        </w:rPr>
        <w:t>provider</w:t>
      </w:r>
      <w:r w:rsidR="003C5656" w:rsidRPr="0027581F">
        <w:rPr>
          <w:noProof/>
          <w:lang w:val="en-IE"/>
        </w:rPr>
        <w:t xml:space="preserve"> as specified pursuant to Article 7(4) of Regulation (EU) XX/XXXX [ESAP Regulation];</w:t>
      </w:r>
    </w:p>
    <w:p w14:paraId="6043F7B0" w14:textId="7A2EC14D" w:rsidR="003C5656" w:rsidRPr="0027581F" w:rsidRDefault="002A7F8C" w:rsidP="002A7F8C">
      <w:pPr>
        <w:pStyle w:val="Point2"/>
        <w:rPr>
          <w:noProof/>
          <w:lang w:val="en-IE"/>
        </w:rPr>
      </w:pPr>
      <w:r w:rsidRPr="002A7F8C">
        <w:rPr>
          <w:noProof/>
        </w:rPr>
        <w:t>(4)</w:t>
      </w:r>
      <w:r w:rsidRPr="002A7F8C">
        <w:rPr>
          <w:noProof/>
        </w:rPr>
        <w:tab/>
      </w:r>
      <w:r w:rsidR="003C5656" w:rsidRPr="0027581F">
        <w:rPr>
          <w:noProof/>
          <w:lang w:val="en-IE"/>
        </w:rPr>
        <w:t>the type of information as classified pursuant to Article 7(4) of Regulation (EU) XX/XXXX [ESAP Regulation];</w:t>
      </w:r>
    </w:p>
    <w:p w14:paraId="2A820F14" w14:textId="0E7002F9" w:rsidR="003C5656" w:rsidRPr="0027581F" w:rsidRDefault="002A7F8C" w:rsidP="002A7F8C">
      <w:pPr>
        <w:pStyle w:val="Point2"/>
        <w:rPr>
          <w:noProof/>
          <w:lang w:val="en-IE"/>
        </w:rPr>
      </w:pPr>
      <w:r w:rsidRPr="002A7F8C">
        <w:rPr>
          <w:noProof/>
        </w:rPr>
        <w:t>(5)</w:t>
      </w:r>
      <w:r w:rsidRPr="002A7F8C">
        <w:rPr>
          <w:noProof/>
        </w:rPr>
        <w:tab/>
      </w:r>
      <w:r w:rsidR="003C5656" w:rsidRPr="0027581F">
        <w:rPr>
          <w:noProof/>
          <w:lang w:val="en-IE"/>
        </w:rPr>
        <w:t xml:space="preserve">metadata specifying whether the information includes personal data. </w:t>
      </w:r>
    </w:p>
    <w:p w14:paraId="5D98D7BE" w14:textId="08A3C959" w:rsidR="003C5656" w:rsidRPr="003C5656" w:rsidRDefault="002A7F8C" w:rsidP="002A7F8C">
      <w:pPr>
        <w:pStyle w:val="ManualNumPar1"/>
        <w:rPr>
          <w:noProof/>
        </w:rPr>
      </w:pPr>
      <w:r w:rsidRPr="002A7F8C">
        <w:rPr>
          <w:noProof/>
        </w:rPr>
        <w:t>5.</w:t>
      </w:r>
      <w:r w:rsidRPr="002A7F8C">
        <w:rPr>
          <w:noProof/>
        </w:rPr>
        <w:tab/>
      </w:r>
      <w:r w:rsidR="003C5656" w:rsidRPr="003C5656">
        <w:rPr>
          <w:noProof/>
        </w:rPr>
        <w:t>For the purposes of paragraph 1, point (b)(ii) the ESG rating provider shall acquire the legal entity identifier as specified pursuant to Article 7(4) of Regulation (EU) XX/XXXX [ESAP Regulation].</w:t>
      </w:r>
    </w:p>
    <w:p w14:paraId="58D080AE" w14:textId="468F75B7" w:rsidR="003C5656" w:rsidRPr="003C5656" w:rsidRDefault="002A7F8C" w:rsidP="002A7F8C">
      <w:pPr>
        <w:pStyle w:val="ManualNumPar1"/>
        <w:rPr>
          <w:noProof/>
        </w:rPr>
      </w:pPr>
      <w:r w:rsidRPr="002A7F8C">
        <w:rPr>
          <w:noProof/>
        </w:rPr>
        <w:t>6.</w:t>
      </w:r>
      <w:r w:rsidRPr="002A7F8C">
        <w:rPr>
          <w:noProof/>
        </w:rPr>
        <w:tab/>
      </w:r>
      <w:r w:rsidR="003C5656" w:rsidRPr="003C5656">
        <w:rPr>
          <w:noProof/>
        </w:rPr>
        <w:t>For the purposes of making accessible on ESAP the information referred to in paragraph 1, the collection body as defined in Article 2, point (2), of Regulation (EU) XX/XXXX [ESAP Regulation] shall be ESMA.</w:t>
      </w:r>
    </w:p>
    <w:p w14:paraId="69DBB09D" w14:textId="32B78C55" w:rsidR="003C5656" w:rsidRPr="003C5656" w:rsidRDefault="002A7F8C" w:rsidP="002A7F8C">
      <w:pPr>
        <w:pStyle w:val="ManualNumPar1"/>
        <w:rPr>
          <w:rFonts w:eastAsia="Calibri"/>
          <w:noProof/>
          <w:lang w:val="en-IE"/>
        </w:rPr>
      </w:pPr>
      <w:r w:rsidRPr="002A7F8C">
        <w:rPr>
          <w:noProof/>
        </w:rPr>
        <w:t>7.</w:t>
      </w:r>
      <w:r w:rsidRPr="002A7F8C">
        <w:rPr>
          <w:noProof/>
        </w:rPr>
        <w:tab/>
      </w:r>
      <w:r w:rsidR="003C5656" w:rsidRPr="003C5656">
        <w:rPr>
          <w:noProof/>
        </w:rPr>
        <w:t xml:space="preserve">From </w:t>
      </w:r>
      <w:r w:rsidR="00954BAB">
        <w:rPr>
          <w:noProof/>
        </w:rPr>
        <w:t>1 January 2028,</w:t>
      </w:r>
      <w:r w:rsidR="003C5656" w:rsidRPr="003C5656">
        <w:rPr>
          <w:noProof/>
        </w:rPr>
        <w:t xml:space="preserve"> the information referred to in</w:t>
      </w:r>
      <w:r w:rsidR="00DF17D5">
        <w:rPr>
          <w:noProof/>
        </w:rPr>
        <w:t xml:space="preserve"> paragraph 1 and in</w:t>
      </w:r>
      <w:r w:rsidR="003C5656" w:rsidRPr="003C5656">
        <w:rPr>
          <w:noProof/>
        </w:rPr>
        <w:t xml:space="preserve"> Articles 10(3), 33(1), 34 and 35 shall be made accessible on ESAP. For that purpose, the collection body as defined in Article 2, point (2), of that Regulation shall be ESMA. That information shall be prepared in a data extractable format as defined in Article 2, point (3), of Regulation (EU) XX/XXXX [ESAP Regulation], include the metadata as regards the names and, where available, the legal entity identifier of the ESG rating provider as specified pursuant to Article 7(4) of that Regulation, the type of information as classified pursuant to Article 7(4) of that Regulation and whether the information includes personal data.</w:t>
      </w:r>
    </w:p>
    <w:p w14:paraId="2C135CB7" w14:textId="349AD3AE" w:rsidR="003C5656" w:rsidRPr="003C5656" w:rsidRDefault="002A7F8C" w:rsidP="002A7F8C">
      <w:pPr>
        <w:pStyle w:val="ManualNumPar1"/>
        <w:rPr>
          <w:noProof/>
        </w:rPr>
      </w:pPr>
      <w:r w:rsidRPr="002A7F8C">
        <w:rPr>
          <w:noProof/>
        </w:rPr>
        <w:t>8.</w:t>
      </w:r>
      <w:r w:rsidRPr="002A7F8C">
        <w:rPr>
          <w:noProof/>
        </w:rPr>
        <w:tab/>
      </w:r>
      <w:r w:rsidR="003C5656" w:rsidRPr="003C5656">
        <w:rPr>
          <w:noProof/>
        </w:rPr>
        <w:t xml:space="preserve">For the purposes of ensuring an efficient collection and administration of data submitted in accordance with paragraph </w:t>
      </w:r>
      <w:r w:rsidR="00DF17D5">
        <w:rPr>
          <w:noProof/>
        </w:rPr>
        <w:t>3</w:t>
      </w:r>
      <w:r w:rsidR="003C5656" w:rsidRPr="003C5656">
        <w:rPr>
          <w:noProof/>
        </w:rPr>
        <w:t>, ESMA shall develop draft implementing technical standards to specify:</w:t>
      </w:r>
    </w:p>
    <w:p w14:paraId="7DD89E9C" w14:textId="23815B5D" w:rsidR="003C5656" w:rsidRPr="003C5656" w:rsidRDefault="002A7F8C" w:rsidP="002A7F8C">
      <w:pPr>
        <w:pStyle w:val="Point1"/>
        <w:rPr>
          <w:noProof/>
        </w:rPr>
      </w:pPr>
      <w:r w:rsidRPr="002A7F8C">
        <w:rPr>
          <w:noProof/>
        </w:rPr>
        <w:t>(a)</w:t>
      </w:r>
      <w:r w:rsidRPr="002A7F8C">
        <w:rPr>
          <w:noProof/>
        </w:rPr>
        <w:tab/>
      </w:r>
      <w:r w:rsidR="003C5656" w:rsidRPr="003C5656">
        <w:rPr>
          <w:noProof/>
        </w:rPr>
        <w:t>any other metadata to accompany the information;</w:t>
      </w:r>
    </w:p>
    <w:p w14:paraId="7A49C778" w14:textId="7CAD670B" w:rsidR="003C5656" w:rsidRPr="003C5656" w:rsidRDefault="002A7F8C" w:rsidP="002A7F8C">
      <w:pPr>
        <w:pStyle w:val="Point1"/>
        <w:rPr>
          <w:noProof/>
        </w:rPr>
      </w:pPr>
      <w:r w:rsidRPr="002A7F8C">
        <w:rPr>
          <w:noProof/>
        </w:rPr>
        <w:t>(b)</w:t>
      </w:r>
      <w:r w:rsidRPr="002A7F8C">
        <w:rPr>
          <w:noProof/>
        </w:rPr>
        <w:tab/>
      </w:r>
      <w:r w:rsidR="003C5656" w:rsidRPr="003C5656">
        <w:rPr>
          <w:noProof/>
        </w:rPr>
        <w:t>the structuring of data in the information;</w:t>
      </w:r>
    </w:p>
    <w:p w14:paraId="7B765015" w14:textId="1C5B7BE9" w:rsidR="003C5656" w:rsidRPr="003C5656" w:rsidRDefault="002A7F8C" w:rsidP="002A7F8C">
      <w:pPr>
        <w:pStyle w:val="Point1"/>
        <w:rPr>
          <w:noProof/>
        </w:rPr>
      </w:pPr>
      <w:r w:rsidRPr="002A7F8C">
        <w:rPr>
          <w:noProof/>
        </w:rPr>
        <w:t>(c)</w:t>
      </w:r>
      <w:r w:rsidRPr="002A7F8C">
        <w:rPr>
          <w:noProof/>
        </w:rPr>
        <w:tab/>
      </w:r>
      <w:r w:rsidR="003C5656" w:rsidRPr="003C5656">
        <w:rPr>
          <w:noProof/>
        </w:rPr>
        <w:t>for which information a machine-readable format is required and which machine-readable format is to be used.</w:t>
      </w:r>
    </w:p>
    <w:p w14:paraId="04EB41D3" w14:textId="77777777" w:rsidR="003C5656" w:rsidRPr="0027581F" w:rsidRDefault="003C5656" w:rsidP="003C5656">
      <w:pPr>
        <w:rPr>
          <w:noProof/>
          <w:lang w:val="en-IE"/>
        </w:rPr>
      </w:pPr>
      <w:r w:rsidRPr="0027581F">
        <w:rPr>
          <w:noProof/>
          <w:lang w:val="en-IE"/>
        </w:rPr>
        <w:t>Before developing the draft implementing technical standards, ESMA shall carry out a cost-benefit analysis. For the purposes of point (c), ESMA shall assess the advantages and disadvantages of different machine-readable formats and conduct appropriate field tests.</w:t>
      </w:r>
    </w:p>
    <w:p w14:paraId="5048E96F" w14:textId="77777777" w:rsidR="003C5656" w:rsidRPr="0027581F" w:rsidRDefault="003C5656" w:rsidP="003C5656">
      <w:pPr>
        <w:rPr>
          <w:noProof/>
          <w:lang w:val="en-IE"/>
        </w:rPr>
      </w:pPr>
      <w:r w:rsidRPr="0027581F">
        <w:rPr>
          <w:noProof/>
          <w:lang w:val="en-IE"/>
        </w:rPr>
        <w:t>ESMA shall submit those draft implementing technical standards to the Commission.</w:t>
      </w:r>
    </w:p>
    <w:p w14:paraId="1830207E" w14:textId="77777777" w:rsidR="003C5656" w:rsidRPr="0027581F" w:rsidRDefault="003C5656" w:rsidP="003C5656">
      <w:pPr>
        <w:rPr>
          <w:noProof/>
          <w:lang w:val="en-IE"/>
        </w:rPr>
      </w:pPr>
      <w:r w:rsidRPr="0027581F">
        <w:rPr>
          <w:noProof/>
          <w:lang w:val="en-IE"/>
        </w:rPr>
        <w:t>Power is conferred on the Commission to adopt the implementing technical standards referred to in the first subparagraph in accordance with Article 15 of Regulation (EU) No 1095/2010.</w:t>
      </w:r>
    </w:p>
    <w:p w14:paraId="095B3B19" w14:textId="727C0F15" w:rsidR="003C5656" w:rsidRPr="00BE3DA9" w:rsidRDefault="002A7F8C" w:rsidP="002A7F8C">
      <w:pPr>
        <w:pStyle w:val="ManualNumPar1"/>
        <w:rPr>
          <w:noProof/>
        </w:rPr>
      </w:pPr>
      <w:r w:rsidRPr="002A7F8C">
        <w:rPr>
          <w:noProof/>
        </w:rPr>
        <w:t>9.</w:t>
      </w:r>
      <w:r w:rsidRPr="002A7F8C">
        <w:rPr>
          <w:noProof/>
        </w:rPr>
        <w:tab/>
      </w:r>
      <w:r w:rsidR="003C5656" w:rsidRPr="00BE3DA9">
        <w:rPr>
          <w:noProof/>
        </w:rPr>
        <w:t xml:space="preserve">If necessary, ESMA shall adopt guidelines for entities to ensure that the metadata submitted in accordance with paragraph </w:t>
      </w:r>
      <w:r w:rsidR="00DF17D5">
        <w:rPr>
          <w:noProof/>
        </w:rPr>
        <w:t>8</w:t>
      </w:r>
      <w:r w:rsidR="003C5656" w:rsidRPr="00BE3DA9">
        <w:rPr>
          <w:noProof/>
        </w:rPr>
        <w:t>, first subparagraph, point (a), is correct.</w:t>
      </w:r>
    </w:p>
    <w:p w14:paraId="091856E8" w14:textId="77777777" w:rsidR="00FC5A23" w:rsidRPr="006A39BB" w:rsidRDefault="00D6109E" w:rsidP="005F2D3A">
      <w:pPr>
        <w:shd w:val="clear" w:color="auto" w:fill="FFFFFF" w:themeFill="background1"/>
        <w:spacing w:before="360" w:line="23" w:lineRule="atLeast"/>
        <w:jc w:val="center"/>
        <w:rPr>
          <w:rFonts w:eastAsia="Times New Roman"/>
          <w:noProof/>
          <w:color w:val="333333"/>
          <w:szCs w:val="24"/>
          <w:lang w:eastAsia="en-IE"/>
        </w:rPr>
      </w:pPr>
      <w:r w:rsidRPr="006A39BB">
        <w:rPr>
          <w:rFonts w:eastAsia="Times New Roman"/>
          <w:noProof/>
          <w:color w:val="333333"/>
          <w:szCs w:val="24"/>
          <w:lang w:eastAsia="en-IE"/>
        </w:rPr>
        <w:t>TITLE III</w:t>
      </w:r>
    </w:p>
    <w:p w14:paraId="05CABC94" w14:textId="77777777" w:rsidR="00587167" w:rsidRPr="00720AE8" w:rsidRDefault="008177B0" w:rsidP="00720AE8">
      <w:pPr>
        <w:pStyle w:val="ChapterTitle"/>
        <w:spacing w:after="120" w:line="23" w:lineRule="atLeast"/>
        <w:rPr>
          <w:rStyle w:val="boldface"/>
          <w:caps/>
          <w:noProof/>
          <w:sz w:val="24"/>
          <w:szCs w:val="24"/>
        </w:rPr>
      </w:pPr>
      <w:r w:rsidRPr="00720AE8">
        <w:rPr>
          <w:rStyle w:val="boldface"/>
          <w:caps/>
          <w:noProof/>
          <w:sz w:val="24"/>
          <w:szCs w:val="24"/>
        </w:rPr>
        <w:t>INTEGRITY AND RELIABILITY</w:t>
      </w:r>
      <w:r w:rsidR="005F2D3A" w:rsidRPr="00720AE8">
        <w:rPr>
          <w:rStyle w:val="boldface"/>
          <w:caps/>
          <w:noProof/>
          <w:sz w:val="24"/>
          <w:szCs w:val="24"/>
        </w:rPr>
        <w:t xml:space="preserve"> OF ESG RATING ACTIVITIES</w:t>
      </w:r>
    </w:p>
    <w:p w14:paraId="4DB13961" w14:textId="77777777" w:rsidR="00587167" w:rsidRPr="00720AE8" w:rsidRDefault="00587167" w:rsidP="00720AE8">
      <w:pPr>
        <w:pStyle w:val="NormalCentered"/>
        <w:rPr>
          <w:noProof/>
        </w:rPr>
      </w:pPr>
      <w:r w:rsidRPr="00720AE8">
        <w:rPr>
          <w:noProof/>
        </w:rPr>
        <w:t>CHAPTER 1</w:t>
      </w:r>
    </w:p>
    <w:p w14:paraId="22F3203F" w14:textId="77777777" w:rsidR="00587167" w:rsidRPr="00720AE8" w:rsidRDefault="00587167" w:rsidP="00720AE8">
      <w:pPr>
        <w:pStyle w:val="NormalCentered"/>
        <w:rPr>
          <w:rStyle w:val="italics"/>
          <w:b/>
          <w:bCs/>
          <w:noProof/>
        </w:rPr>
      </w:pPr>
      <w:r w:rsidRPr="00720AE8">
        <w:rPr>
          <w:rStyle w:val="italics"/>
          <w:b/>
          <w:bCs/>
          <w:noProof/>
        </w:rPr>
        <w:t>Organisational requirements, processes and documents concerning governance</w:t>
      </w:r>
    </w:p>
    <w:p w14:paraId="6428DAD7" w14:textId="77777777" w:rsidR="00721912" w:rsidRDefault="00587167" w:rsidP="00720AE8">
      <w:pPr>
        <w:pStyle w:val="Titrearticle"/>
        <w:spacing w:line="23" w:lineRule="atLeast"/>
        <w:rPr>
          <w:noProof/>
          <w:szCs w:val="24"/>
        </w:rPr>
      </w:pPr>
      <w:r w:rsidRPr="00720AE8">
        <w:rPr>
          <w:noProof/>
          <w:szCs w:val="24"/>
        </w:rPr>
        <w:t xml:space="preserve">Article </w:t>
      </w:r>
      <w:r w:rsidR="001D730B" w:rsidRPr="00720AE8">
        <w:rPr>
          <w:noProof/>
          <w:szCs w:val="24"/>
        </w:rPr>
        <w:t>1</w:t>
      </w:r>
      <w:r w:rsidR="00441017" w:rsidRPr="00720AE8">
        <w:rPr>
          <w:noProof/>
          <w:szCs w:val="24"/>
        </w:rPr>
        <w:t>4</w:t>
      </w:r>
    </w:p>
    <w:p w14:paraId="0E604EAA" w14:textId="77777777" w:rsidR="00587167" w:rsidRPr="00721912" w:rsidRDefault="00587167" w:rsidP="00721912">
      <w:pPr>
        <w:pStyle w:val="NormalCentered"/>
        <w:rPr>
          <w:b/>
          <w:bCs/>
          <w:noProof/>
          <w:lang w:eastAsia="en-IE"/>
        </w:rPr>
      </w:pPr>
      <w:r w:rsidRPr="00721912">
        <w:rPr>
          <w:b/>
          <w:bCs/>
          <w:noProof/>
          <w:lang w:eastAsia="en-IE"/>
        </w:rPr>
        <w:t>General principles</w:t>
      </w:r>
    </w:p>
    <w:p w14:paraId="1FB67A18" w14:textId="5B62A5B6" w:rsidR="004178D9" w:rsidRPr="00166F7F" w:rsidRDefault="002A7F8C" w:rsidP="002A7F8C">
      <w:pPr>
        <w:pStyle w:val="ManualNumPar1"/>
        <w:rPr>
          <w:noProof/>
        </w:rPr>
      </w:pPr>
      <w:r w:rsidRPr="002A7F8C">
        <w:rPr>
          <w:noProof/>
        </w:rPr>
        <w:t>1.</w:t>
      </w:r>
      <w:r w:rsidRPr="002A7F8C">
        <w:rPr>
          <w:noProof/>
        </w:rPr>
        <w:tab/>
      </w:r>
      <w:r w:rsidR="004178D9" w:rsidRPr="00166F7F">
        <w:rPr>
          <w:noProof/>
        </w:rPr>
        <w:t>ESG rating providers</w:t>
      </w:r>
      <w:r w:rsidR="00CF171C" w:rsidRPr="00166F7F">
        <w:rPr>
          <w:noProof/>
        </w:rPr>
        <w:t xml:space="preserve"> </w:t>
      </w:r>
      <w:r w:rsidR="004178D9" w:rsidRPr="00166F7F">
        <w:rPr>
          <w:noProof/>
        </w:rPr>
        <w:t xml:space="preserve">shall ensure the independence of </w:t>
      </w:r>
      <w:r w:rsidR="00CF171C" w:rsidRPr="00166F7F">
        <w:rPr>
          <w:noProof/>
        </w:rPr>
        <w:t xml:space="preserve">their rating </w:t>
      </w:r>
      <w:r w:rsidR="004178D9" w:rsidRPr="00166F7F">
        <w:rPr>
          <w:noProof/>
        </w:rPr>
        <w:t>activities, including from all political and economic influences or constraints.</w:t>
      </w:r>
    </w:p>
    <w:p w14:paraId="3676B63F" w14:textId="28DDADD6" w:rsidR="005E7B7E" w:rsidRPr="006A39BB" w:rsidRDefault="002A7F8C" w:rsidP="002A7F8C">
      <w:pPr>
        <w:pStyle w:val="ManualNumPar1"/>
        <w:rPr>
          <w:noProof/>
        </w:rPr>
      </w:pPr>
      <w:r w:rsidRPr="002A7F8C">
        <w:rPr>
          <w:noProof/>
        </w:rPr>
        <w:t>2.</w:t>
      </w:r>
      <w:r w:rsidRPr="002A7F8C">
        <w:rPr>
          <w:noProof/>
        </w:rPr>
        <w:tab/>
      </w:r>
      <w:r w:rsidR="005E7B7E" w:rsidRPr="006A39BB">
        <w:rPr>
          <w:noProof/>
        </w:rPr>
        <w:t>ESG rating providers shall have in place rules and procedures that ensure that their ESG rating are provided and published or made available in accordance with this Regulation.</w:t>
      </w:r>
    </w:p>
    <w:p w14:paraId="033A6C54" w14:textId="6158DB30" w:rsidR="00035A06" w:rsidRPr="006A39BB" w:rsidRDefault="002A7F8C" w:rsidP="002A7F8C">
      <w:pPr>
        <w:pStyle w:val="ManualNumPar1"/>
        <w:rPr>
          <w:noProof/>
        </w:rPr>
      </w:pPr>
      <w:r w:rsidRPr="002A7F8C">
        <w:rPr>
          <w:noProof/>
        </w:rPr>
        <w:t>3.</w:t>
      </w:r>
      <w:r w:rsidRPr="002A7F8C">
        <w:rPr>
          <w:noProof/>
        </w:rPr>
        <w:tab/>
      </w:r>
      <w:r w:rsidR="5A2B1CE8" w:rsidRPr="006A39BB">
        <w:rPr>
          <w:noProof/>
        </w:rPr>
        <w:t>ESG rating providers</w:t>
      </w:r>
      <w:r w:rsidR="00CF171C">
        <w:rPr>
          <w:noProof/>
        </w:rPr>
        <w:t xml:space="preserve"> </w:t>
      </w:r>
      <w:r w:rsidR="5A2B1CE8" w:rsidRPr="006A39BB">
        <w:rPr>
          <w:noProof/>
        </w:rPr>
        <w:t xml:space="preserve">shall employ systems, resources and procedures </w:t>
      </w:r>
      <w:r w:rsidR="00CF171C">
        <w:rPr>
          <w:noProof/>
        </w:rPr>
        <w:t xml:space="preserve">that are </w:t>
      </w:r>
      <w:r w:rsidR="00A93EA5">
        <w:rPr>
          <w:noProof/>
        </w:rPr>
        <w:t>adequate and effective</w:t>
      </w:r>
      <w:r w:rsidR="00CF171C">
        <w:rPr>
          <w:noProof/>
        </w:rPr>
        <w:t xml:space="preserve"> </w:t>
      </w:r>
      <w:r w:rsidR="5A2B1CE8" w:rsidRPr="006A39BB">
        <w:rPr>
          <w:noProof/>
        </w:rPr>
        <w:t>to comply with their obligations under this Regulation.</w:t>
      </w:r>
    </w:p>
    <w:p w14:paraId="735A7308" w14:textId="40BE5893" w:rsidR="000562D4" w:rsidRPr="006A39BB" w:rsidRDefault="002A7F8C" w:rsidP="002A7F8C">
      <w:pPr>
        <w:pStyle w:val="ManualNumPar1"/>
        <w:rPr>
          <w:noProof/>
        </w:rPr>
      </w:pPr>
      <w:r w:rsidRPr="002A7F8C">
        <w:rPr>
          <w:noProof/>
        </w:rPr>
        <w:t>4.</w:t>
      </w:r>
      <w:r w:rsidRPr="002A7F8C">
        <w:rPr>
          <w:noProof/>
        </w:rPr>
        <w:tab/>
      </w:r>
      <w:r w:rsidR="3A6E0F10" w:rsidRPr="006A39BB">
        <w:rPr>
          <w:noProof/>
        </w:rPr>
        <w:t xml:space="preserve">ESG rating providers shall adopt and implement written policies and procedures </w:t>
      </w:r>
      <w:r w:rsidR="00AD11E1" w:rsidRPr="006A39BB">
        <w:rPr>
          <w:noProof/>
        </w:rPr>
        <w:t>that</w:t>
      </w:r>
      <w:r w:rsidR="3A6E0F10" w:rsidRPr="006A39BB">
        <w:rPr>
          <w:noProof/>
        </w:rPr>
        <w:t xml:space="preserve"> ensure that the</w:t>
      </w:r>
      <w:r w:rsidR="00AD11E1" w:rsidRPr="006A39BB">
        <w:rPr>
          <w:noProof/>
        </w:rPr>
        <w:t>ir</w:t>
      </w:r>
      <w:r w:rsidR="3A6E0F10" w:rsidRPr="006A39BB">
        <w:rPr>
          <w:noProof/>
        </w:rPr>
        <w:t xml:space="preserve"> ESG ratings are based on a thorough analysis of all relevant information available to them.</w:t>
      </w:r>
    </w:p>
    <w:p w14:paraId="6FFBF3AA" w14:textId="2FA0A3F2" w:rsidR="008B2402" w:rsidRPr="006A39BB" w:rsidRDefault="002A7F8C" w:rsidP="002A7F8C">
      <w:pPr>
        <w:pStyle w:val="ManualNumPar1"/>
        <w:rPr>
          <w:noProof/>
        </w:rPr>
      </w:pPr>
      <w:r w:rsidRPr="002A7F8C">
        <w:rPr>
          <w:noProof/>
        </w:rPr>
        <w:t>5.</w:t>
      </w:r>
      <w:r w:rsidRPr="002A7F8C">
        <w:rPr>
          <w:noProof/>
        </w:rPr>
        <w:tab/>
      </w:r>
      <w:r w:rsidR="008B2402" w:rsidRPr="006A39BB">
        <w:rPr>
          <w:noProof/>
        </w:rPr>
        <w:t>ESG rating providers shall adopt and implement internal due diligence policies and procedures that ensure</w:t>
      </w:r>
      <w:r w:rsidR="00CF171C">
        <w:rPr>
          <w:noProof/>
        </w:rPr>
        <w:t xml:space="preserve"> that</w:t>
      </w:r>
      <w:r w:rsidR="008B2402" w:rsidRPr="006A39BB">
        <w:rPr>
          <w:noProof/>
        </w:rPr>
        <w:t xml:space="preserve"> their business interests do not impair the independence or accuracy of the assessment activities.</w:t>
      </w:r>
    </w:p>
    <w:p w14:paraId="2FBFB7F8" w14:textId="23DB5034" w:rsidR="008B2402" w:rsidRPr="006A39BB" w:rsidRDefault="002A7F8C" w:rsidP="002A7F8C">
      <w:pPr>
        <w:pStyle w:val="ManualNumPar1"/>
        <w:rPr>
          <w:noProof/>
        </w:rPr>
      </w:pPr>
      <w:r w:rsidRPr="002A7F8C">
        <w:rPr>
          <w:noProof/>
        </w:rPr>
        <w:t>6.</w:t>
      </w:r>
      <w:r w:rsidRPr="002A7F8C">
        <w:rPr>
          <w:noProof/>
        </w:rPr>
        <w:tab/>
      </w:r>
      <w:r w:rsidR="008B2402" w:rsidRPr="006A39BB">
        <w:rPr>
          <w:noProof/>
        </w:rPr>
        <w:t>ESG rating providers shall adopt and implement sound administrative and accounting procedures, internal control mechanisms, and effective control and safeguard arrangements for information processing systems.</w:t>
      </w:r>
    </w:p>
    <w:p w14:paraId="69017EA2" w14:textId="0CAB54A7" w:rsidR="0074638B" w:rsidRPr="006A39BB" w:rsidRDefault="002A7F8C" w:rsidP="002A7F8C">
      <w:pPr>
        <w:pStyle w:val="ManualNumPar1"/>
        <w:rPr>
          <w:noProof/>
        </w:rPr>
      </w:pPr>
      <w:r w:rsidRPr="002A7F8C">
        <w:rPr>
          <w:noProof/>
        </w:rPr>
        <w:t>7.</w:t>
      </w:r>
      <w:r w:rsidRPr="002A7F8C">
        <w:rPr>
          <w:noProof/>
        </w:rPr>
        <w:tab/>
      </w:r>
      <w:r w:rsidR="7942132D" w:rsidRPr="006A39BB">
        <w:rPr>
          <w:noProof/>
        </w:rPr>
        <w:t xml:space="preserve">ESG rating providers shall </w:t>
      </w:r>
      <w:r w:rsidR="00386358" w:rsidRPr="006A39BB">
        <w:rPr>
          <w:noProof/>
        </w:rPr>
        <w:t xml:space="preserve">use rating methodologies </w:t>
      </w:r>
      <w:r w:rsidR="0007580C" w:rsidRPr="006A39BB">
        <w:rPr>
          <w:noProof/>
        </w:rPr>
        <w:t xml:space="preserve">for the ESG ratings they provide </w:t>
      </w:r>
      <w:r w:rsidR="00386358" w:rsidRPr="006A39BB">
        <w:rPr>
          <w:noProof/>
        </w:rPr>
        <w:t>that are</w:t>
      </w:r>
      <w:r w:rsidR="1102C4E6" w:rsidRPr="006A39BB">
        <w:rPr>
          <w:noProof/>
        </w:rPr>
        <w:t xml:space="preserve"> rigorous, systematic, </w:t>
      </w:r>
      <w:r w:rsidR="00B35F8C">
        <w:rPr>
          <w:noProof/>
        </w:rPr>
        <w:t>ob</w:t>
      </w:r>
      <w:r w:rsidR="00696B78">
        <w:rPr>
          <w:noProof/>
        </w:rPr>
        <w:t>jective</w:t>
      </w:r>
      <w:r w:rsidR="00A47B08" w:rsidRPr="006A39BB">
        <w:rPr>
          <w:noProof/>
        </w:rPr>
        <w:t xml:space="preserve"> </w:t>
      </w:r>
      <w:r w:rsidR="00B35F8C">
        <w:rPr>
          <w:noProof/>
        </w:rPr>
        <w:t xml:space="preserve">and </w:t>
      </w:r>
      <w:r w:rsidR="00145B98" w:rsidRPr="006A39BB">
        <w:rPr>
          <w:noProof/>
        </w:rPr>
        <w:t xml:space="preserve">capable of validation </w:t>
      </w:r>
      <w:r w:rsidR="7942132D" w:rsidRPr="006A39BB">
        <w:rPr>
          <w:noProof/>
        </w:rPr>
        <w:t xml:space="preserve">and </w:t>
      </w:r>
      <w:r w:rsidR="00D05523">
        <w:rPr>
          <w:noProof/>
        </w:rPr>
        <w:t xml:space="preserve">shall apply those rating methodologies </w:t>
      </w:r>
      <w:r w:rsidR="1102C4E6" w:rsidRPr="006A39BB">
        <w:rPr>
          <w:noProof/>
        </w:rPr>
        <w:t>continuously</w:t>
      </w:r>
      <w:r w:rsidR="006268D8" w:rsidRPr="006A39BB">
        <w:rPr>
          <w:noProof/>
        </w:rPr>
        <w:t>.</w:t>
      </w:r>
    </w:p>
    <w:p w14:paraId="7963E903" w14:textId="2CF6A1D6" w:rsidR="002C40C7" w:rsidRPr="006A39BB" w:rsidRDefault="002A7F8C" w:rsidP="002A7F8C">
      <w:pPr>
        <w:pStyle w:val="ManualNumPar1"/>
        <w:rPr>
          <w:noProof/>
        </w:rPr>
      </w:pPr>
      <w:r w:rsidRPr="002A7F8C">
        <w:rPr>
          <w:noProof/>
        </w:rPr>
        <w:t>8.</w:t>
      </w:r>
      <w:r w:rsidRPr="002A7F8C">
        <w:rPr>
          <w:noProof/>
        </w:rPr>
        <w:tab/>
      </w:r>
      <w:r w:rsidR="22488A78" w:rsidRPr="006A39BB">
        <w:rPr>
          <w:noProof/>
        </w:rPr>
        <w:t xml:space="preserve">ESG rating providers shall </w:t>
      </w:r>
      <w:r w:rsidR="007619B0" w:rsidRPr="006A39BB">
        <w:rPr>
          <w:noProof/>
        </w:rPr>
        <w:t xml:space="preserve">review </w:t>
      </w:r>
      <w:r w:rsidR="22488A78" w:rsidRPr="006A39BB">
        <w:rPr>
          <w:noProof/>
        </w:rPr>
        <w:t>the</w:t>
      </w:r>
      <w:r w:rsidR="0007580C" w:rsidRPr="006A39BB">
        <w:rPr>
          <w:noProof/>
        </w:rPr>
        <w:t xml:space="preserve"> rating</w:t>
      </w:r>
      <w:r w:rsidR="1102C4E6" w:rsidRPr="006A39BB">
        <w:rPr>
          <w:noProof/>
        </w:rPr>
        <w:t xml:space="preserve"> methodologies </w:t>
      </w:r>
      <w:r w:rsidR="0007580C" w:rsidRPr="006A39BB">
        <w:rPr>
          <w:noProof/>
        </w:rPr>
        <w:t xml:space="preserve">referred to in paragraph 6 </w:t>
      </w:r>
      <w:r w:rsidR="007619B0" w:rsidRPr="006A39BB">
        <w:rPr>
          <w:noProof/>
        </w:rPr>
        <w:t xml:space="preserve">on an on-going basis </w:t>
      </w:r>
      <w:r w:rsidR="00884D0D" w:rsidRPr="006A39BB">
        <w:rPr>
          <w:noProof/>
        </w:rPr>
        <w:t>and at least annually</w:t>
      </w:r>
      <w:r w:rsidR="001E26BC" w:rsidRPr="006A39BB">
        <w:rPr>
          <w:noProof/>
        </w:rPr>
        <w:t>.</w:t>
      </w:r>
    </w:p>
    <w:p w14:paraId="08EF01F8" w14:textId="59C9C77B" w:rsidR="00587167" w:rsidRPr="006A39BB" w:rsidRDefault="002A7F8C" w:rsidP="002A7F8C">
      <w:pPr>
        <w:pStyle w:val="ManualNumPar1"/>
        <w:rPr>
          <w:noProof/>
        </w:rPr>
      </w:pPr>
      <w:r w:rsidRPr="002A7F8C">
        <w:rPr>
          <w:noProof/>
        </w:rPr>
        <w:t>9.</w:t>
      </w:r>
      <w:r w:rsidRPr="002A7F8C">
        <w:rPr>
          <w:noProof/>
        </w:rPr>
        <w:tab/>
      </w:r>
      <w:r w:rsidR="2128C702" w:rsidRPr="006A39BB">
        <w:rPr>
          <w:noProof/>
        </w:rPr>
        <w:t xml:space="preserve">ESG rating providers shall monitor and evaluate the adequacy and effectiveness of the systems, resources and procedures </w:t>
      </w:r>
      <w:r w:rsidR="00AF0120" w:rsidRPr="006A39BB">
        <w:rPr>
          <w:noProof/>
        </w:rPr>
        <w:t>referred to in paragraph 2</w:t>
      </w:r>
      <w:r w:rsidR="2128C702" w:rsidRPr="006A39BB">
        <w:rPr>
          <w:noProof/>
        </w:rPr>
        <w:t xml:space="preserve"> at least annually and take appropriate measures to address any deficiencies.</w:t>
      </w:r>
    </w:p>
    <w:p w14:paraId="542B2D88" w14:textId="62405A01" w:rsidR="00E0684C" w:rsidRPr="006A39BB" w:rsidRDefault="002A7F8C" w:rsidP="002A7F8C">
      <w:pPr>
        <w:pStyle w:val="ManualNumPar1"/>
        <w:rPr>
          <w:noProof/>
        </w:rPr>
      </w:pPr>
      <w:r w:rsidRPr="002A7F8C">
        <w:rPr>
          <w:noProof/>
        </w:rPr>
        <w:t>10.</w:t>
      </w:r>
      <w:r w:rsidRPr="002A7F8C">
        <w:rPr>
          <w:noProof/>
        </w:rPr>
        <w:tab/>
      </w:r>
      <w:r w:rsidR="00E0684C" w:rsidRPr="006A39BB">
        <w:rPr>
          <w:noProof/>
        </w:rPr>
        <w:t>ESG rating providers shall establish and maintain a permanent and effective oversight function to ensure oversight of all aspects of the provision of their ESG ratings.</w:t>
      </w:r>
    </w:p>
    <w:p w14:paraId="177E9B37" w14:textId="77777777" w:rsidR="00C77112" w:rsidRPr="006A39BB" w:rsidRDefault="00E0684C" w:rsidP="00721912">
      <w:pPr>
        <w:rPr>
          <w:noProof/>
        </w:rPr>
      </w:pPr>
      <w:r w:rsidRPr="006A39BB">
        <w:rPr>
          <w:noProof/>
        </w:rPr>
        <w:t>ESG rating providers shall develop and maintain robust procedures regarding their oversight function</w:t>
      </w:r>
      <w:r w:rsidR="00C77112" w:rsidRPr="006A39BB">
        <w:rPr>
          <w:noProof/>
        </w:rPr>
        <w:t>.</w:t>
      </w:r>
    </w:p>
    <w:p w14:paraId="6F155A87" w14:textId="583AC910" w:rsidR="00FF24EC" w:rsidRPr="006A39BB" w:rsidRDefault="002A7F8C" w:rsidP="002A7F8C">
      <w:pPr>
        <w:pStyle w:val="ManualNumPar1"/>
        <w:rPr>
          <w:noProof/>
        </w:rPr>
      </w:pPr>
      <w:r w:rsidRPr="002A7F8C">
        <w:rPr>
          <w:noProof/>
        </w:rPr>
        <w:t>11.</w:t>
      </w:r>
      <w:r w:rsidRPr="002A7F8C">
        <w:rPr>
          <w:noProof/>
        </w:rPr>
        <w:tab/>
      </w:r>
      <w:r w:rsidR="00FF24EC" w:rsidRPr="006A39BB">
        <w:rPr>
          <w:noProof/>
        </w:rPr>
        <w:t>ESG rating providers shall adopt, implement</w:t>
      </w:r>
      <w:r w:rsidR="00A93EA5">
        <w:rPr>
          <w:noProof/>
        </w:rPr>
        <w:t>,</w:t>
      </w:r>
      <w:r w:rsidR="00FF24EC" w:rsidRPr="006A39BB">
        <w:rPr>
          <w:noProof/>
        </w:rPr>
        <w:t xml:space="preserve"> and enforce measures to ensure that their ESG ratings are based on a thorough analysis of all the information that is available to them and that is relevant to </w:t>
      </w:r>
      <w:r w:rsidR="00A93EA5">
        <w:rPr>
          <w:noProof/>
        </w:rPr>
        <w:t>their</w:t>
      </w:r>
      <w:r w:rsidR="00FF24EC" w:rsidRPr="006A39BB">
        <w:rPr>
          <w:noProof/>
        </w:rPr>
        <w:t xml:space="preserve"> analysis </w:t>
      </w:r>
      <w:r w:rsidR="008B6A15">
        <w:rPr>
          <w:noProof/>
        </w:rPr>
        <w:t xml:space="preserve">in accordance with </w:t>
      </w:r>
      <w:r w:rsidR="00FF24EC" w:rsidRPr="006A39BB">
        <w:rPr>
          <w:noProof/>
        </w:rPr>
        <w:t>the</w:t>
      </w:r>
      <w:r w:rsidR="008B6A15">
        <w:rPr>
          <w:noProof/>
        </w:rPr>
        <w:t>ir</w:t>
      </w:r>
      <w:r w:rsidR="00FF24EC" w:rsidRPr="006A39BB">
        <w:rPr>
          <w:noProof/>
        </w:rPr>
        <w:t xml:space="preserve"> rating methodologies. They shall adopt all necessary measures </w:t>
      </w:r>
      <w:r w:rsidR="00A93EA5">
        <w:rPr>
          <w:noProof/>
        </w:rPr>
        <w:t xml:space="preserve">to ensure </w:t>
      </w:r>
      <w:r w:rsidR="00FF24EC" w:rsidRPr="006A39BB">
        <w:rPr>
          <w:noProof/>
        </w:rPr>
        <w:t xml:space="preserve">that the information they use in assigning ESG ratings is of sufficient quality and from reliable sources. ESG rating providers shall </w:t>
      </w:r>
      <w:r w:rsidR="00A93EA5">
        <w:rPr>
          <w:noProof/>
        </w:rPr>
        <w:t>explicitly mention</w:t>
      </w:r>
      <w:r w:rsidR="00FF24EC" w:rsidRPr="006A39BB">
        <w:rPr>
          <w:noProof/>
        </w:rPr>
        <w:t xml:space="preserve"> that </w:t>
      </w:r>
      <w:r w:rsidR="004302E3">
        <w:rPr>
          <w:noProof/>
        </w:rPr>
        <w:t xml:space="preserve">their </w:t>
      </w:r>
      <w:r w:rsidR="00FF24EC" w:rsidRPr="006A39BB">
        <w:rPr>
          <w:noProof/>
        </w:rPr>
        <w:t xml:space="preserve">ESG ratings are </w:t>
      </w:r>
      <w:r w:rsidR="004302E3">
        <w:rPr>
          <w:noProof/>
        </w:rPr>
        <w:t>the</w:t>
      </w:r>
      <w:r w:rsidR="00252966">
        <w:rPr>
          <w:noProof/>
        </w:rPr>
        <w:t>ir own</w:t>
      </w:r>
      <w:r w:rsidR="00FF24EC" w:rsidRPr="006A39BB">
        <w:rPr>
          <w:noProof/>
        </w:rPr>
        <w:t xml:space="preserve"> opinion .</w:t>
      </w:r>
    </w:p>
    <w:p w14:paraId="213EED2C" w14:textId="0F1FF65B" w:rsidR="00985B8B" w:rsidRPr="006A39BB" w:rsidRDefault="002A7F8C" w:rsidP="002A7F8C">
      <w:pPr>
        <w:pStyle w:val="ManualNumPar1"/>
        <w:rPr>
          <w:noProof/>
        </w:rPr>
      </w:pPr>
      <w:r w:rsidRPr="002A7F8C">
        <w:rPr>
          <w:noProof/>
        </w:rPr>
        <w:t>12.</w:t>
      </w:r>
      <w:r w:rsidRPr="002A7F8C">
        <w:rPr>
          <w:noProof/>
        </w:rPr>
        <w:tab/>
      </w:r>
      <w:r w:rsidR="00985B8B" w:rsidRPr="006A39BB">
        <w:rPr>
          <w:noProof/>
        </w:rPr>
        <w:t xml:space="preserve">ESG rating providers shall not disclose information </w:t>
      </w:r>
      <w:r w:rsidR="00C24F1B" w:rsidRPr="006A39BB">
        <w:rPr>
          <w:noProof/>
        </w:rPr>
        <w:t>about</w:t>
      </w:r>
      <w:r w:rsidR="00985B8B" w:rsidRPr="006A39BB">
        <w:rPr>
          <w:noProof/>
        </w:rPr>
        <w:t xml:space="preserve"> their intellectual capital, intellectual property, know-how or the results of innovation that would qualify as trade secrets as defined in </w:t>
      </w:r>
      <w:r w:rsidR="00A0746F" w:rsidRPr="006A39BB">
        <w:rPr>
          <w:noProof/>
        </w:rPr>
        <w:t>Article 2, point (1)</w:t>
      </w:r>
      <w:r w:rsidR="008F6F1A">
        <w:rPr>
          <w:noProof/>
        </w:rPr>
        <w:t>,</w:t>
      </w:r>
      <w:r w:rsidR="00A0746F" w:rsidRPr="006A39BB">
        <w:rPr>
          <w:noProof/>
        </w:rPr>
        <w:t xml:space="preserve"> of Directive (EU) 2016/943 of the European Parliament and of the Council</w:t>
      </w:r>
      <w:r w:rsidR="00A0746F" w:rsidRPr="006A39BB">
        <w:rPr>
          <w:rStyle w:val="FootnoteReference"/>
          <w:noProof/>
          <w:szCs w:val="24"/>
        </w:rPr>
        <w:footnoteReference w:id="53"/>
      </w:r>
      <w:r w:rsidR="00985B8B" w:rsidRPr="006A39BB">
        <w:rPr>
          <w:noProof/>
        </w:rPr>
        <w:t>.</w:t>
      </w:r>
    </w:p>
    <w:p w14:paraId="061D7BD7" w14:textId="39C9D5E8" w:rsidR="00CF210D" w:rsidRPr="00721912" w:rsidRDefault="002A7F8C" w:rsidP="002A7F8C">
      <w:pPr>
        <w:pStyle w:val="ManualNumPar1"/>
        <w:rPr>
          <w:noProof/>
        </w:rPr>
      </w:pPr>
      <w:r w:rsidRPr="002A7F8C">
        <w:rPr>
          <w:noProof/>
        </w:rPr>
        <w:t>13.</w:t>
      </w:r>
      <w:r w:rsidRPr="002A7F8C">
        <w:rPr>
          <w:noProof/>
        </w:rPr>
        <w:tab/>
      </w:r>
      <w:r w:rsidR="008F6F1A" w:rsidRPr="00721912">
        <w:rPr>
          <w:noProof/>
        </w:rPr>
        <w:t xml:space="preserve">ESG rating providers shall only </w:t>
      </w:r>
      <w:r w:rsidR="005F0AA8" w:rsidRPr="00721912">
        <w:rPr>
          <w:noProof/>
        </w:rPr>
        <w:t xml:space="preserve">make </w:t>
      </w:r>
      <w:r w:rsidR="008F6F1A" w:rsidRPr="00721912">
        <w:rPr>
          <w:noProof/>
        </w:rPr>
        <w:t>c</w:t>
      </w:r>
      <w:r w:rsidR="00791D50" w:rsidRPr="00721912">
        <w:rPr>
          <w:noProof/>
        </w:rPr>
        <w:t>hanges</w:t>
      </w:r>
      <w:r w:rsidR="005F0AA8" w:rsidRPr="00721912">
        <w:rPr>
          <w:noProof/>
        </w:rPr>
        <w:t xml:space="preserve"> to</w:t>
      </w:r>
      <w:r w:rsidR="00791D50" w:rsidRPr="00721912">
        <w:rPr>
          <w:noProof/>
        </w:rPr>
        <w:t xml:space="preserve"> </w:t>
      </w:r>
      <w:r w:rsidR="008F6F1A" w:rsidRPr="00721912">
        <w:rPr>
          <w:noProof/>
        </w:rPr>
        <w:t>their</w:t>
      </w:r>
      <w:r w:rsidR="00791D50" w:rsidRPr="00721912">
        <w:rPr>
          <w:noProof/>
        </w:rPr>
        <w:t xml:space="preserve"> ESG ratings in accordance with the</w:t>
      </w:r>
      <w:r w:rsidR="008F6F1A" w:rsidRPr="00721912">
        <w:rPr>
          <w:noProof/>
        </w:rPr>
        <w:t>ir</w:t>
      </w:r>
      <w:r w:rsidR="00791D50" w:rsidRPr="00721912">
        <w:rPr>
          <w:noProof/>
        </w:rPr>
        <w:t xml:space="preserve"> rating methodologies</w:t>
      </w:r>
      <w:r w:rsidR="001D06F7" w:rsidRPr="00721912">
        <w:rPr>
          <w:noProof/>
        </w:rPr>
        <w:t xml:space="preserve"> </w:t>
      </w:r>
      <w:r w:rsidR="000010B8" w:rsidRPr="00721912">
        <w:rPr>
          <w:noProof/>
        </w:rPr>
        <w:t xml:space="preserve"> published </w:t>
      </w:r>
      <w:r w:rsidR="001D06F7" w:rsidRPr="00721912">
        <w:rPr>
          <w:noProof/>
        </w:rPr>
        <w:t>pursuant to Article 21</w:t>
      </w:r>
      <w:r w:rsidR="00791D50" w:rsidRPr="00721912">
        <w:rPr>
          <w:noProof/>
        </w:rPr>
        <w:t>.</w:t>
      </w:r>
    </w:p>
    <w:p w14:paraId="3424AC31" w14:textId="77777777" w:rsidR="008A4205" w:rsidRPr="00721912" w:rsidRDefault="008A4205" w:rsidP="00721912">
      <w:pPr>
        <w:pStyle w:val="Titrearticle"/>
        <w:spacing w:line="23" w:lineRule="atLeast"/>
        <w:rPr>
          <w:noProof/>
          <w:szCs w:val="24"/>
        </w:rPr>
      </w:pPr>
      <w:r w:rsidRPr="00721912">
        <w:rPr>
          <w:noProof/>
          <w:szCs w:val="24"/>
        </w:rPr>
        <w:t>Article</w:t>
      </w:r>
      <w:r w:rsidR="00211A8E" w:rsidRPr="00721912">
        <w:rPr>
          <w:noProof/>
          <w:szCs w:val="24"/>
        </w:rPr>
        <w:t xml:space="preserve"> 1</w:t>
      </w:r>
      <w:r w:rsidR="00441017" w:rsidRPr="00721912">
        <w:rPr>
          <w:noProof/>
          <w:szCs w:val="24"/>
        </w:rPr>
        <w:t>5</w:t>
      </w:r>
    </w:p>
    <w:p w14:paraId="7DEE9968" w14:textId="77777777" w:rsidR="008A4205" w:rsidRPr="00721912" w:rsidRDefault="008A4205" w:rsidP="00721912">
      <w:pPr>
        <w:pStyle w:val="NormalCentered"/>
        <w:rPr>
          <w:b/>
          <w:bCs/>
          <w:noProof/>
          <w:lang w:eastAsia="en-IE"/>
        </w:rPr>
      </w:pPr>
      <w:r w:rsidRPr="00721912">
        <w:rPr>
          <w:b/>
          <w:bCs/>
          <w:noProof/>
          <w:lang w:eastAsia="en-IE"/>
        </w:rPr>
        <w:t xml:space="preserve">Separation of </w:t>
      </w:r>
      <w:r w:rsidR="000F1413" w:rsidRPr="00721912">
        <w:rPr>
          <w:b/>
          <w:bCs/>
          <w:noProof/>
          <w:lang w:eastAsia="en-IE"/>
        </w:rPr>
        <w:t>business and activities</w:t>
      </w:r>
    </w:p>
    <w:p w14:paraId="4580212B" w14:textId="051961CE" w:rsidR="000D28F5" w:rsidRPr="006A39BB" w:rsidRDefault="002A7F8C" w:rsidP="002A7F8C">
      <w:pPr>
        <w:pStyle w:val="ManualNumPar1"/>
        <w:rPr>
          <w:noProof/>
        </w:rPr>
      </w:pPr>
      <w:r w:rsidRPr="002A7F8C">
        <w:rPr>
          <w:noProof/>
        </w:rPr>
        <w:t>1.</w:t>
      </w:r>
      <w:r w:rsidRPr="002A7F8C">
        <w:rPr>
          <w:noProof/>
        </w:rPr>
        <w:tab/>
      </w:r>
      <w:r w:rsidR="00675484" w:rsidRPr="006A39BB">
        <w:rPr>
          <w:noProof/>
        </w:rPr>
        <w:t>ESG rating</w:t>
      </w:r>
      <w:r w:rsidR="009B1B22" w:rsidRPr="006A39BB">
        <w:rPr>
          <w:noProof/>
        </w:rPr>
        <w:t xml:space="preserve"> providers </w:t>
      </w:r>
      <w:r w:rsidR="00675484" w:rsidRPr="006A39BB">
        <w:rPr>
          <w:noProof/>
        </w:rPr>
        <w:t xml:space="preserve">shall </w:t>
      </w:r>
      <w:r w:rsidR="00EC2C1B" w:rsidRPr="006A39BB">
        <w:rPr>
          <w:noProof/>
        </w:rPr>
        <w:t>not provide any of the following activities</w:t>
      </w:r>
      <w:r w:rsidR="002A6755" w:rsidRPr="006A39BB">
        <w:rPr>
          <w:noProof/>
        </w:rPr>
        <w:t>:</w:t>
      </w:r>
    </w:p>
    <w:p w14:paraId="5F854829" w14:textId="1FD9E455" w:rsidR="000D28F5" w:rsidRPr="006A39BB" w:rsidRDefault="002A7F8C" w:rsidP="002A7F8C">
      <w:pPr>
        <w:pStyle w:val="Point1"/>
        <w:rPr>
          <w:noProof/>
        </w:rPr>
      </w:pPr>
      <w:r w:rsidRPr="002A7F8C">
        <w:rPr>
          <w:noProof/>
        </w:rPr>
        <w:t>(a)</w:t>
      </w:r>
      <w:r w:rsidRPr="002A7F8C">
        <w:rPr>
          <w:noProof/>
        </w:rPr>
        <w:tab/>
      </w:r>
      <w:r w:rsidR="00ED791B" w:rsidRPr="006A39BB">
        <w:rPr>
          <w:noProof/>
        </w:rPr>
        <w:t>c</w:t>
      </w:r>
      <w:r w:rsidR="000D28F5" w:rsidRPr="006A39BB">
        <w:rPr>
          <w:noProof/>
        </w:rPr>
        <w:t xml:space="preserve">onsulting activities to investors or </w:t>
      </w:r>
      <w:r w:rsidR="2CA5F681" w:rsidRPr="006A39BB">
        <w:rPr>
          <w:noProof/>
        </w:rPr>
        <w:t>undertakings</w:t>
      </w:r>
      <w:r w:rsidR="00CE1FE1" w:rsidRPr="006A39BB">
        <w:rPr>
          <w:noProof/>
        </w:rPr>
        <w:t>;</w:t>
      </w:r>
    </w:p>
    <w:p w14:paraId="172E290F" w14:textId="2D1C26C5" w:rsidR="000E26D4" w:rsidRPr="006A39BB" w:rsidRDefault="002A7F8C" w:rsidP="002A7F8C">
      <w:pPr>
        <w:pStyle w:val="Point1"/>
        <w:rPr>
          <w:noProof/>
        </w:rPr>
      </w:pPr>
      <w:r w:rsidRPr="002A7F8C">
        <w:rPr>
          <w:noProof/>
        </w:rPr>
        <w:t>(b)</w:t>
      </w:r>
      <w:r w:rsidRPr="002A7F8C">
        <w:rPr>
          <w:noProof/>
        </w:rPr>
        <w:tab/>
      </w:r>
      <w:r w:rsidR="00ED791B" w:rsidRPr="006A39BB">
        <w:rPr>
          <w:noProof/>
        </w:rPr>
        <w:t>t</w:t>
      </w:r>
      <w:r w:rsidR="00DB6E7E" w:rsidRPr="006A39BB">
        <w:rPr>
          <w:noProof/>
        </w:rPr>
        <w:t>he issuance and sale of c</w:t>
      </w:r>
      <w:r w:rsidR="000D28F5" w:rsidRPr="006A39BB">
        <w:rPr>
          <w:noProof/>
        </w:rPr>
        <w:t>redit ratin</w:t>
      </w:r>
      <w:r w:rsidR="000E26D4" w:rsidRPr="006A39BB">
        <w:rPr>
          <w:noProof/>
        </w:rPr>
        <w:t>gs</w:t>
      </w:r>
      <w:r w:rsidR="00CE1FE1" w:rsidRPr="006A39BB">
        <w:rPr>
          <w:noProof/>
        </w:rPr>
        <w:t>;</w:t>
      </w:r>
    </w:p>
    <w:p w14:paraId="60E9E7F5" w14:textId="08F1537A" w:rsidR="00526969" w:rsidRPr="006A39BB" w:rsidRDefault="002A7F8C" w:rsidP="002A7F8C">
      <w:pPr>
        <w:pStyle w:val="Point1"/>
        <w:rPr>
          <w:noProof/>
        </w:rPr>
      </w:pPr>
      <w:r w:rsidRPr="002A7F8C">
        <w:rPr>
          <w:noProof/>
        </w:rPr>
        <w:t>(c)</w:t>
      </w:r>
      <w:r w:rsidRPr="002A7F8C">
        <w:rPr>
          <w:noProof/>
        </w:rPr>
        <w:tab/>
      </w:r>
      <w:r w:rsidR="00197DF6">
        <w:rPr>
          <w:noProof/>
        </w:rPr>
        <w:t xml:space="preserve">the </w:t>
      </w:r>
      <w:r w:rsidR="00ED791B" w:rsidRPr="006A39BB">
        <w:rPr>
          <w:noProof/>
        </w:rPr>
        <w:t>d</w:t>
      </w:r>
      <w:r w:rsidR="000E26D4" w:rsidRPr="006A39BB">
        <w:rPr>
          <w:noProof/>
        </w:rPr>
        <w:t>evelopment of benchmarks</w:t>
      </w:r>
      <w:r w:rsidR="00CE1FE1" w:rsidRPr="006A39BB">
        <w:rPr>
          <w:noProof/>
        </w:rPr>
        <w:t>;</w:t>
      </w:r>
    </w:p>
    <w:p w14:paraId="08749519" w14:textId="1695B945" w:rsidR="00526969" w:rsidRPr="006A39BB" w:rsidRDefault="002A7F8C" w:rsidP="002A7F8C">
      <w:pPr>
        <w:pStyle w:val="Point1"/>
        <w:rPr>
          <w:noProof/>
        </w:rPr>
      </w:pPr>
      <w:r w:rsidRPr="002A7F8C">
        <w:rPr>
          <w:noProof/>
        </w:rPr>
        <w:t>(d)</w:t>
      </w:r>
      <w:r w:rsidRPr="002A7F8C">
        <w:rPr>
          <w:noProof/>
        </w:rPr>
        <w:tab/>
      </w:r>
      <w:r w:rsidR="00ED791B" w:rsidRPr="006A39BB">
        <w:rPr>
          <w:noProof/>
        </w:rPr>
        <w:t>i</w:t>
      </w:r>
      <w:r w:rsidR="00526969" w:rsidRPr="006A39BB">
        <w:rPr>
          <w:noProof/>
        </w:rPr>
        <w:t>nvestment activities</w:t>
      </w:r>
      <w:r w:rsidR="00125BA5" w:rsidRPr="006A39BB">
        <w:rPr>
          <w:noProof/>
        </w:rPr>
        <w:t>;</w:t>
      </w:r>
    </w:p>
    <w:p w14:paraId="7B88938E" w14:textId="1B1BDA63" w:rsidR="00110DD2" w:rsidRPr="006A39BB" w:rsidRDefault="002A7F8C" w:rsidP="002A7F8C">
      <w:pPr>
        <w:pStyle w:val="Point1"/>
        <w:rPr>
          <w:noProof/>
        </w:rPr>
      </w:pPr>
      <w:r w:rsidRPr="002A7F8C">
        <w:rPr>
          <w:noProof/>
        </w:rPr>
        <w:t>(e)</w:t>
      </w:r>
      <w:r w:rsidRPr="002A7F8C">
        <w:rPr>
          <w:noProof/>
        </w:rPr>
        <w:tab/>
      </w:r>
      <w:r w:rsidR="00ED791B" w:rsidRPr="006A39BB">
        <w:rPr>
          <w:noProof/>
        </w:rPr>
        <w:t>a</w:t>
      </w:r>
      <w:r w:rsidR="00110DD2" w:rsidRPr="006A39BB">
        <w:rPr>
          <w:noProof/>
        </w:rPr>
        <w:t>udit activities;</w:t>
      </w:r>
    </w:p>
    <w:p w14:paraId="4191A69F" w14:textId="0A19CEB6" w:rsidR="00125BA5" w:rsidRPr="006A39BB" w:rsidRDefault="002A7F8C" w:rsidP="002A7F8C">
      <w:pPr>
        <w:pStyle w:val="Point1"/>
        <w:rPr>
          <w:noProof/>
        </w:rPr>
      </w:pPr>
      <w:r w:rsidRPr="002A7F8C">
        <w:rPr>
          <w:noProof/>
        </w:rPr>
        <w:t>(f)</w:t>
      </w:r>
      <w:r w:rsidRPr="002A7F8C">
        <w:rPr>
          <w:noProof/>
        </w:rPr>
        <w:tab/>
      </w:r>
      <w:r w:rsidR="00ED791B" w:rsidRPr="006A39BB">
        <w:rPr>
          <w:noProof/>
        </w:rPr>
        <w:t>b</w:t>
      </w:r>
      <w:r w:rsidR="1FBC8F0D" w:rsidRPr="006A39BB">
        <w:rPr>
          <w:noProof/>
        </w:rPr>
        <w:t xml:space="preserve">anking, </w:t>
      </w:r>
      <w:r w:rsidR="00DC27D8" w:rsidRPr="006A39BB">
        <w:rPr>
          <w:noProof/>
        </w:rPr>
        <w:t>insurance</w:t>
      </w:r>
      <w:r w:rsidR="00197DF6">
        <w:rPr>
          <w:noProof/>
        </w:rPr>
        <w:t>,</w:t>
      </w:r>
      <w:r w:rsidR="00DC27D8" w:rsidRPr="006A39BB">
        <w:rPr>
          <w:noProof/>
        </w:rPr>
        <w:t xml:space="preserve"> </w:t>
      </w:r>
      <w:r w:rsidR="1FBC8F0D" w:rsidRPr="006A39BB">
        <w:rPr>
          <w:noProof/>
        </w:rPr>
        <w:t>or reinsurance activities.</w:t>
      </w:r>
    </w:p>
    <w:p w14:paraId="0BB1FB4E" w14:textId="685B1AA3" w:rsidR="00CE4036" w:rsidRPr="006A39BB" w:rsidRDefault="002A7F8C" w:rsidP="002A7F8C">
      <w:pPr>
        <w:pStyle w:val="ManualNumPar1"/>
        <w:rPr>
          <w:noProof/>
        </w:rPr>
      </w:pPr>
      <w:r w:rsidRPr="002A7F8C">
        <w:rPr>
          <w:noProof/>
        </w:rPr>
        <w:t>2.</w:t>
      </w:r>
      <w:r w:rsidRPr="002A7F8C">
        <w:rPr>
          <w:noProof/>
        </w:rPr>
        <w:tab/>
      </w:r>
      <w:r w:rsidR="00CE4036" w:rsidRPr="006A39BB">
        <w:rPr>
          <w:noProof/>
        </w:rPr>
        <w:t xml:space="preserve">ESG rating providers shall ensure that the provision of </w:t>
      </w:r>
      <w:r w:rsidR="00DC27D8" w:rsidRPr="006A39BB">
        <w:rPr>
          <w:noProof/>
        </w:rPr>
        <w:t xml:space="preserve">other </w:t>
      </w:r>
      <w:r w:rsidR="00CE4036" w:rsidRPr="006A39BB">
        <w:rPr>
          <w:noProof/>
        </w:rPr>
        <w:t xml:space="preserve">services </w:t>
      </w:r>
      <w:r w:rsidR="006E2F1C" w:rsidRPr="006A39BB">
        <w:rPr>
          <w:noProof/>
        </w:rPr>
        <w:t>than those referred to in paragraph 1</w:t>
      </w:r>
      <w:r w:rsidR="00780295" w:rsidRPr="006A39BB">
        <w:rPr>
          <w:noProof/>
        </w:rPr>
        <w:t xml:space="preserve"> </w:t>
      </w:r>
      <w:r w:rsidR="00CE4036" w:rsidRPr="006A39BB">
        <w:rPr>
          <w:noProof/>
        </w:rPr>
        <w:t xml:space="preserve">does not </w:t>
      </w:r>
      <w:r w:rsidR="00DB6E7E" w:rsidRPr="006A39BB">
        <w:rPr>
          <w:noProof/>
        </w:rPr>
        <w:t>create</w:t>
      </w:r>
      <w:r w:rsidR="005245CD" w:rsidRPr="006A39BB">
        <w:rPr>
          <w:noProof/>
        </w:rPr>
        <w:t xml:space="preserve"> </w:t>
      </w:r>
      <w:r w:rsidR="00DB6E7E" w:rsidRPr="006A39BB">
        <w:rPr>
          <w:noProof/>
        </w:rPr>
        <w:t xml:space="preserve">risks of </w:t>
      </w:r>
      <w:r w:rsidR="00CE4036" w:rsidRPr="006A39BB">
        <w:rPr>
          <w:noProof/>
        </w:rPr>
        <w:t>conflicts of interest with</w:t>
      </w:r>
      <w:r w:rsidR="2A7BB795" w:rsidRPr="006A39BB">
        <w:rPr>
          <w:noProof/>
        </w:rPr>
        <w:t>in</w:t>
      </w:r>
      <w:r w:rsidR="00CE4036" w:rsidRPr="006A39BB">
        <w:rPr>
          <w:noProof/>
        </w:rPr>
        <w:t xml:space="preserve"> its ESG rating activities.</w:t>
      </w:r>
    </w:p>
    <w:p w14:paraId="46029522" w14:textId="77777777" w:rsidR="00587167" w:rsidRPr="00721912" w:rsidRDefault="00587167" w:rsidP="00721912">
      <w:pPr>
        <w:pStyle w:val="Titrearticle"/>
        <w:spacing w:line="23" w:lineRule="atLeast"/>
        <w:rPr>
          <w:noProof/>
          <w:szCs w:val="24"/>
        </w:rPr>
      </w:pPr>
      <w:r w:rsidRPr="00721912">
        <w:rPr>
          <w:noProof/>
          <w:szCs w:val="24"/>
        </w:rPr>
        <w:t xml:space="preserve">Article </w:t>
      </w:r>
      <w:r w:rsidR="00211A8E" w:rsidRPr="00721912">
        <w:rPr>
          <w:noProof/>
          <w:szCs w:val="24"/>
        </w:rPr>
        <w:t>1</w:t>
      </w:r>
      <w:r w:rsidR="00441017" w:rsidRPr="00721912">
        <w:rPr>
          <w:noProof/>
          <w:szCs w:val="24"/>
        </w:rPr>
        <w:t>6</w:t>
      </w:r>
    </w:p>
    <w:p w14:paraId="6C202339" w14:textId="77777777" w:rsidR="00587167" w:rsidRPr="00721912" w:rsidRDefault="00587167" w:rsidP="00721912">
      <w:pPr>
        <w:pStyle w:val="NormalCentered"/>
        <w:rPr>
          <w:b/>
          <w:bCs/>
          <w:noProof/>
          <w:lang w:eastAsia="en-IE"/>
        </w:rPr>
      </w:pPr>
      <w:r w:rsidRPr="00721912">
        <w:rPr>
          <w:b/>
          <w:bCs/>
          <w:noProof/>
          <w:lang w:eastAsia="en-IE"/>
        </w:rPr>
        <w:t xml:space="preserve">Rating analysts, employees and other persons involved in the </w:t>
      </w:r>
      <w:r w:rsidR="00DC27D8" w:rsidRPr="00721912">
        <w:rPr>
          <w:b/>
          <w:bCs/>
          <w:noProof/>
          <w:lang w:eastAsia="en-IE"/>
        </w:rPr>
        <w:t xml:space="preserve">provision </w:t>
      </w:r>
      <w:r w:rsidRPr="00721912">
        <w:rPr>
          <w:b/>
          <w:bCs/>
          <w:noProof/>
          <w:lang w:eastAsia="en-IE"/>
        </w:rPr>
        <w:t>of ESG ratings</w:t>
      </w:r>
    </w:p>
    <w:p w14:paraId="27F434CC" w14:textId="4C54B2C5" w:rsidR="008B7F6D" w:rsidRPr="006A39BB" w:rsidRDefault="002A7F8C" w:rsidP="002A7F8C">
      <w:pPr>
        <w:pStyle w:val="ManualNumPar1"/>
        <w:rPr>
          <w:noProof/>
        </w:rPr>
      </w:pPr>
      <w:r w:rsidRPr="002A7F8C">
        <w:rPr>
          <w:noProof/>
        </w:rPr>
        <w:t>1.</w:t>
      </w:r>
      <w:r w:rsidRPr="002A7F8C">
        <w:rPr>
          <w:noProof/>
        </w:rPr>
        <w:tab/>
      </w:r>
      <w:r w:rsidR="0055166F" w:rsidRPr="006A39BB">
        <w:rPr>
          <w:noProof/>
        </w:rPr>
        <w:t>ESG rating provider</w:t>
      </w:r>
      <w:r w:rsidR="00882FA1" w:rsidRPr="006A39BB">
        <w:rPr>
          <w:noProof/>
        </w:rPr>
        <w:t>s</w:t>
      </w:r>
      <w:r w:rsidR="0055166F" w:rsidRPr="006A39BB">
        <w:rPr>
          <w:noProof/>
        </w:rPr>
        <w:t xml:space="preserve"> shall ensure that rating analysts, employees and any other natural person whose services are placed at its disposal or under its control and who are directly involved in </w:t>
      </w:r>
      <w:r w:rsidR="00882FA1" w:rsidRPr="006A39BB">
        <w:rPr>
          <w:noProof/>
        </w:rPr>
        <w:t xml:space="preserve">the </w:t>
      </w:r>
      <w:r w:rsidR="00DC27D8" w:rsidRPr="006A39BB">
        <w:rPr>
          <w:noProof/>
        </w:rPr>
        <w:t>provision</w:t>
      </w:r>
      <w:r w:rsidR="00882FA1" w:rsidRPr="006A39BB">
        <w:rPr>
          <w:noProof/>
        </w:rPr>
        <w:t xml:space="preserve"> of ESG ratings</w:t>
      </w:r>
      <w:r w:rsidR="00D16AE2" w:rsidRPr="006A39BB">
        <w:rPr>
          <w:noProof/>
        </w:rPr>
        <w:t xml:space="preserve">, including analysts directly involved in the rating process and persons involved in the provision of scores, </w:t>
      </w:r>
      <w:r w:rsidR="0055166F" w:rsidRPr="006A39BB">
        <w:rPr>
          <w:noProof/>
        </w:rPr>
        <w:t xml:space="preserve">have </w:t>
      </w:r>
      <w:r w:rsidR="006A11EF">
        <w:rPr>
          <w:noProof/>
        </w:rPr>
        <w:t xml:space="preserve">the </w:t>
      </w:r>
      <w:r w:rsidR="0055166F" w:rsidRPr="006A39BB">
        <w:rPr>
          <w:noProof/>
        </w:rPr>
        <w:t xml:space="preserve">knowledge and experience </w:t>
      </w:r>
      <w:r w:rsidR="006A11EF">
        <w:rPr>
          <w:noProof/>
        </w:rPr>
        <w:t xml:space="preserve">that is </w:t>
      </w:r>
      <w:r w:rsidR="00E87D7D">
        <w:rPr>
          <w:noProof/>
        </w:rPr>
        <w:t>necessary</w:t>
      </w:r>
      <w:r w:rsidR="006A11EF" w:rsidRPr="006A39BB">
        <w:rPr>
          <w:noProof/>
        </w:rPr>
        <w:t xml:space="preserve"> </w:t>
      </w:r>
      <w:r w:rsidR="0055166F" w:rsidRPr="006A39BB">
        <w:rPr>
          <w:noProof/>
        </w:rPr>
        <w:t>for</w:t>
      </w:r>
      <w:r w:rsidR="006A11EF">
        <w:rPr>
          <w:noProof/>
        </w:rPr>
        <w:t xml:space="preserve"> the performance of</w:t>
      </w:r>
      <w:r w:rsidR="0055166F" w:rsidRPr="006A39BB">
        <w:rPr>
          <w:noProof/>
        </w:rPr>
        <w:t xml:space="preserve"> the duties</w:t>
      </w:r>
      <w:r w:rsidR="00061CA9">
        <w:rPr>
          <w:noProof/>
        </w:rPr>
        <w:t xml:space="preserve"> and tasks</w:t>
      </w:r>
      <w:r w:rsidR="0055166F" w:rsidRPr="006A39BB">
        <w:rPr>
          <w:noProof/>
        </w:rPr>
        <w:t xml:space="preserve"> assigned.</w:t>
      </w:r>
    </w:p>
    <w:p w14:paraId="5E9A4FF2" w14:textId="13C01E3C" w:rsidR="0055166F" w:rsidRPr="006A39BB" w:rsidRDefault="002A7F8C" w:rsidP="002A7F8C">
      <w:pPr>
        <w:pStyle w:val="ManualNumPar1"/>
        <w:rPr>
          <w:noProof/>
        </w:rPr>
      </w:pPr>
      <w:r w:rsidRPr="002A7F8C">
        <w:rPr>
          <w:noProof/>
        </w:rPr>
        <w:t>2.</w:t>
      </w:r>
      <w:r w:rsidRPr="002A7F8C">
        <w:rPr>
          <w:noProof/>
        </w:rPr>
        <w:tab/>
      </w:r>
      <w:r w:rsidR="0055166F" w:rsidRPr="006A39BB">
        <w:rPr>
          <w:noProof/>
        </w:rPr>
        <w:t>ESG rating provider</w:t>
      </w:r>
      <w:r w:rsidR="00073B1F" w:rsidRPr="006A39BB">
        <w:rPr>
          <w:noProof/>
        </w:rPr>
        <w:t>s</w:t>
      </w:r>
      <w:r w:rsidR="0055166F" w:rsidRPr="006A39BB">
        <w:rPr>
          <w:noProof/>
        </w:rPr>
        <w:t xml:space="preserve"> shall ensure that </w:t>
      </w:r>
      <w:r w:rsidR="006A11EF">
        <w:rPr>
          <w:noProof/>
        </w:rPr>
        <w:t xml:space="preserve">the </w:t>
      </w:r>
      <w:r w:rsidR="0055166F" w:rsidRPr="006A39BB">
        <w:rPr>
          <w:noProof/>
        </w:rPr>
        <w:t xml:space="preserve">persons referred to in paragraph 1 </w:t>
      </w:r>
      <w:r w:rsidR="00D76E91" w:rsidRPr="006A39BB">
        <w:rPr>
          <w:noProof/>
        </w:rPr>
        <w:t xml:space="preserve">are </w:t>
      </w:r>
      <w:r w:rsidR="0055166F" w:rsidRPr="006A39BB">
        <w:rPr>
          <w:noProof/>
        </w:rPr>
        <w:t>not allowed to initiate or participate in negotiations regarding fees or payments with any rated entity</w:t>
      </w:r>
      <w:r w:rsidR="00F168D9" w:rsidRPr="006A39BB">
        <w:rPr>
          <w:noProof/>
        </w:rPr>
        <w:t xml:space="preserve"> </w:t>
      </w:r>
      <w:r w:rsidR="0055166F" w:rsidRPr="006A39BB">
        <w:rPr>
          <w:noProof/>
        </w:rPr>
        <w:t>or any person directly or indirectly linked to the rated entity by control.</w:t>
      </w:r>
    </w:p>
    <w:p w14:paraId="60F9EEF3" w14:textId="2F7AC40E" w:rsidR="00095A55" w:rsidRPr="006A39BB" w:rsidRDefault="002A7F8C" w:rsidP="002A7F8C">
      <w:pPr>
        <w:pStyle w:val="ManualNumPar1"/>
        <w:rPr>
          <w:noProof/>
        </w:rPr>
      </w:pPr>
      <w:r w:rsidRPr="002A7F8C">
        <w:rPr>
          <w:noProof/>
        </w:rPr>
        <w:t>3.</w:t>
      </w:r>
      <w:r w:rsidRPr="002A7F8C">
        <w:rPr>
          <w:noProof/>
        </w:rPr>
        <w:tab/>
      </w:r>
      <w:r w:rsidR="00073B1F" w:rsidRPr="006A39BB">
        <w:rPr>
          <w:noProof/>
        </w:rPr>
        <w:t>The persons referred to in paragraph 1</w:t>
      </w:r>
      <w:r w:rsidR="00095A55" w:rsidRPr="006A39BB">
        <w:rPr>
          <w:noProof/>
        </w:rPr>
        <w:t xml:space="preserve"> shall not buy or sell any financial instrument issued, guaranteed, or otherwise supported by any rated entity other than holdings in diversified collective investment schemes, including managed funds</w:t>
      </w:r>
      <w:r w:rsidR="006A11EF">
        <w:rPr>
          <w:noProof/>
        </w:rPr>
        <w:t>, n</w:t>
      </w:r>
      <w:r w:rsidR="006A11EF" w:rsidRPr="006A39BB">
        <w:rPr>
          <w:noProof/>
        </w:rPr>
        <w:t xml:space="preserve">or engage in any transaction in </w:t>
      </w:r>
      <w:r w:rsidR="006A11EF">
        <w:rPr>
          <w:noProof/>
        </w:rPr>
        <w:t>such financial instruments.</w:t>
      </w:r>
    </w:p>
    <w:p w14:paraId="6F50B9AA" w14:textId="29940B1B" w:rsidR="00095A55" w:rsidRPr="006A39BB" w:rsidRDefault="002A7F8C" w:rsidP="002A7F8C">
      <w:pPr>
        <w:pStyle w:val="ManualNumPar1"/>
        <w:rPr>
          <w:noProof/>
        </w:rPr>
      </w:pPr>
      <w:r w:rsidRPr="002A7F8C">
        <w:rPr>
          <w:noProof/>
        </w:rPr>
        <w:t>4.</w:t>
      </w:r>
      <w:r w:rsidRPr="002A7F8C">
        <w:rPr>
          <w:noProof/>
        </w:rPr>
        <w:tab/>
      </w:r>
      <w:r w:rsidR="006A11EF" w:rsidRPr="006A39BB">
        <w:rPr>
          <w:noProof/>
        </w:rPr>
        <w:t xml:space="preserve">The persons referred to in paragraph 1 </w:t>
      </w:r>
      <w:r w:rsidR="006A11EF">
        <w:rPr>
          <w:noProof/>
        </w:rPr>
        <w:t xml:space="preserve">shall not </w:t>
      </w:r>
      <w:r w:rsidR="00095A55" w:rsidRPr="006A39BB">
        <w:rPr>
          <w:noProof/>
        </w:rPr>
        <w:t xml:space="preserve"> participate in or otherwise influence the determination of </w:t>
      </w:r>
      <w:r w:rsidR="00F21125" w:rsidRPr="006A39BB">
        <w:rPr>
          <w:noProof/>
        </w:rPr>
        <w:t>an ESG</w:t>
      </w:r>
      <w:r w:rsidR="00095A55" w:rsidRPr="006A39BB">
        <w:rPr>
          <w:noProof/>
        </w:rPr>
        <w:t xml:space="preserve"> rating of any rated entity </w:t>
      </w:r>
      <w:r w:rsidR="006A11EF">
        <w:rPr>
          <w:noProof/>
        </w:rPr>
        <w:t>where</w:t>
      </w:r>
      <w:r w:rsidR="00095A55" w:rsidRPr="006A39BB">
        <w:rPr>
          <w:noProof/>
        </w:rPr>
        <w:t xml:space="preserve"> th</w:t>
      </w:r>
      <w:r w:rsidR="006A11EF">
        <w:rPr>
          <w:noProof/>
        </w:rPr>
        <w:t>ose</w:t>
      </w:r>
      <w:r w:rsidR="00095A55" w:rsidRPr="006A39BB">
        <w:rPr>
          <w:noProof/>
        </w:rPr>
        <w:t xml:space="preserve"> person</w:t>
      </w:r>
      <w:r w:rsidR="006A11EF">
        <w:rPr>
          <w:noProof/>
        </w:rPr>
        <w:t>s</w:t>
      </w:r>
      <w:r w:rsidR="00095A55" w:rsidRPr="006A39BB">
        <w:rPr>
          <w:noProof/>
        </w:rPr>
        <w:t>:</w:t>
      </w:r>
    </w:p>
    <w:p w14:paraId="06EFA35A" w14:textId="2E4509C1" w:rsidR="00095A55" w:rsidRPr="006A39BB" w:rsidRDefault="002A7F8C" w:rsidP="002A7F8C">
      <w:pPr>
        <w:pStyle w:val="Point1"/>
        <w:rPr>
          <w:noProof/>
        </w:rPr>
      </w:pPr>
      <w:r w:rsidRPr="002A7F8C">
        <w:rPr>
          <w:noProof/>
        </w:rPr>
        <w:t>(a)</w:t>
      </w:r>
      <w:r w:rsidRPr="002A7F8C">
        <w:rPr>
          <w:noProof/>
        </w:rPr>
        <w:tab/>
      </w:r>
      <w:r w:rsidR="00095A55" w:rsidRPr="006A39BB">
        <w:rPr>
          <w:noProof/>
        </w:rPr>
        <w:t>own financial instruments of the rated entity, other than holdings in diversified collective investment schemes;</w:t>
      </w:r>
    </w:p>
    <w:p w14:paraId="325A5916" w14:textId="1FFC5491" w:rsidR="00095A55" w:rsidRPr="006A39BB" w:rsidRDefault="002A7F8C" w:rsidP="002A7F8C">
      <w:pPr>
        <w:pStyle w:val="Point1"/>
        <w:rPr>
          <w:noProof/>
        </w:rPr>
      </w:pPr>
      <w:r w:rsidRPr="002A7F8C">
        <w:rPr>
          <w:noProof/>
        </w:rPr>
        <w:t>(b)</w:t>
      </w:r>
      <w:r w:rsidRPr="002A7F8C">
        <w:rPr>
          <w:noProof/>
        </w:rPr>
        <w:tab/>
      </w:r>
      <w:r w:rsidR="00095A55" w:rsidRPr="006A39BB">
        <w:rPr>
          <w:noProof/>
        </w:rPr>
        <w:t>own financial instruments of any entity related to a rated entity, the ownership of which may cause or may be generally perceived as causing a conflict of interest, other than holdings in diversified collective investment schemes;</w:t>
      </w:r>
    </w:p>
    <w:p w14:paraId="4F186CF8" w14:textId="0B3233DD" w:rsidR="00095A55" w:rsidRPr="006A39BB" w:rsidRDefault="002A7F8C" w:rsidP="002A7F8C">
      <w:pPr>
        <w:pStyle w:val="Point1"/>
        <w:rPr>
          <w:noProof/>
        </w:rPr>
      </w:pPr>
      <w:r w:rsidRPr="002A7F8C">
        <w:rPr>
          <w:noProof/>
        </w:rPr>
        <w:t>(c)</w:t>
      </w:r>
      <w:r w:rsidRPr="002A7F8C">
        <w:rPr>
          <w:noProof/>
        </w:rPr>
        <w:tab/>
      </w:r>
      <w:r w:rsidR="00095A55" w:rsidRPr="006A39BB">
        <w:rPr>
          <w:noProof/>
        </w:rPr>
        <w:t>ha</w:t>
      </w:r>
      <w:r w:rsidR="00E572C3">
        <w:rPr>
          <w:noProof/>
        </w:rPr>
        <w:t>ve</w:t>
      </w:r>
      <w:r w:rsidR="00095A55" w:rsidRPr="006A39BB">
        <w:rPr>
          <w:noProof/>
        </w:rPr>
        <w:t xml:space="preserve"> had a recent employment, business or other relationship with the rated entity that may cause or may be generally perceived as causing a conflict of interest.</w:t>
      </w:r>
    </w:p>
    <w:p w14:paraId="771946F9" w14:textId="745F6853" w:rsidR="00095A55" w:rsidRPr="006A39BB" w:rsidRDefault="002A7F8C" w:rsidP="002A7F8C">
      <w:pPr>
        <w:pStyle w:val="ManualNumPar1"/>
        <w:rPr>
          <w:noProof/>
        </w:rPr>
      </w:pPr>
      <w:r w:rsidRPr="002A7F8C">
        <w:rPr>
          <w:noProof/>
        </w:rPr>
        <w:t>5.</w:t>
      </w:r>
      <w:r w:rsidRPr="002A7F8C">
        <w:rPr>
          <w:noProof/>
        </w:rPr>
        <w:tab/>
      </w:r>
      <w:r w:rsidR="00EE53BE" w:rsidRPr="006A39BB">
        <w:rPr>
          <w:noProof/>
        </w:rPr>
        <w:t>ESG</w:t>
      </w:r>
      <w:r w:rsidR="00095A55" w:rsidRPr="006A39BB">
        <w:rPr>
          <w:noProof/>
        </w:rPr>
        <w:t xml:space="preserve"> rating </w:t>
      </w:r>
      <w:r w:rsidR="00EE53BE" w:rsidRPr="006A39BB">
        <w:rPr>
          <w:noProof/>
        </w:rPr>
        <w:t>providers</w:t>
      </w:r>
      <w:r w:rsidR="00095A55" w:rsidRPr="006A39BB">
        <w:rPr>
          <w:noProof/>
        </w:rPr>
        <w:t xml:space="preserve"> shall ensure that </w:t>
      </w:r>
      <w:r w:rsidR="00E572C3">
        <w:rPr>
          <w:noProof/>
        </w:rPr>
        <w:t xml:space="preserve">the </w:t>
      </w:r>
      <w:r w:rsidR="00095A55" w:rsidRPr="006A39BB">
        <w:rPr>
          <w:noProof/>
        </w:rPr>
        <w:t xml:space="preserve">persons referred to in </w:t>
      </w:r>
      <w:r w:rsidR="00C0570C" w:rsidRPr="006A39BB">
        <w:rPr>
          <w:noProof/>
        </w:rPr>
        <w:t xml:space="preserve">paragraph </w:t>
      </w:r>
      <w:r w:rsidR="002B4BCC" w:rsidRPr="006A39BB">
        <w:rPr>
          <w:noProof/>
        </w:rPr>
        <w:t>1</w:t>
      </w:r>
      <w:r w:rsidR="00095A55" w:rsidRPr="006A39BB">
        <w:rPr>
          <w:noProof/>
        </w:rPr>
        <w:t>:</w:t>
      </w:r>
    </w:p>
    <w:p w14:paraId="1FC4B957" w14:textId="78948280" w:rsidR="00095A55" w:rsidRPr="006A39BB" w:rsidRDefault="002A7F8C" w:rsidP="002A7F8C">
      <w:pPr>
        <w:pStyle w:val="Point1"/>
        <w:rPr>
          <w:noProof/>
        </w:rPr>
      </w:pPr>
      <w:r w:rsidRPr="002A7F8C">
        <w:rPr>
          <w:noProof/>
        </w:rPr>
        <w:t>(a)</w:t>
      </w:r>
      <w:r w:rsidRPr="002A7F8C">
        <w:rPr>
          <w:noProof/>
        </w:rPr>
        <w:tab/>
      </w:r>
      <w:r w:rsidR="00095A55" w:rsidRPr="006A39BB">
        <w:rPr>
          <w:noProof/>
        </w:rPr>
        <w:t xml:space="preserve">take all reasonable measures to protect property and records in possession of the </w:t>
      </w:r>
      <w:r w:rsidR="006E673B" w:rsidRPr="006A39BB">
        <w:rPr>
          <w:noProof/>
        </w:rPr>
        <w:t>ESG</w:t>
      </w:r>
      <w:r w:rsidR="00095A55" w:rsidRPr="006A39BB">
        <w:rPr>
          <w:noProof/>
        </w:rPr>
        <w:t xml:space="preserve"> rating </w:t>
      </w:r>
      <w:r w:rsidR="006E673B" w:rsidRPr="006A39BB">
        <w:rPr>
          <w:noProof/>
        </w:rPr>
        <w:t>provider</w:t>
      </w:r>
      <w:r w:rsidR="00095A55" w:rsidRPr="006A39BB">
        <w:rPr>
          <w:noProof/>
        </w:rPr>
        <w:t xml:space="preserve"> from fraud, theft or misuse, taking into account the nature, scale and complexity of </w:t>
      </w:r>
      <w:r w:rsidR="00E572C3">
        <w:rPr>
          <w:noProof/>
        </w:rPr>
        <w:t>the ESG rating provider’s</w:t>
      </w:r>
      <w:r w:rsidR="00095A55" w:rsidRPr="006A39BB">
        <w:rPr>
          <w:noProof/>
        </w:rPr>
        <w:t xml:space="preserve"> business and the nature and range of </w:t>
      </w:r>
      <w:r w:rsidR="00A17E3F" w:rsidRPr="006A39BB">
        <w:rPr>
          <w:noProof/>
        </w:rPr>
        <w:t xml:space="preserve">ESG </w:t>
      </w:r>
      <w:r w:rsidR="00095A55" w:rsidRPr="006A39BB">
        <w:rPr>
          <w:noProof/>
        </w:rPr>
        <w:t>rating activities;</w:t>
      </w:r>
    </w:p>
    <w:p w14:paraId="5907143F" w14:textId="43E30DC8" w:rsidR="00095A55" w:rsidRPr="006A39BB" w:rsidRDefault="002A7F8C" w:rsidP="002A7F8C">
      <w:pPr>
        <w:pStyle w:val="Point1"/>
        <w:rPr>
          <w:noProof/>
        </w:rPr>
      </w:pPr>
      <w:r w:rsidRPr="002A7F8C">
        <w:rPr>
          <w:noProof/>
        </w:rPr>
        <w:t>(b)</w:t>
      </w:r>
      <w:r w:rsidRPr="002A7F8C">
        <w:rPr>
          <w:noProof/>
        </w:rPr>
        <w:tab/>
      </w:r>
      <w:r w:rsidR="00095A55" w:rsidRPr="006A39BB">
        <w:rPr>
          <w:noProof/>
        </w:rPr>
        <w:t xml:space="preserve">do not share confidential information </w:t>
      </w:r>
      <w:r w:rsidR="00E572C3">
        <w:rPr>
          <w:noProof/>
        </w:rPr>
        <w:t xml:space="preserve">that has been </w:t>
      </w:r>
      <w:r w:rsidR="00095A55" w:rsidRPr="006A39BB">
        <w:rPr>
          <w:noProof/>
        </w:rPr>
        <w:t xml:space="preserve">entrusted to the </w:t>
      </w:r>
      <w:r w:rsidR="0011287E" w:rsidRPr="006A39BB">
        <w:rPr>
          <w:noProof/>
        </w:rPr>
        <w:t>ESG</w:t>
      </w:r>
      <w:r w:rsidR="00095A55" w:rsidRPr="006A39BB">
        <w:rPr>
          <w:noProof/>
        </w:rPr>
        <w:t xml:space="preserve"> rating </w:t>
      </w:r>
      <w:r w:rsidR="0011287E" w:rsidRPr="006A39BB">
        <w:rPr>
          <w:noProof/>
        </w:rPr>
        <w:t>provider</w:t>
      </w:r>
      <w:r w:rsidR="00095A55" w:rsidRPr="006A39BB">
        <w:rPr>
          <w:noProof/>
        </w:rPr>
        <w:t xml:space="preserve"> with </w:t>
      </w:r>
      <w:r w:rsidR="00E572C3">
        <w:rPr>
          <w:noProof/>
        </w:rPr>
        <w:t xml:space="preserve">anyone </w:t>
      </w:r>
      <w:r w:rsidR="00E572C3" w:rsidRPr="006A39BB">
        <w:rPr>
          <w:noProof/>
        </w:rPr>
        <w:t>who is not directly involved in the</w:t>
      </w:r>
      <w:r w:rsidR="00E572C3">
        <w:rPr>
          <w:noProof/>
        </w:rPr>
        <w:t xml:space="preserve"> provision of</w:t>
      </w:r>
      <w:r w:rsidR="00E572C3" w:rsidRPr="006A39BB">
        <w:rPr>
          <w:noProof/>
        </w:rPr>
        <w:t>ESG rating activities</w:t>
      </w:r>
      <w:r w:rsidR="00E572C3">
        <w:rPr>
          <w:noProof/>
        </w:rPr>
        <w:t xml:space="preserve">, including </w:t>
      </w:r>
      <w:r w:rsidR="00095A55" w:rsidRPr="006A39BB">
        <w:rPr>
          <w:noProof/>
        </w:rPr>
        <w:t xml:space="preserve">rating analysts and employees of any person directly or indirectly linked to </w:t>
      </w:r>
      <w:r w:rsidR="00E572C3">
        <w:rPr>
          <w:noProof/>
        </w:rPr>
        <w:t>the ESG rating provider</w:t>
      </w:r>
      <w:r w:rsidR="00095A55" w:rsidRPr="006A39BB">
        <w:rPr>
          <w:noProof/>
        </w:rPr>
        <w:t xml:space="preserve"> by control, </w:t>
      </w:r>
      <w:r w:rsidR="003D2675">
        <w:rPr>
          <w:noProof/>
        </w:rPr>
        <w:t>and</w:t>
      </w:r>
      <w:r w:rsidR="00095A55" w:rsidRPr="006A39BB">
        <w:rPr>
          <w:noProof/>
        </w:rPr>
        <w:t xml:space="preserve"> any other natural person whose services are </w:t>
      </w:r>
      <w:r w:rsidR="00E572C3">
        <w:rPr>
          <w:noProof/>
        </w:rPr>
        <w:t xml:space="preserve">or have been </w:t>
      </w:r>
      <w:r w:rsidR="00095A55" w:rsidRPr="006A39BB">
        <w:rPr>
          <w:noProof/>
        </w:rPr>
        <w:t>placed at the disposal</w:t>
      </w:r>
      <w:r w:rsidR="00E572C3">
        <w:rPr>
          <w:noProof/>
        </w:rPr>
        <w:t xml:space="preserve"> of,</w:t>
      </w:r>
      <w:r w:rsidR="00095A55" w:rsidRPr="006A39BB">
        <w:rPr>
          <w:noProof/>
        </w:rPr>
        <w:t xml:space="preserve"> or </w:t>
      </w:r>
      <w:r w:rsidR="00E572C3">
        <w:rPr>
          <w:noProof/>
        </w:rPr>
        <w:t xml:space="preserve">are </w:t>
      </w:r>
      <w:r w:rsidR="00095A55" w:rsidRPr="006A39BB">
        <w:rPr>
          <w:noProof/>
        </w:rPr>
        <w:t>under the control of</w:t>
      </w:r>
      <w:r w:rsidR="00E572C3">
        <w:rPr>
          <w:noProof/>
        </w:rPr>
        <w:t>,</w:t>
      </w:r>
      <w:r w:rsidR="00095A55" w:rsidRPr="006A39BB">
        <w:rPr>
          <w:noProof/>
        </w:rPr>
        <w:t xml:space="preserve"> any person directly or indirectly linked to </w:t>
      </w:r>
      <w:r w:rsidR="00E572C3">
        <w:rPr>
          <w:noProof/>
        </w:rPr>
        <w:t>the ESG rating provider</w:t>
      </w:r>
      <w:r w:rsidR="00095A55" w:rsidRPr="006A39BB">
        <w:rPr>
          <w:noProof/>
        </w:rPr>
        <w:t xml:space="preserve"> by control;</w:t>
      </w:r>
    </w:p>
    <w:p w14:paraId="7FA0A653" w14:textId="46DA6860" w:rsidR="00095A55" w:rsidRPr="006A39BB" w:rsidRDefault="002A7F8C" w:rsidP="002A7F8C">
      <w:pPr>
        <w:pStyle w:val="Point1"/>
        <w:rPr>
          <w:noProof/>
        </w:rPr>
      </w:pPr>
      <w:r w:rsidRPr="002A7F8C">
        <w:rPr>
          <w:noProof/>
        </w:rPr>
        <w:t>(c)</w:t>
      </w:r>
      <w:r w:rsidRPr="002A7F8C">
        <w:rPr>
          <w:noProof/>
        </w:rPr>
        <w:tab/>
      </w:r>
      <w:r w:rsidR="00095A55" w:rsidRPr="006A39BB">
        <w:rPr>
          <w:noProof/>
        </w:rPr>
        <w:t xml:space="preserve">do not use or share confidential information </w:t>
      </w:r>
      <w:r w:rsidR="00E572C3" w:rsidRPr="006A39BB">
        <w:rPr>
          <w:noProof/>
        </w:rPr>
        <w:t xml:space="preserve">for any other purpose </w:t>
      </w:r>
      <w:r w:rsidR="00E572C3">
        <w:rPr>
          <w:noProof/>
        </w:rPr>
        <w:t>than</w:t>
      </w:r>
      <w:r w:rsidR="00E572C3" w:rsidRPr="006A39BB">
        <w:rPr>
          <w:noProof/>
        </w:rPr>
        <w:t xml:space="preserve"> the </w:t>
      </w:r>
      <w:r w:rsidR="00E572C3">
        <w:rPr>
          <w:noProof/>
        </w:rPr>
        <w:t>provision</w:t>
      </w:r>
      <w:r w:rsidR="00E572C3" w:rsidRPr="006A39BB">
        <w:rPr>
          <w:noProof/>
        </w:rPr>
        <w:t xml:space="preserve"> of ESG rating activities</w:t>
      </w:r>
      <w:r w:rsidR="00E572C3">
        <w:rPr>
          <w:noProof/>
        </w:rPr>
        <w:t xml:space="preserve">, including </w:t>
      </w:r>
      <w:r w:rsidR="00095A55" w:rsidRPr="006A39BB">
        <w:rPr>
          <w:noProof/>
        </w:rPr>
        <w:t xml:space="preserve">for </w:t>
      </w:r>
      <w:r w:rsidR="00E572C3">
        <w:rPr>
          <w:noProof/>
        </w:rPr>
        <w:t xml:space="preserve">the </w:t>
      </w:r>
      <w:r w:rsidR="00095A55" w:rsidRPr="006A39BB">
        <w:rPr>
          <w:noProof/>
        </w:rPr>
        <w:t>trading</w:t>
      </w:r>
      <w:r w:rsidR="00E572C3">
        <w:rPr>
          <w:noProof/>
        </w:rPr>
        <w:t xml:space="preserve"> of</w:t>
      </w:r>
      <w:r w:rsidR="00095A55" w:rsidRPr="006A39BB">
        <w:rPr>
          <w:noProof/>
        </w:rPr>
        <w:t xml:space="preserve"> financial instruments.</w:t>
      </w:r>
    </w:p>
    <w:p w14:paraId="5119BE81" w14:textId="28DD24D3" w:rsidR="00132DCF" w:rsidRPr="006A39BB" w:rsidRDefault="002A7F8C" w:rsidP="002A7F8C">
      <w:pPr>
        <w:pStyle w:val="ManualNumPar1"/>
        <w:rPr>
          <w:noProof/>
        </w:rPr>
      </w:pPr>
      <w:r w:rsidRPr="002A7F8C">
        <w:rPr>
          <w:noProof/>
        </w:rPr>
        <w:t>6.</w:t>
      </w:r>
      <w:r w:rsidRPr="002A7F8C">
        <w:rPr>
          <w:noProof/>
        </w:rPr>
        <w:tab/>
      </w:r>
      <w:r w:rsidR="00E572C3">
        <w:rPr>
          <w:noProof/>
        </w:rPr>
        <w:t>P</w:t>
      </w:r>
      <w:r w:rsidR="00132DCF" w:rsidRPr="006A39BB">
        <w:rPr>
          <w:noProof/>
        </w:rPr>
        <w:t>erson</w:t>
      </w:r>
      <w:r w:rsidR="00E572C3">
        <w:rPr>
          <w:noProof/>
        </w:rPr>
        <w:t>s as</w:t>
      </w:r>
      <w:r w:rsidR="00132DCF" w:rsidRPr="006A39BB">
        <w:rPr>
          <w:noProof/>
        </w:rPr>
        <w:t xml:space="preserve"> referred to in paragraph 1 </w:t>
      </w:r>
      <w:r w:rsidR="00E572C3">
        <w:rPr>
          <w:noProof/>
        </w:rPr>
        <w:t xml:space="preserve">that </w:t>
      </w:r>
      <w:r w:rsidR="00132DCF" w:rsidRPr="006A39BB">
        <w:rPr>
          <w:noProof/>
        </w:rPr>
        <w:t xml:space="preserve">consider that any other person as referred to in paragraph 1 has engaged in conduct that </w:t>
      </w:r>
      <w:r w:rsidR="00E572C3">
        <w:rPr>
          <w:noProof/>
        </w:rPr>
        <w:t>they</w:t>
      </w:r>
      <w:r w:rsidR="00132DCF" w:rsidRPr="006A39BB">
        <w:rPr>
          <w:noProof/>
        </w:rPr>
        <w:t xml:space="preserve"> consider to be illegal shall immediately </w:t>
      </w:r>
      <w:r w:rsidR="00E572C3">
        <w:rPr>
          <w:noProof/>
        </w:rPr>
        <w:t xml:space="preserve">inform </w:t>
      </w:r>
      <w:r w:rsidR="00132DCF" w:rsidRPr="006A39BB">
        <w:rPr>
          <w:noProof/>
        </w:rPr>
        <w:t>the compliance function</w:t>
      </w:r>
      <w:r w:rsidR="00E572C3">
        <w:rPr>
          <w:noProof/>
        </w:rPr>
        <w:t xml:space="preserve"> thereof</w:t>
      </w:r>
      <w:r w:rsidR="00132DCF" w:rsidRPr="006A39BB">
        <w:rPr>
          <w:noProof/>
        </w:rPr>
        <w:t>. The ESG rating provider shall ensure that such reporting does not have any negative consequences for the person reporting.</w:t>
      </w:r>
    </w:p>
    <w:p w14:paraId="63AE3A8B" w14:textId="687342F8" w:rsidR="00095A55" w:rsidRPr="006A39BB" w:rsidRDefault="002A7F8C" w:rsidP="002A7F8C">
      <w:pPr>
        <w:pStyle w:val="ManualNumPar1"/>
        <w:rPr>
          <w:noProof/>
        </w:rPr>
      </w:pPr>
      <w:r w:rsidRPr="002A7F8C">
        <w:rPr>
          <w:noProof/>
        </w:rPr>
        <w:t>7.</w:t>
      </w:r>
      <w:r w:rsidRPr="002A7F8C">
        <w:rPr>
          <w:noProof/>
        </w:rPr>
        <w:tab/>
      </w:r>
      <w:r w:rsidR="00095A55" w:rsidRPr="006A39BB">
        <w:rPr>
          <w:noProof/>
        </w:rPr>
        <w:t xml:space="preserve">Where a rating analyst terminates his or her employment </w:t>
      </w:r>
      <w:r w:rsidR="00C64947">
        <w:rPr>
          <w:noProof/>
        </w:rPr>
        <w:t xml:space="preserve">with the ESG rating provider </w:t>
      </w:r>
      <w:r w:rsidR="00095A55" w:rsidRPr="006A39BB">
        <w:rPr>
          <w:noProof/>
        </w:rPr>
        <w:t xml:space="preserve">and joins a rated entity which he or she has been involved in rating, the </w:t>
      </w:r>
      <w:r w:rsidR="00F56FD7" w:rsidRPr="006A39BB">
        <w:rPr>
          <w:noProof/>
        </w:rPr>
        <w:t>ESG</w:t>
      </w:r>
      <w:r w:rsidR="00095A55" w:rsidRPr="006A39BB">
        <w:rPr>
          <w:noProof/>
        </w:rPr>
        <w:t xml:space="preserve"> rating </w:t>
      </w:r>
      <w:r w:rsidR="00F56FD7" w:rsidRPr="006A39BB">
        <w:rPr>
          <w:noProof/>
        </w:rPr>
        <w:t>provider</w:t>
      </w:r>
      <w:r w:rsidR="00095A55" w:rsidRPr="006A39BB">
        <w:rPr>
          <w:noProof/>
        </w:rPr>
        <w:t xml:space="preserve"> shall review the work of the rating analyst over </w:t>
      </w:r>
      <w:r w:rsidR="00D233F3" w:rsidRPr="006A39BB">
        <w:rPr>
          <w:noProof/>
        </w:rPr>
        <w:t xml:space="preserve">one </w:t>
      </w:r>
      <w:r w:rsidR="00095A55" w:rsidRPr="006A39BB">
        <w:rPr>
          <w:noProof/>
        </w:rPr>
        <w:t>year preceding his or her departure.</w:t>
      </w:r>
    </w:p>
    <w:p w14:paraId="2E08E4FA" w14:textId="57A823D3" w:rsidR="00095A55" w:rsidRPr="006A39BB" w:rsidRDefault="002A7F8C" w:rsidP="002A7F8C">
      <w:pPr>
        <w:pStyle w:val="ManualNumPar1"/>
        <w:rPr>
          <w:noProof/>
        </w:rPr>
      </w:pPr>
      <w:r w:rsidRPr="002A7F8C">
        <w:rPr>
          <w:noProof/>
        </w:rPr>
        <w:t>8.</w:t>
      </w:r>
      <w:r w:rsidRPr="002A7F8C">
        <w:rPr>
          <w:noProof/>
        </w:rPr>
        <w:tab/>
      </w:r>
      <w:r w:rsidR="00C64947">
        <w:rPr>
          <w:noProof/>
        </w:rPr>
        <w:t>P</w:t>
      </w:r>
      <w:r w:rsidR="00095A55" w:rsidRPr="006A39BB">
        <w:rPr>
          <w:noProof/>
        </w:rPr>
        <w:t>erson</w:t>
      </w:r>
      <w:r w:rsidR="00C64947">
        <w:rPr>
          <w:noProof/>
        </w:rPr>
        <w:t>s as</w:t>
      </w:r>
      <w:r w:rsidR="00095A55" w:rsidRPr="006A39BB">
        <w:rPr>
          <w:noProof/>
        </w:rPr>
        <w:t xml:space="preserve"> referred to in </w:t>
      </w:r>
      <w:r w:rsidR="00664BE1" w:rsidRPr="006A39BB">
        <w:rPr>
          <w:noProof/>
        </w:rPr>
        <w:t xml:space="preserve">paragraph </w:t>
      </w:r>
      <w:r w:rsidR="00095A55" w:rsidRPr="006A39BB">
        <w:rPr>
          <w:noProof/>
        </w:rPr>
        <w:t>1 shall not take up a key management position with</w:t>
      </w:r>
      <w:r w:rsidR="00C64947">
        <w:rPr>
          <w:noProof/>
        </w:rPr>
        <w:t>in</w:t>
      </w:r>
      <w:r w:rsidR="00095A55" w:rsidRPr="006A39BB">
        <w:rPr>
          <w:noProof/>
        </w:rPr>
        <w:t xml:space="preserve"> </w:t>
      </w:r>
      <w:r w:rsidR="00C64947">
        <w:rPr>
          <w:noProof/>
        </w:rPr>
        <w:t>a</w:t>
      </w:r>
      <w:r w:rsidR="00C64947" w:rsidRPr="006A39BB">
        <w:rPr>
          <w:noProof/>
        </w:rPr>
        <w:t xml:space="preserve"> </w:t>
      </w:r>
      <w:r w:rsidR="00095A55" w:rsidRPr="006A39BB">
        <w:rPr>
          <w:noProof/>
        </w:rPr>
        <w:t>rated entity</w:t>
      </w:r>
      <w:r w:rsidR="00C64947">
        <w:rPr>
          <w:noProof/>
        </w:rPr>
        <w:t xml:space="preserve"> which they have been involved in rating</w:t>
      </w:r>
      <w:r w:rsidR="00095A55" w:rsidRPr="006A39BB">
        <w:rPr>
          <w:noProof/>
        </w:rPr>
        <w:t xml:space="preserve"> </w:t>
      </w:r>
      <w:r w:rsidR="00C64947">
        <w:rPr>
          <w:noProof/>
        </w:rPr>
        <w:t xml:space="preserve">for </w:t>
      </w:r>
      <w:r w:rsidR="00095A55" w:rsidRPr="006A39BB">
        <w:rPr>
          <w:noProof/>
        </w:rPr>
        <w:t xml:space="preserve">six months </w:t>
      </w:r>
      <w:r w:rsidR="00C64947">
        <w:rPr>
          <w:noProof/>
        </w:rPr>
        <w:t>after</w:t>
      </w:r>
      <w:r w:rsidR="00095A55" w:rsidRPr="006A39BB">
        <w:rPr>
          <w:noProof/>
        </w:rPr>
        <w:t xml:space="preserve"> the </w:t>
      </w:r>
      <w:r w:rsidR="002B4BCC" w:rsidRPr="006A39BB">
        <w:rPr>
          <w:noProof/>
        </w:rPr>
        <w:t xml:space="preserve">provision </w:t>
      </w:r>
      <w:r w:rsidR="00095A55" w:rsidRPr="006A39BB">
        <w:rPr>
          <w:noProof/>
        </w:rPr>
        <w:t xml:space="preserve">of </w:t>
      </w:r>
      <w:r w:rsidR="00C64947">
        <w:rPr>
          <w:noProof/>
        </w:rPr>
        <w:t>such rating</w:t>
      </w:r>
      <w:r w:rsidR="00095A55" w:rsidRPr="006A39BB">
        <w:rPr>
          <w:noProof/>
        </w:rPr>
        <w:t>.</w:t>
      </w:r>
    </w:p>
    <w:p w14:paraId="264515AD" w14:textId="77777777" w:rsidR="00587167" w:rsidRPr="00721912" w:rsidRDefault="00587167" w:rsidP="00721912">
      <w:pPr>
        <w:pStyle w:val="Titrearticle"/>
        <w:spacing w:line="23" w:lineRule="atLeast"/>
        <w:rPr>
          <w:noProof/>
          <w:szCs w:val="24"/>
        </w:rPr>
      </w:pPr>
      <w:r w:rsidRPr="00721912">
        <w:rPr>
          <w:noProof/>
          <w:szCs w:val="24"/>
        </w:rPr>
        <w:t xml:space="preserve">Article </w:t>
      </w:r>
      <w:r w:rsidR="00211A8E" w:rsidRPr="00721912">
        <w:rPr>
          <w:noProof/>
          <w:szCs w:val="24"/>
        </w:rPr>
        <w:t>1</w:t>
      </w:r>
      <w:r w:rsidR="00441017" w:rsidRPr="00721912">
        <w:rPr>
          <w:noProof/>
          <w:szCs w:val="24"/>
        </w:rPr>
        <w:t>7</w:t>
      </w:r>
    </w:p>
    <w:p w14:paraId="435D52EF" w14:textId="77777777" w:rsidR="00587167" w:rsidRPr="00721912" w:rsidRDefault="00587167" w:rsidP="00721912">
      <w:pPr>
        <w:pStyle w:val="NormalCentered"/>
        <w:rPr>
          <w:b/>
          <w:bCs/>
          <w:noProof/>
          <w:lang w:eastAsia="en-IE"/>
        </w:rPr>
      </w:pPr>
      <w:r w:rsidRPr="00721912">
        <w:rPr>
          <w:b/>
          <w:bCs/>
          <w:noProof/>
          <w:lang w:eastAsia="en-IE"/>
        </w:rPr>
        <w:t>Record-keeping requirements</w:t>
      </w:r>
    </w:p>
    <w:p w14:paraId="6E43606E" w14:textId="796CA2A2" w:rsidR="0045611A" w:rsidRPr="006A39BB" w:rsidRDefault="002A7F8C" w:rsidP="002A7F8C">
      <w:pPr>
        <w:pStyle w:val="ManualNumPar1"/>
        <w:rPr>
          <w:noProof/>
        </w:rPr>
      </w:pPr>
      <w:r w:rsidRPr="002A7F8C">
        <w:rPr>
          <w:noProof/>
        </w:rPr>
        <w:t>1.</w:t>
      </w:r>
      <w:r w:rsidRPr="002A7F8C">
        <w:rPr>
          <w:noProof/>
        </w:rPr>
        <w:tab/>
      </w:r>
      <w:r w:rsidR="009663FF" w:rsidRPr="006A39BB">
        <w:rPr>
          <w:noProof/>
        </w:rPr>
        <w:t>ESG rating provider</w:t>
      </w:r>
      <w:r w:rsidR="00C64947">
        <w:rPr>
          <w:noProof/>
        </w:rPr>
        <w:t>s</w:t>
      </w:r>
      <w:r w:rsidR="009663FF" w:rsidRPr="006A39BB">
        <w:rPr>
          <w:noProof/>
        </w:rPr>
        <w:t xml:space="preserve"> shall record </w:t>
      </w:r>
      <w:r w:rsidR="00C64947">
        <w:rPr>
          <w:noProof/>
        </w:rPr>
        <w:t>their</w:t>
      </w:r>
      <w:r w:rsidR="009663FF" w:rsidRPr="006A39BB">
        <w:rPr>
          <w:noProof/>
        </w:rPr>
        <w:t xml:space="preserve"> ESG rating activities. Those records shall </w:t>
      </w:r>
      <w:r w:rsidR="00E2330B" w:rsidRPr="006A39BB">
        <w:rPr>
          <w:noProof/>
        </w:rPr>
        <w:t xml:space="preserve">contain </w:t>
      </w:r>
      <w:r w:rsidR="009663FF" w:rsidRPr="006A39BB">
        <w:rPr>
          <w:noProof/>
        </w:rPr>
        <w:t xml:space="preserve">the information listed in Annex </w:t>
      </w:r>
      <w:r w:rsidR="00D31839" w:rsidRPr="006A39BB">
        <w:rPr>
          <w:noProof/>
        </w:rPr>
        <w:t>II</w:t>
      </w:r>
      <w:r w:rsidR="009663FF" w:rsidRPr="006A39BB">
        <w:rPr>
          <w:noProof/>
        </w:rPr>
        <w:t>.</w:t>
      </w:r>
    </w:p>
    <w:p w14:paraId="29D75259" w14:textId="2F3AAF87" w:rsidR="00CB1D4F" w:rsidRPr="006A39BB" w:rsidRDefault="002A7F8C" w:rsidP="002A7F8C">
      <w:pPr>
        <w:pStyle w:val="ManualNumPar1"/>
        <w:rPr>
          <w:noProof/>
        </w:rPr>
      </w:pPr>
      <w:r w:rsidRPr="002A7F8C">
        <w:rPr>
          <w:noProof/>
        </w:rPr>
        <w:t>2.</w:t>
      </w:r>
      <w:r w:rsidRPr="002A7F8C">
        <w:rPr>
          <w:noProof/>
        </w:rPr>
        <w:tab/>
      </w:r>
      <w:r w:rsidR="00DC59B9" w:rsidRPr="006A39BB">
        <w:rPr>
          <w:noProof/>
        </w:rPr>
        <w:t>ESG rating provider</w:t>
      </w:r>
      <w:r w:rsidR="008E04C5" w:rsidRPr="006A39BB">
        <w:rPr>
          <w:noProof/>
        </w:rPr>
        <w:t>s</w:t>
      </w:r>
      <w:r w:rsidR="00AE0AFA" w:rsidRPr="006A39BB">
        <w:rPr>
          <w:noProof/>
        </w:rPr>
        <w:t xml:space="preserve"> shall keep </w:t>
      </w:r>
      <w:r w:rsidR="00BE67D8" w:rsidRPr="006A39BB">
        <w:rPr>
          <w:noProof/>
        </w:rPr>
        <w:t xml:space="preserve">the information referred to in paragraph </w:t>
      </w:r>
      <w:r w:rsidR="009663FF" w:rsidRPr="006A39BB">
        <w:rPr>
          <w:noProof/>
        </w:rPr>
        <w:t>1</w:t>
      </w:r>
      <w:r w:rsidR="00AE0AFA" w:rsidRPr="006A39BB">
        <w:rPr>
          <w:noProof/>
        </w:rPr>
        <w:t xml:space="preserve"> for at least five years </w:t>
      </w:r>
      <w:r w:rsidR="00C64947">
        <w:rPr>
          <w:noProof/>
        </w:rPr>
        <w:t xml:space="preserve">and </w:t>
      </w:r>
      <w:r w:rsidR="00AE0AFA" w:rsidRPr="006A39BB">
        <w:rPr>
          <w:noProof/>
        </w:rPr>
        <w:t xml:space="preserve">in such a form that it is possible to replicate and fully understand the determination of </w:t>
      </w:r>
      <w:r w:rsidR="003577E4" w:rsidRPr="006A39BB">
        <w:rPr>
          <w:noProof/>
        </w:rPr>
        <w:t>an ESG rating</w:t>
      </w:r>
      <w:r w:rsidR="00AE0AFA" w:rsidRPr="006A39BB">
        <w:rPr>
          <w:noProof/>
        </w:rPr>
        <w:t>.</w:t>
      </w:r>
    </w:p>
    <w:p w14:paraId="447EF9DF" w14:textId="77777777" w:rsidR="00587167" w:rsidRPr="00721912" w:rsidRDefault="00587167" w:rsidP="00721912">
      <w:pPr>
        <w:pStyle w:val="Titrearticle"/>
        <w:spacing w:line="23" w:lineRule="atLeast"/>
        <w:rPr>
          <w:noProof/>
          <w:szCs w:val="24"/>
        </w:rPr>
      </w:pPr>
      <w:r w:rsidRPr="00721912">
        <w:rPr>
          <w:noProof/>
          <w:szCs w:val="24"/>
        </w:rPr>
        <w:t xml:space="preserve">Article </w:t>
      </w:r>
      <w:r w:rsidR="00211A8E" w:rsidRPr="00721912">
        <w:rPr>
          <w:noProof/>
          <w:szCs w:val="24"/>
        </w:rPr>
        <w:t>1</w:t>
      </w:r>
      <w:r w:rsidR="00441017" w:rsidRPr="00721912">
        <w:rPr>
          <w:noProof/>
          <w:szCs w:val="24"/>
        </w:rPr>
        <w:t>8</w:t>
      </w:r>
    </w:p>
    <w:p w14:paraId="5644BC2C" w14:textId="77777777" w:rsidR="00587167" w:rsidRPr="00721912" w:rsidRDefault="00587167" w:rsidP="00721912">
      <w:pPr>
        <w:pStyle w:val="NormalCentered"/>
        <w:rPr>
          <w:b/>
          <w:bCs/>
          <w:noProof/>
          <w:lang w:eastAsia="en-IE"/>
        </w:rPr>
      </w:pPr>
      <w:r w:rsidRPr="00721912">
        <w:rPr>
          <w:b/>
          <w:bCs/>
          <w:noProof/>
          <w:lang w:eastAsia="en-IE"/>
        </w:rPr>
        <w:t>Complaints-handling mechanism</w:t>
      </w:r>
    </w:p>
    <w:p w14:paraId="25F3CDDC" w14:textId="794034E8" w:rsidR="004954A5" w:rsidRPr="006A39BB" w:rsidRDefault="002A7F8C" w:rsidP="002A7F8C">
      <w:pPr>
        <w:pStyle w:val="ManualNumPar1"/>
        <w:rPr>
          <w:noProof/>
        </w:rPr>
      </w:pPr>
      <w:r w:rsidRPr="002A7F8C">
        <w:rPr>
          <w:noProof/>
        </w:rPr>
        <w:t>1.</w:t>
      </w:r>
      <w:r w:rsidRPr="002A7F8C">
        <w:rPr>
          <w:noProof/>
        </w:rPr>
        <w:tab/>
      </w:r>
      <w:r w:rsidR="004954A5" w:rsidRPr="006A39BB">
        <w:rPr>
          <w:noProof/>
        </w:rPr>
        <w:t>ESG rating provider</w:t>
      </w:r>
      <w:r w:rsidR="003B5DDA" w:rsidRPr="006A39BB">
        <w:rPr>
          <w:noProof/>
        </w:rPr>
        <w:t>s</w:t>
      </w:r>
      <w:r w:rsidR="004954A5" w:rsidRPr="006A39BB">
        <w:rPr>
          <w:noProof/>
        </w:rPr>
        <w:t xml:space="preserve"> shall have in place and publish </w:t>
      </w:r>
      <w:r w:rsidR="00402716" w:rsidRPr="006A39BB">
        <w:rPr>
          <w:noProof/>
        </w:rPr>
        <w:t xml:space="preserve">on their website </w:t>
      </w:r>
      <w:r w:rsidR="004954A5" w:rsidRPr="006A39BB">
        <w:rPr>
          <w:noProof/>
        </w:rPr>
        <w:t>procedures for receiving, investigating and retaining records concerning complaints made.</w:t>
      </w:r>
    </w:p>
    <w:p w14:paraId="152D3DA7" w14:textId="7573DF08" w:rsidR="004954A5" w:rsidRPr="006A39BB" w:rsidRDefault="002A7F8C" w:rsidP="002A7F8C">
      <w:pPr>
        <w:pStyle w:val="ManualNumPar1"/>
        <w:rPr>
          <w:noProof/>
        </w:rPr>
      </w:pPr>
      <w:r w:rsidRPr="002A7F8C">
        <w:rPr>
          <w:noProof/>
        </w:rPr>
        <w:t>2.</w:t>
      </w:r>
      <w:r w:rsidRPr="002A7F8C">
        <w:rPr>
          <w:noProof/>
        </w:rPr>
        <w:tab/>
      </w:r>
      <w:r w:rsidR="00914998" w:rsidRPr="006A39BB">
        <w:rPr>
          <w:noProof/>
        </w:rPr>
        <w:t>The procedures referred to in paragraph 1</w:t>
      </w:r>
      <w:r w:rsidR="008730DD" w:rsidRPr="006A39BB">
        <w:rPr>
          <w:noProof/>
        </w:rPr>
        <w:t xml:space="preserve"> </w:t>
      </w:r>
      <w:r w:rsidR="004954A5" w:rsidRPr="006A39BB">
        <w:rPr>
          <w:noProof/>
        </w:rPr>
        <w:t>shall ensure that:</w:t>
      </w:r>
    </w:p>
    <w:p w14:paraId="03A2E326" w14:textId="0142A9AC" w:rsidR="00C8235E" w:rsidRPr="00721912" w:rsidRDefault="002A7F8C" w:rsidP="002A7F8C">
      <w:pPr>
        <w:pStyle w:val="Point1"/>
        <w:rPr>
          <w:noProof/>
        </w:rPr>
      </w:pPr>
      <w:r w:rsidRPr="002A7F8C">
        <w:rPr>
          <w:noProof/>
        </w:rPr>
        <w:t>(a)</w:t>
      </w:r>
      <w:r w:rsidRPr="002A7F8C">
        <w:rPr>
          <w:noProof/>
        </w:rPr>
        <w:tab/>
      </w:r>
      <w:r w:rsidR="004954A5" w:rsidRPr="00721912">
        <w:rPr>
          <w:noProof/>
        </w:rPr>
        <w:t xml:space="preserve">the ESG rating provider makes </w:t>
      </w:r>
      <w:r w:rsidR="00B96DFE" w:rsidRPr="00721912">
        <w:rPr>
          <w:noProof/>
        </w:rPr>
        <w:t xml:space="preserve">publicly </w:t>
      </w:r>
      <w:r w:rsidR="004954A5" w:rsidRPr="00721912">
        <w:rPr>
          <w:noProof/>
        </w:rPr>
        <w:t>available the complaints-handling policy through which complaints may be submitted on</w:t>
      </w:r>
      <w:r w:rsidR="00C8235E" w:rsidRPr="00721912">
        <w:rPr>
          <w:noProof/>
        </w:rPr>
        <w:t>:</w:t>
      </w:r>
    </w:p>
    <w:p w14:paraId="1AF0D41E" w14:textId="47437094" w:rsidR="00523D29" w:rsidRPr="006A39BB" w:rsidRDefault="002A7F8C" w:rsidP="002A7F8C">
      <w:pPr>
        <w:pStyle w:val="Point2"/>
        <w:rPr>
          <w:noProof/>
        </w:rPr>
      </w:pPr>
      <w:r w:rsidRPr="002A7F8C">
        <w:rPr>
          <w:noProof/>
        </w:rPr>
        <w:t>(1)</w:t>
      </w:r>
      <w:r w:rsidRPr="002A7F8C">
        <w:rPr>
          <w:noProof/>
        </w:rPr>
        <w:tab/>
      </w:r>
      <w:r w:rsidR="00523D29" w:rsidRPr="006A39BB">
        <w:rPr>
          <w:noProof/>
        </w:rPr>
        <w:t>the sources of data used for a specific ESG rating;</w:t>
      </w:r>
    </w:p>
    <w:p w14:paraId="240635ED" w14:textId="7CB50310" w:rsidR="00B87F95" w:rsidRPr="006A39BB" w:rsidRDefault="002A7F8C" w:rsidP="002A7F8C">
      <w:pPr>
        <w:pStyle w:val="Point2"/>
        <w:rPr>
          <w:noProof/>
        </w:rPr>
      </w:pPr>
      <w:r w:rsidRPr="002A7F8C">
        <w:rPr>
          <w:noProof/>
        </w:rPr>
        <w:t>(2)</w:t>
      </w:r>
      <w:r w:rsidRPr="002A7F8C">
        <w:rPr>
          <w:noProof/>
        </w:rPr>
        <w:tab/>
      </w:r>
      <w:r w:rsidR="00B96DFE">
        <w:rPr>
          <w:noProof/>
        </w:rPr>
        <w:t>the way</w:t>
      </w:r>
      <w:r w:rsidR="00B87F95" w:rsidRPr="006A39BB">
        <w:rPr>
          <w:noProof/>
        </w:rPr>
        <w:t xml:space="preserve"> </w:t>
      </w:r>
      <w:r w:rsidR="00B96DFE">
        <w:rPr>
          <w:noProof/>
        </w:rPr>
        <w:t xml:space="preserve">in which </w:t>
      </w:r>
      <w:r w:rsidR="00B87F95" w:rsidRPr="006A39BB">
        <w:rPr>
          <w:noProof/>
        </w:rPr>
        <w:t xml:space="preserve">the </w:t>
      </w:r>
      <w:r w:rsidR="00B96DFE">
        <w:rPr>
          <w:noProof/>
        </w:rPr>
        <w:t xml:space="preserve">rating </w:t>
      </w:r>
      <w:r w:rsidR="00B87F95" w:rsidRPr="006A39BB">
        <w:rPr>
          <w:noProof/>
        </w:rPr>
        <w:t xml:space="preserve">methodology in relation to a specific ESG rating </w:t>
      </w:r>
      <w:r w:rsidR="00B96DFE">
        <w:rPr>
          <w:noProof/>
        </w:rPr>
        <w:t>has been applied</w:t>
      </w:r>
      <w:r w:rsidR="00B87F95" w:rsidRPr="006A39BB">
        <w:rPr>
          <w:noProof/>
        </w:rPr>
        <w:t>;</w:t>
      </w:r>
    </w:p>
    <w:p w14:paraId="1D4F9353" w14:textId="5729E14C" w:rsidR="00C8235E" w:rsidRPr="006A39BB" w:rsidRDefault="002A7F8C" w:rsidP="002A7F8C">
      <w:pPr>
        <w:pStyle w:val="Point2"/>
        <w:rPr>
          <w:noProof/>
        </w:rPr>
      </w:pPr>
      <w:r w:rsidRPr="002A7F8C">
        <w:rPr>
          <w:noProof/>
        </w:rPr>
        <w:t>(3)</w:t>
      </w:r>
      <w:r w:rsidRPr="002A7F8C">
        <w:rPr>
          <w:noProof/>
        </w:rPr>
        <w:tab/>
      </w:r>
      <w:r w:rsidR="00C8235E" w:rsidRPr="006A39BB">
        <w:rPr>
          <w:noProof/>
        </w:rPr>
        <w:t>whether a specific ESG rating is representative of the rated entity;</w:t>
      </w:r>
    </w:p>
    <w:p w14:paraId="10D3A2E8" w14:textId="58BFF514" w:rsidR="00C8235E" w:rsidRPr="006A39BB" w:rsidRDefault="002A7F8C" w:rsidP="002A7F8C">
      <w:pPr>
        <w:pStyle w:val="Point2"/>
        <w:rPr>
          <w:noProof/>
        </w:rPr>
      </w:pPr>
      <w:r w:rsidRPr="002A7F8C">
        <w:rPr>
          <w:noProof/>
        </w:rPr>
        <w:t>(4)</w:t>
      </w:r>
      <w:r w:rsidRPr="002A7F8C">
        <w:rPr>
          <w:noProof/>
        </w:rPr>
        <w:tab/>
      </w:r>
      <w:r w:rsidR="00C8235E" w:rsidRPr="006A39BB">
        <w:rPr>
          <w:noProof/>
        </w:rPr>
        <w:t>a proposed change to the ESG rating determination process;</w:t>
      </w:r>
    </w:p>
    <w:p w14:paraId="221D6A43" w14:textId="0B1FA9C1" w:rsidR="00C8235E" w:rsidRPr="006A39BB" w:rsidRDefault="002A7F8C" w:rsidP="002A7F8C">
      <w:pPr>
        <w:pStyle w:val="Point2"/>
        <w:rPr>
          <w:noProof/>
        </w:rPr>
      </w:pPr>
      <w:r w:rsidRPr="002A7F8C">
        <w:rPr>
          <w:noProof/>
        </w:rPr>
        <w:t>(5)</w:t>
      </w:r>
      <w:r w:rsidRPr="002A7F8C">
        <w:rPr>
          <w:noProof/>
        </w:rPr>
        <w:tab/>
      </w:r>
      <w:r w:rsidR="00C8235E" w:rsidRPr="006A39BB">
        <w:rPr>
          <w:noProof/>
        </w:rPr>
        <w:t>other decisions in relation to the ESG rating;</w:t>
      </w:r>
    </w:p>
    <w:p w14:paraId="5D8246DB" w14:textId="5037E381" w:rsidR="003F5278" w:rsidRPr="006A39BB" w:rsidRDefault="002A7F8C" w:rsidP="002A7F8C">
      <w:pPr>
        <w:pStyle w:val="Point1"/>
        <w:rPr>
          <w:noProof/>
        </w:rPr>
      </w:pPr>
      <w:r w:rsidRPr="002A7F8C">
        <w:rPr>
          <w:noProof/>
        </w:rPr>
        <w:t>(b)</w:t>
      </w:r>
      <w:r w:rsidRPr="002A7F8C">
        <w:rPr>
          <w:noProof/>
        </w:rPr>
        <w:tab/>
      </w:r>
      <w:r w:rsidR="004954A5" w:rsidRPr="006A39BB">
        <w:rPr>
          <w:noProof/>
        </w:rPr>
        <w:t>complaints are investigated in a timely and fair manner and</w:t>
      </w:r>
      <w:r w:rsidR="00FC3AAC">
        <w:rPr>
          <w:noProof/>
        </w:rPr>
        <w:t xml:space="preserve"> that</w:t>
      </w:r>
      <w:r w:rsidR="004954A5" w:rsidRPr="006A39BB">
        <w:rPr>
          <w:noProof/>
        </w:rPr>
        <w:t xml:space="preserve"> the outcome of the investigation is communicated to the complainant within a reasonable period of time, unless such communication would be contrary to objectives of public policy or to Regulation (EU) No 596/2014</w:t>
      </w:r>
      <w:r w:rsidR="00B53731" w:rsidRPr="006A39BB">
        <w:rPr>
          <w:noProof/>
        </w:rPr>
        <w:t xml:space="preserve"> of the European Parliament and of the Council</w:t>
      </w:r>
      <w:r w:rsidR="00B53731" w:rsidRPr="00AB2B94">
        <w:rPr>
          <w:rStyle w:val="FootnoteReference"/>
          <w:noProof/>
        </w:rPr>
        <w:footnoteReference w:id="54"/>
      </w:r>
      <w:r w:rsidR="004954A5" w:rsidRPr="006A39BB">
        <w:rPr>
          <w:noProof/>
        </w:rPr>
        <w:t>;</w:t>
      </w:r>
    </w:p>
    <w:p w14:paraId="69E53A70" w14:textId="09A669DC" w:rsidR="004954A5" w:rsidRPr="006A39BB" w:rsidRDefault="002A7F8C" w:rsidP="002A7F8C">
      <w:pPr>
        <w:pStyle w:val="Point1"/>
        <w:rPr>
          <w:noProof/>
        </w:rPr>
      </w:pPr>
      <w:r w:rsidRPr="002A7F8C">
        <w:rPr>
          <w:noProof/>
        </w:rPr>
        <w:t>(c)</w:t>
      </w:r>
      <w:r w:rsidRPr="002A7F8C">
        <w:rPr>
          <w:noProof/>
        </w:rPr>
        <w:tab/>
      </w:r>
      <w:r w:rsidR="004954A5" w:rsidRPr="006A39BB">
        <w:rPr>
          <w:noProof/>
        </w:rPr>
        <w:t xml:space="preserve">the inquiry is conducted independently of any personnel </w:t>
      </w:r>
      <w:r w:rsidR="00FC3AAC">
        <w:rPr>
          <w:noProof/>
        </w:rPr>
        <w:t>that</w:t>
      </w:r>
      <w:r w:rsidR="004954A5" w:rsidRPr="006A39BB">
        <w:rPr>
          <w:noProof/>
        </w:rPr>
        <w:t xml:space="preserve"> ha</w:t>
      </w:r>
      <w:r w:rsidR="00AA1A80" w:rsidRPr="006A39BB">
        <w:rPr>
          <w:noProof/>
        </w:rPr>
        <w:t>s</w:t>
      </w:r>
      <w:r w:rsidR="004954A5" w:rsidRPr="006A39BB">
        <w:rPr>
          <w:noProof/>
        </w:rPr>
        <w:t xml:space="preserve"> been involved in the subject-matter of the complaint.</w:t>
      </w:r>
    </w:p>
    <w:p w14:paraId="19FFD6B2" w14:textId="77777777" w:rsidR="00587167" w:rsidRPr="00721912" w:rsidRDefault="00587167" w:rsidP="00721912">
      <w:pPr>
        <w:pStyle w:val="Titrearticle"/>
        <w:spacing w:line="23" w:lineRule="atLeast"/>
        <w:rPr>
          <w:noProof/>
          <w:szCs w:val="24"/>
        </w:rPr>
      </w:pPr>
      <w:r w:rsidRPr="00721912">
        <w:rPr>
          <w:noProof/>
          <w:szCs w:val="24"/>
        </w:rPr>
        <w:t xml:space="preserve">Article </w:t>
      </w:r>
      <w:r w:rsidR="00211A8E" w:rsidRPr="00721912">
        <w:rPr>
          <w:noProof/>
          <w:szCs w:val="24"/>
        </w:rPr>
        <w:t>1</w:t>
      </w:r>
      <w:r w:rsidR="00441017" w:rsidRPr="00721912">
        <w:rPr>
          <w:noProof/>
          <w:szCs w:val="24"/>
        </w:rPr>
        <w:t>9</w:t>
      </w:r>
    </w:p>
    <w:p w14:paraId="06DC35BF" w14:textId="77777777" w:rsidR="00587167" w:rsidRPr="00721912" w:rsidRDefault="00587167" w:rsidP="00721912">
      <w:pPr>
        <w:pStyle w:val="NormalCentered"/>
        <w:rPr>
          <w:b/>
          <w:bCs/>
          <w:noProof/>
          <w:lang w:eastAsia="en-IE"/>
        </w:rPr>
      </w:pPr>
      <w:r w:rsidRPr="00721912">
        <w:rPr>
          <w:b/>
          <w:bCs/>
          <w:noProof/>
          <w:lang w:eastAsia="en-IE"/>
        </w:rPr>
        <w:t>Outsourcing</w:t>
      </w:r>
    </w:p>
    <w:p w14:paraId="49069403" w14:textId="4970DBA0" w:rsidR="00CB1D4F" w:rsidRPr="006A39BB" w:rsidRDefault="002A7F8C" w:rsidP="002A7F8C">
      <w:pPr>
        <w:pStyle w:val="ManualNumPar1"/>
        <w:rPr>
          <w:noProof/>
        </w:rPr>
      </w:pPr>
      <w:r w:rsidRPr="002A7F8C">
        <w:rPr>
          <w:noProof/>
        </w:rPr>
        <w:t>1.</w:t>
      </w:r>
      <w:r w:rsidRPr="002A7F8C">
        <w:rPr>
          <w:noProof/>
        </w:rPr>
        <w:tab/>
      </w:r>
      <w:r w:rsidR="00001298">
        <w:rPr>
          <w:noProof/>
        </w:rPr>
        <w:t>ESG rating providers shall not o</w:t>
      </w:r>
      <w:r w:rsidR="00CB1D4F" w:rsidRPr="006A39BB">
        <w:rPr>
          <w:noProof/>
        </w:rPr>
        <w:t>utsourc</w:t>
      </w:r>
      <w:r w:rsidR="00001298">
        <w:rPr>
          <w:noProof/>
        </w:rPr>
        <w:t>e</w:t>
      </w:r>
      <w:r w:rsidR="00CB1D4F" w:rsidRPr="006A39BB">
        <w:rPr>
          <w:noProof/>
        </w:rPr>
        <w:t xml:space="preserve"> important operational functions </w:t>
      </w:r>
      <w:r w:rsidR="00001298">
        <w:rPr>
          <w:noProof/>
        </w:rPr>
        <w:t>where such outsourcing would</w:t>
      </w:r>
      <w:r w:rsidR="00CB1D4F" w:rsidRPr="006A39BB">
        <w:rPr>
          <w:noProof/>
        </w:rPr>
        <w:t xml:space="preserve"> </w:t>
      </w:r>
      <w:r w:rsidR="4A558099" w:rsidRPr="006A39BB">
        <w:rPr>
          <w:noProof/>
        </w:rPr>
        <w:t xml:space="preserve">materially </w:t>
      </w:r>
      <w:r w:rsidR="00CB1D4F" w:rsidRPr="006A39BB">
        <w:rPr>
          <w:noProof/>
        </w:rPr>
        <w:t xml:space="preserve">impair the quality of the ESG rating provider’s internal control </w:t>
      </w:r>
      <w:r w:rsidR="0BD511CA" w:rsidRPr="006A39BB">
        <w:rPr>
          <w:noProof/>
        </w:rPr>
        <w:t xml:space="preserve">policies and procedures, </w:t>
      </w:r>
      <w:r w:rsidR="51696DC6" w:rsidRPr="006A39BB">
        <w:rPr>
          <w:noProof/>
        </w:rPr>
        <w:t>or</w:t>
      </w:r>
      <w:r w:rsidR="00CB1D4F" w:rsidRPr="006A39BB">
        <w:rPr>
          <w:noProof/>
        </w:rPr>
        <w:t xml:space="preserve"> the ability of </w:t>
      </w:r>
      <w:r w:rsidR="2F344103" w:rsidRPr="006A39BB">
        <w:rPr>
          <w:noProof/>
        </w:rPr>
        <w:t>the European Supervisory and Markets Authority (</w:t>
      </w:r>
      <w:r w:rsidR="00CB1D4F" w:rsidRPr="006A39BB">
        <w:rPr>
          <w:noProof/>
        </w:rPr>
        <w:t>ESMA</w:t>
      </w:r>
      <w:r w:rsidR="7A074FC7" w:rsidRPr="006A39BB">
        <w:rPr>
          <w:noProof/>
        </w:rPr>
        <w:t>)</w:t>
      </w:r>
      <w:r w:rsidR="00CB1D4F" w:rsidRPr="006A39BB">
        <w:rPr>
          <w:noProof/>
        </w:rPr>
        <w:t xml:space="preserve"> to supervise the ESG rating provider’</w:t>
      </w:r>
      <w:r w:rsidR="00252615" w:rsidRPr="006A39BB">
        <w:rPr>
          <w:noProof/>
        </w:rPr>
        <w:t xml:space="preserve">s </w:t>
      </w:r>
      <w:r w:rsidR="00CB1D4F" w:rsidRPr="006A39BB">
        <w:rPr>
          <w:noProof/>
        </w:rPr>
        <w:t>compliance with</w:t>
      </w:r>
      <w:r w:rsidR="00001298">
        <w:rPr>
          <w:noProof/>
        </w:rPr>
        <w:t xml:space="preserve"> its</w:t>
      </w:r>
      <w:r w:rsidR="00CB1D4F" w:rsidRPr="006A39BB">
        <w:rPr>
          <w:noProof/>
        </w:rPr>
        <w:t xml:space="preserve"> obligations under this Regulation.</w:t>
      </w:r>
    </w:p>
    <w:p w14:paraId="1C6916B3" w14:textId="13D76600" w:rsidR="00682664" w:rsidRPr="006A39BB" w:rsidRDefault="002A7F8C" w:rsidP="002A7F8C">
      <w:pPr>
        <w:pStyle w:val="ManualNumPar1"/>
        <w:rPr>
          <w:noProof/>
        </w:rPr>
      </w:pPr>
      <w:r w:rsidRPr="002A7F8C">
        <w:rPr>
          <w:noProof/>
        </w:rPr>
        <w:t>2.</w:t>
      </w:r>
      <w:r w:rsidRPr="002A7F8C">
        <w:rPr>
          <w:noProof/>
        </w:rPr>
        <w:tab/>
      </w:r>
      <w:r w:rsidR="00682664" w:rsidRPr="006A39BB">
        <w:rPr>
          <w:noProof/>
        </w:rPr>
        <w:t>ESG rating provider</w:t>
      </w:r>
      <w:r w:rsidR="008E04C5" w:rsidRPr="006A39BB">
        <w:rPr>
          <w:noProof/>
        </w:rPr>
        <w:t>s</w:t>
      </w:r>
      <w:r w:rsidR="00490891" w:rsidRPr="006A39BB">
        <w:rPr>
          <w:noProof/>
        </w:rPr>
        <w:t xml:space="preserve"> that</w:t>
      </w:r>
      <w:r w:rsidR="00682664" w:rsidRPr="006A39BB">
        <w:rPr>
          <w:noProof/>
        </w:rPr>
        <w:t xml:space="preserve"> outsource functions or any services </w:t>
      </w:r>
      <w:r w:rsidR="5C504EDF" w:rsidRPr="006A39BB">
        <w:rPr>
          <w:noProof/>
        </w:rPr>
        <w:t>or</w:t>
      </w:r>
      <w:r w:rsidR="00682664" w:rsidRPr="006A39BB">
        <w:rPr>
          <w:noProof/>
        </w:rPr>
        <w:t xml:space="preserve"> activities </w:t>
      </w:r>
      <w:r w:rsidR="00001298">
        <w:rPr>
          <w:noProof/>
        </w:rPr>
        <w:t xml:space="preserve">that are relevant for </w:t>
      </w:r>
      <w:r w:rsidR="00682664" w:rsidRPr="006A39BB">
        <w:rPr>
          <w:noProof/>
        </w:rPr>
        <w:t>the provision of an ESG rating</w:t>
      </w:r>
      <w:r w:rsidR="00FA23A5" w:rsidRPr="006A39BB">
        <w:rPr>
          <w:noProof/>
        </w:rPr>
        <w:t xml:space="preserve"> </w:t>
      </w:r>
      <w:r w:rsidR="00682664" w:rsidRPr="006A39BB">
        <w:rPr>
          <w:noProof/>
        </w:rPr>
        <w:t>shall remain fully responsible for discharging all of the obligations under this Regulation.</w:t>
      </w:r>
    </w:p>
    <w:p w14:paraId="0698A22E" w14:textId="0507B5D5" w:rsidR="00682664" w:rsidRPr="006A39BB" w:rsidRDefault="002A7F8C" w:rsidP="002A7F8C">
      <w:pPr>
        <w:pStyle w:val="ManualNumPar1"/>
        <w:rPr>
          <w:noProof/>
        </w:rPr>
      </w:pPr>
      <w:r w:rsidRPr="002A7F8C">
        <w:rPr>
          <w:noProof/>
        </w:rPr>
        <w:t>3.</w:t>
      </w:r>
      <w:r w:rsidRPr="002A7F8C">
        <w:rPr>
          <w:noProof/>
        </w:rPr>
        <w:tab/>
      </w:r>
      <w:r w:rsidR="007D26C2" w:rsidRPr="006A39BB">
        <w:rPr>
          <w:noProof/>
        </w:rPr>
        <w:t xml:space="preserve">ESG rating providers </w:t>
      </w:r>
      <w:r w:rsidR="004F30DC" w:rsidRPr="006A39BB">
        <w:rPr>
          <w:noProof/>
        </w:rPr>
        <w:t xml:space="preserve">that </w:t>
      </w:r>
      <w:r w:rsidR="007D26C2" w:rsidRPr="006A39BB">
        <w:rPr>
          <w:noProof/>
        </w:rPr>
        <w:t xml:space="preserve">outsource functions or any services or activities </w:t>
      </w:r>
      <w:r w:rsidR="0068369A">
        <w:rPr>
          <w:noProof/>
        </w:rPr>
        <w:t xml:space="preserve">that are </w:t>
      </w:r>
      <w:r w:rsidR="0068369A" w:rsidRPr="006A39BB">
        <w:rPr>
          <w:noProof/>
        </w:rPr>
        <w:t xml:space="preserve">relevant </w:t>
      </w:r>
      <w:r w:rsidR="0068369A">
        <w:rPr>
          <w:noProof/>
        </w:rPr>
        <w:t>for</w:t>
      </w:r>
      <w:r w:rsidR="007D26C2" w:rsidRPr="006A39BB">
        <w:rPr>
          <w:noProof/>
        </w:rPr>
        <w:t xml:space="preserve"> the provision of an ESG rating</w:t>
      </w:r>
      <w:r w:rsidR="00254924" w:rsidRPr="006A39BB">
        <w:rPr>
          <w:noProof/>
        </w:rPr>
        <w:t xml:space="preserve"> shall </w:t>
      </w:r>
      <w:r w:rsidR="0068369A" w:rsidRPr="006A39BB">
        <w:rPr>
          <w:noProof/>
        </w:rPr>
        <w:t xml:space="preserve">remain fully responsible for </w:t>
      </w:r>
      <w:r w:rsidR="0068369A">
        <w:rPr>
          <w:noProof/>
        </w:rPr>
        <w:t>disclosing the information referred to in Annex II</w:t>
      </w:r>
      <w:r w:rsidR="00C42BC4" w:rsidRPr="006A39BB">
        <w:rPr>
          <w:noProof/>
        </w:rPr>
        <w:t>.</w:t>
      </w:r>
    </w:p>
    <w:p w14:paraId="28926753" w14:textId="77777777" w:rsidR="008A4205" w:rsidRPr="00721912" w:rsidRDefault="008A4205" w:rsidP="00721912">
      <w:pPr>
        <w:pStyle w:val="Titrearticle"/>
        <w:spacing w:line="23" w:lineRule="atLeast"/>
        <w:rPr>
          <w:noProof/>
          <w:szCs w:val="24"/>
        </w:rPr>
      </w:pPr>
      <w:r w:rsidRPr="00721912">
        <w:rPr>
          <w:noProof/>
          <w:szCs w:val="24"/>
        </w:rPr>
        <w:t xml:space="preserve">Article </w:t>
      </w:r>
      <w:r w:rsidR="00211A8E" w:rsidRPr="00721912">
        <w:rPr>
          <w:noProof/>
          <w:szCs w:val="24"/>
        </w:rPr>
        <w:t>2</w:t>
      </w:r>
      <w:r w:rsidR="00441017" w:rsidRPr="00721912">
        <w:rPr>
          <w:noProof/>
          <w:szCs w:val="24"/>
        </w:rPr>
        <w:t>0</w:t>
      </w:r>
    </w:p>
    <w:p w14:paraId="13929FDD" w14:textId="77777777" w:rsidR="008A4205" w:rsidRPr="00721912" w:rsidRDefault="008A4205" w:rsidP="00721912">
      <w:pPr>
        <w:pStyle w:val="NormalCentered"/>
        <w:rPr>
          <w:b/>
          <w:bCs/>
          <w:noProof/>
          <w:lang w:eastAsia="en-IE"/>
        </w:rPr>
      </w:pPr>
      <w:r w:rsidRPr="00721912">
        <w:rPr>
          <w:b/>
          <w:bCs/>
          <w:noProof/>
          <w:lang w:eastAsia="en-IE"/>
        </w:rPr>
        <w:t>Exemptions on governance requirements</w:t>
      </w:r>
    </w:p>
    <w:p w14:paraId="7B0BAA69" w14:textId="19A5B46F" w:rsidR="008A4205" w:rsidRPr="006A39BB" w:rsidRDefault="002A7F8C" w:rsidP="002A7F8C">
      <w:pPr>
        <w:pStyle w:val="ManualNumPar1"/>
        <w:rPr>
          <w:noProof/>
        </w:rPr>
      </w:pPr>
      <w:r w:rsidRPr="002A7F8C">
        <w:rPr>
          <w:noProof/>
        </w:rPr>
        <w:t>1.</w:t>
      </w:r>
      <w:r w:rsidRPr="002A7F8C">
        <w:rPr>
          <w:noProof/>
        </w:rPr>
        <w:tab/>
      </w:r>
      <w:r w:rsidR="008A4205" w:rsidRPr="006A39BB">
        <w:rPr>
          <w:noProof/>
        </w:rPr>
        <w:t xml:space="preserve">ESMA may exempt an ESG rating provider </w:t>
      </w:r>
      <w:r w:rsidR="007574F2">
        <w:rPr>
          <w:noProof/>
        </w:rPr>
        <w:t xml:space="preserve">at its request </w:t>
      </w:r>
      <w:r w:rsidR="008A4205" w:rsidRPr="006A39BB">
        <w:rPr>
          <w:noProof/>
        </w:rPr>
        <w:t>from complying with</w:t>
      </w:r>
      <w:r w:rsidR="005B63B8" w:rsidRPr="006A39BB">
        <w:rPr>
          <w:noProof/>
        </w:rPr>
        <w:t xml:space="preserve"> some of</w:t>
      </w:r>
      <w:r w:rsidR="008A4205" w:rsidRPr="006A39BB">
        <w:rPr>
          <w:noProof/>
        </w:rPr>
        <w:t xml:space="preserve"> the requirements </w:t>
      </w:r>
      <w:r w:rsidR="007574F2">
        <w:rPr>
          <w:noProof/>
        </w:rPr>
        <w:t xml:space="preserve">laid down </w:t>
      </w:r>
      <w:r w:rsidR="008A4205" w:rsidRPr="006A39BB">
        <w:rPr>
          <w:noProof/>
        </w:rPr>
        <w:t xml:space="preserve">in Article </w:t>
      </w:r>
      <w:r w:rsidR="008730DD" w:rsidRPr="006A39BB">
        <w:rPr>
          <w:noProof/>
        </w:rPr>
        <w:t>1</w:t>
      </w:r>
      <w:r w:rsidR="009F56FF" w:rsidRPr="006A39BB">
        <w:rPr>
          <w:noProof/>
        </w:rPr>
        <w:t>4</w:t>
      </w:r>
      <w:r w:rsidR="008A4205" w:rsidRPr="006A39BB">
        <w:rPr>
          <w:noProof/>
        </w:rPr>
        <w:t xml:space="preserve"> </w:t>
      </w:r>
      <w:r w:rsidR="007574F2">
        <w:rPr>
          <w:noProof/>
        </w:rPr>
        <w:t>where</w:t>
      </w:r>
      <w:r w:rsidR="008A4205" w:rsidRPr="006A39BB">
        <w:rPr>
          <w:noProof/>
        </w:rPr>
        <w:t xml:space="preserve"> th</w:t>
      </w:r>
      <w:r w:rsidR="007574F2">
        <w:rPr>
          <w:noProof/>
        </w:rPr>
        <w:t>at</w:t>
      </w:r>
      <w:r w:rsidR="008A4205" w:rsidRPr="006A39BB">
        <w:rPr>
          <w:noProof/>
        </w:rPr>
        <w:t xml:space="preserve"> ESG rating provider is able to demonstrate that those requirements are not proportionate in view of the nature, scale and complexity of its business and the nature and range of </w:t>
      </w:r>
      <w:r w:rsidR="4D2B98CD" w:rsidRPr="006A39BB">
        <w:rPr>
          <w:noProof/>
        </w:rPr>
        <w:t xml:space="preserve">the </w:t>
      </w:r>
      <w:r w:rsidR="47960077" w:rsidRPr="006A39BB">
        <w:rPr>
          <w:noProof/>
        </w:rPr>
        <w:t>issu</w:t>
      </w:r>
      <w:r w:rsidR="2AB1FD04" w:rsidRPr="006A39BB">
        <w:rPr>
          <w:noProof/>
        </w:rPr>
        <w:t>ance</w:t>
      </w:r>
      <w:r w:rsidR="008A4205" w:rsidRPr="006A39BB">
        <w:rPr>
          <w:noProof/>
        </w:rPr>
        <w:t xml:space="preserve"> of ESG ratings and </w:t>
      </w:r>
      <w:r w:rsidR="007574F2">
        <w:rPr>
          <w:noProof/>
        </w:rPr>
        <w:t xml:space="preserve">provided </w:t>
      </w:r>
      <w:r w:rsidR="008A4205" w:rsidRPr="006A39BB">
        <w:rPr>
          <w:noProof/>
        </w:rPr>
        <w:t>that:</w:t>
      </w:r>
    </w:p>
    <w:p w14:paraId="09958924" w14:textId="61E141C9" w:rsidR="008A4205" w:rsidRPr="006A39BB" w:rsidRDefault="002A7F8C" w:rsidP="002A7F8C">
      <w:pPr>
        <w:pStyle w:val="Point1"/>
        <w:rPr>
          <w:noProof/>
        </w:rPr>
      </w:pPr>
      <w:r w:rsidRPr="002A7F8C">
        <w:rPr>
          <w:noProof/>
        </w:rPr>
        <w:t>(a)</w:t>
      </w:r>
      <w:r w:rsidRPr="002A7F8C">
        <w:rPr>
          <w:noProof/>
        </w:rPr>
        <w:tab/>
      </w:r>
      <w:r w:rsidR="008A4205" w:rsidRPr="006A39BB">
        <w:rPr>
          <w:noProof/>
        </w:rPr>
        <w:t xml:space="preserve">the ESG rating provider </w:t>
      </w:r>
      <w:r w:rsidR="007574F2">
        <w:rPr>
          <w:noProof/>
        </w:rPr>
        <w:t>is</w:t>
      </w:r>
      <w:r w:rsidR="008A4205" w:rsidRPr="006A39BB">
        <w:rPr>
          <w:noProof/>
        </w:rPr>
        <w:t xml:space="preserve"> </w:t>
      </w:r>
      <w:r w:rsidR="00E3118B">
        <w:rPr>
          <w:noProof/>
        </w:rPr>
        <w:t xml:space="preserve">a </w:t>
      </w:r>
      <w:r w:rsidR="00C4040E" w:rsidRPr="006A39BB">
        <w:rPr>
          <w:noProof/>
        </w:rPr>
        <w:t xml:space="preserve">small </w:t>
      </w:r>
      <w:r w:rsidR="007574F2">
        <w:rPr>
          <w:noProof/>
        </w:rPr>
        <w:t>or</w:t>
      </w:r>
      <w:r w:rsidR="00C4040E" w:rsidRPr="006A39BB">
        <w:rPr>
          <w:noProof/>
        </w:rPr>
        <w:t xml:space="preserve"> </w:t>
      </w:r>
      <w:r w:rsidR="008A4205" w:rsidRPr="006A39BB">
        <w:rPr>
          <w:noProof/>
        </w:rPr>
        <w:t>medium-sized undertaking a</w:t>
      </w:r>
      <w:r w:rsidR="00140BE1">
        <w:rPr>
          <w:noProof/>
        </w:rPr>
        <w:t>ccording to the criteria laid down</w:t>
      </w:r>
      <w:r w:rsidR="00911972">
        <w:rPr>
          <w:noProof/>
        </w:rPr>
        <w:t xml:space="preserve"> </w:t>
      </w:r>
      <w:r w:rsidR="008A4205" w:rsidRPr="006A39BB">
        <w:rPr>
          <w:noProof/>
        </w:rPr>
        <w:t xml:space="preserve">in </w:t>
      </w:r>
      <w:r w:rsidR="00140BE1">
        <w:rPr>
          <w:noProof/>
        </w:rPr>
        <w:t xml:space="preserve">Article 3 of </w:t>
      </w:r>
      <w:r w:rsidR="008A4205" w:rsidRPr="006A39BB">
        <w:rPr>
          <w:noProof/>
        </w:rPr>
        <w:t>Directive 2013/34/EU;</w:t>
      </w:r>
    </w:p>
    <w:p w14:paraId="48BADB75" w14:textId="7C68F739" w:rsidR="008A4205" w:rsidRPr="006A39BB" w:rsidRDefault="002A7F8C" w:rsidP="002A7F8C">
      <w:pPr>
        <w:pStyle w:val="Point1"/>
        <w:rPr>
          <w:noProof/>
        </w:rPr>
      </w:pPr>
      <w:r w:rsidRPr="002A7F8C">
        <w:rPr>
          <w:noProof/>
        </w:rPr>
        <w:t>(b)</w:t>
      </w:r>
      <w:r w:rsidRPr="002A7F8C">
        <w:rPr>
          <w:noProof/>
        </w:rPr>
        <w:tab/>
      </w:r>
      <w:r w:rsidR="008A4205" w:rsidRPr="006A39BB">
        <w:rPr>
          <w:noProof/>
        </w:rPr>
        <w:t xml:space="preserve">the ESG rating provider has implemented measures and procedures, </w:t>
      </w:r>
      <w:r w:rsidR="007574F2">
        <w:rPr>
          <w:noProof/>
        </w:rPr>
        <w:t xml:space="preserve">and </w:t>
      </w:r>
      <w:r w:rsidR="008A4205" w:rsidRPr="006A39BB">
        <w:rPr>
          <w:noProof/>
        </w:rPr>
        <w:t>in particular internal control mechanisms, reporting arrangements and measures</w:t>
      </w:r>
      <w:r w:rsidR="007574F2">
        <w:rPr>
          <w:noProof/>
        </w:rPr>
        <w:t>, that</w:t>
      </w:r>
      <w:r w:rsidR="008A4205" w:rsidRPr="006A39BB">
        <w:rPr>
          <w:noProof/>
        </w:rPr>
        <w:t xml:space="preserve"> ensur</w:t>
      </w:r>
      <w:r w:rsidR="007574F2">
        <w:rPr>
          <w:noProof/>
        </w:rPr>
        <w:t>e</w:t>
      </w:r>
      <w:r w:rsidR="008A4205" w:rsidRPr="006A39BB">
        <w:rPr>
          <w:noProof/>
        </w:rPr>
        <w:t xml:space="preserve"> </w:t>
      </w:r>
      <w:r w:rsidR="007574F2">
        <w:rPr>
          <w:noProof/>
        </w:rPr>
        <w:t xml:space="preserve">the </w:t>
      </w:r>
      <w:r w:rsidR="008A4205" w:rsidRPr="006A39BB">
        <w:rPr>
          <w:noProof/>
        </w:rPr>
        <w:t xml:space="preserve">independence of rating analysts and persons approving </w:t>
      </w:r>
      <w:r w:rsidR="00F9378B" w:rsidRPr="006A39BB">
        <w:rPr>
          <w:noProof/>
        </w:rPr>
        <w:t xml:space="preserve">ESG </w:t>
      </w:r>
      <w:r w:rsidR="008A4205" w:rsidRPr="006A39BB">
        <w:rPr>
          <w:noProof/>
        </w:rPr>
        <w:t>ratings</w:t>
      </w:r>
      <w:r w:rsidR="007574F2">
        <w:rPr>
          <w:noProof/>
        </w:rPr>
        <w:t xml:space="preserve"> and that</w:t>
      </w:r>
      <w:r w:rsidR="008A4205" w:rsidRPr="006A39BB">
        <w:rPr>
          <w:noProof/>
        </w:rPr>
        <w:t xml:space="preserve"> ensure the effective compliance with this Regulation;</w:t>
      </w:r>
    </w:p>
    <w:p w14:paraId="4381E5E1" w14:textId="0A626929" w:rsidR="008A4205" w:rsidRPr="006A39BB" w:rsidRDefault="002A7F8C" w:rsidP="002A7F8C">
      <w:pPr>
        <w:pStyle w:val="Point1"/>
        <w:rPr>
          <w:noProof/>
        </w:rPr>
      </w:pPr>
      <w:r w:rsidRPr="002A7F8C">
        <w:rPr>
          <w:noProof/>
        </w:rPr>
        <w:t>(c)</w:t>
      </w:r>
      <w:r w:rsidRPr="002A7F8C">
        <w:rPr>
          <w:noProof/>
        </w:rPr>
        <w:tab/>
      </w:r>
      <w:r w:rsidR="008A4205" w:rsidRPr="006A39BB">
        <w:rPr>
          <w:noProof/>
        </w:rPr>
        <w:t>the size of the ESG rating provider is not determined in such a way as to avoid compliance with the requirements of this Regulation by an ESG rating provider or a group of ESG rating providers.</w:t>
      </w:r>
    </w:p>
    <w:p w14:paraId="695CC26D" w14:textId="58387EB9" w:rsidR="008A4205" w:rsidRPr="006A39BB" w:rsidRDefault="002A7F8C" w:rsidP="002A7F8C">
      <w:pPr>
        <w:pStyle w:val="ManualNumPar1"/>
        <w:rPr>
          <w:noProof/>
        </w:rPr>
      </w:pPr>
      <w:r w:rsidRPr="002A7F8C">
        <w:rPr>
          <w:noProof/>
        </w:rPr>
        <w:t>2.</w:t>
      </w:r>
      <w:r w:rsidRPr="002A7F8C">
        <w:rPr>
          <w:noProof/>
        </w:rPr>
        <w:tab/>
      </w:r>
      <w:r w:rsidR="008A4205" w:rsidRPr="006A39BB">
        <w:rPr>
          <w:noProof/>
        </w:rPr>
        <w:t xml:space="preserve">In the case of a group of ESG rating providers, ESMA shall ensure that at least one of the ESG rating providers in the group is not </w:t>
      </w:r>
      <w:r w:rsidR="001D426A">
        <w:rPr>
          <w:noProof/>
        </w:rPr>
        <w:t>exempted from the</w:t>
      </w:r>
      <w:r w:rsidR="008A3F5F" w:rsidRPr="006A39BB">
        <w:rPr>
          <w:noProof/>
        </w:rPr>
        <w:t xml:space="preserve"> requirements laid down in </w:t>
      </w:r>
      <w:r w:rsidR="000619DC">
        <w:rPr>
          <w:noProof/>
        </w:rPr>
        <w:t>this Regulation</w:t>
      </w:r>
      <w:r w:rsidR="008A4205" w:rsidRPr="006A39BB">
        <w:rPr>
          <w:noProof/>
        </w:rPr>
        <w:t>.</w:t>
      </w:r>
    </w:p>
    <w:p w14:paraId="269BB9B3" w14:textId="77777777" w:rsidR="00587167" w:rsidRPr="00AE3920" w:rsidRDefault="00587167" w:rsidP="00AE3920">
      <w:pPr>
        <w:pStyle w:val="NormalCentered"/>
        <w:rPr>
          <w:noProof/>
        </w:rPr>
      </w:pPr>
      <w:r w:rsidRPr="00AE3920">
        <w:rPr>
          <w:noProof/>
        </w:rPr>
        <w:t>CHAPTER 2</w:t>
      </w:r>
    </w:p>
    <w:p w14:paraId="3F2FC34C" w14:textId="77777777" w:rsidR="00587167" w:rsidRPr="00AE3920" w:rsidRDefault="00995E92" w:rsidP="00AE3920">
      <w:pPr>
        <w:pStyle w:val="NormalCentered"/>
        <w:rPr>
          <w:rStyle w:val="italics"/>
          <w:noProof/>
        </w:rPr>
      </w:pPr>
      <w:r w:rsidRPr="00AE3920">
        <w:rPr>
          <w:rStyle w:val="italics"/>
          <w:b/>
          <w:bCs/>
          <w:noProof/>
        </w:rPr>
        <w:t xml:space="preserve">Transparency </w:t>
      </w:r>
      <w:r w:rsidR="00696D19" w:rsidRPr="00AE3920">
        <w:rPr>
          <w:rStyle w:val="italics"/>
          <w:b/>
          <w:bCs/>
          <w:noProof/>
        </w:rPr>
        <w:t>requirements</w:t>
      </w:r>
    </w:p>
    <w:p w14:paraId="26640816" w14:textId="77777777" w:rsidR="004B0A68" w:rsidRPr="00AE3920" w:rsidRDefault="004B0A68" w:rsidP="00AE3920">
      <w:pPr>
        <w:pStyle w:val="Titrearticle"/>
        <w:spacing w:line="23" w:lineRule="atLeast"/>
        <w:rPr>
          <w:noProof/>
          <w:szCs w:val="24"/>
        </w:rPr>
      </w:pPr>
      <w:r w:rsidRPr="00AE3920">
        <w:rPr>
          <w:noProof/>
          <w:szCs w:val="24"/>
        </w:rPr>
        <w:t xml:space="preserve">Article </w:t>
      </w:r>
      <w:r w:rsidR="00211A8E" w:rsidRPr="00AE3920">
        <w:rPr>
          <w:noProof/>
          <w:szCs w:val="24"/>
        </w:rPr>
        <w:t>21</w:t>
      </w:r>
    </w:p>
    <w:p w14:paraId="669706C9" w14:textId="77777777" w:rsidR="004B0A68" w:rsidRPr="00AE3920" w:rsidRDefault="001D426A" w:rsidP="00AE3920">
      <w:pPr>
        <w:pStyle w:val="NormalCentered"/>
        <w:rPr>
          <w:b/>
          <w:bCs/>
          <w:noProof/>
          <w:lang w:eastAsia="en-IE"/>
        </w:rPr>
      </w:pPr>
      <w:r w:rsidRPr="00AE3920">
        <w:rPr>
          <w:b/>
          <w:bCs/>
          <w:noProof/>
          <w:lang w:eastAsia="en-IE"/>
        </w:rPr>
        <w:t>Disclosure of the methodologies, models, and key rating assumptions used in ESG rating activities</w:t>
      </w:r>
      <w:r w:rsidR="00371E43" w:rsidRPr="00AE3920">
        <w:rPr>
          <w:b/>
          <w:bCs/>
          <w:noProof/>
          <w:lang w:eastAsia="en-IE"/>
        </w:rPr>
        <w:t xml:space="preserve"> to the public</w:t>
      </w:r>
    </w:p>
    <w:p w14:paraId="4AEC4235" w14:textId="69D2D4BE" w:rsidR="001A3FB2" w:rsidRPr="00166F7F" w:rsidRDefault="002A7F8C" w:rsidP="002A7F8C">
      <w:pPr>
        <w:pStyle w:val="ManualNumPar1"/>
        <w:rPr>
          <w:noProof/>
        </w:rPr>
      </w:pPr>
      <w:r w:rsidRPr="002A7F8C">
        <w:rPr>
          <w:noProof/>
        </w:rPr>
        <w:t>1.</w:t>
      </w:r>
      <w:r w:rsidRPr="002A7F8C">
        <w:rPr>
          <w:noProof/>
        </w:rPr>
        <w:tab/>
      </w:r>
      <w:r w:rsidR="004B0A68" w:rsidRPr="00166F7F">
        <w:rPr>
          <w:noProof/>
        </w:rPr>
        <w:t>ESG rating provider</w:t>
      </w:r>
      <w:r w:rsidR="001E4F6B" w:rsidRPr="00166F7F">
        <w:rPr>
          <w:noProof/>
        </w:rPr>
        <w:t>s</w:t>
      </w:r>
      <w:r w:rsidR="004B0A68" w:rsidRPr="00166F7F">
        <w:rPr>
          <w:noProof/>
        </w:rPr>
        <w:t xml:space="preserve"> shall disclose </w:t>
      </w:r>
      <w:r w:rsidR="005B7F74" w:rsidRPr="00166F7F">
        <w:rPr>
          <w:noProof/>
        </w:rPr>
        <w:t xml:space="preserve">on </w:t>
      </w:r>
      <w:r w:rsidR="001E4F6B" w:rsidRPr="00166F7F">
        <w:rPr>
          <w:noProof/>
        </w:rPr>
        <w:t xml:space="preserve">their </w:t>
      </w:r>
      <w:r w:rsidR="005B7F74" w:rsidRPr="00166F7F">
        <w:rPr>
          <w:noProof/>
        </w:rPr>
        <w:t>website</w:t>
      </w:r>
      <w:r w:rsidR="008E0CE2" w:rsidRPr="00166F7F">
        <w:rPr>
          <w:noProof/>
        </w:rPr>
        <w:t xml:space="preserve"> </w:t>
      </w:r>
      <w:r w:rsidR="004B0A68" w:rsidRPr="00166F7F">
        <w:rPr>
          <w:noProof/>
        </w:rPr>
        <w:t xml:space="preserve">the methodologies, models and key rating assumptions </w:t>
      </w:r>
      <w:r w:rsidR="001E4F6B" w:rsidRPr="00166F7F">
        <w:rPr>
          <w:noProof/>
        </w:rPr>
        <w:t xml:space="preserve">they </w:t>
      </w:r>
      <w:r w:rsidR="004B0A68" w:rsidRPr="00166F7F">
        <w:rPr>
          <w:noProof/>
        </w:rPr>
        <w:t xml:space="preserve">use in </w:t>
      </w:r>
      <w:r w:rsidR="001E4F6B" w:rsidRPr="00166F7F">
        <w:rPr>
          <w:noProof/>
        </w:rPr>
        <w:t xml:space="preserve">their </w:t>
      </w:r>
      <w:r w:rsidR="004B0A68" w:rsidRPr="00166F7F">
        <w:rPr>
          <w:noProof/>
        </w:rPr>
        <w:t>ESG rating activities</w:t>
      </w:r>
      <w:r w:rsidR="005218C8" w:rsidRPr="00166F7F">
        <w:rPr>
          <w:noProof/>
        </w:rPr>
        <w:t>, includ</w:t>
      </w:r>
      <w:r w:rsidR="001D426A" w:rsidRPr="00166F7F">
        <w:rPr>
          <w:noProof/>
        </w:rPr>
        <w:t>ing</w:t>
      </w:r>
      <w:r w:rsidR="005218C8" w:rsidRPr="00166F7F">
        <w:rPr>
          <w:noProof/>
        </w:rPr>
        <w:t xml:space="preserve"> the </w:t>
      </w:r>
      <w:r w:rsidR="003726A8" w:rsidRPr="00166F7F">
        <w:rPr>
          <w:noProof/>
        </w:rPr>
        <w:t xml:space="preserve">information referred to in </w:t>
      </w:r>
      <w:r w:rsidR="00DD3FE7" w:rsidRPr="00166F7F">
        <w:rPr>
          <w:noProof/>
        </w:rPr>
        <w:t xml:space="preserve"> point 1 of Annex I</w:t>
      </w:r>
      <w:r w:rsidR="005A5381" w:rsidRPr="00166F7F">
        <w:rPr>
          <w:noProof/>
        </w:rPr>
        <w:t>I</w:t>
      </w:r>
      <w:r w:rsidR="00DD3FE7" w:rsidRPr="00166F7F">
        <w:rPr>
          <w:noProof/>
        </w:rPr>
        <w:t>I</w:t>
      </w:r>
      <w:r w:rsidR="00716E8A" w:rsidRPr="00166F7F">
        <w:rPr>
          <w:noProof/>
        </w:rPr>
        <w:t>.</w:t>
      </w:r>
    </w:p>
    <w:p w14:paraId="64B4C863" w14:textId="431DD074" w:rsidR="00131ED6" w:rsidRPr="006A39BB" w:rsidRDefault="002A7F8C" w:rsidP="002A7F8C">
      <w:pPr>
        <w:pStyle w:val="ManualNumPar1"/>
        <w:rPr>
          <w:noProof/>
        </w:rPr>
      </w:pPr>
      <w:r w:rsidRPr="002A7F8C">
        <w:rPr>
          <w:noProof/>
        </w:rPr>
        <w:t>2.</w:t>
      </w:r>
      <w:r w:rsidRPr="002A7F8C">
        <w:rPr>
          <w:noProof/>
        </w:rPr>
        <w:tab/>
      </w:r>
      <w:r w:rsidR="00131ED6" w:rsidRPr="006A39BB">
        <w:rPr>
          <w:noProof/>
        </w:rPr>
        <w:t xml:space="preserve">ESMA shall develop draft regulatory technical standards to specify further the elements </w:t>
      </w:r>
      <w:r w:rsidR="001D426A">
        <w:rPr>
          <w:noProof/>
        </w:rPr>
        <w:t>that are to be disclosed</w:t>
      </w:r>
      <w:r w:rsidR="00131ED6" w:rsidRPr="006A39BB">
        <w:rPr>
          <w:noProof/>
        </w:rPr>
        <w:t xml:space="preserve"> in accordance with paragraph 1.</w:t>
      </w:r>
    </w:p>
    <w:p w14:paraId="067875B4" w14:textId="2F25403A" w:rsidR="00131ED6" w:rsidRPr="006A39BB" w:rsidRDefault="002A7F8C" w:rsidP="002A7F8C">
      <w:pPr>
        <w:pStyle w:val="ManualNumPar1"/>
        <w:rPr>
          <w:noProof/>
        </w:rPr>
      </w:pPr>
      <w:r w:rsidRPr="002A7F8C">
        <w:rPr>
          <w:noProof/>
        </w:rPr>
        <w:t>3.</w:t>
      </w:r>
      <w:r w:rsidRPr="002A7F8C">
        <w:rPr>
          <w:noProof/>
        </w:rPr>
        <w:tab/>
      </w:r>
      <w:r w:rsidR="00131ED6" w:rsidRPr="006A39BB">
        <w:rPr>
          <w:noProof/>
        </w:rPr>
        <w:t>ESMA shall submit those draft regulatory technical standards to the Commission by XX XXXX XXXX.</w:t>
      </w:r>
    </w:p>
    <w:p w14:paraId="564837E8" w14:textId="77777777" w:rsidR="00131ED6" w:rsidRPr="00166F7F" w:rsidRDefault="00131ED6" w:rsidP="00166F7F">
      <w:pPr>
        <w:rPr>
          <w:noProof/>
        </w:rPr>
      </w:pPr>
      <w:r w:rsidRPr="00166F7F">
        <w:rPr>
          <w:noProof/>
        </w:rPr>
        <w:t>Power is delegated to the Commission to adopt the regulatory technical standards referred to in the first subparagraph in accordance with the procedure laid down in Articles 10 to 14 of Regulation (EU) No 1095/2010.</w:t>
      </w:r>
    </w:p>
    <w:p w14:paraId="2B959DFE" w14:textId="77777777" w:rsidR="00E42B23" w:rsidRPr="00AE3920" w:rsidRDefault="00E42B23" w:rsidP="00AE3920">
      <w:pPr>
        <w:pStyle w:val="Titrearticle"/>
        <w:spacing w:line="23" w:lineRule="atLeast"/>
        <w:rPr>
          <w:noProof/>
          <w:szCs w:val="24"/>
        </w:rPr>
      </w:pPr>
      <w:r w:rsidRPr="00AE3920">
        <w:rPr>
          <w:noProof/>
          <w:szCs w:val="24"/>
        </w:rPr>
        <w:t xml:space="preserve">Article </w:t>
      </w:r>
      <w:r w:rsidR="00211A8E" w:rsidRPr="00AE3920">
        <w:rPr>
          <w:noProof/>
          <w:szCs w:val="24"/>
        </w:rPr>
        <w:t>22</w:t>
      </w:r>
    </w:p>
    <w:p w14:paraId="25DAE388" w14:textId="77777777" w:rsidR="00E42B23" w:rsidRPr="00AE3920" w:rsidRDefault="00131ED6" w:rsidP="00AE3920">
      <w:pPr>
        <w:pStyle w:val="NormalCentered"/>
        <w:rPr>
          <w:rStyle w:val="italics"/>
          <w:b/>
          <w:bCs/>
          <w:noProof/>
        </w:rPr>
      </w:pPr>
      <w:r w:rsidRPr="00AE3920">
        <w:rPr>
          <w:rStyle w:val="italics"/>
          <w:b/>
          <w:bCs/>
          <w:noProof/>
        </w:rPr>
        <w:t>D</w:t>
      </w:r>
      <w:r w:rsidR="00E42B23" w:rsidRPr="00AE3920">
        <w:rPr>
          <w:rStyle w:val="italics"/>
          <w:b/>
          <w:bCs/>
          <w:noProof/>
        </w:rPr>
        <w:t xml:space="preserve">isclosures to </w:t>
      </w:r>
      <w:r w:rsidR="001E2DC8" w:rsidRPr="00AE3920">
        <w:rPr>
          <w:rStyle w:val="italics"/>
          <w:b/>
          <w:bCs/>
          <w:noProof/>
        </w:rPr>
        <w:t xml:space="preserve">subscribers </w:t>
      </w:r>
      <w:r w:rsidR="00CA02B3" w:rsidRPr="00AE3920">
        <w:rPr>
          <w:rStyle w:val="italics"/>
          <w:b/>
          <w:bCs/>
          <w:noProof/>
        </w:rPr>
        <w:t>of</w:t>
      </w:r>
      <w:r w:rsidR="00E57EBA" w:rsidRPr="00AE3920">
        <w:rPr>
          <w:rStyle w:val="italics"/>
          <w:b/>
          <w:bCs/>
          <w:noProof/>
        </w:rPr>
        <w:t xml:space="preserve"> </w:t>
      </w:r>
      <w:r w:rsidR="007C645B" w:rsidRPr="00AE3920">
        <w:rPr>
          <w:rStyle w:val="italics"/>
          <w:b/>
          <w:bCs/>
          <w:noProof/>
        </w:rPr>
        <w:t>ESG rating</w:t>
      </w:r>
      <w:r w:rsidR="00B954FD" w:rsidRPr="00AE3920">
        <w:rPr>
          <w:rStyle w:val="italics"/>
          <w:b/>
          <w:bCs/>
          <w:noProof/>
        </w:rPr>
        <w:t>s</w:t>
      </w:r>
      <w:r w:rsidR="007C645B" w:rsidRPr="00AE3920">
        <w:rPr>
          <w:rStyle w:val="italics"/>
          <w:b/>
          <w:bCs/>
          <w:noProof/>
        </w:rPr>
        <w:t xml:space="preserve"> </w:t>
      </w:r>
      <w:r w:rsidR="00136D7D" w:rsidRPr="00AE3920">
        <w:rPr>
          <w:rStyle w:val="italics"/>
          <w:b/>
          <w:bCs/>
          <w:noProof/>
        </w:rPr>
        <w:t xml:space="preserve">and </w:t>
      </w:r>
      <w:r w:rsidR="001E2DC8" w:rsidRPr="00AE3920">
        <w:rPr>
          <w:rStyle w:val="italics"/>
          <w:b/>
          <w:bCs/>
          <w:noProof/>
        </w:rPr>
        <w:t>rated entit</w:t>
      </w:r>
      <w:r w:rsidR="00B954FD" w:rsidRPr="00AE3920">
        <w:rPr>
          <w:rStyle w:val="italics"/>
          <w:b/>
          <w:bCs/>
          <w:noProof/>
        </w:rPr>
        <w:t>i</w:t>
      </w:r>
      <w:r w:rsidR="001E2DC8" w:rsidRPr="00AE3920">
        <w:rPr>
          <w:rStyle w:val="italics"/>
          <w:b/>
          <w:bCs/>
          <w:noProof/>
        </w:rPr>
        <w:t>es</w:t>
      </w:r>
    </w:p>
    <w:p w14:paraId="59578C1B" w14:textId="04BBAE95" w:rsidR="005440F0" w:rsidRPr="00AE3920" w:rsidRDefault="002A7F8C" w:rsidP="002A7F8C">
      <w:pPr>
        <w:pStyle w:val="ManualNumPar1"/>
        <w:rPr>
          <w:noProof/>
        </w:rPr>
      </w:pPr>
      <w:r w:rsidRPr="002A7F8C">
        <w:rPr>
          <w:noProof/>
        </w:rPr>
        <w:t>1.</w:t>
      </w:r>
      <w:r w:rsidRPr="002A7F8C">
        <w:rPr>
          <w:noProof/>
        </w:rPr>
        <w:tab/>
      </w:r>
      <w:r w:rsidR="00022256" w:rsidRPr="00AE3920">
        <w:rPr>
          <w:noProof/>
        </w:rPr>
        <w:t>ESG rating providers sh</w:t>
      </w:r>
      <w:r w:rsidR="00CF6A5A" w:rsidRPr="00AE3920">
        <w:rPr>
          <w:noProof/>
        </w:rPr>
        <w:t>all</w:t>
      </w:r>
      <w:r w:rsidR="00022256" w:rsidRPr="00AE3920">
        <w:rPr>
          <w:noProof/>
        </w:rPr>
        <w:t xml:space="preserve"> </w:t>
      </w:r>
      <w:r w:rsidR="004558FC" w:rsidRPr="00AE3920">
        <w:rPr>
          <w:noProof/>
        </w:rPr>
        <w:t>disclose</w:t>
      </w:r>
      <w:r w:rsidR="00BD455F" w:rsidRPr="00AE3920">
        <w:rPr>
          <w:noProof/>
        </w:rPr>
        <w:t>, as a minimum,</w:t>
      </w:r>
      <w:r w:rsidR="004558FC" w:rsidRPr="00AE3920">
        <w:rPr>
          <w:noProof/>
        </w:rPr>
        <w:t xml:space="preserve"> </w:t>
      </w:r>
      <w:r w:rsidR="00BD455F" w:rsidRPr="00AE3920">
        <w:rPr>
          <w:noProof/>
        </w:rPr>
        <w:t xml:space="preserve">the information </w:t>
      </w:r>
      <w:r w:rsidR="00B954FD" w:rsidRPr="00AE3920">
        <w:rPr>
          <w:noProof/>
        </w:rPr>
        <w:t>referred to</w:t>
      </w:r>
      <w:r w:rsidR="00BD455F" w:rsidRPr="00AE3920">
        <w:rPr>
          <w:noProof/>
        </w:rPr>
        <w:t xml:space="preserve"> in point 2 of Annex II</w:t>
      </w:r>
      <w:r w:rsidR="00DC63D1" w:rsidRPr="00AE3920">
        <w:rPr>
          <w:noProof/>
        </w:rPr>
        <w:t>I</w:t>
      </w:r>
      <w:r w:rsidR="00BD455F" w:rsidRPr="00AE3920">
        <w:rPr>
          <w:noProof/>
        </w:rPr>
        <w:t xml:space="preserve"> to their subscribers </w:t>
      </w:r>
      <w:r w:rsidR="003D2675" w:rsidRPr="00AE3920">
        <w:rPr>
          <w:noProof/>
        </w:rPr>
        <w:t>and</w:t>
      </w:r>
      <w:r w:rsidR="00BD455F" w:rsidRPr="00AE3920">
        <w:rPr>
          <w:noProof/>
        </w:rPr>
        <w:t xml:space="preserve"> to the rated entities</w:t>
      </w:r>
      <w:r w:rsidR="002F7587" w:rsidRPr="00AE3920">
        <w:rPr>
          <w:noProof/>
        </w:rPr>
        <w:t>.</w:t>
      </w:r>
    </w:p>
    <w:p w14:paraId="0EA6CE64" w14:textId="1AAD484F" w:rsidR="00131ED6" w:rsidRPr="006A39BB" w:rsidRDefault="002A7F8C" w:rsidP="002A7F8C">
      <w:pPr>
        <w:pStyle w:val="ManualNumPar1"/>
        <w:rPr>
          <w:noProof/>
        </w:rPr>
      </w:pPr>
      <w:r w:rsidRPr="002A7F8C">
        <w:rPr>
          <w:noProof/>
        </w:rPr>
        <w:t>2.</w:t>
      </w:r>
      <w:r w:rsidRPr="002A7F8C">
        <w:rPr>
          <w:noProof/>
        </w:rPr>
        <w:tab/>
      </w:r>
      <w:r w:rsidR="00131ED6" w:rsidRPr="006A39BB">
        <w:rPr>
          <w:noProof/>
        </w:rPr>
        <w:t xml:space="preserve">ESMA shall develop draft regulatory technical standards to specify further the elements </w:t>
      </w:r>
      <w:r w:rsidR="00B954FD">
        <w:rPr>
          <w:noProof/>
        </w:rPr>
        <w:t>that are to be disclosed</w:t>
      </w:r>
      <w:r w:rsidR="00131ED6" w:rsidRPr="006A39BB">
        <w:rPr>
          <w:noProof/>
        </w:rPr>
        <w:t xml:space="preserve"> in accordance with paragraph 1.</w:t>
      </w:r>
    </w:p>
    <w:p w14:paraId="304878FE" w14:textId="307BDBD5" w:rsidR="00131ED6" w:rsidRPr="006A39BB" w:rsidRDefault="002A7F8C" w:rsidP="002A7F8C">
      <w:pPr>
        <w:pStyle w:val="ManualNumPar1"/>
        <w:rPr>
          <w:noProof/>
        </w:rPr>
      </w:pPr>
      <w:r w:rsidRPr="002A7F8C">
        <w:rPr>
          <w:noProof/>
        </w:rPr>
        <w:t>3.</w:t>
      </w:r>
      <w:r w:rsidRPr="002A7F8C">
        <w:rPr>
          <w:noProof/>
        </w:rPr>
        <w:tab/>
      </w:r>
      <w:r w:rsidR="00131ED6" w:rsidRPr="006A39BB">
        <w:rPr>
          <w:noProof/>
        </w:rPr>
        <w:t>ESMA shall submit those draft regulatory technical standards to the Commission by XX XXXX XXXX.</w:t>
      </w:r>
    </w:p>
    <w:p w14:paraId="6756779F" w14:textId="77777777" w:rsidR="00B954FD" w:rsidRDefault="00131ED6" w:rsidP="00AE3920">
      <w:pPr>
        <w:rPr>
          <w:noProof/>
        </w:rPr>
      </w:pPr>
      <w:r w:rsidRPr="006A39BB">
        <w:rPr>
          <w:noProof/>
        </w:rPr>
        <w:t>Power is delegated to the Commission to adopt the regulatory technical standards referred to in the first subparagraph in accordance with the procedure laid down in Articles 10 to 14 of Regulation (EU) No 1095/2010.</w:t>
      </w:r>
    </w:p>
    <w:p w14:paraId="7B37F64F" w14:textId="77777777" w:rsidR="00452FD1" w:rsidRPr="00AE3920" w:rsidRDefault="00452FD1" w:rsidP="00AE3920">
      <w:pPr>
        <w:pStyle w:val="NormalCentered"/>
        <w:rPr>
          <w:noProof/>
        </w:rPr>
      </w:pPr>
      <w:r w:rsidRPr="00AE3920">
        <w:rPr>
          <w:noProof/>
        </w:rPr>
        <w:t xml:space="preserve">CHAPTER </w:t>
      </w:r>
      <w:r w:rsidR="00B954FD" w:rsidRPr="00AE3920">
        <w:rPr>
          <w:noProof/>
        </w:rPr>
        <w:t>3</w:t>
      </w:r>
    </w:p>
    <w:p w14:paraId="2CF135F4" w14:textId="77777777" w:rsidR="00452FD1" w:rsidRPr="00AE3920" w:rsidRDefault="00D80A3A" w:rsidP="00AE3920">
      <w:pPr>
        <w:pStyle w:val="NormalCentered"/>
        <w:rPr>
          <w:rStyle w:val="italics"/>
          <w:b/>
          <w:bCs/>
          <w:noProof/>
        </w:rPr>
      </w:pPr>
      <w:r w:rsidRPr="00AE3920">
        <w:rPr>
          <w:rStyle w:val="italics"/>
          <w:b/>
          <w:bCs/>
          <w:noProof/>
        </w:rPr>
        <w:t xml:space="preserve">Independence </w:t>
      </w:r>
      <w:r w:rsidR="00452FD1" w:rsidRPr="00AE3920">
        <w:rPr>
          <w:rStyle w:val="italics"/>
          <w:b/>
          <w:bCs/>
          <w:noProof/>
        </w:rPr>
        <w:t>and conflict</w:t>
      </w:r>
      <w:r w:rsidR="00B954FD" w:rsidRPr="00AE3920">
        <w:rPr>
          <w:rStyle w:val="italics"/>
          <w:b/>
          <w:bCs/>
          <w:noProof/>
        </w:rPr>
        <w:t>s</w:t>
      </w:r>
      <w:r w:rsidR="00452FD1" w:rsidRPr="00AE3920">
        <w:rPr>
          <w:rStyle w:val="italics"/>
          <w:b/>
          <w:bCs/>
          <w:noProof/>
        </w:rPr>
        <w:t xml:space="preserve"> of interest</w:t>
      </w:r>
    </w:p>
    <w:p w14:paraId="3CAF91DB" w14:textId="77777777" w:rsidR="0057253E" w:rsidRPr="00AE3920" w:rsidRDefault="0057253E" w:rsidP="00AE3920">
      <w:pPr>
        <w:pStyle w:val="Titrearticle"/>
        <w:spacing w:line="23" w:lineRule="atLeast"/>
        <w:rPr>
          <w:noProof/>
          <w:szCs w:val="24"/>
        </w:rPr>
      </w:pPr>
      <w:r w:rsidRPr="00AE3920">
        <w:rPr>
          <w:noProof/>
          <w:szCs w:val="24"/>
        </w:rPr>
        <w:t xml:space="preserve">Article </w:t>
      </w:r>
      <w:r w:rsidR="00211A8E" w:rsidRPr="00AE3920">
        <w:rPr>
          <w:noProof/>
          <w:szCs w:val="24"/>
        </w:rPr>
        <w:t>23</w:t>
      </w:r>
    </w:p>
    <w:p w14:paraId="367B4B96" w14:textId="77777777" w:rsidR="0057253E" w:rsidRPr="00AE3920" w:rsidRDefault="0057253E" w:rsidP="00AE3920">
      <w:pPr>
        <w:pStyle w:val="NormalCentered"/>
        <w:rPr>
          <w:rStyle w:val="italics"/>
          <w:b/>
          <w:bCs/>
          <w:noProof/>
        </w:rPr>
      </w:pPr>
      <w:r w:rsidRPr="00AE3920">
        <w:rPr>
          <w:rStyle w:val="italics"/>
          <w:b/>
          <w:bCs/>
          <w:noProof/>
        </w:rPr>
        <w:t>Independence and avoidance of conflicts of interest</w:t>
      </w:r>
    </w:p>
    <w:p w14:paraId="330F88D8" w14:textId="14021F6A" w:rsidR="00902461" w:rsidRPr="00166F7F" w:rsidRDefault="002A7F8C" w:rsidP="002A7F8C">
      <w:pPr>
        <w:pStyle w:val="ManualNumPar1"/>
        <w:rPr>
          <w:noProof/>
        </w:rPr>
      </w:pPr>
      <w:r w:rsidRPr="002A7F8C">
        <w:rPr>
          <w:noProof/>
        </w:rPr>
        <w:t>1.</w:t>
      </w:r>
      <w:r w:rsidRPr="002A7F8C">
        <w:rPr>
          <w:noProof/>
        </w:rPr>
        <w:tab/>
      </w:r>
      <w:r w:rsidR="00902461" w:rsidRPr="00166F7F">
        <w:rPr>
          <w:noProof/>
        </w:rPr>
        <w:t>ESG rating provider</w:t>
      </w:r>
      <w:r w:rsidR="00DA1316" w:rsidRPr="00166F7F">
        <w:rPr>
          <w:noProof/>
        </w:rPr>
        <w:t>s</w:t>
      </w:r>
      <w:r w:rsidR="00902461" w:rsidRPr="00166F7F">
        <w:rPr>
          <w:noProof/>
        </w:rPr>
        <w:t xml:space="preserve"> shall have in place robust governance arrangements</w:t>
      </w:r>
      <w:r w:rsidR="006E1FF5" w:rsidRPr="00166F7F">
        <w:rPr>
          <w:noProof/>
        </w:rPr>
        <w:t>, including</w:t>
      </w:r>
      <w:r w:rsidR="00902461" w:rsidRPr="00166F7F">
        <w:rPr>
          <w:noProof/>
        </w:rPr>
        <w:t xml:space="preserve"> a clear organisational structure with well-defined, transparent</w:t>
      </w:r>
      <w:r w:rsidR="00FF61A8" w:rsidRPr="00166F7F">
        <w:rPr>
          <w:noProof/>
        </w:rPr>
        <w:t>,</w:t>
      </w:r>
      <w:r w:rsidR="00902461" w:rsidRPr="00166F7F">
        <w:rPr>
          <w:noProof/>
        </w:rPr>
        <w:t xml:space="preserve"> and consistent roles and responsibilities for all persons involved in the provision of </w:t>
      </w:r>
      <w:r w:rsidR="00472687" w:rsidRPr="00166F7F">
        <w:rPr>
          <w:noProof/>
        </w:rPr>
        <w:t>an ESG rating</w:t>
      </w:r>
      <w:r w:rsidR="00902461" w:rsidRPr="00166F7F">
        <w:rPr>
          <w:noProof/>
        </w:rPr>
        <w:t>.</w:t>
      </w:r>
    </w:p>
    <w:p w14:paraId="760187A7" w14:textId="2C31F7F4" w:rsidR="0057253E" w:rsidRPr="00AE3920" w:rsidRDefault="002A7F8C" w:rsidP="002A7F8C">
      <w:pPr>
        <w:pStyle w:val="ManualNumPar1"/>
        <w:rPr>
          <w:noProof/>
        </w:rPr>
      </w:pPr>
      <w:r w:rsidRPr="002A7F8C">
        <w:rPr>
          <w:noProof/>
        </w:rPr>
        <w:t>2.</w:t>
      </w:r>
      <w:r w:rsidRPr="002A7F8C">
        <w:rPr>
          <w:noProof/>
        </w:rPr>
        <w:tab/>
      </w:r>
      <w:r w:rsidR="0057253E" w:rsidRPr="00AE3920">
        <w:rPr>
          <w:noProof/>
        </w:rPr>
        <w:t>ESG rating provider</w:t>
      </w:r>
      <w:r w:rsidR="00DA1316" w:rsidRPr="00AE3920">
        <w:rPr>
          <w:noProof/>
        </w:rPr>
        <w:t>s</w:t>
      </w:r>
      <w:r w:rsidR="0057253E" w:rsidRPr="00AE3920">
        <w:rPr>
          <w:noProof/>
        </w:rPr>
        <w:t xml:space="preserve"> shall take all necessary steps to ensure that </w:t>
      </w:r>
      <w:r w:rsidR="00076F28" w:rsidRPr="00AE3920">
        <w:rPr>
          <w:noProof/>
        </w:rPr>
        <w:t xml:space="preserve">any </w:t>
      </w:r>
      <w:r w:rsidR="0057253E" w:rsidRPr="00AE3920">
        <w:rPr>
          <w:noProof/>
        </w:rPr>
        <w:t xml:space="preserve">ESG rating </w:t>
      </w:r>
      <w:r w:rsidR="00076F28" w:rsidRPr="00AE3920">
        <w:rPr>
          <w:noProof/>
        </w:rPr>
        <w:t xml:space="preserve">provided </w:t>
      </w:r>
      <w:r w:rsidR="0057253E" w:rsidRPr="00AE3920">
        <w:rPr>
          <w:noProof/>
        </w:rPr>
        <w:t>is not affected by any existing or potential conflict of interest</w:t>
      </w:r>
      <w:r w:rsidR="00076F28" w:rsidRPr="00AE3920">
        <w:rPr>
          <w:noProof/>
        </w:rPr>
        <w:t>,</w:t>
      </w:r>
      <w:r w:rsidR="0057253E" w:rsidRPr="00AE3920">
        <w:rPr>
          <w:noProof/>
        </w:rPr>
        <w:t xml:space="preserve"> or </w:t>
      </w:r>
      <w:r w:rsidR="00076F28" w:rsidRPr="00AE3920">
        <w:rPr>
          <w:noProof/>
        </w:rPr>
        <w:t xml:space="preserve">by any </w:t>
      </w:r>
      <w:r w:rsidR="0057253E" w:rsidRPr="00AE3920">
        <w:rPr>
          <w:noProof/>
        </w:rPr>
        <w:t>business relationship</w:t>
      </w:r>
      <w:r w:rsidR="00076F28" w:rsidRPr="00AE3920">
        <w:rPr>
          <w:noProof/>
        </w:rPr>
        <w:t>, either from the ESG rating provider itself or from</w:t>
      </w:r>
      <w:r w:rsidR="0057253E" w:rsidRPr="00AE3920">
        <w:rPr>
          <w:noProof/>
        </w:rPr>
        <w:t xml:space="preserve"> </w:t>
      </w:r>
      <w:r w:rsidR="00672E33" w:rsidRPr="00AE3920">
        <w:rPr>
          <w:noProof/>
        </w:rPr>
        <w:t>t</w:t>
      </w:r>
      <w:r w:rsidR="00DA1316" w:rsidRPr="00AE3920">
        <w:rPr>
          <w:noProof/>
        </w:rPr>
        <w:t>he</w:t>
      </w:r>
      <w:r w:rsidR="001857BA" w:rsidRPr="00AE3920">
        <w:rPr>
          <w:noProof/>
        </w:rPr>
        <w:t>ir</w:t>
      </w:r>
      <w:r w:rsidR="00DA1316" w:rsidRPr="00AE3920">
        <w:rPr>
          <w:noProof/>
        </w:rPr>
        <w:t xml:space="preserve"> </w:t>
      </w:r>
      <w:r w:rsidR="0057253E" w:rsidRPr="00AE3920">
        <w:rPr>
          <w:noProof/>
        </w:rPr>
        <w:t>shareholders, managers, rating analysts, employees or any other natural person whose services are placed at the disposal or under the control of the ESG rating provider</w:t>
      </w:r>
      <w:r w:rsidR="001857BA" w:rsidRPr="00AE3920">
        <w:rPr>
          <w:noProof/>
        </w:rPr>
        <w:t>s</w:t>
      </w:r>
      <w:r w:rsidR="0057253E" w:rsidRPr="00AE3920">
        <w:rPr>
          <w:noProof/>
        </w:rPr>
        <w:t xml:space="preserve">, or any person directly or indirectly linked to </w:t>
      </w:r>
      <w:r w:rsidR="001857BA" w:rsidRPr="00AE3920">
        <w:rPr>
          <w:noProof/>
        </w:rPr>
        <w:t xml:space="preserve">them </w:t>
      </w:r>
      <w:r w:rsidR="0057253E" w:rsidRPr="00AE3920">
        <w:rPr>
          <w:noProof/>
        </w:rPr>
        <w:t>by control.</w:t>
      </w:r>
    </w:p>
    <w:p w14:paraId="33BE12EC" w14:textId="2A9834E5" w:rsidR="008C67B0" w:rsidRPr="006A39BB" w:rsidRDefault="002A7F8C" w:rsidP="002A7F8C">
      <w:pPr>
        <w:pStyle w:val="ManualNumPar1"/>
        <w:rPr>
          <w:noProof/>
        </w:rPr>
      </w:pPr>
      <w:r w:rsidRPr="002A7F8C">
        <w:rPr>
          <w:noProof/>
        </w:rPr>
        <w:t>3.</w:t>
      </w:r>
      <w:r w:rsidRPr="002A7F8C">
        <w:rPr>
          <w:noProof/>
        </w:rPr>
        <w:tab/>
      </w:r>
      <w:r w:rsidR="008C67B0" w:rsidRPr="006A39BB">
        <w:rPr>
          <w:noProof/>
        </w:rPr>
        <w:t xml:space="preserve">Where </w:t>
      </w:r>
      <w:r w:rsidR="00E84DB0" w:rsidRPr="006A39BB">
        <w:rPr>
          <w:noProof/>
        </w:rPr>
        <w:t xml:space="preserve">there is a risk of </w:t>
      </w:r>
      <w:r w:rsidR="008C67B0" w:rsidRPr="006A39BB">
        <w:rPr>
          <w:noProof/>
        </w:rPr>
        <w:t xml:space="preserve">a conflict of interest within an ESG rating provider due to </w:t>
      </w:r>
      <w:r w:rsidR="00C10969">
        <w:rPr>
          <w:noProof/>
        </w:rPr>
        <w:t>the</w:t>
      </w:r>
      <w:r w:rsidR="008C67B0" w:rsidRPr="006A39BB">
        <w:rPr>
          <w:noProof/>
        </w:rPr>
        <w:t xml:space="preserve"> ownership structure, controlling interests</w:t>
      </w:r>
      <w:r w:rsidR="00C10969">
        <w:rPr>
          <w:noProof/>
        </w:rPr>
        <w:t>,</w:t>
      </w:r>
      <w:r w:rsidR="008C67B0" w:rsidRPr="006A39BB">
        <w:rPr>
          <w:noProof/>
        </w:rPr>
        <w:t xml:space="preserve"> </w:t>
      </w:r>
      <w:r w:rsidR="00C10969">
        <w:rPr>
          <w:noProof/>
        </w:rPr>
        <w:t xml:space="preserve">or </w:t>
      </w:r>
      <w:r w:rsidR="008C67B0" w:rsidRPr="006A39BB">
        <w:rPr>
          <w:noProof/>
        </w:rPr>
        <w:t xml:space="preserve">activities </w:t>
      </w:r>
      <w:r w:rsidR="00C10969">
        <w:rPr>
          <w:noProof/>
        </w:rPr>
        <w:t xml:space="preserve"> of that ESG rating provider, of</w:t>
      </w:r>
      <w:r w:rsidR="008C67B0" w:rsidRPr="006A39BB">
        <w:rPr>
          <w:noProof/>
        </w:rPr>
        <w:t xml:space="preserve"> any entity owning or controlling the </w:t>
      </w:r>
      <w:r w:rsidR="00472687" w:rsidRPr="006A39BB">
        <w:rPr>
          <w:noProof/>
        </w:rPr>
        <w:t>ESG rating provider</w:t>
      </w:r>
      <w:r w:rsidR="00C10969">
        <w:rPr>
          <w:noProof/>
        </w:rPr>
        <w:t>,</w:t>
      </w:r>
      <w:r w:rsidR="008C67B0" w:rsidRPr="006A39BB">
        <w:rPr>
          <w:noProof/>
        </w:rPr>
        <w:t xml:space="preserve"> </w:t>
      </w:r>
      <w:r w:rsidR="00C10969">
        <w:rPr>
          <w:noProof/>
        </w:rPr>
        <w:t>of</w:t>
      </w:r>
      <w:r w:rsidR="00C10969" w:rsidRPr="006A39BB">
        <w:rPr>
          <w:noProof/>
        </w:rPr>
        <w:t xml:space="preserve"> </w:t>
      </w:r>
      <w:r w:rsidR="008C67B0" w:rsidRPr="006A39BB">
        <w:rPr>
          <w:noProof/>
        </w:rPr>
        <w:t>an entity that is owned or controlled by the ESG rating provider</w:t>
      </w:r>
      <w:r w:rsidR="00C10969">
        <w:rPr>
          <w:noProof/>
        </w:rPr>
        <w:t>,</w:t>
      </w:r>
      <w:r w:rsidR="008C67B0" w:rsidRPr="006A39BB">
        <w:rPr>
          <w:noProof/>
        </w:rPr>
        <w:t xml:space="preserve"> or of </w:t>
      </w:r>
      <w:r w:rsidR="00C10969">
        <w:rPr>
          <w:noProof/>
        </w:rPr>
        <w:t xml:space="preserve">any </w:t>
      </w:r>
      <w:r w:rsidR="008C67B0" w:rsidRPr="006A39BB">
        <w:rPr>
          <w:noProof/>
        </w:rPr>
        <w:t xml:space="preserve">the ESG rating provider’s affiliates,  ESMA may require the ESG rating provider to </w:t>
      </w:r>
      <w:r w:rsidR="007E357A" w:rsidRPr="006A39BB">
        <w:rPr>
          <w:noProof/>
        </w:rPr>
        <w:t>take measures to mitigate th</w:t>
      </w:r>
      <w:r w:rsidR="00C10969">
        <w:rPr>
          <w:noProof/>
        </w:rPr>
        <w:t>at</w:t>
      </w:r>
      <w:r w:rsidR="007E357A" w:rsidRPr="006A39BB">
        <w:rPr>
          <w:noProof/>
        </w:rPr>
        <w:t xml:space="preserve"> risk</w:t>
      </w:r>
      <w:r w:rsidR="00540F40" w:rsidRPr="006A39BB">
        <w:rPr>
          <w:noProof/>
        </w:rPr>
        <w:t xml:space="preserve">. Such measures may include the </w:t>
      </w:r>
      <w:r w:rsidR="008C67B0" w:rsidRPr="006A39BB">
        <w:rPr>
          <w:noProof/>
        </w:rPr>
        <w:t>establish</w:t>
      </w:r>
      <w:r w:rsidR="00540F40" w:rsidRPr="006A39BB">
        <w:rPr>
          <w:noProof/>
        </w:rPr>
        <w:t>ment of</w:t>
      </w:r>
      <w:r w:rsidR="008C67B0" w:rsidRPr="006A39BB">
        <w:rPr>
          <w:noProof/>
        </w:rPr>
        <w:t xml:space="preserve"> an independent oversight function  represent</w:t>
      </w:r>
      <w:r w:rsidR="00C10969">
        <w:rPr>
          <w:noProof/>
        </w:rPr>
        <w:t>ing</w:t>
      </w:r>
      <w:r w:rsidR="008C67B0" w:rsidRPr="006A39BB">
        <w:rPr>
          <w:noProof/>
        </w:rPr>
        <w:t xml:space="preserve"> stakeholders, including users</w:t>
      </w:r>
      <w:r w:rsidR="00C10969">
        <w:rPr>
          <w:noProof/>
        </w:rPr>
        <w:t xml:space="preserve"> of the ESG ratings</w:t>
      </w:r>
      <w:r w:rsidR="008C67B0" w:rsidRPr="006A39BB">
        <w:rPr>
          <w:noProof/>
        </w:rPr>
        <w:t xml:space="preserve"> and contributors</w:t>
      </w:r>
      <w:r w:rsidR="00C10969">
        <w:rPr>
          <w:noProof/>
        </w:rPr>
        <w:t xml:space="preserve"> to such ratings, in a balanced manner</w:t>
      </w:r>
      <w:r w:rsidR="008C67B0" w:rsidRPr="006A39BB">
        <w:rPr>
          <w:noProof/>
        </w:rPr>
        <w:t>.</w:t>
      </w:r>
    </w:p>
    <w:p w14:paraId="1DE8A7F3" w14:textId="77777777" w:rsidR="008C67B0" w:rsidRPr="006A39BB" w:rsidRDefault="00FE2FC3" w:rsidP="00AE3920">
      <w:pPr>
        <w:rPr>
          <w:noProof/>
        </w:rPr>
      </w:pPr>
      <w:r w:rsidRPr="006A39BB">
        <w:rPr>
          <w:noProof/>
        </w:rPr>
        <w:t xml:space="preserve">Where </w:t>
      </w:r>
      <w:r w:rsidR="008C67B0" w:rsidRPr="006A39BB">
        <w:rPr>
          <w:noProof/>
        </w:rPr>
        <w:t xml:space="preserve">a conflict of interest </w:t>
      </w:r>
      <w:r w:rsidR="00823282" w:rsidRPr="006A39BB">
        <w:rPr>
          <w:noProof/>
        </w:rPr>
        <w:t xml:space="preserve">as referred to in the first subparagraph </w:t>
      </w:r>
      <w:r w:rsidR="008C67B0" w:rsidRPr="006A39BB">
        <w:rPr>
          <w:noProof/>
        </w:rPr>
        <w:t>cannot be adequately managed, ESMA may require the ESG rating provider to cease the activities or relationships that create the conflict of interest</w:t>
      </w:r>
      <w:r w:rsidR="00C10969">
        <w:rPr>
          <w:noProof/>
        </w:rPr>
        <w:t>,</w:t>
      </w:r>
      <w:r w:rsidR="008C67B0" w:rsidRPr="006A39BB">
        <w:rPr>
          <w:noProof/>
        </w:rPr>
        <w:t xml:space="preserve"> or </w:t>
      </w:r>
      <w:r w:rsidR="00C10969" w:rsidRPr="006A39BB">
        <w:rPr>
          <w:noProof/>
        </w:rPr>
        <w:t>may require the ESG rating provider</w:t>
      </w:r>
      <w:r w:rsidR="00C10969">
        <w:rPr>
          <w:noProof/>
        </w:rPr>
        <w:t xml:space="preserve"> to </w:t>
      </w:r>
      <w:r w:rsidR="008C67B0" w:rsidRPr="006A39BB">
        <w:rPr>
          <w:noProof/>
        </w:rPr>
        <w:t>cease providing the ESG rating</w:t>
      </w:r>
      <w:r w:rsidR="00C10969">
        <w:rPr>
          <w:noProof/>
        </w:rPr>
        <w:t>s</w:t>
      </w:r>
      <w:r w:rsidR="008C67B0" w:rsidRPr="006A39BB">
        <w:rPr>
          <w:noProof/>
        </w:rPr>
        <w:t>.</w:t>
      </w:r>
    </w:p>
    <w:p w14:paraId="017FE24F" w14:textId="69ACF0A1" w:rsidR="008C67B0" w:rsidRPr="00166F7F" w:rsidRDefault="002A7F8C" w:rsidP="002A7F8C">
      <w:pPr>
        <w:pStyle w:val="ManualNumPar1"/>
        <w:rPr>
          <w:noProof/>
        </w:rPr>
      </w:pPr>
      <w:r w:rsidRPr="002A7F8C">
        <w:rPr>
          <w:noProof/>
        </w:rPr>
        <w:t>4.</w:t>
      </w:r>
      <w:r w:rsidRPr="002A7F8C">
        <w:rPr>
          <w:noProof/>
        </w:rPr>
        <w:tab/>
      </w:r>
      <w:r w:rsidR="008C67B0" w:rsidRPr="00166F7F">
        <w:rPr>
          <w:noProof/>
        </w:rPr>
        <w:t>ESG rating provider</w:t>
      </w:r>
      <w:r w:rsidR="001857BA" w:rsidRPr="00166F7F">
        <w:rPr>
          <w:noProof/>
        </w:rPr>
        <w:t>s</w:t>
      </w:r>
      <w:r w:rsidR="008C67B0" w:rsidRPr="00166F7F">
        <w:rPr>
          <w:noProof/>
        </w:rPr>
        <w:t xml:space="preserve"> shall disclose </w:t>
      </w:r>
      <w:r w:rsidR="001C3BA5" w:rsidRPr="00166F7F">
        <w:rPr>
          <w:noProof/>
        </w:rPr>
        <w:t xml:space="preserve">to ESMA </w:t>
      </w:r>
      <w:r w:rsidR="008C67B0" w:rsidRPr="00166F7F">
        <w:rPr>
          <w:noProof/>
        </w:rPr>
        <w:t>all existing or potential conflicts of interest, including conflicts of interest arising from the ownership or control of the ESG rating provider</w:t>
      </w:r>
      <w:r w:rsidR="001857BA" w:rsidRPr="00166F7F">
        <w:rPr>
          <w:noProof/>
        </w:rPr>
        <w:t>s</w:t>
      </w:r>
      <w:r w:rsidR="008C67B0" w:rsidRPr="00166F7F">
        <w:rPr>
          <w:noProof/>
        </w:rPr>
        <w:t>.</w:t>
      </w:r>
    </w:p>
    <w:p w14:paraId="221999B0" w14:textId="4F617AB2" w:rsidR="008C67B0" w:rsidRPr="00166F7F" w:rsidRDefault="002A7F8C" w:rsidP="002A7F8C">
      <w:pPr>
        <w:pStyle w:val="ManualNumPar1"/>
        <w:rPr>
          <w:noProof/>
        </w:rPr>
      </w:pPr>
      <w:r w:rsidRPr="002A7F8C">
        <w:rPr>
          <w:noProof/>
        </w:rPr>
        <w:t>5.</w:t>
      </w:r>
      <w:r w:rsidRPr="002A7F8C">
        <w:rPr>
          <w:noProof/>
        </w:rPr>
        <w:tab/>
      </w:r>
      <w:r w:rsidR="008C67B0" w:rsidRPr="00166F7F">
        <w:rPr>
          <w:noProof/>
        </w:rPr>
        <w:t>ESG rating provider</w:t>
      </w:r>
      <w:r w:rsidR="00BF1B84" w:rsidRPr="00166F7F">
        <w:rPr>
          <w:noProof/>
        </w:rPr>
        <w:t>s</w:t>
      </w:r>
      <w:r w:rsidR="008C67B0" w:rsidRPr="00166F7F">
        <w:rPr>
          <w:noProof/>
        </w:rPr>
        <w:t xml:space="preserve"> shall establish and operate policies</w:t>
      </w:r>
      <w:r w:rsidR="00C853DE" w:rsidRPr="00166F7F">
        <w:rPr>
          <w:noProof/>
        </w:rPr>
        <w:t>,</w:t>
      </w:r>
      <w:r w:rsidR="008C67B0" w:rsidRPr="00166F7F">
        <w:rPr>
          <w:noProof/>
        </w:rPr>
        <w:t xml:space="preserve"> procedures, </w:t>
      </w:r>
      <w:r w:rsidR="00077FEC" w:rsidRPr="00166F7F">
        <w:rPr>
          <w:noProof/>
        </w:rPr>
        <w:t>and</w:t>
      </w:r>
      <w:r w:rsidR="008C67B0" w:rsidRPr="00166F7F">
        <w:rPr>
          <w:noProof/>
        </w:rPr>
        <w:t xml:space="preserve"> effective organisational arrangements for the identification, disclosure, prevention, management and mitigation of conflicts of interest</w:t>
      </w:r>
      <w:r w:rsidR="0044216C" w:rsidRPr="00166F7F">
        <w:rPr>
          <w:noProof/>
        </w:rPr>
        <w:t>.</w:t>
      </w:r>
      <w:r w:rsidR="008C67B0" w:rsidRPr="00166F7F">
        <w:rPr>
          <w:noProof/>
        </w:rPr>
        <w:t xml:space="preserve"> </w:t>
      </w:r>
      <w:r w:rsidR="00253D34" w:rsidRPr="00166F7F">
        <w:rPr>
          <w:noProof/>
        </w:rPr>
        <w:t xml:space="preserve">ESG rating providers shall regularly review and update those </w:t>
      </w:r>
      <w:r w:rsidR="008C67B0" w:rsidRPr="00166F7F">
        <w:rPr>
          <w:noProof/>
        </w:rPr>
        <w:t>policies</w:t>
      </w:r>
      <w:r w:rsidR="00773AEA" w:rsidRPr="00166F7F">
        <w:rPr>
          <w:noProof/>
        </w:rPr>
        <w:t xml:space="preserve">, </w:t>
      </w:r>
      <w:r w:rsidR="008C67B0" w:rsidRPr="00166F7F">
        <w:rPr>
          <w:noProof/>
        </w:rPr>
        <w:t xml:space="preserve">procedures </w:t>
      </w:r>
      <w:r w:rsidR="00773AEA" w:rsidRPr="00166F7F">
        <w:rPr>
          <w:noProof/>
        </w:rPr>
        <w:t>and arrangements</w:t>
      </w:r>
      <w:r w:rsidR="008C67B0" w:rsidRPr="00166F7F">
        <w:rPr>
          <w:noProof/>
        </w:rPr>
        <w:t xml:space="preserve">. </w:t>
      </w:r>
      <w:r w:rsidR="00633024" w:rsidRPr="00166F7F">
        <w:rPr>
          <w:noProof/>
        </w:rPr>
        <w:t xml:space="preserve">Those </w:t>
      </w:r>
      <w:r w:rsidR="008C67B0" w:rsidRPr="00166F7F">
        <w:rPr>
          <w:noProof/>
        </w:rPr>
        <w:t>policies</w:t>
      </w:r>
      <w:r w:rsidR="00395002" w:rsidRPr="00166F7F">
        <w:rPr>
          <w:noProof/>
        </w:rPr>
        <w:t>,</w:t>
      </w:r>
      <w:r w:rsidR="008C67B0" w:rsidRPr="00166F7F">
        <w:rPr>
          <w:noProof/>
        </w:rPr>
        <w:t xml:space="preserve"> procedures </w:t>
      </w:r>
      <w:r w:rsidR="00395002" w:rsidRPr="00166F7F">
        <w:rPr>
          <w:noProof/>
        </w:rPr>
        <w:t xml:space="preserve">and arrangements </w:t>
      </w:r>
      <w:r w:rsidR="008C67B0" w:rsidRPr="00166F7F">
        <w:rPr>
          <w:noProof/>
        </w:rPr>
        <w:t xml:space="preserve">shall specifically </w:t>
      </w:r>
      <w:r w:rsidR="00CF051B" w:rsidRPr="00166F7F">
        <w:rPr>
          <w:noProof/>
        </w:rPr>
        <w:t xml:space="preserve">prevent, manage and </w:t>
      </w:r>
      <w:r w:rsidR="008C67B0" w:rsidRPr="00166F7F">
        <w:rPr>
          <w:noProof/>
        </w:rPr>
        <w:t>mitigate conflicts of interest due to the ESG rating provider’s ownership or control or due to other interests in the ESG rating provider’s group</w:t>
      </w:r>
      <w:r w:rsidR="00D84072" w:rsidRPr="00166F7F">
        <w:rPr>
          <w:noProof/>
        </w:rPr>
        <w:t>, or conflicts of interest that</w:t>
      </w:r>
      <w:r w:rsidR="008C67B0" w:rsidRPr="00166F7F">
        <w:rPr>
          <w:noProof/>
        </w:rPr>
        <w:t xml:space="preserve"> </w:t>
      </w:r>
      <w:r w:rsidR="00D84072" w:rsidRPr="00166F7F">
        <w:rPr>
          <w:noProof/>
        </w:rPr>
        <w:t>are caused by</w:t>
      </w:r>
      <w:r w:rsidR="008C67B0" w:rsidRPr="00166F7F">
        <w:rPr>
          <w:noProof/>
        </w:rPr>
        <w:t xml:space="preserve"> other persons that exercise influence or control over the ESG rating provider in relation to determining the ESG rating.</w:t>
      </w:r>
    </w:p>
    <w:p w14:paraId="4B29B620" w14:textId="38F2A2EF" w:rsidR="00BF1B84" w:rsidRPr="00166F7F" w:rsidRDefault="002A7F8C" w:rsidP="002A7F8C">
      <w:pPr>
        <w:pStyle w:val="ManualNumPar1"/>
        <w:rPr>
          <w:noProof/>
        </w:rPr>
      </w:pPr>
      <w:r w:rsidRPr="002A7F8C">
        <w:rPr>
          <w:noProof/>
        </w:rPr>
        <w:t>6.</w:t>
      </w:r>
      <w:r w:rsidRPr="002A7F8C">
        <w:rPr>
          <w:noProof/>
        </w:rPr>
        <w:tab/>
      </w:r>
      <w:r w:rsidR="00BF1B84" w:rsidRPr="00166F7F">
        <w:rPr>
          <w:noProof/>
        </w:rPr>
        <w:t>ESG rating providers shall review their operations to id</w:t>
      </w:r>
      <w:r w:rsidR="007D2D97" w:rsidRPr="00166F7F">
        <w:rPr>
          <w:noProof/>
        </w:rPr>
        <w:t xml:space="preserve">entify potential conflicts of interests at least </w:t>
      </w:r>
      <w:r w:rsidR="00470CC7" w:rsidRPr="00166F7F">
        <w:rPr>
          <w:noProof/>
        </w:rPr>
        <w:t xml:space="preserve">each </w:t>
      </w:r>
      <w:r w:rsidR="00D80A3A" w:rsidRPr="00166F7F">
        <w:rPr>
          <w:noProof/>
        </w:rPr>
        <w:t>year</w:t>
      </w:r>
      <w:r w:rsidR="007D2D97" w:rsidRPr="00166F7F">
        <w:rPr>
          <w:noProof/>
        </w:rPr>
        <w:t>.</w:t>
      </w:r>
    </w:p>
    <w:p w14:paraId="1A3CD004" w14:textId="77777777" w:rsidR="00854F58" w:rsidRPr="00AE3920" w:rsidRDefault="00854F58" w:rsidP="00AE3920">
      <w:pPr>
        <w:pStyle w:val="Titrearticle"/>
        <w:spacing w:line="23" w:lineRule="atLeast"/>
        <w:rPr>
          <w:noProof/>
          <w:szCs w:val="24"/>
        </w:rPr>
      </w:pPr>
      <w:r w:rsidRPr="00AE3920">
        <w:rPr>
          <w:noProof/>
          <w:szCs w:val="24"/>
        </w:rPr>
        <w:t xml:space="preserve">Article </w:t>
      </w:r>
      <w:r w:rsidR="00211A8E" w:rsidRPr="00AE3920">
        <w:rPr>
          <w:noProof/>
          <w:szCs w:val="24"/>
        </w:rPr>
        <w:t>24</w:t>
      </w:r>
    </w:p>
    <w:p w14:paraId="2A04F848" w14:textId="77777777" w:rsidR="00854F58" w:rsidRPr="00AE3920" w:rsidRDefault="00854F58" w:rsidP="00AE3920">
      <w:pPr>
        <w:pStyle w:val="NormalCentered"/>
        <w:rPr>
          <w:b/>
          <w:bCs/>
          <w:noProof/>
          <w:lang w:eastAsia="en-IE"/>
        </w:rPr>
      </w:pPr>
      <w:r w:rsidRPr="00AE3920">
        <w:rPr>
          <w:b/>
          <w:bCs/>
          <w:noProof/>
          <w:lang w:eastAsia="en-IE"/>
        </w:rPr>
        <w:t>Management of potential conflicts of interests from employees</w:t>
      </w:r>
    </w:p>
    <w:p w14:paraId="1BB598EE" w14:textId="35AC9591" w:rsidR="00854F58" w:rsidRPr="006A39BB" w:rsidRDefault="002A7F8C" w:rsidP="002A7F8C">
      <w:pPr>
        <w:pStyle w:val="ManualNumPar1"/>
        <w:rPr>
          <w:noProof/>
        </w:rPr>
      </w:pPr>
      <w:r w:rsidRPr="002A7F8C">
        <w:rPr>
          <w:noProof/>
        </w:rPr>
        <w:t>1.</w:t>
      </w:r>
      <w:r w:rsidRPr="002A7F8C">
        <w:rPr>
          <w:noProof/>
        </w:rPr>
        <w:tab/>
      </w:r>
      <w:r w:rsidR="00854F58" w:rsidRPr="006A39BB">
        <w:rPr>
          <w:noProof/>
        </w:rPr>
        <w:t>ESG rating providers shall ensure that their employees and any other natural persons whose services are placed at their disposal or under their control and who are directly involved in the provision of an ESG rating:</w:t>
      </w:r>
    </w:p>
    <w:p w14:paraId="20B8B3D6" w14:textId="71787850" w:rsidR="00854F58" w:rsidRPr="006A39BB" w:rsidRDefault="002A7F8C" w:rsidP="002A7F8C">
      <w:pPr>
        <w:pStyle w:val="Point1"/>
        <w:rPr>
          <w:noProof/>
        </w:rPr>
      </w:pPr>
      <w:r w:rsidRPr="002A7F8C">
        <w:rPr>
          <w:noProof/>
        </w:rPr>
        <w:t>(a)</w:t>
      </w:r>
      <w:r w:rsidRPr="002A7F8C">
        <w:rPr>
          <w:noProof/>
        </w:rPr>
        <w:tab/>
      </w:r>
      <w:r w:rsidR="00854F58" w:rsidRPr="006A39BB">
        <w:rPr>
          <w:noProof/>
        </w:rPr>
        <w:t>have the skills</w:t>
      </w:r>
      <w:r w:rsidR="00D84072">
        <w:rPr>
          <w:noProof/>
        </w:rPr>
        <w:t xml:space="preserve"> that are necessary for performing their tasks and duties</w:t>
      </w:r>
      <w:r w:rsidR="00854F58" w:rsidRPr="006A39BB">
        <w:rPr>
          <w:noProof/>
        </w:rPr>
        <w:t xml:space="preserve"> and are subject to effective management and supervision;</w:t>
      </w:r>
    </w:p>
    <w:p w14:paraId="68D7D642" w14:textId="798B563E" w:rsidR="00D84072" w:rsidRDefault="002A7F8C" w:rsidP="002A7F8C">
      <w:pPr>
        <w:pStyle w:val="Point1"/>
        <w:rPr>
          <w:noProof/>
        </w:rPr>
      </w:pPr>
      <w:r w:rsidRPr="002A7F8C">
        <w:rPr>
          <w:noProof/>
        </w:rPr>
        <w:t>(b)</w:t>
      </w:r>
      <w:r w:rsidRPr="002A7F8C">
        <w:rPr>
          <w:noProof/>
        </w:rPr>
        <w:tab/>
      </w:r>
      <w:r w:rsidR="00854F58" w:rsidRPr="006A39BB">
        <w:rPr>
          <w:noProof/>
        </w:rPr>
        <w:t>are not subject to undue influence or conflicts of interest</w:t>
      </w:r>
      <w:r w:rsidR="00D84072">
        <w:rPr>
          <w:noProof/>
        </w:rPr>
        <w:t>;</w:t>
      </w:r>
    </w:p>
    <w:p w14:paraId="3B4380B0" w14:textId="13D550D9" w:rsidR="00854F58" w:rsidRPr="006A39BB" w:rsidRDefault="002A7F8C" w:rsidP="002A7F8C">
      <w:pPr>
        <w:pStyle w:val="Point1"/>
        <w:rPr>
          <w:noProof/>
        </w:rPr>
      </w:pPr>
      <w:r w:rsidRPr="002A7F8C">
        <w:rPr>
          <w:noProof/>
        </w:rPr>
        <w:t>(c)</w:t>
      </w:r>
      <w:r w:rsidRPr="002A7F8C">
        <w:rPr>
          <w:noProof/>
        </w:rPr>
        <w:tab/>
      </w:r>
      <w:r w:rsidR="00854F58" w:rsidRPr="006A39BB">
        <w:rPr>
          <w:noProof/>
        </w:rPr>
        <w:t xml:space="preserve"> that the compensation and performance evaluation of those persons do not create conflicts of interest or otherwise impinge upon the integrity of the ESG rating determination process;</w:t>
      </w:r>
    </w:p>
    <w:p w14:paraId="27ACAA31" w14:textId="73A17368" w:rsidR="00854F58" w:rsidRPr="006A39BB" w:rsidRDefault="002A7F8C" w:rsidP="002A7F8C">
      <w:pPr>
        <w:pStyle w:val="Point1"/>
        <w:rPr>
          <w:noProof/>
        </w:rPr>
      </w:pPr>
      <w:r w:rsidRPr="002A7F8C">
        <w:rPr>
          <w:noProof/>
        </w:rPr>
        <w:t>(d)</w:t>
      </w:r>
      <w:r w:rsidRPr="002A7F8C">
        <w:rPr>
          <w:noProof/>
        </w:rPr>
        <w:tab/>
      </w:r>
      <w:r w:rsidR="00854F58" w:rsidRPr="006A39BB">
        <w:rPr>
          <w:noProof/>
        </w:rPr>
        <w:t>do not have any interests or business connections that compromise the activities of the ESG rating</w:t>
      </w:r>
      <w:r w:rsidR="00176811" w:rsidRPr="006A39BB">
        <w:rPr>
          <w:noProof/>
        </w:rPr>
        <w:t xml:space="preserve"> provider</w:t>
      </w:r>
      <w:r w:rsidR="00854F58" w:rsidRPr="006A39BB">
        <w:rPr>
          <w:noProof/>
        </w:rPr>
        <w:t>;</w:t>
      </w:r>
    </w:p>
    <w:p w14:paraId="2609F3DE" w14:textId="73433050" w:rsidR="00854F58" w:rsidRPr="006A39BB" w:rsidRDefault="002A7F8C" w:rsidP="002A7F8C">
      <w:pPr>
        <w:pStyle w:val="Point1"/>
        <w:rPr>
          <w:noProof/>
        </w:rPr>
      </w:pPr>
      <w:r w:rsidRPr="002A7F8C">
        <w:rPr>
          <w:noProof/>
        </w:rPr>
        <w:t>(e)</w:t>
      </w:r>
      <w:r w:rsidRPr="002A7F8C">
        <w:rPr>
          <w:noProof/>
        </w:rPr>
        <w:tab/>
      </w:r>
      <w:r w:rsidR="00854F58" w:rsidRPr="006A39BB">
        <w:rPr>
          <w:noProof/>
        </w:rPr>
        <w:t>are prohibited from contributing to an ESG rating determination by way of engaging in bids, offers and trades on a personal basis or on behalf of market participants, except where such contribution is explicitly required as part of the ESG rating methodology and is subject to specific rules</w:t>
      </w:r>
      <w:r w:rsidR="00D84072">
        <w:rPr>
          <w:noProof/>
        </w:rPr>
        <w:t xml:space="preserve"> laid down</w:t>
      </w:r>
      <w:r w:rsidR="00854F58" w:rsidRPr="006A39BB">
        <w:rPr>
          <w:noProof/>
        </w:rPr>
        <w:t xml:space="preserve"> therein;</w:t>
      </w:r>
    </w:p>
    <w:p w14:paraId="66DD4BDC" w14:textId="7D02E61F" w:rsidR="00854F58" w:rsidRPr="006A39BB" w:rsidRDefault="002A7F8C" w:rsidP="002A7F8C">
      <w:pPr>
        <w:pStyle w:val="Point1"/>
        <w:rPr>
          <w:noProof/>
        </w:rPr>
      </w:pPr>
      <w:r w:rsidRPr="002A7F8C">
        <w:rPr>
          <w:noProof/>
        </w:rPr>
        <w:t>(f)</w:t>
      </w:r>
      <w:r w:rsidRPr="002A7F8C">
        <w:rPr>
          <w:noProof/>
        </w:rPr>
        <w:tab/>
      </w:r>
      <w:r w:rsidR="00854F58" w:rsidRPr="006A39BB">
        <w:rPr>
          <w:noProof/>
        </w:rPr>
        <w:t>are subject to effective procedures to control the exchange of information with other employees involved in activities that may create a risk of conflicts of interest or with third parties, where that information may affect the ESG rating.</w:t>
      </w:r>
    </w:p>
    <w:p w14:paraId="52B42A50" w14:textId="5437D568" w:rsidR="00842C2A" w:rsidRPr="006A39BB" w:rsidRDefault="002A7F8C" w:rsidP="002A7F8C">
      <w:pPr>
        <w:pStyle w:val="ManualNumPar1"/>
        <w:rPr>
          <w:noProof/>
        </w:rPr>
      </w:pPr>
      <w:r w:rsidRPr="002A7F8C">
        <w:rPr>
          <w:noProof/>
        </w:rPr>
        <w:t>2.</w:t>
      </w:r>
      <w:r w:rsidRPr="002A7F8C">
        <w:rPr>
          <w:noProof/>
        </w:rPr>
        <w:tab/>
      </w:r>
      <w:r w:rsidR="00C63A1D" w:rsidRPr="006A39BB">
        <w:rPr>
          <w:noProof/>
        </w:rPr>
        <w:t>E</w:t>
      </w:r>
      <w:r w:rsidR="00854F58" w:rsidRPr="006A39BB">
        <w:rPr>
          <w:noProof/>
        </w:rPr>
        <w:t>SG rating provider</w:t>
      </w:r>
      <w:r w:rsidR="00C63A1D" w:rsidRPr="006A39BB">
        <w:rPr>
          <w:noProof/>
        </w:rPr>
        <w:t>s</w:t>
      </w:r>
      <w:r w:rsidR="00854F58" w:rsidRPr="006A39BB">
        <w:rPr>
          <w:noProof/>
        </w:rPr>
        <w:t xml:space="preserve"> shall establish specific internal control procedures to ensure the integrity and reliability of the employee or person determining the ESG rating, including internal sign-off by management before the dissemination of the ESG rating</w:t>
      </w:r>
      <w:r w:rsidR="00C63A1D" w:rsidRPr="006A39BB">
        <w:rPr>
          <w:noProof/>
        </w:rPr>
        <w:t>.</w:t>
      </w:r>
    </w:p>
    <w:p w14:paraId="64C80E69" w14:textId="77777777" w:rsidR="001F5774" w:rsidRPr="00AE3920" w:rsidRDefault="001F5774" w:rsidP="00AE3920">
      <w:pPr>
        <w:pStyle w:val="Titrearticle"/>
        <w:spacing w:line="23" w:lineRule="atLeast"/>
        <w:rPr>
          <w:noProof/>
          <w:szCs w:val="24"/>
        </w:rPr>
      </w:pPr>
      <w:r w:rsidRPr="00AE3920">
        <w:rPr>
          <w:noProof/>
          <w:szCs w:val="24"/>
        </w:rPr>
        <w:t xml:space="preserve">Article </w:t>
      </w:r>
      <w:r w:rsidR="00211A8E" w:rsidRPr="00AE3920">
        <w:rPr>
          <w:noProof/>
          <w:szCs w:val="24"/>
        </w:rPr>
        <w:t>25</w:t>
      </w:r>
    </w:p>
    <w:p w14:paraId="69DDB9B1" w14:textId="77777777" w:rsidR="001F5774" w:rsidRPr="00AE3920" w:rsidRDefault="001F5774" w:rsidP="00AE3920">
      <w:pPr>
        <w:pStyle w:val="NormalCentered"/>
        <w:rPr>
          <w:b/>
          <w:bCs/>
          <w:noProof/>
          <w:lang w:eastAsia="en-IE"/>
        </w:rPr>
      </w:pPr>
      <w:r w:rsidRPr="00AE3920">
        <w:rPr>
          <w:b/>
          <w:bCs/>
          <w:noProof/>
          <w:lang w:eastAsia="en-IE"/>
        </w:rPr>
        <w:t>Fair, reasonable, transparent and non-discriminatory treatment of users of ESG ratings</w:t>
      </w:r>
    </w:p>
    <w:p w14:paraId="7A29BC8D" w14:textId="58A8A8DB" w:rsidR="001F5774" w:rsidRPr="00166F7F" w:rsidRDefault="002A7F8C" w:rsidP="002A7F8C">
      <w:pPr>
        <w:pStyle w:val="ManualNumPar1"/>
        <w:rPr>
          <w:noProof/>
        </w:rPr>
      </w:pPr>
      <w:r w:rsidRPr="002A7F8C">
        <w:rPr>
          <w:noProof/>
        </w:rPr>
        <w:t>1.</w:t>
      </w:r>
      <w:r w:rsidRPr="002A7F8C">
        <w:rPr>
          <w:noProof/>
        </w:rPr>
        <w:tab/>
      </w:r>
      <w:r w:rsidR="001F5774" w:rsidRPr="00166F7F">
        <w:rPr>
          <w:noProof/>
        </w:rPr>
        <w:t xml:space="preserve">ESG rating providers shall take steps </w:t>
      </w:r>
      <w:r w:rsidR="00FB4CB0" w:rsidRPr="00166F7F">
        <w:rPr>
          <w:noProof/>
        </w:rPr>
        <w:t xml:space="preserve">that are adequate </w:t>
      </w:r>
      <w:r w:rsidR="001F5774" w:rsidRPr="00166F7F">
        <w:rPr>
          <w:noProof/>
        </w:rPr>
        <w:t xml:space="preserve">to ensure that fees charged to clients are fair, reasonable, transparent, non-discriminatory and </w:t>
      </w:r>
      <w:r w:rsidR="00F756E9" w:rsidRPr="00166F7F">
        <w:rPr>
          <w:noProof/>
        </w:rPr>
        <w:t xml:space="preserve">are based on </w:t>
      </w:r>
      <w:r w:rsidR="001F5774" w:rsidRPr="00166F7F">
        <w:rPr>
          <w:noProof/>
        </w:rPr>
        <w:t>costs</w:t>
      </w:r>
      <w:r w:rsidR="006A16E6" w:rsidRPr="00166F7F">
        <w:rPr>
          <w:noProof/>
        </w:rPr>
        <w:t>.</w:t>
      </w:r>
    </w:p>
    <w:p w14:paraId="2E3353BA" w14:textId="757CE66B" w:rsidR="001F5774" w:rsidRPr="00AE3920" w:rsidRDefault="002A7F8C" w:rsidP="002A7F8C">
      <w:pPr>
        <w:pStyle w:val="ManualNumPar1"/>
        <w:rPr>
          <w:noProof/>
        </w:rPr>
      </w:pPr>
      <w:r w:rsidRPr="002A7F8C">
        <w:rPr>
          <w:noProof/>
        </w:rPr>
        <w:t>2.</w:t>
      </w:r>
      <w:r w:rsidRPr="002A7F8C">
        <w:rPr>
          <w:noProof/>
        </w:rPr>
        <w:tab/>
      </w:r>
      <w:r w:rsidR="001F5774" w:rsidRPr="00AE3920">
        <w:rPr>
          <w:noProof/>
        </w:rPr>
        <w:t>For the purpose</w:t>
      </w:r>
      <w:r w:rsidR="00FB4CB0" w:rsidRPr="00AE3920">
        <w:rPr>
          <w:noProof/>
        </w:rPr>
        <w:t>s</w:t>
      </w:r>
      <w:r w:rsidR="001F5774" w:rsidRPr="00AE3920">
        <w:rPr>
          <w:noProof/>
        </w:rPr>
        <w:t xml:space="preserve"> of </w:t>
      </w:r>
      <w:r w:rsidR="006A39BB" w:rsidRPr="00AE3920">
        <w:rPr>
          <w:noProof/>
        </w:rPr>
        <w:t>paragraph 1</w:t>
      </w:r>
      <w:r w:rsidR="001F5774" w:rsidRPr="00AE3920">
        <w:rPr>
          <w:noProof/>
        </w:rPr>
        <w:t xml:space="preserve">, ESMA </w:t>
      </w:r>
      <w:r w:rsidR="00FB4CB0" w:rsidRPr="00AE3920">
        <w:rPr>
          <w:noProof/>
        </w:rPr>
        <w:t>may</w:t>
      </w:r>
      <w:r w:rsidR="001F5774" w:rsidRPr="00AE3920">
        <w:rPr>
          <w:noProof/>
        </w:rPr>
        <w:t xml:space="preserve"> require </w:t>
      </w:r>
      <w:r w:rsidR="00FB4CB0" w:rsidRPr="00AE3920">
        <w:rPr>
          <w:noProof/>
        </w:rPr>
        <w:t xml:space="preserve">ESG rating providers to provide it with </w:t>
      </w:r>
      <w:r w:rsidR="001F5774" w:rsidRPr="00AE3920">
        <w:rPr>
          <w:noProof/>
        </w:rPr>
        <w:t>documented evidence</w:t>
      </w:r>
      <w:r w:rsidR="00FB4CB0" w:rsidRPr="00AE3920">
        <w:rPr>
          <w:noProof/>
        </w:rPr>
        <w:t>,</w:t>
      </w:r>
      <w:r w:rsidR="001F5774" w:rsidRPr="00AE3920">
        <w:rPr>
          <w:noProof/>
        </w:rPr>
        <w:t xml:space="preserve"> </w:t>
      </w:r>
      <w:r w:rsidR="00FB4CB0" w:rsidRPr="00AE3920">
        <w:rPr>
          <w:noProof/>
        </w:rPr>
        <w:t xml:space="preserve">may </w:t>
      </w:r>
      <w:r w:rsidR="001F5774" w:rsidRPr="00AE3920">
        <w:rPr>
          <w:noProof/>
        </w:rPr>
        <w:t xml:space="preserve">take supervisory measures in accordance with Article </w:t>
      </w:r>
      <w:r w:rsidR="009A4B05" w:rsidRPr="00AE3920">
        <w:rPr>
          <w:noProof/>
        </w:rPr>
        <w:t>33</w:t>
      </w:r>
      <w:r w:rsidR="00FB4CB0" w:rsidRPr="00AE3920">
        <w:rPr>
          <w:noProof/>
        </w:rPr>
        <w:t>,</w:t>
      </w:r>
      <w:r w:rsidR="009A4B05" w:rsidRPr="00AE3920">
        <w:rPr>
          <w:noProof/>
        </w:rPr>
        <w:t xml:space="preserve"> </w:t>
      </w:r>
      <w:r w:rsidR="007426FC" w:rsidRPr="00AE3920">
        <w:rPr>
          <w:noProof/>
        </w:rPr>
        <w:t xml:space="preserve">and </w:t>
      </w:r>
      <w:r w:rsidR="00FB4CB0" w:rsidRPr="00AE3920">
        <w:rPr>
          <w:noProof/>
        </w:rPr>
        <w:t xml:space="preserve">may decide to impose </w:t>
      </w:r>
      <w:r w:rsidR="007426FC" w:rsidRPr="00AE3920">
        <w:rPr>
          <w:noProof/>
        </w:rPr>
        <w:t>fines in accordance with Article 3</w:t>
      </w:r>
      <w:r w:rsidR="009A4B05" w:rsidRPr="00AE3920">
        <w:rPr>
          <w:noProof/>
        </w:rPr>
        <w:t>4</w:t>
      </w:r>
      <w:r w:rsidR="007426FC" w:rsidRPr="00AE3920">
        <w:rPr>
          <w:noProof/>
        </w:rPr>
        <w:t xml:space="preserve"> </w:t>
      </w:r>
      <w:r w:rsidR="001F5774" w:rsidRPr="00AE3920">
        <w:rPr>
          <w:noProof/>
        </w:rPr>
        <w:t xml:space="preserve">where it finds that fees from ESG rating providers are not </w:t>
      </w:r>
      <w:r w:rsidR="00EF30B2" w:rsidRPr="00AE3920">
        <w:rPr>
          <w:noProof/>
        </w:rPr>
        <w:t xml:space="preserve">fair, reasonable, transparent, non-discriminatory and </w:t>
      </w:r>
      <w:r w:rsidR="008947FF" w:rsidRPr="00AE3920">
        <w:rPr>
          <w:noProof/>
        </w:rPr>
        <w:t xml:space="preserve">not based on actual </w:t>
      </w:r>
      <w:r w:rsidR="00EF30B2" w:rsidRPr="00AE3920">
        <w:rPr>
          <w:noProof/>
        </w:rPr>
        <w:t>costs</w:t>
      </w:r>
      <w:r w:rsidR="001F5774" w:rsidRPr="00AE3920">
        <w:rPr>
          <w:noProof/>
        </w:rPr>
        <w:t>.</w:t>
      </w:r>
    </w:p>
    <w:p w14:paraId="021FCCA2" w14:textId="77777777" w:rsidR="002A1E40" w:rsidRPr="00AE3920" w:rsidRDefault="002A1E40" w:rsidP="00AE3920">
      <w:pPr>
        <w:pStyle w:val="NormalCentered"/>
        <w:rPr>
          <w:noProof/>
        </w:rPr>
      </w:pPr>
      <w:r w:rsidRPr="00AE3920">
        <w:rPr>
          <w:noProof/>
        </w:rPr>
        <w:t xml:space="preserve">CHAPTER </w:t>
      </w:r>
      <w:r w:rsidR="00FB4CB0" w:rsidRPr="00AE3920">
        <w:rPr>
          <w:noProof/>
        </w:rPr>
        <w:t>4</w:t>
      </w:r>
    </w:p>
    <w:p w14:paraId="18FA0FF6" w14:textId="77777777" w:rsidR="002A1E40" w:rsidRPr="00AE3920" w:rsidRDefault="002A1E40" w:rsidP="00AE3920">
      <w:pPr>
        <w:pStyle w:val="NormalCentered"/>
        <w:rPr>
          <w:rStyle w:val="italics"/>
          <w:b/>
          <w:bCs/>
          <w:noProof/>
        </w:rPr>
      </w:pPr>
      <w:r w:rsidRPr="00AE3920">
        <w:rPr>
          <w:rStyle w:val="italics"/>
          <w:b/>
          <w:bCs/>
          <w:noProof/>
        </w:rPr>
        <w:t>Supervision by ESMA</w:t>
      </w:r>
    </w:p>
    <w:p w14:paraId="4C43112F" w14:textId="77777777" w:rsidR="00F3549F" w:rsidRPr="00AE3920" w:rsidRDefault="00F3549F" w:rsidP="00D30117">
      <w:pPr>
        <w:pStyle w:val="NormalCentered"/>
        <w:rPr>
          <w:noProof/>
        </w:rPr>
      </w:pPr>
      <w:r w:rsidRPr="00AE3920">
        <w:rPr>
          <w:noProof/>
        </w:rPr>
        <w:t>Section 1</w:t>
      </w:r>
    </w:p>
    <w:p w14:paraId="43F70720" w14:textId="77777777" w:rsidR="00D30117" w:rsidRPr="00D30117" w:rsidRDefault="00D30117" w:rsidP="00D30117">
      <w:pPr>
        <w:pStyle w:val="NormalCentered"/>
        <w:rPr>
          <w:b/>
          <w:bCs/>
          <w:noProof/>
          <w:lang w:eastAsia="en-IE"/>
        </w:rPr>
      </w:pPr>
      <w:r w:rsidRPr="00D30117">
        <w:rPr>
          <w:b/>
          <w:bCs/>
          <w:noProof/>
          <w:lang w:eastAsia="en-IE"/>
        </w:rPr>
        <w:t>General principles</w:t>
      </w:r>
    </w:p>
    <w:p w14:paraId="76D9224D" w14:textId="77777777" w:rsidR="00EC7BC1" w:rsidRPr="00D30117" w:rsidRDefault="00EC7BC1" w:rsidP="00D30117">
      <w:pPr>
        <w:pStyle w:val="Titrearticle"/>
        <w:spacing w:line="23" w:lineRule="atLeast"/>
        <w:rPr>
          <w:noProof/>
          <w:szCs w:val="24"/>
        </w:rPr>
      </w:pPr>
      <w:r w:rsidRPr="00D30117">
        <w:rPr>
          <w:noProof/>
          <w:szCs w:val="24"/>
        </w:rPr>
        <w:t xml:space="preserve">Article 26 </w:t>
      </w:r>
    </w:p>
    <w:p w14:paraId="0305CF59" w14:textId="77777777" w:rsidR="00315E45" w:rsidRPr="00D30117" w:rsidRDefault="7E622CAA" w:rsidP="00D30117">
      <w:pPr>
        <w:pStyle w:val="NormalCentered"/>
        <w:rPr>
          <w:b/>
          <w:bCs/>
          <w:noProof/>
          <w:lang w:eastAsia="en-IE"/>
        </w:rPr>
      </w:pPr>
      <w:r w:rsidRPr="00D30117">
        <w:rPr>
          <w:b/>
          <w:bCs/>
          <w:noProof/>
          <w:lang w:eastAsia="en-IE"/>
        </w:rPr>
        <w:t xml:space="preserve">Non-interference with </w:t>
      </w:r>
      <w:r w:rsidR="00FB4CB0" w:rsidRPr="00D30117">
        <w:rPr>
          <w:b/>
          <w:bCs/>
          <w:noProof/>
          <w:lang w:eastAsia="en-IE"/>
        </w:rPr>
        <w:t xml:space="preserve">the </w:t>
      </w:r>
      <w:r w:rsidRPr="00D30117">
        <w:rPr>
          <w:b/>
          <w:bCs/>
          <w:noProof/>
          <w:lang w:eastAsia="en-IE"/>
        </w:rPr>
        <w:t>content of ratings or methodologies</w:t>
      </w:r>
    </w:p>
    <w:p w14:paraId="10F0480D" w14:textId="77777777" w:rsidR="00315E45" w:rsidRPr="006A39BB" w:rsidRDefault="00315E45" w:rsidP="00D30117">
      <w:pPr>
        <w:rPr>
          <w:noProof/>
        </w:rPr>
      </w:pPr>
      <w:r w:rsidRPr="006A39BB">
        <w:rPr>
          <w:noProof/>
        </w:rPr>
        <w:t>In carrying out their duties under this Regulation, ESMA, the Commission or any public authorities of a Member State shall not interfere with the content of ESG ratings or methodologies.</w:t>
      </w:r>
    </w:p>
    <w:p w14:paraId="6D08CF79" w14:textId="77777777" w:rsidR="00C97940" w:rsidRPr="00D30117" w:rsidRDefault="30E567D8" w:rsidP="00D30117">
      <w:pPr>
        <w:pStyle w:val="Titrearticle"/>
        <w:spacing w:line="23" w:lineRule="atLeast"/>
        <w:rPr>
          <w:noProof/>
          <w:szCs w:val="24"/>
        </w:rPr>
      </w:pPr>
      <w:r w:rsidRPr="00D30117">
        <w:rPr>
          <w:noProof/>
          <w:szCs w:val="24"/>
        </w:rPr>
        <w:t xml:space="preserve">Article </w:t>
      </w:r>
      <w:r w:rsidR="00816503" w:rsidRPr="00D30117">
        <w:rPr>
          <w:noProof/>
          <w:szCs w:val="24"/>
        </w:rPr>
        <w:t>27</w:t>
      </w:r>
    </w:p>
    <w:p w14:paraId="060C4102" w14:textId="77777777" w:rsidR="00C97940" w:rsidRPr="00D30117" w:rsidRDefault="30E567D8" w:rsidP="00D30117">
      <w:pPr>
        <w:pStyle w:val="NormalCentered"/>
        <w:rPr>
          <w:b/>
          <w:bCs/>
          <w:noProof/>
          <w:lang w:eastAsia="en-IE"/>
        </w:rPr>
      </w:pPr>
      <w:r w:rsidRPr="00D30117">
        <w:rPr>
          <w:b/>
          <w:bCs/>
          <w:noProof/>
          <w:lang w:eastAsia="en-IE"/>
        </w:rPr>
        <w:t>ESMA</w:t>
      </w:r>
    </w:p>
    <w:p w14:paraId="1F269A82" w14:textId="1F17F774" w:rsidR="00C97940" w:rsidRPr="006A39BB" w:rsidRDefault="002A7F8C" w:rsidP="002A7F8C">
      <w:pPr>
        <w:pStyle w:val="ManualNumPar1"/>
        <w:rPr>
          <w:noProof/>
        </w:rPr>
      </w:pPr>
      <w:r w:rsidRPr="002A7F8C">
        <w:rPr>
          <w:noProof/>
        </w:rPr>
        <w:t>1.</w:t>
      </w:r>
      <w:r w:rsidRPr="002A7F8C">
        <w:rPr>
          <w:noProof/>
        </w:rPr>
        <w:tab/>
      </w:r>
      <w:r w:rsidR="00C97940" w:rsidRPr="006A39BB">
        <w:rPr>
          <w:noProof/>
        </w:rPr>
        <w:t>In accordance with Article 16 of Regulation (EU) No 1095/2010, ESMA shall issue and update guidelines on the cooperation between ESMA and the competent authorities for the purposes of this Regulation, including the procedures and detailed conditions relating to the delegation of tasks.</w:t>
      </w:r>
    </w:p>
    <w:p w14:paraId="27022A38" w14:textId="02D777B4" w:rsidR="00C97940" w:rsidRPr="006A39BB" w:rsidRDefault="002A7F8C" w:rsidP="002A7F8C">
      <w:pPr>
        <w:pStyle w:val="ManualNumPar1"/>
        <w:rPr>
          <w:noProof/>
        </w:rPr>
      </w:pPr>
      <w:r w:rsidRPr="002A7F8C">
        <w:rPr>
          <w:noProof/>
        </w:rPr>
        <w:t>2.</w:t>
      </w:r>
      <w:r w:rsidRPr="002A7F8C">
        <w:rPr>
          <w:noProof/>
        </w:rPr>
        <w:tab/>
      </w:r>
      <w:r w:rsidR="00C97940" w:rsidRPr="006A39BB">
        <w:rPr>
          <w:noProof/>
        </w:rPr>
        <w:t xml:space="preserve">In accordance with Article 16 of Regulation (EU) No 1095/2010, ESMA shall, in cooperation with </w:t>
      </w:r>
      <w:r w:rsidR="00DC486A">
        <w:rPr>
          <w:noProof/>
        </w:rPr>
        <w:t xml:space="preserve">the </w:t>
      </w:r>
      <w:r w:rsidR="00C97940" w:rsidRPr="006A39BB">
        <w:rPr>
          <w:noProof/>
        </w:rPr>
        <w:t xml:space="preserve">EBA and EIOPA, issue and update guidelines on the application of the endorsement regime </w:t>
      </w:r>
      <w:r w:rsidR="00DC486A">
        <w:rPr>
          <w:noProof/>
        </w:rPr>
        <w:t>referred to in</w:t>
      </w:r>
      <w:r w:rsidR="00DC486A" w:rsidRPr="006A39BB">
        <w:rPr>
          <w:noProof/>
        </w:rPr>
        <w:t xml:space="preserve"> </w:t>
      </w:r>
      <w:r w:rsidR="00C97940" w:rsidRPr="006A39BB">
        <w:rPr>
          <w:noProof/>
        </w:rPr>
        <w:t xml:space="preserve">Article </w:t>
      </w:r>
      <w:r w:rsidR="009A4B05" w:rsidRPr="006A39BB">
        <w:rPr>
          <w:noProof/>
        </w:rPr>
        <w:t xml:space="preserve">10 </w:t>
      </w:r>
      <w:r w:rsidR="00C97940" w:rsidRPr="006A39BB">
        <w:rPr>
          <w:noProof/>
        </w:rPr>
        <w:t xml:space="preserve">of this Regulation by </w:t>
      </w:r>
      <w:r w:rsidR="002964C8" w:rsidRPr="006A39BB">
        <w:rPr>
          <w:noProof/>
        </w:rPr>
        <w:t xml:space="preserve">XX </w:t>
      </w:r>
      <w:r w:rsidR="0048213B" w:rsidRPr="006A39BB">
        <w:rPr>
          <w:noProof/>
        </w:rPr>
        <w:t>XXXX</w:t>
      </w:r>
      <w:r w:rsidR="002964C8" w:rsidRPr="006A39BB">
        <w:rPr>
          <w:noProof/>
        </w:rPr>
        <w:t xml:space="preserve"> XXXX</w:t>
      </w:r>
      <w:r w:rsidR="00C97940" w:rsidRPr="006A39BB">
        <w:rPr>
          <w:noProof/>
        </w:rPr>
        <w:t>.</w:t>
      </w:r>
    </w:p>
    <w:p w14:paraId="191A7AA4" w14:textId="5C7B5778" w:rsidR="00486635" w:rsidRPr="006A39BB" w:rsidRDefault="002A7F8C" w:rsidP="002A7F8C">
      <w:pPr>
        <w:pStyle w:val="ManualNumPar1"/>
        <w:rPr>
          <w:noProof/>
        </w:rPr>
      </w:pPr>
      <w:r w:rsidRPr="002A7F8C">
        <w:rPr>
          <w:noProof/>
        </w:rPr>
        <w:t>3.</w:t>
      </w:r>
      <w:r w:rsidRPr="002A7F8C">
        <w:rPr>
          <w:noProof/>
        </w:rPr>
        <w:tab/>
      </w:r>
      <w:r w:rsidR="7BEC128F" w:rsidRPr="006A39BB">
        <w:rPr>
          <w:noProof/>
        </w:rPr>
        <w:t>ESMA shall publish an annual report on the application of this Regulation</w:t>
      </w:r>
      <w:r w:rsidR="00A8745F" w:rsidRPr="006A39BB">
        <w:rPr>
          <w:noProof/>
        </w:rPr>
        <w:t>, including on supervisory measures taken and penalties imposed by ESMA under this Regulation, including fines and periodic penalty payments</w:t>
      </w:r>
      <w:r w:rsidR="7BEC128F" w:rsidRPr="006A39BB">
        <w:rPr>
          <w:noProof/>
        </w:rPr>
        <w:t xml:space="preserve">. That report shall contain, in particular, </w:t>
      </w:r>
      <w:r w:rsidR="007A36D5" w:rsidRPr="006A39BB">
        <w:rPr>
          <w:noProof/>
        </w:rPr>
        <w:t xml:space="preserve">information </w:t>
      </w:r>
      <w:r w:rsidR="0009453E" w:rsidRPr="006A39BB">
        <w:rPr>
          <w:noProof/>
        </w:rPr>
        <w:t>on the evolution of ESG Ratings market and an</w:t>
      </w:r>
      <w:r w:rsidR="7BEC128F" w:rsidRPr="006A39BB">
        <w:rPr>
          <w:noProof/>
        </w:rPr>
        <w:t xml:space="preserve"> assessment of the </w:t>
      </w:r>
      <w:r w:rsidR="00FD0ED6" w:rsidRPr="006A39BB">
        <w:rPr>
          <w:noProof/>
        </w:rPr>
        <w:t>application of the third country regime</w:t>
      </w:r>
      <w:r w:rsidR="007063AB">
        <w:rPr>
          <w:noProof/>
        </w:rPr>
        <w:t>s referred to in</w:t>
      </w:r>
      <w:r w:rsidR="00FD0ED6" w:rsidRPr="006A39BB">
        <w:rPr>
          <w:noProof/>
        </w:rPr>
        <w:t xml:space="preserve"> </w:t>
      </w:r>
      <w:r w:rsidR="7BEC128F" w:rsidRPr="006A39BB">
        <w:rPr>
          <w:noProof/>
        </w:rPr>
        <w:t>Article</w:t>
      </w:r>
      <w:r w:rsidR="007063AB">
        <w:rPr>
          <w:noProof/>
        </w:rPr>
        <w:t>s</w:t>
      </w:r>
      <w:r w:rsidR="7BEC128F" w:rsidRPr="006A39BB">
        <w:rPr>
          <w:noProof/>
        </w:rPr>
        <w:t xml:space="preserve"> </w:t>
      </w:r>
      <w:r w:rsidR="009A4B05" w:rsidRPr="006A39BB">
        <w:rPr>
          <w:noProof/>
        </w:rPr>
        <w:t>9</w:t>
      </w:r>
      <w:r w:rsidR="00FD0ED6" w:rsidRPr="006A39BB">
        <w:rPr>
          <w:noProof/>
        </w:rPr>
        <w:t xml:space="preserve">, </w:t>
      </w:r>
      <w:r w:rsidR="009A4B05" w:rsidRPr="006A39BB">
        <w:rPr>
          <w:noProof/>
        </w:rPr>
        <w:t>10</w:t>
      </w:r>
      <w:r w:rsidR="00FD0ED6" w:rsidRPr="006A39BB">
        <w:rPr>
          <w:noProof/>
        </w:rPr>
        <w:t xml:space="preserve"> and </w:t>
      </w:r>
      <w:r w:rsidR="009A4B05" w:rsidRPr="006A39BB">
        <w:rPr>
          <w:noProof/>
        </w:rPr>
        <w:t>11</w:t>
      </w:r>
      <w:r w:rsidR="7BEC128F" w:rsidRPr="006A39BB">
        <w:rPr>
          <w:noProof/>
        </w:rPr>
        <w:t>.</w:t>
      </w:r>
    </w:p>
    <w:p w14:paraId="27DFA651" w14:textId="77777777" w:rsidR="00486635" w:rsidRPr="006A39BB" w:rsidRDefault="7BEC128F" w:rsidP="00D30117">
      <w:pPr>
        <w:rPr>
          <w:noProof/>
        </w:rPr>
      </w:pPr>
      <w:r w:rsidRPr="006A39BB">
        <w:rPr>
          <w:noProof/>
        </w:rPr>
        <w:t xml:space="preserve">ESMA shall present </w:t>
      </w:r>
      <w:r w:rsidR="00E27670" w:rsidRPr="006A39BB">
        <w:rPr>
          <w:noProof/>
        </w:rPr>
        <w:t>the</w:t>
      </w:r>
      <w:r w:rsidR="00986E26" w:rsidRPr="006A39BB">
        <w:rPr>
          <w:noProof/>
        </w:rPr>
        <w:t xml:space="preserve"> annual report referred to in the first subparagraph</w:t>
      </w:r>
      <w:r w:rsidRPr="006A39BB">
        <w:rPr>
          <w:noProof/>
        </w:rPr>
        <w:t xml:space="preserve"> to the European Parliament, the Council and the Commission.</w:t>
      </w:r>
    </w:p>
    <w:p w14:paraId="49FC48DE" w14:textId="6A731862" w:rsidR="00486635" w:rsidRPr="006A39BB" w:rsidRDefault="002A7F8C" w:rsidP="002A7F8C">
      <w:pPr>
        <w:pStyle w:val="ManualNumPar1"/>
        <w:rPr>
          <w:noProof/>
        </w:rPr>
      </w:pPr>
      <w:r w:rsidRPr="002A7F8C">
        <w:rPr>
          <w:noProof/>
        </w:rPr>
        <w:t>4.</w:t>
      </w:r>
      <w:r w:rsidRPr="002A7F8C">
        <w:rPr>
          <w:noProof/>
        </w:rPr>
        <w:tab/>
      </w:r>
      <w:r w:rsidR="7BEC128F" w:rsidRPr="006A39BB">
        <w:rPr>
          <w:noProof/>
        </w:rPr>
        <w:t xml:space="preserve">ESMA shall cooperate with </w:t>
      </w:r>
      <w:r w:rsidR="007063AB">
        <w:rPr>
          <w:noProof/>
        </w:rPr>
        <w:t xml:space="preserve">the </w:t>
      </w:r>
      <w:r w:rsidR="7BEC128F" w:rsidRPr="006A39BB">
        <w:rPr>
          <w:noProof/>
        </w:rPr>
        <w:t xml:space="preserve">EBA and EIOPA in performing its tasks and shall consult </w:t>
      </w:r>
      <w:r w:rsidR="007063AB">
        <w:rPr>
          <w:noProof/>
        </w:rPr>
        <w:t xml:space="preserve">the </w:t>
      </w:r>
      <w:r w:rsidR="7BEC128F" w:rsidRPr="006A39BB">
        <w:rPr>
          <w:noProof/>
        </w:rPr>
        <w:t>EBA and EIOPA before issuing and updating guidelines and submitting draft regulatory technical standards.</w:t>
      </w:r>
    </w:p>
    <w:p w14:paraId="6E844583" w14:textId="77777777" w:rsidR="00862008" w:rsidRPr="00027382" w:rsidRDefault="00862008" w:rsidP="00027382">
      <w:pPr>
        <w:pStyle w:val="Titrearticle"/>
        <w:spacing w:line="23" w:lineRule="atLeast"/>
        <w:rPr>
          <w:noProof/>
          <w:szCs w:val="24"/>
        </w:rPr>
      </w:pPr>
      <w:r w:rsidRPr="00027382">
        <w:rPr>
          <w:noProof/>
          <w:szCs w:val="24"/>
        </w:rPr>
        <w:t xml:space="preserve">Article </w:t>
      </w:r>
      <w:r w:rsidR="00027212" w:rsidRPr="00027382">
        <w:rPr>
          <w:noProof/>
          <w:szCs w:val="24"/>
        </w:rPr>
        <w:t>2</w:t>
      </w:r>
      <w:r w:rsidR="00816503" w:rsidRPr="00027382">
        <w:rPr>
          <w:noProof/>
          <w:szCs w:val="24"/>
        </w:rPr>
        <w:t>8</w:t>
      </w:r>
    </w:p>
    <w:p w14:paraId="636B9CC3" w14:textId="77777777" w:rsidR="00862008" w:rsidRPr="00027382" w:rsidRDefault="00862008" w:rsidP="00027382">
      <w:pPr>
        <w:pStyle w:val="NormalCentered"/>
        <w:rPr>
          <w:rStyle w:val="italics"/>
          <w:b/>
          <w:bCs/>
          <w:noProof/>
        </w:rPr>
      </w:pPr>
      <w:r w:rsidRPr="00027382">
        <w:rPr>
          <w:rStyle w:val="italics"/>
          <w:b/>
          <w:bCs/>
          <w:noProof/>
        </w:rPr>
        <w:t>Competent authorities</w:t>
      </w:r>
    </w:p>
    <w:p w14:paraId="3269CD84" w14:textId="2509223C" w:rsidR="00027382" w:rsidRPr="00027382" w:rsidRDefault="002A7F8C" w:rsidP="002A7F8C">
      <w:pPr>
        <w:pStyle w:val="ManualNumPar1"/>
        <w:rPr>
          <w:noProof/>
        </w:rPr>
      </w:pPr>
      <w:r w:rsidRPr="002A7F8C">
        <w:rPr>
          <w:noProof/>
        </w:rPr>
        <w:t>1.</w:t>
      </w:r>
      <w:r w:rsidRPr="002A7F8C">
        <w:rPr>
          <w:noProof/>
        </w:rPr>
        <w:tab/>
      </w:r>
      <w:r w:rsidR="00862008" w:rsidRPr="006A39BB">
        <w:rPr>
          <w:noProof/>
        </w:rPr>
        <w:t>By XX XXXX XXXX, each Member State shall designate a competent authority for the purpose</w:t>
      </w:r>
      <w:r w:rsidR="007063AB">
        <w:rPr>
          <w:noProof/>
        </w:rPr>
        <w:t>s</w:t>
      </w:r>
      <w:r w:rsidR="00862008" w:rsidRPr="006A39BB">
        <w:rPr>
          <w:noProof/>
        </w:rPr>
        <w:t xml:space="preserve"> of this Regulation.</w:t>
      </w:r>
    </w:p>
    <w:p w14:paraId="1FFE1147" w14:textId="675AE4D1" w:rsidR="00862008" w:rsidRPr="006A39BB" w:rsidRDefault="002A7F8C" w:rsidP="002A7F8C">
      <w:pPr>
        <w:pStyle w:val="ManualNumPar1"/>
        <w:rPr>
          <w:noProof/>
        </w:rPr>
      </w:pPr>
      <w:r w:rsidRPr="002A7F8C">
        <w:rPr>
          <w:noProof/>
        </w:rPr>
        <w:t>2.</w:t>
      </w:r>
      <w:r w:rsidRPr="002A7F8C">
        <w:rPr>
          <w:noProof/>
        </w:rPr>
        <w:tab/>
      </w:r>
      <w:r w:rsidR="00862008" w:rsidRPr="006A39BB">
        <w:rPr>
          <w:noProof/>
        </w:rPr>
        <w:t>Competent authorities shall be adequately staffed, with regard to capacity and expertise, to be able to apply this Regulation.</w:t>
      </w:r>
    </w:p>
    <w:p w14:paraId="70E99FD7" w14:textId="77777777" w:rsidR="00D61B65" w:rsidRPr="00027382" w:rsidRDefault="00D61B65" w:rsidP="00027382">
      <w:pPr>
        <w:pStyle w:val="Titrearticle"/>
        <w:spacing w:line="23" w:lineRule="atLeast"/>
        <w:rPr>
          <w:noProof/>
          <w:szCs w:val="24"/>
        </w:rPr>
      </w:pPr>
      <w:r w:rsidRPr="00027382">
        <w:rPr>
          <w:noProof/>
          <w:szCs w:val="24"/>
        </w:rPr>
        <w:t>Article 2</w:t>
      </w:r>
      <w:r w:rsidR="00816503" w:rsidRPr="00027382">
        <w:rPr>
          <w:noProof/>
          <w:szCs w:val="24"/>
        </w:rPr>
        <w:t>9</w:t>
      </w:r>
    </w:p>
    <w:p w14:paraId="4DA5ED25" w14:textId="77777777" w:rsidR="00D61B65" w:rsidRPr="00027382" w:rsidRDefault="00D61B65" w:rsidP="00027382">
      <w:pPr>
        <w:pStyle w:val="NormalCentered"/>
        <w:rPr>
          <w:b/>
          <w:bCs/>
          <w:noProof/>
          <w:lang w:eastAsia="en-IE"/>
        </w:rPr>
      </w:pPr>
      <w:r w:rsidRPr="00027382">
        <w:rPr>
          <w:b/>
          <w:bCs/>
          <w:noProof/>
          <w:lang w:eastAsia="en-IE"/>
        </w:rPr>
        <w:t xml:space="preserve">Exercise of the powers referred to in Articles </w:t>
      </w:r>
      <w:r w:rsidR="00864D11" w:rsidRPr="00027382">
        <w:rPr>
          <w:b/>
          <w:bCs/>
          <w:noProof/>
          <w:lang w:eastAsia="en-IE"/>
        </w:rPr>
        <w:t xml:space="preserve">30 </w:t>
      </w:r>
      <w:r w:rsidRPr="00027382">
        <w:rPr>
          <w:b/>
          <w:bCs/>
          <w:noProof/>
          <w:lang w:eastAsia="en-IE"/>
        </w:rPr>
        <w:t xml:space="preserve">to </w:t>
      </w:r>
      <w:r w:rsidR="00864D11" w:rsidRPr="00027382">
        <w:rPr>
          <w:b/>
          <w:bCs/>
          <w:noProof/>
          <w:lang w:eastAsia="en-IE"/>
        </w:rPr>
        <w:t>32</w:t>
      </w:r>
      <w:r w:rsidRPr="00027382">
        <w:rPr>
          <w:b/>
          <w:bCs/>
          <w:noProof/>
          <w:lang w:eastAsia="en-IE"/>
        </w:rPr>
        <w:t xml:space="preserve"> </w:t>
      </w:r>
    </w:p>
    <w:p w14:paraId="71878FF6" w14:textId="77777777" w:rsidR="00D61B65" w:rsidRPr="006A39BB" w:rsidRDefault="00D61B65" w:rsidP="00162B2D">
      <w:pPr>
        <w:rPr>
          <w:noProof/>
        </w:rPr>
      </w:pPr>
      <w:r w:rsidRPr="006A39BB">
        <w:rPr>
          <w:noProof/>
        </w:rPr>
        <w:t xml:space="preserve">The powers conferred on ESMA or any official of or other person authorised by ESMA by Articles </w:t>
      </w:r>
      <w:r w:rsidR="00864D11" w:rsidRPr="006A39BB">
        <w:rPr>
          <w:noProof/>
        </w:rPr>
        <w:t xml:space="preserve">30 </w:t>
      </w:r>
      <w:r w:rsidRPr="006A39BB">
        <w:rPr>
          <w:noProof/>
        </w:rPr>
        <w:t xml:space="preserve">to </w:t>
      </w:r>
      <w:r w:rsidR="00864D11" w:rsidRPr="006A39BB">
        <w:rPr>
          <w:noProof/>
        </w:rPr>
        <w:t>32</w:t>
      </w:r>
      <w:r w:rsidRPr="006A39BB">
        <w:rPr>
          <w:noProof/>
        </w:rPr>
        <w:t xml:space="preserve"> shall not be used to require the disclosure of information or documents which are subject to legal privilege.</w:t>
      </w:r>
    </w:p>
    <w:p w14:paraId="78AAC34E" w14:textId="77777777" w:rsidR="002A1E40" w:rsidRPr="00027382" w:rsidRDefault="002A1E40" w:rsidP="00027382">
      <w:pPr>
        <w:pStyle w:val="Titrearticle"/>
        <w:spacing w:line="23" w:lineRule="atLeast"/>
        <w:rPr>
          <w:noProof/>
          <w:szCs w:val="24"/>
        </w:rPr>
      </w:pPr>
      <w:r w:rsidRPr="00027382">
        <w:rPr>
          <w:noProof/>
          <w:szCs w:val="24"/>
        </w:rPr>
        <w:t xml:space="preserve">Article </w:t>
      </w:r>
      <w:r w:rsidR="00816503" w:rsidRPr="00027382">
        <w:rPr>
          <w:noProof/>
          <w:szCs w:val="24"/>
        </w:rPr>
        <w:t>30</w:t>
      </w:r>
    </w:p>
    <w:p w14:paraId="4A1379C0" w14:textId="77777777" w:rsidR="00355E72" w:rsidRPr="00027382" w:rsidRDefault="319F5F9E" w:rsidP="00027382">
      <w:pPr>
        <w:pStyle w:val="NormalCentered"/>
        <w:rPr>
          <w:b/>
          <w:bCs/>
          <w:noProof/>
          <w:lang w:eastAsia="en-IE"/>
        </w:rPr>
      </w:pPr>
      <w:r w:rsidRPr="00027382">
        <w:rPr>
          <w:b/>
          <w:bCs/>
          <w:noProof/>
          <w:lang w:eastAsia="en-IE"/>
        </w:rPr>
        <w:t>Requests for information</w:t>
      </w:r>
    </w:p>
    <w:p w14:paraId="6832A2AC" w14:textId="7BC8F48E" w:rsidR="00355E72" w:rsidRPr="006A39BB" w:rsidRDefault="002A7F8C" w:rsidP="002A7F8C">
      <w:pPr>
        <w:pStyle w:val="ManualNumPar1"/>
        <w:rPr>
          <w:noProof/>
        </w:rPr>
      </w:pPr>
      <w:r w:rsidRPr="002A7F8C">
        <w:rPr>
          <w:noProof/>
        </w:rPr>
        <w:t>1.</w:t>
      </w:r>
      <w:r w:rsidRPr="002A7F8C">
        <w:rPr>
          <w:noProof/>
        </w:rPr>
        <w:tab/>
      </w:r>
      <w:r w:rsidR="00355E72" w:rsidRPr="006A39BB">
        <w:rPr>
          <w:noProof/>
        </w:rPr>
        <w:t xml:space="preserve">ESMA may by simple request or by decision require </w:t>
      </w:r>
      <w:r w:rsidR="000638DF" w:rsidRPr="006A39BB">
        <w:rPr>
          <w:noProof/>
        </w:rPr>
        <w:t>ESG rating providers</w:t>
      </w:r>
      <w:r w:rsidR="00355E72" w:rsidRPr="006A39BB">
        <w:rPr>
          <w:noProof/>
        </w:rPr>
        <w:t xml:space="preserve">, persons involved in </w:t>
      </w:r>
      <w:r w:rsidR="008579E8" w:rsidRPr="006A39BB">
        <w:rPr>
          <w:noProof/>
        </w:rPr>
        <w:t>ESG</w:t>
      </w:r>
      <w:r w:rsidR="00355E72" w:rsidRPr="006A39BB">
        <w:rPr>
          <w:noProof/>
        </w:rPr>
        <w:t xml:space="preserve"> rating activities, rated entities</w:t>
      </w:r>
      <w:r w:rsidR="002B3059">
        <w:rPr>
          <w:noProof/>
        </w:rPr>
        <w:t>,</w:t>
      </w:r>
      <w:r w:rsidR="00355E72" w:rsidRPr="006A39BB">
        <w:rPr>
          <w:noProof/>
        </w:rPr>
        <w:t xml:space="preserve"> third parties to whom the </w:t>
      </w:r>
      <w:r w:rsidR="008579E8" w:rsidRPr="006A39BB">
        <w:rPr>
          <w:noProof/>
        </w:rPr>
        <w:t>ESG</w:t>
      </w:r>
      <w:r w:rsidR="00355E72" w:rsidRPr="006A39BB">
        <w:rPr>
          <w:noProof/>
        </w:rPr>
        <w:t xml:space="preserve"> rating </w:t>
      </w:r>
      <w:r w:rsidR="002A1E40" w:rsidRPr="006A39BB">
        <w:rPr>
          <w:noProof/>
        </w:rPr>
        <w:t>providers</w:t>
      </w:r>
      <w:r w:rsidR="00355E72" w:rsidRPr="006A39BB">
        <w:rPr>
          <w:noProof/>
        </w:rPr>
        <w:t xml:space="preserve"> have outsourced operational functions or activities</w:t>
      </w:r>
      <w:r w:rsidR="002B3059">
        <w:rPr>
          <w:noProof/>
        </w:rPr>
        <w:t>,</w:t>
      </w:r>
      <w:r w:rsidR="00355E72" w:rsidRPr="006A39BB">
        <w:rPr>
          <w:noProof/>
        </w:rPr>
        <w:t xml:space="preserve"> and persons otherwise closely and substantially related or connected to </w:t>
      </w:r>
      <w:r w:rsidR="008579E8" w:rsidRPr="006A39BB">
        <w:rPr>
          <w:noProof/>
        </w:rPr>
        <w:t>ESG</w:t>
      </w:r>
      <w:r w:rsidR="00355E72" w:rsidRPr="006A39BB">
        <w:rPr>
          <w:noProof/>
        </w:rPr>
        <w:t xml:space="preserve"> </w:t>
      </w:r>
      <w:r w:rsidR="000638DF" w:rsidRPr="006A39BB">
        <w:rPr>
          <w:noProof/>
        </w:rPr>
        <w:t>rating providers</w:t>
      </w:r>
      <w:r w:rsidR="00355E72" w:rsidRPr="006A39BB">
        <w:rPr>
          <w:noProof/>
        </w:rPr>
        <w:t xml:space="preserve"> or </w:t>
      </w:r>
      <w:r w:rsidR="008579E8" w:rsidRPr="006A39BB">
        <w:rPr>
          <w:noProof/>
        </w:rPr>
        <w:t>ESG</w:t>
      </w:r>
      <w:r w:rsidR="00355E72" w:rsidRPr="006A39BB">
        <w:rPr>
          <w:noProof/>
        </w:rPr>
        <w:t xml:space="preserve"> rating activities</w:t>
      </w:r>
      <w:r w:rsidR="002B3059">
        <w:rPr>
          <w:noProof/>
        </w:rPr>
        <w:t>,</w:t>
      </w:r>
      <w:r w:rsidR="00355E72" w:rsidRPr="006A39BB">
        <w:rPr>
          <w:noProof/>
        </w:rPr>
        <w:t xml:space="preserve"> to provide all information that </w:t>
      </w:r>
      <w:r w:rsidR="002B3059">
        <w:rPr>
          <w:noProof/>
        </w:rPr>
        <w:t xml:space="preserve">it needs </w:t>
      </w:r>
      <w:r w:rsidR="00355E72" w:rsidRPr="006A39BB">
        <w:rPr>
          <w:noProof/>
        </w:rPr>
        <w:t>to carry out its duties under this Regulation.</w:t>
      </w:r>
    </w:p>
    <w:p w14:paraId="79979E36" w14:textId="4D6D7908" w:rsidR="00355E72" w:rsidRPr="006A39BB" w:rsidRDefault="002A7F8C" w:rsidP="002A7F8C">
      <w:pPr>
        <w:pStyle w:val="ManualNumPar1"/>
        <w:rPr>
          <w:noProof/>
        </w:rPr>
      </w:pPr>
      <w:r w:rsidRPr="002A7F8C">
        <w:rPr>
          <w:noProof/>
        </w:rPr>
        <w:t>2.</w:t>
      </w:r>
      <w:r w:rsidRPr="002A7F8C">
        <w:rPr>
          <w:noProof/>
        </w:rPr>
        <w:tab/>
      </w:r>
      <w:r w:rsidR="00355E72" w:rsidRPr="006A39BB">
        <w:rPr>
          <w:noProof/>
        </w:rPr>
        <w:t>When sending a simple request for information under paragraph 1, ESMA shall:</w:t>
      </w:r>
    </w:p>
    <w:p w14:paraId="489D75E0" w14:textId="38FC985A" w:rsidR="00355E72" w:rsidRPr="006A39BB" w:rsidRDefault="002A7F8C" w:rsidP="002A7F8C">
      <w:pPr>
        <w:pStyle w:val="Point1"/>
        <w:rPr>
          <w:noProof/>
        </w:rPr>
      </w:pPr>
      <w:r w:rsidRPr="002A7F8C">
        <w:rPr>
          <w:noProof/>
        </w:rPr>
        <w:t>(a)</w:t>
      </w:r>
      <w:r w:rsidRPr="002A7F8C">
        <w:rPr>
          <w:noProof/>
        </w:rPr>
        <w:tab/>
      </w:r>
      <w:r w:rsidR="00355E72" w:rsidRPr="006A39BB">
        <w:rPr>
          <w:noProof/>
        </w:rPr>
        <w:t>refer to this Article as the legal basis for the request;</w:t>
      </w:r>
    </w:p>
    <w:p w14:paraId="5BC000BE" w14:textId="14E1E436" w:rsidR="00355E72" w:rsidRPr="006A39BB" w:rsidRDefault="002A7F8C" w:rsidP="002A7F8C">
      <w:pPr>
        <w:pStyle w:val="Point1"/>
        <w:rPr>
          <w:noProof/>
        </w:rPr>
      </w:pPr>
      <w:r w:rsidRPr="002A7F8C">
        <w:rPr>
          <w:noProof/>
        </w:rPr>
        <w:t>(b)</w:t>
      </w:r>
      <w:r w:rsidRPr="002A7F8C">
        <w:rPr>
          <w:noProof/>
        </w:rPr>
        <w:tab/>
      </w:r>
      <w:r w:rsidR="00355E72" w:rsidRPr="006A39BB">
        <w:rPr>
          <w:noProof/>
        </w:rPr>
        <w:t>state the purpose of the request;</w:t>
      </w:r>
    </w:p>
    <w:p w14:paraId="6FE96837" w14:textId="3590F3B3" w:rsidR="00355E72" w:rsidRPr="006A39BB" w:rsidRDefault="002A7F8C" w:rsidP="002A7F8C">
      <w:pPr>
        <w:pStyle w:val="Point1"/>
        <w:rPr>
          <w:noProof/>
        </w:rPr>
      </w:pPr>
      <w:r w:rsidRPr="002A7F8C">
        <w:rPr>
          <w:noProof/>
        </w:rPr>
        <w:t>(c)</w:t>
      </w:r>
      <w:r w:rsidRPr="002A7F8C">
        <w:rPr>
          <w:noProof/>
        </w:rPr>
        <w:tab/>
      </w:r>
      <w:r w:rsidR="00355E72" w:rsidRPr="006A39BB">
        <w:rPr>
          <w:noProof/>
        </w:rPr>
        <w:t>specify what information is required;</w:t>
      </w:r>
    </w:p>
    <w:p w14:paraId="684FF519" w14:textId="3CB98E32" w:rsidR="00355E72" w:rsidRPr="006A39BB" w:rsidRDefault="002A7F8C" w:rsidP="002A7F8C">
      <w:pPr>
        <w:pStyle w:val="Point1"/>
        <w:rPr>
          <w:noProof/>
        </w:rPr>
      </w:pPr>
      <w:r w:rsidRPr="002A7F8C">
        <w:rPr>
          <w:noProof/>
        </w:rPr>
        <w:t>(d)</w:t>
      </w:r>
      <w:r w:rsidRPr="002A7F8C">
        <w:rPr>
          <w:noProof/>
        </w:rPr>
        <w:tab/>
      </w:r>
      <w:r w:rsidR="00355E72" w:rsidRPr="006A39BB">
        <w:rPr>
          <w:noProof/>
        </w:rPr>
        <w:t>set a time-limit within which the information is to be provided;</w:t>
      </w:r>
    </w:p>
    <w:p w14:paraId="5E7AA84E" w14:textId="404546CA" w:rsidR="00355E72" w:rsidRPr="006A39BB" w:rsidRDefault="002A7F8C" w:rsidP="002A7F8C">
      <w:pPr>
        <w:pStyle w:val="Point1"/>
        <w:rPr>
          <w:noProof/>
        </w:rPr>
      </w:pPr>
      <w:r w:rsidRPr="002A7F8C">
        <w:rPr>
          <w:noProof/>
        </w:rPr>
        <w:t>(e)</w:t>
      </w:r>
      <w:r w:rsidRPr="002A7F8C">
        <w:rPr>
          <w:noProof/>
        </w:rPr>
        <w:tab/>
      </w:r>
      <w:r w:rsidR="00355E72" w:rsidRPr="006A39BB">
        <w:rPr>
          <w:noProof/>
        </w:rPr>
        <w:t>inform the person from whom the information is requested that there is no obligation to provide the information but that any reply to the request for information must not be incorrect or misleading;</w:t>
      </w:r>
    </w:p>
    <w:p w14:paraId="2297AB94" w14:textId="219DDD73" w:rsidR="00355E72" w:rsidRPr="006A39BB" w:rsidRDefault="002A7F8C" w:rsidP="002A7F8C">
      <w:pPr>
        <w:pStyle w:val="Point1"/>
        <w:rPr>
          <w:noProof/>
        </w:rPr>
      </w:pPr>
      <w:r w:rsidRPr="002A7F8C">
        <w:rPr>
          <w:noProof/>
        </w:rPr>
        <w:t>(f)</w:t>
      </w:r>
      <w:r w:rsidRPr="002A7F8C">
        <w:rPr>
          <w:noProof/>
        </w:rPr>
        <w:tab/>
      </w:r>
      <w:r w:rsidR="00355E72" w:rsidRPr="006A39BB">
        <w:rPr>
          <w:noProof/>
        </w:rPr>
        <w:t xml:space="preserve">indicate the fine provided for in Article </w:t>
      </w:r>
      <w:r w:rsidR="00864D11" w:rsidRPr="006A39BB">
        <w:rPr>
          <w:noProof/>
        </w:rPr>
        <w:t>34</w:t>
      </w:r>
      <w:r w:rsidR="00355E72" w:rsidRPr="006A39BB">
        <w:rPr>
          <w:noProof/>
        </w:rPr>
        <w:t>, where the answers to questions asked are incorrect or misleading.</w:t>
      </w:r>
    </w:p>
    <w:p w14:paraId="2F9E0E2E" w14:textId="03C46D33" w:rsidR="00355E72" w:rsidRPr="006A39BB" w:rsidRDefault="002A7F8C" w:rsidP="002A7F8C">
      <w:pPr>
        <w:pStyle w:val="ManualNumPar1"/>
        <w:rPr>
          <w:noProof/>
        </w:rPr>
      </w:pPr>
      <w:r w:rsidRPr="002A7F8C">
        <w:rPr>
          <w:noProof/>
        </w:rPr>
        <w:t>3.</w:t>
      </w:r>
      <w:r w:rsidRPr="002A7F8C">
        <w:rPr>
          <w:noProof/>
        </w:rPr>
        <w:tab/>
      </w:r>
      <w:r w:rsidR="00355E72" w:rsidRPr="006A39BB">
        <w:rPr>
          <w:noProof/>
        </w:rPr>
        <w:t>When requiring the supply of information under paragraph 1 by decision, ESMA shall:</w:t>
      </w:r>
    </w:p>
    <w:p w14:paraId="5D92C424" w14:textId="54F98732" w:rsidR="00355E72" w:rsidRPr="006A39BB" w:rsidRDefault="002A7F8C" w:rsidP="002A7F8C">
      <w:pPr>
        <w:pStyle w:val="Point1"/>
        <w:rPr>
          <w:noProof/>
        </w:rPr>
      </w:pPr>
      <w:r w:rsidRPr="002A7F8C">
        <w:rPr>
          <w:noProof/>
        </w:rPr>
        <w:t>(a)</w:t>
      </w:r>
      <w:r w:rsidRPr="002A7F8C">
        <w:rPr>
          <w:noProof/>
        </w:rPr>
        <w:tab/>
      </w:r>
      <w:r w:rsidR="00355E72" w:rsidRPr="006A39BB">
        <w:rPr>
          <w:noProof/>
        </w:rPr>
        <w:t>refer to this Article as the legal basis for the request;</w:t>
      </w:r>
    </w:p>
    <w:p w14:paraId="627B7337" w14:textId="7FF429EE" w:rsidR="00355E72" w:rsidRPr="006A39BB" w:rsidRDefault="002A7F8C" w:rsidP="002A7F8C">
      <w:pPr>
        <w:pStyle w:val="Point1"/>
        <w:rPr>
          <w:noProof/>
        </w:rPr>
      </w:pPr>
      <w:r w:rsidRPr="002A7F8C">
        <w:rPr>
          <w:noProof/>
        </w:rPr>
        <w:t>(b)</w:t>
      </w:r>
      <w:r w:rsidRPr="002A7F8C">
        <w:rPr>
          <w:noProof/>
        </w:rPr>
        <w:tab/>
      </w:r>
      <w:r w:rsidR="00355E72" w:rsidRPr="006A39BB">
        <w:rPr>
          <w:noProof/>
        </w:rPr>
        <w:t>state the purpose of the request;</w:t>
      </w:r>
    </w:p>
    <w:p w14:paraId="34FFF287" w14:textId="61F49B3C" w:rsidR="00355E72" w:rsidRPr="006A39BB" w:rsidRDefault="002A7F8C" w:rsidP="002A7F8C">
      <w:pPr>
        <w:pStyle w:val="Point1"/>
        <w:rPr>
          <w:noProof/>
        </w:rPr>
      </w:pPr>
      <w:r w:rsidRPr="002A7F8C">
        <w:rPr>
          <w:noProof/>
        </w:rPr>
        <w:t>(c)</w:t>
      </w:r>
      <w:r w:rsidRPr="002A7F8C">
        <w:rPr>
          <w:noProof/>
        </w:rPr>
        <w:tab/>
      </w:r>
      <w:r w:rsidR="00355E72" w:rsidRPr="006A39BB">
        <w:rPr>
          <w:noProof/>
        </w:rPr>
        <w:t>specify what information is required;</w:t>
      </w:r>
    </w:p>
    <w:p w14:paraId="5A07EDF2" w14:textId="2A96457D" w:rsidR="00355E72" w:rsidRPr="006A39BB" w:rsidRDefault="002A7F8C" w:rsidP="002A7F8C">
      <w:pPr>
        <w:pStyle w:val="Point1"/>
        <w:rPr>
          <w:noProof/>
        </w:rPr>
      </w:pPr>
      <w:r w:rsidRPr="002A7F8C">
        <w:rPr>
          <w:noProof/>
        </w:rPr>
        <w:t>(d)</w:t>
      </w:r>
      <w:r w:rsidRPr="002A7F8C">
        <w:rPr>
          <w:noProof/>
        </w:rPr>
        <w:tab/>
      </w:r>
      <w:r w:rsidR="00355E72" w:rsidRPr="006A39BB">
        <w:rPr>
          <w:noProof/>
        </w:rPr>
        <w:t>set a time-limit within which the information is to be provided;</w:t>
      </w:r>
    </w:p>
    <w:p w14:paraId="7D4052FF" w14:textId="371E9065" w:rsidR="00355E72" w:rsidRPr="006A39BB" w:rsidRDefault="002A7F8C" w:rsidP="002A7F8C">
      <w:pPr>
        <w:pStyle w:val="Point1"/>
        <w:rPr>
          <w:noProof/>
        </w:rPr>
      </w:pPr>
      <w:r w:rsidRPr="002A7F8C">
        <w:rPr>
          <w:noProof/>
        </w:rPr>
        <w:t>(e)</w:t>
      </w:r>
      <w:r w:rsidRPr="002A7F8C">
        <w:rPr>
          <w:noProof/>
        </w:rPr>
        <w:tab/>
      </w:r>
      <w:r w:rsidR="00355E72" w:rsidRPr="006A39BB">
        <w:rPr>
          <w:noProof/>
        </w:rPr>
        <w:t xml:space="preserve">indicate the periodic penalty payments provided for in Article </w:t>
      </w:r>
      <w:r w:rsidR="00864D11" w:rsidRPr="006A39BB">
        <w:rPr>
          <w:noProof/>
        </w:rPr>
        <w:t xml:space="preserve">35 </w:t>
      </w:r>
      <w:r w:rsidR="00355E72" w:rsidRPr="006A39BB">
        <w:rPr>
          <w:noProof/>
        </w:rPr>
        <w:t>where the production of the required information is incomplete;</w:t>
      </w:r>
    </w:p>
    <w:p w14:paraId="27BD0B08" w14:textId="33CF69E7" w:rsidR="00355E72" w:rsidRPr="006A39BB" w:rsidRDefault="002A7F8C" w:rsidP="002A7F8C">
      <w:pPr>
        <w:pStyle w:val="Point1"/>
        <w:rPr>
          <w:noProof/>
        </w:rPr>
      </w:pPr>
      <w:r w:rsidRPr="002A7F8C">
        <w:rPr>
          <w:noProof/>
        </w:rPr>
        <w:t>(f)</w:t>
      </w:r>
      <w:r w:rsidRPr="002A7F8C">
        <w:rPr>
          <w:noProof/>
        </w:rPr>
        <w:tab/>
      </w:r>
      <w:r w:rsidR="00355E72" w:rsidRPr="006A39BB">
        <w:rPr>
          <w:noProof/>
        </w:rPr>
        <w:t xml:space="preserve">indicate the fine provided for in Article </w:t>
      </w:r>
      <w:r w:rsidR="00864D11" w:rsidRPr="006A39BB">
        <w:rPr>
          <w:noProof/>
        </w:rPr>
        <w:t>34</w:t>
      </w:r>
      <w:r w:rsidR="00355E72" w:rsidRPr="006A39BB">
        <w:rPr>
          <w:noProof/>
        </w:rPr>
        <w:t>, where the answers to questions asked are incorrect or misleading;</w:t>
      </w:r>
    </w:p>
    <w:p w14:paraId="1A5CF844" w14:textId="4574FB09" w:rsidR="00355E72" w:rsidRPr="006A39BB" w:rsidRDefault="002A7F8C" w:rsidP="002A7F8C">
      <w:pPr>
        <w:pStyle w:val="Point1"/>
        <w:rPr>
          <w:noProof/>
        </w:rPr>
      </w:pPr>
      <w:r w:rsidRPr="002A7F8C">
        <w:rPr>
          <w:noProof/>
        </w:rPr>
        <w:t>(g)</w:t>
      </w:r>
      <w:r w:rsidRPr="002A7F8C">
        <w:rPr>
          <w:noProof/>
        </w:rPr>
        <w:tab/>
      </w:r>
      <w:r w:rsidR="00355E72" w:rsidRPr="006A39BB">
        <w:rPr>
          <w:noProof/>
        </w:rPr>
        <w:t>indicate the right to appeal the decision before the Board of Appeal and to have the decision reviewed by the Court of Justice of the European Union in accordance with Articles 60 and 61 of Regulation (EU) No 1095/2010.</w:t>
      </w:r>
    </w:p>
    <w:p w14:paraId="7BAD11AE" w14:textId="7BFD74C1" w:rsidR="00355E72" w:rsidRPr="006A39BB" w:rsidRDefault="002A7F8C" w:rsidP="002A7F8C">
      <w:pPr>
        <w:pStyle w:val="ManualNumPar1"/>
        <w:rPr>
          <w:noProof/>
        </w:rPr>
      </w:pPr>
      <w:r w:rsidRPr="002A7F8C">
        <w:rPr>
          <w:noProof/>
        </w:rPr>
        <w:t>4.</w:t>
      </w:r>
      <w:r w:rsidRPr="002A7F8C">
        <w:rPr>
          <w:noProof/>
        </w:rPr>
        <w:tab/>
      </w:r>
      <w:r w:rsidR="00355E72" w:rsidRPr="006A39BB">
        <w:rPr>
          <w:noProof/>
        </w:rPr>
        <w:t xml:space="preserve">The persons referred to in paragraph 1 or their representatives and, in the case of legal persons or </w:t>
      </w:r>
      <w:r w:rsidR="002B3059">
        <w:rPr>
          <w:noProof/>
        </w:rPr>
        <w:t xml:space="preserve">of </w:t>
      </w:r>
      <w:r w:rsidR="00355E72" w:rsidRPr="006A39BB">
        <w:rPr>
          <w:noProof/>
        </w:rPr>
        <w:t>associations having no legal personality, the persons authorised to represent them by law or by their constitution, shall supply the information requested. Lawyers duly authorised to act may supply the information on behalf of their clients. Th</w:t>
      </w:r>
      <w:r w:rsidR="002B3059">
        <w:rPr>
          <w:noProof/>
        </w:rPr>
        <w:t>ose clients</w:t>
      </w:r>
      <w:r w:rsidR="00355E72" w:rsidRPr="006A39BB">
        <w:rPr>
          <w:noProof/>
        </w:rPr>
        <w:t xml:space="preserve"> shall remain fully responsible if the information supplied </w:t>
      </w:r>
      <w:r w:rsidR="002B3059">
        <w:rPr>
          <w:noProof/>
        </w:rPr>
        <w:t xml:space="preserve">by the lawyers </w:t>
      </w:r>
      <w:r w:rsidR="00355E72" w:rsidRPr="006A39BB">
        <w:rPr>
          <w:noProof/>
        </w:rPr>
        <w:t>is incomplete, incorrect or misleading.</w:t>
      </w:r>
    </w:p>
    <w:p w14:paraId="398C3D44" w14:textId="4BE06E8A" w:rsidR="00355E72" w:rsidRPr="006A39BB" w:rsidRDefault="002A7F8C" w:rsidP="002A7F8C">
      <w:pPr>
        <w:pStyle w:val="ManualNumPar1"/>
        <w:rPr>
          <w:noProof/>
        </w:rPr>
      </w:pPr>
      <w:r w:rsidRPr="002A7F8C">
        <w:rPr>
          <w:noProof/>
        </w:rPr>
        <w:t>5.</w:t>
      </w:r>
      <w:r w:rsidRPr="002A7F8C">
        <w:rPr>
          <w:noProof/>
        </w:rPr>
        <w:tab/>
      </w:r>
      <w:r w:rsidR="00355E72" w:rsidRPr="006A39BB">
        <w:rPr>
          <w:noProof/>
        </w:rPr>
        <w:t>ESMA shall, without delay, send a copy of the simple request or of its decision to the competent authority of the Member State where the persons referred to in paragraph 1 who are concerned by the request for information are domiciled or established.</w:t>
      </w:r>
    </w:p>
    <w:p w14:paraId="541739AF" w14:textId="77777777" w:rsidR="00291E2E" w:rsidRPr="00027382" w:rsidRDefault="00291E2E" w:rsidP="00027382">
      <w:pPr>
        <w:pStyle w:val="Titrearticle"/>
        <w:spacing w:line="23" w:lineRule="atLeast"/>
        <w:rPr>
          <w:noProof/>
          <w:szCs w:val="24"/>
        </w:rPr>
      </w:pPr>
      <w:r w:rsidRPr="00027382">
        <w:rPr>
          <w:noProof/>
          <w:szCs w:val="24"/>
        </w:rPr>
        <w:t xml:space="preserve">Article </w:t>
      </w:r>
      <w:r w:rsidR="00816503" w:rsidRPr="00027382">
        <w:rPr>
          <w:noProof/>
          <w:szCs w:val="24"/>
        </w:rPr>
        <w:t>31</w:t>
      </w:r>
    </w:p>
    <w:p w14:paraId="1A0CE291" w14:textId="77777777" w:rsidR="00587167" w:rsidRPr="00027382" w:rsidRDefault="00587167" w:rsidP="00027382">
      <w:pPr>
        <w:pStyle w:val="NormalCentered"/>
        <w:rPr>
          <w:b/>
          <w:bCs/>
          <w:noProof/>
          <w:lang w:eastAsia="en-IE"/>
        </w:rPr>
      </w:pPr>
      <w:r w:rsidRPr="00027382">
        <w:rPr>
          <w:b/>
          <w:bCs/>
          <w:noProof/>
          <w:lang w:eastAsia="en-IE"/>
        </w:rPr>
        <w:t>General investigations</w:t>
      </w:r>
    </w:p>
    <w:p w14:paraId="7B5C8F0B" w14:textId="2FE3A93E" w:rsidR="00355E72" w:rsidRPr="006A39BB" w:rsidRDefault="002A7F8C" w:rsidP="002A7F8C">
      <w:pPr>
        <w:pStyle w:val="ManualNumPar1"/>
        <w:rPr>
          <w:noProof/>
        </w:rPr>
      </w:pPr>
      <w:r w:rsidRPr="002A7F8C">
        <w:rPr>
          <w:noProof/>
        </w:rPr>
        <w:t>1.</w:t>
      </w:r>
      <w:r w:rsidRPr="002A7F8C">
        <w:rPr>
          <w:noProof/>
        </w:rPr>
        <w:tab/>
      </w:r>
      <w:r w:rsidR="00355E72" w:rsidRPr="006A39BB">
        <w:rPr>
          <w:noProof/>
        </w:rPr>
        <w:t xml:space="preserve">In order to carry out its duties under this Regulation, ESMA may conduct all necessary investigations of persons referred to in </w:t>
      </w:r>
      <w:r w:rsidR="009049E2" w:rsidRPr="006A39BB">
        <w:rPr>
          <w:noProof/>
        </w:rPr>
        <w:t xml:space="preserve">Article </w:t>
      </w:r>
      <w:r w:rsidR="00DA7F7A" w:rsidRPr="006A39BB">
        <w:rPr>
          <w:noProof/>
        </w:rPr>
        <w:t>30</w:t>
      </w:r>
      <w:r w:rsidR="002B3059">
        <w:rPr>
          <w:noProof/>
        </w:rPr>
        <w:t>(1)</w:t>
      </w:r>
      <w:r w:rsidR="00355E72" w:rsidRPr="006A39BB">
        <w:rPr>
          <w:noProof/>
        </w:rPr>
        <w:t>. To that end, the officials of and other persons authorised by ESMA shall be empowered to:</w:t>
      </w:r>
    </w:p>
    <w:p w14:paraId="28E885F2" w14:textId="5D5C1021" w:rsidR="00355E72" w:rsidRPr="006A39BB" w:rsidRDefault="002A7F8C" w:rsidP="002A7F8C">
      <w:pPr>
        <w:pStyle w:val="Point1"/>
        <w:rPr>
          <w:noProof/>
        </w:rPr>
      </w:pPr>
      <w:r w:rsidRPr="002A7F8C">
        <w:rPr>
          <w:noProof/>
        </w:rPr>
        <w:t>(a)</w:t>
      </w:r>
      <w:r w:rsidRPr="002A7F8C">
        <w:rPr>
          <w:noProof/>
        </w:rPr>
        <w:tab/>
      </w:r>
      <w:r w:rsidR="00355E72" w:rsidRPr="006A39BB">
        <w:rPr>
          <w:noProof/>
        </w:rPr>
        <w:t>examine any records, data, procedures and any other material relevant to the execution of its tasks irrespective of the medium on which they are stored;</w:t>
      </w:r>
    </w:p>
    <w:p w14:paraId="7B674C95" w14:textId="1BE5E3AC" w:rsidR="00355E72" w:rsidRPr="006A39BB" w:rsidRDefault="002A7F8C" w:rsidP="002A7F8C">
      <w:pPr>
        <w:pStyle w:val="Point1"/>
        <w:rPr>
          <w:noProof/>
        </w:rPr>
      </w:pPr>
      <w:r w:rsidRPr="002A7F8C">
        <w:rPr>
          <w:noProof/>
        </w:rPr>
        <w:t>(b)</w:t>
      </w:r>
      <w:r w:rsidRPr="002A7F8C">
        <w:rPr>
          <w:noProof/>
        </w:rPr>
        <w:tab/>
      </w:r>
      <w:r w:rsidR="00355E72" w:rsidRPr="006A39BB">
        <w:rPr>
          <w:noProof/>
        </w:rPr>
        <w:t>take or obtain certified copies of or extracts from such records, data, procedures and other material;</w:t>
      </w:r>
    </w:p>
    <w:p w14:paraId="44F1EEC2" w14:textId="298985FC" w:rsidR="00355E72" w:rsidRPr="006A39BB" w:rsidRDefault="002A7F8C" w:rsidP="002A7F8C">
      <w:pPr>
        <w:pStyle w:val="Point1"/>
        <w:rPr>
          <w:noProof/>
        </w:rPr>
      </w:pPr>
      <w:r w:rsidRPr="002A7F8C">
        <w:rPr>
          <w:noProof/>
        </w:rPr>
        <w:t>(c)</w:t>
      </w:r>
      <w:r w:rsidRPr="002A7F8C">
        <w:rPr>
          <w:noProof/>
        </w:rPr>
        <w:tab/>
      </w:r>
      <w:r w:rsidR="00355E72" w:rsidRPr="006A39BB">
        <w:rPr>
          <w:noProof/>
        </w:rPr>
        <w:t xml:space="preserve">summon and ask any person referred to in Article </w:t>
      </w:r>
      <w:r w:rsidR="005E7A54" w:rsidRPr="006A39BB">
        <w:rPr>
          <w:noProof/>
        </w:rPr>
        <w:t>30</w:t>
      </w:r>
      <w:r w:rsidR="002B3059">
        <w:rPr>
          <w:noProof/>
        </w:rPr>
        <w:t>(1)</w:t>
      </w:r>
      <w:r w:rsidR="009B0F4D">
        <w:rPr>
          <w:noProof/>
        </w:rPr>
        <w:t>,</w:t>
      </w:r>
      <w:r w:rsidR="00355E72" w:rsidRPr="006A39BB">
        <w:rPr>
          <w:noProof/>
        </w:rPr>
        <w:t>or their representatives or staff for oral or written explanations on facts or documents related to the subject matter and purpose of the inspection and to record the answers;</w:t>
      </w:r>
    </w:p>
    <w:p w14:paraId="1061616B" w14:textId="1DDFB0AC" w:rsidR="00355E72" w:rsidRPr="006A39BB" w:rsidRDefault="002A7F8C" w:rsidP="002A7F8C">
      <w:pPr>
        <w:pStyle w:val="Point1"/>
        <w:rPr>
          <w:noProof/>
        </w:rPr>
      </w:pPr>
      <w:r w:rsidRPr="002A7F8C">
        <w:rPr>
          <w:noProof/>
        </w:rPr>
        <w:t>(d)</w:t>
      </w:r>
      <w:r w:rsidRPr="002A7F8C">
        <w:rPr>
          <w:noProof/>
        </w:rPr>
        <w:tab/>
      </w:r>
      <w:r w:rsidR="00355E72" w:rsidRPr="006A39BB">
        <w:rPr>
          <w:noProof/>
        </w:rPr>
        <w:t>interview any other natural or legal person who consents to be interviewed for the purpose of collecting information relating to the subject matter of an investigation;</w:t>
      </w:r>
    </w:p>
    <w:p w14:paraId="02E310A7" w14:textId="78883ED7" w:rsidR="00355E72" w:rsidRPr="006A39BB" w:rsidRDefault="002A7F8C" w:rsidP="002A7F8C">
      <w:pPr>
        <w:pStyle w:val="Point1"/>
        <w:rPr>
          <w:noProof/>
        </w:rPr>
      </w:pPr>
      <w:r w:rsidRPr="002A7F8C">
        <w:rPr>
          <w:noProof/>
        </w:rPr>
        <w:t>(e)</w:t>
      </w:r>
      <w:r w:rsidRPr="002A7F8C">
        <w:rPr>
          <w:noProof/>
        </w:rPr>
        <w:tab/>
      </w:r>
      <w:r w:rsidR="00355E72" w:rsidRPr="006A39BB">
        <w:rPr>
          <w:noProof/>
        </w:rPr>
        <w:t>request records of telephone and data traffic.</w:t>
      </w:r>
    </w:p>
    <w:p w14:paraId="5C0294C8" w14:textId="0F34D2D0" w:rsidR="00355E72" w:rsidRPr="006A39BB" w:rsidRDefault="002A7F8C" w:rsidP="002A7F8C">
      <w:pPr>
        <w:pStyle w:val="ManualNumPar1"/>
        <w:rPr>
          <w:noProof/>
        </w:rPr>
      </w:pPr>
      <w:r w:rsidRPr="002A7F8C">
        <w:rPr>
          <w:noProof/>
        </w:rPr>
        <w:t>2.</w:t>
      </w:r>
      <w:r w:rsidRPr="002A7F8C">
        <w:rPr>
          <w:noProof/>
        </w:rPr>
        <w:tab/>
      </w:r>
      <w:r w:rsidR="00355E72" w:rsidRPr="006A39BB">
        <w:rPr>
          <w:noProof/>
        </w:rPr>
        <w:t xml:space="preserve">The officials of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w:t>
      </w:r>
      <w:r w:rsidR="006C5DEA" w:rsidRPr="006A39BB">
        <w:rPr>
          <w:noProof/>
        </w:rPr>
        <w:t>35</w:t>
      </w:r>
      <w:r w:rsidR="009B0F4D">
        <w:rPr>
          <w:noProof/>
        </w:rPr>
        <w:t>(1)</w:t>
      </w:r>
      <w:r w:rsidR="006C5DEA" w:rsidRPr="006A39BB">
        <w:rPr>
          <w:noProof/>
        </w:rPr>
        <w:t xml:space="preserve"> </w:t>
      </w:r>
      <w:r w:rsidR="00355E72" w:rsidRPr="006A39BB">
        <w:rPr>
          <w:noProof/>
        </w:rPr>
        <w:t xml:space="preserve">where the production of the required records, data, procedures or any other material, or the answers to questions asked of the persons referred to in </w:t>
      </w:r>
      <w:r w:rsidR="006A6DAB" w:rsidRPr="006A39BB">
        <w:rPr>
          <w:noProof/>
        </w:rPr>
        <w:t xml:space="preserve">Article </w:t>
      </w:r>
      <w:r w:rsidR="00355E72" w:rsidRPr="006A39BB">
        <w:rPr>
          <w:noProof/>
        </w:rPr>
        <w:t xml:space="preserve">are not provided or are incomplete, and the fines provided for in Article </w:t>
      </w:r>
      <w:r w:rsidR="006C5DEA" w:rsidRPr="006A39BB">
        <w:rPr>
          <w:noProof/>
        </w:rPr>
        <w:t>34</w:t>
      </w:r>
      <w:r w:rsidR="00355E72" w:rsidRPr="006A39BB">
        <w:rPr>
          <w:noProof/>
        </w:rPr>
        <w:t xml:space="preserve">, where the answers to questions asked of the persons referred to in </w:t>
      </w:r>
      <w:r w:rsidR="006A6DAB" w:rsidRPr="006A39BB">
        <w:rPr>
          <w:noProof/>
        </w:rPr>
        <w:t>Article</w:t>
      </w:r>
      <w:r w:rsidR="00355E72" w:rsidRPr="006A39BB">
        <w:rPr>
          <w:noProof/>
        </w:rPr>
        <w:t xml:space="preserve"> are incorrect or misleading.</w:t>
      </w:r>
    </w:p>
    <w:p w14:paraId="6A12ACC0" w14:textId="57AFD2BF" w:rsidR="00355E72" w:rsidRPr="006A39BB" w:rsidRDefault="002A7F8C" w:rsidP="002A7F8C">
      <w:pPr>
        <w:pStyle w:val="ManualNumPar1"/>
        <w:rPr>
          <w:noProof/>
        </w:rPr>
      </w:pPr>
      <w:r w:rsidRPr="002A7F8C">
        <w:rPr>
          <w:noProof/>
        </w:rPr>
        <w:t>3.</w:t>
      </w:r>
      <w:r w:rsidRPr="002A7F8C">
        <w:rPr>
          <w:noProof/>
        </w:rPr>
        <w:tab/>
      </w:r>
      <w:r w:rsidR="00355E72" w:rsidRPr="006A39BB">
        <w:rPr>
          <w:noProof/>
        </w:rPr>
        <w:t xml:space="preserve">The persons referred to in </w:t>
      </w:r>
      <w:r w:rsidR="006A6DAB" w:rsidRPr="006A39BB">
        <w:rPr>
          <w:noProof/>
        </w:rPr>
        <w:t>Article</w:t>
      </w:r>
      <w:r w:rsidR="006A6DAB" w:rsidRPr="006A39BB" w:rsidDel="006A6DAB">
        <w:rPr>
          <w:noProof/>
        </w:rPr>
        <w:t xml:space="preserve"> </w:t>
      </w:r>
      <w:r w:rsidR="006C5DEA" w:rsidRPr="006A39BB">
        <w:rPr>
          <w:noProof/>
        </w:rPr>
        <w:t>30</w:t>
      </w:r>
      <w:r w:rsidR="009B0F4D">
        <w:rPr>
          <w:noProof/>
        </w:rPr>
        <w:t>(1)</w:t>
      </w:r>
      <w:r w:rsidR="006A6DAB" w:rsidRPr="006A39BB">
        <w:rPr>
          <w:noProof/>
        </w:rPr>
        <w:t xml:space="preserve"> </w:t>
      </w:r>
      <w:r w:rsidR="00355E72" w:rsidRPr="006A39BB">
        <w:rPr>
          <w:noProof/>
        </w:rPr>
        <w:t xml:space="preserve">shall submit to investigations launched on the basis of a decision of ESMA. The decision shall specify the subject matter and purpose of the investigation, the periodic penalty payments provided for in </w:t>
      </w:r>
      <w:r w:rsidR="00AE5A3F" w:rsidRPr="006A39BB">
        <w:rPr>
          <w:noProof/>
        </w:rPr>
        <w:t>Article 3</w:t>
      </w:r>
      <w:r w:rsidR="00355E72" w:rsidRPr="006A39BB">
        <w:rPr>
          <w:noProof/>
        </w:rPr>
        <w:t>, the legal remedies available under Regulation (EU) No 1095/2010 and the right to have the decision reviewed by the Court of Justice of the European Union.</w:t>
      </w:r>
    </w:p>
    <w:p w14:paraId="697A2866" w14:textId="795BF415" w:rsidR="00355E72" w:rsidRPr="006A39BB" w:rsidRDefault="002A7F8C" w:rsidP="002A7F8C">
      <w:pPr>
        <w:pStyle w:val="ManualNumPar1"/>
        <w:rPr>
          <w:noProof/>
        </w:rPr>
      </w:pPr>
      <w:r w:rsidRPr="002A7F8C">
        <w:rPr>
          <w:noProof/>
        </w:rPr>
        <w:t>4.</w:t>
      </w:r>
      <w:r w:rsidRPr="002A7F8C">
        <w:rPr>
          <w:noProof/>
        </w:rPr>
        <w:tab/>
      </w:r>
      <w:r w:rsidR="00355E72" w:rsidRPr="006A39BB">
        <w:rPr>
          <w:noProof/>
        </w:rPr>
        <w:t>In good time before the investigation, ESMA shall inform the competent authority of the Member State where the investigation is to be carried out of the investigation and of the identity of the authorised persons. Officials of the competent authority concerned shall, upon the request of ESMA, assist those authorised persons in carrying out their duties. Officials of the competent authority concerned may also attend the investigations upon request.</w:t>
      </w:r>
    </w:p>
    <w:p w14:paraId="0E6CCB6A" w14:textId="5B161622" w:rsidR="00355E72" w:rsidRPr="006A39BB" w:rsidRDefault="002A7F8C" w:rsidP="002A7F8C">
      <w:pPr>
        <w:pStyle w:val="ManualNumPar1"/>
        <w:rPr>
          <w:noProof/>
        </w:rPr>
      </w:pPr>
      <w:r w:rsidRPr="002A7F8C">
        <w:rPr>
          <w:noProof/>
        </w:rPr>
        <w:t>5.</w:t>
      </w:r>
      <w:r w:rsidRPr="002A7F8C">
        <w:rPr>
          <w:noProof/>
        </w:rPr>
        <w:tab/>
      </w:r>
      <w:r w:rsidR="00355E72" w:rsidRPr="006A39BB">
        <w:rPr>
          <w:noProof/>
        </w:rPr>
        <w:t xml:space="preserve">If a request for records of telephone or data traffic referred to in </w:t>
      </w:r>
      <w:r w:rsidR="002964C8" w:rsidRPr="006A39BB">
        <w:rPr>
          <w:noProof/>
        </w:rPr>
        <w:t xml:space="preserve">point (e) of paragraph 1 </w:t>
      </w:r>
      <w:r w:rsidR="00355E72" w:rsidRPr="006A39BB">
        <w:rPr>
          <w:noProof/>
        </w:rPr>
        <w:t>requires authorisation from a judicial authority according to national rules, such authorisation shall be applied for. Such authorisation may also be applied for as a precautionary measure.</w:t>
      </w:r>
    </w:p>
    <w:p w14:paraId="7EC46CBB" w14:textId="2E2EF913" w:rsidR="00355E72" w:rsidRPr="006A39BB" w:rsidRDefault="002A7F8C" w:rsidP="002A7F8C">
      <w:pPr>
        <w:pStyle w:val="ManualNumPar1"/>
        <w:rPr>
          <w:noProof/>
        </w:rPr>
      </w:pPr>
      <w:r w:rsidRPr="002A7F8C">
        <w:rPr>
          <w:noProof/>
        </w:rPr>
        <w:t>6.</w:t>
      </w:r>
      <w:r w:rsidRPr="002A7F8C">
        <w:rPr>
          <w:noProof/>
        </w:rPr>
        <w:tab/>
      </w:r>
      <w:r w:rsidR="00355E72" w:rsidRPr="006A39BB">
        <w:rPr>
          <w:noProof/>
        </w:rPr>
        <w:t>Where authorisation as referred to in paragraph 5 is applied for, the national judicial authority shall control that the decision of ESMA is authentic and that the coercive measures envisaged are neither arbitrary nor excessive having regard to the subject matter of the investigations. In its control of the proportionality of the coercive measures,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of the European Union following the procedure set out in Regulation (EU) No 1095/2010.</w:t>
      </w:r>
    </w:p>
    <w:p w14:paraId="508C5039" w14:textId="77777777" w:rsidR="00355E72" w:rsidRPr="00027382" w:rsidRDefault="00355E72" w:rsidP="00027382">
      <w:pPr>
        <w:pStyle w:val="Titrearticle"/>
        <w:spacing w:line="23" w:lineRule="atLeast"/>
        <w:rPr>
          <w:noProof/>
          <w:szCs w:val="24"/>
        </w:rPr>
      </w:pPr>
      <w:r w:rsidRPr="00027382">
        <w:rPr>
          <w:noProof/>
          <w:szCs w:val="24"/>
        </w:rPr>
        <w:t xml:space="preserve">Article </w:t>
      </w:r>
      <w:r w:rsidR="00816503" w:rsidRPr="00027382">
        <w:rPr>
          <w:noProof/>
          <w:szCs w:val="24"/>
        </w:rPr>
        <w:t>32</w:t>
      </w:r>
    </w:p>
    <w:p w14:paraId="31EE7226" w14:textId="77777777" w:rsidR="00587167" w:rsidRPr="00027382" w:rsidRDefault="00587167" w:rsidP="00027382">
      <w:pPr>
        <w:pStyle w:val="NormalCentered"/>
        <w:rPr>
          <w:b/>
          <w:bCs/>
          <w:noProof/>
          <w:lang w:eastAsia="en-IE"/>
        </w:rPr>
      </w:pPr>
      <w:r w:rsidRPr="00027382">
        <w:rPr>
          <w:b/>
          <w:bCs/>
          <w:noProof/>
          <w:lang w:eastAsia="en-IE"/>
        </w:rPr>
        <w:t>On-site inspections</w:t>
      </w:r>
    </w:p>
    <w:p w14:paraId="239DF4AC" w14:textId="5DB61ACC" w:rsidR="00355E72" w:rsidRPr="006A39BB" w:rsidRDefault="002A7F8C" w:rsidP="002A7F8C">
      <w:pPr>
        <w:pStyle w:val="ManualNumPar1"/>
        <w:rPr>
          <w:noProof/>
        </w:rPr>
      </w:pPr>
      <w:r w:rsidRPr="002A7F8C">
        <w:rPr>
          <w:noProof/>
        </w:rPr>
        <w:t>1.</w:t>
      </w:r>
      <w:r w:rsidRPr="002A7F8C">
        <w:rPr>
          <w:noProof/>
        </w:rPr>
        <w:tab/>
      </w:r>
      <w:r w:rsidR="00355E72" w:rsidRPr="006A39BB">
        <w:rPr>
          <w:noProof/>
        </w:rPr>
        <w:t xml:space="preserve">In order to carry out its duties under this Regulation, ESMA may conduct all necessary on-site inspections at the business premises of the legal persons referred to in Article </w:t>
      </w:r>
      <w:r w:rsidR="00E85FF5" w:rsidRPr="006A39BB">
        <w:rPr>
          <w:noProof/>
        </w:rPr>
        <w:t>30</w:t>
      </w:r>
      <w:r w:rsidR="0079627C">
        <w:rPr>
          <w:noProof/>
        </w:rPr>
        <w:t>(1)</w:t>
      </w:r>
      <w:r w:rsidR="00355E72" w:rsidRPr="006A39BB">
        <w:rPr>
          <w:noProof/>
        </w:rPr>
        <w:t>. Where the proper conduct and efficiency of the inspection so require, ESMA may carry out the on-site inspection without prior announcement.</w:t>
      </w:r>
    </w:p>
    <w:p w14:paraId="7DC02E4B" w14:textId="218DF328" w:rsidR="00355E72" w:rsidRPr="006A39BB" w:rsidRDefault="002A7F8C" w:rsidP="002A7F8C">
      <w:pPr>
        <w:pStyle w:val="ManualNumPar1"/>
        <w:rPr>
          <w:noProof/>
        </w:rPr>
      </w:pPr>
      <w:r w:rsidRPr="002A7F8C">
        <w:rPr>
          <w:noProof/>
        </w:rPr>
        <w:t>2.</w:t>
      </w:r>
      <w:r w:rsidRPr="002A7F8C">
        <w:rPr>
          <w:noProof/>
        </w:rPr>
        <w:tab/>
      </w:r>
      <w:r w:rsidR="00355E72" w:rsidRPr="006A39BB">
        <w:rPr>
          <w:noProof/>
        </w:rPr>
        <w:t xml:space="preserve">The officials of and other persons authorised by ESMA to conduct an on-site inspection may enter any business premises and land of the legal persons subject to an investigation decision adopted by ESMA and shall have all the powers stipulated in Article </w:t>
      </w:r>
      <w:r w:rsidR="008C6101" w:rsidRPr="006A39BB">
        <w:rPr>
          <w:noProof/>
        </w:rPr>
        <w:t>31</w:t>
      </w:r>
      <w:r w:rsidR="00254DC4">
        <w:rPr>
          <w:noProof/>
        </w:rPr>
        <w:t>(1)</w:t>
      </w:r>
      <w:r w:rsidR="00355E72" w:rsidRPr="006A39BB">
        <w:rPr>
          <w:noProof/>
        </w:rPr>
        <w:t>. They shall also have the power to seal any business premises and books or records for the period of, and to the extent necessary for, the inspection.</w:t>
      </w:r>
    </w:p>
    <w:p w14:paraId="50BCDBD8" w14:textId="47765454" w:rsidR="00355E72" w:rsidRPr="006A39BB" w:rsidRDefault="002A7F8C" w:rsidP="002A7F8C">
      <w:pPr>
        <w:pStyle w:val="ManualNumPar1"/>
        <w:rPr>
          <w:noProof/>
        </w:rPr>
      </w:pPr>
      <w:r w:rsidRPr="002A7F8C">
        <w:rPr>
          <w:noProof/>
        </w:rPr>
        <w:t>3.</w:t>
      </w:r>
      <w:r w:rsidRPr="002A7F8C">
        <w:rPr>
          <w:noProof/>
        </w:rPr>
        <w:tab/>
      </w:r>
      <w:r w:rsidR="00355E72" w:rsidRPr="006A39BB">
        <w:rPr>
          <w:noProof/>
        </w:rPr>
        <w:t xml:space="preserve">The officials of and other persons authorised by ESMA to conduct an on-site inspection shall exercise their powers upon production of a written authorisation specifying the subject matter and purpose of the inspection, and the periodic penalty payments provided for in </w:t>
      </w:r>
      <w:r w:rsidR="006A6DAB" w:rsidRPr="006A39BB">
        <w:rPr>
          <w:noProof/>
        </w:rPr>
        <w:t xml:space="preserve">Article </w:t>
      </w:r>
      <w:r w:rsidR="00DF28AC" w:rsidRPr="006A39BB">
        <w:rPr>
          <w:noProof/>
        </w:rPr>
        <w:t>31</w:t>
      </w:r>
      <w:r w:rsidR="006A6DAB" w:rsidRPr="006A39BB" w:rsidDel="006A6DAB">
        <w:rPr>
          <w:noProof/>
        </w:rPr>
        <w:t xml:space="preserve"> </w:t>
      </w:r>
      <w:r w:rsidR="00355E72" w:rsidRPr="006A39BB">
        <w:rPr>
          <w:noProof/>
        </w:rPr>
        <w:t>where the persons concerned do not submit to the inspection. In good time before the inspection, ESMA shall give notice of the inspection to the competent authority of the Member State where it is to be conducted.</w:t>
      </w:r>
    </w:p>
    <w:p w14:paraId="784ADD2F" w14:textId="04C9A973" w:rsidR="00355E72" w:rsidRPr="006A39BB" w:rsidRDefault="002A7F8C" w:rsidP="002A7F8C">
      <w:pPr>
        <w:pStyle w:val="ManualNumPar1"/>
        <w:rPr>
          <w:noProof/>
        </w:rPr>
      </w:pPr>
      <w:r w:rsidRPr="002A7F8C">
        <w:rPr>
          <w:noProof/>
        </w:rPr>
        <w:t>4.</w:t>
      </w:r>
      <w:r w:rsidRPr="002A7F8C">
        <w:rPr>
          <w:noProof/>
        </w:rPr>
        <w:tab/>
      </w:r>
      <w:r w:rsidR="00355E72" w:rsidRPr="006A39BB">
        <w:rPr>
          <w:noProof/>
        </w:rPr>
        <w:t xml:space="preserve">The persons referred to in </w:t>
      </w:r>
      <w:r w:rsidR="006A6DAB" w:rsidRPr="006A39BB">
        <w:rPr>
          <w:noProof/>
        </w:rPr>
        <w:t xml:space="preserve">Article </w:t>
      </w:r>
      <w:r w:rsidR="000010FA" w:rsidRPr="006A39BB">
        <w:rPr>
          <w:noProof/>
        </w:rPr>
        <w:t>30</w:t>
      </w:r>
      <w:r w:rsidR="00254DC4">
        <w:rPr>
          <w:noProof/>
        </w:rPr>
        <w:t>(1)</w:t>
      </w:r>
      <w:r w:rsidR="00355E72" w:rsidRPr="006A39BB">
        <w:rPr>
          <w:noProof/>
        </w:rPr>
        <w:t xml:space="preserve"> shall submit to on-site inspections ordered by decision of ESMA. The decision shall specify the subject matter and purpose of the inspection, specify the date on which it is to begin and indicate the periodic penalty payments provided for in </w:t>
      </w:r>
      <w:r w:rsidR="006A6DAB" w:rsidRPr="006A39BB">
        <w:rPr>
          <w:noProof/>
        </w:rPr>
        <w:t xml:space="preserve">Article </w:t>
      </w:r>
      <w:r w:rsidR="00DF28AC" w:rsidRPr="006A39BB">
        <w:rPr>
          <w:noProof/>
        </w:rPr>
        <w:t>31</w:t>
      </w:r>
      <w:r w:rsidR="00355E72" w:rsidRPr="006A39BB">
        <w:rPr>
          <w:noProof/>
        </w:rPr>
        <w:t>, the legal remedies available under Regulation (EU) No 1095/2010 as well as the right to have the decision reviewed by the Court of Justice of the European Union. ESMA shall take such decisions after consulting the competent authority of the Member State where the inspection is to be conducted.</w:t>
      </w:r>
    </w:p>
    <w:p w14:paraId="6B144D9B" w14:textId="052C0508" w:rsidR="00355E72" w:rsidRPr="006A39BB" w:rsidRDefault="002A7F8C" w:rsidP="002A7F8C">
      <w:pPr>
        <w:pStyle w:val="ManualNumPar1"/>
        <w:rPr>
          <w:noProof/>
        </w:rPr>
      </w:pPr>
      <w:r w:rsidRPr="002A7F8C">
        <w:rPr>
          <w:noProof/>
        </w:rPr>
        <w:t>5.</w:t>
      </w:r>
      <w:r w:rsidRPr="002A7F8C">
        <w:rPr>
          <w:noProof/>
        </w:rPr>
        <w:tab/>
      </w:r>
      <w:r w:rsidR="00355E72" w:rsidRPr="006A39BB">
        <w:rPr>
          <w:noProof/>
        </w:rPr>
        <w:t>Officials of, as well as those authorised or appointed by, the competent authority of the Member State where the inspection is to be conducted shall, upon the request of ESMA, actively assist the officials of and other persons authorised by ESMA. To that end, they shall enjoy the powers set out in paragraph 2. Officials of the competent authority of the Member State concerned may also attend the on-site inspections upon request.</w:t>
      </w:r>
    </w:p>
    <w:p w14:paraId="04F22521" w14:textId="659E4E3A" w:rsidR="00355E72" w:rsidRPr="006A39BB" w:rsidRDefault="002A7F8C" w:rsidP="002A7F8C">
      <w:pPr>
        <w:pStyle w:val="ManualNumPar1"/>
        <w:rPr>
          <w:noProof/>
        </w:rPr>
      </w:pPr>
      <w:r w:rsidRPr="002A7F8C">
        <w:rPr>
          <w:noProof/>
        </w:rPr>
        <w:t>6.</w:t>
      </w:r>
      <w:r w:rsidRPr="002A7F8C">
        <w:rPr>
          <w:noProof/>
        </w:rPr>
        <w:tab/>
      </w:r>
      <w:r w:rsidR="00355E72" w:rsidRPr="006A39BB">
        <w:rPr>
          <w:noProof/>
        </w:rPr>
        <w:t xml:space="preserve">ESMA may also require competent authorities to carry out specific investigatory tasks and on-site inspections as provided for in this Article and in </w:t>
      </w:r>
      <w:r w:rsidR="001337D4" w:rsidRPr="006A39BB">
        <w:rPr>
          <w:noProof/>
        </w:rPr>
        <w:t>Article 31</w:t>
      </w:r>
      <w:r w:rsidR="00965E20">
        <w:rPr>
          <w:noProof/>
        </w:rPr>
        <w:t>(1)</w:t>
      </w:r>
      <w:r w:rsidR="00355E72" w:rsidRPr="006A39BB">
        <w:rPr>
          <w:noProof/>
        </w:rPr>
        <w:t xml:space="preserve"> on its behalf. To that end, competent authorities shall enjoy the same powers as ESMA as set out in this Article and in </w:t>
      </w:r>
      <w:r w:rsidR="00B91D60" w:rsidRPr="006A39BB">
        <w:rPr>
          <w:noProof/>
        </w:rPr>
        <w:t>Article 31</w:t>
      </w:r>
      <w:r w:rsidR="00247760">
        <w:rPr>
          <w:noProof/>
        </w:rPr>
        <w:t>(1)</w:t>
      </w:r>
      <w:r w:rsidR="00355E72" w:rsidRPr="006A39BB">
        <w:rPr>
          <w:noProof/>
        </w:rPr>
        <w:t>.</w:t>
      </w:r>
    </w:p>
    <w:p w14:paraId="5887132A" w14:textId="00841174" w:rsidR="00355E72" w:rsidRPr="006A39BB" w:rsidRDefault="002A7F8C" w:rsidP="002A7F8C">
      <w:pPr>
        <w:pStyle w:val="ManualNumPar1"/>
        <w:rPr>
          <w:noProof/>
        </w:rPr>
      </w:pPr>
      <w:r w:rsidRPr="002A7F8C">
        <w:rPr>
          <w:noProof/>
        </w:rPr>
        <w:t>7.</w:t>
      </w:r>
      <w:r w:rsidRPr="002A7F8C">
        <w:rPr>
          <w:noProof/>
        </w:rPr>
        <w:tab/>
      </w:r>
      <w:r w:rsidR="00355E72" w:rsidRPr="006A39BB">
        <w:rPr>
          <w:noProof/>
        </w:rPr>
        <w:t xml:space="preserve">Where the officials of and other accompanying persons authorised by ESMA find that a person opposes an inspection ordered pursuant to this Article, the competent authority of the Member State concerned shall afford them the necessary assistance, requesting, where </w:t>
      </w:r>
      <w:r w:rsidR="00C92149" w:rsidRPr="006A39BB">
        <w:rPr>
          <w:noProof/>
        </w:rPr>
        <w:t>appro</w:t>
      </w:r>
      <w:r w:rsidR="00355E72" w:rsidRPr="006A39BB">
        <w:rPr>
          <w:noProof/>
        </w:rPr>
        <w:t>priate, the assistance of the police or of an equivalent enforcement authority, so as to enable them to conduct their on-site inspection.</w:t>
      </w:r>
    </w:p>
    <w:p w14:paraId="50F72A98" w14:textId="3D765ABE" w:rsidR="00355E72" w:rsidRPr="006A39BB" w:rsidRDefault="002A7F8C" w:rsidP="002A7F8C">
      <w:pPr>
        <w:pStyle w:val="ManualNumPar1"/>
        <w:rPr>
          <w:noProof/>
        </w:rPr>
      </w:pPr>
      <w:r w:rsidRPr="002A7F8C">
        <w:rPr>
          <w:noProof/>
        </w:rPr>
        <w:t>8.</w:t>
      </w:r>
      <w:r w:rsidRPr="002A7F8C">
        <w:rPr>
          <w:noProof/>
        </w:rPr>
        <w:tab/>
      </w:r>
      <w:r w:rsidR="00355E72" w:rsidRPr="006A39BB">
        <w:rPr>
          <w:noProof/>
        </w:rPr>
        <w:t>If the on-site inspection provided for in paragraph 1 or the assistance provided for in paragraph 7 requires authorisation by a judicial authority according to national rules, such authorisation shall be applied for. Such authorisation may also be applied for as a precautionary measure.</w:t>
      </w:r>
    </w:p>
    <w:p w14:paraId="3529D81F" w14:textId="3FA87AA8" w:rsidR="00355E72" w:rsidRPr="006A39BB" w:rsidRDefault="002A7F8C" w:rsidP="002A7F8C">
      <w:pPr>
        <w:pStyle w:val="ManualNumPar1"/>
        <w:rPr>
          <w:noProof/>
        </w:rPr>
      </w:pPr>
      <w:r w:rsidRPr="002A7F8C">
        <w:rPr>
          <w:noProof/>
        </w:rPr>
        <w:t>9.</w:t>
      </w:r>
      <w:r w:rsidRPr="002A7F8C">
        <w:rPr>
          <w:noProof/>
        </w:rPr>
        <w:tab/>
      </w:r>
      <w:r w:rsidR="00355E72" w:rsidRPr="006A39BB">
        <w:rPr>
          <w:noProof/>
        </w:rPr>
        <w:t>Where authorisation as referred to in paragraph 8 is applied for, the national judicial authority shall control that the decision of ESMA is authentic and that the coercive measures envisaged are neither arbitrary nor excessive having regard to the subject matter of the inspection. In its control of the proportionality of the coercive measures,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inspection or demand to be provided with the information on ESMA's file. The lawfulness of ESMA's decision shall be subject to review only by the Court of Justice of the European Union following the procedure set out in Regulation (EU)</w:t>
      </w:r>
      <w:r w:rsidR="008C6EC0" w:rsidRPr="006A39BB">
        <w:rPr>
          <w:noProof/>
        </w:rPr>
        <w:t xml:space="preserve"> </w:t>
      </w:r>
      <w:r w:rsidR="00355E72" w:rsidRPr="006A39BB">
        <w:rPr>
          <w:noProof/>
        </w:rPr>
        <w:t>No 1095/2010.</w:t>
      </w:r>
    </w:p>
    <w:p w14:paraId="2154DB01" w14:textId="77777777" w:rsidR="007C28A8" w:rsidRPr="00027382" w:rsidRDefault="0013112E" w:rsidP="00027382">
      <w:pPr>
        <w:pStyle w:val="NormalCentered"/>
        <w:rPr>
          <w:noProof/>
        </w:rPr>
      </w:pPr>
      <w:r w:rsidRPr="00027382">
        <w:rPr>
          <w:noProof/>
        </w:rPr>
        <w:t>S</w:t>
      </w:r>
      <w:r w:rsidR="003B1EF9" w:rsidRPr="00027382">
        <w:rPr>
          <w:noProof/>
        </w:rPr>
        <w:t>ection 2</w:t>
      </w:r>
    </w:p>
    <w:p w14:paraId="4F62829D" w14:textId="77777777" w:rsidR="007C28A8" w:rsidRPr="006A39BB" w:rsidRDefault="007C28A8" w:rsidP="00027382">
      <w:pPr>
        <w:pStyle w:val="NormalCentered"/>
        <w:rPr>
          <w:b/>
          <w:bCs/>
          <w:noProof/>
          <w:lang w:eastAsia="en-IE"/>
        </w:rPr>
      </w:pPr>
      <w:r w:rsidRPr="006A39BB">
        <w:rPr>
          <w:b/>
          <w:bCs/>
          <w:noProof/>
          <w:lang w:eastAsia="en-IE"/>
        </w:rPr>
        <w:t>Administrative sanctions and other administrative measures</w:t>
      </w:r>
    </w:p>
    <w:p w14:paraId="1139A54B" w14:textId="77777777" w:rsidR="007C28A8" w:rsidRPr="00027382" w:rsidRDefault="007C28A8" w:rsidP="00027382">
      <w:pPr>
        <w:pStyle w:val="Titrearticle"/>
        <w:spacing w:line="23" w:lineRule="atLeast"/>
        <w:rPr>
          <w:noProof/>
          <w:szCs w:val="24"/>
        </w:rPr>
      </w:pPr>
      <w:r w:rsidRPr="00027382">
        <w:rPr>
          <w:noProof/>
          <w:szCs w:val="24"/>
        </w:rPr>
        <w:t xml:space="preserve">Article </w:t>
      </w:r>
      <w:r w:rsidR="00816503" w:rsidRPr="00027382">
        <w:rPr>
          <w:noProof/>
          <w:szCs w:val="24"/>
        </w:rPr>
        <w:t>33</w:t>
      </w:r>
    </w:p>
    <w:p w14:paraId="6B86E311" w14:textId="77777777" w:rsidR="007C28A8" w:rsidRPr="00027382" w:rsidRDefault="007C28A8" w:rsidP="00027382">
      <w:pPr>
        <w:pStyle w:val="NormalCentered"/>
        <w:rPr>
          <w:b/>
          <w:bCs/>
          <w:noProof/>
          <w:lang w:eastAsia="en-IE"/>
        </w:rPr>
      </w:pPr>
      <w:r w:rsidRPr="00027382">
        <w:rPr>
          <w:b/>
          <w:bCs/>
          <w:noProof/>
          <w:lang w:eastAsia="en-IE"/>
        </w:rPr>
        <w:t>Supervisory measures by ESMA</w:t>
      </w:r>
    </w:p>
    <w:p w14:paraId="30C2058D" w14:textId="656A721C" w:rsidR="007C28A8" w:rsidRPr="006A39BB" w:rsidRDefault="002A7F8C" w:rsidP="002A7F8C">
      <w:pPr>
        <w:pStyle w:val="ManualNumPar1"/>
        <w:rPr>
          <w:noProof/>
        </w:rPr>
      </w:pPr>
      <w:r w:rsidRPr="002A7F8C">
        <w:rPr>
          <w:noProof/>
        </w:rPr>
        <w:t>1.</w:t>
      </w:r>
      <w:r w:rsidRPr="002A7F8C">
        <w:rPr>
          <w:noProof/>
        </w:rPr>
        <w:tab/>
      </w:r>
      <w:r w:rsidR="007C28A8" w:rsidRPr="006A39BB">
        <w:rPr>
          <w:noProof/>
        </w:rPr>
        <w:t>Where</w:t>
      </w:r>
      <w:r w:rsidR="007D3EEB" w:rsidRPr="006A39BB">
        <w:rPr>
          <w:noProof/>
        </w:rPr>
        <w:t xml:space="preserve"> </w:t>
      </w:r>
      <w:r w:rsidR="007C28A8" w:rsidRPr="006A39BB">
        <w:rPr>
          <w:noProof/>
        </w:rPr>
        <w:t>ESMA</w:t>
      </w:r>
      <w:r w:rsidR="003A4A1A" w:rsidRPr="006A39BB">
        <w:rPr>
          <w:noProof/>
        </w:rPr>
        <w:t>’</w:t>
      </w:r>
      <w:r w:rsidR="00ED0F1B" w:rsidRPr="006A39BB">
        <w:rPr>
          <w:noProof/>
        </w:rPr>
        <w:t xml:space="preserve"> </w:t>
      </w:r>
      <w:r w:rsidR="007C28A8" w:rsidRPr="006A39BB">
        <w:rPr>
          <w:noProof/>
        </w:rPr>
        <w:t xml:space="preserve">finds that a </w:t>
      </w:r>
      <w:r w:rsidR="00ED0F1B" w:rsidRPr="006A39BB">
        <w:rPr>
          <w:noProof/>
        </w:rPr>
        <w:t xml:space="preserve">ESG rating provider </w:t>
      </w:r>
      <w:r w:rsidR="007C28A8" w:rsidRPr="006A39BB">
        <w:rPr>
          <w:noProof/>
        </w:rPr>
        <w:t xml:space="preserve">has </w:t>
      </w:r>
      <w:r w:rsidR="00194424" w:rsidRPr="006A39BB">
        <w:rPr>
          <w:noProof/>
        </w:rPr>
        <w:t>not complied with its obligations under</w:t>
      </w:r>
      <w:r w:rsidR="004D5C60" w:rsidRPr="006A39BB">
        <w:rPr>
          <w:noProof/>
        </w:rPr>
        <w:t xml:space="preserve"> this Regulation</w:t>
      </w:r>
      <w:r w:rsidR="007C28A8" w:rsidRPr="006A39BB">
        <w:rPr>
          <w:noProof/>
        </w:rPr>
        <w:t xml:space="preserve">, it shall take one or more of the following </w:t>
      </w:r>
      <w:r w:rsidR="003B1EF9">
        <w:rPr>
          <w:noProof/>
        </w:rPr>
        <w:t>supervisory measures</w:t>
      </w:r>
      <w:r w:rsidR="007C28A8" w:rsidRPr="006A39BB">
        <w:rPr>
          <w:noProof/>
        </w:rPr>
        <w:t>:</w:t>
      </w:r>
    </w:p>
    <w:p w14:paraId="1E5BCE29" w14:textId="28AF3AAB" w:rsidR="00F824FE" w:rsidRPr="006A39BB" w:rsidRDefault="002A7F8C" w:rsidP="002A7F8C">
      <w:pPr>
        <w:pStyle w:val="Point1"/>
        <w:rPr>
          <w:noProof/>
        </w:rPr>
      </w:pPr>
      <w:r w:rsidRPr="002A7F8C">
        <w:rPr>
          <w:noProof/>
        </w:rPr>
        <w:t>(a)</w:t>
      </w:r>
      <w:r w:rsidRPr="002A7F8C">
        <w:rPr>
          <w:noProof/>
        </w:rPr>
        <w:tab/>
      </w:r>
      <w:r w:rsidR="00F824FE" w:rsidRPr="006A39BB">
        <w:rPr>
          <w:noProof/>
        </w:rPr>
        <w:t>withdraw the authorisation of the ESG rating provider;</w:t>
      </w:r>
    </w:p>
    <w:p w14:paraId="4300CFDD" w14:textId="25A79296" w:rsidR="00F824FE" w:rsidRPr="006A39BB" w:rsidRDefault="002A7F8C" w:rsidP="002A7F8C">
      <w:pPr>
        <w:pStyle w:val="Point1"/>
        <w:rPr>
          <w:noProof/>
        </w:rPr>
      </w:pPr>
      <w:r w:rsidRPr="002A7F8C">
        <w:rPr>
          <w:noProof/>
        </w:rPr>
        <w:t>(b)</w:t>
      </w:r>
      <w:r w:rsidRPr="002A7F8C">
        <w:rPr>
          <w:noProof/>
        </w:rPr>
        <w:tab/>
      </w:r>
      <w:r w:rsidR="00F824FE" w:rsidRPr="006A39BB">
        <w:rPr>
          <w:noProof/>
        </w:rPr>
        <w:t>temporarily prohibit the ESG rating provider from providing ESG ratings, until the infringement has been brought to an end;</w:t>
      </w:r>
    </w:p>
    <w:p w14:paraId="11332A61" w14:textId="78245A42" w:rsidR="00F824FE" w:rsidRPr="006A39BB" w:rsidRDefault="002A7F8C" w:rsidP="002A7F8C">
      <w:pPr>
        <w:pStyle w:val="Point1"/>
        <w:rPr>
          <w:noProof/>
        </w:rPr>
      </w:pPr>
      <w:r w:rsidRPr="002A7F8C">
        <w:rPr>
          <w:noProof/>
        </w:rPr>
        <w:t>(c)</w:t>
      </w:r>
      <w:r w:rsidRPr="002A7F8C">
        <w:rPr>
          <w:noProof/>
        </w:rPr>
        <w:tab/>
      </w:r>
      <w:r w:rsidR="00F824FE" w:rsidRPr="006A39BB">
        <w:rPr>
          <w:noProof/>
        </w:rPr>
        <w:t>suspend the use of the ESG ratings provided by the ESG rating provider, until the infringement has been brought to an end;</w:t>
      </w:r>
    </w:p>
    <w:p w14:paraId="72ED7D96" w14:textId="25458C4E" w:rsidR="007C28A8" w:rsidRPr="006A39BB" w:rsidRDefault="002A7F8C" w:rsidP="002A7F8C">
      <w:pPr>
        <w:pStyle w:val="Point1"/>
        <w:rPr>
          <w:noProof/>
        </w:rPr>
      </w:pPr>
      <w:r w:rsidRPr="002A7F8C">
        <w:rPr>
          <w:noProof/>
        </w:rPr>
        <w:t>(d)</w:t>
      </w:r>
      <w:r w:rsidRPr="002A7F8C">
        <w:rPr>
          <w:noProof/>
        </w:rPr>
        <w:tab/>
      </w:r>
      <w:r w:rsidR="007C28A8" w:rsidRPr="006A39BB">
        <w:rPr>
          <w:noProof/>
        </w:rPr>
        <w:t>requir</w:t>
      </w:r>
      <w:r w:rsidR="003B1EF9">
        <w:rPr>
          <w:noProof/>
        </w:rPr>
        <w:t>e</w:t>
      </w:r>
      <w:r w:rsidR="007C28A8" w:rsidRPr="006A39BB">
        <w:rPr>
          <w:noProof/>
        </w:rPr>
        <w:t xml:space="preserve"> the </w:t>
      </w:r>
      <w:r w:rsidR="00ED0F1B" w:rsidRPr="006A39BB">
        <w:rPr>
          <w:noProof/>
        </w:rPr>
        <w:t xml:space="preserve">ESG rating provider </w:t>
      </w:r>
      <w:r w:rsidR="007C28A8" w:rsidRPr="006A39BB">
        <w:rPr>
          <w:noProof/>
        </w:rPr>
        <w:t>to bring the infringement to an end;</w:t>
      </w:r>
    </w:p>
    <w:p w14:paraId="1BF7E618" w14:textId="4BB97836" w:rsidR="007C28A8" w:rsidRPr="006A39BB" w:rsidRDefault="002A7F8C" w:rsidP="002A7F8C">
      <w:pPr>
        <w:pStyle w:val="Point1"/>
        <w:rPr>
          <w:noProof/>
        </w:rPr>
      </w:pPr>
      <w:r w:rsidRPr="002A7F8C">
        <w:rPr>
          <w:noProof/>
        </w:rPr>
        <w:t>(e)</w:t>
      </w:r>
      <w:r w:rsidRPr="002A7F8C">
        <w:rPr>
          <w:noProof/>
        </w:rPr>
        <w:tab/>
      </w:r>
      <w:r w:rsidR="007C28A8" w:rsidRPr="006A39BB">
        <w:rPr>
          <w:noProof/>
        </w:rPr>
        <w:t>impos</w:t>
      </w:r>
      <w:r w:rsidR="003B1EF9">
        <w:rPr>
          <w:noProof/>
        </w:rPr>
        <w:t>e</w:t>
      </w:r>
      <w:r w:rsidR="007C28A8" w:rsidRPr="006A39BB">
        <w:rPr>
          <w:noProof/>
        </w:rPr>
        <w:t xml:space="preserve"> fines pursuant to Article </w:t>
      </w:r>
      <w:r w:rsidR="00B91D60" w:rsidRPr="006A39BB">
        <w:rPr>
          <w:noProof/>
        </w:rPr>
        <w:t>34</w:t>
      </w:r>
      <w:r w:rsidR="007C28A8" w:rsidRPr="006A39BB">
        <w:rPr>
          <w:noProof/>
        </w:rPr>
        <w:t>;</w:t>
      </w:r>
    </w:p>
    <w:p w14:paraId="1042F147" w14:textId="497FED25" w:rsidR="007C28A8" w:rsidRPr="006A39BB" w:rsidRDefault="002A7F8C" w:rsidP="002A7F8C">
      <w:pPr>
        <w:pStyle w:val="Point1"/>
        <w:rPr>
          <w:noProof/>
        </w:rPr>
      </w:pPr>
      <w:r w:rsidRPr="002A7F8C">
        <w:rPr>
          <w:noProof/>
        </w:rPr>
        <w:t>(f)</w:t>
      </w:r>
      <w:r w:rsidRPr="002A7F8C">
        <w:rPr>
          <w:noProof/>
        </w:rPr>
        <w:tab/>
      </w:r>
      <w:r w:rsidR="007C28A8" w:rsidRPr="006A39BB">
        <w:rPr>
          <w:noProof/>
        </w:rPr>
        <w:t>issue public notices.</w:t>
      </w:r>
    </w:p>
    <w:p w14:paraId="732EDA00" w14:textId="65F029C9" w:rsidR="00862065" w:rsidRPr="006A39BB" w:rsidRDefault="002A7F8C" w:rsidP="002A7F8C">
      <w:pPr>
        <w:pStyle w:val="ManualNumPar1"/>
        <w:rPr>
          <w:noProof/>
        </w:rPr>
      </w:pPr>
      <w:r w:rsidRPr="002A7F8C">
        <w:rPr>
          <w:noProof/>
        </w:rPr>
        <w:t>2.</w:t>
      </w:r>
      <w:r w:rsidRPr="002A7F8C">
        <w:rPr>
          <w:noProof/>
        </w:rPr>
        <w:tab/>
      </w:r>
      <w:r w:rsidR="00A86475" w:rsidRPr="006A39BB">
        <w:rPr>
          <w:noProof/>
        </w:rPr>
        <w:t xml:space="preserve">The </w:t>
      </w:r>
      <w:r w:rsidR="003B1EF9">
        <w:rPr>
          <w:noProof/>
        </w:rPr>
        <w:t>supervisory measures referred to in paragraph 1</w:t>
      </w:r>
      <w:r w:rsidR="00A86475" w:rsidRPr="006A39BB">
        <w:rPr>
          <w:noProof/>
        </w:rPr>
        <w:t xml:space="preserve"> shall be effective, proportionate</w:t>
      </w:r>
      <w:r w:rsidR="009272BA">
        <w:rPr>
          <w:noProof/>
        </w:rPr>
        <w:t>,</w:t>
      </w:r>
      <w:r w:rsidR="00A86475" w:rsidRPr="006A39BB">
        <w:rPr>
          <w:noProof/>
        </w:rPr>
        <w:t xml:space="preserve"> and dissuasive.</w:t>
      </w:r>
    </w:p>
    <w:p w14:paraId="676E2E74" w14:textId="7C5F0FDA" w:rsidR="007C28A8" w:rsidRPr="006A39BB" w:rsidRDefault="002A7F8C" w:rsidP="002A7F8C">
      <w:pPr>
        <w:pStyle w:val="ManualNumPar1"/>
        <w:rPr>
          <w:noProof/>
        </w:rPr>
      </w:pPr>
      <w:r w:rsidRPr="002A7F8C">
        <w:rPr>
          <w:noProof/>
        </w:rPr>
        <w:t>3.</w:t>
      </w:r>
      <w:r w:rsidRPr="002A7F8C">
        <w:rPr>
          <w:noProof/>
        </w:rPr>
        <w:tab/>
      </w:r>
      <w:r w:rsidR="007C28A8" w:rsidRPr="006A39BB">
        <w:rPr>
          <w:noProof/>
        </w:rPr>
        <w:t xml:space="preserve">When taking the </w:t>
      </w:r>
      <w:r w:rsidR="003B1EF9">
        <w:rPr>
          <w:noProof/>
        </w:rPr>
        <w:t>supervisory measures</w:t>
      </w:r>
      <w:r w:rsidR="007C28A8" w:rsidRPr="006A39BB">
        <w:rPr>
          <w:noProof/>
        </w:rPr>
        <w:t xml:space="preserve"> referred to in paragraph 1, ESMA shall take into account the nature and seriousness of the infringement, having regard to the following criteria:</w:t>
      </w:r>
    </w:p>
    <w:p w14:paraId="08F90D1B" w14:textId="3B95C97A" w:rsidR="007C28A8" w:rsidRPr="006A39BB" w:rsidRDefault="002A7F8C" w:rsidP="002A7F8C">
      <w:pPr>
        <w:pStyle w:val="Point1"/>
        <w:rPr>
          <w:noProof/>
        </w:rPr>
      </w:pPr>
      <w:r w:rsidRPr="002A7F8C">
        <w:rPr>
          <w:noProof/>
        </w:rPr>
        <w:t>(a)</w:t>
      </w:r>
      <w:r w:rsidRPr="002A7F8C">
        <w:rPr>
          <w:noProof/>
        </w:rPr>
        <w:tab/>
      </w:r>
      <w:r w:rsidR="007C28A8" w:rsidRPr="006A39BB">
        <w:rPr>
          <w:noProof/>
        </w:rPr>
        <w:t>the duration and frequency of the infringement;</w:t>
      </w:r>
    </w:p>
    <w:p w14:paraId="55788D0A" w14:textId="1217F16E" w:rsidR="007C28A8" w:rsidRPr="006A39BB" w:rsidRDefault="002A7F8C" w:rsidP="002A7F8C">
      <w:pPr>
        <w:pStyle w:val="Point1"/>
        <w:rPr>
          <w:noProof/>
        </w:rPr>
      </w:pPr>
      <w:r w:rsidRPr="002A7F8C">
        <w:rPr>
          <w:noProof/>
        </w:rPr>
        <w:t>(b)</w:t>
      </w:r>
      <w:r w:rsidRPr="002A7F8C">
        <w:rPr>
          <w:noProof/>
        </w:rPr>
        <w:tab/>
      </w:r>
      <w:r w:rsidR="007C28A8" w:rsidRPr="006A39BB">
        <w:rPr>
          <w:noProof/>
        </w:rPr>
        <w:t>whether financial crime has been occasioned, facilitated or otherwise attributable to the infringement;</w:t>
      </w:r>
    </w:p>
    <w:p w14:paraId="0CC7965F" w14:textId="3D2D68BD" w:rsidR="007C28A8" w:rsidRPr="006A39BB" w:rsidRDefault="002A7F8C" w:rsidP="002A7F8C">
      <w:pPr>
        <w:pStyle w:val="Point1"/>
        <w:rPr>
          <w:noProof/>
        </w:rPr>
      </w:pPr>
      <w:r w:rsidRPr="002A7F8C">
        <w:rPr>
          <w:noProof/>
        </w:rPr>
        <w:t>(c)</w:t>
      </w:r>
      <w:r w:rsidRPr="002A7F8C">
        <w:rPr>
          <w:noProof/>
        </w:rPr>
        <w:tab/>
      </w:r>
      <w:r w:rsidR="007C28A8" w:rsidRPr="006A39BB">
        <w:rPr>
          <w:noProof/>
        </w:rPr>
        <w:t>whether the infringement has been committed intentionally or negligently;</w:t>
      </w:r>
    </w:p>
    <w:p w14:paraId="5FE076E7" w14:textId="45CF4F99" w:rsidR="007C28A8" w:rsidRPr="006A39BB" w:rsidRDefault="002A7F8C" w:rsidP="002A7F8C">
      <w:pPr>
        <w:pStyle w:val="Point1"/>
        <w:rPr>
          <w:noProof/>
        </w:rPr>
      </w:pPr>
      <w:r w:rsidRPr="002A7F8C">
        <w:rPr>
          <w:noProof/>
        </w:rPr>
        <w:t>(d)</w:t>
      </w:r>
      <w:r w:rsidRPr="002A7F8C">
        <w:rPr>
          <w:noProof/>
        </w:rPr>
        <w:tab/>
      </w:r>
      <w:r w:rsidR="007C28A8" w:rsidRPr="006A39BB">
        <w:rPr>
          <w:noProof/>
        </w:rPr>
        <w:t>the degree of responsibility of the person responsible for the infringement;</w:t>
      </w:r>
    </w:p>
    <w:p w14:paraId="413E6531" w14:textId="7922C43D" w:rsidR="007C28A8" w:rsidRPr="006A39BB" w:rsidRDefault="002A7F8C" w:rsidP="002A7F8C">
      <w:pPr>
        <w:pStyle w:val="Point1"/>
        <w:rPr>
          <w:noProof/>
        </w:rPr>
      </w:pPr>
      <w:r w:rsidRPr="002A7F8C">
        <w:rPr>
          <w:noProof/>
        </w:rPr>
        <w:t>(e)</w:t>
      </w:r>
      <w:r w:rsidRPr="002A7F8C">
        <w:rPr>
          <w:noProof/>
        </w:rPr>
        <w:tab/>
      </w:r>
      <w:r w:rsidR="007C28A8" w:rsidRPr="006A39BB">
        <w:rPr>
          <w:noProof/>
        </w:rPr>
        <w:t xml:space="preserve">the financial strength of the </w:t>
      </w:r>
      <w:r w:rsidR="340BF135" w:rsidRPr="006A39BB">
        <w:rPr>
          <w:noProof/>
        </w:rPr>
        <w:t>ESG rating provider</w:t>
      </w:r>
      <w:r w:rsidR="007C28A8" w:rsidRPr="006A39BB">
        <w:rPr>
          <w:noProof/>
        </w:rPr>
        <w:t xml:space="preserve">, as indicated by </w:t>
      </w:r>
      <w:r w:rsidR="340BF135" w:rsidRPr="006A39BB">
        <w:rPr>
          <w:noProof/>
        </w:rPr>
        <w:t xml:space="preserve">its </w:t>
      </w:r>
      <w:r w:rsidR="007C28A8" w:rsidRPr="006A39BB">
        <w:rPr>
          <w:noProof/>
        </w:rPr>
        <w:t xml:space="preserve">total </w:t>
      </w:r>
      <w:r w:rsidR="00F25509">
        <w:rPr>
          <w:noProof/>
        </w:rPr>
        <w:t xml:space="preserve">annual net </w:t>
      </w:r>
      <w:r w:rsidR="007C28A8" w:rsidRPr="006A39BB">
        <w:rPr>
          <w:noProof/>
        </w:rPr>
        <w:t>turnover;</w:t>
      </w:r>
    </w:p>
    <w:p w14:paraId="11BCEA83" w14:textId="468BB81B" w:rsidR="007C28A8" w:rsidRPr="006A39BB" w:rsidRDefault="002A7F8C" w:rsidP="002A7F8C">
      <w:pPr>
        <w:pStyle w:val="Point1"/>
        <w:rPr>
          <w:noProof/>
        </w:rPr>
      </w:pPr>
      <w:r w:rsidRPr="002A7F8C">
        <w:rPr>
          <w:noProof/>
        </w:rPr>
        <w:t>(f)</w:t>
      </w:r>
      <w:r w:rsidRPr="002A7F8C">
        <w:rPr>
          <w:noProof/>
        </w:rPr>
        <w:tab/>
      </w:r>
      <w:r w:rsidR="007C28A8" w:rsidRPr="006A39BB">
        <w:rPr>
          <w:noProof/>
        </w:rPr>
        <w:t>the impact of the infringement on retail investors’ interests;</w:t>
      </w:r>
    </w:p>
    <w:p w14:paraId="177D51AC" w14:textId="1B55D2FB" w:rsidR="007C28A8" w:rsidRPr="006A39BB" w:rsidRDefault="002A7F8C" w:rsidP="002A7F8C">
      <w:pPr>
        <w:pStyle w:val="Point1"/>
        <w:rPr>
          <w:noProof/>
        </w:rPr>
      </w:pPr>
      <w:r w:rsidRPr="002A7F8C">
        <w:rPr>
          <w:noProof/>
        </w:rPr>
        <w:t>(g)</w:t>
      </w:r>
      <w:r w:rsidRPr="002A7F8C">
        <w:rPr>
          <w:noProof/>
        </w:rPr>
        <w:tab/>
      </w:r>
      <w:r w:rsidR="007C28A8" w:rsidRPr="006A39BB">
        <w:rPr>
          <w:noProof/>
        </w:rPr>
        <w:t>the importance of the profits gained</w:t>
      </w:r>
      <w:r w:rsidR="003B1EF9">
        <w:rPr>
          <w:noProof/>
        </w:rPr>
        <w:t xml:space="preserve"> and</w:t>
      </w:r>
      <w:r w:rsidR="007C28A8" w:rsidRPr="006A39BB">
        <w:rPr>
          <w:noProof/>
        </w:rPr>
        <w:t xml:space="preserve"> losses avoided by the </w:t>
      </w:r>
      <w:r w:rsidR="00EE4704" w:rsidRPr="006A39BB">
        <w:rPr>
          <w:noProof/>
        </w:rPr>
        <w:t xml:space="preserve">ESG rating provider </w:t>
      </w:r>
      <w:r w:rsidR="007C28A8" w:rsidRPr="006A39BB">
        <w:rPr>
          <w:noProof/>
        </w:rPr>
        <w:t xml:space="preserve">or the losses for third parties derived from the infringement, insofar as </w:t>
      </w:r>
      <w:r w:rsidR="003B1EF9">
        <w:rPr>
          <w:noProof/>
        </w:rPr>
        <w:t xml:space="preserve">such profits and losses </w:t>
      </w:r>
      <w:r w:rsidR="007C28A8" w:rsidRPr="006A39BB">
        <w:rPr>
          <w:noProof/>
        </w:rPr>
        <w:t xml:space="preserve"> can be determined;</w:t>
      </w:r>
    </w:p>
    <w:p w14:paraId="3DB30229" w14:textId="09EB1A1F" w:rsidR="007C28A8" w:rsidRPr="006A39BB" w:rsidRDefault="002A7F8C" w:rsidP="002A7F8C">
      <w:pPr>
        <w:pStyle w:val="Point1"/>
        <w:rPr>
          <w:noProof/>
        </w:rPr>
      </w:pPr>
      <w:r w:rsidRPr="002A7F8C">
        <w:rPr>
          <w:noProof/>
        </w:rPr>
        <w:t>(h)</w:t>
      </w:r>
      <w:r w:rsidRPr="002A7F8C">
        <w:rPr>
          <w:noProof/>
        </w:rPr>
        <w:tab/>
      </w:r>
      <w:r w:rsidR="007C28A8" w:rsidRPr="006A39BB">
        <w:rPr>
          <w:noProof/>
        </w:rPr>
        <w:t xml:space="preserve">the level of cooperation of the </w:t>
      </w:r>
      <w:r w:rsidR="00EE4704" w:rsidRPr="006A39BB">
        <w:rPr>
          <w:noProof/>
        </w:rPr>
        <w:t xml:space="preserve">ESG rating provider </w:t>
      </w:r>
      <w:r w:rsidR="007C28A8" w:rsidRPr="006A39BB">
        <w:rPr>
          <w:noProof/>
        </w:rPr>
        <w:t xml:space="preserve">with ESMA, without prejudice to the need to ensure disgorgement of profits gained or losses avoided by that </w:t>
      </w:r>
      <w:r w:rsidR="00EE4704" w:rsidRPr="006A39BB">
        <w:rPr>
          <w:noProof/>
        </w:rPr>
        <w:t>ESG rating provider</w:t>
      </w:r>
      <w:r w:rsidR="007C28A8" w:rsidRPr="006A39BB">
        <w:rPr>
          <w:noProof/>
        </w:rPr>
        <w:t>;</w:t>
      </w:r>
    </w:p>
    <w:p w14:paraId="1766AE19" w14:textId="6D4EFA74" w:rsidR="007C28A8" w:rsidRPr="006A39BB" w:rsidRDefault="002A7F8C" w:rsidP="002A7F8C">
      <w:pPr>
        <w:pStyle w:val="Point1"/>
        <w:rPr>
          <w:noProof/>
        </w:rPr>
      </w:pPr>
      <w:r w:rsidRPr="002A7F8C">
        <w:rPr>
          <w:noProof/>
        </w:rPr>
        <w:t>(i)</w:t>
      </w:r>
      <w:r w:rsidRPr="002A7F8C">
        <w:rPr>
          <w:noProof/>
        </w:rPr>
        <w:tab/>
      </w:r>
      <w:r w:rsidR="007C28A8" w:rsidRPr="006A39BB">
        <w:rPr>
          <w:noProof/>
        </w:rPr>
        <w:t xml:space="preserve">previous infringements by the </w:t>
      </w:r>
      <w:r w:rsidR="003A4A1A" w:rsidRPr="006A39BB">
        <w:rPr>
          <w:noProof/>
        </w:rPr>
        <w:t>ESG rating provider</w:t>
      </w:r>
      <w:r w:rsidR="007C28A8" w:rsidRPr="006A39BB">
        <w:rPr>
          <w:noProof/>
        </w:rPr>
        <w:t>;</w:t>
      </w:r>
    </w:p>
    <w:p w14:paraId="5931A855" w14:textId="19D3CC3D" w:rsidR="007C28A8" w:rsidRPr="006A39BB" w:rsidRDefault="002A7F8C" w:rsidP="002A7F8C">
      <w:pPr>
        <w:pStyle w:val="Point1"/>
        <w:rPr>
          <w:noProof/>
        </w:rPr>
      </w:pPr>
      <w:r w:rsidRPr="002A7F8C">
        <w:rPr>
          <w:noProof/>
        </w:rPr>
        <w:t>(j)</w:t>
      </w:r>
      <w:r w:rsidRPr="002A7F8C">
        <w:rPr>
          <w:noProof/>
        </w:rPr>
        <w:tab/>
      </w:r>
      <w:r w:rsidR="007C28A8" w:rsidRPr="006A39BB">
        <w:rPr>
          <w:noProof/>
        </w:rPr>
        <w:t xml:space="preserve">measures taken after the infringement by the </w:t>
      </w:r>
      <w:r w:rsidR="00EE4704" w:rsidRPr="006A39BB">
        <w:rPr>
          <w:noProof/>
        </w:rPr>
        <w:t xml:space="preserve">ESG rating provider </w:t>
      </w:r>
      <w:r w:rsidR="007C28A8" w:rsidRPr="006A39BB">
        <w:rPr>
          <w:noProof/>
        </w:rPr>
        <w:t>to prevent its repetition.</w:t>
      </w:r>
    </w:p>
    <w:p w14:paraId="6113A802" w14:textId="5630665C" w:rsidR="007C28A8" w:rsidRPr="006A39BB" w:rsidRDefault="002A7F8C" w:rsidP="002A7F8C">
      <w:pPr>
        <w:pStyle w:val="ManualNumPar1"/>
        <w:rPr>
          <w:noProof/>
        </w:rPr>
      </w:pPr>
      <w:r w:rsidRPr="002A7F8C">
        <w:rPr>
          <w:noProof/>
        </w:rPr>
        <w:t>4.</w:t>
      </w:r>
      <w:r w:rsidRPr="002A7F8C">
        <w:rPr>
          <w:noProof/>
        </w:rPr>
        <w:tab/>
      </w:r>
      <w:r w:rsidR="007C28A8" w:rsidRPr="006A39BB">
        <w:rPr>
          <w:noProof/>
        </w:rPr>
        <w:t>ESMA shall notify any action taken pursuant to paragraph 1 to the person responsible for the infringement</w:t>
      </w:r>
      <w:r w:rsidR="009272BA">
        <w:rPr>
          <w:noProof/>
        </w:rPr>
        <w:t xml:space="preserve"> w</w:t>
      </w:r>
      <w:r w:rsidR="009272BA" w:rsidRPr="006A39BB">
        <w:rPr>
          <w:noProof/>
        </w:rPr>
        <w:t>ithout undue delay</w:t>
      </w:r>
      <w:r w:rsidR="007C28A8" w:rsidRPr="006A39BB">
        <w:rPr>
          <w:noProof/>
        </w:rPr>
        <w:t xml:space="preserve">. </w:t>
      </w:r>
      <w:r w:rsidR="009272BA">
        <w:rPr>
          <w:noProof/>
        </w:rPr>
        <w:t>ESMA</w:t>
      </w:r>
      <w:r w:rsidR="007C28A8" w:rsidRPr="006A39BB">
        <w:rPr>
          <w:noProof/>
        </w:rPr>
        <w:t xml:space="preserve"> shall </w:t>
      </w:r>
      <w:r w:rsidR="009272BA">
        <w:rPr>
          <w:noProof/>
        </w:rPr>
        <w:t>publish</w:t>
      </w:r>
      <w:r w:rsidR="007C28A8" w:rsidRPr="006A39BB">
        <w:rPr>
          <w:noProof/>
        </w:rPr>
        <w:t xml:space="preserve"> any such action on its website within 10 working days from the date when it was adopted.</w:t>
      </w:r>
    </w:p>
    <w:p w14:paraId="4A213A7B" w14:textId="77777777" w:rsidR="007C28A8" w:rsidRPr="006A39BB" w:rsidRDefault="007C28A8" w:rsidP="00162B2D">
      <w:pPr>
        <w:rPr>
          <w:noProof/>
        </w:rPr>
      </w:pPr>
      <w:r w:rsidRPr="006A39BB">
        <w:rPr>
          <w:noProof/>
        </w:rPr>
        <w:t xml:space="preserve">The </w:t>
      </w:r>
      <w:r w:rsidR="00A433F6">
        <w:rPr>
          <w:noProof/>
        </w:rPr>
        <w:t>publication</w:t>
      </w:r>
      <w:r w:rsidRPr="006A39BB">
        <w:rPr>
          <w:noProof/>
        </w:rPr>
        <w:t xml:space="preserve"> referred to in the first subparagraph shall </w:t>
      </w:r>
      <w:r w:rsidR="00A433F6">
        <w:rPr>
          <w:noProof/>
        </w:rPr>
        <w:t>contain all of</w:t>
      </w:r>
      <w:r w:rsidRPr="006A39BB">
        <w:rPr>
          <w:noProof/>
        </w:rPr>
        <w:t xml:space="preserve"> the following:</w:t>
      </w:r>
    </w:p>
    <w:p w14:paraId="77CD4DC8" w14:textId="550FB21A" w:rsidR="007C28A8" w:rsidRPr="006A39BB" w:rsidRDefault="002A7F8C" w:rsidP="002A7F8C">
      <w:pPr>
        <w:pStyle w:val="Point1"/>
        <w:rPr>
          <w:noProof/>
        </w:rPr>
      </w:pPr>
      <w:r w:rsidRPr="002A7F8C">
        <w:rPr>
          <w:noProof/>
        </w:rPr>
        <w:t>(a)</w:t>
      </w:r>
      <w:r w:rsidRPr="002A7F8C">
        <w:rPr>
          <w:noProof/>
        </w:rPr>
        <w:tab/>
      </w:r>
      <w:r w:rsidR="007C28A8" w:rsidRPr="006A39BB">
        <w:rPr>
          <w:noProof/>
        </w:rPr>
        <w:t xml:space="preserve">a statement affirming the right of the </w:t>
      </w:r>
      <w:r w:rsidR="00D26933" w:rsidRPr="006A39BB">
        <w:rPr>
          <w:noProof/>
        </w:rPr>
        <w:t>ESG rating provider</w:t>
      </w:r>
      <w:r w:rsidR="007C28A8" w:rsidRPr="006A39BB">
        <w:rPr>
          <w:noProof/>
        </w:rPr>
        <w:t xml:space="preserve"> to appeal the decision;</w:t>
      </w:r>
    </w:p>
    <w:p w14:paraId="1A2DEE57" w14:textId="5130B800" w:rsidR="007C28A8" w:rsidRPr="006A39BB" w:rsidRDefault="002A7F8C" w:rsidP="002A7F8C">
      <w:pPr>
        <w:pStyle w:val="Point1"/>
        <w:rPr>
          <w:noProof/>
        </w:rPr>
      </w:pPr>
      <w:r w:rsidRPr="002A7F8C">
        <w:rPr>
          <w:noProof/>
        </w:rPr>
        <w:t>(b)</w:t>
      </w:r>
      <w:r w:rsidRPr="002A7F8C">
        <w:rPr>
          <w:noProof/>
        </w:rPr>
        <w:tab/>
      </w:r>
      <w:r w:rsidR="007C28A8" w:rsidRPr="006A39BB">
        <w:rPr>
          <w:noProof/>
        </w:rPr>
        <w:t>where relevant, a statement affirming that an appeal has been lodged and specifying that such an appeal does not have suspensive effect;</w:t>
      </w:r>
    </w:p>
    <w:p w14:paraId="6F1D3CAB" w14:textId="326E6BF7" w:rsidR="007C28A8" w:rsidRPr="006A39BB" w:rsidRDefault="002A7F8C" w:rsidP="002A7F8C">
      <w:pPr>
        <w:pStyle w:val="Point1"/>
        <w:rPr>
          <w:noProof/>
        </w:rPr>
      </w:pPr>
      <w:r w:rsidRPr="002A7F8C">
        <w:rPr>
          <w:noProof/>
        </w:rPr>
        <w:t>(c)</w:t>
      </w:r>
      <w:r w:rsidRPr="002A7F8C">
        <w:rPr>
          <w:noProof/>
        </w:rPr>
        <w:tab/>
      </w:r>
      <w:r w:rsidR="007C28A8" w:rsidRPr="006A39BB">
        <w:rPr>
          <w:noProof/>
        </w:rPr>
        <w:t>a statement asserting that it is possible for ESMA</w:t>
      </w:r>
      <w:r w:rsidR="00A433F6">
        <w:rPr>
          <w:noProof/>
        </w:rPr>
        <w:t xml:space="preserve"> </w:t>
      </w:r>
      <w:r w:rsidR="007C28A8" w:rsidRPr="006A39BB">
        <w:rPr>
          <w:noProof/>
        </w:rPr>
        <w:t>to suspend the application of the contested decision in accordance with Article 60(3) of Regulation (EU) No 1095/2010.</w:t>
      </w:r>
    </w:p>
    <w:p w14:paraId="4FAD6DBF" w14:textId="77777777" w:rsidR="007C28A8" w:rsidRPr="00027382" w:rsidRDefault="007C28A8" w:rsidP="00027382">
      <w:pPr>
        <w:pStyle w:val="Titrearticle"/>
        <w:spacing w:line="23" w:lineRule="atLeast"/>
        <w:rPr>
          <w:noProof/>
          <w:szCs w:val="24"/>
        </w:rPr>
      </w:pPr>
      <w:r w:rsidRPr="00027382">
        <w:rPr>
          <w:noProof/>
          <w:szCs w:val="24"/>
        </w:rPr>
        <w:t xml:space="preserve">Article </w:t>
      </w:r>
      <w:r w:rsidR="004C4CF3" w:rsidRPr="00027382">
        <w:rPr>
          <w:noProof/>
          <w:szCs w:val="24"/>
        </w:rPr>
        <w:t>34</w:t>
      </w:r>
    </w:p>
    <w:p w14:paraId="4B581B84" w14:textId="77777777" w:rsidR="007C28A8" w:rsidRPr="00027382" w:rsidRDefault="007C28A8" w:rsidP="00027382">
      <w:pPr>
        <w:pStyle w:val="NormalCentered"/>
        <w:rPr>
          <w:b/>
          <w:bCs/>
          <w:noProof/>
          <w:lang w:eastAsia="en-IE"/>
        </w:rPr>
      </w:pPr>
      <w:r w:rsidRPr="00027382">
        <w:rPr>
          <w:b/>
          <w:bCs/>
          <w:noProof/>
          <w:lang w:eastAsia="en-IE"/>
        </w:rPr>
        <w:t>Fines</w:t>
      </w:r>
    </w:p>
    <w:p w14:paraId="0E247CB6" w14:textId="0183A570" w:rsidR="007C28A8" w:rsidRPr="00843EB6" w:rsidRDefault="002A7F8C" w:rsidP="002A7F8C">
      <w:pPr>
        <w:pStyle w:val="ManualNumPar1"/>
        <w:rPr>
          <w:noProof/>
        </w:rPr>
      </w:pPr>
      <w:r w:rsidRPr="002A7F8C">
        <w:rPr>
          <w:noProof/>
        </w:rPr>
        <w:t>1.</w:t>
      </w:r>
      <w:r w:rsidRPr="002A7F8C">
        <w:rPr>
          <w:noProof/>
        </w:rPr>
        <w:tab/>
      </w:r>
      <w:r w:rsidR="007C28A8" w:rsidRPr="006A39BB">
        <w:rPr>
          <w:noProof/>
        </w:rPr>
        <w:t xml:space="preserve">Where ESMA finds that </w:t>
      </w:r>
      <w:r w:rsidR="00A00EED" w:rsidRPr="006A39BB">
        <w:rPr>
          <w:noProof/>
        </w:rPr>
        <w:t xml:space="preserve">an </w:t>
      </w:r>
      <w:r w:rsidR="00D26933" w:rsidRPr="006A39BB">
        <w:rPr>
          <w:noProof/>
        </w:rPr>
        <w:t>ESG rating provide</w:t>
      </w:r>
      <w:r w:rsidR="00D83A07" w:rsidRPr="006A39BB">
        <w:rPr>
          <w:noProof/>
        </w:rPr>
        <w:t xml:space="preserve">r, or, where applicable, </w:t>
      </w:r>
      <w:r w:rsidR="002C073C">
        <w:rPr>
          <w:noProof/>
        </w:rPr>
        <w:t>its</w:t>
      </w:r>
      <w:r w:rsidR="00D83A07" w:rsidRPr="006A39BB">
        <w:rPr>
          <w:noProof/>
        </w:rPr>
        <w:t xml:space="preserve"> legal representative,</w:t>
      </w:r>
      <w:r w:rsidR="007C28A8" w:rsidRPr="006A39BB">
        <w:rPr>
          <w:noProof/>
        </w:rPr>
        <w:t xml:space="preserve"> has, intentionally or negligently, </w:t>
      </w:r>
      <w:r w:rsidR="002C073C">
        <w:rPr>
          <w:noProof/>
        </w:rPr>
        <w:t>infringed</w:t>
      </w:r>
      <w:r w:rsidR="00972F6E" w:rsidRPr="006A39BB">
        <w:rPr>
          <w:noProof/>
        </w:rPr>
        <w:t xml:space="preserve"> this Regulation,</w:t>
      </w:r>
      <w:r w:rsidR="00375E7D" w:rsidRPr="006A39BB">
        <w:rPr>
          <w:noProof/>
        </w:rPr>
        <w:t xml:space="preserve"> </w:t>
      </w:r>
      <w:r w:rsidR="007C28A8" w:rsidRPr="006A39BB">
        <w:rPr>
          <w:noProof/>
        </w:rPr>
        <w:t xml:space="preserve">it shall adopt a decision imposing </w:t>
      </w:r>
      <w:r w:rsidR="00E96A24">
        <w:rPr>
          <w:noProof/>
        </w:rPr>
        <w:t xml:space="preserve">a </w:t>
      </w:r>
      <w:r w:rsidR="007C28A8" w:rsidRPr="006A39BB">
        <w:rPr>
          <w:noProof/>
        </w:rPr>
        <w:t>fine</w:t>
      </w:r>
      <w:r w:rsidR="00E96A24">
        <w:rPr>
          <w:noProof/>
        </w:rPr>
        <w:t xml:space="preserve">. The </w:t>
      </w:r>
      <w:r w:rsidR="007C28A8" w:rsidRPr="00843EB6">
        <w:rPr>
          <w:noProof/>
        </w:rPr>
        <w:t>maximum amount of the fine shall be</w:t>
      </w:r>
      <w:r w:rsidR="00FD7661" w:rsidRPr="00843EB6">
        <w:rPr>
          <w:noProof/>
        </w:rPr>
        <w:t xml:space="preserve"> </w:t>
      </w:r>
      <w:r w:rsidR="007C28A8" w:rsidRPr="00843EB6">
        <w:rPr>
          <w:noProof/>
        </w:rPr>
        <w:t xml:space="preserve">10 % of the total annual </w:t>
      </w:r>
      <w:r w:rsidR="000141B1">
        <w:rPr>
          <w:noProof/>
        </w:rPr>
        <w:t xml:space="preserve">net </w:t>
      </w:r>
      <w:r w:rsidR="007C28A8" w:rsidRPr="00843EB6">
        <w:rPr>
          <w:noProof/>
        </w:rPr>
        <w:t>turnover of t</w:t>
      </w:r>
      <w:r w:rsidR="00BA6D74" w:rsidRPr="00843EB6">
        <w:rPr>
          <w:noProof/>
        </w:rPr>
        <w:t>he ESG rating provider,</w:t>
      </w:r>
      <w:r w:rsidR="007C28A8" w:rsidRPr="00843EB6">
        <w:rPr>
          <w:noProof/>
        </w:rPr>
        <w:t xml:space="preserve"> </w:t>
      </w:r>
      <w:r w:rsidR="00BA6D74" w:rsidRPr="00843EB6">
        <w:rPr>
          <w:noProof/>
        </w:rPr>
        <w:t xml:space="preserve">calculated on the basis of </w:t>
      </w:r>
      <w:r w:rsidR="007C28A8" w:rsidRPr="00843EB6">
        <w:rPr>
          <w:noProof/>
        </w:rPr>
        <w:t xml:space="preserve">the </w:t>
      </w:r>
      <w:r w:rsidR="00BA6D74" w:rsidRPr="00843EB6">
        <w:rPr>
          <w:noProof/>
        </w:rPr>
        <w:t>most recent</w:t>
      </w:r>
      <w:r w:rsidR="007C28A8" w:rsidRPr="00843EB6">
        <w:rPr>
          <w:noProof/>
        </w:rPr>
        <w:t xml:space="preserve"> available financial statements approved by the management body</w:t>
      </w:r>
      <w:r w:rsidR="00BA6D74" w:rsidRPr="00843EB6">
        <w:rPr>
          <w:noProof/>
        </w:rPr>
        <w:t xml:space="preserve"> of the ESG rating provider.</w:t>
      </w:r>
    </w:p>
    <w:p w14:paraId="28D0F8DB" w14:textId="791DA659" w:rsidR="007C28A8" w:rsidRPr="006A39BB" w:rsidRDefault="002A7F8C" w:rsidP="002A7F8C">
      <w:pPr>
        <w:pStyle w:val="ManualNumPar1"/>
        <w:rPr>
          <w:noProof/>
        </w:rPr>
      </w:pPr>
      <w:r w:rsidRPr="002A7F8C">
        <w:rPr>
          <w:noProof/>
        </w:rPr>
        <w:t>2.</w:t>
      </w:r>
      <w:r w:rsidRPr="002A7F8C">
        <w:rPr>
          <w:noProof/>
        </w:rPr>
        <w:tab/>
      </w:r>
      <w:r w:rsidR="00B27722" w:rsidRPr="006A39BB">
        <w:rPr>
          <w:noProof/>
        </w:rPr>
        <w:t>W</w:t>
      </w:r>
      <w:r w:rsidR="007C28A8" w:rsidRPr="006A39BB">
        <w:rPr>
          <w:noProof/>
        </w:rPr>
        <w:t xml:space="preserve">here the </w:t>
      </w:r>
      <w:r w:rsidR="000928E2" w:rsidRPr="006A39BB">
        <w:rPr>
          <w:noProof/>
        </w:rPr>
        <w:t xml:space="preserve">ESG ratings provider </w:t>
      </w:r>
      <w:r w:rsidR="007C28A8" w:rsidRPr="006A39BB">
        <w:rPr>
          <w:noProof/>
        </w:rPr>
        <w:t xml:space="preserve">is a parent undertaking or a subsidiary of a parent undertaking which is required to prepare consolidated financial accounts </w:t>
      </w:r>
      <w:r w:rsidR="008C5FAF">
        <w:rPr>
          <w:noProof/>
        </w:rPr>
        <w:t>pursuant to</w:t>
      </w:r>
      <w:r w:rsidR="007C28A8" w:rsidRPr="006A39BB">
        <w:rPr>
          <w:noProof/>
        </w:rPr>
        <w:t xml:space="preserve"> Directive 2013/34/EU, the relevant total annual </w:t>
      </w:r>
      <w:r w:rsidR="00682601">
        <w:rPr>
          <w:noProof/>
        </w:rPr>
        <w:t xml:space="preserve">net </w:t>
      </w:r>
      <w:r w:rsidR="007C28A8" w:rsidRPr="006A39BB">
        <w:rPr>
          <w:noProof/>
        </w:rPr>
        <w:t xml:space="preserve">turnover shall be </w:t>
      </w:r>
      <w:r w:rsidR="008C5FAF">
        <w:rPr>
          <w:noProof/>
        </w:rPr>
        <w:t xml:space="preserve">either </w:t>
      </w:r>
      <w:r w:rsidR="007C28A8" w:rsidRPr="006A39BB">
        <w:rPr>
          <w:noProof/>
        </w:rPr>
        <w:t xml:space="preserve">the total annual </w:t>
      </w:r>
      <w:r w:rsidR="00920675">
        <w:rPr>
          <w:noProof/>
        </w:rPr>
        <w:t xml:space="preserve">net </w:t>
      </w:r>
      <w:r w:rsidR="007C28A8" w:rsidRPr="006A39BB">
        <w:rPr>
          <w:noProof/>
        </w:rPr>
        <w:t>turnover</w:t>
      </w:r>
      <w:r w:rsidR="008C5FAF">
        <w:rPr>
          <w:noProof/>
        </w:rPr>
        <w:t>,</w:t>
      </w:r>
      <w:r w:rsidR="007C28A8" w:rsidRPr="006A39BB">
        <w:rPr>
          <w:noProof/>
        </w:rPr>
        <w:t xml:space="preserve"> or the corresponding type of income in accordance with the relevant Union law in the area of accounting</w:t>
      </w:r>
      <w:r w:rsidR="008C5FAF">
        <w:rPr>
          <w:noProof/>
        </w:rPr>
        <w:t>,</w:t>
      </w:r>
      <w:r w:rsidR="007C28A8" w:rsidRPr="006A39BB">
        <w:rPr>
          <w:noProof/>
        </w:rPr>
        <w:t xml:space="preserve"> according to the </w:t>
      </w:r>
      <w:r w:rsidR="008C5FAF">
        <w:rPr>
          <w:noProof/>
        </w:rPr>
        <w:t>most recent</w:t>
      </w:r>
      <w:r w:rsidR="007C28A8" w:rsidRPr="006A39BB">
        <w:rPr>
          <w:noProof/>
        </w:rPr>
        <w:t xml:space="preserve"> available consolidated accounts approved by the management body of the ultimate parent undertaking.</w:t>
      </w:r>
    </w:p>
    <w:p w14:paraId="73E7BFE0" w14:textId="5D96B153" w:rsidR="007C28A8" w:rsidRPr="006A39BB" w:rsidRDefault="002A7F8C" w:rsidP="002A7F8C">
      <w:pPr>
        <w:pStyle w:val="ManualNumPar1"/>
        <w:rPr>
          <w:noProof/>
        </w:rPr>
      </w:pPr>
      <w:r w:rsidRPr="002A7F8C">
        <w:rPr>
          <w:noProof/>
        </w:rPr>
        <w:t>3.</w:t>
      </w:r>
      <w:r w:rsidRPr="002A7F8C">
        <w:rPr>
          <w:noProof/>
        </w:rPr>
        <w:tab/>
      </w:r>
      <w:r w:rsidR="007C28A8" w:rsidRPr="006A39BB">
        <w:rPr>
          <w:noProof/>
        </w:rPr>
        <w:t xml:space="preserve">When determining the level of a fine pursuant to paragraph 1, ESMA shall take into account the criteria set out in </w:t>
      </w:r>
      <w:r w:rsidR="00D55CAB" w:rsidRPr="006A39BB">
        <w:rPr>
          <w:noProof/>
        </w:rPr>
        <w:t>Article 3</w:t>
      </w:r>
      <w:r w:rsidR="00571058">
        <w:rPr>
          <w:noProof/>
        </w:rPr>
        <w:t>3</w:t>
      </w:r>
      <w:r w:rsidR="008C5FAF">
        <w:rPr>
          <w:noProof/>
        </w:rPr>
        <w:t>(3)</w:t>
      </w:r>
      <w:r w:rsidR="007C28A8" w:rsidRPr="006A39BB">
        <w:rPr>
          <w:noProof/>
        </w:rPr>
        <w:t>.</w:t>
      </w:r>
    </w:p>
    <w:p w14:paraId="1CB8D7CF" w14:textId="54C9D254" w:rsidR="007C28A8" w:rsidRPr="006A39BB" w:rsidRDefault="002A7F8C" w:rsidP="002A7F8C">
      <w:pPr>
        <w:pStyle w:val="ManualNumPar1"/>
        <w:rPr>
          <w:noProof/>
        </w:rPr>
      </w:pPr>
      <w:r w:rsidRPr="002A7F8C">
        <w:rPr>
          <w:noProof/>
        </w:rPr>
        <w:t>4.</w:t>
      </w:r>
      <w:r w:rsidRPr="002A7F8C">
        <w:rPr>
          <w:noProof/>
        </w:rPr>
        <w:tab/>
      </w:r>
      <w:r w:rsidR="007C28A8" w:rsidRPr="006A39BB">
        <w:rPr>
          <w:noProof/>
        </w:rPr>
        <w:t xml:space="preserve">Notwithstanding paragraph </w:t>
      </w:r>
      <w:r w:rsidR="001A7A44">
        <w:rPr>
          <w:noProof/>
        </w:rPr>
        <w:t>3</w:t>
      </w:r>
      <w:r w:rsidR="008C5FAF">
        <w:rPr>
          <w:noProof/>
        </w:rPr>
        <w:t>,</w:t>
      </w:r>
      <w:r w:rsidR="007C28A8" w:rsidRPr="006A39BB">
        <w:rPr>
          <w:noProof/>
        </w:rPr>
        <w:t xml:space="preserve"> where the </w:t>
      </w:r>
      <w:r w:rsidR="000928E2" w:rsidRPr="006A39BB">
        <w:rPr>
          <w:noProof/>
        </w:rPr>
        <w:t>ESG rating provider</w:t>
      </w:r>
      <w:r w:rsidR="007C28A8" w:rsidRPr="006A39BB">
        <w:rPr>
          <w:noProof/>
        </w:rPr>
        <w:t xml:space="preserve"> has directly or indirectly benefited financially from the infringement, the amount of the fine shall be at least equal to that benefit.</w:t>
      </w:r>
    </w:p>
    <w:p w14:paraId="7A3BD52C" w14:textId="27326E9A" w:rsidR="007C28A8" w:rsidRPr="006A39BB" w:rsidRDefault="002A7F8C" w:rsidP="002A7F8C">
      <w:pPr>
        <w:pStyle w:val="ManualNumPar1"/>
        <w:rPr>
          <w:noProof/>
        </w:rPr>
      </w:pPr>
      <w:r w:rsidRPr="002A7F8C">
        <w:rPr>
          <w:noProof/>
        </w:rPr>
        <w:t>5.</w:t>
      </w:r>
      <w:r w:rsidRPr="002A7F8C">
        <w:rPr>
          <w:noProof/>
        </w:rPr>
        <w:tab/>
      </w:r>
      <w:r w:rsidR="007C28A8" w:rsidRPr="006A39BB">
        <w:rPr>
          <w:noProof/>
        </w:rPr>
        <w:t xml:space="preserve">Where an act or omission of a </w:t>
      </w:r>
      <w:r w:rsidR="000928E2" w:rsidRPr="006A39BB">
        <w:rPr>
          <w:noProof/>
        </w:rPr>
        <w:t xml:space="preserve">ESG rating provider </w:t>
      </w:r>
      <w:r w:rsidR="007C28A8" w:rsidRPr="006A39BB">
        <w:rPr>
          <w:noProof/>
        </w:rPr>
        <w:t xml:space="preserve">constitutes more than one infringement </w:t>
      </w:r>
      <w:r w:rsidR="00A05850" w:rsidRPr="006A39BB">
        <w:rPr>
          <w:noProof/>
        </w:rPr>
        <w:t>to this Regulation</w:t>
      </w:r>
      <w:r w:rsidR="0035497B" w:rsidRPr="006A39BB">
        <w:rPr>
          <w:noProof/>
        </w:rPr>
        <w:t>,</w:t>
      </w:r>
      <w:r w:rsidR="007C28A8" w:rsidRPr="006A39BB">
        <w:rPr>
          <w:noProof/>
        </w:rPr>
        <w:t xml:space="preserve"> only the higher fine calculated in accordance with paragraph</w:t>
      </w:r>
      <w:r w:rsidR="008C5FAF">
        <w:rPr>
          <w:noProof/>
        </w:rPr>
        <w:t> </w:t>
      </w:r>
      <w:r w:rsidR="007C28A8" w:rsidRPr="006A39BB">
        <w:rPr>
          <w:noProof/>
        </w:rPr>
        <w:t>2  and relating to one of those infringements shall apply.</w:t>
      </w:r>
    </w:p>
    <w:p w14:paraId="646DE2EE" w14:textId="77777777" w:rsidR="007C28A8" w:rsidRPr="00027382" w:rsidRDefault="007C28A8" w:rsidP="00027382">
      <w:pPr>
        <w:pStyle w:val="Titrearticle"/>
        <w:spacing w:line="23" w:lineRule="atLeast"/>
        <w:rPr>
          <w:noProof/>
          <w:szCs w:val="24"/>
        </w:rPr>
      </w:pPr>
      <w:r w:rsidRPr="00027382">
        <w:rPr>
          <w:noProof/>
          <w:szCs w:val="24"/>
        </w:rPr>
        <w:t xml:space="preserve">Article </w:t>
      </w:r>
      <w:r w:rsidR="00375E7D" w:rsidRPr="00027382">
        <w:rPr>
          <w:noProof/>
          <w:szCs w:val="24"/>
        </w:rPr>
        <w:t>3</w:t>
      </w:r>
      <w:r w:rsidR="004C4CF3" w:rsidRPr="00027382">
        <w:rPr>
          <w:noProof/>
          <w:szCs w:val="24"/>
        </w:rPr>
        <w:t>5</w:t>
      </w:r>
    </w:p>
    <w:p w14:paraId="66A7BEAB" w14:textId="77777777" w:rsidR="007C28A8" w:rsidRPr="00027382" w:rsidRDefault="007C28A8" w:rsidP="00027382">
      <w:pPr>
        <w:pStyle w:val="NormalCentered"/>
        <w:rPr>
          <w:b/>
          <w:bCs/>
          <w:noProof/>
          <w:lang w:eastAsia="en-IE"/>
        </w:rPr>
      </w:pPr>
      <w:r w:rsidRPr="00027382">
        <w:rPr>
          <w:b/>
          <w:bCs/>
          <w:noProof/>
          <w:lang w:eastAsia="en-IE"/>
        </w:rPr>
        <w:t>Periodic penalty payments</w:t>
      </w:r>
    </w:p>
    <w:p w14:paraId="4C4A89C6" w14:textId="017601DF" w:rsidR="007C28A8" w:rsidRPr="006A39BB" w:rsidRDefault="002A7F8C" w:rsidP="002A7F8C">
      <w:pPr>
        <w:pStyle w:val="ManualNumPar1"/>
        <w:rPr>
          <w:noProof/>
        </w:rPr>
      </w:pPr>
      <w:r w:rsidRPr="002A7F8C">
        <w:rPr>
          <w:noProof/>
        </w:rPr>
        <w:t>1.</w:t>
      </w:r>
      <w:r w:rsidRPr="002A7F8C">
        <w:rPr>
          <w:noProof/>
        </w:rPr>
        <w:tab/>
      </w:r>
      <w:r w:rsidR="007C28A8" w:rsidRPr="006A39BB">
        <w:rPr>
          <w:noProof/>
        </w:rPr>
        <w:t>ESMA shall, by decision, impose periodic penalty payments to compel:</w:t>
      </w:r>
    </w:p>
    <w:p w14:paraId="62946118" w14:textId="6ECB1F20" w:rsidR="007C28A8" w:rsidRPr="006A39BB" w:rsidRDefault="002A7F8C" w:rsidP="002A7F8C">
      <w:pPr>
        <w:pStyle w:val="Point1"/>
        <w:rPr>
          <w:noProof/>
        </w:rPr>
      </w:pPr>
      <w:r w:rsidRPr="002A7F8C">
        <w:rPr>
          <w:noProof/>
        </w:rPr>
        <w:t>(a)</w:t>
      </w:r>
      <w:r w:rsidRPr="002A7F8C">
        <w:rPr>
          <w:noProof/>
        </w:rPr>
        <w:tab/>
      </w:r>
      <w:r w:rsidR="00FD0730" w:rsidRPr="006A39BB">
        <w:rPr>
          <w:noProof/>
        </w:rPr>
        <w:t>an ESG ratings provider</w:t>
      </w:r>
      <w:r w:rsidR="007C28A8" w:rsidRPr="006A39BB">
        <w:rPr>
          <w:noProof/>
        </w:rPr>
        <w:t xml:space="preserve"> to put an end to an infringement in accordance with a decision taken pursuant to Article </w:t>
      </w:r>
      <w:r w:rsidR="00EB35DF" w:rsidRPr="006A39BB">
        <w:rPr>
          <w:noProof/>
        </w:rPr>
        <w:t>33</w:t>
      </w:r>
      <w:r w:rsidR="007C28A8" w:rsidRPr="006A39BB">
        <w:rPr>
          <w:noProof/>
        </w:rPr>
        <w:t>;</w:t>
      </w:r>
    </w:p>
    <w:p w14:paraId="715DD2B2" w14:textId="0076F614" w:rsidR="007C28A8" w:rsidRPr="006A39BB" w:rsidRDefault="002A7F8C" w:rsidP="002A7F8C">
      <w:pPr>
        <w:pStyle w:val="Point1"/>
        <w:rPr>
          <w:noProof/>
        </w:rPr>
      </w:pPr>
      <w:r w:rsidRPr="002A7F8C">
        <w:rPr>
          <w:noProof/>
        </w:rPr>
        <w:t>(b)</w:t>
      </w:r>
      <w:r w:rsidRPr="002A7F8C">
        <w:rPr>
          <w:noProof/>
        </w:rPr>
        <w:tab/>
      </w:r>
      <w:r w:rsidR="00582BB7">
        <w:rPr>
          <w:noProof/>
        </w:rPr>
        <w:t xml:space="preserve">the </w:t>
      </w:r>
      <w:r w:rsidR="007C28A8" w:rsidRPr="006A39BB">
        <w:rPr>
          <w:noProof/>
        </w:rPr>
        <w:t xml:space="preserve">persons referred to in </w:t>
      </w:r>
      <w:r w:rsidR="00EB35DF" w:rsidRPr="006A39BB">
        <w:rPr>
          <w:noProof/>
        </w:rPr>
        <w:t>Article 30</w:t>
      </w:r>
      <w:r w:rsidR="00582BB7">
        <w:rPr>
          <w:noProof/>
        </w:rPr>
        <w:t>(1)</w:t>
      </w:r>
      <w:r w:rsidR="007C28A8" w:rsidRPr="006A39BB">
        <w:rPr>
          <w:noProof/>
        </w:rPr>
        <w:t>:</w:t>
      </w:r>
    </w:p>
    <w:p w14:paraId="3768F5F8" w14:textId="45F91A69" w:rsidR="007C28A8" w:rsidRPr="006A39BB" w:rsidRDefault="002A7F8C" w:rsidP="002A7F8C">
      <w:pPr>
        <w:pStyle w:val="Point2"/>
        <w:rPr>
          <w:noProof/>
        </w:rPr>
      </w:pPr>
      <w:r w:rsidRPr="002A7F8C">
        <w:rPr>
          <w:noProof/>
        </w:rPr>
        <w:t>(1)</w:t>
      </w:r>
      <w:r w:rsidRPr="002A7F8C">
        <w:rPr>
          <w:noProof/>
        </w:rPr>
        <w:tab/>
      </w:r>
      <w:r w:rsidR="007C28A8" w:rsidRPr="006A39BB">
        <w:rPr>
          <w:noProof/>
        </w:rPr>
        <w:t xml:space="preserve">to supply complete information which has been requested by a decision </w:t>
      </w:r>
      <w:r w:rsidR="00582BB7">
        <w:rPr>
          <w:noProof/>
        </w:rPr>
        <w:t xml:space="preserve">taken </w:t>
      </w:r>
      <w:r w:rsidR="007C28A8" w:rsidRPr="006A39BB">
        <w:rPr>
          <w:noProof/>
        </w:rPr>
        <w:t xml:space="preserve">pursuant to Article </w:t>
      </w:r>
      <w:r w:rsidR="00E67D90">
        <w:rPr>
          <w:noProof/>
        </w:rPr>
        <w:t>30</w:t>
      </w:r>
      <w:r w:rsidR="007C28A8" w:rsidRPr="006A39BB">
        <w:rPr>
          <w:noProof/>
        </w:rPr>
        <w:t>;</w:t>
      </w:r>
    </w:p>
    <w:p w14:paraId="50B0F5F2" w14:textId="42DD7C5F" w:rsidR="007C28A8" w:rsidRPr="006A39BB" w:rsidRDefault="002A7F8C" w:rsidP="002A7F8C">
      <w:pPr>
        <w:pStyle w:val="Point2"/>
        <w:rPr>
          <w:noProof/>
        </w:rPr>
      </w:pPr>
      <w:r w:rsidRPr="002A7F8C">
        <w:rPr>
          <w:noProof/>
        </w:rPr>
        <w:t>(2)</w:t>
      </w:r>
      <w:r w:rsidRPr="002A7F8C">
        <w:rPr>
          <w:noProof/>
        </w:rPr>
        <w:tab/>
      </w:r>
      <w:r w:rsidR="007C28A8" w:rsidRPr="006A39BB">
        <w:rPr>
          <w:noProof/>
        </w:rPr>
        <w:t xml:space="preserve">to submit to an investigation and in particular to produce complete records, data, procedures or any other material required and to complete and correct other information provided in an investigation launched by a decision </w:t>
      </w:r>
      <w:r w:rsidR="00582BB7">
        <w:rPr>
          <w:noProof/>
        </w:rPr>
        <w:t xml:space="preserve">taken </w:t>
      </w:r>
      <w:r w:rsidR="007C28A8" w:rsidRPr="006A39BB">
        <w:rPr>
          <w:noProof/>
        </w:rPr>
        <w:t xml:space="preserve">pursuant to Article </w:t>
      </w:r>
      <w:r w:rsidR="002806CA">
        <w:rPr>
          <w:noProof/>
        </w:rPr>
        <w:t>30</w:t>
      </w:r>
      <w:r w:rsidR="007C28A8" w:rsidRPr="006A39BB">
        <w:rPr>
          <w:noProof/>
        </w:rPr>
        <w:t>;</w:t>
      </w:r>
    </w:p>
    <w:p w14:paraId="2FD8305D" w14:textId="6ED6D605" w:rsidR="007C28A8" w:rsidRPr="006A39BB" w:rsidRDefault="002A7F8C" w:rsidP="002A7F8C">
      <w:pPr>
        <w:pStyle w:val="Point2"/>
        <w:rPr>
          <w:noProof/>
        </w:rPr>
      </w:pPr>
      <w:r w:rsidRPr="002A7F8C">
        <w:rPr>
          <w:noProof/>
        </w:rPr>
        <w:t>(3)</w:t>
      </w:r>
      <w:r w:rsidRPr="002A7F8C">
        <w:rPr>
          <w:noProof/>
        </w:rPr>
        <w:tab/>
      </w:r>
      <w:r w:rsidR="007C28A8" w:rsidRPr="006A39BB">
        <w:rPr>
          <w:noProof/>
        </w:rPr>
        <w:t>to submit to an on-site inspection ordered by a decision taken pursuant to Article</w:t>
      </w:r>
      <w:r w:rsidR="00582BB7">
        <w:rPr>
          <w:noProof/>
        </w:rPr>
        <w:t> </w:t>
      </w:r>
      <w:r w:rsidR="009A1A88">
        <w:rPr>
          <w:noProof/>
        </w:rPr>
        <w:t>32</w:t>
      </w:r>
      <w:r w:rsidR="007C28A8" w:rsidRPr="006A39BB">
        <w:rPr>
          <w:noProof/>
        </w:rPr>
        <w:t>.</w:t>
      </w:r>
    </w:p>
    <w:p w14:paraId="13C42566" w14:textId="6492CD32" w:rsidR="00FD7661" w:rsidRPr="006A39BB" w:rsidRDefault="002A7F8C" w:rsidP="002A7F8C">
      <w:pPr>
        <w:pStyle w:val="ManualNumPar1"/>
        <w:rPr>
          <w:noProof/>
        </w:rPr>
      </w:pPr>
      <w:r w:rsidRPr="002A7F8C">
        <w:rPr>
          <w:noProof/>
        </w:rPr>
        <w:t>2.</w:t>
      </w:r>
      <w:r w:rsidRPr="002A7F8C">
        <w:rPr>
          <w:noProof/>
        </w:rPr>
        <w:tab/>
      </w:r>
      <w:r w:rsidR="007C28A8" w:rsidRPr="006A39BB">
        <w:rPr>
          <w:noProof/>
        </w:rPr>
        <w:t xml:space="preserve">A periodic penalty payment shall be effective and proportionate. </w:t>
      </w:r>
      <w:r w:rsidR="00582BB7">
        <w:rPr>
          <w:noProof/>
        </w:rPr>
        <w:t>ESMA shall im</w:t>
      </w:r>
      <w:r w:rsidR="002806CA">
        <w:rPr>
          <w:noProof/>
        </w:rPr>
        <w:t>p</w:t>
      </w:r>
      <w:r w:rsidR="00582BB7">
        <w:rPr>
          <w:noProof/>
        </w:rPr>
        <w:t>ose t</w:t>
      </w:r>
      <w:r w:rsidR="00FD7661" w:rsidRPr="006A39BB">
        <w:rPr>
          <w:noProof/>
        </w:rPr>
        <w:t>he periodic penalty payment on a daily basis until the ESG rating provider or person concerned complies with the relevant decision referred to in paragraph 1.</w:t>
      </w:r>
    </w:p>
    <w:p w14:paraId="66DB63B6" w14:textId="11181964" w:rsidR="007C28A8" w:rsidRPr="006A39BB" w:rsidRDefault="002A7F8C" w:rsidP="002A7F8C">
      <w:pPr>
        <w:pStyle w:val="ManualNumPar1"/>
        <w:rPr>
          <w:noProof/>
        </w:rPr>
      </w:pPr>
      <w:r w:rsidRPr="002A7F8C">
        <w:rPr>
          <w:noProof/>
        </w:rPr>
        <w:t>3.</w:t>
      </w:r>
      <w:r w:rsidRPr="002A7F8C">
        <w:rPr>
          <w:noProof/>
        </w:rPr>
        <w:tab/>
      </w:r>
      <w:r w:rsidR="007C28A8" w:rsidRPr="006A39BB">
        <w:rPr>
          <w:noProof/>
        </w:rPr>
        <w:t>Notwithstanding paragraph 2, the amount of the periodic penalty payments shall be 3 % of the average daily turnover in the preceding business year, or, in the case of natural persons, 2 % of the average daily income in the preceding calendar year. It shall be calculated from the date stipulated in the decision imposing the periodic penalty payment.</w:t>
      </w:r>
    </w:p>
    <w:p w14:paraId="098D3D06" w14:textId="47E0AB4A" w:rsidR="007C28A8" w:rsidRPr="006A39BB" w:rsidRDefault="002A7F8C" w:rsidP="002A7F8C">
      <w:pPr>
        <w:pStyle w:val="ManualNumPar1"/>
        <w:rPr>
          <w:noProof/>
        </w:rPr>
      </w:pPr>
      <w:r w:rsidRPr="002A7F8C">
        <w:rPr>
          <w:noProof/>
        </w:rPr>
        <w:t>4.</w:t>
      </w:r>
      <w:r w:rsidRPr="002A7F8C">
        <w:rPr>
          <w:noProof/>
        </w:rPr>
        <w:tab/>
      </w:r>
      <w:r w:rsidR="007C28A8" w:rsidRPr="006A39BB">
        <w:rPr>
          <w:noProof/>
        </w:rPr>
        <w:t>A periodic penalty payment shall be imposed for a maximum period of six months following the notification of ESMA’s decision. Following the end of th</w:t>
      </w:r>
      <w:r w:rsidR="00582BB7">
        <w:rPr>
          <w:noProof/>
        </w:rPr>
        <w:t>at</w:t>
      </w:r>
      <w:r w:rsidR="007C28A8" w:rsidRPr="006A39BB">
        <w:rPr>
          <w:noProof/>
        </w:rPr>
        <w:t xml:space="preserve"> period, ESMA shall review the measure.</w:t>
      </w:r>
    </w:p>
    <w:p w14:paraId="0A6AC4FB" w14:textId="77777777" w:rsidR="007C28A8" w:rsidRPr="00027382" w:rsidRDefault="007C28A8" w:rsidP="00027382">
      <w:pPr>
        <w:pStyle w:val="Titrearticle"/>
        <w:spacing w:line="23" w:lineRule="atLeast"/>
        <w:rPr>
          <w:noProof/>
          <w:szCs w:val="24"/>
        </w:rPr>
      </w:pPr>
      <w:r w:rsidRPr="00027382">
        <w:rPr>
          <w:noProof/>
          <w:szCs w:val="24"/>
        </w:rPr>
        <w:t xml:space="preserve">Article </w:t>
      </w:r>
      <w:r w:rsidR="00375E7D" w:rsidRPr="00027382">
        <w:rPr>
          <w:noProof/>
          <w:szCs w:val="24"/>
        </w:rPr>
        <w:t>3</w:t>
      </w:r>
      <w:r w:rsidR="004C4CF3" w:rsidRPr="00027382">
        <w:rPr>
          <w:noProof/>
          <w:szCs w:val="24"/>
        </w:rPr>
        <w:t>6</w:t>
      </w:r>
    </w:p>
    <w:p w14:paraId="3D1394B2" w14:textId="77777777" w:rsidR="007C28A8" w:rsidRPr="00027382" w:rsidRDefault="007C28A8" w:rsidP="00027382">
      <w:pPr>
        <w:pStyle w:val="NormalCentered"/>
        <w:rPr>
          <w:b/>
          <w:bCs/>
          <w:noProof/>
          <w:lang w:eastAsia="en-IE"/>
        </w:rPr>
      </w:pPr>
      <w:r w:rsidRPr="00027382">
        <w:rPr>
          <w:b/>
          <w:bCs/>
          <w:noProof/>
          <w:lang w:eastAsia="en-IE"/>
        </w:rPr>
        <w:t>Disclosure, nature, enforcement and allocation of fines and periodic penalty payments</w:t>
      </w:r>
    </w:p>
    <w:p w14:paraId="333C3D64" w14:textId="5298B83C" w:rsidR="007C28A8" w:rsidRPr="006A39BB" w:rsidRDefault="002A7F8C" w:rsidP="002A7F8C">
      <w:pPr>
        <w:pStyle w:val="ManualNumPar1"/>
        <w:rPr>
          <w:noProof/>
        </w:rPr>
      </w:pPr>
      <w:r w:rsidRPr="002A7F8C">
        <w:rPr>
          <w:noProof/>
        </w:rPr>
        <w:t>1.</w:t>
      </w:r>
      <w:r w:rsidRPr="002A7F8C">
        <w:rPr>
          <w:noProof/>
        </w:rPr>
        <w:tab/>
      </w:r>
      <w:r w:rsidR="007C28A8" w:rsidRPr="006A39BB">
        <w:rPr>
          <w:noProof/>
        </w:rPr>
        <w:t xml:space="preserve">ESMA shall disclose to the public every fine and every periodic penalty payment that </w:t>
      </w:r>
      <w:r w:rsidR="00582BB7">
        <w:rPr>
          <w:noProof/>
        </w:rPr>
        <w:t>it has</w:t>
      </w:r>
      <w:r w:rsidR="007C28A8" w:rsidRPr="006A39BB">
        <w:rPr>
          <w:noProof/>
        </w:rPr>
        <w:t xml:space="preserve"> imposed pursuant to Articles </w:t>
      </w:r>
      <w:r w:rsidR="00EB35DF" w:rsidRPr="006A39BB">
        <w:rPr>
          <w:noProof/>
        </w:rPr>
        <w:t xml:space="preserve">34 </w:t>
      </w:r>
      <w:r w:rsidR="007C28A8" w:rsidRPr="006A39BB">
        <w:rPr>
          <w:noProof/>
        </w:rPr>
        <w:t>and </w:t>
      </w:r>
      <w:r w:rsidR="00A52E1D" w:rsidRPr="006A39BB">
        <w:rPr>
          <w:noProof/>
        </w:rPr>
        <w:t>3</w:t>
      </w:r>
      <w:r w:rsidR="00EB35DF" w:rsidRPr="006A39BB">
        <w:rPr>
          <w:noProof/>
        </w:rPr>
        <w:t>5</w:t>
      </w:r>
      <w:r w:rsidR="007C28A8" w:rsidRPr="006A39BB">
        <w:rPr>
          <w:noProof/>
        </w:rPr>
        <w:t xml:space="preserve">, unless such disclosure to the public would seriously jeopardise the </w:t>
      </w:r>
      <w:r w:rsidR="00582BB7">
        <w:rPr>
          <w:noProof/>
        </w:rPr>
        <w:t xml:space="preserve">Union </w:t>
      </w:r>
      <w:r w:rsidR="007C28A8" w:rsidRPr="006A39BB">
        <w:rPr>
          <w:noProof/>
        </w:rPr>
        <w:t>financial markets or cause disproportionate damage to the parties involved. Such disclosure shall not contain personal data within the meaning of Regulation (EU) 2018/1725 of the European Parliament and of the Council</w:t>
      </w:r>
      <w:r w:rsidR="004F72AB" w:rsidRPr="006A39BB">
        <w:rPr>
          <w:rStyle w:val="FootnoteReference"/>
          <w:noProof/>
          <w:szCs w:val="24"/>
        </w:rPr>
        <w:footnoteReference w:id="55"/>
      </w:r>
      <w:r w:rsidR="007C28A8" w:rsidRPr="006A39BB">
        <w:rPr>
          <w:noProof/>
        </w:rPr>
        <w:t>.</w:t>
      </w:r>
    </w:p>
    <w:p w14:paraId="290BFF2B" w14:textId="7BCF1655" w:rsidR="007C28A8" w:rsidRPr="006A39BB" w:rsidRDefault="002A7F8C" w:rsidP="002A7F8C">
      <w:pPr>
        <w:pStyle w:val="ManualNumPar1"/>
        <w:rPr>
          <w:noProof/>
        </w:rPr>
      </w:pPr>
      <w:r w:rsidRPr="002A7F8C">
        <w:rPr>
          <w:noProof/>
        </w:rPr>
        <w:t>2.</w:t>
      </w:r>
      <w:r w:rsidRPr="002A7F8C">
        <w:rPr>
          <w:noProof/>
        </w:rPr>
        <w:tab/>
      </w:r>
      <w:r w:rsidR="007C28A8" w:rsidRPr="006A39BB">
        <w:rPr>
          <w:noProof/>
        </w:rPr>
        <w:t xml:space="preserve">Fines and periodic penalty payments imposed pursuant to </w:t>
      </w:r>
      <w:r w:rsidR="004F72AB" w:rsidRPr="006A39BB">
        <w:rPr>
          <w:noProof/>
        </w:rPr>
        <w:t xml:space="preserve">Articles </w:t>
      </w:r>
      <w:r w:rsidR="00EB35DF" w:rsidRPr="006A39BB">
        <w:rPr>
          <w:noProof/>
        </w:rPr>
        <w:t>34</w:t>
      </w:r>
      <w:r w:rsidR="004F72AB" w:rsidRPr="006A39BB">
        <w:rPr>
          <w:noProof/>
        </w:rPr>
        <w:t xml:space="preserve"> and </w:t>
      </w:r>
      <w:r w:rsidR="00EB35DF" w:rsidRPr="006A39BB">
        <w:rPr>
          <w:noProof/>
        </w:rPr>
        <w:t>35 sha</w:t>
      </w:r>
      <w:r w:rsidR="007C28A8" w:rsidRPr="006A39BB">
        <w:rPr>
          <w:noProof/>
        </w:rPr>
        <w:t>ll be of an administrative nature.</w:t>
      </w:r>
    </w:p>
    <w:p w14:paraId="4C48E64B" w14:textId="615E5AD2" w:rsidR="007C28A8" w:rsidRPr="006A39BB" w:rsidRDefault="002A7F8C" w:rsidP="002A7F8C">
      <w:pPr>
        <w:pStyle w:val="ManualNumPar1"/>
        <w:rPr>
          <w:noProof/>
        </w:rPr>
      </w:pPr>
      <w:r w:rsidRPr="002A7F8C">
        <w:rPr>
          <w:noProof/>
        </w:rPr>
        <w:t>3.</w:t>
      </w:r>
      <w:r w:rsidRPr="002A7F8C">
        <w:rPr>
          <w:noProof/>
        </w:rPr>
        <w:tab/>
      </w:r>
      <w:r w:rsidR="007C28A8" w:rsidRPr="006A39BB">
        <w:rPr>
          <w:noProof/>
        </w:rPr>
        <w:t xml:space="preserve">Fines and periodic penalty payments imposed pursuant to </w:t>
      </w:r>
      <w:r w:rsidR="003D2015" w:rsidRPr="006A39BB">
        <w:rPr>
          <w:noProof/>
        </w:rPr>
        <w:t xml:space="preserve">Articles </w:t>
      </w:r>
      <w:r w:rsidR="00A32AD8" w:rsidRPr="006A39BB">
        <w:rPr>
          <w:noProof/>
        </w:rPr>
        <w:t>3</w:t>
      </w:r>
      <w:r w:rsidR="00764DB4" w:rsidRPr="006A39BB">
        <w:rPr>
          <w:noProof/>
        </w:rPr>
        <w:t>4</w:t>
      </w:r>
      <w:r w:rsidR="00A32AD8" w:rsidRPr="006A39BB">
        <w:rPr>
          <w:noProof/>
        </w:rPr>
        <w:t xml:space="preserve"> </w:t>
      </w:r>
      <w:r w:rsidR="00764DB4" w:rsidRPr="006A39BB">
        <w:rPr>
          <w:noProof/>
        </w:rPr>
        <w:t>a</w:t>
      </w:r>
      <w:r w:rsidR="00A32AD8" w:rsidRPr="006A39BB">
        <w:rPr>
          <w:noProof/>
        </w:rPr>
        <w:t>nd 3</w:t>
      </w:r>
      <w:r w:rsidR="00764DB4" w:rsidRPr="006A39BB">
        <w:rPr>
          <w:noProof/>
        </w:rPr>
        <w:t>5</w:t>
      </w:r>
      <w:r w:rsidR="00A32AD8" w:rsidRPr="006A39BB">
        <w:rPr>
          <w:noProof/>
        </w:rPr>
        <w:t xml:space="preserve"> </w:t>
      </w:r>
      <w:r w:rsidR="007C28A8" w:rsidRPr="006A39BB">
        <w:rPr>
          <w:noProof/>
        </w:rPr>
        <w:t>shall be enforceable.</w:t>
      </w:r>
    </w:p>
    <w:p w14:paraId="23B7A4A3" w14:textId="77777777" w:rsidR="007C28A8" w:rsidRPr="006A39BB" w:rsidRDefault="007C28A8" w:rsidP="00162B2D">
      <w:pPr>
        <w:rPr>
          <w:noProof/>
        </w:rPr>
      </w:pPr>
      <w:r w:rsidRPr="006A39BB">
        <w:rPr>
          <w:noProof/>
        </w:rPr>
        <w:t>Enforcement</w:t>
      </w:r>
      <w:r w:rsidR="00AB24DD">
        <w:rPr>
          <w:noProof/>
        </w:rPr>
        <w:t xml:space="preserve"> of the fines and periodic payments</w:t>
      </w:r>
      <w:r w:rsidRPr="006A39BB">
        <w:rPr>
          <w:noProof/>
        </w:rPr>
        <w:t xml:space="preserve"> shall be governed by the rules of procedure in force in the Member State or third country in which it is carried out.</w:t>
      </w:r>
    </w:p>
    <w:p w14:paraId="5733CF70" w14:textId="3F9F67D0" w:rsidR="007C28A8" w:rsidRPr="006A39BB" w:rsidRDefault="002A7F8C" w:rsidP="002A7F8C">
      <w:pPr>
        <w:pStyle w:val="ManualNumPar1"/>
        <w:rPr>
          <w:noProof/>
        </w:rPr>
      </w:pPr>
      <w:r w:rsidRPr="002A7F8C">
        <w:rPr>
          <w:noProof/>
        </w:rPr>
        <w:t>4.</w:t>
      </w:r>
      <w:r w:rsidRPr="002A7F8C">
        <w:rPr>
          <w:noProof/>
        </w:rPr>
        <w:tab/>
      </w:r>
      <w:r w:rsidR="007C28A8" w:rsidRPr="006A39BB">
        <w:rPr>
          <w:noProof/>
        </w:rPr>
        <w:t>The fines and periodic penalty payments shall be allocated to the general budget of the European</w:t>
      </w:r>
      <w:r w:rsidR="00AB24DD">
        <w:rPr>
          <w:noProof/>
        </w:rPr>
        <w:t xml:space="preserve"> </w:t>
      </w:r>
      <w:r w:rsidR="007C28A8" w:rsidRPr="006A39BB">
        <w:rPr>
          <w:noProof/>
        </w:rPr>
        <w:t>Union.</w:t>
      </w:r>
    </w:p>
    <w:p w14:paraId="79A9EDCD" w14:textId="77777777" w:rsidR="007C28A8" w:rsidRPr="00CD2A5D" w:rsidRDefault="007C28A8" w:rsidP="00CD2A5D">
      <w:pPr>
        <w:pStyle w:val="NormalCentered"/>
        <w:rPr>
          <w:noProof/>
        </w:rPr>
      </w:pPr>
      <w:r w:rsidRPr="00CD2A5D">
        <w:rPr>
          <w:noProof/>
        </w:rPr>
        <w:t xml:space="preserve">Section </w:t>
      </w:r>
      <w:r w:rsidR="00B67CEB" w:rsidRPr="00CD2A5D">
        <w:rPr>
          <w:noProof/>
        </w:rPr>
        <w:t>3</w:t>
      </w:r>
    </w:p>
    <w:p w14:paraId="0714C3D1" w14:textId="77777777" w:rsidR="007C28A8" w:rsidRPr="006A39BB" w:rsidRDefault="007C28A8" w:rsidP="00027382">
      <w:pPr>
        <w:pStyle w:val="NormalCentered"/>
        <w:rPr>
          <w:b/>
          <w:bCs/>
          <w:noProof/>
          <w:lang w:eastAsia="en-IE"/>
        </w:rPr>
      </w:pPr>
      <w:r w:rsidRPr="006A39BB">
        <w:rPr>
          <w:b/>
          <w:bCs/>
          <w:noProof/>
          <w:lang w:eastAsia="en-IE"/>
        </w:rPr>
        <w:t>Procedures and review</w:t>
      </w:r>
    </w:p>
    <w:p w14:paraId="42A8E398" w14:textId="77777777" w:rsidR="007C28A8" w:rsidRPr="00CD2A5D" w:rsidRDefault="007C28A8" w:rsidP="00CD2A5D">
      <w:pPr>
        <w:pStyle w:val="Titrearticle"/>
        <w:spacing w:line="23" w:lineRule="atLeast"/>
        <w:rPr>
          <w:noProof/>
          <w:szCs w:val="24"/>
        </w:rPr>
      </w:pPr>
      <w:r w:rsidRPr="00CD2A5D">
        <w:rPr>
          <w:noProof/>
          <w:szCs w:val="24"/>
        </w:rPr>
        <w:t xml:space="preserve">Article </w:t>
      </w:r>
      <w:r w:rsidR="007717DC" w:rsidRPr="00CD2A5D">
        <w:rPr>
          <w:noProof/>
          <w:szCs w:val="24"/>
        </w:rPr>
        <w:t>3</w:t>
      </w:r>
      <w:r w:rsidR="004C4CF3" w:rsidRPr="00CD2A5D">
        <w:rPr>
          <w:noProof/>
          <w:szCs w:val="24"/>
        </w:rPr>
        <w:t>7</w:t>
      </w:r>
    </w:p>
    <w:p w14:paraId="643020AC" w14:textId="77777777" w:rsidR="007C28A8" w:rsidRPr="00CD2A5D" w:rsidRDefault="007C28A8" w:rsidP="00CD2A5D">
      <w:pPr>
        <w:pStyle w:val="NormalCentered"/>
        <w:rPr>
          <w:b/>
          <w:bCs/>
          <w:noProof/>
          <w:lang w:eastAsia="en-IE"/>
        </w:rPr>
      </w:pPr>
      <w:r w:rsidRPr="00CD2A5D">
        <w:rPr>
          <w:b/>
          <w:bCs/>
          <w:noProof/>
          <w:lang w:eastAsia="en-IE"/>
        </w:rPr>
        <w:t>Procedural rules for taking supervisory measures and imposing fines</w:t>
      </w:r>
    </w:p>
    <w:p w14:paraId="25625A40" w14:textId="71575D33" w:rsidR="007C28A8" w:rsidRPr="006A39BB" w:rsidRDefault="002A7F8C" w:rsidP="002A7F8C">
      <w:pPr>
        <w:pStyle w:val="ManualNumPar1"/>
        <w:rPr>
          <w:noProof/>
        </w:rPr>
      </w:pPr>
      <w:r w:rsidRPr="002A7F8C">
        <w:rPr>
          <w:noProof/>
        </w:rPr>
        <w:t>1.</w:t>
      </w:r>
      <w:r w:rsidRPr="002A7F8C">
        <w:rPr>
          <w:noProof/>
        </w:rPr>
        <w:tab/>
      </w:r>
      <w:r w:rsidR="007C28A8" w:rsidRPr="006A39BB">
        <w:rPr>
          <w:noProof/>
        </w:rPr>
        <w:t xml:space="preserve">Where ESMA finds that there are serious indications of </w:t>
      </w:r>
      <w:r w:rsidR="00AB24DD">
        <w:rPr>
          <w:noProof/>
        </w:rPr>
        <w:t xml:space="preserve">a </w:t>
      </w:r>
      <w:r w:rsidR="007C28A8" w:rsidRPr="006A39BB">
        <w:rPr>
          <w:noProof/>
        </w:rPr>
        <w:t xml:space="preserve">possible </w:t>
      </w:r>
      <w:r w:rsidR="00AB24DD">
        <w:rPr>
          <w:noProof/>
        </w:rPr>
        <w:t xml:space="preserve"> infringement</w:t>
      </w:r>
      <w:r w:rsidR="00E44FA6" w:rsidRPr="006A39BB">
        <w:rPr>
          <w:noProof/>
        </w:rPr>
        <w:t xml:space="preserve"> of this Regulation</w:t>
      </w:r>
      <w:r w:rsidR="007C28A8" w:rsidRPr="006A39BB">
        <w:rPr>
          <w:noProof/>
        </w:rPr>
        <w:t>, ESMA shall appoint an independent investigation officer within ESMA to investigate the matter. Th</w:t>
      </w:r>
      <w:r w:rsidR="009B042F">
        <w:rPr>
          <w:noProof/>
        </w:rPr>
        <w:t>at</w:t>
      </w:r>
      <w:r w:rsidR="007C28A8" w:rsidRPr="006A39BB">
        <w:rPr>
          <w:noProof/>
        </w:rPr>
        <w:t xml:space="preserve"> appointed officer shall not be involved or have been directly or indirectly involved in the supervision of the </w:t>
      </w:r>
      <w:r w:rsidR="002D2716" w:rsidRPr="006A39BB">
        <w:rPr>
          <w:noProof/>
        </w:rPr>
        <w:t>ESG ratings</w:t>
      </w:r>
      <w:r w:rsidR="007C28A8" w:rsidRPr="006A39BB">
        <w:rPr>
          <w:noProof/>
        </w:rPr>
        <w:t xml:space="preserve"> to which the infringement relates and shall perform his or her functions independently from ESMA’s Board of Supervisors.</w:t>
      </w:r>
    </w:p>
    <w:p w14:paraId="492D1514" w14:textId="43E989C7" w:rsidR="007C28A8" w:rsidRPr="006A39BB" w:rsidRDefault="002A7F8C" w:rsidP="002A7F8C">
      <w:pPr>
        <w:pStyle w:val="ManualNumPar1"/>
        <w:rPr>
          <w:noProof/>
        </w:rPr>
      </w:pPr>
      <w:r w:rsidRPr="002A7F8C">
        <w:rPr>
          <w:noProof/>
        </w:rPr>
        <w:t>2.</w:t>
      </w:r>
      <w:r w:rsidRPr="002A7F8C">
        <w:rPr>
          <w:noProof/>
        </w:rPr>
        <w:tab/>
      </w:r>
      <w:r w:rsidR="007C28A8" w:rsidRPr="006A39BB">
        <w:rPr>
          <w:noProof/>
        </w:rPr>
        <w:t>The investigation officer referred to in paragraph 1 shall investigate the alleged infringements, take into account any comments submitted by the persons who are subject to the investigation, and shall submit a complete file with his or her findings to ESMA’s Board of Supervisors.</w:t>
      </w:r>
    </w:p>
    <w:p w14:paraId="618E7336" w14:textId="004DCE21" w:rsidR="007C28A8" w:rsidRPr="006A39BB" w:rsidRDefault="002A7F8C" w:rsidP="002A7F8C">
      <w:pPr>
        <w:pStyle w:val="ManualNumPar1"/>
        <w:rPr>
          <w:noProof/>
        </w:rPr>
      </w:pPr>
      <w:r w:rsidRPr="002A7F8C">
        <w:rPr>
          <w:noProof/>
        </w:rPr>
        <w:t>3.</w:t>
      </w:r>
      <w:r w:rsidRPr="002A7F8C">
        <w:rPr>
          <w:noProof/>
        </w:rPr>
        <w:tab/>
      </w:r>
      <w:r w:rsidR="00EE40F3">
        <w:rPr>
          <w:noProof/>
        </w:rPr>
        <w:t>T</w:t>
      </w:r>
      <w:r w:rsidR="007C28A8" w:rsidRPr="006A39BB">
        <w:rPr>
          <w:noProof/>
        </w:rPr>
        <w:t xml:space="preserve">he investigation officer shall have the power to request information in accordance with Article </w:t>
      </w:r>
      <w:r w:rsidR="00764DB4" w:rsidRPr="006A39BB">
        <w:rPr>
          <w:noProof/>
        </w:rPr>
        <w:t xml:space="preserve">30 </w:t>
      </w:r>
      <w:r w:rsidR="007C28A8" w:rsidRPr="006A39BB">
        <w:rPr>
          <w:noProof/>
        </w:rPr>
        <w:t xml:space="preserve">and to conduct investigations and on-site inspections in accordance with Articles </w:t>
      </w:r>
      <w:r w:rsidR="00764DB4" w:rsidRPr="006A39BB">
        <w:rPr>
          <w:noProof/>
        </w:rPr>
        <w:t>31</w:t>
      </w:r>
      <w:r w:rsidR="007C28A8" w:rsidRPr="006A39BB">
        <w:rPr>
          <w:noProof/>
        </w:rPr>
        <w:t xml:space="preserve"> and </w:t>
      </w:r>
      <w:r w:rsidR="00764DB4" w:rsidRPr="006A39BB">
        <w:rPr>
          <w:noProof/>
        </w:rPr>
        <w:t>3</w:t>
      </w:r>
      <w:r w:rsidR="00006302" w:rsidRPr="006A39BB">
        <w:rPr>
          <w:noProof/>
        </w:rPr>
        <w:t>2</w:t>
      </w:r>
      <w:r w:rsidR="00764DB4" w:rsidRPr="006A39BB">
        <w:rPr>
          <w:noProof/>
        </w:rPr>
        <w:t>.</w:t>
      </w:r>
    </w:p>
    <w:p w14:paraId="30E6BB61" w14:textId="0E5C26EB" w:rsidR="007C28A8" w:rsidRPr="006A39BB" w:rsidRDefault="002A7F8C" w:rsidP="002A7F8C">
      <w:pPr>
        <w:pStyle w:val="ManualNumPar1"/>
        <w:rPr>
          <w:noProof/>
        </w:rPr>
      </w:pPr>
      <w:r w:rsidRPr="002A7F8C">
        <w:rPr>
          <w:noProof/>
        </w:rPr>
        <w:t>4.</w:t>
      </w:r>
      <w:r w:rsidRPr="002A7F8C">
        <w:rPr>
          <w:noProof/>
        </w:rPr>
        <w:tab/>
      </w:r>
      <w:r w:rsidR="007C28A8" w:rsidRPr="006A39BB">
        <w:rPr>
          <w:noProof/>
        </w:rPr>
        <w:t>Whe</w:t>
      </w:r>
      <w:r w:rsidR="00640915" w:rsidRPr="006A39BB">
        <w:rPr>
          <w:noProof/>
        </w:rPr>
        <w:t>n</w:t>
      </w:r>
      <w:r w:rsidR="007C28A8" w:rsidRPr="006A39BB">
        <w:rPr>
          <w:noProof/>
        </w:rPr>
        <w:t xml:space="preserve"> carrying </w:t>
      </w:r>
      <w:r w:rsidR="00640915" w:rsidRPr="006A39BB">
        <w:rPr>
          <w:noProof/>
        </w:rPr>
        <w:t>out hi</w:t>
      </w:r>
      <w:r w:rsidR="00764DB4" w:rsidRPr="006A39BB">
        <w:rPr>
          <w:noProof/>
        </w:rPr>
        <w:t>s</w:t>
      </w:r>
      <w:r w:rsidR="00640915" w:rsidRPr="006A39BB">
        <w:rPr>
          <w:noProof/>
        </w:rPr>
        <w:t xml:space="preserve"> or her</w:t>
      </w:r>
      <w:r w:rsidR="007C28A8" w:rsidRPr="006A39BB">
        <w:rPr>
          <w:noProof/>
        </w:rPr>
        <w:t xml:space="preserve"> tasks, the investigation officer shall have access to all documents and information that have been gathered by ESMA in its supervisory activities.</w:t>
      </w:r>
    </w:p>
    <w:p w14:paraId="1EAF4D22" w14:textId="6C30272F" w:rsidR="007C28A8" w:rsidRPr="006A39BB" w:rsidRDefault="002A7F8C" w:rsidP="002A7F8C">
      <w:pPr>
        <w:pStyle w:val="ManualNumPar1"/>
        <w:rPr>
          <w:noProof/>
        </w:rPr>
      </w:pPr>
      <w:r w:rsidRPr="002A7F8C">
        <w:rPr>
          <w:noProof/>
        </w:rPr>
        <w:t>5.</w:t>
      </w:r>
      <w:r w:rsidRPr="002A7F8C">
        <w:rPr>
          <w:noProof/>
        </w:rPr>
        <w:tab/>
      </w:r>
      <w:r w:rsidR="007C28A8" w:rsidRPr="006A39BB">
        <w:rPr>
          <w:noProof/>
        </w:rPr>
        <w:t>The rights of defence of the persons subject to the investigation shall be fully respected during investigations under this Article.</w:t>
      </w:r>
    </w:p>
    <w:p w14:paraId="462EE379" w14:textId="470D818F" w:rsidR="007C28A8" w:rsidRPr="006A39BB" w:rsidRDefault="002A7F8C" w:rsidP="002A7F8C">
      <w:pPr>
        <w:pStyle w:val="ManualNumPar1"/>
        <w:rPr>
          <w:noProof/>
        </w:rPr>
      </w:pPr>
      <w:r w:rsidRPr="002A7F8C">
        <w:rPr>
          <w:noProof/>
        </w:rPr>
        <w:t>6.</w:t>
      </w:r>
      <w:r w:rsidRPr="002A7F8C">
        <w:rPr>
          <w:noProof/>
        </w:rPr>
        <w:tab/>
      </w:r>
      <w:r w:rsidR="007C28A8" w:rsidRPr="006A39BB">
        <w:rPr>
          <w:noProof/>
        </w:rPr>
        <w:t>Upon submission of the file with his or her findings to ESMA’s Board of Supervisors, the investigation officer shall notify the persons who are subject to the investigation.</w:t>
      </w:r>
    </w:p>
    <w:p w14:paraId="0FD975CC" w14:textId="79121DC8" w:rsidR="007C28A8" w:rsidRPr="006A39BB" w:rsidRDefault="002A7F8C" w:rsidP="002A7F8C">
      <w:pPr>
        <w:pStyle w:val="ManualNumPar1"/>
        <w:rPr>
          <w:noProof/>
        </w:rPr>
      </w:pPr>
      <w:r w:rsidRPr="002A7F8C">
        <w:rPr>
          <w:noProof/>
        </w:rPr>
        <w:t>7.</w:t>
      </w:r>
      <w:r w:rsidRPr="002A7F8C">
        <w:rPr>
          <w:noProof/>
        </w:rPr>
        <w:tab/>
      </w:r>
      <w:r w:rsidR="007C28A8" w:rsidRPr="006A39BB">
        <w:rPr>
          <w:noProof/>
        </w:rPr>
        <w:t>On the basis of the file containing the investigation officer’s findings and, whe</w:t>
      </w:r>
      <w:r w:rsidR="00EE40F3">
        <w:rPr>
          <w:noProof/>
        </w:rPr>
        <w:t>re</w:t>
      </w:r>
      <w:r w:rsidR="007C28A8" w:rsidRPr="006A39BB">
        <w:rPr>
          <w:noProof/>
        </w:rPr>
        <w:t xml:space="preserve"> requested by the persons concerned after having heard those persons in accordance with Article </w:t>
      </w:r>
      <w:r w:rsidR="00FC1446" w:rsidRPr="006A39BB">
        <w:rPr>
          <w:noProof/>
        </w:rPr>
        <w:t>38</w:t>
      </w:r>
      <w:r w:rsidR="007C28A8" w:rsidRPr="006A39BB">
        <w:rPr>
          <w:noProof/>
        </w:rPr>
        <w:t xml:space="preserve">, </w:t>
      </w:r>
      <w:r w:rsidR="00EE40F3">
        <w:rPr>
          <w:noProof/>
        </w:rPr>
        <w:t xml:space="preserve">the Board of Supervisors of </w:t>
      </w:r>
      <w:r w:rsidR="007C28A8" w:rsidRPr="006A39BB">
        <w:rPr>
          <w:noProof/>
        </w:rPr>
        <w:t xml:space="preserve">ESMA shall </w:t>
      </w:r>
      <w:r w:rsidR="00EE40F3">
        <w:rPr>
          <w:noProof/>
        </w:rPr>
        <w:t>assess</w:t>
      </w:r>
      <w:r w:rsidR="007C28A8" w:rsidRPr="006A39BB">
        <w:rPr>
          <w:noProof/>
        </w:rPr>
        <w:t xml:space="preserve"> </w:t>
      </w:r>
      <w:r w:rsidR="00EE40F3">
        <w:rPr>
          <w:noProof/>
        </w:rPr>
        <w:t>whether</w:t>
      </w:r>
      <w:r w:rsidR="007C28A8" w:rsidRPr="006A39BB">
        <w:rPr>
          <w:noProof/>
        </w:rPr>
        <w:t xml:space="preserve"> one or more </w:t>
      </w:r>
      <w:r w:rsidR="00EE40F3" w:rsidRPr="006A39BB">
        <w:rPr>
          <w:noProof/>
        </w:rPr>
        <w:t xml:space="preserve">persons subject to the investigation </w:t>
      </w:r>
      <w:r w:rsidR="00EE40F3">
        <w:rPr>
          <w:noProof/>
        </w:rPr>
        <w:t xml:space="preserve">have committed </w:t>
      </w:r>
      <w:r w:rsidR="007C28A8" w:rsidRPr="006A39BB">
        <w:rPr>
          <w:noProof/>
        </w:rPr>
        <w:t>the infringements</w:t>
      </w:r>
      <w:r w:rsidR="00EE40F3">
        <w:rPr>
          <w:noProof/>
        </w:rPr>
        <w:t xml:space="preserve"> concerned</w:t>
      </w:r>
      <w:r w:rsidR="007C28A8" w:rsidRPr="006A39BB">
        <w:rPr>
          <w:noProof/>
        </w:rPr>
        <w:t xml:space="preserve"> and </w:t>
      </w:r>
      <w:r w:rsidR="00EE40F3">
        <w:rPr>
          <w:noProof/>
        </w:rPr>
        <w:t>shall, where it comes to the conclusion that such infringements have been committed</w:t>
      </w:r>
      <w:r w:rsidR="007C28A8" w:rsidRPr="006A39BB">
        <w:rPr>
          <w:noProof/>
        </w:rPr>
        <w:t xml:space="preserve">, take a supervisory measure </w:t>
      </w:r>
      <w:r w:rsidR="00EE40F3">
        <w:rPr>
          <w:noProof/>
        </w:rPr>
        <w:t>as referred to in</w:t>
      </w:r>
      <w:r w:rsidR="007C28A8" w:rsidRPr="006A39BB">
        <w:rPr>
          <w:noProof/>
        </w:rPr>
        <w:t xml:space="preserve"> Article </w:t>
      </w:r>
      <w:r w:rsidR="00FC1446" w:rsidRPr="006A39BB">
        <w:rPr>
          <w:noProof/>
        </w:rPr>
        <w:t xml:space="preserve">33 </w:t>
      </w:r>
      <w:r w:rsidR="007C28A8" w:rsidRPr="006A39BB">
        <w:rPr>
          <w:noProof/>
        </w:rPr>
        <w:t>and impose a fine in accordance with Article</w:t>
      </w:r>
      <w:r w:rsidR="00EE40F3">
        <w:rPr>
          <w:noProof/>
        </w:rPr>
        <w:t> </w:t>
      </w:r>
      <w:r w:rsidR="00A37918" w:rsidRPr="006A39BB">
        <w:rPr>
          <w:noProof/>
        </w:rPr>
        <w:t>3</w:t>
      </w:r>
      <w:r w:rsidR="00FC1446" w:rsidRPr="006A39BB">
        <w:rPr>
          <w:noProof/>
        </w:rPr>
        <w:t>4</w:t>
      </w:r>
      <w:r w:rsidR="007C28A8" w:rsidRPr="006A39BB">
        <w:rPr>
          <w:noProof/>
        </w:rPr>
        <w:t>.</w:t>
      </w:r>
    </w:p>
    <w:p w14:paraId="2488C89C" w14:textId="2097C29F" w:rsidR="007C28A8" w:rsidRPr="006A39BB" w:rsidRDefault="002A7F8C" w:rsidP="002A7F8C">
      <w:pPr>
        <w:pStyle w:val="ManualNumPar1"/>
        <w:rPr>
          <w:noProof/>
        </w:rPr>
      </w:pPr>
      <w:r w:rsidRPr="002A7F8C">
        <w:rPr>
          <w:noProof/>
        </w:rPr>
        <w:t>8.</w:t>
      </w:r>
      <w:r w:rsidRPr="002A7F8C">
        <w:rPr>
          <w:noProof/>
        </w:rPr>
        <w:tab/>
      </w:r>
      <w:r w:rsidR="007C28A8" w:rsidRPr="006A39BB">
        <w:rPr>
          <w:noProof/>
        </w:rPr>
        <w:t>The investigation officer shall not participate in the deliberations of ESMA’s Board of Supervisors or in any other way intervene in the decision-making process of ESMA’s Board of Supervisors.</w:t>
      </w:r>
    </w:p>
    <w:p w14:paraId="2E84D6AC" w14:textId="2312BADF" w:rsidR="00FC43B4" w:rsidRPr="006A39BB" w:rsidRDefault="002A7F8C" w:rsidP="002A7F8C">
      <w:pPr>
        <w:pStyle w:val="ManualNumPar1"/>
        <w:rPr>
          <w:noProof/>
        </w:rPr>
      </w:pPr>
      <w:r w:rsidRPr="002A7F8C">
        <w:rPr>
          <w:noProof/>
        </w:rPr>
        <w:t>9.</w:t>
      </w:r>
      <w:r w:rsidRPr="002A7F8C">
        <w:rPr>
          <w:noProof/>
        </w:rPr>
        <w:tab/>
      </w:r>
      <w:r w:rsidR="00FC43B4" w:rsidRPr="006A39BB">
        <w:rPr>
          <w:noProof/>
        </w:rPr>
        <w:t xml:space="preserve">The Commission shall </w:t>
      </w:r>
      <w:r w:rsidR="00D32308">
        <w:rPr>
          <w:noProof/>
        </w:rPr>
        <w:t xml:space="preserve">supplement this Regulation by </w:t>
      </w:r>
      <w:r w:rsidR="00FC43B4" w:rsidRPr="006A39BB">
        <w:rPr>
          <w:noProof/>
        </w:rPr>
        <w:t>adopt</w:t>
      </w:r>
      <w:r w:rsidR="00D32308">
        <w:rPr>
          <w:noProof/>
        </w:rPr>
        <w:t>ing</w:t>
      </w:r>
      <w:r w:rsidR="00FC43B4" w:rsidRPr="006A39BB">
        <w:rPr>
          <w:noProof/>
        </w:rPr>
        <w:t xml:space="preserve"> further rules of procedure for the exercise of </w:t>
      </w:r>
      <w:r w:rsidR="00EE40F3">
        <w:rPr>
          <w:noProof/>
        </w:rPr>
        <w:t>ESMA’s</w:t>
      </w:r>
      <w:r w:rsidR="00FC43B4" w:rsidRPr="006A39BB">
        <w:rPr>
          <w:noProof/>
        </w:rPr>
        <w:t xml:space="preserve"> power to impose fines or periodic penalty payments, including provisions on rights of defence, temporal provisions, and the collection of fines or periodic penalty payments, and </w:t>
      </w:r>
      <w:r w:rsidR="00D32308">
        <w:rPr>
          <w:noProof/>
        </w:rPr>
        <w:t>by</w:t>
      </w:r>
      <w:r w:rsidR="00D32308" w:rsidRPr="006A39BB">
        <w:rPr>
          <w:noProof/>
        </w:rPr>
        <w:t xml:space="preserve"> </w:t>
      </w:r>
      <w:r w:rsidR="00FC43B4" w:rsidRPr="006A39BB">
        <w:rPr>
          <w:noProof/>
        </w:rPr>
        <w:t>adopt</w:t>
      </w:r>
      <w:r w:rsidR="00D32308">
        <w:rPr>
          <w:noProof/>
        </w:rPr>
        <w:t>ing</w:t>
      </w:r>
      <w:r w:rsidR="00FC43B4" w:rsidRPr="006A39BB">
        <w:rPr>
          <w:noProof/>
        </w:rPr>
        <w:t xml:space="preserve"> detailed rules on the limitation periods for the imposition and enforcement of penalties.</w:t>
      </w:r>
    </w:p>
    <w:p w14:paraId="392C61B2" w14:textId="77777777" w:rsidR="00C1274D" w:rsidRPr="006A39BB" w:rsidRDefault="00C1274D" w:rsidP="00162B2D">
      <w:pPr>
        <w:rPr>
          <w:noProof/>
        </w:rPr>
      </w:pPr>
      <w:r w:rsidRPr="006A39BB">
        <w:rPr>
          <w:noProof/>
        </w:rPr>
        <w:t xml:space="preserve">The rules referred to in the first subparagraph shall be adopted by means of delegated acts in accordance with Article </w:t>
      </w:r>
      <w:r w:rsidR="003705AF" w:rsidRPr="006A39BB">
        <w:rPr>
          <w:noProof/>
        </w:rPr>
        <w:t>45</w:t>
      </w:r>
      <w:r w:rsidRPr="006A39BB">
        <w:rPr>
          <w:noProof/>
        </w:rPr>
        <w:t>.</w:t>
      </w:r>
    </w:p>
    <w:p w14:paraId="76ACC200" w14:textId="038BBE5D" w:rsidR="007C28A8" w:rsidRPr="006A39BB" w:rsidRDefault="002A7F8C" w:rsidP="002A7F8C">
      <w:pPr>
        <w:pStyle w:val="ManualNumPar1"/>
        <w:rPr>
          <w:noProof/>
        </w:rPr>
      </w:pPr>
      <w:r w:rsidRPr="002A7F8C">
        <w:rPr>
          <w:noProof/>
        </w:rPr>
        <w:t>10.</w:t>
      </w:r>
      <w:r w:rsidRPr="002A7F8C">
        <w:rPr>
          <w:noProof/>
        </w:rPr>
        <w:tab/>
      </w:r>
      <w:r w:rsidR="007C28A8" w:rsidRPr="006A39BB">
        <w:rPr>
          <w:noProof/>
        </w:rPr>
        <w:t xml:space="preserve">ESMA shall refer matters for criminal prosecution to the national authorities </w:t>
      </w:r>
      <w:r w:rsidR="00EE40F3">
        <w:rPr>
          <w:noProof/>
        </w:rPr>
        <w:t xml:space="preserve">concerned </w:t>
      </w:r>
      <w:r w:rsidR="007C28A8" w:rsidRPr="006A39BB">
        <w:rPr>
          <w:noProof/>
        </w:rPr>
        <w:t>where, in carrying out its tasks under this Regulation, it finds that there are serious indications of the possible existence of facts liable to constitute criminal offences. ESMA shall refrain from imposing fines or periodic penalty payments where a prior acquittal or conviction arising from an identical fact or facts which are substantially the same has already acquired the force of res judicata as the result of criminal proceedings under national law.</w:t>
      </w:r>
    </w:p>
    <w:p w14:paraId="5C9B801F" w14:textId="77777777" w:rsidR="007C28A8" w:rsidRPr="00CD2A5D" w:rsidRDefault="007C28A8" w:rsidP="00CD2A5D">
      <w:pPr>
        <w:pStyle w:val="Titrearticle"/>
        <w:spacing w:line="23" w:lineRule="atLeast"/>
        <w:rPr>
          <w:noProof/>
          <w:szCs w:val="24"/>
        </w:rPr>
      </w:pPr>
      <w:r w:rsidRPr="00CD2A5D">
        <w:rPr>
          <w:noProof/>
          <w:szCs w:val="24"/>
        </w:rPr>
        <w:t xml:space="preserve">Article </w:t>
      </w:r>
      <w:r w:rsidR="007717DC" w:rsidRPr="00CD2A5D">
        <w:rPr>
          <w:noProof/>
          <w:szCs w:val="24"/>
        </w:rPr>
        <w:t>3</w:t>
      </w:r>
      <w:r w:rsidR="004C4CF3" w:rsidRPr="00CD2A5D">
        <w:rPr>
          <w:noProof/>
          <w:szCs w:val="24"/>
        </w:rPr>
        <w:t>8</w:t>
      </w:r>
    </w:p>
    <w:p w14:paraId="548F047F" w14:textId="77777777" w:rsidR="007C28A8" w:rsidRPr="00CD2A5D" w:rsidRDefault="007C28A8" w:rsidP="00CD2A5D">
      <w:pPr>
        <w:pStyle w:val="NormalCentered"/>
        <w:rPr>
          <w:b/>
          <w:bCs/>
          <w:noProof/>
          <w:lang w:eastAsia="en-IE"/>
        </w:rPr>
      </w:pPr>
      <w:r w:rsidRPr="00CD2A5D">
        <w:rPr>
          <w:b/>
          <w:bCs/>
          <w:noProof/>
          <w:lang w:eastAsia="en-IE"/>
        </w:rPr>
        <w:t>Hearing of the persons subject to investigations</w:t>
      </w:r>
    </w:p>
    <w:p w14:paraId="0DAC50CF" w14:textId="44F8456A" w:rsidR="007C28A8" w:rsidRPr="006A39BB" w:rsidRDefault="002A7F8C" w:rsidP="002A7F8C">
      <w:pPr>
        <w:pStyle w:val="ManualNumPar1"/>
        <w:rPr>
          <w:noProof/>
        </w:rPr>
      </w:pPr>
      <w:r w:rsidRPr="002A7F8C">
        <w:rPr>
          <w:noProof/>
        </w:rPr>
        <w:t>1.</w:t>
      </w:r>
      <w:r w:rsidRPr="002A7F8C">
        <w:rPr>
          <w:noProof/>
        </w:rPr>
        <w:tab/>
      </w:r>
      <w:r w:rsidR="007C28A8" w:rsidRPr="006A39BB">
        <w:rPr>
          <w:noProof/>
        </w:rPr>
        <w:t xml:space="preserve">Before taking any decision pursuant to Article </w:t>
      </w:r>
      <w:r w:rsidR="00FC1446" w:rsidRPr="006A39BB">
        <w:rPr>
          <w:noProof/>
        </w:rPr>
        <w:t>33</w:t>
      </w:r>
      <w:r w:rsidR="001B16E1">
        <w:rPr>
          <w:noProof/>
        </w:rPr>
        <w:t xml:space="preserve">, </w:t>
      </w:r>
      <w:r w:rsidR="00B17855">
        <w:rPr>
          <w:noProof/>
        </w:rPr>
        <w:t>3</w:t>
      </w:r>
      <w:r w:rsidR="001B16E1">
        <w:rPr>
          <w:noProof/>
        </w:rPr>
        <w:t>4 and 35</w:t>
      </w:r>
      <w:r w:rsidR="007C28A8" w:rsidRPr="006A39BB">
        <w:rPr>
          <w:noProof/>
        </w:rPr>
        <w:t>, ESMA shall give the persons subject to the proceedings the opportunity to be heard on its findings. ESMA shall base its decisions only on findings on which the persons subject to the proceedings have had an opportunity to comment.</w:t>
      </w:r>
    </w:p>
    <w:p w14:paraId="26A4D26B" w14:textId="77777777" w:rsidR="007C28A8" w:rsidRPr="006A39BB" w:rsidRDefault="007C28A8" w:rsidP="00CD2A5D">
      <w:pPr>
        <w:rPr>
          <w:noProof/>
        </w:rPr>
      </w:pPr>
      <w:r w:rsidRPr="006A39BB">
        <w:rPr>
          <w:noProof/>
        </w:rPr>
        <w:t xml:space="preserve">The first subparagraph shall not apply </w:t>
      </w:r>
      <w:r w:rsidR="006A39BB">
        <w:rPr>
          <w:noProof/>
        </w:rPr>
        <w:t>where</w:t>
      </w:r>
      <w:r w:rsidRPr="006A39BB">
        <w:rPr>
          <w:noProof/>
        </w:rPr>
        <w:t xml:space="preserve"> urgent action pursuant to Article </w:t>
      </w:r>
      <w:r w:rsidR="00934A58" w:rsidRPr="006A39BB">
        <w:rPr>
          <w:noProof/>
        </w:rPr>
        <w:t xml:space="preserve">33 </w:t>
      </w:r>
      <w:r w:rsidRPr="006A39BB">
        <w:rPr>
          <w:noProof/>
        </w:rPr>
        <w:t>is needed to prevent significant and imminent damage to the financial system. In such a case</w:t>
      </w:r>
      <w:r w:rsidR="00EE40F3">
        <w:rPr>
          <w:noProof/>
        </w:rPr>
        <w:t>,</w:t>
      </w:r>
      <w:r w:rsidRPr="006A39BB">
        <w:rPr>
          <w:noProof/>
        </w:rPr>
        <w:t xml:space="preserve"> ESMA may adopt an interim decision and shall give the persons concerned the opportunity to be heard as soon as possible after taking its decision.</w:t>
      </w:r>
    </w:p>
    <w:p w14:paraId="1C2915B6" w14:textId="6C4C44CC" w:rsidR="007C28A8" w:rsidRPr="006A39BB" w:rsidRDefault="002A7F8C" w:rsidP="002A7F8C">
      <w:pPr>
        <w:pStyle w:val="ManualNumPar1"/>
        <w:rPr>
          <w:noProof/>
        </w:rPr>
      </w:pPr>
      <w:r w:rsidRPr="002A7F8C">
        <w:rPr>
          <w:noProof/>
        </w:rPr>
        <w:t>2.</w:t>
      </w:r>
      <w:r w:rsidRPr="002A7F8C">
        <w:rPr>
          <w:noProof/>
        </w:rPr>
        <w:tab/>
      </w:r>
      <w:r w:rsidR="007C28A8" w:rsidRPr="006A39BB">
        <w:rPr>
          <w:noProof/>
        </w:rPr>
        <w:t>The rights of defence of the persons subject to the proceedings shall be fully respected in the investigations. They shall be entitled to have access to ESMA’s file, subject to the legitimate interest of other persons in the protection of their business secrets. The right of access to the file shall not extend to confidential information or ESMA’s internal preparatory documents.</w:t>
      </w:r>
    </w:p>
    <w:p w14:paraId="6F329B7D" w14:textId="77777777" w:rsidR="007C28A8" w:rsidRPr="00CD2A5D" w:rsidRDefault="007C28A8" w:rsidP="00CD2A5D">
      <w:pPr>
        <w:pStyle w:val="Titrearticle"/>
        <w:spacing w:line="23" w:lineRule="atLeast"/>
        <w:rPr>
          <w:noProof/>
          <w:szCs w:val="24"/>
        </w:rPr>
      </w:pPr>
      <w:r w:rsidRPr="00CD2A5D">
        <w:rPr>
          <w:noProof/>
          <w:szCs w:val="24"/>
        </w:rPr>
        <w:t xml:space="preserve">Article </w:t>
      </w:r>
      <w:r w:rsidR="007717DC" w:rsidRPr="00CD2A5D">
        <w:rPr>
          <w:noProof/>
          <w:szCs w:val="24"/>
        </w:rPr>
        <w:t>3</w:t>
      </w:r>
      <w:r w:rsidR="004C4CF3" w:rsidRPr="00CD2A5D">
        <w:rPr>
          <w:noProof/>
          <w:szCs w:val="24"/>
        </w:rPr>
        <w:t>9</w:t>
      </w:r>
    </w:p>
    <w:p w14:paraId="03840958" w14:textId="77777777" w:rsidR="007C28A8" w:rsidRPr="00CD2A5D" w:rsidRDefault="007C28A8" w:rsidP="00CD2A5D">
      <w:pPr>
        <w:pStyle w:val="NormalCentered"/>
        <w:rPr>
          <w:b/>
          <w:bCs/>
          <w:noProof/>
          <w:lang w:eastAsia="en-IE"/>
        </w:rPr>
      </w:pPr>
      <w:r w:rsidRPr="00CD2A5D">
        <w:rPr>
          <w:b/>
          <w:bCs/>
          <w:noProof/>
          <w:lang w:eastAsia="en-IE"/>
        </w:rPr>
        <w:t>Review by the Court of Justice</w:t>
      </w:r>
    </w:p>
    <w:p w14:paraId="7B671D0D" w14:textId="77777777" w:rsidR="007C28A8" w:rsidRPr="006A39BB" w:rsidRDefault="007C28A8" w:rsidP="00166F7F">
      <w:pPr>
        <w:rPr>
          <w:noProof/>
        </w:rPr>
      </w:pPr>
      <w:r w:rsidRPr="006A39BB">
        <w:rPr>
          <w:noProof/>
        </w:rPr>
        <w:t>The Court of Justice shall have unlimited jurisdiction to review decisions whereby ESMA has imposed a fine or a periodic penalty payment. It may annul, reduce</w:t>
      </w:r>
      <w:r w:rsidR="00D32308">
        <w:rPr>
          <w:noProof/>
        </w:rPr>
        <w:t>,</w:t>
      </w:r>
      <w:r w:rsidRPr="006A39BB">
        <w:rPr>
          <w:noProof/>
        </w:rPr>
        <w:t xml:space="preserve"> or increase the fine or periodic penalty payment imposed.</w:t>
      </w:r>
    </w:p>
    <w:p w14:paraId="3DD282BE" w14:textId="77777777" w:rsidR="007C28A8" w:rsidRPr="00CD2A5D" w:rsidRDefault="007C28A8" w:rsidP="00CD2A5D">
      <w:pPr>
        <w:pStyle w:val="NormalCentered"/>
        <w:rPr>
          <w:noProof/>
        </w:rPr>
      </w:pPr>
      <w:r w:rsidRPr="00CD2A5D">
        <w:rPr>
          <w:noProof/>
        </w:rPr>
        <w:t xml:space="preserve">Section </w:t>
      </w:r>
      <w:r w:rsidR="00407263" w:rsidRPr="00CD2A5D">
        <w:rPr>
          <w:noProof/>
        </w:rPr>
        <w:t>4</w:t>
      </w:r>
    </w:p>
    <w:p w14:paraId="4FEE9926" w14:textId="77777777" w:rsidR="007C28A8" w:rsidRPr="006A39BB" w:rsidRDefault="007C28A8" w:rsidP="00CD2A5D">
      <w:pPr>
        <w:pStyle w:val="NormalCentered"/>
        <w:rPr>
          <w:b/>
          <w:bCs/>
          <w:noProof/>
          <w:lang w:eastAsia="en-IE"/>
        </w:rPr>
      </w:pPr>
      <w:r w:rsidRPr="006A39BB">
        <w:rPr>
          <w:b/>
          <w:bCs/>
          <w:noProof/>
          <w:lang w:eastAsia="en-IE"/>
        </w:rPr>
        <w:t>Fees and delegation</w:t>
      </w:r>
    </w:p>
    <w:p w14:paraId="0F7636C0" w14:textId="77777777" w:rsidR="007C28A8" w:rsidRPr="00CD2A5D" w:rsidRDefault="007C28A8" w:rsidP="00CD2A5D">
      <w:pPr>
        <w:pStyle w:val="Titrearticle"/>
        <w:spacing w:line="23" w:lineRule="atLeast"/>
        <w:rPr>
          <w:noProof/>
          <w:szCs w:val="24"/>
        </w:rPr>
      </w:pPr>
      <w:r w:rsidRPr="00CD2A5D">
        <w:rPr>
          <w:noProof/>
          <w:szCs w:val="24"/>
        </w:rPr>
        <w:t xml:space="preserve">Article </w:t>
      </w:r>
      <w:r w:rsidR="004C4CF3" w:rsidRPr="00CD2A5D">
        <w:rPr>
          <w:noProof/>
          <w:szCs w:val="24"/>
        </w:rPr>
        <w:t>40</w:t>
      </w:r>
    </w:p>
    <w:p w14:paraId="451F2576" w14:textId="77777777" w:rsidR="007C28A8" w:rsidRPr="00CD2A5D" w:rsidRDefault="007C28A8" w:rsidP="00CD2A5D">
      <w:pPr>
        <w:pStyle w:val="NormalCentered"/>
        <w:rPr>
          <w:b/>
          <w:bCs/>
          <w:noProof/>
          <w:lang w:eastAsia="en-IE"/>
        </w:rPr>
      </w:pPr>
      <w:r w:rsidRPr="00CD2A5D">
        <w:rPr>
          <w:b/>
          <w:bCs/>
          <w:noProof/>
          <w:lang w:eastAsia="en-IE"/>
        </w:rPr>
        <w:t>Supervisory fees</w:t>
      </w:r>
    </w:p>
    <w:p w14:paraId="56ED052B" w14:textId="182205FC" w:rsidR="007C28A8" w:rsidRPr="006A39BB" w:rsidRDefault="002A7F8C" w:rsidP="002A7F8C">
      <w:pPr>
        <w:pStyle w:val="ManualNumPar1"/>
        <w:rPr>
          <w:noProof/>
        </w:rPr>
      </w:pPr>
      <w:r w:rsidRPr="002A7F8C">
        <w:rPr>
          <w:noProof/>
        </w:rPr>
        <w:t>1.</w:t>
      </w:r>
      <w:r w:rsidRPr="002A7F8C">
        <w:rPr>
          <w:noProof/>
        </w:rPr>
        <w:tab/>
      </w:r>
      <w:r w:rsidR="007C28A8" w:rsidRPr="006A39BB">
        <w:rPr>
          <w:noProof/>
        </w:rPr>
        <w:t xml:space="preserve">ESMA shall charge fees to the </w:t>
      </w:r>
      <w:r w:rsidR="00521E93" w:rsidRPr="006A39BB">
        <w:rPr>
          <w:noProof/>
        </w:rPr>
        <w:t>ESG rating providers</w:t>
      </w:r>
      <w:r w:rsidR="007C28A8" w:rsidRPr="006A39BB">
        <w:rPr>
          <w:noProof/>
        </w:rPr>
        <w:t xml:space="preserve"> in accordance with the delegated act adopted pursuant to paragraph </w:t>
      </w:r>
      <w:r w:rsidR="001D1F52" w:rsidRPr="006A39BB">
        <w:rPr>
          <w:noProof/>
        </w:rPr>
        <w:t>2</w:t>
      </w:r>
      <w:r w:rsidR="007C28A8" w:rsidRPr="006A39BB">
        <w:rPr>
          <w:noProof/>
        </w:rPr>
        <w:t xml:space="preserve">. Those fees shall fully cover ESMA’s necessary expenditure relating to the supervision of </w:t>
      </w:r>
      <w:r w:rsidR="008C56CE" w:rsidRPr="006A39BB">
        <w:rPr>
          <w:noProof/>
        </w:rPr>
        <w:t>ESG rating providers</w:t>
      </w:r>
      <w:r w:rsidR="007C28A8" w:rsidRPr="006A39BB">
        <w:rPr>
          <w:noProof/>
        </w:rPr>
        <w:t xml:space="preserve"> and the reimbursement of any costs that the competent authorities may incur carrying out work pursuant to this Regulation</w:t>
      </w:r>
      <w:r w:rsidR="00D32308">
        <w:rPr>
          <w:noProof/>
        </w:rPr>
        <w:t>, and</w:t>
      </w:r>
      <w:r w:rsidR="007C28A8" w:rsidRPr="006A39BB">
        <w:rPr>
          <w:noProof/>
        </w:rPr>
        <w:t xml:space="preserve"> in particular as a result of any delegation of tasks in accordance with Article </w:t>
      </w:r>
      <w:r w:rsidR="00934A58" w:rsidRPr="006A39BB">
        <w:rPr>
          <w:noProof/>
        </w:rPr>
        <w:t>41</w:t>
      </w:r>
      <w:r w:rsidR="007C28A8" w:rsidRPr="006A39BB">
        <w:rPr>
          <w:noProof/>
        </w:rPr>
        <w:t>.</w:t>
      </w:r>
    </w:p>
    <w:p w14:paraId="5DEC32A3" w14:textId="04D27012" w:rsidR="007C28A8" w:rsidRPr="006A39BB" w:rsidRDefault="002A7F8C" w:rsidP="002A7F8C">
      <w:pPr>
        <w:pStyle w:val="ManualNumPar1"/>
        <w:rPr>
          <w:noProof/>
        </w:rPr>
      </w:pPr>
      <w:r w:rsidRPr="002A7F8C">
        <w:rPr>
          <w:noProof/>
        </w:rPr>
        <w:t>2.</w:t>
      </w:r>
      <w:r w:rsidRPr="002A7F8C">
        <w:rPr>
          <w:noProof/>
        </w:rPr>
        <w:tab/>
      </w:r>
      <w:r w:rsidR="007C28A8" w:rsidRPr="006A39BB">
        <w:rPr>
          <w:noProof/>
        </w:rPr>
        <w:t xml:space="preserve">The amount of an individual fee shall be proportionate to the </w:t>
      </w:r>
      <w:r w:rsidR="00920675">
        <w:rPr>
          <w:noProof/>
        </w:rPr>
        <w:t>annual net</w:t>
      </w:r>
      <w:r w:rsidR="00507A4F">
        <w:rPr>
          <w:noProof/>
        </w:rPr>
        <w:t xml:space="preserve"> </w:t>
      </w:r>
      <w:r w:rsidR="007C28A8" w:rsidRPr="006A39BB">
        <w:rPr>
          <w:noProof/>
        </w:rPr>
        <w:t xml:space="preserve">turnover of the </w:t>
      </w:r>
      <w:r w:rsidR="009D6130" w:rsidRPr="006A39BB">
        <w:rPr>
          <w:noProof/>
        </w:rPr>
        <w:t>ESG ratings provider concerned</w:t>
      </w:r>
      <w:r w:rsidR="007C28A8" w:rsidRPr="006A39BB">
        <w:rPr>
          <w:noProof/>
        </w:rPr>
        <w:t>.</w:t>
      </w:r>
    </w:p>
    <w:p w14:paraId="495F8642" w14:textId="77777777" w:rsidR="007C28A8" w:rsidRPr="006A39BB" w:rsidRDefault="007C28A8" w:rsidP="00162B2D">
      <w:pPr>
        <w:rPr>
          <w:noProof/>
        </w:rPr>
      </w:pPr>
      <w:r w:rsidRPr="006A39BB">
        <w:rPr>
          <w:noProof/>
        </w:rPr>
        <w:t>By </w:t>
      </w:r>
      <w:r w:rsidR="008C56CE" w:rsidRPr="006A39BB">
        <w:rPr>
          <w:noProof/>
        </w:rPr>
        <w:t>XX</w:t>
      </w:r>
      <w:r w:rsidR="001D1F52" w:rsidRPr="006A39BB">
        <w:rPr>
          <w:noProof/>
        </w:rPr>
        <w:t xml:space="preserve"> </w:t>
      </w:r>
      <w:r w:rsidR="008C56CE" w:rsidRPr="006A39BB">
        <w:rPr>
          <w:noProof/>
        </w:rPr>
        <w:t>XXXX</w:t>
      </w:r>
      <w:r w:rsidR="001D1F52" w:rsidRPr="006A39BB">
        <w:rPr>
          <w:noProof/>
        </w:rPr>
        <w:t xml:space="preserve"> XXXX</w:t>
      </w:r>
      <w:r w:rsidRPr="006A39BB">
        <w:rPr>
          <w:noProof/>
        </w:rPr>
        <w:t xml:space="preserve">, the Commission shall adopt delegated acts in accordance with Article </w:t>
      </w:r>
      <w:r w:rsidR="00D32308">
        <w:rPr>
          <w:noProof/>
        </w:rPr>
        <w:t> </w:t>
      </w:r>
      <w:r w:rsidR="001D1F52" w:rsidRPr="006A39BB">
        <w:rPr>
          <w:noProof/>
        </w:rPr>
        <w:t>45</w:t>
      </w:r>
      <w:r w:rsidRPr="006A39BB">
        <w:rPr>
          <w:noProof/>
        </w:rPr>
        <w:t xml:space="preserve"> to supplement this Regulation by specifying the type of fees, the matters for which fees are due, the amount of the fees</w:t>
      </w:r>
      <w:r w:rsidR="009D6130" w:rsidRPr="006A39BB">
        <w:rPr>
          <w:noProof/>
        </w:rPr>
        <w:t>,</w:t>
      </w:r>
      <w:r w:rsidRPr="006A39BB">
        <w:rPr>
          <w:noProof/>
        </w:rPr>
        <w:t xml:space="preserve"> the manner in which they are to be paid</w:t>
      </w:r>
      <w:r w:rsidR="009D6130" w:rsidRPr="006A39BB">
        <w:rPr>
          <w:noProof/>
        </w:rPr>
        <w:t xml:space="preserve"> and</w:t>
      </w:r>
      <w:r w:rsidR="00DC09A6" w:rsidRPr="006A39BB">
        <w:rPr>
          <w:noProof/>
        </w:rPr>
        <w:t xml:space="preserve">, where applicable, </w:t>
      </w:r>
      <w:r w:rsidR="009D6130" w:rsidRPr="006A39BB">
        <w:rPr>
          <w:noProof/>
        </w:rPr>
        <w:t xml:space="preserve">the way in which ESMA is to reimburse competent authorities in respect of any costs that they may </w:t>
      </w:r>
      <w:r w:rsidR="00F323D0">
        <w:rPr>
          <w:noProof/>
        </w:rPr>
        <w:t xml:space="preserve">have </w:t>
      </w:r>
      <w:r w:rsidR="009D6130" w:rsidRPr="006A39BB">
        <w:rPr>
          <w:noProof/>
        </w:rPr>
        <w:t>incur</w:t>
      </w:r>
      <w:r w:rsidR="00F323D0">
        <w:rPr>
          <w:noProof/>
        </w:rPr>
        <w:t>red</w:t>
      </w:r>
      <w:r w:rsidR="009D6130" w:rsidRPr="006A39BB">
        <w:rPr>
          <w:noProof/>
        </w:rPr>
        <w:t xml:space="preserve"> carrying out work pursuant to this Regulation, in particular as a result of any delegation of tasks </w:t>
      </w:r>
      <w:r w:rsidR="00F323D0">
        <w:rPr>
          <w:noProof/>
        </w:rPr>
        <w:t>as referred to in</w:t>
      </w:r>
      <w:r w:rsidR="009D6130" w:rsidRPr="006A39BB">
        <w:rPr>
          <w:noProof/>
        </w:rPr>
        <w:t xml:space="preserve"> Article</w:t>
      </w:r>
      <w:r w:rsidR="00F323D0">
        <w:rPr>
          <w:noProof/>
        </w:rPr>
        <w:t> </w:t>
      </w:r>
      <w:r w:rsidR="00934A58" w:rsidRPr="006A39BB">
        <w:rPr>
          <w:noProof/>
        </w:rPr>
        <w:t>41</w:t>
      </w:r>
      <w:r w:rsidRPr="006A39BB">
        <w:rPr>
          <w:noProof/>
        </w:rPr>
        <w:t>.</w:t>
      </w:r>
    </w:p>
    <w:p w14:paraId="70AE7328" w14:textId="6BDBCE28" w:rsidR="00770C17" w:rsidRPr="00CD2A5D" w:rsidRDefault="00770C17" w:rsidP="00CD2A5D">
      <w:pPr>
        <w:pStyle w:val="NormalCentered"/>
        <w:rPr>
          <w:noProof/>
        </w:rPr>
      </w:pPr>
      <w:r w:rsidRPr="00CD2A5D">
        <w:rPr>
          <w:noProof/>
        </w:rPr>
        <w:t xml:space="preserve">CHAPTER </w:t>
      </w:r>
      <w:r w:rsidR="000B2B3F">
        <w:rPr>
          <w:noProof/>
        </w:rPr>
        <w:t>5</w:t>
      </w:r>
    </w:p>
    <w:p w14:paraId="6F84B5EC" w14:textId="77777777" w:rsidR="00770C17" w:rsidRPr="006A39BB" w:rsidRDefault="00770C17" w:rsidP="00EC435D">
      <w:pPr>
        <w:pStyle w:val="title-division-1"/>
        <w:shd w:val="clear" w:color="auto" w:fill="FFFFFF" w:themeFill="background1"/>
        <w:spacing w:before="120" w:beforeAutospacing="0" w:after="120" w:afterAutospacing="0" w:line="23" w:lineRule="atLeast"/>
        <w:jc w:val="center"/>
        <w:rPr>
          <w:b/>
          <w:bCs/>
          <w:noProof/>
          <w:color w:val="333333"/>
          <w:lang w:val="en-GB"/>
        </w:rPr>
      </w:pPr>
      <w:r w:rsidRPr="006A39BB">
        <w:rPr>
          <w:b/>
          <w:bCs/>
          <w:noProof/>
          <w:color w:val="333333"/>
          <w:lang w:val="en-GB"/>
        </w:rPr>
        <w:t xml:space="preserve">Cooperation between ESMA and </w:t>
      </w:r>
      <w:r w:rsidR="0012423E" w:rsidRPr="006A39BB">
        <w:rPr>
          <w:b/>
          <w:bCs/>
          <w:noProof/>
          <w:color w:val="333333"/>
          <w:lang w:val="en-GB"/>
        </w:rPr>
        <w:t xml:space="preserve">national </w:t>
      </w:r>
      <w:r w:rsidRPr="006A39BB">
        <w:rPr>
          <w:b/>
          <w:bCs/>
          <w:noProof/>
          <w:color w:val="333333"/>
          <w:lang w:val="en-GB"/>
        </w:rPr>
        <w:t>competent</w:t>
      </w:r>
      <w:r w:rsidR="0082257C" w:rsidRPr="006A39BB">
        <w:rPr>
          <w:b/>
          <w:bCs/>
          <w:noProof/>
          <w:color w:val="333333"/>
          <w:lang w:val="en-GB"/>
        </w:rPr>
        <w:t xml:space="preserve"> authorities</w:t>
      </w:r>
    </w:p>
    <w:p w14:paraId="51440A41" w14:textId="77777777" w:rsidR="00407263" w:rsidRPr="00CD2A5D" w:rsidRDefault="00407263" w:rsidP="00CD2A5D">
      <w:pPr>
        <w:pStyle w:val="Titrearticle"/>
        <w:spacing w:line="23" w:lineRule="atLeast"/>
        <w:rPr>
          <w:noProof/>
          <w:szCs w:val="24"/>
        </w:rPr>
      </w:pPr>
      <w:r w:rsidRPr="00CD2A5D">
        <w:rPr>
          <w:noProof/>
          <w:szCs w:val="24"/>
        </w:rPr>
        <w:t xml:space="preserve">Article </w:t>
      </w:r>
      <w:r w:rsidR="004C4CF3" w:rsidRPr="00CD2A5D">
        <w:rPr>
          <w:noProof/>
          <w:szCs w:val="24"/>
        </w:rPr>
        <w:t>41</w:t>
      </w:r>
    </w:p>
    <w:p w14:paraId="3A4A52A1" w14:textId="77777777" w:rsidR="00407263" w:rsidRPr="00CD2A5D" w:rsidRDefault="00407263" w:rsidP="00CD2A5D">
      <w:pPr>
        <w:pStyle w:val="NormalCentered"/>
        <w:rPr>
          <w:b/>
          <w:bCs/>
          <w:noProof/>
          <w:lang w:eastAsia="en-IE"/>
        </w:rPr>
      </w:pPr>
      <w:r w:rsidRPr="00CD2A5D">
        <w:rPr>
          <w:b/>
          <w:bCs/>
          <w:noProof/>
          <w:lang w:eastAsia="en-IE"/>
        </w:rPr>
        <w:t>Delegation of tasks by ESMA to competent authorities</w:t>
      </w:r>
    </w:p>
    <w:p w14:paraId="5050BD5C" w14:textId="378F057D" w:rsidR="00407263" w:rsidRPr="006A39BB" w:rsidRDefault="002A7F8C" w:rsidP="002A7F8C">
      <w:pPr>
        <w:pStyle w:val="ManualNumPar1"/>
        <w:rPr>
          <w:noProof/>
        </w:rPr>
      </w:pPr>
      <w:r w:rsidRPr="002A7F8C">
        <w:rPr>
          <w:noProof/>
        </w:rPr>
        <w:t>1.</w:t>
      </w:r>
      <w:r w:rsidRPr="002A7F8C">
        <w:rPr>
          <w:noProof/>
        </w:rPr>
        <w:tab/>
      </w:r>
      <w:r w:rsidR="00407263" w:rsidRPr="006A39BB">
        <w:rPr>
          <w:noProof/>
        </w:rPr>
        <w:t xml:space="preserve">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carry out requests for information in accordance with Article </w:t>
      </w:r>
      <w:r w:rsidR="00D45552" w:rsidRPr="006A39BB">
        <w:rPr>
          <w:noProof/>
        </w:rPr>
        <w:t xml:space="preserve">30 </w:t>
      </w:r>
      <w:r w:rsidR="00407263" w:rsidRPr="006A39BB">
        <w:rPr>
          <w:noProof/>
        </w:rPr>
        <w:t xml:space="preserve">and to conduct investigations and on-site inspections in accordance with Article </w:t>
      </w:r>
      <w:r w:rsidR="00D45552" w:rsidRPr="006A39BB">
        <w:rPr>
          <w:noProof/>
        </w:rPr>
        <w:t xml:space="preserve">31 </w:t>
      </w:r>
      <w:r w:rsidR="00407263" w:rsidRPr="006A39BB">
        <w:rPr>
          <w:noProof/>
        </w:rPr>
        <w:t xml:space="preserve">and Article </w:t>
      </w:r>
      <w:r w:rsidR="00D45552" w:rsidRPr="006A39BB">
        <w:rPr>
          <w:noProof/>
        </w:rPr>
        <w:t>32</w:t>
      </w:r>
      <w:r w:rsidR="00407263" w:rsidRPr="006A39BB">
        <w:rPr>
          <w:noProof/>
        </w:rPr>
        <w:t>.</w:t>
      </w:r>
    </w:p>
    <w:p w14:paraId="447D4837" w14:textId="4E79F3E9" w:rsidR="00407263" w:rsidRPr="006A39BB" w:rsidRDefault="002A7F8C" w:rsidP="002A7F8C">
      <w:pPr>
        <w:pStyle w:val="ManualNumPar1"/>
        <w:rPr>
          <w:noProof/>
        </w:rPr>
      </w:pPr>
      <w:r w:rsidRPr="002A7F8C">
        <w:rPr>
          <w:noProof/>
        </w:rPr>
        <w:t>2.</w:t>
      </w:r>
      <w:r w:rsidRPr="002A7F8C">
        <w:rPr>
          <w:noProof/>
        </w:rPr>
        <w:tab/>
      </w:r>
      <w:r w:rsidR="00407263" w:rsidRPr="006A39BB">
        <w:rPr>
          <w:noProof/>
        </w:rPr>
        <w:t>Prior to the delegation of a task in accordance with paragraph 1, ESMA shall consult the relevant competent authority about:</w:t>
      </w:r>
    </w:p>
    <w:p w14:paraId="15483F00" w14:textId="227DC84D" w:rsidR="00407263" w:rsidRPr="006A39BB" w:rsidRDefault="002A7F8C" w:rsidP="002A7F8C">
      <w:pPr>
        <w:pStyle w:val="Point1"/>
        <w:rPr>
          <w:noProof/>
        </w:rPr>
      </w:pPr>
      <w:r w:rsidRPr="002A7F8C">
        <w:rPr>
          <w:noProof/>
        </w:rPr>
        <w:t>(a)</w:t>
      </w:r>
      <w:r w:rsidRPr="002A7F8C">
        <w:rPr>
          <w:noProof/>
        </w:rPr>
        <w:tab/>
      </w:r>
      <w:r w:rsidR="00407263" w:rsidRPr="006A39BB">
        <w:rPr>
          <w:noProof/>
        </w:rPr>
        <w:t>the scope of the task to be delegated;</w:t>
      </w:r>
    </w:p>
    <w:p w14:paraId="0FA58E63" w14:textId="1C3E70E5" w:rsidR="00407263" w:rsidRPr="006A39BB" w:rsidRDefault="002A7F8C" w:rsidP="002A7F8C">
      <w:pPr>
        <w:pStyle w:val="Point1"/>
        <w:rPr>
          <w:noProof/>
        </w:rPr>
      </w:pPr>
      <w:r w:rsidRPr="002A7F8C">
        <w:rPr>
          <w:noProof/>
        </w:rPr>
        <w:t>(b)</w:t>
      </w:r>
      <w:r w:rsidRPr="002A7F8C">
        <w:rPr>
          <w:noProof/>
        </w:rPr>
        <w:tab/>
      </w:r>
      <w:r w:rsidR="00407263" w:rsidRPr="006A39BB">
        <w:rPr>
          <w:noProof/>
        </w:rPr>
        <w:t>the timetable for the performance of the task;</w:t>
      </w:r>
    </w:p>
    <w:p w14:paraId="5D5425F5" w14:textId="6310F2C6" w:rsidR="00407263" w:rsidRPr="006A39BB" w:rsidRDefault="002A7F8C" w:rsidP="002A7F8C">
      <w:pPr>
        <w:pStyle w:val="Point1"/>
        <w:rPr>
          <w:noProof/>
        </w:rPr>
      </w:pPr>
      <w:r w:rsidRPr="002A7F8C">
        <w:rPr>
          <w:noProof/>
        </w:rPr>
        <w:t>(c)</w:t>
      </w:r>
      <w:r w:rsidRPr="002A7F8C">
        <w:rPr>
          <w:noProof/>
        </w:rPr>
        <w:tab/>
      </w:r>
      <w:r w:rsidR="00407263" w:rsidRPr="006A39BB">
        <w:rPr>
          <w:noProof/>
        </w:rPr>
        <w:t>the transmission of necessary information by and to ESMA.</w:t>
      </w:r>
    </w:p>
    <w:p w14:paraId="0041187A" w14:textId="64D1E37C" w:rsidR="00407263" w:rsidRPr="006A39BB" w:rsidRDefault="002A7F8C" w:rsidP="002A7F8C">
      <w:pPr>
        <w:pStyle w:val="ManualNumPar1"/>
        <w:rPr>
          <w:noProof/>
        </w:rPr>
      </w:pPr>
      <w:r w:rsidRPr="002A7F8C">
        <w:rPr>
          <w:noProof/>
        </w:rPr>
        <w:t>3.</w:t>
      </w:r>
      <w:r w:rsidRPr="002A7F8C">
        <w:rPr>
          <w:noProof/>
        </w:rPr>
        <w:tab/>
      </w:r>
      <w:r w:rsidR="00407263" w:rsidRPr="006A39BB">
        <w:rPr>
          <w:noProof/>
        </w:rPr>
        <w:t>ESMA shall reimburse a competent authority for costs incurred as a result of carrying out delegated tasks</w:t>
      </w:r>
      <w:r w:rsidR="006A39BB">
        <w:rPr>
          <w:noProof/>
        </w:rPr>
        <w:t xml:space="preserve"> i</w:t>
      </w:r>
      <w:r w:rsidR="006A39BB" w:rsidRPr="006A39BB">
        <w:rPr>
          <w:noProof/>
        </w:rPr>
        <w:t>n accordance with the delegated act adopted pursuant to Article 45</w:t>
      </w:r>
      <w:r w:rsidR="00407263" w:rsidRPr="006A39BB">
        <w:rPr>
          <w:noProof/>
        </w:rPr>
        <w:t>.</w:t>
      </w:r>
    </w:p>
    <w:p w14:paraId="5C54A615" w14:textId="7EA0405B" w:rsidR="00407263" w:rsidRPr="006A39BB" w:rsidRDefault="002A7F8C" w:rsidP="002A7F8C">
      <w:pPr>
        <w:pStyle w:val="ManualNumPar1"/>
        <w:rPr>
          <w:noProof/>
        </w:rPr>
      </w:pPr>
      <w:r w:rsidRPr="002A7F8C">
        <w:rPr>
          <w:noProof/>
        </w:rPr>
        <w:t>4.</w:t>
      </w:r>
      <w:r w:rsidRPr="002A7F8C">
        <w:rPr>
          <w:noProof/>
        </w:rPr>
        <w:tab/>
      </w:r>
      <w:r w:rsidR="00407263" w:rsidRPr="006A39BB">
        <w:rPr>
          <w:noProof/>
        </w:rPr>
        <w:t xml:space="preserve">ESMA shall review any delegation made in accordance with paragraph 1 at appropriate intervals. </w:t>
      </w:r>
      <w:r w:rsidR="006A39BB">
        <w:rPr>
          <w:noProof/>
        </w:rPr>
        <w:t>ESMA may revoke a</w:t>
      </w:r>
      <w:r w:rsidR="00407263" w:rsidRPr="006A39BB">
        <w:rPr>
          <w:noProof/>
        </w:rPr>
        <w:t xml:space="preserve"> delegation at any time.</w:t>
      </w:r>
    </w:p>
    <w:p w14:paraId="36746273" w14:textId="27D056D7" w:rsidR="00770C17" w:rsidRPr="006A39BB" w:rsidRDefault="002A7F8C" w:rsidP="002A7F8C">
      <w:pPr>
        <w:pStyle w:val="ManualNumPar1"/>
        <w:rPr>
          <w:noProof/>
        </w:rPr>
      </w:pPr>
      <w:r w:rsidRPr="002A7F8C">
        <w:rPr>
          <w:noProof/>
        </w:rPr>
        <w:t>5.</w:t>
      </w:r>
      <w:r w:rsidRPr="002A7F8C">
        <w:rPr>
          <w:noProof/>
        </w:rPr>
        <w:tab/>
      </w:r>
      <w:r w:rsidR="00407263" w:rsidRPr="006A39BB">
        <w:rPr>
          <w:noProof/>
        </w:rPr>
        <w:t>A delegation of tasks shall not affect the responsibility of ESMA nor limit ESMA’s ability to conduct and oversee the delegated activity.</w:t>
      </w:r>
      <w:r w:rsidR="00A22F41" w:rsidRPr="006A39BB" w:rsidDel="00A22F41">
        <w:rPr>
          <w:noProof/>
        </w:rPr>
        <w:t xml:space="preserve"> </w:t>
      </w:r>
      <w:r w:rsidR="00F323D0">
        <w:rPr>
          <w:noProof/>
        </w:rPr>
        <w:t>ESMA shall not delegate s</w:t>
      </w:r>
      <w:r w:rsidR="00A22F41" w:rsidRPr="006A39BB">
        <w:rPr>
          <w:noProof/>
        </w:rPr>
        <w:t>upervisory responsibilities, including authorisation decisions, final assessments and follow-up decisions concerning infringements.</w:t>
      </w:r>
    </w:p>
    <w:p w14:paraId="29F1B071" w14:textId="77777777" w:rsidR="00770C17" w:rsidRPr="00CD2A5D" w:rsidRDefault="00336A49" w:rsidP="00CD2A5D">
      <w:pPr>
        <w:pStyle w:val="Titrearticle"/>
        <w:spacing w:line="23" w:lineRule="atLeast"/>
        <w:rPr>
          <w:noProof/>
          <w:szCs w:val="24"/>
        </w:rPr>
      </w:pPr>
      <w:r w:rsidRPr="00CD2A5D">
        <w:rPr>
          <w:noProof/>
          <w:szCs w:val="24"/>
        </w:rPr>
        <w:t xml:space="preserve">Article </w:t>
      </w:r>
      <w:r w:rsidR="004C4CF3" w:rsidRPr="00CD2A5D">
        <w:rPr>
          <w:noProof/>
          <w:szCs w:val="24"/>
        </w:rPr>
        <w:t>42</w:t>
      </w:r>
    </w:p>
    <w:p w14:paraId="380AB0A6" w14:textId="77777777" w:rsidR="00770C17" w:rsidRPr="00CD2A5D" w:rsidRDefault="00336A49" w:rsidP="00CD2A5D">
      <w:pPr>
        <w:pStyle w:val="NormalCentered"/>
        <w:rPr>
          <w:b/>
          <w:bCs/>
          <w:noProof/>
          <w:lang w:eastAsia="en-IE"/>
        </w:rPr>
      </w:pPr>
      <w:r w:rsidRPr="00CD2A5D">
        <w:rPr>
          <w:b/>
          <w:bCs/>
          <w:noProof/>
          <w:lang w:eastAsia="en-IE"/>
        </w:rPr>
        <w:t xml:space="preserve">Exchange </w:t>
      </w:r>
      <w:r w:rsidR="00770C17" w:rsidRPr="00CD2A5D">
        <w:rPr>
          <w:b/>
          <w:bCs/>
          <w:noProof/>
          <w:lang w:eastAsia="en-IE"/>
        </w:rPr>
        <w:t>of information</w:t>
      </w:r>
    </w:p>
    <w:p w14:paraId="0D27A2BB" w14:textId="77777777" w:rsidR="00770C17" w:rsidRPr="006A39BB" w:rsidRDefault="00770C17" w:rsidP="00162B2D">
      <w:pPr>
        <w:rPr>
          <w:noProof/>
        </w:rPr>
      </w:pPr>
      <w:r w:rsidRPr="00162B2D">
        <w:rPr>
          <w:noProof/>
        </w:rPr>
        <w:t>ESMA</w:t>
      </w:r>
      <w:r w:rsidR="00B20E04" w:rsidRPr="00162B2D">
        <w:rPr>
          <w:noProof/>
        </w:rPr>
        <w:t xml:space="preserve"> and</w:t>
      </w:r>
      <w:r w:rsidRPr="00162B2D">
        <w:rPr>
          <w:noProof/>
        </w:rPr>
        <w:t xml:space="preserve"> the competent authorities, shall, without undue delay, </w:t>
      </w:r>
      <w:r w:rsidR="00F323D0" w:rsidRPr="00162B2D">
        <w:rPr>
          <w:noProof/>
        </w:rPr>
        <w:t xml:space="preserve">provide </w:t>
      </w:r>
      <w:r w:rsidRPr="00162B2D">
        <w:rPr>
          <w:noProof/>
        </w:rPr>
        <w:t>each other with the</w:t>
      </w:r>
      <w:r w:rsidRPr="006A39BB">
        <w:rPr>
          <w:noProof/>
        </w:rPr>
        <w:t xml:space="preserve"> information required for carrying out their duties under this Regulation</w:t>
      </w:r>
      <w:r w:rsidR="00DC09A6" w:rsidRPr="006A39BB">
        <w:rPr>
          <w:noProof/>
        </w:rPr>
        <w:t>.</w:t>
      </w:r>
    </w:p>
    <w:p w14:paraId="449A8BEB" w14:textId="77777777" w:rsidR="00770C17" w:rsidRPr="00CD2A5D" w:rsidRDefault="00F675F1" w:rsidP="00CD2A5D">
      <w:pPr>
        <w:pStyle w:val="Titrearticle"/>
        <w:spacing w:line="23" w:lineRule="atLeast"/>
        <w:rPr>
          <w:noProof/>
          <w:szCs w:val="24"/>
        </w:rPr>
      </w:pPr>
      <w:r w:rsidRPr="00CD2A5D">
        <w:rPr>
          <w:noProof/>
          <w:szCs w:val="24"/>
        </w:rPr>
        <w:t xml:space="preserve">Article </w:t>
      </w:r>
      <w:r w:rsidR="004C4CF3" w:rsidRPr="00CD2A5D">
        <w:rPr>
          <w:noProof/>
          <w:szCs w:val="24"/>
        </w:rPr>
        <w:t>43</w:t>
      </w:r>
    </w:p>
    <w:p w14:paraId="77F681BF" w14:textId="77777777" w:rsidR="00770C17" w:rsidRPr="00CD2A5D" w:rsidRDefault="00770C17" w:rsidP="00CD2A5D">
      <w:pPr>
        <w:pStyle w:val="NormalCentered"/>
        <w:rPr>
          <w:b/>
          <w:bCs/>
          <w:noProof/>
          <w:lang w:eastAsia="en-IE"/>
        </w:rPr>
      </w:pPr>
      <w:r w:rsidRPr="00CD2A5D">
        <w:rPr>
          <w:b/>
          <w:bCs/>
          <w:noProof/>
          <w:lang w:eastAsia="en-IE"/>
        </w:rPr>
        <w:t>Notifications and suspension requests by competent authorities</w:t>
      </w:r>
    </w:p>
    <w:p w14:paraId="46DC7240" w14:textId="777392B6" w:rsidR="00770C17" w:rsidRPr="006A39BB" w:rsidRDefault="002A7F8C" w:rsidP="002A7F8C">
      <w:pPr>
        <w:pStyle w:val="ManualNumPar1"/>
        <w:rPr>
          <w:noProof/>
        </w:rPr>
      </w:pPr>
      <w:r w:rsidRPr="002A7F8C">
        <w:rPr>
          <w:noProof/>
        </w:rPr>
        <w:t>1.</w:t>
      </w:r>
      <w:r w:rsidRPr="002A7F8C">
        <w:rPr>
          <w:noProof/>
        </w:rPr>
        <w:tab/>
      </w:r>
      <w:r w:rsidR="00F323D0">
        <w:rPr>
          <w:noProof/>
        </w:rPr>
        <w:t>A</w:t>
      </w:r>
      <w:r w:rsidR="00770C17" w:rsidRPr="006A39BB">
        <w:rPr>
          <w:noProof/>
        </w:rPr>
        <w:t xml:space="preserve"> competent authority of a Member State </w:t>
      </w:r>
      <w:r w:rsidR="00F323D0">
        <w:rPr>
          <w:noProof/>
        </w:rPr>
        <w:t xml:space="preserve">that </w:t>
      </w:r>
      <w:r w:rsidR="00770C17" w:rsidRPr="006A39BB">
        <w:rPr>
          <w:noProof/>
        </w:rPr>
        <w:t xml:space="preserve">finds that acts </w:t>
      </w:r>
      <w:r w:rsidR="00F323D0">
        <w:rPr>
          <w:noProof/>
        </w:rPr>
        <w:t>infringing</w:t>
      </w:r>
      <w:r w:rsidR="00770C17" w:rsidRPr="006A39BB">
        <w:rPr>
          <w:noProof/>
        </w:rPr>
        <w:t xml:space="preserve"> this Regulation are being, or have been, carried out on the territory of its own or of another Member State</w:t>
      </w:r>
      <w:r w:rsidR="00F323D0">
        <w:rPr>
          <w:noProof/>
        </w:rPr>
        <w:t xml:space="preserve"> </w:t>
      </w:r>
      <w:r w:rsidR="00770C17" w:rsidRPr="006A39BB">
        <w:rPr>
          <w:noProof/>
        </w:rPr>
        <w:t xml:space="preserve">shall </w:t>
      </w:r>
      <w:r w:rsidR="00F323D0">
        <w:rPr>
          <w:noProof/>
        </w:rPr>
        <w:t>inform ESMA thereof</w:t>
      </w:r>
      <w:r w:rsidR="00770C17" w:rsidRPr="006A39BB">
        <w:rPr>
          <w:noProof/>
        </w:rPr>
        <w:t xml:space="preserve">. </w:t>
      </w:r>
      <w:r w:rsidR="00F323D0">
        <w:rPr>
          <w:noProof/>
        </w:rPr>
        <w:t xml:space="preserve">A </w:t>
      </w:r>
      <w:r w:rsidR="00770C17" w:rsidRPr="006A39BB">
        <w:rPr>
          <w:noProof/>
        </w:rPr>
        <w:t xml:space="preserve">competent authority </w:t>
      </w:r>
      <w:r w:rsidR="00F323D0">
        <w:rPr>
          <w:noProof/>
        </w:rPr>
        <w:t xml:space="preserve">that </w:t>
      </w:r>
      <w:r w:rsidR="00770C17" w:rsidRPr="006A39BB">
        <w:rPr>
          <w:noProof/>
        </w:rPr>
        <w:t>considers it appropriate for investigatory purposes may suggest to ESMA that it assess</w:t>
      </w:r>
      <w:r w:rsidR="00F323D0">
        <w:rPr>
          <w:noProof/>
        </w:rPr>
        <w:t>es</w:t>
      </w:r>
      <w:r w:rsidR="00770C17" w:rsidRPr="006A39BB">
        <w:rPr>
          <w:noProof/>
        </w:rPr>
        <w:t xml:space="preserve"> the need to use the powers under </w:t>
      </w:r>
      <w:r w:rsidR="00877287" w:rsidRPr="006A39BB">
        <w:rPr>
          <w:noProof/>
        </w:rPr>
        <w:t xml:space="preserve">Article </w:t>
      </w:r>
      <w:r w:rsidR="00211913" w:rsidRPr="006A39BB">
        <w:rPr>
          <w:noProof/>
        </w:rPr>
        <w:t xml:space="preserve">30 </w:t>
      </w:r>
      <w:r w:rsidR="00770C17" w:rsidRPr="006A39BB">
        <w:rPr>
          <w:noProof/>
        </w:rPr>
        <w:t xml:space="preserve">in relation to the </w:t>
      </w:r>
      <w:r w:rsidR="00C64961" w:rsidRPr="006A39BB">
        <w:rPr>
          <w:noProof/>
        </w:rPr>
        <w:t>ESG rating provider</w:t>
      </w:r>
      <w:r w:rsidR="00770C17" w:rsidRPr="006A39BB">
        <w:rPr>
          <w:noProof/>
        </w:rPr>
        <w:t xml:space="preserve"> involved in those acts.</w:t>
      </w:r>
    </w:p>
    <w:p w14:paraId="1217D074" w14:textId="24E4C558" w:rsidR="00770C17" w:rsidRPr="006A39BB" w:rsidRDefault="002A7F8C" w:rsidP="002A7F8C">
      <w:pPr>
        <w:pStyle w:val="ManualNumPar1"/>
        <w:rPr>
          <w:noProof/>
        </w:rPr>
      </w:pPr>
      <w:r w:rsidRPr="002A7F8C">
        <w:rPr>
          <w:noProof/>
        </w:rPr>
        <w:t>2.</w:t>
      </w:r>
      <w:r w:rsidRPr="002A7F8C">
        <w:rPr>
          <w:noProof/>
        </w:rPr>
        <w:tab/>
      </w:r>
      <w:r w:rsidR="00770C17" w:rsidRPr="006A39BB">
        <w:rPr>
          <w:noProof/>
        </w:rPr>
        <w:t xml:space="preserve">ESMA shall take appropriate action. </w:t>
      </w:r>
      <w:r w:rsidR="00436AD1">
        <w:rPr>
          <w:noProof/>
        </w:rPr>
        <w:t>ESMA</w:t>
      </w:r>
      <w:r w:rsidR="00770C17" w:rsidRPr="006A39BB">
        <w:rPr>
          <w:noProof/>
        </w:rPr>
        <w:t xml:space="preserve"> shall inform the notifying competent authority of the outcome and, as far as possible, of any significant interim developments.</w:t>
      </w:r>
    </w:p>
    <w:p w14:paraId="36A4A564" w14:textId="447DB064" w:rsidR="00770C17" w:rsidRPr="006A39BB" w:rsidRDefault="002A7F8C" w:rsidP="002A7F8C">
      <w:pPr>
        <w:pStyle w:val="ManualNumPar1"/>
        <w:rPr>
          <w:noProof/>
        </w:rPr>
      </w:pPr>
      <w:r w:rsidRPr="002A7F8C">
        <w:rPr>
          <w:noProof/>
        </w:rPr>
        <w:t>3.</w:t>
      </w:r>
      <w:r w:rsidRPr="002A7F8C">
        <w:rPr>
          <w:noProof/>
        </w:rPr>
        <w:tab/>
      </w:r>
      <w:r w:rsidR="00436AD1">
        <w:rPr>
          <w:noProof/>
        </w:rPr>
        <w:t>A</w:t>
      </w:r>
      <w:r w:rsidR="00770C17" w:rsidRPr="006A39BB">
        <w:rPr>
          <w:noProof/>
        </w:rPr>
        <w:t xml:space="preserve"> notifying competent authority of a Member State </w:t>
      </w:r>
      <w:r w:rsidR="00436AD1">
        <w:rPr>
          <w:noProof/>
        </w:rPr>
        <w:t xml:space="preserve">that </w:t>
      </w:r>
      <w:r w:rsidR="00770C17" w:rsidRPr="006A39BB">
        <w:rPr>
          <w:noProof/>
        </w:rPr>
        <w:t>considers that a</w:t>
      </w:r>
      <w:r w:rsidR="00436AD1">
        <w:rPr>
          <w:noProof/>
        </w:rPr>
        <w:t>n</w:t>
      </w:r>
      <w:r w:rsidR="00770C17" w:rsidRPr="006A39BB">
        <w:rPr>
          <w:noProof/>
        </w:rPr>
        <w:t xml:space="preserve"> </w:t>
      </w:r>
      <w:r w:rsidR="00C64961" w:rsidRPr="006A39BB">
        <w:rPr>
          <w:noProof/>
        </w:rPr>
        <w:t>ESG rating provider</w:t>
      </w:r>
      <w:r w:rsidR="00436AD1">
        <w:rPr>
          <w:noProof/>
        </w:rPr>
        <w:t xml:space="preserve"> that is listed in the register referred to in Article 13</w:t>
      </w:r>
      <w:r w:rsidR="00770C17" w:rsidRPr="006A39BB">
        <w:rPr>
          <w:noProof/>
        </w:rPr>
        <w:t xml:space="preserve"> </w:t>
      </w:r>
      <w:r w:rsidR="00436AD1">
        <w:rPr>
          <w:noProof/>
        </w:rPr>
        <w:t xml:space="preserve">and </w:t>
      </w:r>
      <w:r w:rsidR="00770C17" w:rsidRPr="006A39BB">
        <w:rPr>
          <w:noProof/>
        </w:rPr>
        <w:t xml:space="preserve">whose </w:t>
      </w:r>
      <w:r w:rsidR="00675C16" w:rsidRPr="006A39BB">
        <w:rPr>
          <w:noProof/>
        </w:rPr>
        <w:t xml:space="preserve">ESG </w:t>
      </w:r>
      <w:r w:rsidR="00770C17" w:rsidRPr="006A39BB">
        <w:rPr>
          <w:noProof/>
        </w:rPr>
        <w:t xml:space="preserve">ratings are used within the territory of that Member State </w:t>
      </w:r>
      <w:r w:rsidR="00436AD1">
        <w:rPr>
          <w:noProof/>
        </w:rPr>
        <w:t xml:space="preserve">has infringed </w:t>
      </w:r>
      <w:r w:rsidR="00770C17" w:rsidRPr="006A39BB">
        <w:rPr>
          <w:noProof/>
        </w:rPr>
        <w:t xml:space="preserve">this Regulation </w:t>
      </w:r>
      <w:r w:rsidR="00436AD1">
        <w:rPr>
          <w:noProof/>
        </w:rPr>
        <w:t xml:space="preserve">in such a way that </w:t>
      </w:r>
      <w:r w:rsidR="00770C17" w:rsidRPr="006A39BB">
        <w:rPr>
          <w:noProof/>
        </w:rPr>
        <w:t>the protection of investors or the stability of the financial system in that Member State</w:t>
      </w:r>
      <w:r w:rsidR="00436AD1">
        <w:rPr>
          <w:noProof/>
        </w:rPr>
        <w:t xml:space="preserve"> are significantly impacted</w:t>
      </w:r>
      <w:r w:rsidR="00770C17" w:rsidRPr="006A39BB">
        <w:rPr>
          <w:noProof/>
        </w:rPr>
        <w:t xml:space="preserve">, may request ESMA </w:t>
      </w:r>
      <w:r w:rsidR="00436AD1">
        <w:rPr>
          <w:noProof/>
        </w:rPr>
        <w:t xml:space="preserve">to </w:t>
      </w:r>
      <w:r w:rsidR="00770C17" w:rsidRPr="006A39BB">
        <w:rPr>
          <w:noProof/>
        </w:rPr>
        <w:t xml:space="preserve">suspend the </w:t>
      </w:r>
      <w:r w:rsidR="00110726" w:rsidRPr="006A39BB">
        <w:rPr>
          <w:noProof/>
        </w:rPr>
        <w:t>provision</w:t>
      </w:r>
      <w:r w:rsidR="00770C17" w:rsidRPr="006A39BB">
        <w:rPr>
          <w:noProof/>
        </w:rPr>
        <w:t xml:space="preserve"> of </w:t>
      </w:r>
      <w:r w:rsidR="00110726" w:rsidRPr="006A39BB">
        <w:rPr>
          <w:noProof/>
        </w:rPr>
        <w:t xml:space="preserve">ESG </w:t>
      </w:r>
      <w:r w:rsidR="00770C17" w:rsidRPr="006A39BB">
        <w:rPr>
          <w:noProof/>
        </w:rPr>
        <w:t xml:space="preserve">ratings </w:t>
      </w:r>
      <w:r w:rsidR="00436AD1">
        <w:rPr>
          <w:noProof/>
        </w:rPr>
        <w:t>by</w:t>
      </w:r>
      <w:r w:rsidR="00770C17" w:rsidRPr="006A39BB">
        <w:rPr>
          <w:noProof/>
        </w:rPr>
        <w:t xml:space="preserve"> the </w:t>
      </w:r>
      <w:r w:rsidR="00C64961" w:rsidRPr="006A39BB">
        <w:rPr>
          <w:noProof/>
        </w:rPr>
        <w:t>ESG rating provider</w:t>
      </w:r>
      <w:r w:rsidR="00770C17" w:rsidRPr="006A39BB">
        <w:rPr>
          <w:noProof/>
        </w:rPr>
        <w:t xml:space="preserve"> concerned. The notifying competent authority shall provide ESMA with full reasons for its request.</w:t>
      </w:r>
    </w:p>
    <w:p w14:paraId="6569D075" w14:textId="5130496D" w:rsidR="00770C17" w:rsidRPr="006A39BB" w:rsidRDefault="002A7F8C" w:rsidP="002A7F8C">
      <w:pPr>
        <w:pStyle w:val="ManualNumPar1"/>
        <w:rPr>
          <w:noProof/>
        </w:rPr>
      </w:pPr>
      <w:r w:rsidRPr="002A7F8C">
        <w:rPr>
          <w:noProof/>
        </w:rPr>
        <w:t>4.</w:t>
      </w:r>
      <w:r w:rsidRPr="002A7F8C">
        <w:rPr>
          <w:noProof/>
        </w:rPr>
        <w:tab/>
      </w:r>
      <w:r w:rsidR="00770C17" w:rsidRPr="006A39BB">
        <w:rPr>
          <w:noProof/>
        </w:rPr>
        <w:t xml:space="preserve">Where ESMA considers that the request </w:t>
      </w:r>
      <w:r w:rsidR="00436AD1">
        <w:rPr>
          <w:noProof/>
        </w:rPr>
        <w:t xml:space="preserve">referred to in paragraph 3 </w:t>
      </w:r>
      <w:r w:rsidR="00770C17" w:rsidRPr="006A39BB">
        <w:rPr>
          <w:noProof/>
        </w:rPr>
        <w:t xml:space="preserve">is not justified, it shall inform the notifying competent authority </w:t>
      </w:r>
      <w:r w:rsidR="00FB58FD">
        <w:rPr>
          <w:noProof/>
        </w:rPr>
        <w:t xml:space="preserve">thereof </w:t>
      </w:r>
      <w:r w:rsidR="00770C17" w:rsidRPr="006A39BB">
        <w:rPr>
          <w:noProof/>
        </w:rPr>
        <w:t>in writing, setting out the reasons</w:t>
      </w:r>
      <w:r w:rsidR="00FB58FD">
        <w:rPr>
          <w:noProof/>
        </w:rPr>
        <w:t xml:space="preserve"> for its opinion</w:t>
      </w:r>
      <w:r w:rsidR="00770C17" w:rsidRPr="006A39BB">
        <w:rPr>
          <w:noProof/>
        </w:rPr>
        <w:t>. Where ESMA considers that the request is justified, it shall take the measures</w:t>
      </w:r>
      <w:r w:rsidR="00FB58FD">
        <w:rPr>
          <w:noProof/>
        </w:rPr>
        <w:t xml:space="preserve"> appropriate</w:t>
      </w:r>
      <w:r w:rsidR="00770C17" w:rsidRPr="006A39BB">
        <w:rPr>
          <w:noProof/>
        </w:rPr>
        <w:t xml:space="preserve"> to resolve the issue.</w:t>
      </w:r>
    </w:p>
    <w:p w14:paraId="276EFE42" w14:textId="77777777" w:rsidR="00770C17" w:rsidRPr="00CD2A5D" w:rsidRDefault="00770C17" w:rsidP="00CD2A5D">
      <w:pPr>
        <w:pStyle w:val="Titrearticle"/>
        <w:spacing w:line="23" w:lineRule="atLeast"/>
        <w:rPr>
          <w:noProof/>
          <w:szCs w:val="24"/>
        </w:rPr>
      </w:pPr>
      <w:r w:rsidRPr="00CD2A5D">
        <w:rPr>
          <w:noProof/>
          <w:szCs w:val="24"/>
        </w:rPr>
        <w:t xml:space="preserve">Article </w:t>
      </w:r>
      <w:r w:rsidR="004C4CF3" w:rsidRPr="00CD2A5D">
        <w:rPr>
          <w:noProof/>
          <w:szCs w:val="24"/>
        </w:rPr>
        <w:t>44</w:t>
      </w:r>
    </w:p>
    <w:p w14:paraId="681CF713" w14:textId="77777777" w:rsidR="00770C17" w:rsidRPr="00CD2A5D" w:rsidRDefault="00770C17" w:rsidP="00CD2A5D">
      <w:pPr>
        <w:pStyle w:val="NormalCentered"/>
        <w:rPr>
          <w:b/>
          <w:bCs/>
          <w:noProof/>
          <w:lang w:eastAsia="en-IE"/>
        </w:rPr>
      </w:pPr>
      <w:r w:rsidRPr="00CD2A5D">
        <w:rPr>
          <w:b/>
          <w:bCs/>
          <w:noProof/>
          <w:lang w:eastAsia="en-IE"/>
        </w:rPr>
        <w:t>Professional secrecy</w:t>
      </w:r>
    </w:p>
    <w:p w14:paraId="3A3F9095" w14:textId="2A170BE6" w:rsidR="00770C17" w:rsidRPr="006A39BB" w:rsidRDefault="002A7F8C" w:rsidP="002A7F8C">
      <w:pPr>
        <w:pStyle w:val="ManualNumPar1"/>
        <w:rPr>
          <w:noProof/>
        </w:rPr>
      </w:pPr>
      <w:r w:rsidRPr="002A7F8C">
        <w:rPr>
          <w:noProof/>
        </w:rPr>
        <w:t>1.</w:t>
      </w:r>
      <w:r w:rsidRPr="002A7F8C">
        <w:rPr>
          <w:noProof/>
        </w:rPr>
        <w:tab/>
      </w:r>
      <w:r w:rsidR="00770C17" w:rsidRPr="006A39BB">
        <w:rPr>
          <w:noProof/>
        </w:rPr>
        <w:t>The obligation of professional secrecy shall apply to ESMA, the competent authorities, and all persons who work or who have worked for ESMA, for the competent authorities or for any other person to whom ESMA has delegated tasks, including auditors and experts contracted by ESMA.</w:t>
      </w:r>
    </w:p>
    <w:p w14:paraId="339A878F" w14:textId="77777777" w:rsidR="00120147" w:rsidRPr="006A39BB" w:rsidRDefault="00DC09A6" w:rsidP="00EC435D">
      <w:pPr>
        <w:pStyle w:val="NormalWeb"/>
        <w:spacing w:before="120" w:beforeAutospacing="0" w:after="120" w:afterAutospacing="0" w:line="23" w:lineRule="atLeast"/>
        <w:jc w:val="both"/>
        <w:rPr>
          <w:noProof/>
          <w:lang w:val="en-GB"/>
        </w:rPr>
      </w:pPr>
      <w:r w:rsidRPr="006A39BB">
        <w:rPr>
          <w:noProof/>
          <w:lang w:val="en-GB"/>
        </w:rPr>
        <w:t>2.</w:t>
      </w:r>
      <w:r w:rsidRPr="006A39BB">
        <w:rPr>
          <w:noProof/>
          <w:lang w:val="en-GB"/>
        </w:rPr>
        <w:tab/>
      </w:r>
      <w:r w:rsidR="00120147" w:rsidRPr="006A39BB">
        <w:rPr>
          <w:noProof/>
          <w:lang w:val="en-GB"/>
        </w:rPr>
        <w:t xml:space="preserve">All the information exchanged under this </w:t>
      </w:r>
      <w:r w:rsidR="009E4259" w:rsidRPr="006A39BB">
        <w:rPr>
          <w:noProof/>
          <w:lang w:val="en-GB"/>
        </w:rPr>
        <w:t xml:space="preserve">Regulation </w:t>
      </w:r>
      <w:r w:rsidR="00120147" w:rsidRPr="006A39BB">
        <w:rPr>
          <w:noProof/>
          <w:lang w:val="en-GB"/>
        </w:rPr>
        <w:t>between ESMA, the competent authorities,</w:t>
      </w:r>
      <w:r w:rsidR="009E4259" w:rsidRPr="006A39BB">
        <w:rPr>
          <w:noProof/>
          <w:lang w:val="en-GB"/>
        </w:rPr>
        <w:t xml:space="preserve"> the</w:t>
      </w:r>
      <w:r w:rsidR="00120147" w:rsidRPr="006A39BB">
        <w:rPr>
          <w:noProof/>
          <w:lang w:val="en-GB"/>
        </w:rPr>
        <w:t xml:space="preserve"> EBA, </w:t>
      </w:r>
      <w:r w:rsidR="009E4259" w:rsidRPr="006A39BB">
        <w:rPr>
          <w:noProof/>
          <w:lang w:val="en-GB"/>
        </w:rPr>
        <w:t>EIOPA</w:t>
      </w:r>
      <w:r w:rsidR="00120147" w:rsidRPr="006A39BB">
        <w:rPr>
          <w:noProof/>
          <w:lang w:val="en-GB"/>
        </w:rPr>
        <w:t xml:space="preserve"> and the ESRB shall be considered confidential, except:</w:t>
      </w:r>
    </w:p>
    <w:p w14:paraId="4A4F5436" w14:textId="40C6EA4B" w:rsidR="00120147" w:rsidRPr="00162B2D" w:rsidRDefault="002A7F8C" w:rsidP="002A7F8C">
      <w:pPr>
        <w:pStyle w:val="Point1"/>
        <w:rPr>
          <w:noProof/>
        </w:rPr>
      </w:pPr>
      <w:r w:rsidRPr="002A7F8C">
        <w:rPr>
          <w:noProof/>
        </w:rPr>
        <w:t>(a)</w:t>
      </w:r>
      <w:r w:rsidRPr="002A7F8C">
        <w:rPr>
          <w:noProof/>
        </w:rPr>
        <w:tab/>
      </w:r>
      <w:r w:rsidR="00120147" w:rsidRPr="00162B2D">
        <w:rPr>
          <w:noProof/>
        </w:rPr>
        <w:t>where ESMA or the competent authority or another authority or body concerned states at the time of communication that such information may be disclosed;</w:t>
      </w:r>
    </w:p>
    <w:p w14:paraId="605E7E99" w14:textId="7615E389" w:rsidR="00120147" w:rsidRPr="006A39BB" w:rsidRDefault="002A7F8C" w:rsidP="002A7F8C">
      <w:pPr>
        <w:pStyle w:val="Point1"/>
        <w:rPr>
          <w:noProof/>
        </w:rPr>
      </w:pPr>
      <w:r w:rsidRPr="002A7F8C">
        <w:rPr>
          <w:noProof/>
        </w:rPr>
        <w:t>(b)</w:t>
      </w:r>
      <w:r w:rsidRPr="002A7F8C">
        <w:rPr>
          <w:noProof/>
        </w:rPr>
        <w:tab/>
      </w:r>
      <w:r w:rsidR="00120147" w:rsidRPr="006A39BB">
        <w:rPr>
          <w:noProof/>
        </w:rPr>
        <w:t>where disclosure is necessary for legal proceedings;</w:t>
      </w:r>
    </w:p>
    <w:p w14:paraId="242B8B66" w14:textId="0BFCA36A" w:rsidR="00DC09A6" w:rsidRPr="006A39BB" w:rsidRDefault="002A7F8C" w:rsidP="002A7F8C">
      <w:pPr>
        <w:pStyle w:val="Point1"/>
        <w:rPr>
          <w:noProof/>
        </w:rPr>
      </w:pPr>
      <w:r w:rsidRPr="002A7F8C">
        <w:rPr>
          <w:noProof/>
        </w:rPr>
        <w:t>(c)</w:t>
      </w:r>
      <w:r w:rsidRPr="002A7F8C">
        <w:rPr>
          <w:noProof/>
        </w:rPr>
        <w:tab/>
      </w:r>
      <w:r w:rsidR="00DC09A6" w:rsidRPr="006A39BB">
        <w:rPr>
          <w:noProof/>
        </w:rPr>
        <w:t>where the information disclosed is used in a summary or in an aggregate form in which individual financial market participants cannot be identified.</w:t>
      </w:r>
    </w:p>
    <w:p w14:paraId="358F9D66" w14:textId="77777777" w:rsidR="00587167" w:rsidRPr="00CD2A5D" w:rsidRDefault="00587167" w:rsidP="00CD2A5D">
      <w:pPr>
        <w:shd w:val="clear" w:color="auto" w:fill="FFFFFF" w:themeFill="background1"/>
        <w:spacing w:before="360" w:line="23" w:lineRule="atLeast"/>
        <w:jc w:val="center"/>
        <w:rPr>
          <w:rFonts w:eastAsia="Times New Roman"/>
          <w:noProof/>
          <w:color w:val="333333"/>
          <w:szCs w:val="24"/>
          <w:lang w:eastAsia="en-IE"/>
        </w:rPr>
      </w:pPr>
      <w:r w:rsidRPr="00CD2A5D">
        <w:rPr>
          <w:rFonts w:eastAsia="Times New Roman"/>
          <w:noProof/>
          <w:color w:val="333333"/>
          <w:szCs w:val="24"/>
          <w:lang w:eastAsia="en-IE"/>
        </w:rPr>
        <w:t xml:space="preserve">TITLE </w:t>
      </w:r>
      <w:r w:rsidR="00C9315C" w:rsidRPr="00CD2A5D">
        <w:rPr>
          <w:rFonts w:eastAsia="Times New Roman"/>
          <w:noProof/>
          <w:color w:val="333333"/>
          <w:szCs w:val="24"/>
          <w:lang w:eastAsia="en-IE"/>
        </w:rPr>
        <w:t>I</w:t>
      </w:r>
      <w:r w:rsidRPr="00CD2A5D">
        <w:rPr>
          <w:rFonts w:eastAsia="Times New Roman"/>
          <w:noProof/>
          <w:color w:val="333333"/>
          <w:szCs w:val="24"/>
          <w:lang w:eastAsia="en-IE"/>
        </w:rPr>
        <w:t>V</w:t>
      </w:r>
    </w:p>
    <w:p w14:paraId="6196279F" w14:textId="77777777" w:rsidR="00587167" w:rsidRPr="00CD2A5D" w:rsidRDefault="00587167" w:rsidP="00CD2A5D">
      <w:pPr>
        <w:pStyle w:val="ChapterTitle"/>
        <w:spacing w:after="120" w:line="23" w:lineRule="atLeast"/>
        <w:rPr>
          <w:rStyle w:val="boldface"/>
          <w:caps/>
          <w:noProof/>
          <w:sz w:val="24"/>
          <w:szCs w:val="24"/>
        </w:rPr>
      </w:pPr>
      <w:r w:rsidRPr="00CD2A5D">
        <w:rPr>
          <w:rStyle w:val="boldface"/>
          <w:caps/>
          <w:noProof/>
          <w:sz w:val="24"/>
          <w:szCs w:val="24"/>
        </w:rPr>
        <w:t>DELEGATED AND IMPLEMENTING ACTS</w:t>
      </w:r>
    </w:p>
    <w:p w14:paraId="587AE93C" w14:textId="77777777" w:rsidR="00587167" w:rsidRPr="00CD2A5D" w:rsidRDefault="00587167" w:rsidP="00CD2A5D">
      <w:pPr>
        <w:pStyle w:val="Titrearticle"/>
        <w:spacing w:line="23" w:lineRule="atLeast"/>
        <w:rPr>
          <w:noProof/>
          <w:szCs w:val="24"/>
        </w:rPr>
      </w:pPr>
      <w:r w:rsidRPr="00CD2A5D">
        <w:rPr>
          <w:noProof/>
          <w:szCs w:val="24"/>
        </w:rPr>
        <w:t xml:space="preserve">Article </w:t>
      </w:r>
      <w:r w:rsidR="00B31926" w:rsidRPr="00CD2A5D">
        <w:rPr>
          <w:noProof/>
          <w:szCs w:val="24"/>
        </w:rPr>
        <w:t>4</w:t>
      </w:r>
      <w:r w:rsidR="00441017" w:rsidRPr="00CD2A5D">
        <w:rPr>
          <w:noProof/>
          <w:szCs w:val="24"/>
        </w:rPr>
        <w:t>5</w:t>
      </w:r>
    </w:p>
    <w:p w14:paraId="7E5280E7" w14:textId="77777777" w:rsidR="00587167" w:rsidRPr="00CD2A5D" w:rsidRDefault="00587167" w:rsidP="00CD2A5D">
      <w:pPr>
        <w:pStyle w:val="NormalCentered"/>
        <w:rPr>
          <w:b/>
          <w:bCs/>
          <w:noProof/>
          <w:lang w:eastAsia="en-IE"/>
        </w:rPr>
      </w:pPr>
      <w:r w:rsidRPr="00CD2A5D">
        <w:rPr>
          <w:b/>
          <w:bCs/>
          <w:noProof/>
          <w:lang w:eastAsia="en-IE"/>
        </w:rPr>
        <w:t>Exercise</w:t>
      </w:r>
      <w:r w:rsidR="6E8A7C97" w:rsidRPr="00CD2A5D">
        <w:rPr>
          <w:b/>
          <w:bCs/>
          <w:noProof/>
          <w:lang w:eastAsia="en-IE"/>
        </w:rPr>
        <w:t xml:space="preserve"> and revocation</w:t>
      </w:r>
      <w:r w:rsidRPr="00CD2A5D">
        <w:rPr>
          <w:b/>
          <w:bCs/>
          <w:noProof/>
          <w:lang w:eastAsia="en-IE"/>
        </w:rPr>
        <w:t xml:space="preserve"> of the delegation</w:t>
      </w:r>
      <w:r w:rsidR="009652A6" w:rsidRPr="00CD2A5D">
        <w:rPr>
          <w:b/>
          <w:bCs/>
          <w:noProof/>
          <w:lang w:eastAsia="en-IE"/>
        </w:rPr>
        <w:t xml:space="preserve"> and objections to delegated acts</w:t>
      </w:r>
    </w:p>
    <w:p w14:paraId="3E282384" w14:textId="66FCD177" w:rsidR="009F55D8" w:rsidRPr="006A39BB" w:rsidRDefault="002A7F8C" w:rsidP="002A7F8C">
      <w:pPr>
        <w:pStyle w:val="ManualNumPar1"/>
        <w:rPr>
          <w:noProof/>
        </w:rPr>
      </w:pPr>
      <w:r w:rsidRPr="002A7F8C">
        <w:rPr>
          <w:noProof/>
        </w:rPr>
        <w:t>1.</w:t>
      </w:r>
      <w:r w:rsidRPr="002A7F8C">
        <w:rPr>
          <w:noProof/>
        </w:rPr>
        <w:tab/>
      </w:r>
      <w:r w:rsidR="0038439E" w:rsidRPr="006A39BB">
        <w:rPr>
          <w:noProof/>
        </w:rPr>
        <w:t xml:space="preserve">The power to adopt delegated acts is conferred on the Commission subject to the conditions laid down in this Article. </w:t>
      </w:r>
    </w:p>
    <w:p w14:paraId="24E753B3" w14:textId="47F6ED5D" w:rsidR="0038439E" w:rsidRPr="006A39BB" w:rsidRDefault="002A7F8C" w:rsidP="002A7F8C">
      <w:pPr>
        <w:pStyle w:val="ManualNumPar1"/>
        <w:rPr>
          <w:noProof/>
        </w:rPr>
      </w:pPr>
      <w:r w:rsidRPr="002A7F8C">
        <w:rPr>
          <w:noProof/>
        </w:rPr>
        <w:t>2.</w:t>
      </w:r>
      <w:r w:rsidRPr="002A7F8C">
        <w:rPr>
          <w:noProof/>
        </w:rPr>
        <w:tab/>
      </w:r>
      <w:r w:rsidR="0038439E" w:rsidRPr="006A39BB">
        <w:rPr>
          <w:noProof/>
        </w:rPr>
        <w:t xml:space="preserve">The power to adopt delegated acts referred to in Articles </w:t>
      </w:r>
      <w:r w:rsidR="0013039D">
        <w:rPr>
          <w:noProof/>
        </w:rPr>
        <w:t>5</w:t>
      </w:r>
      <w:r w:rsidR="0011579A" w:rsidRPr="006A39BB">
        <w:rPr>
          <w:noProof/>
        </w:rPr>
        <w:t>,</w:t>
      </w:r>
      <w:r w:rsidR="001A7B94" w:rsidRPr="006A39BB">
        <w:rPr>
          <w:noProof/>
        </w:rPr>
        <w:t xml:space="preserve"> 21, 22</w:t>
      </w:r>
      <w:r w:rsidR="0011579A" w:rsidRPr="006A39BB">
        <w:rPr>
          <w:noProof/>
        </w:rPr>
        <w:t xml:space="preserve"> and 40</w:t>
      </w:r>
      <w:r w:rsidR="0038439E" w:rsidRPr="006A39BB">
        <w:rPr>
          <w:noProof/>
        </w:rPr>
        <w:t xml:space="preserve"> shall be conferred on the Commission for an indeterminate period of time from [</w:t>
      </w:r>
      <w:r w:rsidR="0038439E" w:rsidRPr="00282760">
        <w:rPr>
          <w:i/>
          <w:noProof/>
        </w:rPr>
        <w:t>PO: Please insert date of entry into force</w:t>
      </w:r>
      <w:r w:rsidR="0038439E" w:rsidRPr="006A39BB">
        <w:rPr>
          <w:noProof/>
        </w:rPr>
        <w:t>].</w:t>
      </w:r>
    </w:p>
    <w:p w14:paraId="5982BE36" w14:textId="2DFC6D39" w:rsidR="0038439E" w:rsidRPr="006A39BB" w:rsidRDefault="002A7F8C" w:rsidP="002A7F8C">
      <w:pPr>
        <w:pStyle w:val="ManualNumPar1"/>
        <w:rPr>
          <w:noProof/>
        </w:rPr>
      </w:pPr>
      <w:r w:rsidRPr="002A7F8C">
        <w:rPr>
          <w:noProof/>
        </w:rPr>
        <w:t>3.</w:t>
      </w:r>
      <w:r w:rsidRPr="002A7F8C">
        <w:rPr>
          <w:noProof/>
        </w:rPr>
        <w:tab/>
      </w:r>
      <w:r w:rsidR="0038439E" w:rsidRPr="006A39BB">
        <w:rPr>
          <w:noProof/>
        </w:rPr>
        <w:t xml:space="preserve">The delegation of power referred to in Articles </w:t>
      </w:r>
      <w:r w:rsidR="007A7335">
        <w:rPr>
          <w:noProof/>
        </w:rPr>
        <w:t>5</w:t>
      </w:r>
      <w:r w:rsidR="00180E01">
        <w:rPr>
          <w:noProof/>
        </w:rPr>
        <w:t xml:space="preserve">, </w:t>
      </w:r>
      <w:r w:rsidR="007A7335">
        <w:rPr>
          <w:noProof/>
        </w:rPr>
        <w:t>21</w:t>
      </w:r>
      <w:r w:rsidR="00180E01">
        <w:rPr>
          <w:noProof/>
        </w:rPr>
        <w:t xml:space="preserve">, </w:t>
      </w:r>
      <w:r w:rsidR="007A7335">
        <w:rPr>
          <w:noProof/>
        </w:rPr>
        <w:t>22</w:t>
      </w:r>
      <w:r w:rsidR="00180E01">
        <w:rPr>
          <w:noProof/>
        </w:rPr>
        <w:t xml:space="preserve"> and </w:t>
      </w:r>
      <w:r w:rsidR="006426E5">
        <w:rPr>
          <w:noProof/>
        </w:rPr>
        <w:t>40</w:t>
      </w:r>
      <w:r w:rsidR="0038439E" w:rsidRPr="006A39BB">
        <w:rPr>
          <w:noProof/>
        </w:rPr>
        <w:t xml:space="preserve"> </w:t>
      </w:r>
      <w:r w:rsidR="00262384" w:rsidRPr="006A39BB">
        <w:rPr>
          <w:noProof/>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sidR="00262384" w:rsidRPr="006A39BB">
        <w:rPr>
          <w:i/>
          <w:noProof/>
        </w:rPr>
        <w:t>Official Journal of the European Union</w:t>
      </w:r>
      <w:r w:rsidR="00262384" w:rsidRPr="006A39BB">
        <w:rPr>
          <w:noProof/>
        </w:rPr>
        <w:t xml:space="preserve"> or at a later date specified therein. It shall not affect the validity of any delegated acts already in force.</w:t>
      </w:r>
    </w:p>
    <w:p w14:paraId="07C802B3" w14:textId="0E1DF2E8" w:rsidR="00262384" w:rsidRPr="006A39BB" w:rsidRDefault="002A7F8C" w:rsidP="002A7F8C">
      <w:pPr>
        <w:pStyle w:val="ManualNumPar1"/>
        <w:rPr>
          <w:noProof/>
        </w:rPr>
      </w:pPr>
      <w:r w:rsidRPr="002A7F8C">
        <w:rPr>
          <w:noProof/>
        </w:rPr>
        <w:t>4.</w:t>
      </w:r>
      <w:r w:rsidRPr="002A7F8C">
        <w:rPr>
          <w:noProof/>
        </w:rPr>
        <w:tab/>
      </w:r>
      <w:r w:rsidR="00262384" w:rsidRPr="006A39BB">
        <w:rPr>
          <w:noProof/>
        </w:rPr>
        <w:t>Before adopting a delegated act, the Commission shall consult experts designated by each Member State in accordance with the principles laid down in the Inter-institutional Agreement of 13 April 2016 on Better Law-Making.</w:t>
      </w:r>
    </w:p>
    <w:p w14:paraId="1F1C41C7" w14:textId="15FC60E5" w:rsidR="00262384" w:rsidRPr="006A39BB" w:rsidRDefault="002A7F8C" w:rsidP="002A7F8C">
      <w:pPr>
        <w:pStyle w:val="ManualNumPar1"/>
        <w:rPr>
          <w:noProof/>
        </w:rPr>
      </w:pPr>
      <w:r w:rsidRPr="002A7F8C">
        <w:rPr>
          <w:noProof/>
        </w:rPr>
        <w:t>5.</w:t>
      </w:r>
      <w:r w:rsidRPr="002A7F8C">
        <w:rPr>
          <w:noProof/>
        </w:rPr>
        <w:tab/>
      </w:r>
      <w:r w:rsidR="00262384" w:rsidRPr="006A39BB">
        <w:rPr>
          <w:noProof/>
        </w:rPr>
        <w:t>As soon as it adopts a delegated act, the Commission shall notify it simultaneously to the European Parliament and to the Council.</w:t>
      </w:r>
    </w:p>
    <w:p w14:paraId="1A144457" w14:textId="6A3BDF8F" w:rsidR="00262384" w:rsidRPr="006A39BB" w:rsidRDefault="002A7F8C" w:rsidP="002A7F8C">
      <w:pPr>
        <w:pStyle w:val="ManualNumPar1"/>
        <w:rPr>
          <w:noProof/>
        </w:rPr>
      </w:pPr>
      <w:r w:rsidRPr="002A7F8C">
        <w:rPr>
          <w:noProof/>
        </w:rPr>
        <w:t>6.</w:t>
      </w:r>
      <w:r w:rsidRPr="002A7F8C">
        <w:rPr>
          <w:noProof/>
        </w:rPr>
        <w:tab/>
      </w:r>
      <w:r w:rsidR="00262384" w:rsidRPr="006A39BB">
        <w:rPr>
          <w:noProof/>
        </w:rPr>
        <w:t xml:space="preserve">A delegated act adopted pursuant to Articles </w:t>
      </w:r>
      <w:r w:rsidR="001D5FCC">
        <w:rPr>
          <w:noProof/>
        </w:rPr>
        <w:t xml:space="preserve">7, 33, 34 and 40 </w:t>
      </w:r>
      <w:r w:rsidR="00262384" w:rsidRPr="006A39BB">
        <w:rPr>
          <w:noProof/>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168E774E" w14:textId="0CD88A3C" w:rsidR="008F3729" w:rsidRPr="006A39BB" w:rsidRDefault="002A7F8C" w:rsidP="002A7F8C">
      <w:pPr>
        <w:pStyle w:val="ManualNumPar1"/>
        <w:rPr>
          <w:noProof/>
        </w:rPr>
      </w:pPr>
      <w:r w:rsidRPr="002A7F8C">
        <w:rPr>
          <w:noProof/>
        </w:rPr>
        <w:t>7.</w:t>
      </w:r>
      <w:r w:rsidRPr="002A7F8C">
        <w:rPr>
          <w:noProof/>
        </w:rPr>
        <w:tab/>
      </w:r>
      <w:r w:rsidR="008F3729" w:rsidRPr="006A39BB">
        <w:rPr>
          <w:noProof/>
        </w:rPr>
        <w:t xml:space="preserve">If, on expiry of the period referred to in paragraph </w:t>
      </w:r>
      <w:r w:rsidR="009652A6" w:rsidRPr="006A39BB">
        <w:rPr>
          <w:noProof/>
        </w:rPr>
        <w:t>6</w:t>
      </w:r>
      <w:r w:rsidR="008F3729" w:rsidRPr="006A39BB">
        <w:rPr>
          <w:noProof/>
        </w:rPr>
        <w:t>, neither the European Parliament nor the Council has objected to the delegated act, it shall be published in the Official Journal of the European Union and shall enter into force on the date stated therein. The delegated act may be published in the Official Journal of the European Union and enter into force before the expiry of that period if the European Parliament and the Council have both informed the Commission of their intention not to raise objections.</w:t>
      </w:r>
    </w:p>
    <w:p w14:paraId="72839990" w14:textId="6C8030AF" w:rsidR="008F3729" w:rsidRPr="006A39BB" w:rsidRDefault="002A7F8C" w:rsidP="002A7F8C">
      <w:pPr>
        <w:pStyle w:val="ManualNumPar1"/>
        <w:rPr>
          <w:noProof/>
        </w:rPr>
      </w:pPr>
      <w:r w:rsidRPr="002A7F8C">
        <w:rPr>
          <w:noProof/>
        </w:rPr>
        <w:t>8.</w:t>
      </w:r>
      <w:r w:rsidRPr="002A7F8C">
        <w:rPr>
          <w:noProof/>
        </w:rPr>
        <w:tab/>
      </w:r>
      <w:r w:rsidR="008F3729" w:rsidRPr="006A39BB">
        <w:rPr>
          <w:noProof/>
        </w:rPr>
        <w:t>If either the European Parliament or the Council objects to the delegated act within the period referred to in paragraph 1, it shall not enter into force. In accordance with Article 296 of the Treaty on the Functioning of the European Union, the institution which objects shall state the reasons for objecting to the delegated act.</w:t>
      </w:r>
    </w:p>
    <w:p w14:paraId="3DA72C4A" w14:textId="77777777" w:rsidR="004E1613" w:rsidRPr="00CD2A5D" w:rsidRDefault="004E1613" w:rsidP="00CD2A5D">
      <w:pPr>
        <w:pStyle w:val="Titrearticle"/>
        <w:spacing w:line="23" w:lineRule="atLeast"/>
        <w:rPr>
          <w:noProof/>
          <w:szCs w:val="24"/>
        </w:rPr>
      </w:pPr>
      <w:r w:rsidRPr="00CD2A5D">
        <w:rPr>
          <w:noProof/>
          <w:szCs w:val="24"/>
        </w:rPr>
        <w:t xml:space="preserve">Article </w:t>
      </w:r>
      <w:r w:rsidR="00441017" w:rsidRPr="00CD2A5D">
        <w:rPr>
          <w:noProof/>
          <w:szCs w:val="24"/>
        </w:rPr>
        <w:t>46</w:t>
      </w:r>
    </w:p>
    <w:p w14:paraId="515AD9D7" w14:textId="77777777" w:rsidR="004E1613" w:rsidRPr="00CD2A5D" w:rsidRDefault="004E1613" w:rsidP="00CD2A5D">
      <w:pPr>
        <w:pStyle w:val="NormalCentered"/>
        <w:rPr>
          <w:b/>
          <w:bCs/>
          <w:noProof/>
          <w:lang w:eastAsia="en-IE"/>
        </w:rPr>
      </w:pPr>
      <w:r w:rsidRPr="00CD2A5D">
        <w:rPr>
          <w:b/>
          <w:bCs/>
          <w:noProof/>
          <w:lang w:eastAsia="en-IE"/>
        </w:rPr>
        <w:t>Amendments to Annexes</w:t>
      </w:r>
    </w:p>
    <w:p w14:paraId="2563E779" w14:textId="77777777" w:rsidR="004E1613" w:rsidRPr="006A39BB" w:rsidRDefault="006A39BB" w:rsidP="00CD2A5D">
      <w:pPr>
        <w:rPr>
          <w:noProof/>
        </w:rPr>
      </w:pPr>
      <w:r>
        <w:rPr>
          <w:noProof/>
        </w:rPr>
        <w:t>T</w:t>
      </w:r>
      <w:r w:rsidR="004E1613" w:rsidRPr="006A39BB">
        <w:rPr>
          <w:noProof/>
        </w:rPr>
        <w:t xml:space="preserve">o take account of developments, including international developments, on financial markets, in particular in relation to </w:t>
      </w:r>
      <w:r w:rsidR="00492ED8" w:rsidRPr="006A39BB">
        <w:rPr>
          <w:noProof/>
        </w:rPr>
        <w:t>sustainable finance</w:t>
      </w:r>
      <w:r w:rsidR="004E1613" w:rsidRPr="006A39BB">
        <w:rPr>
          <w:noProof/>
        </w:rPr>
        <w:t xml:space="preserve">, the Commission may adopt, by means of delegated acts in accordance with Article </w:t>
      </w:r>
      <w:r w:rsidR="00BC0F7D" w:rsidRPr="006A39BB">
        <w:rPr>
          <w:noProof/>
        </w:rPr>
        <w:t>4</w:t>
      </w:r>
      <w:r w:rsidR="00204004" w:rsidRPr="006A39BB">
        <w:rPr>
          <w:noProof/>
        </w:rPr>
        <w:t>5</w:t>
      </w:r>
      <w:r w:rsidR="004E1613" w:rsidRPr="006A39BB">
        <w:rPr>
          <w:noProof/>
        </w:rPr>
        <w:t>, measures to amend the Annexes.</w:t>
      </w:r>
    </w:p>
    <w:p w14:paraId="04B3C2AF" w14:textId="77777777" w:rsidR="00587167" w:rsidRPr="00CD2A5D" w:rsidRDefault="00587167" w:rsidP="00CD2A5D">
      <w:pPr>
        <w:pStyle w:val="Titrearticle"/>
        <w:spacing w:line="23" w:lineRule="atLeast"/>
        <w:rPr>
          <w:noProof/>
          <w:szCs w:val="24"/>
        </w:rPr>
      </w:pPr>
      <w:r w:rsidRPr="00CD2A5D">
        <w:rPr>
          <w:noProof/>
          <w:szCs w:val="24"/>
        </w:rPr>
        <w:t xml:space="preserve">Article </w:t>
      </w:r>
      <w:r w:rsidR="00441017" w:rsidRPr="00CD2A5D">
        <w:rPr>
          <w:noProof/>
          <w:szCs w:val="24"/>
        </w:rPr>
        <w:t>47</w:t>
      </w:r>
    </w:p>
    <w:p w14:paraId="7F40701D" w14:textId="77777777" w:rsidR="00587167" w:rsidRPr="00CD2A5D" w:rsidRDefault="00587167" w:rsidP="00CD2A5D">
      <w:pPr>
        <w:pStyle w:val="NormalCentered"/>
        <w:rPr>
          <w:b/>
          <w:bCs/>
          <w:noProof/>
          <w:lang w:eastAsia="en-IE"/>
        </w:rPr>
      </w:pPr>
      <w:r w:rsidRPr="00CD2A5D">
        <w:rPr>
          <w:b/>
          <w:bCs/>
          <w:noProof/>
          <w:lang w:eastAsia="en-IE"/>
        </w:rPr>
        <w:t>Committee procedure</w:t>
      </w:r>
    </w:p>
    <w:p w14:paraId="6619FFBE" w14:textId="59F6CF6B" w:rsidR="009F55D8" w:rsidRPr="006A39BB" w:rsidRDefault="002A7F8C" w:rsidP="002A7F8C">
      <w:pPr>
        <w:pStyle w:val="ManualNumPar1"/>
        <w:rPr>
          <w:noProof/>
        </w:rPr>
      </w:pPr>
      <w:r w:rsidRPr="002A7F8C">
        <w:rPr>
          <w:noProof/>
        </w:rPr>
        <w:t>1.</w:t>
      </w:r>
      <w:r w:rsidRPr="002A7F8C">
        <w:rPr>
          <w:noProof/>
        </w:rPr>
        <w:tab/>
      </w:r>
      <w:r w:rsidR="6033FFEC" w:rsidRPr="006A39BB">
        <w:rPr>
          <w:noProof/>
        </w:rPr>
        <w:t>The Commission shall be assisted by the European Securities Committee established by Commission Decision 2001/528/EC</w:t>
      </w:r>
      <w:r w:rsidR="009F55D8" w:rsidRPr="006A39BB">
        <w:rPr>
          <w:rStyle w:val="FootnoteReference"/>
          <w:noProof/>
        </w:rPr>
        <w:footnoteReference w:id="56"/>
      </w:r>
      <w:r w:rsidR="00C9315C">
        <w:rPr>
          <w:noProof/>
        </w:rPr>
        <w:t>.</w:t>
      </w:r>
      <w:r w:rsidR="6033FFEC" w:rsidRPr="006A39BB">
        <w:rPr>
          <w:noProof/>
        </w:rPr>
        <w:t xml:space="preserve"> That committee shall be a committee within the meaning of Regulation (EU) No 182/2011 of the European Parliament and of the Council</w:t>
      </w:r>
      <w:r w:rsidR="74CF0EDE" w:rsidRPr="006A39BB">
        <w:rPr>
          <w:noProof/>
        </w:rPr>
        <w:t>.</w:t>
      </w:r>
      <w:r w:rsidR="009F55D8" w:rsidRPr="006A39BB">
        <w:rPr>
          <w:rStyle w:val="FootnoteReference"/>
          <w:noProof/>
        </w:rPr>
        <w:footnoteReference w:id="57"/>
      </w:r>
    </w:p>
    <w:p w14:paraId="0E751BEE" w14:textId="6DD33074" w:rsidR="009F55D8" w:rsidRPr="000E731D" w:rsidRDefault="002A7F8C" w:rsidP="002A7F8C">
      <w:pPr>
        <w:pStyle w:val="ManualNumPar1"/>
        <w:rPr>
          <w:noProof/>
          <w:color w:val="333333"/>
        </w:rPr>
      </w:pPr>
      <w:r w:rsidRPr="002A7F8C">
        <w:rPr>
          <w:noProof/>
        </w:rPr>
        <w:t>2.</w:t>
      </w:r>
      <w:r w:rsidRPr="002A7F8C">
        <w:rPr>
          <w:noProof/>
        </w:rPr>
        <w:tab/>
      </w:r>
      <w:r w:rsidR="009F55D8" w:rsidRPr="000E731D">
        <w:rPr>
          <w:noProof/>
        </w:rPr>
        <w:t>Where reference is made to this paragraph, Article 5 of Regulation (EU) No 182/2011 shall apply</w:t>
      </w:r>
      <w:r w:rsidR="001B169F" w:rsidRPr="000E731D">
        <w:rPr>
          <w:noProof/>
        </w:rPr>
        <w:t>.</w:t>
      </w:r>
    </w:p>
    <w:p w14:paraId="3DBD2F43" w14:textId="77777777" w:rsidR="00587167" w:rsidRPr="000E731D" w:rsidRDefault="00587167" w:rsidP="000E731D">
      <w:pPr>
        <w:shd w:val="clear" w:color="auto" w:fill="FFFFFF" w:themeFill="background1"/>
        <w:spacing w:before="360" w:line="23" w:lineRule="atLeast"/>
        <w:jc w:val="center"/>
        <w:rPr>
          <w:rFonts w:eastAsia="Times New Roman"/>
          <w:noProof/>
          <w:color w:val="333333"/>
          <w:szCs w:val="24"/>
          <w:lang w:eastAsia="en-IE"/>
        </w:rPr>
      </w:pPr>
      <w:r w:rsidRPr="000E731D">
        <w:rPr>
          <w:rFonts w:eastAsia="Times New Roman"/>
          <w:noProof/>
          <w:color w:val="333333"/>
          <w:szCs w:val="24"/>
          <w:lang w:eastAsia="en-IE"/>
        </w:rPr>
        <w:t>TITLE V</w:t>
      </w:r>
    </w:p>
    <w:p w14:paraId="1DCAE0DA" w14:textId="77777777" w:rsidR="00587167" w:rsidRPr="000E731D" w:rsidRDefault="00587167" w:rsidP="000E731D">
      <w:pPr>
        <w:pStyle w:val="ChapterTitle"/>
        <w:spacing w:after="120" w:line="23" w:lineRule="atLeast"/>
        <w:rPr>
          <w:rStyle w:val="boldface"/>
          <w:caps/>
          <w:noProof/>
          <w:sz w:val="24"/>
          <w:szCs w:val="24"/>
        </w:rPr>
      </w:pPr>
      <w:r w:rsidRPr="000E731D">
        <w:rPr>
          <w:rStyle w:val="boldface"/>
          <w:caps/>
          <w:noProof/>
          <w:sz w:val="24"/>
          <w:szCs w:val="24"/>
        </w:rPr>
        <w:t>TRANSITIONAL AND FINAL PROVISIONS</w:t>
      </w:r>
    </w:p>
    <w:p w14:paraId="0B20D7ED" w14:textId="77777777" w:rsidR="00587167" w:rsidRPr="000E731D" w:rsidRDefault="00587167" w:rsidP="000E731D">
      <w:pPr>
        <w:pStyle w:val="Titrearticle"/>
        <w:spacing w:line="23" w:lineRule="atLeast"/>
        <w:rPr>
          <w:noProof/>
          <w:szCs w:val="24"/>
        </w:rPr>
      </w:pPr>
      <w:r w:rsidRPr="000E731D">
        <w:rPr>
          <w:noProof/>
          <w:szCs w:val="24"/>
        </w:rPr>
        <w:t xml:space="preserve">Article </w:t>
      </w:r>
      <w:r w:rsidR="00441017" w:rsidRPr="000E731D">
        <w:rPr>
          <w:noProof/>
          <w:szCs w:val="24"/>
        </w:rPr>
        <w:t>48</w:t>
      </w:r>
    </w:p>
    <w:p w14:paraId="06085294" w14:textId="77777777" w:rsidR="00587167" w:rsidRPr="000E731D" w:rsidRDefault="00243F05" w:rsidP="000E731D">
      <w:pPr>
        <w:pStyle w:val="NormalCentered"/>
        <w:rPr>
          <w:b/>
          <w:bCs/>
          <w:noProof/>
          <w:lang w:eastAsia="en-IE"/>
        </w:rPr>
      </w:pPr>
      <w:r w:rsidRPr="000E731D">
        <w:rPr>
          <w:b/>
          <w:bCs/>
          <w:noProof/>
          <w:lang w:eastAsia="en-IE"/>
        </w:rPr>
        <w:t>Transitional</w:t>
      </w:r>
      <w:r w:rsidR="00587167" w:rsidRPr="000E731D">
        <w:rPr>
          <w:b/>
          <w:bCs/>
          <w:noProof/>
          <w:lang w:eastAsia="en-IE"/>
        </w:rPr>
        <w:t xml:space="preserve"> provisions</w:t>
      </w:r>
    </w:p>
    <w:p w14:paraId="0854A314" w14:textId="68ED2C8E" w:rsidR="008168DE" w:rsidRPr="000E731D" w:rsidRDefault="002A7F8C" w:rsidP="002A7F8C">
      <w:pPr>
        <w:pStyle w:val="ManualNumPar1"/>
        <w:rPr>
          <w:noProof/>
          <w:color w:val="333333"/>
        </w:rPr>
      </w:pPr>
      <w:r w:rsidRPr="002A7F8C">
        <w:rPr>
          <w:noProof/>
        </w:rPr>
        <w:t>1.</w:t>
      </w:r>
      <w:r w:rsidRPr="002A7F8C">
        <w:rPr>
          <w:noProof/>
        </w:rPr>
        <w:tab/>
      </w:r>
      <w:r w:rsidR="0090527B" w:rsidRPr="000E731D">
        <w:rPr>
          <w:noProof/>
        </w:rPr>
        <w:t>ESG rating provider</w:t>
      </w:r>
      <w:r w:rsidR="008E04C5" w:rsidRPr="000E731D">
        <w:rPr>
          <w:noProof/>
        </w:rPr>
        <w:t>s</w:t>
      </w:r>
      <w:r w:rsidR="0090527B" w:rsidRPr="000E731D">
        <w:rPr>
          <w:noProof/>
        </w:rPr>
        <w:t xml:space="preserve"> </w:t>
      </w:r>
      <w:r w:rsidR="00DD461D" w:rsidRPr="000E731D">
        <w:rPr>
          <w:noProof/>
        </w:rPr>
        <w:t xml:space="preserve">which provided their services </w:t>
      </w:r>
      <w:r w:rsidR="001F00FD" w:rsidRPr="000E731D">
        <w:rPr>
          <w:noProof/>
        </w:rPr>
        <w:t>at the date of entry into force of this Regulation</w:t>
      </w:r>
      <w:r w:rsidR="0090527B" w:rsidRPr="000E731D">
        <w:rPr>
          <w:noProof/>
        </w:rPr>
        <w:t xml:space="preserve"> shall </w:t>
      </w:r>
      <w:r w:rsidR="00F33BAF" w:rsidRPr="000E731D">
        <w:rPr>
          <w:noProof/>
        </w:rPr>
        <w:t xml:space="preserve">notify ESMA </w:t>
      </w:r>
      <w:r w:rsidR="00184747" w:rsidRPr="000E731D">
        <w:rPr>
          <w:noProof/>
        </w:rPr>
        <w:t xml:space="preserve">within 3 months if they want to continue offering their services </w:t>
      </w:r>
      <w:r w:rsidR="0098322C" w:rsidRPr="000E731D">
        <w:rPr>
          <w:noProof/>
        </w:rPr>
        <w:t xml:space="preserve">and </w:t>
      </w:r>
      <w:r w:rsidR="0090527B" w:rsidRPr="000E731D">
        <w:rPr>
          <w:noProof/>
        </w:rPr>
        <w:t>apply</w:t>
      </w:r>
      <w:r w:rsidR="00EE2F0D" w:rsidRPr="000E731D">
        <w:rPr>
          <w:noProof/>
        </w:rPr>
        <w:t xml:space="preserve"> for authorisation in accordance with Article </w:t>
      </w:r>
      <w:r w:rsidR="0071358C" w:rsidRPr="000E731D">
        <w:rPr>
          <w:noProof/>
        </w:rPr>
        <w:t>5</w:t>
      </w:r>
      <w:r w:rsidR="00C9315C" w:rsidRPr="000E731D">
        <w:rPr>
          <w:noProof/>
        </w:rPr>
        <w:t>. In that case, they shall apply for authorisation</w:t>
      </w:r>
      <w:r w:rsidR="0090527B" w:rsidRPr="000E731D">
        <w:rPr>
          <w:noProof/>
        </w:rPr>
        <w:t xml:space="preserve"> </w:t>
      </w:r>
      <w:r w:rsidR="00C04A33" w:rsidRPr="000E731D">
        <w:rPr>
          <w:noProof/>
        </w:rPr>
        <w:t xml:space="preserve">within </w:t>
      </w:r>
      <w:r w:rsidR="00B30C45" w:rsidRPr="000E731D">
        <w:rPr>
          <w:noProof/>
        </w:rPr>
        <w:t>6</w:t>
      </w:r>
      <w:r w:rsidR="00C04A33" w:rsidRPr="000E731D">
        <w:rPr>
          <w:noProof/>
        </w:rPr>
        <w:t xml:space="preserve"> months</w:t>
      </w:r>
      <w:r w:rsidR="00C04E27" w:rsidRPr="000E731D">
        <w:rPr>
          <w:noProof/>
        </w:rPr>
        <w:t xml:space="preserve"> after the date of application</w:t>
      </w:r>
      <w:r w:rsidR="00DD40A7" w:rsidRPr="000E731D">
        <w:rPr>
          <w:noProof/>
        </w:rPr>
        <w:t xml:space="preserve"> </w:t>
      </w:r>
      <w:r w:rsidR="00151102" w:rsidRPr="000E731D">
        <w:rPr>
          <w:noProof/>
        </w:rPr>
        <w:t>of this Regulation</w:t>
      </w:r>
      <w:r w:rsidR="006545EC" w:rsidRPr="000E731D">
        <w:rPr>
          <w:noProof/>
        </w:rPr>
        <w:t>.</w:t>
      </w:r>
    </w:p>
    <w:p w14:paraId="3200E94B" w14:textId="703CD611" w:rsidR="00FA73C7" w:rsidRPr="000E731D" w:rsidRDefault="002A7F8C" w:rsidP="002A7F8C">
      <w:pPr>
        <w:pStyle w:val="ManualNumPar1"/>
        <w:rPr>
          <w:noProof/>
          <w:color w:val="333333"/>
        </w:rPr>
      </w:pPr>
      <w:r w:rsidRPr="002A7F8C">
        <w:rPr>
          <w:noProof/>
        </w:rPr>
        <w:t>2.</w:t>
      </w:r>
      <w:r w:rsidRPr="002A7F8C">
        <w:rPr>
          <w:noProof/>
        </w:rPr>
        <w:tab/>
      </w:r>
      <w:r w:rsidR="00AE26F3" w:rsidRPr="000E731D">
        <w:rPr>
          <w:noProof/>
        </w:rPr>
        <w:t xml:space="preserve">By </w:t>
      </w:r>
      <w:r w:rsidR="00C9315C" w:rsidRPr="000E731D">
        <w:rPr>
          <w:noProof/>
        </w:rPr>
        <w:t xml:space="preserve">way of </w:t>
      </w:r>
      <w:r w:rsidR="00AE26F3" w:rsidRPr="000E731D">
        <w:rPr>
          <w:noProof/>
        </w:rPr>
        <w:t xml:space="preserve">derogation of the first </w:t>
      </w:r>
      <w:r w:rsidR="00CC4E51" w:rsidRPr="000E731D">
        <w:rPr>
          <w:noProof/>
        </w:rPr>
        <w:t>paragraph, ESG</w:t>
      </w:r>
      <w:r w:rsidR="00FA73C7" w:rsidRPr="000E731D">
        <w:rPr>
          <w:noProof/>
        </w:rPr>
        <w:t xml:space="preserve"> rating providers</w:t>
      </w:r>
      <w:r w:rsidR="009C7578" w:rsidRPr="000E731D">
        <w:rPr>
          <w:noProof/>
        </w:rPr>
        <w:t xml:space="preserve"> </w:t>
      </w:r>
      <w:r w:rsidR="7A395717" w:rsidRPr="000E731D">
        <w:rPr>
          <w:noProof/>
        </w:rPr>
        <w:t>categorized</w:t>
      </w:r>
      <w:r w:rsidR="7ABD85B1" w:rsidRPr="000E731D">
        <w:rPr>
          <w:noProof/>
        </w:rPr>
        <w:t xml:space="preserve"> as small and medium-sized undertaking</w:t>
      </w:r>
      <w:r w:rsidR="7A395717" w:rsidRPr="000E731D">
        <w:rPr>
          <w:noProof/>
        </w:rPr>
        <w:t xml:space="preserve"> </w:t>
      </w:r>
      <w:r w:rsidR="0068377D" w:rsidRPr="000E731D">
        <w:rPr>
          <w:noProof/>
        </w:rPr>
        <w:t xml:space="preserve">under Article 3 of the </w:t>
      </w:r>
      <w:r w:rsidR="009D6DDD" w:rsidRPr="000E731D">
        <w:rPr>
          <w:rStyle w:val="FootnoteReference"/>
          <w:rFonts w:eastAsiaTheme="minorEastAsia"/>
          <w:noProof/>
          <w:vertAlign w:val="baseline"/>
        </w:rPr>
        <w:t>Directive 2013/34/EU</w:t>
      </w:r>
      <w:r w:rsidR="00AE26F3" w:rsidRPr="000E731D">
        <w:rPr>
          <w:rFonts w:eastAsiaTheme="minorEastAsia"/>
          <w:noProof/>
        </w:rPr>
        <w:t xml:space="preserve"> shall apply </w:t>
      </w:r>
      <w:r w:rsidR="00C9315C" w:rsidRPr="000E731D">
        <w:rPr>
          <w:rFonts w:eastAsiaTheme="minorEastAsia"/>
          <w:noProof/>
        </w:rPr>
        <w:t xml:space="preserve">for authorisation </w:t>
      </w:r>
      <w:r w:rsidR="00AE26F3" w:rsidRPr="000E731D">
        <w:rPr>
          <w:rFonts w:eastAsiaTheme="minorEastAsia"/>
          <w:noProof/>
        </w:rPr>
        <w:t>withi</w:t>
      </w:r>
      <w:r w:rsidR="008168DE" w:rsidRPr="000E731D">
        <w:rPr>
          <w:rFonts w:eastAsiaTheme="minorEastAsia"/>
          <w:noProof/>
        </w:rPr>
        <w:t>n 24 months</w:t>
      </w:r>
      <w:r w:rsidR="00987A55" w:rsidRPr="000E731D">
        <w:rPr>
          <w:rFonts w:eastAsiaTheme="minorEastAsia"/>
          <w:noProof/>
        </w:rPr>
        <w:t xml:space="preserve"> </w:t>
      </w:r>
      <w:r w:rsidR="00987A55" w:rsidRPr="000E731D">
        <w:rPr>
          <w:noProof/>
        </w:rPr>
        <w:t>after the date of application of this Regulation</w:t>
      </w:r>
      <w:r w:rsidR="00FA73C7" w:rsidRPr="000E731D">
        <w:rPr>
          <w:noProof/>
        </w:rPr>
        <w:t>.</w:t>
      </w:r>
    </w:p>
    <w:p w14:paraId="6802B078" w14:textId="122D55AF" w:rsidR="00EA5EC1" w:rsidRPr="000E731D" w:rsidRDefault="002A7F8C" w:rsidP="002A7F8C">
      <w:pPr>
        <w:pStyle w:val="ManualNumPar1"/>
        <w:rPr>
          <w:noProof/>
          <w:color w:val="333333"/>
        </w:rPr>
      </w:pPr>
      <w:r w:rsidRPr="002A7F8C">
        <w:rPr>
          <w:noProof/>
        </w:rPr>
        <w:t>3.</w:t>
      </w:r>
      <w:r w:rsidRPr="002A7F8C">
        <w:rPr>
          <w:noProof/>
        </w:rPr>
        <w:tab/>
      </w:r>
      <w:r w:rsidR="0033372A" w:rsidRPr="000E731D">
        <w:rPr>
          <w:noProof/>
        </w:rPr>
        <w:t>ESG rating providers</w:t>
      </w:r>
      <w:r w:rsidR="009F6ABC" w:rsidRPr="000E731D">
        <w:rPr>
          <w:noProof/>
        </w:rPr>
        <w:t xml:space="preserve"> categorized as small and medium-sized undertaking under Article</w:t>
      </w:r>
      <w:r w:rsidR="001A3547" w:rsidRPr="000E731D">
        <w:rPr>
          <w:noProof/>
        </w:rPr>
        <w:t> </w:t>
      </w:r>
      <w:r w:rsidR="009F6ABC" w:rsidRPr="000E731D">
        <w:rPr>
          <w:noProof/>
        </w:rPr>
        <w:t xml:space="preserve">3 of </w:t>
      </w:r>
      <w:r w:rsidR="009F6ABC" w:rsidRPr="000E731D">
        <w:rPr>
          <w:rStyle w:val="FootnoteReference"/>
          <w:rFonts w:eastAsiaTheme="minorEastAsia"/>
          <w:noProof/>
          <w:vertAlign w:val="baseline"/>
        </w:rPr>
        <w:t>Directive 2013/34/EU</w:t>
      </w:r>
      <w:r w:rsidR="0033372A" w:rsidRPr="000E731D">
        <w:rPr>
          <w:noProof/>
        </w:rPr>
        <w:t xml:space="preserve"> entering</w:t>
      </w:r>
      <w:r w:rsidR="00F04B52" w:rsidRPr="000E731D">
        <w:rPr>
          <w:noProof/>
        </w:rPr>
        <w:t xml:space="preserve"> the market </w:t>
      </w:r>
      <w:r w:rsidR="00DD277D" w:rsidRPr="000E731D">
        <w:rPr>
          <w:noProof/>
        </w:rPr>
        <w:t>after [</w:t>
      </w:r>
      <w:r w:rsidR="00DD277D" w:rsidRPr="000E731D">
        <w:rPr>
          <w:i/>
          <w:iCs/>
          <w:noProof/>
        </w:rPr>
        <w:t>please insert the date of entry into application</w:t>
      </w:r>
      <w:r w:rsidR="00DD277D" w:rsidRPr="000E731D">
        <w:rPr>
          <w:noProof/>
        </w:rPr>
        <w:t>]</w:t>
      </w:r>
      <w:r w:rsidR="00E01789" w:rsidRPr="000E731D">
        <w:rPr>
          <w:noProof/>
        </w:rPr>
        <w:t xml:space="preserve"> shall notify ESMA </w:t>
      </w:r>
      <w:r w:rsidR="00A252C4" w:rsidRPr="000E731D">
        <w:rPr>
          <w:noProof/>
        </w:rPr>
        <w:t>prior to starting offering their services and shall apply for authorisation</w:t>
      </w:r>
      <w:r w:rsidR="008E7B38" w:rsidRPr="000E731D">
        <w:rPr>
          <w:noProof/>
        </w:rPr>
        <w:t xml:space="preserve"> within 12</w:t>
      </w:r>
      <w:r w:rsidR="00595BE8" w:rsidRPr="000E731D">
        <w:rPr>
          <w:noProof/>
        </w:rPr>
        <w:t xml:space="preserve"> </w:t>
      </w:r>
      <w:r w:rsidR="000D0750" w:rsidRPr="000E731D">
        <w:rPr>
          <w:noProof/>
        </w:rPr>
        <w:t>mon</w:t>
      </w:r>
      <w:r w:rsidR="00F16357" w:rsidRPr="000E731D">
        <w:rPr>
          <w:noProof/>
        </w:rPr>
        <w:t>ths</w:t>
      </w:r>
      <w:r w:rsidR="008E7B38" w:rsidRPr="000E731D">
        <w:rPr>
          <w:noProof/>
        </w:rPr>
        <w:t xml:space="preserve"> of that notification</w:t>
      </w:r>
      <w:r w:rsidR="00F16357" w:rsidRPr="000E731D">
        <w:rPr>
          <w:noProof/>
        </w:rPr>
        <w:t>.</w:t>
      </w:r>
    </w:p>
    <w:p w14:paraId="4A38DDB6" w14:textId="77777777" w:rsidR="00587167" w:rsidRPr="000E731D" w:rsidRDefault="00587167" w:rsidP="000E731D">
      <w:pPr>
        <w:pStyle w:val="Titrearticle"/>
        <w:spacing w:line="23" w:lineRule="atLeast"/>
        <w:rPr>
          <w:noProof/>
          <w:szCs w:val="24"/>
        </w:rPr>
      </w:pPr>
      <w:r w:rsidRPr="000E731D">
        <w:rPr>
          <w:noProof/>
          <w:szCs w:val="24"/>
        </w:rPr>
        <w:t xml:space="preserve">Article </w:t>
      </w:r>
      <w:r w:rsidR="00441017" w:rsidRPr="000E731D">
        <w:rPr>
          <w:noProof/>
          <w:szCs w:val="24"/>
        </w:rPr>
        <w:t>49</w:t>
      </w:r>
    </w:p>
    <w:p w14:paraId="029E5B19" w14:textId="77777777" w:rsidR="00587167" w:rsidRPr="000E731D" w:rsidRDefault="00587167" w:rsidP="000E731D">
      <w:pPr>
        <w:pStyle w:val="NormalCentered"/>
        <w:rPr>
          <w:b/>
          <w:bCs/>
          <w:noProof/>
          <w:lang w:eastAsia="en-IE"/>
        </w:rPr>
      </w:pPr>
      <w:r w:rsidRPr="000E731D">
        <w:rPr>
          <w:b/>
          <w:bCs/>
          <w:noProof/>
          <w:lang w:eastAsia="en-IE"/>
        </w:rPr>
        <w:t>Review</w:t>
      </w:r>
    </w:p>
    <w:p w14:paraId="1019889B" w14:textId="45596966" w:rsidR="00B51A54" w:rsidRPr="006A39BB" w:rsidRDefault="002A7F8C" w:rsidP="002A7F8C">
      <w:pPr>
        <w:pStyle w:val="ManualNumPar1"/>
        <w:rPr>
          <w:noProof/>
        </w:rPr>
      </w:pPr>
      <w:r w:rsidRPr="002A7F8C">
        <w:rPr>
          <w:noProof/>
        </w:rPr>
        <w:t>1.</w:t>
      </w:r>
      <w:r w:rsidRPr="002A7F8C">
        <w:rPr>
          <w:noProof/>
        </w:rPr>
        <w:tab/>
      </w:r>
      <w:r w:rsidR="00B51A54" w:rsidRPr="006A39BB">
        <w:rPr>
          <w:noProof/>
        </w:rPr>
        <w:t>The Commission shall evaluate the application of this Regulation by [</w:t>
      </w:r>
      <w:r w:rsidR="00B51A54" w:rsidRPr="000E731D">
        <w:rPr>
          <w:i/>
          <w:noProof/>
        </w:rPr>
        <w:t>five years after the entry into force of this Regulation</w:t>
      </w:r>
      <w:r w:rsidR="00B51A54" w:rsidRPr="006A39BB">
        <w:rPr>
          <w:noProof/>
        </w:rPr>
        <w:t>].</w:t>
      </w:r>
      <w:r w:rsidR="00931260" w:rsidRPr="006A39BB">
        <w:rPr>
          <w:noProof/>
        </w:rPr>
        <w:t xml:space="preserve"> </w:t>
      </w:r>
    </w:p>
    <w:p w14:paraId="3E9A5078" w14:textId="5BE3985F" w:rsidR="00B51A54" w:rsidRPr="006A39BB" w:rsidRDefault="002A7F8C" w:rsidP="002A7F8C">
      <w:pPr>
        <w:pStyle w:val="ManualNumPar1"/>
        <w:rPr>
          <w:noProof/>
        </w:rPr>
      </w:pPr>
      <w:r w:rsidRPr="002A7F8C">
        <w:rPr>
          <w:noProof/>
        </w:rPr>
        <w:t>2.</w:t>
      </w:r>
      <w:r w:rsidRPr="002A7F8C">
        <w:rPr>
          <w:noProof/>
        </w:rPr>
        <w:tab/>
      </w:r>
      <w:r w:rsidR="00B51A54" w:rsidRPr="006A39BB">
        <w:rPr>
          <w:noProof/>
        </w:rPr>
        <w:t xml:space="preserve">The Commission shall present a report on the main findings of the evaluation to the European Parliament and the Council. In carrying out the evaluation, the Commission shall take into account </w:t>
      </w:r>
      <w:r w:rsidR="005853E0" w:rsidRPr="006A39BB">
        <w:rPr>
          <w:noProof/>
        </w:rPr>
        <w:t xml:space="preserve">market developments and </w:t>
      </w:r>
      <w:r w:rsidR="00B51A54" w:rsidRPr="006A39BB">
        <w:rPr>
          <w:noProof/>
        </w:rPr>
        <w:t>the relevant evidence at its disposal.</w:t>
      </w:r>
    </w:p>
    <w:p w14:paraId="410DD1E0" w14:textId="0C8816E9" w:rsidR="00B51A54" w:rsidRPr="006A39BB" w:rsidRDefault="002A7F8C" w:rsidP="002A7F8C">
      <w:pPr>
        <w:pStyle w:val="ManualNumPar1"/>
        <w:rPr>
          <w:noProof/>
        </w:rPr>
      </w:pPr>
      <w:r w:rsidRPr="002A7F8C">
        <w:rPr>
          <w:noProof/>
        </w:rPr>
        <w:t>3.</w:t>
      </w:r>
      <w:r w:rsidRPr="002A7F8C">
        <w:rPr>
          <w:noProof/>
        </w:rPr>
        <w:tab/>
      </w:r>
      <w:r w:rsidR="00B51A54" w:rsidRPr="006A39BB">
        <w:rPr>
          <w:noProof/>
        </w:rPr>
        <w:t>Where the Commission finds it appropriate, the report shall be accompanied by a legislative proposal for amendment of relevant provisions of this Regulation.</w:t>
      </w:r>
    </w:p>
    <w:p w14:paraId="4A3966C0" w14:textId="77777777" w:rsidR="009F6106" w:rsidRPr="000E731D" w:rsidRDefault="009F6106" w:rsidP="000E731D">
      <w:pPr>
        <w:pStyle w:val="Titrearticle"/>
        <w:spacing w:line="23" w:lineRule="atLeast"/>
        <w:rPr>
          <w:noProof/>
          <w:szCs w:val="24"/>
        </w:rPr>
      </w:pPr>
      <w:r w:rsidRPr="000E731D">
        <w:rPr>
          <w:noProof/>
          <w:szCs w:val="24"/>
        </w:rPr>
        <w:t xml:space="preserve">Article </w:t>
      </w:r>
      <w:r w:rsidR="00B31926" w:rsidRPr="000E731D">
        <w:rPr>
          <w:noProof/>
          <w:szCs w:val="24"/>
        </w:rPr>
        <w:t>5</w:t>
      </w:r>
      <w:r w:rsidR="00441017" w:rsidRPr="000E731D">
        <w:rPr>
          <w:noProof/>
          <w:szCs w:val="24"/>
        </w:rPr>
        <w:t>0</w:t>
      </w:r>
    </w:p>
    <w:p w14:paraId="1727AE91" w14:textId="77777777" w:rsidR="00587167" w:rsidRPr="000E731D" w:rsidRDefault="00587167" w:rsidP="000E731D">
      <w:pPr>
        <w:pStyle w:val="NormalCentered"/>
        <w:rPr>
          <w:b/>
          <w:bCs/>
          <w:noProof/>
          <w:lang w:eastAsia="en-IE"/>
        </w:rPr>
      </w:pPr>
      <w:r w:rsidRPr="000E731D">
        <w:rPr>
          <w:b/>
          <w:bCs/>
          <w:noProof/>
          <w:lang w:eastAsia="en-IE"/>
        </w:rPr>
        <w:t>Entry into force</w:t>
      </w:r>
      <w:r w:rsidR="00EC435D" w:rsidRPr="000E731D">
        <w:rPr>
          <w:b/>
          <w:bCs/>
          <w:noProof/>
          <w:lang w:eastAsia="en-IE"/>
        </w:rPr>
        <w:t xml:space="preserve"> and application</w:t>
      </w:r>
    </w:p>
    <w:p w14:paraId="6860A9D8" w14:textId="77777777" w:rsidR="00587167" w:rsidRPr="006A39BB" w:rsidRDefault="00587167" w:rsidP="00EC435D">
      <w:pPr>
        <w:spacing w:line="23" w:lineRule="atLeast"/>
        <w:rPr>
          <w:noProof/>
          <w:szCs w:val="24"/>
        </w:rPr>
      </w:pPr>
      <w:r w:rsidRPr="006A39BB">
        <w:rPr>
          <w:noProof/>
          <w:szCs w:val="24"/>
        </w:rPr>
        <w:t>This Regulation shall enter into force on the</w:t>
      </w:r>
      <w:r w:rsidR="008A3748" w:rsidRPr="006A39BB">
        <w:rPr>
          <w:noProof/>
          <w:szCs w:val="24"/>
        </w:rPr>
        <w:t xml:space="preserve"> 20</w:t>
      </w:r>
      <w:r w:rsidR="008A3748" w:rsidRPr="006A39BB">
        <w:rPr>
          <w:noProof/>
          <w:szCs w:val="24"/>
          <w:vertAlign w:val="superscript"/>
        </w:rPr>
        <w:t>th</w:t>
      </w:r>
      <w:r w:rsidR="008A3748" w:rsidRPr="006A39BB">
        <w:rPr>
          <w:noProof/>
          <w:szCs w:val="24"/>
        </w:rPr>
        <w:t xml:space="preserve"> </w:t>
      </w:r>
      <w:r w:rsidRPr="006A39BB">
        <w:rPr>
          <w:noProof/>
          <w:szCs w:val="24"/>
        </w:rPr>
        <w:t xml:space="preserve">day following that of its publication in the </w:t>
      </w:r>
      <w:r w:rsidRPr="006A39BB">
        <w:rPr>
          <w:i/>
          <w:noProof/>
          <w:szCs w:val="24"/>
        </w:rPr>
        <w:t>Official Journal of the European Union</w:t>
      </w:r>
      <w:r w:rsidRPr="006A39BB">
        <w:rPr>
          <w:noProof/>
          <w:szCs w:val="24"/>
        </w:rPr>
        <w:t>.</w:t>
      </w:r>
    </w:p>
    <w:p w14:paraId="5F60B402" w14:textId="77777777" w:rsidR="009F6106" w:rsidRPr="006A39BB" w:rsidRDefault="009F6106" w:rsidP="00EC435D">
      <w:pPr>
        <w:spacing w:line="23" w:lineRule="atLeast"/>
        <w:rPr>
          <w:noProof/>
          <w:szCs w:val="24"/>
        </w:rPr>
      </w:pPr>
      <w:r w:rsidRPr="006A39BB">
        <w:rPr>
          <w:noProof/>
          <w:szCs w:val="24"/>
        </w:rPr>
        <w:t>It shall apply from</w:t>
      </w:r>
      <w:r w:rsidR="00253D66" w:rsidRPr="006A39BB">
        <w:rPr>
          <w:noProof/>
          <w:szCs w:val="24"/>
        </w:rPr>
        <w:t xml:space="preserve"> [</w:t>
      </w:r>
      <w:r w:rsidR="00253D66" w:rsidRPr="006A39BB">
        <w:rPr>
          <w:i/>
          <w:iCs/>
          <w:noProof/>
          <w:szCs w:val="24"/>
        </w:rPr>
        <w:t xml:space="preserve">6 months </w:t>
      </w:r>
      <w:r w:rsidR="007743AE" w:rsidRPr="006A39BB">
        <w:rPr>
          <w:i/>
          <w:iCs/>
          <w:noProof/>
          <w:szCs w:val="24"/>
        </w:rPr>
        <w:t>after the entry into force of this Regulation</w:t>
      </w:r>
      <w:r w:rsidR="00541599" w:rsidRPr="006A39BB">
        <w:rPr>
          <w:noProof/>
          <w:szCs w:val="24"/>
        </w:rPr>
        <w:t>].</w:t>
      </w:r>
    </w:p>
    <w:p w14:paraId="1BE6AA30" w14:textId="77777777" w:rsidR="00587167" w:rsidRPr="006A39BB" w:rsidRDefault="00587167" w:rsidP="00EC435D">
      <w:pPr>
        <w:pStyle w:val="Applicationdirecte"/>
        <w:spacing w:before="120" w:line="23" w:lineRule="atLeast"/>
        <w:rPr>
          <w:noProof/>
          <w:szCs w:val="24"/>
        </w:rPr>
      </w:pPr>
      <w:r w:rsidRPr="006A39BB">
        <w:rPr>
          <w:noProof/>
          <w:szCs w:val="24"/>
        </w:rPr>
        <w:t>This Regulation shall be binding in its entirety and directly applicable in all Member States.</w:t>
      </w:r>
    </w:p>
    <w:p w14:paraId="7B1BB7C5" w14:textId="5246A297" w:rsidR="00587167" w:rsidRPr="006A39BB" w:rsidRDefault="00783A24" w:rsidP="00783A24">
      <w:pPr>
        <w:pStyle w:val="Fait"/>
        <w:rPr>
          <w:noProof/>
        </w:rPr>
      </w:pPr>
      <w:r w:rsidRPr="00783A24">
        <w:t>Done at Brussels,</w:t>
      </w:r>
    </w:p>
    <w:p w14:paraId="7165F394" w14:textId="77777777" w:rsidR="00587167" w:rsidRPr="000E731D" w:rsidRDefault="00587167" w:rsidP="00877832">
      <w:pPr>
        <w:pStyle w:val="Institutionquisigne"/>
        <w:rPr>
          <w:noProof/>
        </w:rPr>
      </w:pPr>
      <w:r w:rsidRPr="000E731D">
        <w:rPr>
          <w:noProof/>
        </w:rPr>
        <w:t>For the European Parliament</w:t>
      </w:r>
      <w:r w:rsidRPr="000E731D">
        <w:rPr>
          <w:noProof/>
        </w:rPr>
        <w:tab/>
        <w:t>For the Council</w:t>
      </w:r>
    </w:p>
    <w:p w14:paraId="6F3E6E12" w14:textId="77777777" w:rsidR="00243F05" w:rsidRDefault="00587167" w:rsidP="006A39BB">
      <w:pPr>
        <w:pStyle w:val="Personnequisigne"/>
        <w:spacing w:before="120" w:after="120" w:line="23" w:lineRule="atLeast"/>
        <w:rPr>
          <w:noProof/>
          <w:szCs w:val="24"/>
        </w:rPr>
      </w:pPr>
      <w:r w:rsidRPr="006A39BB">
        <w:rPr>
          <w:noProof/>
          <w:szCs w:val="24"/>
        </w:rPr>
        <w:t>The President</w:t>
      </w:r>
      <w:r w:rsidRPr="006A39BB">
        <w:rPr>
          <w:noProof/>
          <w:szCs w:val="24"/>
        </w:rPr>
        <w:tab/>
        <w:t>The President</w:t>
      </w:r>
      <w:bookmarkEnd w:id="0"/>
    </w:p>
    <w:p w14:paraId="4911ABBD" w14:textId="77777777" w:rsidR="009F50E4" w:rsidRPr="009F50E4" w:rsidRDefault="009F50E4" w:rsidP="009F50E4">
      <w:pPr>
        <w:rPr>
          <w:noProof/>
        </w:rPr>
        <w:sectPr w:rsidR="009F50E4" w:rsidRPr="009F50E4" w:rsidSect="00783A24">
          <w:pgSz w:w="11907" w:h="16839"/>
          <w:pgMar w:top="1134" w:right="1417" w:bottom="1134" w:left="1417" w:header="709" w:footer="709" w:gutter="0"/>
          <w:cols w:space="708"/>
          <w:docGrid w:linePitch="360"/>
        </w:sectPr>
      </w:pPr>
    </w:p>
    <w:p w14:paraId="45F64D99" w14:textId="77777777" w:rsidR="009F50E4" w:rsidRPr="009F50E4" w:rsidRDefault="009F50E4" w:rsidP="009F50E4">
      <w:pPr>
        <w:pStyle w:val="Fichefinanciretitre"/>
        <w:rPr>
          <w:noProof/>
        </w:rPr>
      </w:pPr>
      <w:bookmarkStart w:id="3" w:name="_TocB7751C055C4744A28A002AAF436526DF"/>
      <w:r w:rsidRPr="009F50E4">
        <w:rPr>
          <w:noProof/>
        </w:rPr>
        <w:t>LEGISLATIVE FINANCIAL STATEMENT</w:t>
      </w:r>
      <w:bookmarkEnd w:id="3"/>
    </w:p>
    <w:p w14:paraId="150BBB8E" w14:textId="77777777" w:rsidR="00FA1843" w:rsidRDefault="00FA1843" w:rsidP="00FA1843">
      <w:pPr>
        <w:pStyle w:val="ManualHeading1"/>
        <w:rPr>
          <w:noProof/>
        </w:rPr>
      </w:pPr>
      <w:r>
        <w:rPr>
          <w:noProof/>
        </w:rPr>
        <w:t>1.</w:t>
      </w:r>
      <w:r>
        <w:rPr>
          <w:noProof/>
        </w:rPr>
        <w:tab/>
        <w:t>FRAMEWORK OF THE PROPOSAL/INITIATIVE</w:t>
      </w:r>
    </w:p>
    <w:p w14:paraId="7E26E94F" w14:textId="77777777" w:rsidR="00FA1843" w:rsidRDefault="00FA1843" w:rsidP="00FA1843">
      <w:pPr>
        <w:pStyle w:val="ManualHeading2"/>
        <w:rPr>
          <w:noProof/>
        </w:rPr>
      </w:pPr>
      <w:r>
        <w:rPr>
          <w:noProof/>
        </w:rPr>
        <w:t>1.1.</w:t>
      </w:r>
      <w:r>
        <w:rPr>
          <w:noProof/>
        </w:rPr>
        <w:tab/>
        <w:t>Title of the proposal/initiative</w:t>
      </w:r>
    </w:p>
    <w:p w14:paraId="35D17AC7" w14:textId="77777777" w:rsidR="00FA1843" w:rsidRDefault="00FA1843" w:rsidP="00FA1843">
      <w:pPr>
        <w:pStyle w:val="ManualHeading2"/>
        <w:rPr>
          <w:noProof/>
        </w:rPr>
      </w:pPr>
      <w:r>
        <w:rPr>
          <w:noProof/>
        </w:rPr>
        <w:t>1.2.</w:t>
      </w:r>
      <w:r>
        <w:rPr>
          <w:noProof/>
        </w:rPr>
        <w:tab/>
        <w:t>Policy area(s) concerned</w:t>
      </w:r>
    </w:p>
    <w:p w14:paraId="40600088" w14:textId="77777777" w:rsidR="00FA1843" w:rsidRDefault="00FA1843" w:rsidP="00FA1843">
      <w:pPr>
        <w:pStyle w:val="ManualHeading2"/>
        <w:rPr>
          <w:noProof/>
        </w:rPr>
      </w:pPr>
      <w:r>
        <w:rPr>
          <w:noProof/>
        </w:rPr>
        <w:t>1.3.</w:t>
      </w:r>
      <w:r>
        <w:rPr>
          <w:noProof/>
        </w:rPr>
        <w:tab/>
        <w:t>The proposal/initiative relates to:</w:t>
      </w:r>
    </w:p>
    <w:p w14:paraId="3E012BE3" w14:textId="77777777" w:rsidR="00FA1843" w:rsidRDefault="00FA1843" w:rsidP="00FA1843">
      <w:pPr>
        <w:pStyle w:val="ManualHeading2"/>
        <w:rPr>
          <w:noProof/>
        </w:rPr>
      </w:pPr>
      <w:r>
        <w:rPr>
          <w:noProof/>
        </w:rPr>
        <w:t>1.4.</w:t>
      </w:r>
      <w:r>
        <w:rPr>
          <w:noProof/>
        </w:rPr>
        <w:tab/>
        <w:t>Objective(s)</w:t>
      </w:r>
    </w:p>
    <w:p w14:paraId="4DFD6C12" w14:textId="77777777" w:rsidR="00FA1843" w:rsidRDefault="00FA1843" w:rsidP="00FA1843">
      <w:pPr>
        <w:pStyle w:val="ManualHeading3"/>
        <w:rPr>
          <w:noProof/>
        </w:rPr>
      </w:pPr>
      <w:r>
        <w:rPr>
          <w:noProof/>
        </w:rPr>
        <w:t>1.4.1.</w:t>
      </w:r>
      <w:r>
        <w:rPr>
          <w:noProof/>
        </w:rPr>
        <w:tab/>
        <w:t>General objective(s)</w:t>
      </w:r>
    </w:p>
    <w:p w14:paraId="0E27C8C2" w14:textId="77777777" w:rsidR="00FA1843" w:rsidRDefault="00FA1843" w:rsidP="00FA1843">
      <w:pPr>
        <w:pStyle w:val="ManualHeading3"/>
        <w:rPr>
          <w:noProof/>
        </w:rPr>
      </w:pPr>
      <w:r>
        <w:rPr>
          <w:noProof/>
        </w:rPr>
        <w:t>1.4.2.</w:t>
      </w:r>
      <w:r>
        <w:rPr>
          <w:noProof/>
        </w:rPr>
        <w:tab/>
        <w:t>Specific objective(s)</w:t>
      </w:r>
    </w:p>
    <w:p w14:paraId="274D6244" w14:textId="77777777" w:rsidR="00FA1843" w:rsidRDefault="00FA1843" w:rsidP="00FA1843">
      <w:pPr>
        <w:pStyle w:val="ManualHeading3"/>
        <w:rPr>
          <w:noProof/>
        </w:rPr>
      </w:pPr>
      <w:r>
        <w:rPr>
          <w:noProof/>
        </w:rPr>
        <w:t>1.4.3.</w:t>
      </w:r>
      <w:r>
        <w:rPr>
          <w:noProof/>
        </w:rPr>
        <w:tab/>
        <w:t>Expected result(s) and impact</w:t>
      </w:r>
    </w:p>
    <w:p w14:paraId="5EBF8F7C" w14:textId="77777777" w:rsidR="00FA1843" w:rsidRDefault="00FA1843" w:rsidP="00FA1843">
      <w:pPr>
        <w:pStyle w:val="ManualHeading3"/>
        <w:rPr>
          <w:noProof/>
        </w:rPr>
      </w:pPr>
      <w:r>
        <w:rPr>
          <w:noProof/>
        </w:rPr>
        <w:t>1.4.4.</w:t>
      </w:r>
      <w:r>
        <w:rPr>
          <w:noProof/>
        </w:rPr>
        <w:tab/>
        <w:t>Indicators of performance</w:t>
      </w:r>
    </w:p>
    <w:p w14:paraId="75F07E81" w14:textId="77777777" w:rsidR="00FA1843" w:rsidRDefault="00FA1843" w:rsidP="00FA1843">
      <w:pPr>
        <w:pStyle w:val="ManualHeading2"/>
        <w:rPr>
          <w:noProof/>
        </w:rPr>
      </w:pPr>
      <w:r>
        <w:rPr>
          <w:noProof/>
        </w:rPr>
        <w:t>1.5.</w:t>
      </w:r>
      <w:r>
        <w:rPr>
          <w:noProof/>
        </w:rPr>
        <w:tab/>
        <w:t>Grounds for the proposal/initiative</w:t>
      </w:r>
    </w:p>
    <w:p w14:paraId="263221BC" w14:textId="77777777" w:rsidR="00FA1843" w:rsidRDefault="00FA1843" w:rsidP="00FA1843">
      <w:pPr>
        <w:pStyle w:val="ManualHeading3"/>
        <w:rPr>
          <w:noProof/>
        </w:rPr>
      </w:pPr>
      <w:r>
        <w:rPr>
          <w:noProof/>
        </w:rPr>
        <w:t>1.5.1.</w:t>
      </w:r>
      <w:r>
        <w:rPr>
          <w:noProof/>
        </w:rPr>
        <w:tab/>
        <w:t>Requirement(s) to be met in the short or long term including a detailed timeline for roll-out of the implementation of the initiative</w:t>
      </w:r>
    </w:p>
    <w:p w14:paraId="6C450156" w14:textId="77777777" w:rsidR="00FA1843" w:rsidRDefault="00FA1843" w:rsidP="00FA1843">
      <w:pPr>
        <w:pStyle w:val="ManualHeading3"/>
        <w:rPr>
          <w:noProof/>
        </w:rPr>
      </w:pPr>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2E512A7E" w14:textId="77777777" w:rsidR="00FA1843" w:rsidRDefault="00FA1843" w:rsidP="00FA1843">
      <w:pPr>
        <w:pStyle w:val="ManualHeading3"/>
        <w:rPr>
          <w:noProof/>
        </w:rPr>
      </w:pPr>
      <w:r>
        <w:rPr>
          <w:noProof/>
        </w:rPr>
        <w:t>1.5.3.</w:t>
      </w:r>
      <w:r>
        <w:rPr>
          <w:noProof/>
        </w:rPr>
        <w:tab/>
        <w:t>Lessons learned from similar experiences in the past</w:t>
      </w:r>
    </w:p>
    <w:p w14:paraId="7AD7ED20" w14:textId="77777777" w:rsidR="00FA1843" w:rsidRDefault="00FA1843" w:rsidP="00FA1843">
      <w:pPr>
        <w:pStyle w:val="ManualHeading3"/>
        <w:rPr>
          <w:noProof/>
        </w:rPr>
      </w:pPr>
      <w:r>
        <w:rPr>
          <w:noProof/>
        </w:rPr>
        <w:t>1.5.4.</w:t>
      </w:r>
      <w:r>
        <w:rPr>
          <w:noProof/>
        </w:rPr>
        <w:tab/>
        <w:t>Compatibility with the Multiannual Financial Framework and possible synergies with other appropriate instruments</w:t>
      </w:r>
    </w:p>
    <w:p w14:paraId="48B0DE29" w14:textId="77777777" w:rsidR="00FA1843" w:rsidRDefault="00FA1843" w:rsidP="00FA1843">
      <w:pPr>
        <w:pStyle w:val="ManualHeading3"/>
        <w:rPr>
          <w:noProof/>
        </w:rPr>
      </w:pPr>
      <w:r>
        <w:rPr>
          <w:noProof/>
        </w:rPr>
        <w:t>1.5.5.</w:t>
      </w:r>
      <w:r>
        <w:rPr>
          <w:noProof/>
        </w:rPr>
        <w:tab/>
        <w:t>Assessment of the different available financing options, including scope for redeployment</w:t>
      </w:r>
    </w:p>
    <w:p w14:paraId="44479659" w14:textId="77777777" w:rsidR="00FA1843" w:rsidRDefault="00FA1843" w:rsidP="00FA1843">
      <w:pPr>
        <w:pStyle w:val="ManualHeading2"/>
        <w:rPr>
          <w:noProof/>
        </w:rPr>
      </w:pPr>
      <w:r>
        <w:rPr>
          <w:noProof/>
        </w:rPr>
        <w:t>1.6.</w:t>
      </w:r>
      <w:r>
        <w:rPr>
          <w:noProof/>
        </w:rPr>
        <w:tab/>
        <w:t>Duration and financial impact of the proposal/initiative</w:t>
      </w:r>
    </w:p>
    <w:p w14:paraId="095FAACE" w14:textId="77777777" w:rsidR="00FA1843" w:rsidRDefault="00FA1843" w:rsidP="00FA1843">
      <w:pPr>
        <w:pStyle w:val="ManualHeading2"/>
        <w:rPr>
          <w:noProof/>
        </w:rPr>
      </w:pPr>
      <w:r>
        <w:rPr>
          <w:noProof/>
        </w:rPr>
        <w:t>1.7.</w:t>
      </w:r>
      <w:r>
        <w:rPr>
          <w:noProof/>
        </w:rPr>
        <w:tab/>
        <w:t>Method(s) of budget implementation planned</w:t>
      </w:r>
    </w:p>
    <w:p w14:paraId="3628457A" w14:textId="77777777" w:rsidR="00FA1843" w:rsidRDefault="00FA1843" w:rsidP="00FA1843">
      <w:pPr>
        <w:pStyle w:val="ManualHeading1"/>
        <w:rPr>
          <w:noProof/>
        </w:rPr>
      </w:pPr>
      <w:r>
        <w:rPr>
          <w:noProof/>
        </w:rPr>
        <w:t>2.</w:t>
      </w:r>
      <w:r>
        <w:rPr>
          <w:noProof/>
        </w:rPr>
        <w:tab/>
        <w:t>MANAGEMENT MEASURES</w:t>
      </w:r>
    </w:p>
    <w:p w14:paraId="41FE2C57" w14:textId="77777777" w:rsidR="00FA1843" w:rsidRDefault="00FA1843" w:rsidP="00FA1843">
      <w:pPr>
        <w:pStyle w:val="ManualHeading2"/>
        <w:rPr>
          <w:noProof/>
        </w:rPr>
      </w:pPr>
      <w:r>
        <w:rPr>
          <w:noProof/>
        </w:rPr>
        <w:t>2.1.</w:t>
      </w:r>
      <w:r>
        <w:rPr>
          <w:noProof/>
        </w:rPr>
        <w:tab/>
        <w:t>Monitoring and reporting rules</w:t>
      </w:r>
    </w:p>
    <w:p w14:paraId="4EF7E956" w14:textId="77777777" w:rsidR="00FA1843" w:rsidRDefault="00FA1843" w:rsidP="00FA1843">
      <w:pPr>
        <w:pStyle w:val="ManualHeading2"/>
        <w:rPr>
          <w:noProof/>
        </w:rPr>
      </w:pPr>
      <w:r>
        <w:rPr>
          <w:noProof/>
        </w:rPr>
        <w:t>2.2.</w:t>
      </w:r>
      <w:r>
        <w:rPr>
          <w:noProof/>
        </w:rPr>
        <w:tab/>
        <w:t>Management and control system(s)</w:t>
      </w:r>
    </w:p>
    <w:p w14:paraId="17BF5905" w14:textId="77777777" w:rsidR="00FA1843" w:rsidRDefault="00FA1843" w:rsidP="00FA1843">
      <w:pPr>
        <w:pStyle w:val="ManualHeading3"/>
        <w:rPr>
          <w:noProof/>
        </w:rPr>
      </w:pPr>
      <w:r>
        <w:rPr>
          <w:noProof/>
        </w:rPr>
        <w:t>2.2.1.</w:t>
      </w:r>
      <w:r>
        <w:rPr>
          <w:noProof/>
        </w:rPr>
        <w:tab/>
        <w:t>Justification of the management mode(s), the funding implementation mechanism(s), the payment modalities and the control strategy proposed</w:t>
      </w:r>
    </w:p>
    <w:p w14:paraId="22C6C0F4" w14:textId="77777777" w:rsidR="00FA1843" w:rsidRDefault="00FA1843" w:rsidP="00FA1843">
      <w:pPr>
        <w:pStyle w:val="ManualHeading3"/>
        <w:rPr>
          <w:noProof/>
        </w:rPr>
      </w:pPr>
      <w:r>
        <w:rPr>
          <w:noProof/>
        </w:rPr>
        <w:t>2.2.2.</w:t>
      </w:r>
      <w:r>
        <w:rPr>
          <w:noProof/>
        </w:rPr>
        <w:tab/>
        <w:t>Information concerning the risks identified and the internal control system(s) set up to mitigate them</w:t>
      </w:r>
    </w:p>
    <w:p w14:paraId="3DE50398" w14:textId="77777777" w:rsidR="00FA1843" w:rsidRDefault="00FA1843" w:rsidP="00FA1843">
      <w:pPr>
        <w:pStyle w:val="ManualHeading3"/>
        <w:rPr>
          <w:noProof/>
        </w:rPr>
      </w:pPr>
      <w:r>
        <w:rPr>
          <w:noProof/>
        </w:rPr>
        <w:t>2.2.3.</w:t>
      </w:r>
      <w:r>
        <w:rPr>
          <w:noProof/>
        </w:rPr>
        <w:tab/>
        <w:t>Estimation and justification of the cost-effectiveness of the controls (ratio of "control costs ÷ value of the related funds managed"), and assessment of the expected levels of risk of error (at payment &amp; at closure)</w:t>
      </w:r>
    </w:p>
    <w:p w14:paraId="15C7A57A" w14:textId="77777777" w:rsidR="00FA1843" w:rsidRDefault="00FA1843" w:rsidP="00FA1843">
      <w:pPr>
        <w:pStyle w:val="ManualHeading2"/>
        <w:rPr>
          <w:noProof/>
        </w:rPr>
      </w:pPr>
      <w:r>
        <w:rPr>
          <w:noProof/>
        </w:rPr>
        <w:t>2.3.</w:t>
      </w:r>
      <w:r>
        <w:rPr>
          <w:noProof/>
        </w:rPr>
        <w:tab/>
        <w:t>Measures to prevent fraud and irregularities</w:t>
      </w:r>
    </w:p>
    <w:p w14:paraId="27240932" w14:textId="77777777" w:rsidR="00FA1843" w:rsidRDefault="00FA1843" w:rsidP="00FA1843">
      <w:pPr>
        <w:pStyle w:val="ManualHeading1"/>
        <w:rPr>
          <w:noProof/>
        </w:rPr>
      </w:pPr>
      <w:r>
        <w:rPr>
          <w:noProof/>
        </w:rPr>
        <w:t>3.</w:t>
      </w:r>
      <w:r>
        <w:rPr>
          <w:noProof/>
        </w:rPr>
        <w:tab/>
        <w:t>ESTIMATED FINANCIAL IMPACT OF THE PROPOSAL/INITIATIVE</w:t>
      </w:r>
    </w:p>
    <w:p w14:paraId="2C818EC5" w14:textId="77777777" w:rsidR="00FA1843" w:rsidRDefault="00FA1843" w:rsidP="00FA1843">
      <w:pPr>
        <w:pStyle w:val="ManualHeading2"/>
        <w:rPr>
          <w:noProof/>
        </w:rPr>
      </w:pPr>
      <w:r>
        <w:rPr>
          <w:noProof/>
        </w:rPr>
        <w:t>3.1.</w:t>
      </w:r>
      <w:r>
        <w:rPr>
          <w:noProof/>
        </w:rPr>
        <w:tab/>
        <w:t>Heading(s) of the multiannual financial framework and expenditure budget line(s) affected</w:t>
      </w:r>
    </w:p>
    <w:p w14:paraId="014ED99C" w14:textId="77777777" w:rsidR="00FA1843" w:rsidRDefault="00FA1843" w:rsidP="00FA1843">
      <w:pPr>
        <w:pStyle w:val="ManualHeading2"/>
        <w:rPr>
          <w:noProof/>
        </w:rPr>
      </w:pPr>
      <w:r>
        <w:rPr>
          <w:noProof/>
        </w:rPr>
        <w:t>3.2.</w:t>
      </w:r>
      <w:r>
        <w:rPr>
          <w:noProof/>
        </w:rPr>
        <w:tab/>
        <w:t>Estimated financial impact of the proposal on appropriations</w:t>
      </w:r>
    </w:p>
    <w:p w14:paraId="48FEF86F" w14:textId="77777777" w:rsidR="00FA1843" w:rsidRDefault="00FA1843" w:rsidP="00FA1843">
      <w:pPr>
        <w:pStyle w:val="ManualHeading3"/>
        <w:rPr>
          <w:noProof/>
        </w:rPr>
      </w:pPr>
      <w:r>
        <w:rPr>
          <w:noProof/>
        </w:rPr>
        <w:t>3.2.1.</w:t>
      </w:r>
      <w:r>
        <w:rPr>
          <w:noProof/>
        </w:rPr>
        <w:tab/>
        <w:t>Summary of estimated impact on operational appropriations</w:t>
      </w:r>
    </w:p>
    <w:p w14:paraId="788D8E18" w14:textId="77777777" w:rsidR="00FA1843" w:rsidRDefault="00FA1843" w:rsidP="00FA1843">
      <w:pPr>
        <w:pStyle w:val="ManualHeading3"/>
        <w:rPr>
          <w:noProof/>
        </w:rPr>
      </w:pPr>
      <w:r>
        <w:rPr>
          <w:noProof/>
        </w:rPr>
        <w:t>3.2.2.</w:t>
      </w:r>
      <w:r>
        <w:rPr>
          <w:noProof/>
        </w:rPr>
        <w:tab/>
        <w:t>Estimated output funded with operational appropriations</w:t>
      </w:r>
    </w:p>
    <w:p w14:paraId="699116DE" w14:textId="77777777" w:rsidR="00FA1843" w:rsidRDefault="00FA1843" w:rsidP="00FA1843">
      <w:pPr>
        <w:pStyle w:val="ManualHeading3"/>
        <w:rPr>
          <w:noProof/>
        </w:rPr>
      </w:pPr>
      <w:r>
        <w:rPr>
          <w:noProof/>
        </w:rPr>
        <w:t>3.2.3.</w:t>
      </w:r>
      <w:r>
        <w:rPr>
          <w:noProof/>
        </w:rPr>
        <w:tab/>
        <w:t>Summary of estimated impact on administrative appropriations</w:t>
      </w:r>
    </w:p>
    <w:p w14:paraId="7E272F11" w14:textId="77777777" w:rsidR="00FA1843" w:rsidRDefault="00FA1843" w:rsidP="00FA1843">
      <w:pPr>
        <w:pStyle w:val="ManualHeading3"/>
        <w:rPr>
          <w:noProof/>
        </w:rPr>
      </w:pPr>
      <w:r>
        <w:rPr>
          <w:noProof/>
        </w:rPr>
        <w:t>3.2.3.1.</w:t>
      </w:r>
      <w:r>
        <w:rPr>
          <w:noProof/>
        </w:rPr>
        <w:tab/>
        <w:t>Estimated requirements of human resources</w:t>
      </w:r>
    </w:p>
    <w:p w14:paraId="40459902" w14:textId="77777777" w:rsidR="00FA1843" w:rsidRDefault="00FA1843" w:rsidP="00FA1843">
      <w:pPr>
        <w:pStyle w:val="ManualHeading3"/>
        <w:rPr>
          <w:noProof/>
        </w:rPr>
      </w:pPr>
      <w:r>
        <w:rPr>
          <w:noProof/>
        </w:rPr>
        <w:t>3.2.4.</w:t>
      </w:r>
      <w:r>
        <w:rPr>
          <w:noProof/>
        </w:rPr>
        <w:tab/>
        <w:t>Compatibility with the current multiannual financial framework</w:t>
      </w:r>
    </w:p>
    <w:p w14:paraId="490BC90D" w14:textId="77777777" w:rsidR="00FA1843" w:rsidRDefault="00FA1843" w:rsidP="00FA1843">
      <w:pPr>
        <w:pStyle w:val="ManualHeading3"/>
        <w:rPr>
          <w:noProof/>
        </w:rPr>
      </w:pPr>
      <w:r>
        <w:rPr>
          <w:noProof/>
        </w:rPr>
        <w:t>3.2.5.</w:t>
      </w:r>
      <w:r>
        <w:rPr>
          <w:noProof/>
        </w:rPr>
        <w:tab/>
        <w:t>Third-party contributions</w:t>
      </w:r>
    </w:p>
    <w:p w14:paraId="642CE411" w14:textId="77777777" w:rsidR="00FA1843" w:rsidRDefault="00FA1843" w:rsidP="00FA1843">
      <w:pPr>
        <w:pStyle w:val="ManualHeading2"/>
        <w:rPr>
          <w:noProof/>
        </w:rPr>
      </w:pPr>
      <w:r>
        <w:rPr>
          <w:noProof/>
        </w:rPr>
        <w:t>3.3.</w:t>
      </w:r>
      <w:r>
        <w:rPr>
          <w:noProof/>
        </w:rPr>
        <w:tab/>
        <w:t>Estimated impact on revenue</w:t>
      </w:r>
    </w:p>
    <w:p w14:paraId="2936530B" w14:textId="77777777" w:rsidR="00FA1843" w:rsidRDefault="00FA1843" w:rsidP="00FA1843">
      <w:pPr>
        <w:rPr>
          <w:noProof/>
        </w:rPr>
        <w:sectPr w:rsidR="00FA1843" w:rsidSect="00783A24">
          <w:pgSz w:w="11907" w:h="16840" w:code="9"/>
          <w:pgMar w:top="1134" w:right="1418" w:bottom="1134" w:left="1418" w:header="709" w:footer="709" w:gutter="0"/>
          <w:cols w:space="720"/>
          <w:docGrid w:linePitch="360"/>
        </w:sectPr>
      </w:pPr>
    </w:p>
    <w:p w14:paraId="241C91EF" w14:textId="4844A559" w:rsidR="00FA1843" w:rsidRPr="004B2A0E" w:rsidRDefault="002A7F8C" w:rsidP="002A7F8C">
      <w:pPr>
        <w:pStyle w:val="ManualHeading1"/>
        <w:rPr>
          <w:bCs/>
          <w:noProof/>
          <w:szCs w:val="24"/>
        </w:rPr>
      </w:pPr>
      <w:bookmarkStart w:id="4" w:name="_Toc514938659"/>
      <w:bookmarkStart w:id="5" w:name="_Toc520485418"/>
      <w:r w:rsidRPr="002A7F8C">
        <w:rPr>
          <w:noProof/>
        </w:rPr>
        <w:t>1.</w:t>
      </w:r>
      <w:r w:rsidRPr="002A7F8C">
        <w:rPr>
          <w:noProof/>
        </w:rPr>
        <w:tab/>
      </w:r>
      <w:r w:rsidR="00FA1843" w:rsidRPr="004B2A0E">
        <w:rPr>
          <w:noProof/>
        </w:rPr>
        <w:t>FRAMEWORK OF THE PROPOSAL/INITIATIVE</w:t>
      </w:r>
      <w:bookmarkEnd w:id="4"/>
      <w:bookmarkEnd w:id="5"/>
      <w:r w:rsidR="00FA1843" w:rsidRPr="004B2A0E">
        <w:rPr>
          <w:noProof/>
        </w:rPr>
        <w:t xml:space="preserve"> </w:t>
      </w:r>
    </w:p>
    <w:p w14:paraId="7717357E" w14:textId="1BC0A347" w:rsidR="00FA1843" w:rsidRPr="004B2A0E" w:rsidRDefault="002A7F8C" w:rsidP="002A7F8C">
      <w:pPr>
        <w:pStyle w:val="ManualHeading2"/>
        <w:rPr>
          <w:bCs/>
          <w:noProof/>
          <w:szCs w:val="24"/>
        </w:rPr>
      </w:pPr>
      <w:bookmarkStart w:id="6" w:name="_Toc514938660"/>
      <w:bookmarkStart w:id="7" w:name="_Toc520485419"/>
      <w:r w:rsidRPr="002A7F8C">
        <w:rPr>
          <w:noProof/>
        </w:rPr>
        <w:t>1.1.</w:t>
      </w:r>
      <w:r w:rsidRPr="002A7F8C">
        <w:rPr>
          <w:noProof/>
        </w:rPr>
        <w:tab/>
      </w:r>
      <w:r w:rsidR="00FA1843" w:rsidRPr="004B2A0E">
        <w:rPr>
          <w:noProof/>
        </w:rPr>
        <w:t>Title of the proposal/initiative</w:t>
      </w:r>
      <w:bookmarkEnd w:id="6"/>
      <w:bookmarkEnd w:id="7"/>
    </w:p>
    <w:p w14:paraId="506C2167"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w:t>
      </w:r>
      <w:r w:rsidRPr="00E331F0">
        <w:rPr>
          <w:noProof/>
          <w:sz w:val="22"/>
        </w:rPr>
        <w:t>Regulation [of the European Parliament and of the Council] on transparency and operations of Environmental, Social and Governance (ESG) Rating providers</w:t>
      </w:r>
      <w:r>
        <w:rPr>
          <w:noProof/>
          <w:sz w:val="22"/>
        </w:rPr>
        <w:t>.</w:t>
      </w:r>
    </w:p>
    <w:p w14:paraId="5F4A455B" w14:textId="2FD50F81" w:rsidR="00FA1843" w:rsidRPr="004B2A0E" w:rsidRDefault="002A7F8C" w:rsidP="002A7F8C">
      <w:pPr>
        <w:pStyle w:val="ManualHeading2"/>
        <w:rPr>
          <w:bCs/>
          <w:noProof/>
          <w:szCs w:val="24"/>
        </w:rPr>
      </w:pPr>
      <w:bookmarkStart w:id="8" w:name="_Toc514938661"/>
      <w:bookmarkStart w:id="9" w:name="_Toc520485420"/>
      <w:r w:rsidRPr="002A7F8C">
        <w:rPr>
          <w:noProof/>
        </w:rPr>
        <w:t>1.2.</w:t>
      </w:r>
      <w:r w:rsidRPr="002A7F8C">
        <w:rPr>
          <w:noProof/>
        </w:rPr>
        <w:tab/>
      </w:r>
      <w:r w:rsidR="00FA1843" w:rsidRPr="004B2A0E">
        <w:rPr>
          <w:noProof/>
        </w:rPr>
        <w:t>Policy area(s) concerned</w:t>
      </w:r>
      <w:bookmarkEnd w:id="8"/>
      <w:bookmarkEnd w:id="9"/>
    </w:p>
    <w:p w14:paraId="3F53A533"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color w:val="000000"/>
          <w:shd w:val="clear" w:color="auto" w:fill="FFFFFF"/>
        </w:rPr>
        <w:t>Policy area: Financial stability, financial services and capital markets union</w:t>
      </w:r>
    </w:p>
    <w:p w14:paraId="06F57A03"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p>
    <w:p w14:paraId="12566876" w14:textId="5DA5770D" w:rsidR="00FA1843" w:rsidRPr="004B2A0E" w:rsidRDefault="002A7F8C" w:rsidP="002A7F8C">
      <w:pPr>
        <w:pStyle w:val="ManualHeading2"/>
        <w:rPr>
          <w:bCs/>
          <w:noProof/>
          <w:szCs w:val="24"/>
        </w:rPr>
      </w:pPr>
      <w:bookmarkStart w:id="10" w:name="_Toc514938662"/>
      <w:bookmarkStart w:id="11" w:name="_Toc520485421"/>
      <w:r w:rsidRPr="002A7F8C">
        <w:rPr>
          <w:noProof/>
        </w:rPr>
        <w:t>1.3.</w:t>
      </w:r>
      <w:r w:rsidRPr="002A7F8C">
        <w:rPr>
          <w:noProof/>
        </w:rPr>
        <w:tab/>
      </w:r>
      <w:r w:rsidR="00FA1843" w:rsidRPr="004B2A0E">
        <w:rPr>
          <w:noProof/>
        </w:rPr>
        <w:t>The proposal relates to</w:t>
      </w:r>
      <w:bookmarkEnd w:id="10"/>
      <w:bookmarkEnd w:id="11"/>
      <w:r w:rsidR="00FA1843" w:rsidRPr="004B2A0E">
        <w:rPr>
          <w:noProof/>
        </w:rPr>
        <w:t xml:space="preserve"> </w:t>
      </w:r>
    </w:p>
    <w:p w14:paraId="17F22028" w14:textId="77777777" w:rsidR="00FA1843" w:rsidRPr="004B2A0E" w:rsidRDefault="00FA1843" w:rsidP="00FA1843">
      <w:pPr>
        <w:pStyle w:val="Text1"/>
        <w:rPr>
          <w:b/>
          <w:noProof/>
        </w:rPr>
      </w:pPr>
      <w:r w:rsidRPr="004B2A0E">
        <w:rPr>
          <w:noProof/>
        </w:rPr>
        <w:sym w:font="Wingdings" w:char="F0FE"/>
      </w:r>
      <w:r w:rsidRPr="004B2A0E">
        <w:rPr>
          <w:b/>
          <w:i/>
          <w:noProof/>
        </w:rPr>
        <w:t xml:space="preserve"> </w:t>
      </w:r>
      <w:r w:rsidRPr="004B2A0E">
        <w:rPr>
          <w:b/>
          <w:noProof/>
        </w:rPr>
        <w:t xml:space="preserve">a new action </w:t>
      </w:r>
    </w:p>
    <w:p w14:paraId="3EC8553B" w14:textId="77777777" w:rsidR="00FA1843" w:rsidRPr="004B2A0E" w:rsidRDefault="00FA1843" w:rsidP="00FA1843">
      <w:pPr>
        <w:pStyle w:val="Text1"/>
        <w:rPr>
          <w:noProof/>
          <w:sz w:val="22"/>
        </w:rPr>
      </w:pPr>
      <w:r w:rsidRPr="004B2A0E">
        <w:rPr>
          <w:noProof/>
        </w:rPr>
        <w:sym w:font="Wingdings" w:char="F0A8"/>
      </w:r>
      <w:r w:rsidRPr="004B2A0E">
        <w:rPr>
          <w:i/>
          <w:noProof/>
        </w:rPr>
        <w:t xml:space="preserve"> </w:t>
      </w:r>
      <w:r w:rsidRPr="004B2A0E">
        <w:rPr>
          <w:b/>
          <w:noProof/>
        </w:rPr>
        <w:t>a new action following a pilot project/preparatory action</w:t>
      </w:r>
      <w:r w:rsidRPr="004B2A0E">
        <w:rPr>
          <w:rStyle w:val="FootnoteReference"/>
          <w:b/>
          <w:noProof/>
        </w:rPr>
        <w:footnoteReference w:id="58"/>
      </w:r>
      <w:r w:rsidRPr="004B2A0E">
        <w:rPr>
          <w:noProof/>
          <w:sz w:val="22"/>
        </w:rPr>
        <w:t xml:space="preserve"> </w:t>
      </w:r>
    </w:p>
    <w:p w14:paraId="267A82D7" w14:textId="77777777" w:rsidR="00FA1843" w:rsidRPr="004B2A0E" w:rsidRDefault="00FA1843" w:rsidP="00FA1843">
      <w:pPr>
        <w:pStyle w:val="Text1"/>
        <w:rPr>
          <w:noProof/>
        </w:rPr>
      </w:pPr>
      <w:r w:rsidRPr="004B2A0E">
        <w:rPr>
          <w:noProof/>
        </w:rPr>
        <w:sym w:font="Wingdings" w:char="F0A8"/>
      </w:r>
      <w:r w:rsidRPr="004B2A0E">
        <w:rPr>
          <w:i/>
          <w:noProof/>
        </w:rPr>
        <w:t xml:space="preserve"> </w:t>
      </w:r>
      <w:r w:rsidRPr="004B2A0E">
        <w:rPr>
          <w:b/>
          <w:noProof/>
        </w:rPr>
        <w:t>the extension of an existing action</w:t>
      </w:r>
      <w:r w:rsidRPr="004B2A0E">
        <w:rPr>
          <w:noProof/>
        </w:rPr>
        <w:t xml:space="preserve"> </w:t>
      </w:r>
    </w:p>
    <w:p w14:paraId="44FA33BE" w14:textId="77777777" w:rsidR="00FA1843" w:rsidRPr="004B2A0E" w:rsidRDefault="00FA1843" w:rsidP="00FA1843">
      <w:pPr>
        <w:pStyle w:val="Text1"/>
        <w:rPr>
          <w:noProof/>
        </w:rPr>
      </w:pPr>
      <w:r w:rsidRPr="004B2A0E">
        <w:rPr>
          <w:noProof/>
        </w:rPr>
        <w:sym w:font="Wingdings" w:char="F0A8"/>
      </w:r>
      <w:r w:rsidRPr="004B2A0E">
        <w:rPr>
          <w:i/>
          <w:noProof/>
        </w:rPr>
        <w:t xml:space="preserve"> </w:t>
      </w:r>
      <w:r w:rsidRPr="004B2A0E">
        <w:rPr>
          <w:b/>
          <w:noProof/>
        </w:rPr>
        <w:t>a merger of one or more</w:t>
      </w:r>
      <w:r w:rsidRPr="004B2A0E">
        <w:rPr>
          <w:noProof/>
        </w:rPr>
        <w:t xml:space="preserve"> </w:t>
      </w:r>
      <w:r w:rsidRPr="004B2A0E">
        <w:rPr>
          <w:b/>
          <w:noProof/>
        </w:rPr>
        <w:t>actions towards another/a new action</w:t>
      </w:r>
      <w:r w:rsidRPr="004B2A0E">
        <w:rPr>
          <w:noProof/>
        </w:rPr>
        <w:t xml:space="preserve"> </w:t>
      </w:r>
    </w:p>
    <w:p w14:paraId="4D9FDE5C" w14:textId="32756B63" w:rsidR="00FA1843" w:rsidRPr="004B2A0E" w:rsidRDefault="002A7F8C" w:rsidP="002A7F8C">
      <w:pPr>
        <w:pStyle w:val="ManualHeading2"/>
        <w:rPr>
          <w:bCs/>
          <w:noProof/>
          <w:szCs w:val="24"/>
        </w:rPr>
      </w:pPr>
      <w:bookmarkStart w:id="12" w:name="_Toc514938663"/>
      <w:bookmarkStart w:id="13" w:name="_Toc520485422"/>
      <w:r w:rsidRPr="002A7F8C">
        <w:rPr>
          <w:noProof/>
        </w:rPr>
        <w:t>1.4.</w:t>
      </w:r>
      <w:r w:rsidRPr="002A7F8C">
        <w:rPr>
          <w:noProof/>
        </w:rPr>
        <w:tab/>
      </w:r>
      <w:r w:rsidR="00FA1843" w:rsidRPr="004B2A0E">
        <w:rPr>
          <w:noProof/>
        </w:rPr>
        <w:t>Objective(s)</w:t>
      </w:r>
      <w:bookmarkEnd w:id="12"/>
      <w:bookmarkEnd w:id="13"/>
    </w:p>
    <w:p w14:paraId="09223D33" w14:textId="6AB164D0" w:rsidR="00FA1843" w:rsidRPr="004B2A0E" w:rsidRDefault="002A7F8C" w:rsidP="002A7F8C">
      <w:pPr>
        <w:pStyle w:val="ManualHeading3"/>
        <w:rPr>
          <w:bCs/>
          <w:noProof/>
          <w:szCs w:val="24"/>
        </w:rPr>
      </w:pPr>
      <w:bookmarkStart w:id="14" w:name="_Toc514938664"/>
      <w:bookmarkStart w:id="15" w:name="_Toc520485423"/>
      <w:r w:rsidRPr="002A7F8C">
        <w:rPr>
          <w:noProof/>
        </w:rPr>
        <w:t>1.4.1.</w:t>
      </w:r>
      <w:r w:rsidRPr="002A7F8C">
        <w:rPr>
          <w:noProof/>
        </w:rPr>
        <w:tab/>
      </w:r>
      <w:r w:rsidR="00FA1843" w:rsidRPr="004B2A0E">
        <w:rPr>
          <w:noProof/>
        </w:rPr>
        <w:t>General objective(s)</w:t>
      </w:r>
      <w:bookmarkEnd w:id="14"/>
      <w:bookmarkEnd w:id="15"/>
      <w:r w:rsidR="00FA1843" w:rsidRPr="004B2A0E">
        <w:rPr>
          <w:noProof/>
        </w:rPr>
        <w:t xml:space="preserve"> </w:t>
      </w:r>
    </w:p>
    <w:p w14:paraId="019295D6"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sidRPr="001679AF">
        <w:rPr>
          <w:noProof/>
        </w:rPr>
        <w:t xml:space="preserve">The general objective of this initiative is to better exploit the potential of the European Single Market </w:t>
      </w:r>
      <w:r>
        <w:rPr>
          <w:noProof/>
        </w:rPr>
        <w:t xml:space="preserve">and </w:t>
      </w:r>
      <w:r w:rsidRPr="001679AF">
        <w:rPr>
          <w:noProof/>
        </w:rPr>
        <w:t>to contribute to the transition towards a fully sustainable and inclusive economic and financial system in accordance with the European Green Deal and UN Sustainable Development Goals.</w:t>
      </w:r>
      <w:r>
        <w:rPr>
          <w:noProof/>
        </w:rPr>
        <w:t xml:space="preserve"> This can be achieved by improving</w:t>
      </w:r>
      <w:r w:rsidRPr="001679AF">
        <w:rPr>
          <w:noProof/>
        </w:rPr>
        <w:t xml:space="preserve"> the ability of investors to </w:t>
      </w:r>
      <w:r>
        <w:rPr>
          <w:noProof/>
        </w:rPr>
        <w:t>m</w:t>
      </w:r>
      <w:r w:rsidRPr="001679AF">
        <w:rPr>
          <w:noProof/>
        </w:rPr>
        <w:t xml:space="preserve">ake informed decisions </w:t>
      </w:r>
      <w:r>
        <w:rPr>
          <w:noProof/>
        </w:rPr>
        <w:t>regarding</w:t>
      </w:r>
      <w:r w:rsidRPr="001679AF">
        <w:rPr>
          <w:noProof/>
        </w:rPr>
        <w:t xml:space="preserve"> </w:t>
      </w:r>
      <w:r>
        <w:rPr>
          <w:noProof/>
        </w:rPr>
        <w:t xml:space="preserve">the </w:t>
      </w:r>
      <w:r w:rsidRPr="001679AF">
        <w:rPr>
          <w:noProof/>
        </w:rPr>
        <w:t xml:space="preserve">sustainability </w:t>
      </w:r>
      <w:r>
        <w:rPr>
          <w:noProof/>
        </w:rPr>
        <w:t xml:space="preserve">of </w:t>
      </w:r>
      <w:r w:rsidRPr="001679AF">
        <w:rPr>
          <w:noProof/>
        </w:rPr>
        <w:t xml:space="preserve">investments as well as </w:t>
      </w:r>
      <w:r>
        <w:rPr>
          <w:noProof/>
        </w:rPr>
        <w:t>by</w:t>
      </w:r>
      <w:r w:rsidRPr="001679AF">
        <w:rPr>
          <w:noProof/>
        </w:rPr>
        <w:t xml:space="preserve"> help</w:t>
      </w:r>
      <w:r>
        <w:rPr>
          <w:noProof/>
        </w:rPr>
        <w:t>ing</w:t>
      </w:r>
      <w:r w:rsidRPr="001679AF">
        <w:rPr>
          <w:noProof/>
        </w:rPr>
        <w:t xml:space="preserve"> comp</w:t>
      </w:r>
      <w:r>
        <w:rPr>
          <w:noProof/>
        </w:rPr>
        <w:t>anies to understand their sustaina</w:t>
      </w:r>
      <w:r w:rsidRPr="001679AF">
        <w:rPr>
          <w:noProof/>
        </w:rPr>
        <w:t>bi</w:t>
      </w:r>
      <w:r>
        <w:rPr>
          <w:noProof/>
        </w:rPr>
        <w:t>li</w:t>
      </w:r>
      <w:r w:rsidRPr="001679AF">
        <w:rPr>
          <w:noProof/>
        </w:rPr>
        <w:t xml:space="preserve">ty performance. </w:t>
      </w:r>
    </w:p>
    <w:p w14:paraId="6F8AF114"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sidRPr="001679AF">
        <w:rPr>
          <w:noProof/>
        </w:rPr>
        <w:t>Since ESG ratings and underlying data are used for investment decisions and allocation of capital</w:t>
      </w:r>
      <w:r>
        <w:rPr>
          <w:noProof/>
        </w:rPr>
        <w:t>,</w:t>
      </w:r>
      <w:r w:rsidRPr="001679AF">
        <w:rPr>
          <w:noProof/>
        </w:rPr>
        <w:t xml:space="preserve"> the objective of the initiative is </w:t>
      </w:r>
      <w:r>
        <w:rPr>
          <w:noProof/>
        </w:rPr>
        <w:t xml:space="preserve">– by regulating ESG rating providers - </w:t>
      </w:r>
      <w:r w:rsidRPr="001679AF">
        <w:rPr>
          <w:noProof/>
        </w:rPr>
        <w:t xml:space="preserve">to </w:t>
      </w:r>
      <w:r>
        <w:rPr>
          <w:noProof/>
        </w:rPr>
        <w:t xml:space="preserve">improve the quality and transparency of </w:t>
      </w:r>
      <w:r w:rsidRPr="001679AF">
        <w:rPr>
          <w:noProof/>
        </w:rPr>
        <w:t xml:space="preserve">ESG ratings </w:t>
      </w:r>
      <w:r>
        <w:rPr>
          <w:noProof/>
        </w:rPr>
        <w:t xml:space="preserve">as to </w:t>
      </w:r>
      <w:r w:rsidRPr="001679AF">
        <w:rPr>
          <w:noProof/>
        </w:rPr>
        <w:t xml:space="preserve">enable investors and rated companies to take </w:t>
      </w:r>
      <w:r>
        <w:rPr>
          <w:noProof/>
        </w:rPr>
        <w:t xml:space="preserve">better </w:t>
      </w:r>
      <w:r w:rsidRPr="001679AF">
        <w:rPr>
          <w:noProof/>
        </w:rPr>
        <w:t xml:space="preserve">informed decisions </w:t>
      </w:r>
      <w:r>
        <w:rPr>
          <w:noProof/>
        </w:rPr>
        <w:t>with regard to</w:t>
      </w:r>
      <w:r w:rsidRPr="001679AF">
        <w:rPr>
          <w:noProof/>
        </w:rPr>
        <w:t xml:space="preserve"> </w:t>
      </w:r>
      <w:r>
        <w:rPr>
          <w:noProof/>
        </w:rPr>
        <w:t>managing ESG risks and the impacts of their investments or operations</w:t>
      </w:r>
      <w:r w:rsidRPr="001679AF">
        <w:rPr>
          <w:noProof/>
        </w:rPr>
        <w:t xml:space="preserve">. </w:t>
      </w:r>
      <w:r>
        <w:rPr>
          <w:noProof/>
        </w:rPr>
        <w:t>At the same time, it is crucial to foster trust and confidence in the operations of ESG rating providers by ensuring that the market operates properly and ESG rating providers prevent and manage conflicts of interest.</w:t>
      </w:r>
    </w:p>
    <w:p w14:paraId="404F9144" w14:textId="714E7A29" w:rsidR="00FA1843" w:rsidRPr="004B2A0E" w:rsidRDefault="002A7F8C" w:rsidP="002A7F8C">
      <w:pPr>
        <w:pStyle w:val="ManualHeading3"/>
        <w:rPr>
          <w:bCs/>
          <w:noProof/>
          <w:szCs w:val="24"/>
        </w:rPr>
      </w:pPr>
      <w:bookmarkStart w:id="16" w:name="_Toc514938665"/>
      <w:bookmarkStart w:id="17" w:name="_Toc520485424"/>
      <w:r w:rsidRPr="002A7F8C">
        <w:rPr>
          <w:noProof/>
        </w:rPr>
        <w:t>1.4.2.</w:t>
      </w:r>
      <w:r w:rsidRPr="002A7F8C">
        <w:rPr>
          <w:noProof/>
        </w:rPr>
        <w:tab/>
      </w:r>
      <w:r w:rsidR="00FA1843" w:rsidRPr="004B2A0E">
        <w:rPr>
          <w:noProof/>
        </w:rPr>
        <w:t>Specific objective(s)</w:t>
      </w:r>
      <w:bookmarkEnd w:id="16"/>
      <w:bookmarkEnd w:id="17"/>
      <w:r w:rsidR="00FA1843" w:rsidRPr="004B2A0E">
        <w:rPr>
          <w:noProof/>
        </w:rPr>
        <w:t xml:space="preserve"> </w:t>
      </w:r>
    </w:p>
    <w:p w14:paraId="4784AC9A"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 xml:space="preserve">There are two specific objectives, which relate to the two problem drivers: </w:t>
      </w:r>
    </w:p>
    <w:p w14:paraId="47DE740D" w14:textId="77777777" w:rsidR="00FA1843" w:rsidRPr="00DD0FE9" w:rsidRDefault="00FA1843" w:rsidP="00FA1843">
      <w:pPr>
        <w:pStyle w:val="Text1"/>
        <w:pBdr>
          <w:top w:val="single" w:sz="4" w:space="1" w:color="auto"/>
          <w:left w:val="single" w:sz="4" w:space="4" w:color="auto"/>
          <w:bottom w:val="single" w:sz="4" w:space="1" w:color="auto"/>
          <w:right w:val="single" w:sz="4" w:space="4" w:color="auto"/>
        </w:pBdr>
        <w:rPr>
          <w:noProof/>
        </w:rPr>
      </w:pPr>
      <w:r w:rsidRPr="00DD0FE9">
        <w:rPr>
          <w:noProof/>
        </w:rPr>
        <w:t>- Increased clarity on ESG ratings characteristics (what they mean and what objectives they pursue), the methodologies and the data sources or estimates used to obtain the ESG ratings.</w:t>
      </w:r>
    </w:p>
    <w:p w14:paraId="3C16E3F9"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sidRPr="00DD0FE9">
        <w:rPr>
          <w:noProof/>
        </w:rPr>
        <w:t>- Provide increased clarity on the operations of ESG rating providers as well as ensure the prevention and mitigation of risks of conflicts of interest at ESG rating providers’ level.</w:t>
      </w:r>
    </w:p>
    <w:p w14:paraId="5534ABB6" w14:textId="7B0B0868" w:rsidR="00FA1843" w:rsidRPr="004B2A0E" w:rsidRDefault="002A7F8C" w:rsidP="002A7F8C">
      <w:pPr>
        <w:pStyle w:val="ManualHeading3"/>
        <w:rPr>
          <w:bCs/>
          <w:noProof/>
          <w:szCs w:val="24"/>
        </w:rPr>
      </w:pPr>
      <w:bookmarkStart w:id="18" w:name="_Toc514938666"/>
      <w:bookmarkStart w:id="19" w:name="_Toc520485425"/>
      <w:r w:rsidRPr="002A7F8C">
        <w:rPr>
          <w:noProof/>
        </w:rPr>
        <w:t>1.4.3.</w:t>
      </w:r>
      <w:r w:rsidRPr="002A7F8C">
        <w:rPr>
          <w:noProof/>
        </w:rPr>
        <w:tab/>
      </w:r>
      <w:r w:rsidR="00FA1843" w:rsidRPr="004B2A0E">
        <w:rPr>
          <w:noProof/>
        </w:rPr>
        <w:t>Expected result(s) and impact</w:t>
      </w:r>
      <w:bookmarkEnd w:id="18"/>
      <w:bookmarkEnd w:id="19"/>
    </w:p>
    <w:p w14:paraId="60AC404E" w14:textId="77777777" w:rsidR="00FA1843" w:rsidRPr="004B2A0E" w:rsidRDefault="00FA1843" w:rsidP="00FA1843">
      <w:pPr>
        <w:pStyle w:val="Text1"/>
        <w:rPr>
          <w:i/>
          <w:noProof/>
          <w:sz w:val="20"/>
        </w:rPr>
      </w:pPr>
      <w:r w:rsidRPr="004B2A0E">
        <w:rPr>
          <w:i/>
          <w:noProof/>
          <w:sz w:val="20"/>
        </w:rPr>
        <w:t>Specify the effects which the proposal/initiative should have on the beneficiaries/groups targeted.</w:t>
      </w:r>
    </w:p>
    <w:p w14:paraId="4B2BCC59" w14:textId="77777777" w:rsidR="00FA1843" w:rsidRPr="00DD0FE9" w:rsidRDefault="00FA1843" w:rsidP="00FA1843">
      <w:pPr>
        <w:pStyle w:val="Text1"/>
        <w:pBdr>
          <w:top w:val="single" w:sz="4" w:space="1" w:color="auto"/>
          <w:left w:val="single" w:sz="4" w:space="4" w:color="auto"/>
          <w:bottom w:val="single" w:sz="4" w:space="1" w:color="auto"/>
          <w:right w:val="single" w:sz="4" w:space="4" w:color="auto"/>
        </w:pBdr>
        <w:rPr>
          <w:noProof/>
        </w:rPr>
      </w:pPr>
      <w:bookmarkStart w:id="20" w:name="_Toc514938667"/>
      <w:bookmarkStart w:id="21" w:name="_Toc520485426"/>
      <w:r w:rsidRPr="00DD0FE9">
        <w:rPr>
          <w:noProof/>
        </w:rPr>
        <w:t>This Proposal should bring transparency and clarity to the operations of ESG rating providers. This should be beneficial for the users of those ratings but also rated companies and other interested stakeholders. It will contribute to the objectives of the EU Green Deal and sustainable finance strategy.</w:t>
      </w:r>
    </w:p>
    <w:p w14:paraId="6A4B4E44"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sidRPr="00DD0FE9">
        <w:rPr>
          <w:noProof/>
        </w:rPr>
        <w:t>The Proposal will have significant direct and indirect economic impacts on the relevant parties. First, ESG rating providers will be subject to disclosure and other operational requirements, implying costs. Then, ESG rating users and rated entities will benefit from more transparency on ESG rating characteristics and operations of ESG rating providers. Public authorities (ESMA) will also be impacted, in particular with the introduction of supervision of ESG rating providers, even if within their existing structure</w:t>
      </w:r>
    </w:p>
    <w:p w14:paraId="66068208" w14:textId="084931E0" w:rsidR="00FA1843" w:rsidRPr="004B2A0E" w:rsidRDefault="002A7F8C" w:rsidP="002A7F8C">
      <w:pPr>
        <w:pStyle w:val="ManualHeading3"/>
        <w:rPr>
          <w:bCs/>
          <w:noProof/>
          <w:szCs w:val="24"/>
        </w:rPr>
      </w:pPr>
      <w:r w:rsidRPr="002A7F8C">
        <w:rPr>
          <w:noProof/>
        </w:rPr>
        <w:t>1.4.4.</w:t>
      </w:r>
      <w:r w:rsidRPr="002A7F8C">
        <w:rPr>
          <w:noProof/>
        </w:rPr>
        <w:tab/>
      </w:r>
      <w:r w:rsidR="00FA1843" w:rsidRPr="004B2A0E">
        <w:rPr>
          <w:noProof/>
        </w:rPr>
        <w:t>Indicators of performance</w:t>
      </w:r>
      <w:bookmarkEnd w:id="20"/>
      <w:bookmarkEnd w:id="21"/>
      <w:r w:rsidR="00FA1843" w:rsidRPr="004B2A0E">
        <w:rPr>
          <w:noProof/>
        </w:rPr>
        <w:t xml:space="preserve"> </w:t>
      </w:r>
    </w:p>
    <w:p w14:paraId="22B76C5D" w14:textId="77777777" w:rsidR="00FA1843" w:rsidRPr="004B2A0E" w:rsidRDefault="00FA1843" w:rsidP="00FA1843">
      <w:pPr>
        <w:pStyle w:val="Text1"/>
        <w:rPr>
          <w:i/>
          <w:noProof/>
          <w:sz w:val="20"/>
        </w:rPr>
      </w:pPr>
      <w:r w:rsidRPr="004B2A0E">
        <w:rPr>
          <w:i/>
          <w:noProof/>
          <w:sz w:val="20"/>
        </w:rPr>
        <w:t>Specify the indicators for monitoring progress and achievements.</w:t>
      </w:r>
    </w:p>
    <w:p w14:paraId="71C4DE22" w14:textId="77777777" w:rsidR="00FA184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Pr>
          <w:noProof/>
          <w:color w:val="000000"/>
          <w:shd w:val="clear" w:color="auto" w:fill="FFFFFF"/>
        </w:rPr>
        <w:t>The following indicators of performance have been identified:</w:t>
      </w:r>
    </w:p>
    <w:p w14:paraId="288AC0F4" w14:textId="77777777" w:rsidR="00FA184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Pr>
          <w:noProof/>
          <w:color w:val="000000"/>
          <w:shd w:val="clear" w:color="auto" w:fill="FFFFFF"/>
        </w:rPr>
        <w:t>Objective No 1</w:t>
      </w:r>
    </w:p>
    <w:p w14:paraId="6E191B31" w14:textId="77777777" w:rsidR="00FA1843" w:rsidRPr="00DB3E9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DB3E93">
        <w:rPr>
          <w:noProof/>
          <w:color w:val="000000"/>
          <w:shd w:val="clear" w:color="auto" w:fill="FFFFFF"/>
        </w:rPr>
        <w:t>-</w:t>
      </w:r>
      <w:r w:rsidRPr="00DB3E93">
        <w:rPr>
          <w:noProof/>
          <w:color w:val="000000"/>
          <w:shd w:val="clear" w:color="auto" w:fill="FFFFFF"/>
        </w:rPr>
        <w:tab/>
        <w:t>the number of ESG ratings made available;</w:t>
      </w:r>
    </w:p>
    <w:p w14:paraId="54351CBD" w14:textId="77777777" w:rsidR="00FA1843" w:rsidRPr="00DB3E9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DB3E93">
        <w:rPr>
          <w:noProof/>
          <w:color w:val="000000"/>
          <w:shd w:val="clear" w:color="auto" w:fill="FFFFFF"/>
        </w:rPr>
        <w:t>-</w:t>
      </w:r>
      <w:r w:rsidRPr="00DB3E93">
        <w:rPr>
          <w:noProof/>
          <w:color w:val="000000"/>
          <w:shd w:val="clear" w:color="auto" w:fill="FFFFFF"/>
        </w:rPr>
        <w:tab/>
        <w:t>the number of ESG ratings having financial risks and/or impact objectives;</w:t>
      </w:r>
    </w:p>
    <w:p w14:paraId="149C54E8" w14:textId="77777777" w:rsidR="00FA1843" w:rsidRPr="00DB3E9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DB3E93">
        <w:rPr>
          <w:noProof/>
          <w:color w:val="000000"/>
          <w:shd w:val="clear" w:color="auto" w:fill="FFFFFF"/>
        </w:rPr>
        <w:t>-</w:t>
      </w:r>
      <w:r w:rsidRPr="00DB3E93">
        <w:rPr>
          <w:noProof/>
          <w:color w:val="000000"/>
          <w:shd w:val="clear" w:color="auto" w:fill="FFFFFF"/>
        </w:rPr>
        <w:tab/>
        <w:t>information made available to the public, online, by ESG rating providers, in particular development of eventual booklets/information papers;</w:t>
      </w:r>
    </w:p>
    <w:p w14:paraId="4C71FE61" w14:textId="77777777" w:rsidR="00FA1843" w:rsidRPr="00DB3E9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DB3E93">
        <w:rPr>
          <w:noProof/>
          <w:color w:val="000000"/>
          <w:shd w:val="clear" w:color="auto" w:fill="FFFFFF"/>
        </w:rPr>
        <w:t>-</w:t>
      </w:r>
      <w:r w:rsidRPr="00DB3E93">
        <w:rPr>
          <w:noProof/>
          <w:color w:val="000000"/>
          <w:shd w:val="clear" w:color="auto" w:fill="FFFFFF"/>
        </w:rPr>
        <w:tab/>
        <w:t>the extent to which ESG ratings/scores that measure the same constructs vary between different rating agencies, and in particular whether divergence declines over time;</w:t>
      </w:r>
    </w:p>
    <w:p w14:paraId="4C38AE9F" w14:textId="77777777" w:rsidR="00FA1843" w:rsidRDefault="00FA1843" w:rsidP="00FA1843">
      <w:pPr>
        <w:pStyle w:val="Text1"/>
        <w:pBdr>
          <w:top w:val="single" w:sz="4" w:space="1" w:color="auto"/>
          <w:left w:val="single" w:sz="4" w:space="1" w:color="auto"/>
          <w:bottom w:val="single" w:sz="4" w:space="1" w:color="auto"/>
          <w:right w:val="single" w:sz="4" w:space="1" w:color="auto"/>
        </w:pBdr>
        <w:rPr>
          <w:noProof/>
        </w:rPr>
      </w:pPr>
      <w:r w:rsidRPr="00DB3E93">
        <w:rPr>
          <w:noProof/>
          <w:color w:val="000000"/>
          <w:shd w:val="clear" w:color="auto" w:fill="FFFFFF"/>
        </w:rPr>
        <w:t>-</w:t>
      </w:r>
      <w:r w:rsidRPr="00DB3E93">
        <w:rPr>
          <w:noProof/>
          <w:color w:val="000000"/>
          <w:shd w:val="clear" w:color="auto" w:fill="FFFFFF"/>
        </w:rPr>
        <w:tab/>
        <w:t>whether correlation of ESG ratings with similar objectives has increased</w:t>
      </w:r>
      <w:r>
        <w:rPr>
          <w:noProof/>
          <w:color w:val="000000"/>
          <w:shd w:val="clear" w:color="auto" w:fill="FFFFFF"/>
        </w:rPr>
        <w:t>.</w:t>
      </w:r>
    </w:p>
    <w:p w14:paraId="358FEC5E" w14:textId="77777777" w:rsidR="00FA184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Pr>
          <w:noProof/>
          <w:color w:val="000000"/>
          <w:shd w:val="clear" w:color="auto" w:fill="FFFFFF"/>
        </w:rPr>
        <w:t>Objective No 2</w:t>
      </w:r>
    </w:p>
    <w:p w14:paraId="6D6BAD7C" w14:textId="77777777" w:rsidR="00FA1843" w:rsidRPr="00DB3E9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DB3E93">
        <w:rPr>
          <w:noProof/>
          <w:color w:val="000000"/>
          <w:shd w:val="clear" w:color="auto" w:fill="FFFFFF"/>
        </w:rPr>
        <w:t>-</w:t>
      </w:r>
      <w:r w:rsidRPr="00DB3E93">
        <w:rPr>
          <w:noProof/>
          <w:color w:val="000000"/>
          <w:shd w:val="clear" w:color="auto" w:fill="FFFFFF"/>
        </w:rPr>
        <w:tab/>
        <w:t>the growth in use of ESG ratings by users and issuers;</w:t>
      </w:r>
    </w:p>
    <w:p w14:paraId="56EB57FF" w14:textId="77777777" w:rsidR="00FA184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DB3E93">
        <w:rPr>
          <w:noProof/>
          <w:color w:val="000000"/>
          <w:shd w:val="clear" w:color="auto" w:fill="FFFFFF"/>
        </w:rPr>
        <w:t>-</w:t>
      </w:r>
      <w:r w:rsidRPr="00DB3E93">
        <w:rPr>
          <w:noProof/>
          <w:color w:val="000000"/>
          <w:shd w:val="clear" w:color="auto" w:fill="FFFFFF"/>
        </w:rPr>
        <w:tab/>
        <w:t>amount and market share of ESG investment based on ESG ratings;</w:t>
      </w:r>
    </w:p>
    <w:p w14:paraId="1D9BA57C" w14:textId="77777777" w:rsidR="00FA1843" w:rsidRPr="00EB500A" w:rsidRDefault="00FA1843" w:rsidP="00FA1843">
      <w:pPr>
        <w:pStyle w:val="Text1"/>
        <w:pBdr>
          <w:top w:val="single" w:sz="4" w:space="1" w:color="auto"/>
          <w:left w:val="single" w:sz="4" w:space="1" w:color="auto"/>
          <w:bottom w:val="single" w:sz="4" w:space="1" w:color="auto"/>
          <w:right w:val="single" w:sz="4" w:space="1" w:color="auto"/>
        </w:pBdr>
        <w:rPr>
          <w:noProof/>
        </w:rPr>
      </w:pPr>
      <w:r w:rsidRPr="00DB3E93">
        <w:rPr>
          <w:noProof/>
          <w:color w:val="000000"/>
          <w:shd w:val="clear" w:color="auto" w:fill="FFFFFF"/>
        </w:rPr>
        <w:t>-</w:t>
      </w:r>
      <w:r w:rsidRPr="00DB3E93">
        <w:rPr>
          <w:noProof/>
          <w:color w:val="000000"/>
          <w:shd w:val="clear" w:color="auto" w:fill="FFFFFF"/>
        </w:rPr>
        <w:tab/>
        <w:t>the number of scandals linked to ESG ratings</w:t>
      </w:r>
      <w:r>
        <w:rPr>
          <w:noProof/>
          <w:color w:val="000000"/>
          <w:shd w:val="clear" w:color="auto" w:fill="FFFFFF"/>
        </w:rPr>
        <w:t>.</w:t>
      </w:r>
    </w:p>
    <w:p w14:paraId="77284356" w14:textId="43FE27C9" w:rsidR="00FA1843" w:rsidRPr="004B2A0E" w:rsidRDefault="002A7F8C" w:rsidP="002A7F8C">
      <w:pPr>
        <w:pStyle w:val="ManualHeading2"/>
        <w:rPr>
          <w:bCs/>
          <w:noProof/>
          <w:szCs w:val="24"/>
        </w:rPr>
      </w:pPr>
      <w:bookmarkStart w:id="22" w:name="_Toc514938668"/>
      <w:bookmarkStart w:id="23" w:name="_Toc520485427"/>
      <w:r w:rsidRPr="002A7F8C">
        <w:rPr>
          <w:noProof/>
        </w:rPr>
        <w:t>1.5.</w:t>
      </w:r>
      <w:r w:rsidRPr="002A7F8C">
        <w:rPr>
          <w:noProof/>
        </w:rPr>
        <w:tab/>
      </w:r>
      <w:r w:rsidR="00FA1843" w:rsidRPr="004B2A0E">
        <w:rPr>
          <w:noProof/>
        </w:rPr>
        <w:t>Grounds for the proposal/initiative</w:t>
      </w:r>
      <w:bookmarkEnd w:id="22"/>
      <w:bookmarkEnd w:id="23"/>
      <w:r w:rsidR="00FA1843" w:rsidRPr="004B2A0E">
        <w:rPr>
          <w:noProof/>
        </w:rPr>
        <w:t xml:space="preserve"> </w:t>
      </w:r>
    </w:p>
    <w:p w14:paraId="5EAC2A69" w14:textId="1F6A16EC" w:rsidR="00FA1843" w:rsidRPr="004B2A0E" w:rsidRDefault="002A7F8C" w:rsidP="002A7F8C">
      <w:pPr>
        <w:pStyle w:val="ManualHeading3"/>
        <w:rPr>
          <w:noProof/>
        </w:rPr>
      </w:pPr>
      <w:bookmarkStart w:id="24" w:name="_Toc514938669"/>
      <w:bookmarkStart w:id="25" w:name="_Toc520485428"/>
      <w:r w:rsidRPr="002A7F8C">
        <w:rPr>
          <w:noProof/>
        </w:rPr>
        <w:t>1.5.1.</w:t>
      </w:r>
      <w:r w:rsidRPr="002A7F8C">
        <w:rPr>
          <w:noProof/>
        </w:rPr>
        <w:tab/>
      </w:r>
      <w:r w:rsidR="00FA1843" w:rsidRPr="004B2A0E">
        <w:rPr>
          <w:noProof/>
        </w:rPr>
        <w:t>Requirement(s) to be met in the short or long term including a detailed timeline for roll-out of the implementation of the initiative</w:t>
      </w:r>
      <w:bookmarkEnd w:id="24"/>
      <w:bookmarkEnd w:id="25"/>
    </w:p>
    <w:p w14:paraId="0DE3D4D7" w14:textId="77777777" w:rsidR="00FA1843" w:rsidRPr="0018381A"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18381A">
        <w:rPr>
          <w:noProof/>
          <w:color w:val="000000"/>
          <w:shd w:val="clear" w:color="auto" w:fill="FFFFFF"/>
        </w:rPr>
        <w:t xml:space="preserve">This proposal is an integral part of the European Commission’s renewed sustainable finance strategy adopted in July 2021. Environmental, social, and governance (ESG) ratings play an enabling role for the proper functioning of the EU sustainable finance market by providing critical sources of information for investment strategies, risk management and disclosure obligations by investors and financial institutions. They are also used by companies who seek to better understand sustainability risks and opportunities linked to their activities or those of their partners, and how they compare to their peers on these issues. </w:t>
      </w:r>
    </w:p>
    <w:p w14:paraId="7868F5A6" w14:textId="77777777" w:rsidR="00FA1843"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18381A">
        <w:rPr>
          <w:noProof/>
          <w:color w:val="000000"/>
          <w:shd w:val="clear" w:color="auto" w:fill="FFFFFF"/>
        </w:rPr>
        <w:t>This proposal aims to better exploit the potential of the European Single Market and the Capital Markets Union and to contribute to the transition towards a fully sustainable and inclusive economic and financial system in accordance with the European Green Deal and UN Sustainable Development Goals.</w:t>
      </w:r>
    </w:p>
    <w:p w14:paraId="6DA4CE53" w14:textId="77777777" w:rsidR="00FA1843" w:rsidRPr="004B2A0E" w:rsidRDefault="00FA1843" w:rsidP="00FA1843">
      <w:pPr>
        <w:pStyle w:val="Text1"/>
        <w:pBdr>
          <w:top w:val="single" w:sz="4" w:space="1" w:color="auto"/>
          <w:left w:val="single" w:sz="4" w:space="1" w:color="auto"/>
          <w:bottom w:val="single" w:sz="4" w:space="1" w:color="auto"/>
          <w:right w:val="single" w:sz="4" w:space="1" w:color="auto"/>
        </w:pBdr>
        <w:rPr>
          <w:noProof/>
        </w:rPr>
      </w:pPr>
      <w:r>
        <w:rPr>
          <w:noProof/>
        </w:rPr>
        <w:t>T</w:t>
      </w:r>
      <w:r w:rsidRPr="00BB0766">
        <w:rPr>
          <w:noProof/>
        </w:rPr>
        <w:t>he current ESG rating market suffers from deficiencies and is not functioning properly, with users’ and rated entities’ needs regarding ESG ratings not being met and confidence in ratings undermined. This problem has a number of different dimensions, mainly (i) the lack of transparency on the characteristics of ESG ratings, their methodologies and their data sources and (ii) the lack of clarity on how ESG rating providers operate. Therefore, ESG ratings do not serve their purpose and do not sufficiently enable users, investors and rated entities to take informed decisions as regards ESG-related risks, impacts and opportunities.</w:t>
      </w:r>
    </w:p>
    <w:p w14:paraId="668C2B14" w14:textId="5C220015" w:rsidR="00FA1843" w:rsidRPr="004B2A0E" w:rsidRDefault="002A7F8C" w:rsidP="002A7F8C">
      <w:pPr>
        <w:pStyle w:val="ManualHeading3"/>
        <w:rPr>
          <w:bCs/>
          <w:noProof/>
          <w:szCs w:val="24"/>
        </w:rPr>
      </w:pPr>
      <w:bookmarkStart w:id="26" w:name="_Toc514938670"/>
      <w:bookmarkStart w:id="27" w:name="_Toc520485429"/>
      <w:r w:rsidRPr="002A7F8C">
        <w:rPr>
          <w:noProof/>
        </w:rPr>
        <w:t>1.5.2.</w:t>
      </w:r>
      <w:r w:rsidRPr="002A7F8C">
        <w:rPr>
          <w:noProof/>
        </w:rPr>
        <w:tab/>
      </w:r>
      <w:r w:rsidR="00FA1843" w:rsidRPr="004B2A0E">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6"/>
      <w:bookmarkEnd w:id="27"/>
    </w:p>
    <w:p w14:paraId="2A5D91E2" w14:textId="77777777" w:rsidR="00FA1843" w:rsidRDefault="00FA1843" w:rsidP="00FA1843">
      <w:pPr>
        <w:pStyle w:val="Text1"/>
        <w:pBdr>
          <w:top w:val="single" w:sz="4" w:space="1" w:color="auto"/>
          <w:left w:val="single" w:sz="4" w:space="4" w:color="auto"/>
          <w:bottom w:val="single" w:sz="4" w:space="1" w:color="auto"/>
          <w:right w:val="single" w:sz="4" w:space="4" w:color="auto"/>
        </w:pBdr>
        <w:rPr>
          <w:rFonts w:cstheme="minorHAnsi"/>
          <w:noProof/>
          <w:color w:val="000000"/>
        </w:rPr>
      </w:pPr>
      <w:r w:rsidRPr="005F178A">
        <w:rPr>
          <w:rFonts w:cstheme="minorHAnsi"/>
          <w:noProof/>
          <w:color w:val="000000"/>
        </w:rPr>
        <w:t xml:space="preserve">There is currently no EU regulatory framework for ESG rating providers. </w:t>
      </w:r>
      <w:r w:rsidRPr="004F6AF1">
        <w:rPr>
          <w:rFonts w:cstheme="minorHAnsi"/>
          <w:noProof/>
          <w:color w:val="000000"/>
        </w:rPr>
        <w:t xml:space="preserve">Member States do not regulate the activities of ESG </w:t>
      </w:r>
      <w:r>
        <w:rPr>
          <w:rFonts w:cstheme="minorHAnsi"/>
          <w:noProof/>
          <w:color w:val="000000"/>
        </w:rPr>
        <w:t>rating</w:t>
      </w:r>
      <w:r w:rsidRPr="004F6AF1">
        <w:rPr>
          <w:rFonts w:cstheme="minorHAnsi"/>
          <w:noProof/>
          <w:color w:val="000000"/>
        </w:rPr>
        <w:t xml:space="preserve"> providers or the conditions under which they deliver their products</w:t>
      </w:r>
      <w:r>
        <w:rPr>
          <w:rFonts w:cstheme="minorHAnsi"/>
          <w:noProof/>
          <w:color w:val="000000"/>
        </w:rPr>
        <w:t xml:space="preserve"> or services</w:t>
      </w:r>
      <w:r w:rsidRPr="004F6AF1">
        <w:rPr>
          <w:rFonts w:cstheme="minorHAnsi"/>
          <w:noProof/>
          <w:color w:val="000000"/>
        </w:rPr>
        <w:t>.</w:t>
      </w:r>
    </w:p>
    <w:p w14:paraId="62B248FE"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sidRPr="005F178A">
        <w:rPr>
          <w:rFonts w:cstheme="minorHAnsi"/>
          <w:noProof/>
          <w:color w:val="000000"/>
        </w:rPr>
        <w:t>The objective of this initiative, to improve clarity over the characteristics of ESG ratings but also operations of ESG rating providers, cannot be sufficiently achieved by Member States acting independently</w:t>
      </w:r>
      <w:r>
        <w:rPr>
          <w:rFonts w:cstheme="minorHAnsi"/>
          <w:noProof/>
          <w:color w:val="000000"/>
        </w:rPr>
        <w:t>. A</w:t>
      </w:r>
      <w:r w:rsidRPr="005F178A">
        <w:rPr>
          <w:rFonts w:cstheme="minorHAnsi"/>
          <w:noProof/>
          <w:color w:val="000000"/>
        </w:rPr>
        <w:t>ction at EU level is necessary for the proper functioning of EU capital markets</w:t>
      </w:r>
      <w:r>
        <w:rPr>
          <w:rFonts w:cstheme="minorHAnsi"/>
          <w:noProof/>
          <w:color w:val="000000"/>
        </w:rPr>
        <w:t xml:space="preserve"> and </w:t>
      </w:r>
      <w:r w:rsidRPr="002C47B9">
        <w:rPr>
          <w:noProof/>
          <w:color w:val="000000"/>
          <w:bdr w:val="none" w:sz="0" w:space="0" w:color="auto" w:frame="1"/>
          <w:shd w:val="clear" w:color="auto" w:fill="FFFFFF"/>
        </w:rPr>
        <w:t>to contribute to the transition towards a fully sustainable and inclusive economic and financial system in accordance with the European Green Deal and UN Sustainable Development Goals.</w:t>
      </w:r>
    </w:p>
    <w:p w14:paraId="6CA71375" w14:textId="77777777" w:rsidR="00FA1843" w:rsidRPr="002C47B9"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sidRPr="005F178A">
        <w:rPr>
          <w:rFonts w:cstheme="minorHAnsi"/>
          <w:noProof/>
          <w:color w:val="000000"/>
        </w:rPr>
        <w:t>As attention to sustainable investing and ESG ratings grows in jurisdictions around the world, it is important for the EU to engage with its partners on the basis of a coherent and comprehensive European approach</w:t>
      </w:r>
      <w:r w:rsidRPr="002C47B9">
        <w:rPr>
          <w:noProof/>
          <w:color w:val="000000"/>
          <w:bdr w:val="none" w:sz="0" w:space="0" w:color="auto" w:frame="1"/>
          <w:shd w:val="clear" w:color="auto" w:fill="FFFFFF"/>
        </w:rPr>
        <w:t>.</w:t>
      </w:r>
    </w:p>
    <w:p w14:paraId="60A271E1"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sidRPr="00496C37">
        <w:rPr>
          <w:noProof/>
        </w:rPr>
        <w:t>Although Member States could individually take action to strengthen the reliability and comparability of ESG ratings, such measures are likely to be significantly different between Member States, which may create diverging levels of transparency, barriers for market participants and challenges for those operating across borders</w:t>
      </w:r>
      <w:r>
        <w:rPr>
          <w:noProof/>
        </w:rPr>
        <w:t xml:space="preserve"> (as this is particularly the case for this market, with users in a number of Member States)</w:t>
      </w:r>
      <w:r w:rsidRPr="00496C37">
        <w:rPr>
          <w:noProof/>
        </w:rPr>
        <w:t xml:space="preserve">, in addition to limiting comparability between ratings. This would </w:t>
      </w:r>
      <w:r>
        <w:rPr>
          <w:noProof/>
        </w:rPr>
        <w:t xml:space="preserve">cause issues and confusion for rated companies and rating users alike and could ultimately </w:t>
      </w:r>
      <w:r w:rsidRPr="00496C37">
        <w:rPr>
          <w:noProof/>
        </w:rPr>
        <w:t xml:space="preserve">lead to an </w:t>
      </w:r>
      <w:r>
        <w:rPr>
          <w:noProof/>
        </w:rPr>
        <w:t>uneven protection of investors in different Member States.</w:t>
      </w:r>
    </w:p>
    <w:p w14:paraId="52F7A0AD" w14:textId="38E24947" w:rsidR="00FA1843" w:rsidRPr="004B2A0E" w:rsidRDefault="002A7F8C" w:rsidP="002A7F8C">
      <w:pPr>
        <w:pStyle w:val="ManualHeading3"/>
        <w:rPr>
          <w:noProof/>
        </w:rPr>
      </w:pPr>
      <w:bookmarkStart w:id="28" w:name="_Toc514938671"/>
      <w:bookmarkStart w:id="29" w:name="_Toc520485430"/>
      <w:r w:rsidRPr="002A7F8C">
        <w:rPr>
          <w:noProof/>
        </w:rPr>
        <w:t>1.5.3.</w:t>
      </w:r>
      <w:r w:rsidRPr="002A7F8C">
        <w:rPr>
          <w:noProof/>
        </w:rPr>
        <w:tab/>
      </w:r>
      <w:r w:rsidR="00FA1843" w:rsidRPr="004B2A0E">
        <w:rPr>
          <w:noProof/>
        </w:rPr>
        <w:t>Lessons learned from similar experiences in the past</w:t>
      </w:r>
      <w:bookmarkEnd w:id="28"/>
      <w:bookmarkEnd w:id="29"/>
    </w:p>
    <w:p w14:paraId="00DBE1D2"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B</w:t>
      </w:r>
      <w:r w:rsidRPr="003043AF">
        <w:rPr>
          <w:noProof/>
        </w:rPr>
        <w:t xml:space="preserve">ased on the </w:t>
      </w:r>
      <w:r>
        <w:rPr>
          <w:noProof/>
        </w:rPr>
        <w:t>experience with the supervision of CRAs, and on the fact</w:t>
      </w:r>
      <w:r w:rsidRPr="003043AF">
        <w:rPr>
          <w:noProof/>
        </w:rPr>
        <w:t xml:space="preserve"> that </w:t>
      </w:r>
      <w:r>
        <w:rPr>
          <w:noProof/>
        </w:rPr>
        <w:t xml:space="preserve">currently </w:t>
      </w:r>
      <w:r w:rsidRPr="003043AF">
        <w:rPr>
          <w:noProof/>
        </w:rPr>
        <w:t xml:space="preserve">ESG ratings are not as systemically important as credit ratings </w:t>
      </w:r>
      <w:r>
        <w:rPr>
          <w:noProof/>
        </w:rPr>
        <w:t>they</w:t>
      </w:r>
      <w:r w:rsidRPr="003043AF">
        <w:rPr>
          <w:noProof/>
        </w:rPr>
        <w:t xml:space="preserve"> will therefore require a lower level of supervisory intensity to that which </w:t>
      </w:r>
      <w:r>
        <w:rPr>
          <w:noProof/>
        </w:rPr>
        <w:t xml:space="preserve">ESMA currently employs for CRAs. </w:t>
      </w:r>
      <w:r w:rsidRPr="003043AF">
        <w:rPr>
          <w:noProof/>
        </w:rPr>
        <w:t xml:space="preserve"> </w:t>
      </w:r>
      <w:r>
        <w:rPr>
          <w:noProof/>
        </w:rPr>
        <w:t xml:space="preserve">Therefore, compared with the supervisory costs for CRAs, the number ofFTEs has been reduced by more than 50%, on the assumption that ESG rating providers require a lower level of supervisory intensity to that which ESMA currently employs for CRAs . </w:t>
      </w:r>
    </w:p>
    <w:p w14:paraId="0E72E805"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However, the role of ESG ratings in the finanical ecosystem and their use for the regulatory purposes is likely to grow in the near future, thus the intensity of the supervisory tasks</w:t>
      </w:r>
      <w:r w:rsidRPr="009E3FE3">
        <w:rPr>
          <w:noProof/>
        </w:rPr>
        <w:t xml:space="preserve"> </w:t>
      </w:r>
      <w:r>
        <w:rPr>
          <w:noProof/>
        </w:rPr>
        <w:t>is likley to grow, too.</w:t>
      </w:r>
    </w:p>
    <w:p w14:paraId="693BBA2B"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 xml:space="preserve">As per comparison with CRAs – there are currently 29 CRAs registered or certified by ESMA, whereas there are 59 ESG rating providers operating in the EU. </w:t>
      </w:r>
    </w:p>
    <w:p w14:paraId="3361EB5C"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From existing experience of registration of CRAs, i</w:t>
      </w:r>
      <w:r w:rsidRPr="00135EA2">
        <w:rPr>
          <w:noProof/>
        </w:rPr>
        <w:t>t is currently estimated that it would take 0.5FTE six months to register one entity</w:t>
      </w:r>
      <w:r>
        <w:rPr>
          <w:noProof/>
        </w:rPr>
        <w:t>, no matter their size</w:t>
      </w:r>
      <w:r w:rsidRPr="00135EA2">
        <w:rPr>
          <w:noProof/>
        </w:rPr>
        <w:t xml:space="preserve">. </w:t>
      </w:r>
      <w:r>
        <w:rPr>
          <w:noProof/>
        </w:rPr>
        <w:t>Experience also shows that i</w:t>
      </w:r>
      <w:r w:rsidRPr="00135EA2">
        <w:rPr>
          <w:noProof/>
        </w:rPr>
        <w:t xml:space="preserve">t is unlikely that the registration of an entity could be completed faster than </w:t>
      </w:r>
      <w:r>
        <w:rPr>
          <w:noProof/>
        </w:rPr>
        <w:t xml:space="preserve">withiin </w:t>
      </w:r>
      <w:r w:rsidRPr="00135EA2">
        <w:rPr>
          <w:noProof/>
        </w:rPr>
        <w:t>6 months</w:t>
      </w:r>
      <w:r>
        <w:rPr>
          <w:noProof/>
        </w:rPr>
        <w:t>.</w:t>
      </w:r>
    </w:p>
    <w:p w14:paraId="4E8F0196"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Lessons learned from regulating new markets/new providers (like CRAs or Benchmark Administrators), indicate that main effort in first year(s) is to authorise/register existing entities, however, from the second year on, in addition to registration/authorisation, staff is needed to supervise entites authorised/registered in the previous years.</w:t>
      </w:r>
    </w:p>
    <w:p w14:paraId="5F3CB72D"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r w:rsidRPr="00325523">
        <w:rPr>
          <w:noProof/>
        </w:rPr>
        <w:t xml:space="preserve">By way of comparison, </w:t>
      </w:r>
      <w:r>
        <w:rPr>
          <w:noProof/>
        </w:rPr>
        <w:t xml:space="preserve">ESMA has </w:t>
      </w:r>
      <w:r w:rsidRPr="00325523">
        <w:rPr>
          <w:noProof/>
        </w:rPr>
        <w:t>37 TA</w:t>
      </w:r>
      <w:r>
        <w:rPr>
          <w:noProof/>
        </w:rPr>
        <w:t>s</w:t>
      </w:r>
      <w:r w:rsidRPr="00325523">
        <w:rPr>
          <w:noProof/>
        </w:rPr>
        <w:t xml:space="preserve"> and 14 CA</w:t>
      </w:r>
      <w:r>
        <w:rPr>
          <w:noProof/>
        </w:rPr>
        <w:t>s</w:t>
      </w:r>
      <w:r w:rsidRPr="00325523">
        <w:rPr>
          <w:noProof/>
        </w:rPr>
        <w:t xml:space="preserve"> (51 total) budgeted under credit rating agencies sub-activity for 2023. This includes core staff and centralised services.</w:t>
      </w:r>
      <w:r>
        <w:rPr>
          <w:noProof/>
        </w:rPr>
        <w:t xml:space="preserve">  ESMA was given the task of the direct supervision of CRAs in 2011. The lessons learned during last 12 years demostrate that the direct supervision of entities requires expeirenced staff that is employed on the permanent basis, therefotre in the case of the supervision of CRAs, the number of TA is much higher than the number of CA.  </w:t>
      </w:r>
    </w:p>
    <w:p w14:paraId="374C1177"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rPr>
      </w:pPr>
    </w:p>
    <w:p w14:paraId="7C46CD15"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p>
    <w:p w14:paraId="43368A14" w14:textId="5D30EC33" w:rsidR="00FA1843" w:rsidRPr="004B2A0E" w:rsidRDefault="002A7F8C" w:rsidP="002A7F8C">
      <w:pPr>
        <w:pStyle w:val="ManualHeading3"/>
        <w:rPr>
          <w:noProof/>
        </w:rPr>
      </w:pPr>
      <w:bookmarkStart w:id="30" w:name="_Toc514938672"/>
      <w:bookmarkStart w:id="31" w:name="_Toc520485431"/>
      <w:r w:rsidRPr="002A7F8C">
        <w:rPr>
          <w:noProof/>
        </w:rPr>
        <w:t>1.5.4.</w:t>
      </w:r>
      <w:r w:rsidRPr="002A7F8C">
        <w:rPr>
          <w:noProof/>
        </w:rPr>
        <w:tab/>
      </w:r>
      <w:r w:rsidR="00FA1843" w:rsidRPr="004B2A0E">
        <w:rPr>
          <w:noProof/>
        </w:rPr>
        <w:t>Compatibility with the Multiannual Financial Framework and possible synergies with other appropriate instruments</w:t>
      </w:r>
      <w:bookmarkEnd w:id="30"/>
      <w:bookmarkEnd w:id="31"/>
    </w:p>
    <w:p w14:paraId="1E5BE707"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Pr>
          <w:noProof/>
          <w:color w:val="000000"/>
          <w:bdr w:val="none" w:sz="0" w:space="0" w:color="auto" w:frame="1"/>
          <w:shd w:val="clear" w:color="auto" w:fill="FFFFFF"/>
        </w:rPr>
        <w:t>The Commission is committed to achieving a green transition of the EU economy, as set out in the European Green Deal communication of December 2019</w:t>
      </w:r>
      <w:r>
        <w:rPr>
          <w:rStyle w:val="footnotereference0"/>
          <w:noProof/>
          <w:color w:val="000000"/>
          <w:bdr w:val="none" w:sz="0" w:space="0" w:color="auto" w:frame="1"/>
          <w:shd w:val="clear" w:color="auto" w:fill="FFFFFF"/>
        </w:rPr>
        <w:t>  </w:t>
      </w:r>
      <w:r>
        <w:rPr>
          <w:noProof/>
          <w:color w:val="000000"/>
          <w:bdr w:val="none" w:sz="0" w:space="0" w:color="auto" w:frame="1"/>
          <w:shd w:val="clear" w:color="auto" w:fill="FFFFFF"/>
        </w:rPr>
        <w:t>and the Strategy for Financing the Transition to a Sustainable Economy.</w:t>
      </w:r>
    </w:p>
    <w:p w14:paraId="46BAAF24"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Pr>
          <w:noProof/>
          <w:color w:val="000000"/>
          <w:bdr w:val="none" w:sz="0" w:space="0" w:color="auto" w:frame="1"/>
          <w:shd w:val="clear" w:color="auto" w:fill="FFFFFF"/>
        </w:rPr>
        <w:t>The ESG ratings proposal will contribute to this agenda by improving transparency over the operations of an important type of financial market participant that will also help channel private investments in sustainable projects and activities.</w:t>
      </w:r>
    </w:p>
    <w:p w14:paraId="02DDC961"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color w:val="000000"/>
          <w:shd w:val="clear" w:color="auto" w:fill="FFFFFF"/>
        </w:rPr>
        <w:t>This legislative proposal is compatible with the Multiannual Financial Framework.</w:t>
      </w:r>
    </w:p>
    <w:p w14:paraId="118344CA" w14:textId="35B0DD92" w:rsidR="00FA1843" w:rsidRPr="004B2A0E" w:rsidRDefault="002A7F8C" w:rsidP="002A7F8C">
      <w:pPr>
        <w:pStyle w:val="ManualHeading3"/>
        <w:rPr>
          <w:noProof/>
        </w:rPr>
      </w:pPr>
      <w:bookmarkStart w:id="32" w:name="_Toc514938673"/>
      <w:bookmarkStart w:id="33" w:name="_Toc520485432"/>
      <w:r w:rsidRPr="002A7F8C">
        <w:rPr>
          <w:noProof/>
        </w:rPr>
        <w:t>1.5.5.</w:t>
      </w:r>
      <w:r w:rsidRPr="002A7F8C">
        <w:rPr>
          <w:noProof/>
        </w:rPr>
        <w:tab/>
      </w:r>
      <w:r w:rsidR="00FA1843" w:rsidRPr="004B2A0E">
        <w:rPr>
          <w:noProof/>
        </w:rPr>
        <w:t>Assessment of the different available financing options, including scope for redeployment</w:t>
      </w:r>
      <w:bookmarkEnd w:id="32"/>
      <w:bookmarkEnd w:id="33"/>
    </w:p>
    <w:p w14:paraId="73F2B5D9" w14:textId="6D2229D4" w:rsidR="00FA1843" w:rsidRPr="004B2A0E" w:rsidRDefault="00FA1843" w:rsidP="00FA1843">
      <w:pPr>
        <w:pBdr>
          <w:top w:val="single" w:sz="4" w:space="1" w:color="auto"/>
          <w:left w:val="single" w:sz="4" w:space="4" w:color="auto"/>
          <w:bottom w:val="single" w:sz="4" w:space="1" w:color="auto"/>
          <w:right w:val="single" w:sz="4" w:space="4" w:color="auto"/>
        </w:pBdr>
        <w:ind w:left="850"/>
        <w:rPr>
          <w:noProof/>
        </w:rPr>
      </w:pPr>
      <w:r>
        <w:rPr>
          <w:noProof/>
        </w:rPr>
        <w:t xml:space="preserve">ESMA would be tasked with granting authorisations and with supervising the sector on an ongoing basis, which would require further resources. The total annual cost increase is estimated at approximately EUR </w:t>
      </w:r>
      <w:r w:rsidR="008C33A3">
        <w:rPr>
          <w:noProof/>
        </w:rPr>
        <w:t>3.7-3.8</w:t>
      </w:r>
      <w:r w:rsidRPr="00296A0A">
        <w:rPr>
          <w:noProof/>
        </w:rPr>
        <w:t xml:space="preserve"> million</w:t>
      </w:r>
      <w:r w:rsidRPr="00BD72C9">
        <w:rPr>
          <w:noProof/>
        </w:rPr>
        <w:t>.</w:t>
      </w:r>
      <w:r>
        <w:rPr>
          <w:noProof/>
        </w:rPr>
        <w:t xml:space="preserve"> This cost will not be borne by EU budget, as the proposal will include a provision that ESMA is enabled to charge authorisation and supervisory fees on ESG rating providers</w:t>
      </w:r>
      <w:r>
        <w:rPr>
          <w:rStyle w:val="FootnoteReference"/>
          <w:noProof/>
        </w:rPr>
        <w:footnoteReference w:id="59"/>
      </w:r>
      <w:r>
        <w:rPr>
          <w:noProof/>
        </w:rPr>
        <w:t>, so as to cover all supervisory costs. This is similar to other areas, where ESMA is responsible for the oversight of certain entities (e.g. credit rating agencies).</w:t>
      </w:r>
    </w:p>
    <w:p w14:paraId="41374D14" w14:textId="0FA12FBB" w:rsidR="00FA1843" w:rsidRPr="004B2A0E" w:rsidRDefault="00FA1843" w:rsidP="002A7F8C">
      <w:pPr>
        <w:pStyle w:val="ManualHeading2"/>
        <w:rPr>
          <w:bCs/>
          <w:noProof/>
          <w:szCs w:val="24"/>
        </w:rPr>
      </w:pPr>
      <w:r w:rsidRPr="004B2A0E">
        <w:rPr>
          <w:noProof/>
        </w:rPr>
        <w:br w:type="page"/>
      </w:r>
      <w:bookmarkStart w:id="34" w:name="_Toc514938674"/>
      <w:bookmarkStart w:id="35" w:name="_Toc520485433"/>
      <w:r w:rsidR="002A7F8C" w:rsidRPr="002A7F8C">
        <w:rPr>
          <w:noProof/>
        </w:rPr>
        <w:t>1.6.</w:t>
      </w:r>
      <w:r w:rsidR="002A7F8C" w:rsidRPr="002A7F8C">
        <w:rPr>
          <w:noProof/>
        </w:rPr>
        <w:tab/>
      </w:r>
      <w:r w:rsidRPr="004B2A0E">
        <w:rPr>
          <w:noProof/>
        </w:rPr>
        <w:t>Duration and financial impact of the proposal/initiative</w:t>
      </w:r>
      <w:bookmarkEnd w:id="34"/>
      <w:bookmarkEnd w:id="35"/>
    </w:p>
    <w:p w14:paraId="0194CCDD" w14:textId="77777777" w:rsidR="00FA1843" w:rsidRPr="004B2A0E" w:rsidRDefault="00FA1843" w:rsidP="00FA1843">
      <w:pPr>
        <w:pStyle w:val="Text1"/>
        <w:rPr>
          <w:noProof/>
        </w:rPr>
      </w:pPr>
      <w:r w:rsidRPr="004B2A0E">
        <w:rPr>
          <w:noProof/>
        </w:rPr>
        <w:sym w:font="Wingdings" w:char="F0A8"/>
      </w:r>
      <w:r w:rsidRPr="004B2A0E">
        <w:rPr>
          <w:b/>
          <w:i/>
          <w:noProof/>
        </w:rPr>
        <w:t xml:space="preserve"> </w:t>
      </w:r>
      <w:r w:rsidRPr="004B2A0E">
        <w:rPr>
          <w:b/>
          <w:noProof/>
        </w:rPr>
        <w:t xml:space="preserve">limited duration </w:t>
      </w:r>
    </w:p>
    <w:p w14:paraId="4483F089" w14:textId="77777777" w:rsidR="00FA1843" w:rsidRPr="004B2A0E" w:rsidRDefault="00FA1843" w:rsidP="00580A58">
      <w:pPr>
        <w:pStyle w:val="ListDash2"/>
        <w:numPr>
          <w:ilvl w:val="0"/>
          <w:numId w:val="22"/>
        </w:numPr>
        <w:rPr>
          <w:noProof/>
        </w:rPr>
      </w:pPr>
      <w:r w:rsidRPr="004B2A0E">
        <w:rPr>
          <w:noProof/>
        </w:rPr>
        <w:sym w:font="Wingdings" w:char="F0A8"/>
      </w:r>
      <w:r w:rsidRPr="004B2A0E">
        <w:rPr>
          <w:noProof/>
        </w:rPr>
        <w:tab/>
        <w:t xml:space="preserve">Proposal/initiative in effect from [DD/MM]YYYY to [DD/MM]YYYY </w:t>
      </w:r>
    </w:p>
    <w:p w14:paraId="14AF7EBB" w14:textId="77777777" w:rsidR="00FA1843" w:rsidRPr="004B2A0E" w:rsidRDefault="00FA1843" w:rsidP="00580A58">
      <w:pPr>
        <w:pStyle w:val="ListDash2"/>
        <w:numPr>
          <w:ilvl w:val="0"/>
          <w:numId w:val="22"/>
        </w:numPr>
        <w:rPr>
          <w:noProof/>
        </w:rPr>
      </w:pPr>
      <w:r w:rsidRPr="004B2A0E">
        <w:rPr>
          <w:noProof/>
        </w:rPr>
        <w:sym w:font="Wingdings" w:char="F0A8"/>
      </w:r>
      <w:r w:rsidRPr="004B2A0E">
        <w:rPr>
          <w:noProof/>
        </w:rPr>
        <w:tab/>
        <w:t>Financial impact from YYYY to YYYY</w:t>
      </w:r>
    </w:p>
    <w:p w14:paraId="2B9D8B66" w14:textId="77777777" w:rsidR="00FA1843" w:rsidRPr="004B2A0E" w:rsidRDefault="00FA1843" w:rsidP="00FA1843">
      <w:pPr>
        <w:pStyle w:val="Text1"/>
        <w:rPr>
          <w:noProof/>
        </w:rPr>
      </w:pPr>
      <w:r w:rsidRPr="004B2A0E">
        <w:rPr>
          <w:noProof/>
        </w:rPr>
        <w:sym w:font="Wingdings" w:char="F0FE"/>
      </w:r>
      <w:r w:rsidRPr="004B2A0E">
        <w:rPr>
          <w:b/>
          <w:i/>
          <w:noProof/>
        </w:rPr>
        <w:t xml:space="preserve"> </w:t>
      </w:r>
      <w:r w:rsidRPr="004B2A0E">
        <w:rPr>
          <w:b/>
          <w:noProof/>
        </w:rPr>
        <w:t>unlimited duration</w:t>
      </w:r>
    </w:p>
    <w:p w14:paraId="55F99C20" w14:textId="77777777" w:rsidR="00FA1843" w:rsidRPr="002126C8" w:rsidRDefault="00FA1843" w:rsidP="00580A58">
      <w:pPr>
        <w:pStyle w:val="ListDash1"/>
        <w:numPr>
          <w:ilvl w:val="0"/>
          <w:numId w:val="21"/>
        </w:numPr>
        <w:rPr>
          <w:noProof/>
        </w:rPr>
      </w:pPr>
      <w:r w:rsidRPr="004B2A0E">
        <w:rPr>
          <w:noProof/>
        </w:rPr>
        <w:t xml:space="preserve">Implementation with a start-up period </w:t>
      </w:r>
      <w:r w:rsidRPr="002126C8">
        <w:rPr>
          <w:noProof/>
        </w:rPr>
        <w:t>from 2022 to 2024,</w:t>
      </w:r>
    </w:p>
    <w:p w14:paraId="63E749D2" w14:textId="77777777" w:rsidR="00FA1843" w:rsidRPr="004B2A0E" w:rsidRDefault="00FA1843" w:rsidP="00580A58">
      <w:pPr>
        <w:pStyle w:val="ListDash1"/>
        <w:numPr>
          <w:ilvl w:val="0"/>
          <w:numId w:val="21"/>
        </w:numPr>
        <w:rPr>
          <w:noProof/>
        </w:rPr>
      </w:pPr>
      <w:r w:rsidRPr="004B2A0E">
        <w:rPr>
          <w:noProof/>
        </w:rPr>
        <w:t>followed by full-scale operation.</w:t>
      </w:r>
    </w:p>
    <w:p w14:paraId="3B07E118" w14:textId="22FE44C6" w:rsidR="00FA1843" w:rsidRPr="004B2A0E" w:rsidRDefault="002A7F8C" w:rsidP="002A7F8C">
      <w:pPr>
        <w:pStyle w:val="ManualHeading2"/>
        <w:rPr>
          <w:bCs/>
          <w:noProof/>
          <w:szCs w:val="24"/>
        </w:rPr>
      </w:pPr>
      <w:bookmarkStart w:id="36" w:name="_Toc514938675"/>
      <w:bookmarkStart w:id="37" w:name="_Toc520485434"/>
      <w:r w:rsidRPr="002A7F8C">
        <w:rPr>
          <w:noProof/>
        </w:rPr>
        <w:t>1.7.</w:t>
      </w:r>
      <w:r w:rsidRPr="002A7F8C">
        <w:rPr>
          <w:noProof/>
        </w:rPr>
        <w:tab/>
      </w:r>
      <w:r w:rsidR="00FA1843" w:rsidRPr="004B2A0E">
        <w:rPr>
          <w:noProof/>
        </w:rPr>
        <w:t>Management mode(s) planned</w:t>
      </w:r>
      <w:r w:rsidR="00FA1843" w:rsidRPr="004B2A0E">
        <w:rPr>
          <w:rStyle w:val="FootnoteReference"/>
          <w:noProof/>
        </w:rPr>
        <w:footnoteReference w:id="60"/>
      </w:r>
      <w:bookmarkEnd w:id="36"/>
      <w:bookmarkEnd w:id="37"/>
      <w:r w:rsidR="00FA1843" w:rsidRPr="004B2A0E">
        <w:rPr>
          <w:rStyle w:val="FootnoteReference"/>
          <w:noProof/>
        </w:rPr>
        <w:t xml:space="preserve"> </w:t>
      </w:r>
    </w:p>
    <w:p w14:paraId="38532D76" w14:textId="77777777" w:rsidR="00FA1843" w:rsidRPr="004B2A0E" w:rsidRDefault="00FA1843" w:rsidP="00FA1843">
      <w:pPr>
        <w:pStyle w:val="Text1"/>
        <w:rPr>
          <w:noProof/>
        </w:rPr>
      </w:pPr>
      <w:r w:rsidRPr="004B2A0E">
        <w:rPr>
          <w:noProof/>
        </w:rPr>
        <w:sym w:font="Wingdings" w:char="F0A8"/>
      </w:r>
      <w:r w:rsidRPr="004B2A0E">
        <w:rPr>
          <w:i/>
          <w:noProof/>
        </w:rPr>
        <w:t xml:space="preserve"> </w:t>
      </w:r>
      <w:r w:rsidRPr="004B2A0E">
        <w:rPr>
          <w:b/>
          <w:noProof/>
        </w:rPr>
        <w:t>Direct management</w:t>
      </w:r>
      <w:r w:rsidRPr="004B2A0E">
        <w:rPr>
          <w:noProof/>
        </w:rPr>
        <w:t xml:space="preserve"> by the Commission through</w:t>
      </w:r>
    </w:p>
    <w:p w14:paraId="6A03D63D" w14:textId="77777777" w:rsidR="00FA1843" w:rsidRPr="004B2A0E" w:rsidRDefault="00FA1843" w:rsidP="00580A58">
      <w:pPr>
        <w:pStyle w:val="ListDash2"/>
        <w:numPr>
          <w:ilvl w:val="0"/>
          <w:numId w:val="22"/>
        </w:numPr>
        <w:rPr>
          <w:noProof/>
        </w:rPr>
      </w:pPr>
      <w:r w:rsidRPr="004B2A0E">
        <w:rPr>
          <w:noProof/>
        </w:rPr>
        <w:sym w:font="Wingdings" w:char="F0A8"/>
      </w:r>
      <w:r w:rsidRPr="004B2A0E">
        <w:rPr>
          <w:noProof/>
        </w:rPr>
        <w:tab/>
        <w:t xml:space="preserve">executive agencies </w:t>
      </w:r>
    </w:p>
    <w:p w14:paraId="303EE237" w14:textId="77777777" w:rsidR="00FA1843" w:rsidRPr="004B2A0E" w:rsidRDefault="00FA1843" w:rsidP="00FA1843">
      <w:pPr>
        <w:pStyle w:val="Text1"/>
        <w:rPr>
          <w:noProof/>
        </w:rPr>
      </w:pPr>
      <w:r w:rsidRPr="004B2A0E">
        <w:rPr>
          <w:noProof/>
        </w:rPr>
        <w:sym w:font="Wingdings" w:char="F0A8"/>
      </w:r>
      <w:r w:rsidRPr="004B2A0E">
        <w:rPr>
          <w:b/>
          <w:i/>
          <w:noProof/>
        </w:rPr>
        <w:t xml:space="preserve"> </w:t>
      </w:r>
      <w:r w:rsidRPr="004B2A0E">
        <w:rPr>
          <w:b/>
          <w:noProof/>
        </w:rPr>
        <w:t>Shared management</w:t>
      </w:r>
      <w:r w:rsidRPr="004B2A0E">
        <w:rPr>
          <w:noProof/>
        </w:rPr>
        <w:t xml:space="preserve"> with the Member States </w:t>
      </w:r>
    </w:p>
    <w:p w14:paraId="77791BB6" w14:textId="77777777" w:rsidR="00FA1843" w:rsidRPr="004B2A0E" w:rsidRDefault="00FA1843" w:rsidP="00FA1843">
      <w:pPr>
        <w:pStyle w:val="Text1"/>
        <w:rPr>
          <w:noProof/>
        </w:rPr>
      </w:pPr>
      <w:r w:rsidRPr="004B2A0E">
        <w:rPr>
          <w:noProof/>
        </w:rPr>
        <w:sym w:font="Wingdings" w:char="F0FE"/>
      </w:r>
      <w:r w:rsidRPr="004B2A0E">
        <w:rPr>
          <w:i/>
          <w:noProof/>
        </w:rPr>
        <w:t xml:space="preserve"> </w:t>
      </w:r>
      <w:r w:rsidRPr="004B2A0E">
        <w:rPr>
          <w:b/>
          <w:noProof/>
        </w:rPr>
        <w:t>Indirect management</w:t>
      </w:r>
      <w:r w:rsidRPr="004B2A0E">
        <w:rPr>
          <w:noProof/>
        </w:rPr>
        <w:t xml:space="preserve"> by entrusting budget implementation tasks to:</w:t>
      </w:r>
    </w:p>
    <w:p w14:paraId="7C291D1C" w14:textId="77777777" w:rsidR="00FA1843" w:rsidRPr="004B2A0E" w:rsidRDefault="00FA1843" w:rsidP="00FA1843">
      <w:pPr>
        <w:pStyle w:val="Text1"/>
        <w:rPr>
          <w:noProof/>
        </w:rPr>
      </w:pPr>
      <w:r w:rsidRPr="004B2A0E">
        <w:rPr>
          <w:noProof/>
        </w:rPr>
        <w:sym w:font="Wingdings" w:char="F0A8"/>
      </w:r>
      <w:r w:rsidRPr="004B2A0E">
        <w:rPr>
          <w:noProof/>
        </w:rPr>
        <w:t xml:space="preserve"> international organisations and their agencies (to be specified);</w:t>
      </w:r>
    </w:p>
    <w:p w14:paraId="504EAF16" w14:textId="77777777" w:rsidR="00FA1843" w:rsidRPr="004B2A0E" w:rsidRDefault="00FA1843" w:rsidP="00FA1843">
      <w:pPr>
        <w:pStyle w:val="Text1"/>
        <w:rPr>
          <w:noProof/>
        </w:rPr>
      </w:pPr>
      <w:r w:rsidRPr="004B2A0E">
        <w:rPr>
          <w:noProof/>
        </w:rPr>
        <w:sym w:font="Wingdings" w:char="F0A8"/>
      </w:r>
      <w:r w:rsidRPr="004B2A0E">
        <w:rPr>
          <w:noProof/>
        </w:rPr>
        <w:t>the EIB and the European Investment Fund;</w:t>
      </w:r>
    </w:p>
    <w:p w14:paraId="759FB8D4" w14:textId="77777777" w:rsidR="00FA1843" w:rsidRPr="004B2A0E" w:rsidRDefault="00FA1843" w:rsidP="00FA1843">
      <w:pPr>
        <w:pStyle w:val="Text1"/>
        <w:rPr>
          <w:noProof/>
        </w:rPr>
      </w:pPr>
      <w:r w:rsidRPr="004B2A0E">
        <w:rPr>
          <w:noProof/>
        </w:rPr>
        <w:sym w:font="Wingdings" w:char="F0FE"/>
      </w:r>
      <w:r w:rsidRPr="004B2A0E">
        <w:rPr>
          <w:noProof/>
        </w:rPr>
        <w:t xml:space="preserve"> bodies referred to in Articles 70 and 71;</w:t>
      </w:r>
    </w:p>
    <w:p w14:paraId="0B82950E" w14:textId="77777777" w:rsidR="00FA1843" w:rsidRPr="004B2A0E" w:rsidRDefault="00FA1843" w:rsidP="00FA1843">
      <w:pPr>
        <w:pStyle w:val="Text1"/>
        <w:rPr>
          <w:noProof/>
        </w:rPr>
      </w:pPr>
      <w:r w:rsidRPr="004B2A0E">
        <w:rPr>
          <w:noProof/>
        </w:rPr>
        <w:sym w:font="Wingdings" w:char="F0A8"/>
      </w:r>
      <w:r w:rsidRPr="004B2A0E">
        <w:rPr>
          <w:noProof/>
        </w:rPr>
        <w:t xml:space="preserve"> public law bodies;</w:t>
      </w:r>
    </w:p>
    <w:p w14:paraId="2B9CED43" w14:textId="77777777" w:rsidR="00FA1843" w:rsidRPr="004B2A0E" w:rsidRDefault="00FA1843" w:rsidP="00FA1843">
      <w:pPr>
        <w:pStyle w:val="Text1"/>
        <w:rPr>
          <w:noProof/>
        </w:rPr>
      </w:pPr>
      <w:r w:rsidRPr="004B2A0E">
        <w:rPr>
          <w:noProof/>
        </w:rPr>
        <w:sym w:font="Wingdings" w:char="F0A8"/>
      </w:r>
      <w:r w:rsidRPr="004B2A0E">
        <w:rPr>
          <w:noProof/>
        </w:rPr>
        <w:t xml:space="preserve"> bodies governed by private law with a public service mission to the extent that they provide adequate financial guarantees;</w:t>
      </w:r>
    </w:p>
    <w:p w14:paraId="3E46FF81" w14:textId="77777777" w:rsidR="00FA1843" w:rsidRPr="004B2A0E" w:rsidRDefault="00FA1843" w:rsidP="00FA1843">
      <w:pPr>
        <w:pStyle w:val="Text1"/>
        <w:rPr>
          <w:noProof/>
        </w:rPr>
      </w:pPr>
      <w:r w:rsidRPr="004B2A0E">
        <w:rPr>
          <w:noProof/>
        </w:rPr>
        <w:sym w:font="Wingdings" w:char="F0A8"/>
      </w:r>
      <w:r w:rsidRPr="004B2A0E">
        <w:rPr>
          <w:noProof/>
        </w:rPr>
        <w:t xml:space="preserve"> bodies governed by the private law of a Member State that are entrusted with the implementation of a public-private partnership and that provide adequate financial guarantees;</w:t>
      </w:r>
    </w:p>
    <w:p w14:paraId="44C4BB60" w14:textId="77777777" w:rsidR="00FA1843" w:rsidRPr="004B2A0E" w:rsidRDefault="00FA1843" w:rsidP="00FA1843">
      <w:pPr>
        <w:pStyle w:val="Text1"/>
        <w:rPr>
          <w:noProof/>
        </w:rPr>
      </w:pPr>
      <w:r w:rsidRPr="004B2A0E">
        <w:rPr>
          <w:noProof/>
        </w:rPr>
        <w:sym w:font="Wingdings" w:char="F0A8"/>
      </w:r>
      <w:r w:rsidRPr="004B2A0E">
        <w:rPr>
          <w:noProof/>
        </w:rPr>
        <w:t xml:space="preserve"> persons entrusted with the implementation of specific actions in the CFSP pursuant to Title V of the TEU, and identified in the relevant basic act.</w:t>
      </w:r>
    </w:p>
    <w:p w14:paraId="4A551E9A" w14:textId="77777777" w:rsidR="00FA1843" w:rsidRPr="004B2A0E" w:rsidRDefault="00FA1843" w:rsidP="00FA1843">
      <w:pPr>
        <w:rPr>
          <w:noProof/>
        </w:rPr>
      </w:pPr>
      <w:r w:rsidRPr="004B2A0E">
        <w:rPr>
          <w:noProof/>
        </w:rPr>
        <w:t>Comments</w:t>
      </w:r>
    </w:p>
    <w:p w14:paraId="3E83D3C9" w14:textId="7F2B7119" w:rsidR="00FA1843" w:rsidRPr="004B2A0E" w:rsidRDefault="008C33A3" w:rsidP="00FA1843">
      <w:pPr>
        <w:pBdr>
          <w:top w:val="single" w:sz="4" w:space="1" w:color="auto"/>
          <w:left w:val="single" w:sz="4" w:space="4" w:color="auto"/>
          <w:bottom w:val="single" w:sz="4" w:space="1" w:color="auto"/>
          <w:right w:val="single" w:sz="4" w:space="4" w:color="auto"/>
        </w:pBdr>
        <w:rPr>
          <w:noProof/>
        </w:rPr>
      </w:pPr>
      <w:r w:rsidRPr="004B2A0E">
        <w:rPr>
          <w:noProof/>
        </w:rPr>
        <w:t>N/A</w:t>
      </w:r>
    </w:p>
    <w:p w14:paraId="626097B1" w14:textId="77777777" w:rsidR="00FA1843" w:rsidRPr="004B2A0E" w:rsidRDefault="00FA1843" w:rsidP="00FA1843">
      <w:pPr>
        <w:rPr>
          <w:noProof/>
        </w:rPr>
      </w:pPr>
      <w:r w:rsidRPr="004B2A0E">
        <w:rPr>
          <w:noProof/>
        </w:rPr>
        <w:t xml:space="preserve"> </w:t>
      </w:r>
    </w:p>
    <w:p w14:paraId="2EA83AB1" w14:textId="77777777" w:rsidR="00FA1843" w:rsidRPr="004B2A0E" w:rsidRDefault="00FA1843" w:rsidP="00FA1843">
      <w:pPr>
        <w:rPr>
          <w:noProof/>
        </w:rPr>
        <w:sectPr w:rsidR="00FA1843" w:rsidRPr="004B2A0E" w:rsidSect="00783A24">
          <w:pgSz w:w="11906" w:h="16838" w:code="9"/>
          <w:pgMar w:top="794" w:right="907" w:bottom="851" w:left="1361" w:header="510" w:footer="454" w:gutter="0"/>
          <w:cols w:space="720"/>
          <w:docGrid w:linePitch="326"/>
        </w:sectPr>
      </w:pPr>
    </w:p>
    <w:p w14:paraId="06E06688" w14:textId="0D522265" w:rsidR="00FA1843" w:rsidRPr="004B2A0E" w:rsidRDefault="002A7F8C" w:rsidP="002A7F8C">
      <w:pPr>
        <w:pStyle w:val="ManualHeading1"/>
        <w:rPr>
          <w:bCs/>
          <w:noProof/>
          <w:szCs w:val="24"/>
        </w:rPr>
      </w:pPr>
      <w:bookmarkStart w:id="38" w:name="_Toc514938676"/>
      <w:bookmarkStart w:id="39" w:name="_Toc520485435"/>
      <w:r w:rsidRPr="002A7F8C">
        <w:rPr>
          <w:noProof/>
        </w:rPr>
        <w:t>2.</w:t>
      </w:r>
      <w:r w:rsidRPr="002A7F8C">
        <w:rPr>
          <w:noProof/>
        </w:rPr>
        <w:tab/>
      </w:r>
      <w:r w:rsidR="00FA1843" w:rsidRPr="004B2A0E">
        <w:rPr>
          <w:noProof/>
        </w:rPr>
        <w:t>MANAGEMENT MEASURES</w:t>
      </w:r>
      <w:bookmarkEnd w:id="38"/>
      <w:bookmarkEnd w:id="39"/>
      <w:r w:rsidR="00FA1843" w:rsidRPr="004B2A0E">
        <w:rPr>
          <w:noProof/>
        </w:rPr>
        <w:t xml:space="preserve"> </w:t>
      </w:r>
    </w:p>
    <w:p w14:paraId="69CA14CB" w14:textId="65C68E68" w:rsidR="00FA1843" w:rsidRPr="004B2A0E" w:rsidRDefault="002A7F8C" w:rsidP="002A7F8C">
      <w:pPr>
        <w:pStyle w:val="ManualHeading2"/>
        <w:rPr>
          <w:bCs/>
          <w:noProof/>
          <w:szCs w:val="24"/>
        </w:rPr>
      </w:pPr>
      <w:bookmarkStart w:id="40" w:name="_Toc514938677"/>
      <w:bookmarkStart w:id="41" w:name="_Toc520485436"/>
      <w:r w:rsidRPr="002A7F8C">
        <w:rPr>
          <w:noProof/>
        </w:rPr>
        <w:t>2.1.</w:t>
      </w:r>
      <w:r w:rsidRPr="002A7F8C">
        <w:rPr>
          <w:noProof/>
        </w:rPr>
        <w:tab/>
      </w:r>
      <w:r w:rsidR="00FA1843" w:rsidRPr="004B2A0E">
        <w:rPr>
          <w:noProof/>
        </w:rPr>
        <w:t>Monitoring and reporting rules</w:t>
      </w:r>
      <w:bookmarkEnd w:id="40"/>
      <w:bookmarkEnd w:id="41"/>
      <w:r w:rsidR="00FA1843" w:rsidRPr="004B2A0E">
        <w:rPr>
          <w:noProof/>
        </w:rPr>
        <w:t xml:space="preserve"> </w:t>
      </w:r>
    </w:p>
    <w:p w14:paraId="088CA217" w14:textId="77777777" w:rsidR="00FA1843" w:rsidRPr="004B2A0E" w:rsidRDefault="00FA1843" w:rsidP="00FA1843">
      <w:pPr>
        <w:pStyle w:val="Text1"/>
        <w:rPr>
          <w:i/>
          <w:noProof/>
          <w:sz w:val="20"/>
        </w:rPr>
      </w:pPr>
      <w:r w:rsidRPr="004B2A0E">
        <w:rPr>
          <w:i/>
          <w:noProof/>
          <w:sz w:val="20"/>
        </w:rPr>
        <w:t>Specify frequency and conditions.</w:t>
      </w:r>
    </w:p>
    <w:p w14:paraId="163306E1"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color w:val="000000"/>
          <w:shd w:val="clear" w:color="auto" w:fill="FFFFFF"/>
        </w:rPr>
        <w:t>In line with already existing arrangements, the ESAs prepare regular reports on their activity (including internal reporting to Senior Management, reporting to Boards and the production of the annual report), and are subject to audits by the Court of Auditors and the Commission's Internal Audit Service on their use of resources and performance. Monitoring and reporting of the actions included in the proposal will comply with the already existing requirements, as well as with any new requirements resulting from this proposal.</w:t>
      </w:r>
    </w:p>
    <w:p w14:paraId="3E9B93E5" w14:textId="7C7D161F" w:rsidR="00FA1843" w:rsidRPr="004B2A0E" w:rsidRDefault="002A7F8C" w:rsidP="002A7F8C">
      <w:pPr>
        <w:pStyle w:val="ManualHeading2"/>
        <w:rPr>
          <w:bCs/>
          <w:noProof/>
          <w:szCs w:val="24"/>
        </w:rPr>
      </w:pPr>
      <w:bookmarkStart w:id="42" w:name="_Toc514938678"/>
      <w:bookmarkStart w:id="43" w:name="_Toc520485437"/>
      <w:r w:rsidRPr="002A7F8C">
        <w:rPr>
          <w:noProof/>
        </w:rPr>
        <w:t>2.2.</w:t>
      </w:r>
      <w:r w:rsidRPr="002A7F8C">
        <w:rPr>
          <w:noProof/>
        </w:rPr>
        <w:tab/>
      </w:r>
      <w:r w:rsidR="00FA1843" w:rsidRPr="004B2A0E">
        <w:rPr>
          <w:noProof/>
        </w:rPr>
        <w:t>Management and control system(s)</w:t>
      </w:r>
      <w:bookmarkEnd w:id="42"/>
      <w:bookmarkEnd w:id="43"/>
      <w:r w:rsidR="00FA1843" w:rsidRPr="004B2A0E">
        <w:rPr>
          <w:noProof/>
        </w:rPr>
        <w:t xml:space="preserve"> </w:t>
      </w:r>
    </w:p>
    <w:p w14:paraId="71858DD5" w14:textId="2B6FD64D" w:rsidR="00FA1843" w:rsidRPr="004B2A0E" w:rsidRDefault="002A7F8C" w:rsidP="002A7F8C">
      <w:pPr>
        <w:pStyle w:val="ManualHeading3"/>
        <w:rPr>
          <w:noProof/>
        </w:rPr>
      </w:pPr>
      <w:bookmarkStart w:id="44" w:name="_Toc514938679"/>
      <w:bookmarkStart w:id="45" w:name="_Toc520485438"/>
      <w:r w:rsidRPr="002A7F8C">
        <w:rPr>
          <w:noProof/>
        </w:rPr>
        <w:t>2.2.1.</w:t>
      </w:r>
      <w:r w:rsidRPr="002A7F8C">
        <w:rPr>
          <w:noProof/>
        </w:rPr>
        <w:tab/>
      </w:r>
      <w:r w:rsidR="00FA1843" w:rsidRPr="004B2A0E">
        <w:rPr>
          <w:noProof/>
        </w:rPr>
        <w:t>Justification of the management mode(s), the funding implementation mechanism(s), the payment modalities and the control strategy proposed</w:t>
      </w:r>
      <w:bookmarkEnd w:id="44"/>
      <w:bookmarkEnd w:id="45"/>
    </w:p>
    <w:p w14:paraId="2B9F15D2"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Management will be indirect through the ESAs. The funding mechanism would be implemented through authorisation and supervisory fees levied by ESMA on ESG rating providers.</w:t>
      </w:r>
    </w:p>
    <w:p w14:paraId="1114F36E" w14:textId="53B03F0E" w:rsidR="00FA1843" w:rsidRPr="004B2A0E" w:rsidRDefault="002A7F8C" w:rsidP="002A7F8C">
      <w:pPr>
        <w:pStyle w:val="ManualHeading3"/>
        <w:rPr>
          <w:noProof/>
        </w:rPr>
      </w:pPr>
      <w:bookmarkStart w:id="46" w:name="_Toc514938680"/>
      <w:bookmarkStart w:id="47" w:name="_Toc520485439"/>
      <w:r w:rsidRPr="002A7F8C">
        <w:rPr>
          <w:noProof/>
        </w:rPr>
        <w:t>2.2.2.</w:t>
      </w:r>
      <w:r w:rsidRPr="002A7F8C">
        <w:rPr>
          <w:noProof/>
        </w:rPr>
        <w:tab/>
      </w:r>
      <w:r w:rsidR="00FA1843" w:rsidRPr="004B2A0E">
        <w:rPr>
          <w:noProof/>
        </w:rPr>
        <w:t>Information concerning the risks identified and the internal control system(s) set up to mitigate them</w:t>
      </w:r>
      <w:bookmarkEnd w:id="46"/>
      <w:bookmarkEnd w:id="47"/>
    </w:p>
    <w:p w14:paraId="6BCB8A24"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In relation to the legal, economic, efficient and effective use of appropriations resulting from the proposal, it is expected that the proposal would not bring new significant risks that would not be covered by an existing internal control framework. However, a new challenge might be related to ensuring timely collection of fees from the ESG rating providers.</w:t>
      </w:r>
    </w:p>
    <w:p w14:paraId="7A7F7658" w14:textId="35C4A30F" w:rsidR="00FA1843" w:rsidRPr="004B2A0E" w:rsidRDefault="002A7F8C" w:rsidP="002A7F8C">
      <w:pPr>
        <w:pStyle w:val="ManualHeading3"/>
        <w:rPr>
          <w:noProof/>
        </w:rPr>
      </w:pPr>
      <w:bookmarkStart w:id="48" w:name="_Toc514938681"/>
      <w:bookmarkStart w:id="49" w:name="_Toc520485440"/>
      <w:r w:rsidRPr="002A7F8C">
        <w:rPr>
          <w:noProof/>
        </w:rPr>
        <w:t>2.2.3.</w:t>
      </w:r>
      <w:r w:rsidRPr="002A7F8C">
        <w:rPr>
          <w:noProof/>
        </w:rPr>
        <w:tab/>
      </w:r>
      <w:r w:rsidR="00FA1843" w:rsidRPr="004B2A0E">
        <w:rPr>
          <w:noProof/>
        </w:rPr>
        <w:t>Estimation and justification of the cost-effectiveness of the controls (ratio of "control costs ÷ value of the related funds managed"), and assessment of the expected levels of risk of error (at payment &amp; at closure)</w:t>
      </w:r>
      <w:bookmarkEnd w:id="48"/>
      <w:bookmarkEnd w:id="49"/>
      <w:r w:rsidR="00FA1843" w:rsidRPr="004B2A0E">
        <w:rPr>
          <w:noProof/>
        </w:rPr>
        <w:t xml:space="preserve"> </w:t>
      </w:r>
    </w:p>
    <w:p w14:paraId="06EC0422"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Management and control systems as provided for in the ESAs Regulations are already implemented. ESAs work closely together with the Internal Audit Service of the Commission to ensure that the appropriate standards are met in all areas of internal control framework. These arrangements will apply also with regard to the role of the ESAs according to the present proposal. In addition, every financial year, the European Parliament, following a recommendation from the Council, grants discharge to each ESA for the implementation of their budget.</w:t>
      </w:r>
    </w:p>
    <w:p w14:paraId="27675110" w14:textId="77777777" w:rsidR="00FA1843" w:rsidRPr="004B2A0E" w:rsidRDefault="00FA1843" w:rsidP="00FA1843">
      <w:pPr>
        <w:pStyle w:val="Text1"/>
        <w:rPr>
          <w:noProof/>
        </w:rPr>
      </w:pPr>
    </w:p>
    <w:p w14:paraId="419D9BF1" w14:textId="77777777" w:rsidR="00FA1843" w:rsidRPr="004B2A0E" w:rsidRDefault="00FA1843" w:rsidP="00FA1843">
      <w:pPr>
        <w:spacing w:before="0" w:after="200" w:line="276" w:lineRule="auto"/>
        <w:jc w:val="left"/>
        <w:rPr>
          <w:rFonts w:eastAsiaTheme="majorEastAsia"/>
          <w:b/>
          <w:bCs/>
          <w:noProof/>
          <w:szCs w:val="26"/>
        </w:rPr>
      </w:pPr>
      <w:bookmarkStart w:id="50" w:name="_Toc514938682"/>
      <w:r w:rsidRPr="004B2A0E">
        <w:rPr>
          <w:noProof/>
        </w:rPr>
        <w:br w:type="page"/>
      </w:r>
    </w:p>
    <w:p w14:paraId="5674512E" w14:textId="7AD418B4" w:rsidR="00FA1843" w:rsidRPr="004B2A0E" w:rsidRDefault="002A7F8C" w:rsidP="002A7F8C">
      <w:pPr>
        <w:pStyle w:val="ManualHeading2"/>
        <w:rPr>
          <w:bCs/>
          <w:noProof/>
          <w:szCs w:val="24"/>
        </w:rPr>
      </w:pPr>
      <w:bookmarkStart w:id="51" w:name="_Toc520485441"/>
      <w:r w:rsidRPr="002A7F8C">
        <w:rPr>
          <w:noProof/>
        </w:rPr>
        <w:t>2.3.</w:t>
      </w:r>
      <w:r w:rsidRPr="002A7F8C">
        <w:rPr>
          <w:noProof/>
        </w:rPr>
        <w:tab/>
      </w:r>
      <w:r w:rsidR="00FA1843" w:rsidRPr="004B2A0E">
        <w:rPr>
          <w:noProof/>
        </w:rPr>
        <w:t>Measures to prevent fraud and irregularities</w:t>
      </w:r>
      <w:bookmarkEnd w:id="50"/>
      <w:bookmarkEnd w:id="51"/>
      <w:r w:rsidR="00FA1843" w:rsidRPr="004B2A0E">
        <w:rPr>
          <w:noProof/>
        </w:rPr>
        <w:t xml:space="preserve"> </w:t>
      </w:r>
    </w:p>
    <w:p w14:paraId="475B2960" w14:textId="77777777" w:rsidR="00FA1843" w:rsidRPr="004B2A0E" w:rsidRDefault="00FA1843" w:rsidP="00FA1843">
      <w:pPr>
        <w:pStyle w:val="Text1"/>
        <w:rPr>
          <w:i/>
          <w:noProof/>
          <w:sz w:val="20"/>
        </w:rPr>
      </w:pPr>
      <w:r w:rsidRPr="004B2A0E">
        <w:rPr>
          <w:i/>
          <w:noProof/>
          <w:sz w:val="20"/>
        </w:rPr>
        <w:t>Specify existing or envisaged prevention and protection measures, e.g. from the Anti-Fraud Strategy.</w:t>
      </w:r>
    </w:p>
    <w:p w14:paraId="0F4F35A6"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r>
        <w:rPr>
          <w:noProof/>
        </w:rPr>
        <w:t>For the purpose of combating fraud, corruption and any other illegal activity, the provisions of Regulation (EU, Euratom) N°883/2013 of the European Parliament and of the Council of 11 September 2013 concerning investigations conducted by the European Anti-Fraud Office (OLAF) apply to the ESAs without any restriction. The ESAs have a dedicated anti-fraud strategy and resulting action plan. The ESAs' strengthened actions in the area of anti-fraud will be compliant with the rules and guidance provided by the Financial Regulation (anti-fraud measures as part of sound financial management), OLAF’s fraud prevention policies, the provisions provided by the Commission Anti-Fraud Strategy (COM(2011)376) as well as set out by the Common Approach on EU decentralised agencies (July 2012) and the related roadmap. In addition, the Regulations establishing the ESAs as well as the ESAs' Financial Regulations set out the provisions on implementation and control of the ESAs' budgets and applicable financial rules, including those aimed at preventing fraud and irregularities.</w:t>
      </w:r>
    </w:p>
    <w:p w14:paraId="6CC9D8C0" w14:textId="3925D11D" w:rsidR="00FA1843" w:rsidRPr="004B2A0E" w:rsidRDefault="002A7F8C" w:rsidP="002A7F8C">
      <w:pPr>
        <w:pStyle w:val="ManualHeading1"/>
        <w:rPr>
          <w:bCs/>
          <w:noProof/>
          <w:szCs w:val="24"/>
        </w:rPr>
      </w:pPr>
      <w:bookmarkStart w:id="52" w:name="_Toc514938683"/>
      <w:bookmarkStart w:id="53" w:name="_Toc520485442"/>
      <w:r w:rsidRPr="002A7F8C">
        <w:rPr>
          <w:noProof/>
        </w:rPr>
        <w:t>3.</w:t>
      </w:r>
      <w:r w:rsidRPr="002A7F8C">
        <w:rPr>
          <w:noProof/>
        </w:rPr>
        <w:tab/>
      </w:r>
      <w:r w:rsidR="00FA1843" w:rsidRPr="004B2A0E">
        <w:rPr>
          <w:noProof/>
        </w:rPr>
        <w:t>ESTIMATED FINANCIAL IMPACT OF THE PROPOSAL/INITIATIVE</w:t>
      </w:r>
      <w:bookmarkEnd w:id="52"/>
      <w:bookmarkEnd w:id="53"/>
      <w:r w:rsidR="00FA1843" w:rsidRPr="004B2A0E">
        <w:rPr>
          <w:noProof/>
        </w:rPr>
        <w:t xml:space="preserve"> </w:t>
      </w:r>
    </w:p>
    <w:p w14:paraId="168D277A" w14:textId="2128E6AA" w:rsidR="00FA1843" w:rsidRPr="004B2A0E" w:rsidRDefault="002A7F8C" w:rsidP="002A7F8C">
      <w:pPr>
        <w:pStyle w:val="ManualHeading2"/>
        <w:rPr>
          <w:bCs/>
          <w:noProof/>
          <w:szCs w:val="24"/>
        </w:rPr>
      </w:pPr>
      <w:bookmarkStart w:id="54" w:name="_Toc514938684"/>
      <w:bookmarkStart w:id="55" w:name="_Toc520485443"/>
      <w:r w:rsidRPr="002A7F8C">
        <w:rPr>
          <w:noProof/>
        </w:rPr>
        <w:t>3.1.</w:t>
      </w:r>
      <w:r w:rsidRPr="002A7F8C">
        <w:rPr>
          <w:noProof/>
        </w:rPr>
        <w:tab/>
      </w:r>
      <w:r w:rsidR="00FA1843" w:rsidRPr="004B2A0E">
        <w:rPr>
          <w:noProof/>
        </w:rPr>
        <w:t>Heading(s) of the multiannual financial framework and expenditure budget line(s) affected</w:t>
      </w:r>
      <w:bookmarkEnd w:id="54"/>
      <w:bookmarkEnd w:id="55"/>
      <w:r w:rsidR="00FA1843" w:rsidRPr="004B2A0E">
        <w:rPr>
          <w:noProof/>
        </w:rPr>
        <w:t xml:space="preserve"> </w:t>
      </w:r>
    </w:p>
    <w:p w14:paraId="4030322F" w14:textId="77777777" w:rsidR="00FA1843" w:rsidRPr="004B2A0E" w:rsidRDefault="00FA1843" w:rsidP="00580A58">
      <w:pPr>
        <w:pStyle w:val="ListBullet1"/>
        <w:numPr>
          <w:ilvl w:val="0"/>
          <w:numId w:val="20"/>
        </w:numPr>
        <w:rPr>
          <w:noProof/>
        </w:rPr>
      </w:pPr>
      <w:r w:rsidRPr="004B2A0E">
        <w:rPr>
          <w:noProof/>
        </w:rPr>
        <w:t xml:space="preserve">Existing budget lines </w:t>
      </w:r>
    </w:p>
    <w:p w14:paraId="14021E20" w14:textId="77777777" w:rsidR="00FA1843" w:rsidRPr="004B2A0E" w:rsidRDefault="00FA1843" w:rsidP="00FA1843">
      <w:pPr>
        <w:pStyle w:val="Text1"/>
        <w:rPr>
          <w:noProof/>
        </w:rPr>
      </w:pPr>
      <w:r w:rsidRPr="004B2A0E">
        <w:rPr>
          <w:noProof/>
          <w:u w:val="single"/>
        </w:rPr>
        <w:t>In order</w:t>
      </w:r>
      <w:r w:rsidRPr="004B2A0E">
        <w:rPr>
          <w:noProof/>
        </w:rPr>
        <w:t xml:space="preserve"> of multiannual financial framework headings and budget lines.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FA1843" w:rsidRPr="004B2A0E" w14:paraId="5C5AA9A5" w14:textId="77777777" w:rsidTr="00EE1D03">
        <w:tc>
          <w:tcPr>
            <w:tcW w:w="1080" w:type="dxa"/>
            <w:vMerge w:val="restart"/>
            <w:vAlign w:val="center"/>
          </w:tcPr>
          <w:p w14:paraId="304A7E6E" w14:textId="77777777" w:rsidR="00FA1843" w:rsidRPr="004B2A0E" w:rsidRDefault="00FA1843" w:rsidP="00EE1D03">
            <w:pPr>
              <w:spacing w:before="60" w:after="60"/>
              <w:jc w:val="center"/>
              <w:rPr>
                <w:noProof/>
                <w:sz w:val="18"/>
              </w:rPr>
            </w:pPr>
            <w:r w:rsidRPr="004B2A0E">
              <w:rPr>
                <w:noProof/>
                <w:sz w:val="18"/>
              </w:rPr>
              <w:t>Heading of multiannual financial framework</w:t>
            </w:r>
          </w:p>
        </w:tc>
        <w:tc>
          <w:tcPr>
            <w:tcW w:w="3960" w:type="dxa"/>
            <w:vAlign w:val="center"/>
          </w:tcPr>
          <w:p w14:paraId="34E0FC68" w14:textId="77777777" w:rsidR="00FA1843" w:rsidRPr="004B2A0E" w:rsidRDefault="00FA1843" w:rsidP="00EE1D03">
            <w:pPr>
              <w:spacing w:before="60" w:after="60"/>
              <w:jc w:val="center"/>
              <w:rPr>
                <w:noProof/>
              </w:rPr>
            </w:pPr>
            <w:r w:rsidRPr="004B2A0E">
              <w:rPr>
                <w:noProof/>
                <w:sz w:val="20"/>
              </w:rPr>
              <w:t>Budget line</w:t>
            </w:r>
          </w:p>
        </w:tc>
        <w:tc>
          <w:tcPr>
            <w:tcW w:w="1080" w:type="dxa"/>
            <w:vAlign w:val="center"/>
          </w:tcPr>
          <w:p w14:paraId="363FEF55" w14:textId="77777777" w:rsidR="00FA1843" w:rsidRPr="004B2A0E" w:rsidRDefault="00FA1843" w:rsidP="00EE1D03">
            <w:pPr>
              <w:spacing w:before="60" w:after="60"/>
              <w:jc w:val="center"/>
              <w:rPr>
                <w:noProof/>
              </w:rPr>
            </w:pPr>
            <w:r w:rsidRPr="004B2A0E">
              <w:rPr>
                <w:noProof/>
                <w:sz w:val="18"/>
              </w:rPr>
              <w:t xml:space="preserve">Type of </w:t>
            </w:r>
            <w:r w:rsidRPr="004B2A0E">
              <w:rPr>
                <w:noProof/>
                <w:sz w:val="22"/>
              </w:rPr>
              <w:br/>
            </w:r>
            <w:r w:rsidRPr="004B2A0E">
              <w:rPr>
                <w:noProof/>
                <w:sz w:val="18"/>
              </w:rPr>
              <w:t>expenditure</w:t>
            </w:r>
          </w:p>
        </w:tc>
        <w:tc>
          <w:tcPr>
            <w:tcW w:w="4556" w:type="dxa"/>
            <w:gridSpan w:val="4"/>
            <w:vAlign w:val="center"/>
          </w:tcPr>
          <w:p w14:paraId="4DCD69A4" w14:textId="77777777" w:rsidR="00FA1843" w:rsidRPr="004B2A0E" w:rsidRDefault="00FA1843" w:rsidP="00EE1D03">
            <w:pPr>
              <w:spacing w:before="60" w:after="60"/>
              <w:jc w:val="center"/>
              <w:rPr>
                <w:noProof/>
              </w:rPr>
            </w:pPr>
            <w:r w:rsidRPr="004B2A0E">
              <w:rPr>
                <w:noProof/>
                <w:sz w:val="20"/>
              </w:rPr>
              <w:t xml:space="preserve">Contribution </w:t>
            </w:r>
          </w:p>
        </w:tc>
      </w:tr>
      <w:tr w:rsidR="00FA1843" w:rsidRPr="004B2A0E" w14:paraId="4B3C670B" w14:textId="77777777" w:rsidTr="00EE1D03">
        <w:tc>
          <w:tcPr>
            <w:tcW w:w="1080" w:type="dxa"/>
            <w:vMerge/>
            <w:vAlign w:val="center"/>
          </w:tcPr>
          <w:p w14:paraId="1D2AFC74" w14:textId="77777777" w:rsidR="00FA1843" w:rsidRPr="004B2A0E" w:rsidRDefault="00FA1843" w:rsidP="00EE1D03">
            <w:pPr>
              <w:rPr>
                <w:noProof/>
                <w:sz w:val="18"/>
              </w:rPr>
            </w:pPr>
          </w:p>
        </w:tc>
        <w:tc>
          <w:tcPr>
            <w:tcW w:w="3960" w:type="dxa"/>
            <w:vAlign w:val="center"/>
          </w:tcPr>
          <w:p w14:paraId="1523BBFE" w14:textId="77777777" w:rsidR="00FA1843" w:rsidRPr="004B2A0E" w:rsidRDefault="00FA1843" w:rsidP="00EE1D03">
            <w:pPr>
              <w:rPr>
                <w:noProof/>
              </w:rPr>
            </w:pPr>
            <w:r w:rsidRPr="004B2A0E">
              <w:rPr>
                <w:noProof/>
                <w:sz w:val="20"/>
              </w:rPr>
              <w:t xml:space="preserve">Number </w:t>
            </w:r>
            <w:r w:rsidRPr="004B2A0E">
              <w:rPr>
                <w:noProof/>
                <w:sz w:val="22"/>
              </w:rPr>
              <w:br/>
            </w:r>
          </w:p>
        </w:tc>
        <w:tc>
          <w:tcPr>
            <w:tcW w:w="1080" w:type="dxa"/>
            <w:vAlign w:val="center"/>
          </w:tcPr>
          <w:p w14:paraId="16EFCE8D" w14:textId="77777777" w:rsidR="00FA1843" w:rsidRPr="004B2A0E" w:rsidRDefault="00FA1843" w:rsidP="00EE1D03">
            <w:pPr>
              <w:jc w:val="center"/>
              <w:rPr>
                <w:noProof/>
              </w:rPr>
            </w:pPr>
            <w:r w:rsidRPr="004B2A0E">
              <w:rPr>
                <w:noProof/>
                <w:sz w:val="18"/>
              </w:rPr>
              <w:t>Diff./Non-diff.</w:t>
            </w:r>
            <w:r w:rsidRPr="004B2A0E">
              <w:rPr>
                <w:rStyle w:val="FootnoteReference"/>
                <w:noProof/>
                <w:sz w:val="18"/>
              </w:rPr>
              <w:footnoteReference w:id="61"/>
            </w:r>
          </w:p>
        </w:tc>
        <w:tc>
          <w:tcPr>
            <w:tcW w:w="956" w:type="dxa"/>
            <w:vAlign w:val="center"/>
          </w:tcPr>
          <w:p w14:paraId="08D3B172" w14:textId="77777777" w:rsidR="00FA1843" w:rsidRPr="004B2A0E" w:rsidRDefault="00FA1843" w:rsidP="00EE1D03">
            <w:pPr>
              <w:jc w:val="center"/>
              <w:rPr>
                <w:noProof/>
              </w:rPr>
            </w:pPr>
            <w:r w:rsidRPr="004B2A0E">
              <w:rPr>
                <w:noProof/>
                <w:sz w:val="18"/>
              </w:rPr>
              <w:t>from EFTA countries</w:t>
            </w:r>
            <w:r w:rsidRPr="004B2A0E">
              <w:rPr>
                <w:rStyle w:val="FootnoteReference"/>
                <w:noProof/>
                <w:sz w:val="18"/>
              </w:rPr>
              <w:footnoteReference w:id="62"/>
            </w:r>
          </w:p>
        </w:tc>
        <w:tc>
          <w:tcPr>
            <w:tcW w:w="1080" w:type="dxa"/>
            <w:vAlign w:val="center"/>
          </w:tcPr>
          <w:p w14:paraId="3C4B1B0F" w14:textId="77777777" w:rsidR="00FA1843" w:rsidRPr="004B2A0E" w:rsidRDefault="00FA1843" w:rsidP="00EE1D03">
            <w:pPr>
              <w:jc w:val="center"/>
              <w:rPr>
                <w:noProof/>
                <w:sz w:val="18"/>
              </w:rPr>
            </w:pPr>
            <w:r w:rsidRPr="004B2A0E">
              <w:rPr>
                <w:noProof/>
                <w:sz w:val="18"/>
              </w:rPr>
              <w:t>from candidate countries</w:t>
            </w:r>
            <w:r w:rsidRPr="004B2A0E">
              <w:rPr>
                <w:rStyle w:val="FootnoteReference"/>
                <w:noProof/>
                <w:sz w:val="18"/>
              </w:rPr>
              <w:footnoteReference w:id="63"/>
            </w:r>
          </w:p>
        </w:tc>
        <w:tc>
          <w:tcPr>
            <w:tcW w:w="956" w:type="dxa"/>
            <w:vAlign w:val="center"/>
          </w:tcPr>
          <w:p w14:paraId="2859F494" w14:textId="77777777" w:rsidR="00FA1843" w:rsidRPr="004B2A0E" w:rsidRDefault="00FA1843" w:rsidP="00EE1D03">
            <w:pPr>
              <w:jc w:val="center"/>
              <w:rPr>
                <w:noProof/>
                <w:sz w:val="18"/>
              </w:rPr>
            </w:pPr>
            <w:r w:rsidRPr="004B2A0E">
              <w:rPr>
                <w:noProof/>
                <w:sz w:val="18"/>
              </w:rPr>
              <w:t>from third countries</w:t>
            </w:r>
          </w:p>
        </w:tc>
        <w:tc>
          <w:tcPr>
            <w:tcW w:w="1564" w:type="dxa"/>
            <w:vAlign w:val="center"/>
          </w:tcPr>
          <w:p w14:paraId="1E089B59" w14:textId="77777777" w:rsidR="00FA1843" w:rsidRPr="004B2A0E" w:rsidRDefault="00FA1843" w:rsidP="00EE1D03">
            <w:pPr>
              <w:jc w:val="center"/>
              <w:rPr>
                <w:noProof/>
                <w:sz w:val="16"/>
                <w:szCs w:val="16"/>
              </w:rPr>
            </w:pPr>
            <w:r w:rsidRPr="004B2A0E">
              <w:rPr>
                <w:noProof/>
                <w:sz w:val="16"/>
                <w:szCs w:val="16"/>
              </w:rPr>
              <w:t xml:space="preserve">within the meaning of Article 21(2)(b) of the Financial Regulation </w:t>
            </w:r>
          </w:p>
        </w:tc>
      </w:tr>
      <w:tr w:rsidR="00FA1843" w:rsidRPr="004B2A0E" w14:paraId="2FD9B424" w14:textId="77777777" w:rsidTr="00EE1D03">
        <w:tc>
          <w:tcPr>
            <w:tcW w:w="1080" w:type="dxa"/>
            <w:vAlign w:val="center"/>
          </w:tcPr>
          <w:p w14:paraId="6749F64C" w14:textId="324202A0" w:rsidR="00FA1843" w:rsidRPr="004B2A0E" w:rsidRDefault="00FA1843" w:rsidP="00EE1D03">
            <w:pPr>
              <w:jc w:val="center"/>
              <w:rPr>
                <w:noProof/>
                <w:color w:val="0000FF"/>
              </w:rPr>
            </w:pPr>
          </w:p>
        </w:tc>
        <w:tc>
          <w:tcPr>
            <w:tcW w:w="3960" w:type="dxa"/>
            <w:vAlign w:val="center"/>
          </w:tcPr>
          <w:p w14:paraId="1B7AB1A1" w14:textId="77777777" w:rsidR="00FA1843" w:rsidRPr="004B2A0E" w:rsidRDefault="00FA1843" w:rsidP="00EE1D03">
            <w:pPr>
              <w:spacing w:after="60"/>
              <w:rPr>
                <w:noProof/>
              </w:rPr>
            </w:pPr>
            <w:r>
              <w:rPr>
                <w:noProof/>
              </w:rPr>
              <w:t>N/A</w:t>
            </w:r>
          </w:p>
        </w:tc>
        <w:tc>
          <w:tcPr>
            <w:tcW w:w="1080" w:type="dxa"/>
            <w:vAlign w:val="center"/>
          </w:tcPr>
          <w:p w14:paraId="4CFD362B" w14:textId="77777777" w:rsidR="00FA1843" w:rsidRPr="004B2A0E" w:rsidRDefault="00FA1843" w:rsidP="00EE1D03">
            <w:pPr>
              <w:jc w:val="center"/>
              <w:rPr>
                <w:noProof/>
                <w:sz w:val="18"/>
              </w:rPr>
            </w:pPr>
            <w:r w:rsidRPr="004B2A0E">
              <w:rPr>
                <w:noProof/>
                <w:sz w:val="18"/>
              </w:rPr>
              <w:t>Diff.</w:t>
            </w:r>
          </w:p>
        </w:tc>
        <w:tc>
          <w:tcPr>
            <w:tcW w:w="956" w:type="dxa"/>
            <w:vAlign w:val="center"/>
          </w:tcPr>
          <w:p w14:paraId="2913F0CE" w14:textId="77777777" w:rsidR="00FA1843" w:rsidRPr="004B2A0E" w:rsidRDefault="00FA1843" w:rsidP="00EE1D03">
            <w:pPr>
              <w:jc w:val="center"/>
              <w:rPr>
                <w:noProof/>
                <w:sz w:val="20"/>
              </w:rPr>
            </w:pPr>
            <w:r w:rsidRPr="004B2A0E">
              <w:rPr>
                <w:noProof/>
                <w:sz w:val="20"/>
              </w:rPr>
              <w:t>NO</w:t>
            </w:r>
          </w:p>
        </w:tc>
        <w:tc>
          <w:tcPr>
            <w:tcW w:w="1080" w:type="dxa"/>
            <w:vAlign w:val="center"/>
          </w:tcPr>
          <w:p w14:paraId="7D09D8DD" w14:textId="77777777" w:rsidR="00FA1843" w:rsidRPr="004B2A0E" w:rsidRDefault="00FA1843" w:rsidP="00EE1D03">
            <w:pPr>
              <w:jc w:val="center"/>
              <w:rPr>
                <w:noProof/>
                <w:sz w:val="20"/>
              </w:rPr>
            </w:pPr>
            <w:r w:rsidRPr="004B2A0E">
              <w:rPr>
                <w:noProof/>
                <w:sz w:val="20"/>
              </w:rPr>
              <w:t>NO</w:t>
            </w:r>
          </w:p>
        </w:tc>
        <w:tc>
          <w:tcPr>
            <w:tcW w:w="956" w:type="dxa"/>
            <w:vAlign w:val="center"/>
          </w:tcPr>
          <w:p w14:paraId="7DD181CE" w14:textId="77777777" w:rsidR="00FA1843" w:rsidRPr="004B2A0E" w:rsidRDefault="00FA1843" w:rsidP="00EE1D03">
            <w:pPr>
              <w:jc w:val="center"/>
              <w:rPr>
                <w:noProof/>
                <w:sz w:val="20"/>
              </w:rPr>
            </w:pPr>
            <w:r w:rsidRPr="004B2A0E">
              <w:rPr>
                <w:noProof/>
                <w:sz w:val="20"/>
              </w:rPr>
              <w:t>NO</w:t>
            </w:r>
          </w:p>
        </w:tc>
        <w:tc>
          <w:tcPr>
            <w:tcW w:w="1564" w:type="dxa"/>
            <w:vAlign w:val="center"/>
          </w:tcPr>
          <w:p w14:paraId="696DAED9" w14:textId="77777777" w:rsidR="00FA1843" w:rsidRPr="004B2A0E" w:rsidRDefault="00FA1843" w:rsidP="00EE1D03">
            <w:pPr>
              <w:jc w:val="center"/>
              <w:rPr>
                <w:noProof/>
                <w:sz w:val="20"/>
              </w:rPr>
            </w:pPr>
            <w:r w:rsidRPr="004B2A0E">
              <w:rPr>
                <w:noProof/>
                <w:sz w:val="20"/>
              </w:rPr>
              <w:t>NO</w:t>
            </w:r>
          </w:p>
        </w:tc>
      </w:tr>
    </w:tbl>
    <w:p w14:paraId="4DE0A5D7" w14:textId="77777777" w:rsidR="00FA1843" w:rsidRPr="004B2A0E" w:rsidRDefault="00FA1843" w:rsidP="00580A58">
      <w:pPr>
        <w:pStyle w:val="ListBullet1"/>
        <w:numPr>
          <w:ilvl w:val="0"/>
          <w:numId w:val="20"/>
        </w:numPr>
        <w:rPr>
          <w:noProof/>
        </w:rPr>
      </w:pPr>
      <w:r w:rsidRPr="004B2A0E">
        <w:rPr>
          <w:noProof/>
        </w:rPr>
        <w:t xml:space="preserve">New budget lines requested </w:t>
      </w:r>
    </w:p>
    <w:p w14:paraId="3E46FE00" w14:textId="77777777" w:rsidR="00FA1843" w:rsidRPr="004B2A0E" w:rsidRDefault="00FA1843" w:rsidP="00FA1843">
      <w:pPr>
        <w:pStyle w:val="Text1"/>
        <w:rPr>
          <w:i/>
          <w:noProof/>
          <w:sz w:val="20"/>
        </w:rPr>
      </w:pPr>
      <w:r w:rsidRPr="004B2A0E">
        <w:rPr>
          <w:noProof/>
          <w:u w:val="single"/>
        </w:rPr>
        <w:t>In order</w:t>
      </w:r>
      <w:r w:rsidRPr="004B2A0E">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FA1843" w:rsidRPr="004B2A0E" w14:paraId="7362274A" w14:textId="77777777" w:rsidTr="00EE1D03">
        <w:tc>
          <w:tcPr>
            <w:tcW w:w="1080" w:type="dxa"/>
            <w:vMerge w:val="restart"/>
            <w:vAlign w:val="center"/>
          </w:tcPr>
          <w:p w14:paraId="448B181F" w14:textId="77777777" w:rsidR="00FA1843" w:rsidRPr="004B2A0E" w:rsidRDefault="00FA1843" w:rsidP="00EE1D03">
            <w:pPr>
              <w:spacing w:before="60" w:after="60"/>
              <w:jc w:val="center"/>
              <w:rPr>
                <w:noProof/>
              </w:rPr>
            </w:pPr>
            <w:r w:rsidRPr="004B2A0E">
              <w:rPr>
                <w:noProof/>
                <w:sz w:val="18"/>
              </w:rPr>
              <w:t>Heading of multiannual financial framework</w:t>
            </w:r>
          </w:p>
        </w:tc>
        <w:tc>
          <w:tcPr>
            <w:tcW w:w="3960" w:type="dxa"/>
            <w:vAlign w:val="center"/>
          </w:tcPr>
          <w:p w14:paraId="27293A1A" w14:textId="77777777" w:rsidR="00FA1843" w:rsidRPr="004B2A0E" w:rsidRDefault="00FA1843" w:rsidP="00EE1D03">
            <w:pPr>
              <w:spacing w:before="60" w:after="60"/>
              <w:jc w:val="center"/>
              <w:rPr>
                <w:noProof/>
              </w:rPr>
            </w:pPr>
            <w:r w:rsidRPr="004B2A0E">
              <w:rPr>
                <w:noProof/>
                <w:sz w:val="20"/>
              </w:rPr>
              <w:t>Budget line</w:t>
            </w:r>
          </w:p>
        </w:tc>
        <w:tc>
          <w:tcPr>
            <w:tcW w:w="1080" w:type="dxa"/>
            <w:vAlign w:val="center"/>
          </w:tcPr>
          <w:p w14:paraId="73A6ACF1" w14:textId="77777777" w:rsidR="00FA1843" w:rsidRPr="004B2A0E" w:rsidRDefault="00FA1843" w:rsidP="00EE1D03">
            <w:pPr>
              <w:spacing w:before="60" w:after="60"/>
              <w:jc w:val="center"/>
              <w:rPr>
                <w:noProof/>
              </w:rPr>
            </w:pPr>
            <w:r w:rsidRPr="004B2A0E">
              <w:rPr>
                <w:noProof/>
                <w:sz w:val="18"/>
              </w:rPr>
              <w:t>Type of</w:t>
            </w:r>
            <w:r w:rsidRPr="004B2A0E">
              <w:rPr>
                <w:noProof/>
                <w:sz w:val="22"/>
              </w:rPr>
              <w:br/>
            </w:r>
            <w:r w:rsidRPr="004B2A0E">
              <w:rPr>
                <w:noProof/>
                <w:sz w:val="18"/>
              </w:rPr>
              <w:t>expenditure</w:t>
            </w:r>
          </w:p>
        </w:tc>
        <w:tc>
          <w:tcPr>
            <w:tcW w:w="4556" w:type="dxa"/>
            <w:gridSpan w:val="4"/>
            <w:vAlign w:val="center"/>
          </w:tcPr>
          <w:p w14:paraId="5C458DEA" w14:textId="77777777" w:rsidR="00FA1843" w:rsidRPr="004B2A0E" w:rsidRDefault="00FA1843" w:rsidP="00EE1D03">
            <w:pPr>
              <w:spacing w:before="60" w:after="60"/>
              <w:jc w:val="center"/>
              <w:rPr>
                <w:noProof/>
              </w:rPr>
            </w:pPr>
            <w:r w:rsidRPr="004B2A0E">
              <w:rPr>
                <w:noProof/>
                <w:sz w:val="20"/>
              </w:rPr>
              <w:t xml:space="preserve">Contribution </w:t>
            </w:r>
          </w:p>
        </w:tc>
      </w:tr>
      <w:tr w:rsidR="00FA1843" w:rsidRPr="004B2A0E" w14:paraId="6B24B298" w14:textId="77777777" w:rsidTr="00EE1D03">
        <w:tc>
          <w:tcPr>
            <w:tcW w:w="1080" w:type="dxa"/>
            <w:vMerge/>
            <w:vAlign w:val="center"/>
          </w:tcPr>
          <w:p w14:paraId="178A478F" w14:textId="77777777" w:rsidR="00FA1843" w:rsidRPr="004B2A0E" w:rsidRDefault="00FA1843" w:rsidP="00EE1D03">
            <w:pPr>
              <w:rPr>
                <w:noProof/>
              </w:rPr>
            </w:pPr>
          </w:p>
        </w:tc>
        <w:tc>
          <w:tcPr>
            <w:tcW w:w="3960" w:type="dxa"/>
            <w:tcBorders>
              <w:bottom w:val="single" w:sz="4" w:space="0" w:color="auto"/>
            </w:tcBorders>
            <w:vAlign w:val="center"/>
          </w:tcPr>
          <w:p w14:paraId="2EE7EE39" w14:textId="77777777" w:rsidR="00FA1843" w:rsidRPr="004B2A0E" w:rsidRDefault="00FA1843" w:rsidP="00EE1D03">
            <w:pPr>
              <w:rPr>
                <w:noProof/>
              </w:rPr>
            </w:pPr>
            <w:r w:rsidRPr="004B2A0E">
              <w:rPr>
                <w:noProof/>
                <w:sz w:val="20"/>
              </w:rPr>
              <w:t xml:space="preserve">Number </w:t>
            </w:r>
            <w:r w:rsidRPr="004B2A0E">
              <w:rPr>
                <w:noProof/>
                <w:sz w:val="22"/>
              </w:rPr>
              <w:br/>
            </w:r>
          </w:p>
        </w:tc>
        <w:tc>
          <w:tcPr>
            <w:tcW w:w="1080" w:type="dxa"/>
            <w:tcBorders>
              <w:bottom w:val="single" w:sz="4" w:space="0" w:color="auto"/>
            </w:tcBorders>
            <w:vAlign w:val="center"/>
          </w:tcPr>
          <w:p w14:paraId="12AAE02B" w14:textId="77777777" w:rsidR="00FA1843" w:rsidRPr="004B2A0E" w:rsidRDefault="00FA1843" w:rsidP="00EE1D03">
            <w:pPr>
              <w:jc w:val="center"/>
              <w:rPr>
                <w:noProof/>
              </w:rPr>
            </w:pPr>
            <w:r w:rsidRPr="004B2A0E">
              <w:rPr>
                <w:noProof/>
                <w:sz w:val="18"/>
              </w:rPr>
              <w:t>Diff./non-diff.</w:t>
            </w:r>
          </w:p>
        </w:tc>
        <w:tc>
          <w:tcPr>
            <w:tcW w:w="956" w:type="dxa"/>
            <w:tcBorders>
              <w:bottom w:val="single" w:sz="4" w:space="0" w:color="auto"/>
            </w:tcBorders>
            <w:vAlign w:val="center"/>
          </w:tcPr>
          <w:p w14:paraId="406694D5" w14:textId="77777777" w:rsidR="00FA1843" w:rsidRPr="004B2A0E" w:rsidRDefault="00FA1843" w:rsidP="00EE1D03">
            <w:pPr>
              <w:jc w:val="center"/>
              <w:rPr>
                <w:noProof/>
                <w:sz w:val="18"/>
              </w:rPr>
            </w:pPr>
            <w:r w:rsidRPr="004B2A0E">
              <w:rPr>
                <w:noProof/>
                <w:sz w:val="18"/>
              </w:rPr>
              <w:t>from EFTA countries</w:t>
            </w:r>
          </w:p>
        </w:tc>
        <w:tc>
          <w:tcPr>
            <w:tcW w:w="1080" w:type="dxa"/>
            <w:tcBorders>
              <w:bottom w:val="single" w:sz="4" w:space="0" w:color="auto"/>
            </w:tcBorders>
            <w:vAlign w:val="center"/>
          </w:tcPr>
          <w:p w14:paraId="3A688699" w14:textId="77777777" w:rsidR="00FA1843" w:rsidRPr="004B2A0E" w:rsidRDefault="00FA1843" w:rsidP="00EE1D03">
            <w:pPr>
              <w:jc w:val="center"/>
              <w:rPr>
                <w:noProof/>
                <w:sz w:val="18"/>
              </w:rPr>
            </w:pPr>
            <w:r w:rsidRPr="004B2A0E">
              <w:rPr>
                <w:noProof/>
                <w:sz w:val="18"/>
              </w:rPr>
              <w:t>from candidate countries</w:t>
            </w:r>
          </w:p>
        </w:tc>
        <w:tc>
          <w:tcPr>
            <w:tcW w:w="956" w:type="dxa"/>
            <w:tcBorders>
              <w:bottom w:val="single" w:sz="4" w:space="0" w:color="auto"/>
            </w:tcBorders>
            <w:vAlign w:val="center"/>
          </w:tcPr>
          <w:p w14:paraId="57005F8A" w14:textId="77777777" w:rsidR="00FA1843" w:rsidRPr="004B2A0E" w:rsidRDefault="00FA1843" w:rsidP="00EE1D03">
            <w:pPr>
              <w:jc w:val="center"/>
              <w:rPr>
                <w:noProof/>
                <w:sz w:val="18"/>
              </w:rPr>
            </w:pPr>
            <w:r w:rsidRPr="004B2A0E">
              <w:rPr>
                <w:noProof/>
                <w:sz w:val="18"/>
              </w:rPr>
              <w:t>from third countries</w:t>
            </w:r>
          </w:p>
        </w:tc>
        <w:tc>
          <w:tcPr>
            <w:tcW w:w="1564" w:type="dxa"/>
            <w:tcBorders>
              <w:bottom w:val="single" w:sz="4" w:space="0" w:color="auto"/>
            </w:tcBorders>
            <w:vAlign w:val="center"/>
          </w:tcPr>
          <w:p w14:paraId="445E27AB" w14:textId="77777777" w:rsidR="00FA1843" w:rsidRPr="004B2A0E" w:rsidRDefault="00FA1843" w:rsidP="00EE1D03">
            <w:pPr>
              <w:jc w:val="center"/>
              <w:rPr>
                <w:noProof/>
              </w:rPr>
            </w:pPr>
            <w:r w:rsidRPr="004B2A0E">
              <w:rPr>
                <w:noProof/>
                <w:sz w:val="16"/>
              </w:rPr>
              <w:t xml:space="preserve">within the meaning of Article 21(2)(b) of the Financial Regulation </w:t>
            </w:r>
          </w:p>
        </w:tc>
      </w:tr>
      <w:tr w:rsidR="00FA1843" w:rsidRPr="004B2A0E" w14:paraId="793DB53E" w14:textId="77777777" w:rsidTr="00EE1D03">
        <w:tc>
          <w:tcPr>
            <w:tcW w:w="1080" w:type="dxa"/>
            <w:vAlign w:val="center"/>
          </w:tcPr>
          <w:p w14:paraId="79E46B80" w14:textId="77777777" w:rsidR="00FA1843" w:rsidRPr="004B2A0E" w:rsidRDefault="00FA1843" w:rsidP="00EE1D03">
            <w:pPr>
              <w:jc w:val="center"/>
              <w:rPr>
                <w:noProof/>
                <w:color w:val="0000FF"/>
              </w:rPr>
            </w:pPr>
          </w:p>
        </w:tc>
        <w:tc>
          <w:tcPr>
            <w:tcW w:w="3960" w:type="dxa"/>
            <w:tcBorders>
              <w:bottom w:val="single" w:sz="4" w:space="0" w:color="auto"/>
            </w:tcBorders>
            <w:vAlign w:val="center"/>
          </w:tcPr>
          <w:p w14:paraId="4AFCF81F" w14:textId="77777777" w:rsidR="00FA1843" w:rsidRPr="004B2A0E" w:rsidRDefault="00FA1843" w:rsidP="00EE1D03">
            <w:pPr>
              <w:spacing w:after="60"/>
              <w:rPr>
                <w:noProof/>
              </w:rPr>
            </w:pPr>
            <w:bookmarkStart w:id="56" w:name="_Hlk135758325"/>
            <w:r w:rsidRPr="004B2A0E">
              <w:rPr>
                <w:noProof/>
              </w:rPr>
              <w:t>N/A</w:t>
            </w:r>
            <w:bookmarkEnd w:id="56"/>
          </w:p>
        </w:tc>
        <w:tc>
          <w:tcPr>
            <w:tcW w:w="1080" w:type="dxa"/>
            <w:tcBorders>
              <w:bottom w:val="single" w:sz="4" w:space="0" w:color="auto"/>
            </w:tcBorders>
            <w:vAlign w:val="center"/>
          </w:tcPr>
          <w:p w14:paraId="65C7A962" w14:textId="77777777" w:rsidR="00FA1843" w:rsidRPr="004B2A0E" w:rsidRDefault="00FA1843" w:rsidP="00EE1D03">
            <w:pPr>
              <w:spacing w:after="60"/>
              <w:rPr>
                <w:noProof/>
              </w:rPr>
            </w:pPr>
          </w:p>
        </w:tc>
        <w:tc>
          <w:tcPr>
            <w:tcW w:w="956" w:type="dxa"/>
            <w:tcBorders>
              <w:bottom w:val="single" w:sz="4" w:space="0" w:color="auto"/>
            </w:tcBorders>
            <w:vAlign w:val="center"/>
          </w:tcPr>
          <w:p w14:paraId="37B9F290" w14:textId="77777777" w:rsidR="00FA1843" w:rsidRPr="004B2A0E" w:rsidRDefault="00FA1843" w:rsidP="00EE1D03">
            <w:pPr>
              <w:spacing w:after="60"/>
              <w:rPr>
                <w:noProof/>
              </w:rPr>
            </w:pPr>
          </w:p>
        </w:tc>
        <w:tc>
          <w:tcPr>
            <w:tcW w:w="1080" w:type="dxa"/>
            <w:tcBorders>
              <w:bottom w:val="single" w:sz="4" w:space="0" w:color="auto"/>
            </w:tcBorders>
            <w:vAlign w:val="center"/>
          </w:tcPr>
          <w:p w14:paraId="739B4F9B" w14:textId="77777777" w:rsidR="00FA1843" w:rsidRPr="004B2A0E" w:rsidRDefault="00FA1843" w:rsidP="00EE1D03">
            <w:pPr>
              <w:spacing w:after="60"/>
              <w:rPr>
                <w:noProof/>
              </w:rPr>
            </w:pPr>
          </w:p>
        </w:tc>
        <w:tc>
          <w:tcPr>
            <w:tcW w:w="956" w:type="dxa"/>
            <w:tcBorders>
              <w:bottom w:val="single" w:sz="4" w:space="0" w:color="auto"/>
            </w:tcBorders>
            <w:vAlign w:val="center"/>
          </w:tcPr>
          <w:p w14:paraId="2849F096" w14:textId="77777777" w:rsidR="00FA1843" w:rsidRPr="004B2A0E" w:rsidRDefault="00FA1843" w:rsidP="00EE1D03">
            <w:pPr>
              <w:spacing w:after="60"/>
              <w:rPr>
                <w:noProof/>
              </w:rPr>
            </w:pPr>
          </w:p>
        </w:tc>
        <w:tc>
          <w:tcPr>
            <w:tcW w:w="1564" w:type="dxa"/>
            <w:tcBorders>
              <w:bottom w:val="single" w:sz="4" w:space="0" w:color="auto"/>
            </w:tcBorders>
            <w:vAlign w:val="center"/>
          </w:tcPr>
          <w:p w14:paraId="379F66F6" w14:textId="77777777" w:rsidR="00FA1843" w:rsidRPr="004B2A0E" w:rsidRDefault="00FA1843" w:rsidP="00EE1D03">
            <w:pPr>
              <w:spacing w:after="60"/>
              <w:rPr>
                <w:noProof/>
              </w:rPr>
            </w:pPr>
          </w:p>
        </w:tc>
      </w:tr>
    </w:tbl>
    <w:p w14:paraId="4F5F0F79" w14:textId="77777777" w:rsidR="00FA1843" w:rsidRPr="004B2A0E" w:rsidRDefault="00FA1843" w:rsidP="00FA1843">
      <w:pPr>
        <w:rPr>
          <w:noProof/>
        </w:rPr>
        <w:sectPr w:rsidR="00FA1843" w:rsidRPr="004B2A0E" w:rsidSect="00783A24">
          <w:pgSz w:w="11906" w:h="16838" w:code="9"/>
          <w:pgMar w:top="794" w:right="907" w:bottom="851" w:left="1361" w:header="510" w:footer="454" w:gutter="0"/>
          <w:cols w:space="720"/>
          <w:docGrid w:linePitch="326"/>
        </w:sectPr>
      </w:pPr>
    </w:p>
    <w:p w14:paraId="0CE169DB" w14:textId="7F2DF54F" w:rsidR="00FA1843" w:rsidRPr="004B2A0E" w:rsidRDefault="002A7F8C" w:rsidP="002A7F8C">
      <w:pPr>
        <w:pStyle w:val="ManualHeading2"/>
        <w:rPr>
          <w:bCs/>
          <w:noProof/>
          <w:szCs w:val="24"/>
        </w:rPr>
      </w:pPr>
      <w:bookmarkStart w:id="57" w:name="_Toc514938685"/>
      <w:bookmarkStart w:id="58" w:name="_Toc520485444"/>
      <w:r w:rsidRPr="002A7F8C">
        <w:rPr>
          <w:noProof/>
        </w:rPr>
        <w:t>3.2.</w:t>
      </w:r>
      <w:r w:rsidRPr="002A7F8C">
        <w:rPr>
          <w:noProof/>
        </w:rPr>
        <w:tab/>
      </w:r>
      <w:r w:rsidR="00FA1843" w:rsidRPr="004B2A0E">
        <w:rPr>
          <w:noProof/>
        </w:rPr>
        <w:t>Estimated impact on expenditure</w:t>
      </w:r>
      <w:bookmarkEnd w:id="57"/>
      <w:bookmarkEnd w:id="58"/>
      <w:r w:rsidR="00FA1843" w:rsidRPr="004B2A0E">
        <w:rPr>
          <w:noProof/>
        </w:rPr>
        <w:t xml:space="preserve"> </w:t>
      </w:r>
    </w:p>
    <w:p w14:paraId="3EA6A251" w14:textId="50E1BD74" w:rsidR="00FA1843" w:rsidRPr="004B2A0E" w:rsidRDefault="002A7F8C" w:rsidP="002A7F8C">
      <w:pPr>
        <w:pStyle w:val="ManualHeading3"/>
        <w:rPr>
          <w:bCs/>
          <w:noProof/>
          <w:szCs w:val="24"/>
        </w:rPr>
      </w:pPr>
      <w:bookmarkStart w:id="59" w:name="_Toc514938686"/>
      <w:bookmarkStart w:id="60" w:name="_Toc520485445"/>
      <w:r w:rsidRPr="002A7F8C">
        <w:rPr>
          <w:noProof/>
        </w:rPr>
        <w:t>3.2.1.</w:t>
      </w:r>
      <w:r w:rsidRPr="002A7F8C">
        <w:rPr>
          <w:noProof/>
        </w:rPr>
        <w:tab/>
      </w:r>
      <w:r w:rsidR="00FA1843" w:rsidRPr="004B2A0E">
        <w:rPr>
          <w:noProof/>
        </w:rPr>
        <w:t>Summary of estimated impact on expenditure</w:t>
      </w:r>
      <w:bookmarkEnd w:id="59"/>
      <w:bookmarkEnd w:id="60"/>
      <w:r w:rsidR="00FA1843" w:rsidRPr="004B2A0E">
        <w:rPr>
          <w:noProof/>
        </w:rPr>
        <w:t xml:space="preserve"> </w:t>
      </w:r>
    </w:p>
    <w:p w14:paraId="19ADDA44" w14:textId="77777777" w:rsidR="00FA1843" w:rsidRPr="004B2A0E" w:rsidRDefault="00FA1843" w:rsidP="00FA1843">
      <w:pPr>
        <w:jc w:val="right"/>
        <w:rPr>
          <w:noProof/>
          <w:sz w:val="20"/>
        </w:rPr>
      </w:pPr>
      <w:r w:rsidRPr="004B2A0E">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A1843" w:rsidRPr="004B2A0E" w14:paraId="7C7F0FF9" w14:textId="77777777" w:rsidTr="00EE1D03">
        <w:trPr>
          <w:jc w:val="center"/>
        </w:trPr>
        <w:tc>
          <w:tcPr>
            <w:tcW w:w="4744" w:type="dxa"/>
            <w:shd w:val="thinDiagStripe" w:color="C0C0C0" w:fill="auto"/>
            <w:vAlign w:val="center"/>
          </w:tcPr>
          <w:p w14:paraId="3D9B1834" w14:textId="77777777" w:rsidR="00FA1843" w:rsidRPr="004B2A0E" w:rsidRDefault="00FA1843" w:rsidP="00EE1D03">
            <w:pPr>
              <w:spacing w:before="60" w:after="60"/>
              <w:jc w:val="center"/>
              <w:rPr>
                <w:b/>
                <w:noProof/>
              </w:rPr>
            </w:pPr>
            <w:r w:rsidRPr="004B2A0E">
              <w:rPr>
                <w:b/>
                <w:noProof/>
                <w:sz w:val="22"/>
              </w:rPr>
              <w:t xml:space="preserve">Heading of multiannual financial </w:t>
            </w:r>
            <w:r w:rsidRPr="004B2A0E">
              <w:rPr>
                <w:noProof/>
                <w:sz w:val="22"/>
              </w:rPr>
              <w:br/>
            </w:r>
            <w:r w:rsidRPr="004B2A0E">
              <w:rPr>
                <w:b/>
                <w:noProof/>
                <w:sz w:val="22"/>
              </w:rPr>
              <w:t xml:space="preserve">framework </w:t>
            </w:r>
          </w:p>
        </w:tc>
        <w:tc>
          <w:tcPr>
            <w:tcW w:w="1080" w:type="dxa"/>
            <w:vAlign w:val="center"/>
          </w:tcPr>
          <w:p w14:paraId="01FC50E5" w14:textId="77777777" w:rsidR="00FA1843" w:rsidRPr="004B2A0E" w:rsidRDefault="00FA1843" w:rsidP="00EE1D03">
            <w:pPr>
              <w:spacing w:before="60" w:after="60"/>
              <w:jc w:val="center"/>
              <w:rPr>
                <w:noProof/>
              </w:rPr>
            </w:pPr>
            <w:r w:rsidRPr="004B2A0E">
              <w:rPr>
                <w:noProof/>
                <w:sz w:val="22"/>
              </w:rPr>
              <w:t>Number</w:t>
            </w:r>
          </w:p>
        </w:tc>
        <w:tc>
          <w:tcPr>
            <w:tcW w:w="7817" w:type="dxa"/>
            <w:vAlign w:val="center"/>
          </w:tcPr>
          <w:p w14:paraId="47B8180A" w14:textId="77777777" w:rsidR="00FA1843" w:rsidRPr="004B2A0E" w:rsidRDefault="00FA1843" w:rsidP="00EE1D03">
            <w:pPr>
              <w:spacing w:before="60" w:after="60"/>
              <w:rPr>
                <w:noProof/>
              </w:rPr>
            </w:pPr>
            <w:r w:rsidRPr="005828C6">
              <w:rPr>
                <w:noProof/>
              </w:rPr>
              <w:t>[Headin</w:t>
            </w:r>
            <w:r>
              <w:rPr>
                <w:noProof/>
              </w:rPr>
              <w:t>g……………...………………………………………………………</w:t>
            </w:r>
            <w:r w:rsidRPr="005828C6">
              <w:rPr>
                <w:noProof/>
              </w:rPr>
              <w:t>]</w:t>
            </w:r>
          </w:p>
        </w:tc>
      </w:tr>
    </w:tbl>
    <w:p w14:paraId="3194BA38" w14:textId="77777777" w:rsidR="00FA1843" w:rsidRDefault="00FA1843" w:rsidP="00FA1843">
      <w:pPr>
        <w:rPr>
          <w:b/>
          <w:bCs/>
          <w:noProof/>
          <w:sz w:val="20"/>
          <w:szCs w:val="20"/>
        </w:rPr>
      </w:pPr>
    </w:p>
    <w:tbl>
      <w:tblPr>
        <w:tblW w:w="130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560"/>
        <w:gridCol w:w="708"/>
        <w:gridCol w:w="1036"/>
        <w:gridCol w:w="1035"/>
        <w:gridCol w:w="1036"/>
        <w:gridCol w:w="1035"/>
        <w:gridCol w:w="1036"/>
        <w:gridCol w:w="1843"/>
      </w:tblGrid>
      <w:tr w:rsidR="00FA1843" w:rsidRPr="004B2A0E" w14:paraId="3C4EF3EE" w14:textId="77777777" w:rsidTr="00EE1D03">
        <w:tc>
          <w:tcPr>
            <w:tcW w:w="3762" w:type="dxa"/>
            <w:vAlign w:val="center"/>
          </w:tcPr>
          <w:p w14:paraId="31B8CC70" w14:textId="77777777" w:rsidR="00FA1843" w:rsidRPr="004B2A0E" w:rsidRDefault="00FA1843" w:rsidP="00EE1D03">
            <w:pPr>
              <w:jc w:val="center"/>
              <w:rPr>
                <w:noProof/>
                <w:sz w:val="20"/>
                <w:szCs w:val="20"/>
              </w:rPr>
            </w:pPr>
            <w:r>
              <w:rPr>
                <w:noProof/>
                <w:sz w:val="22"/>
              </w:rPr>
              <w:t xml:space="preserve">[Body]: </w:t>
            </w:r>
            <w:r w:rsidRPr="005828C6">
              <w:rPr>
                <w:noProof/>
              </w:rPr>
              <w:t>&lt;…….&gt;</w:t>
            </w:r>
          </w:p>
        </w:tc>
        <w:tc>
          <w:tcPr>
            <w:tcW w:w="1560" w:type="dxa"/>
            <w:vAlign w:val="center"/>
          </w:tcPr>
          <w:p w14:paraId="1987B337" w14:textId="77777777" w:rsidR="00FA1843" w:rsidRPr="004B2A0E" w:rsidRDefault="00FA1843" w:rsidP="00EE1D03">
            <w:pPr>
              <w:rPr>
                <w:noProof/>
                <w:sz w:val="20"/>
                <w:szCs w:val="20"/>
              </w:rPr>
            </w:pPr>
          </w:p>
        </w:tc>
        <w:tc>
          <w:tcPr>
            <w:tcW w:w="708" w:type="dxa"/>
            <w:vAlign w:val="center"/>
          </w:tcPr>
          <w:p w14:paraId="05F3063F" w14:textId="77777777" w:rsidR="00FA1843" w:rsidRPr="004B2A0E" w:rsidRDefault="00FA1843" w:rsidP="00EE1D03">
            <w:pPr>
              <w:jc w:val="center"/>
              <w:rPr>
                <w:noProof/>
                <w:sz w:val="20"/>
                <w:szCs w:val="20"/>
              </w:rPr>
            </w:pPr>
          </w:p>
        </w:tc>
        <w:tc>
          <w:tcPr>
            <w:tcW w:w="1036" w:type="dxa"/>
            <w:vAlign w:val="center"/>
          </w:tcPr>
          <w:p w14:paraId="57435A61" w14:textId="77777777" w:rsidR="00FA1843" w:rsidRPr="004B2A0E" w:rsidRDefault="00FA1843" w:rsidP="00EE1D03">
            <w:pPr>
              <w:jc w:val="center"/>
              <w:rPr>
                <w:noProof/>
                <w:sz w:val="20"/>
                <w:szCs w:val="20"/>
              </w:rPr>
            </w:pPr>
            <w:r w:rsidRPr="004B2A0E">
              <w:rPr>
                <w:noProof/>
                <w:sz w:val="20"/>
                <w:szCs w:val="20"/>
              </w:rPr>
              <w:t>2023</w:t>
            </w:r>
          </w:p>
        </w:tc>
        <w:tc>
          <w:tcPr>
            <w:tcW w:w="1035" w:type="dxa"/>
            <w:vAlign w:val="center"/>
          </w:tcPr>
          <w:p w14:paraId="4DEF1D9E" w14:textId="77777777" w:rsidR="00FA1843" w:rsidRPr="004B2A0E" w:rsidRDefault="00FA1843" w:rsidP="00EE1D03">
            <w:pPr>
              <w:jc w:val="center"/>
              <w:rPr>
                <w:noProof/>
                <w:sz w:val="20"/>
                <w:szCs w:val="20"/>
              </w:rPr>
            </w:pPr>
            <w:r w:rsidRPr="004B2A0E">
              <w:rPr>
                <w:noProof/>
                <w:sz w:val="20"/>
                <w:szCs w:val="20"/>
              </w:rPr>
              <w:t>2024</w:t>
            </w:r>
          </w:p>
        </w:tc>
        <w:tc>
          <w:tcPr>
            <w:tcW w:w="1036" w:type="dxa"/>
            <w:vAlign w:val="center"/>
          </w:tcPr>
          <w:p w14:paraId="69502331" w14:textId="77777777" w:rsidR="00FA1843" w:rsidRPr="004B2A0E" w:rsidRDefault="00FA1843" w:rsidP="00EE1D03">
            <w:pPr>
              <w:jc w:val="center"/>
              <w:rPr>
                <w:noProof/>
                <w:sz w:val="20"/>
                <w:szCs w:val="20"/>
              </w:rPr>
            </w:pPr>
            <w:r w:rsidRPr="004B2A0E">
              <w:rPr>
                <w:noProof/>
                <w:sz w:val="20"/>
                <w:szCs w:val="20"/>
              </w:rPr>
              <w:t>2025</w:t>
            </w:r>
          </w:p>
        </w:tc>
        <w:tc>
          <w:tcPr>
            <w:tcW w:w="1035" w:type="dxa"/>
            <w:vAlign w:val="center"/>
          </w:tcPr>
          <w:p w14:paraId="4263051D" w14:textId="77777777" w:rsidR="00FA1843" w:rsidRPr="004B2A0E" w:rsidRDefault="00FA1843" w:rsidP="00EE1D03">
            <w:pPr>
              <w:jc w:val="center"/>
              <w:rPr>
                <w:noProof/>
                <w:sz w:val="20"/>
                <w:szCs w:val="20"/>
              </w:rPr>
            </w:pPr>
            <w:r w:rsidRPr="004B2A0E">
              <w:rPr>
                <w:noProof/>
                <w:sz w:val="20"/>
                <w:szCs w:val="20"/>
              </w:rPr>
              <w:t>2026</w:t>
            </w:r>
          </w:p>
        </w:tc>
        <w:tc>
          <w:tcPr>
            <w:tcW w:w="1036" w:type="dxa"/>
            <w:vAlign w:val="center"/>
          </w:tcPr>
          <w:p w14:paraId="6BC7FC1B" w14:textId="77777777" w:rsidR="00FA1843" w:rsidRPr="004B2A0E" w:rsidRDefault="00FA1843" w:rsidP="00EE1D03">
            <w:pPr>
              <w:jc w:val="center"/>
              <w:rPr>
                <w:noProof/>
                <w:sz w:val="20"/>
                <w:szCs w:val="20"/>
              </w:rPr>
            </w:pPr>
            <w:r w:rsidRPr="004B2A0E">
              <w:rPr>
                <w:noProof/>
                <w:sz w:val="20"/>
                <w:szCs w:val="20"/>
              </w:rPr>
              <w:t>2027</w:t>
            </w:r>
          </w:p>
        </w:tc>
        <w:tc>
          <w:tcPr>
            <w:tcW w:w="1843" w:type="dxa"/>
            <w:vAlign w:val="center"/>
          </w:tcPr>
          <w:p w14:paraId="721F7817" w14:textId="77777777" w:rsidR="00FA1843" w:rsidRPr="004B2A0E" w:rsidRDefault="00FA1843" w:rsidP="00EE1D03">
            <w:pPr>
              <w:jc w:val="center"/>
              <w:rPr>
                <w:b/>
                <w:noProof/>
                <w:sz w:val="20"/>
                <w:szCs w:val="20"/>
              </w:rPr>
            </w:pPr>
            <w:r w:rsidRPr="004B2A0E">
              <w:rPr>
                <w:b/>
                <w:noProof/>
                <w:sz w:val="20"/>
                <w:szCs w:val="20"/>
              </w:rPr>
              <w:t>TOTAL</w:t>
            </w:r>
          </w:p>
        </w:tc>
      </w:tr>
      <w:tr w:rsidR="00FA1843" w:rsidRPr="004B2A0E" w14:paraId="0345291D" w14:textId="77777777" w:rsidTr="00EE1D03">
        <w:trPr>
          <w:trHeight w:val="277"/>
        </w:trPr>
        <w:tc>
          <w:tcPr>
            <w:tcW w:w="3762" w:type="dxa"/>
            <w:vMerge w:val="restart"/>
            <w:vAlign w:val="center"/>
          </w:tcPr>
          <w:p w14:paraId="3BF0C8C1" w14:textId="77777777" w:rsidR="00FA1843" w:rsidRPr="004B2A0E" w:rsidRDefault="00FA1843" w:rsidP="00EE1D03">
            <w:pPr>
              <w:rPr>
                <w:noProof/>
                <w:sz w:val="20"/>
                <w:szCs w:val="20"/>
              </w:rPr>
            </w:pPr>
            <w:r w:rsidRPr="004B2A0E">
              <w:rPr>
                <w:noProof/>
                <w:sz w:val="20"/>
                <w:szCs w:val="20"/>
              </w:rPr>
              <w:t>Title 1:</w:t>
            </w:r>
          </w:p>
        </w:tc>
        <w:tc>
          <w:tcPr>
            <w:tcW w:w="1560" w:type="dxa"/>
            <w:vAlign w:val="center"/>
          </w:tcPr>
          <w:p w14:paraId="1F525F0B" w14:textId="77777777" w:rsidR="00FA1843" w:rsidRPr="004B2A0E" w:rsidRDefault="00FA1843" w:rsidP="00EE1D03">
            <w:pPr>
              <w:spacing w:before="20" w:after="20"/>
              <w:rPr>
                <w:noProof/>
                <w:sz w:val="18"/>
                <w:szCs w:val="18"/>
              </w:rPr>
            </w:pPr>
            <w:r w:rsidRPr="004B2A0E">
              <w:rPr>
                <w:noProof/>
                <w:sz w:val="18"/>
                <w:szCs w:val="18"/>
              </w:rPr>
              <w:t>Commitments</w:t>
            </w:r>
          </w:p>
        </w:tc>
        <w:tc>
          <w:tcPr>
            <w:tcW w:w="708" w:type="dxa"/>
            <w:vAlign w:val="center"/>
          </w:tcPr>
          <w:p w14:paraId="3614F50D" w14:textId="77777777" w:rsidR="00FA1843" w:rsidRPr="004B2A0E" w:rsidRDefault="00FA1843" w:rsidP="00EE1D03">
            <w:pPr>
              <w:spacing w:before="20" w:after="20"/>
              <w:jc w:val="center"/>
              <w:rPr>
                <w:noProof/>
                <w:sz w:val="18"/>
                <w:szCs w:val="18"/>
              </w:rPr>
            </w:pPr>
            <w:r w:rsidRPr="004B2A0E">
              <w:rPr>
                <w:noProof/>
                <w:sz w:val="18"/>
                <w:szCs w:val="18"/>
              </w:rPr>
              <w:t>(1)</w:t>
            </w:r>
          </w:p>
        </w:tc>
        <w:tc>
          <w:tcPr>
            <w:tcW w:w="1036" w:type="dxa"/>
            <w:vAlign w:val="center"/>
          </w:tcPr>
          <w:p w14:paraId="5D09B535" w14:textId="77777777" w:rsidR="00FA1843" w:rsidRPr="004B2A0E" w:rsidRDefault="00FA1843" w:rsidP="00EE1D03">
            <w:pPr>
              <w:spacing w:before="20" w:after="20"/>
              <w:jc w:val="right"/>
              <w:rPr>
                <w:noProof/>
                <w:sz w:val="20"/>
                <w:szCs w:val="20"/>
              </w:rPr>
            </w:pPr>
          </w:p>
        </w:tc>
        <w:tc>
          <w:tcPr>
            <w:tcW w:w="1035" w:type="dxa"/>
            <w:vAlign w:val="center"/>
          </w:tcPr>
          <w:p w14:paraId="5879A904" w14:textId="77777777" w:rsidR="00FA1843" w:rsidRPr="004B2A0E" w:rsidRDefault="00FA1843" w:rsidP="00EE1D03">
            <w:pPr>
              <w:spacing w:before="0" w:after="0"/>
              <w:jc w:val="right"/>
              <w:rPr>
                <w:noProof/>
                <w:color w:val="000000"/>
                <w:sz w:val="20"/>
                <w:szCs w:val="20"/>
              </w:rPr>
            </w:pPr>
          </w:p>
        </w:tc>
        <w:tc>
          <w:tcPr>
            <w:tcW w:w="1036" w:type="dxa"/>
            <w:vAlign w:val="center"/>
          </w:tcPr>
          <w:p w14:paraId="4E55D478" w14:textId="77777777" w:rsidR="00FA1843" w:rsidRPr="004B2A0E" w:rsidRDefault="00FA1843" w:rsidP="00EE1D03">
            <w:pPr>
              <w:jc w:val="right"/>
              <w:rPr>
                <w:noProof/>
                <w:color w:val="000000"/>
                <w:sz w:val="20"/>
                <w:szCs w:val="20"/>
              </w:rPr>
            </w:pPr>
          </w:p>
        </w:tc>
        <w:tc>
          <w:tcPr>
            <w:tcW w:w="1035" w:type="dxa"/>
            <w:vAlign w:val="center"/>
          </w:tcPr>
          <w:p w14:paraId="4DC4ED83" w14:textId="77777777" w:rsidR="00FA1843" w:rsidRPr="004B2A0E" w:rsidRDefault="00FA1843" w:rsidP="00EE1D03">
            <w:pPr>
              <w:jc w:val="right"/>
              <w:rPr>
                <w:noProof/>
                <w:color w:val="000000"/>
                <w:sz w:val="20"/>
                <w:szCs w:val="20"/>
              </w:rPr>
            </w:pPr>
          </w:p>
        </w:tc>
        <w:tc>
          <w:tcPr>
            <w:tcW w:w="1036" w:type="dxa"/>
            <w:vAlign w:val="center"/>
          </w:tcPr>
          <w:p w14:paraId="16D8A657" w14:textId="77777777" w:rsidR="00FA1843" w:rsidRPr="004B2A0E" w:rsidRDefault="00FA1843" w:rsidP="00EE1D03">
            <w:pPr>
              <w:jc w:val="right"/>
              <w:rPr>
                <w:noProof/>
                <w:color w:val="000000"/>
                <w:sz w:val="20"/>
                <w:szCs w:val="20"/>
              </w:rPr>
            </w:pPr>
          </w:p>
        </w:tc>
        <w:tc>
          <w:tcPr>
            <w:tcW w:w="1843" w:type="dxa"/>
            <w:vAlign w:val="center"/>
          </w:tcPr>
          <w:p w14:paraId="107212BA" w14:textId="77777777" w:rsidR="00FA1843" w:rsidRPr="004B2A0E" w:rsidRDefault="00FA1843" w:rsidP="00EE1D03">
            <w:pPr>
              <w:jc w:val="right"/>
              <w:rPr>
                <w:b/>
                <w:bCs/>
                <w:noProof/>
                <w:color w:val="000000"/>
                <w:sz w:val="20"/>
                <w:szCs w:val="20"/>
              </w:rPr>
            </w:pPr>
          </w:p>
        </w:tc>
      </w:tr>
      <w:tr w:rsidR="00FA1843" w:rsidRPr="004B2A0E" w14:paraId="152C350D" w14:textId="77777777" w:rsidTr="00EE1D03">
        <w:tc>
          <w:tcPr>
            <w:tcW w:w="3762" w:type="dxa"/>
            <w:vMerge/>
            <w:vAlign w:val="center"/>
          </w:tcPr>
          <w:p w14:paraId="0F46F237" w14:textId="77777777" w:rsidR="00FA1843" w:rsidRPr="004B2A0E" w:rsidRDefault="00FA1843" w:rsidP="00EE1D03">
            <w:pPr>
              <w:rPr>
                <w:noProof/>
                <w:sz w:val="20"/>
                <w:szCs w:val="20"/>
              </w:rPr>
            </w:pPr>
          </w:p>
        </w:tc>
        <w:tc>
          <w:tcPr>
            <w:tcW w:w="1560" w:type="dxa"/>
            <w:vAlign w:val="center"/>
          </w:tcPr>
          <w:p w14:paraId="2FC6CFB2" w14:textId="77777777" w:rsidR="00FA1843" w:rsidRPr="004B2A0E" w:rsidRDefault="00FA1843" w:rsidP="00EE1D03">
            <w:pPr>
              <w:spacing w:before="20" w:after="20"/>
              <w:rPr>
                <w:noProof/>
                <w:sz w:val="18"/>
                <w:szCs w:val="18"/>
              </w:rPr>
            </w:pPr>
            <w:r w:rsidRPr="004B2A0E">
              <w:rPr>
                <w:noProof/>
                <w:sz w:val="18"/>
                <w:szCs w:val="18"/>
              </w:rPr>
              <w:t>Payments</w:t>
            </w:r>
          </w:p>
        </w:tc>
        <w:tc>
          <w:tcPr>
            <w:tcW w:w="708" w:type="dxa"/>
            <w:vAlign w:val="center"/>
          </w:tcPr>
          <w:p w14:paraId="791AB47B" w14:textId="77777777" w:rsidR="00FA1843" w:rsidRPr="004B2A0E" w:rsidRDefault="00FA1843" w:rsidP="00EE1D03">
            <w:pPr>
              <w:spacing w:before="20" w:after="20"/>
              <w:jc w:val="center"/>
              <w:rPr>
                <w:noProof/>
                <w:sz w:val="18"/>
                <w:szCs w:val="18"/>
              </w:rPr>
            </w:pPr>
            <w:r w:rsidRPr="004B2A0E">
              <w:rPr>
                <w:noProof/>
                <w:sz w:val="18"/>
                <w:szCs w:val="18"/>
              </w:rPr>
              <w:t>(2)</w:t>
            </w:r>
          </w:p>
        </w:tc>
        <w:tc>
          <w:tcPr>
            <w:tcW w:w="1036" w:type="dxa"/>
            <w:vAlign w:val="center"/>
          </w:tcPr>
          <w:p w14:paraId="108AC434" w14:textId="77777777" w:rsidR="00FA1843" w:rsidRPr="004B2A0E" w:rsidRDefault="00FA1843" w:rsidP="00EE1D03">
            <w:pPr>
              <w:spacing w:before="20" w:after="20"/>
              <w:jc w:val="right"/>
              <w:rPr>
                <w:noProof/>
                <w:sz w:val="20"/>
                <w:szCs w:val="20"/>
              </w:rPr>
            </w:pPr>
          </w:p>
        </w:tc>
        <w:tc>
          <w:tcPr>
            <w:tcW w:w="1035" w:type="dxa"/>
            <w:vAlign w:val="center"/>
          </w:tcPr>
          <w:p w14:paraId="3695B98F" w14:textId="77777777" w:rsidR="00FA1843" w:rsidRPr="004B2A0E" w:rsidRDefault="00FA1843" w:rsidP="00EE1D03">
            <w:pPr>
              <w:spacing w:before="0" w:after="0"/>
              <w:jc w:val="right"/>
              <w:rPr>
                <w:noProof/>
                <w:color w:val="000000"/>
                <w:sz w:val="20"/>
                <w:szCs w:val="20"/>
              </w:rPr>
            </w:pPr>
          </w:p>
        </w:tc>
        <w:tc>
          <w:tcPr>
            <w:tcW w:w="1036" w:type="dxa"/>
            <w:vAlign w:val="center"/>
          </w:tcPr>
          <w:p w14:paraId="28FC8568" w14:textId="77777777" w:rsidR="00FA1843" w:rsidRPr="004B2A0E" w:rsidRDefault="00FA1843" w:rsidP="00EE1D03">
            <w:pPr>
              <w:jc w:val="right"/>
              <w:rPr>
                <w:noProof/>
                <w:color w:val="000000"/>
                <w:sz w:val="20"/>
                <w:szCs w:val="20"/>
              </w:rPr>
            </w:pPr>
          </w:p>
        </w:tc>
        <w:tc>
          <w:tcPr>
            <w:tcW w:w="1035" w:type="dxa"/>
            <w:vAlign w:val="center"/>
          </w:tcPr>
          <w:p w14:paraId="7A96B42E" w14:textId="77777777" w:rsidR="00FA1843" w:rsidRPr="004B2A0E" w:rsidRDefault="00FA1843" w:rsidP="00EE1D03">
            <w:pPr>
              <w:jc w:val="right"/>
              <w:rPr>
                <w:noProof/>
                <w:color w:val="000000"/>
                <w:sz w:val="20"/>
                <w:szCs w:val="20"/>
              </w:rPr>
            </w:pPr>
          </w:p>
        </w:tc>
        <w:tc>
          <w:tcPr>
            <w:tcW w:w="1036" w:type="dxa"/>
            <w:vAlign w:val="center"/>
          </w:tcPr>
          <w:p w14:paraId="028B3AE8" w14:textId="77777777" w:rsidR="00FA1843" w:rsidRPr="004B2A0E" w:rsidRDefault="00FA1843" w:rsidP="00EE1D03">
            <w:pPr>
              <w:jc w:val="right"/>
              <w:rPr>
                <w:noProof/>
                <w:color w:val="000000"/>
                <w:sz w:val="20"/>
                <w:szCs w:val="20"/>
              </w:rPr>
            </w:pPr>
          </w:p>
        </w:tc>
        <w:tc>
          <w:tcPr>
            <w:tcW w:w="1843" w:type="dxa"/>
            <w:vAlign w:val="center"/>
          </w:tcPr>
          <w:p w14:paraId="325F82DD" w14:textId="77777777" w:rsidR="00FA1843" w:rsidRPr="004B2A0E" w:rsidRDefault="00FA1843" w:rsidP="00EE1D03">
            <w:pPr>
              <w:jc w:val="right"/>
              <w:rPr>
                <w:b/>
                <w:bCs/>
                <w:noProof/>
                <w:color w:val="000000"/>
                <w:sz w:val="20"/>
                <w:szCs w:val="20"/>
              </w:rPr>
            </w:pPr>
          </w:p>
        </w:tc>
      </w:tr>
      <w:tr w:rsidR="00FA1843" w:rsidRPr="004B2A0E" w14:paraId="1F2F0E26" w14:textId="77777777" w:rsidTr="00EE1D03">
        <w:tc>
          <w:tcPr>
            <w:tcW w:w="3762" w:type="dxa"/>
            <w:vMerge w:val="restart"/>
            <w:vAlign w:val="center"/>
          </w:tcPr>
          <w:p w14:paraId="5BFBF941" w14:textId="77777777" w:rsidR="00FA1843" w:rsidRPr="004B2A0E" w:rsidRDefault="00FA1843" w:rsidP="00EE1D03">
            <w:pPr>
              <w:rPr>
                <w:noProof/>
                <w:sz w:val="20"/>
                <w:szCs w:val="20"/>
              </w:rPr>
            </w:pPr>
            <w:r w:rsidRPr="004B2A0E">
              <w:rPr>
                <w:noProof/>
                <w:sz w:val="20"/>
                <w:szCs w:val="20"/>
              </w:rPr>
              <w:t>Title 2:</w:t>
            </w:r>
          </w:p>
        </w:tc>
        <w:tc>
          <w:tcPr>
            <w:tcW w:w="1560" w:type="dxa"/>
            <w:vAlign w:val="center"/>
          </w:tcPr>
          <w:p w14:paraId="6C962207" w14:textId="77777777" w:rsidR="00FA1843" w:rsidRPr="004B2A0E" w:rsidRDefault="00FA1843" w:rsidP="00EE1D03">
            <w:pPr>
              <w:spacing w:before="20" w:after="20"/>
              <w:rPr>
                <w:noProof/>
                <w:sz w:val="18"/>
                <w:szCs w:val="18"/>
              </w:rPr>
            </w:pPr>
            <w:r w:rsidRPr="004B2A0E">
              <w:rPr>
                <w:noProof/>
                <w:sz w:val="18"/>
                <w:szCs w:val="18"/>
              </w:rPr>
              <w:t>Commitments</w:t>
            </w:r>
          </w:p>
        </w:tc>
        <w:tc>
          <w:tcPr>
            <w:tcW w:w="708" w:type="dxa"/>
            <w:vAlign w:val="center"/>
          </w:tcPr>
          <w:p w14:paraId="56A46A91" w14:textId="77777777" w:rsidR="00FA1843" w:rsidRPr="004B2A0E" w:rsidRDefault="00FA1843" w:rsidP="00EE1D03">
            <w:pPr>
              <w:spacing w:before="20" w:after="20"/>
              <w:jc w:val="center"/>
              <w:rPr>
                <w:noProof/>
                <w:sz w:val="18"/>
                <w:szCs w:val="18"/>
              </w:rPr>
            </w:pPr>
            <w:r w:rsidRPr="004B2A0E">
              <w:rPr>
                <w:noProof/>
                <w:sz w:val="18"/>
                <w:szCs w:val="18"/>
              </w:rPr>
              <w:t>(1a)</w:t>
            </w:r>
          </w:p>
        </w:tc>
        <w:tc>
          <w:tcPr>
            <w:tcW w:w="1036" w:type="dxa"/>
            <w:vAlign w:val="center"/>
          </w:tcPr>
          <w:p w14:paraId="7C99189C" w14:textId="77777777" w:rsidR="00FA1843" w:rsidRPr="004B2A0E" w:rsidRDefault="00FA1843" w:rsidP="00EE1D03">
            <w:pPr>
              <w:spacing w:before="20" w:after="20"/>
              <w:jc w:val="right"/>
              <w:rPr>
                <w:noProof/>
                <w:sz w:val="20"/>
                <w:szCs w:val="20"/>
              </w:rPr>
            </w:pPr>
          </w:p>
        </w:tc>
        <w:tc>
          <w:tcPr>
            <w:tcW w:w="1035" w:type="dxa"/>
            <w:vAlign w:val="center"/>
          </w:tcPr>
          <w:p w14:paraId="18521402" w14:textId="77777777" w:rsidR="00FA1843" w:rsidRPr="004B2A0E" w:rsidRDefault="00FA1843" w:rsidP="00EE1D03">
            <w:pPr>
              <w:spacing w:before="0" w:after="0"/>
              <w:jc w:val="right"/>
              <w:rPr>
                <w:noProof/>
                <w:color w:val="000000"/>
                <w:sz w:val="20"/>
                <w:szCs w:val="20"/>
              </w:rPr>
            </w:pPr>
          </w:p>
        </w:tc>
        <w:tc>
          <w:tcPr>
            <w:tcW w:w="1036" w:type="dxa"/>
            <w:vAlign w:val="center"/>
          </w:tcPr>
          <w:p w14:paraId="1FD6439B" w14:textId="77777777" w:rsidR="00FA1843" w:rsidRPr="004B2A0E" w:rsidRDefault="00FA1843" w:rsidP="00EE1D03">
            <w:pPr>
              <w:jc w:val="right"/>
              <w:rPr>
                <w:noProof/>
                <w:color w:val="000000"/>
                <w:sz w:val="20"/>
                <w:szCs w:val="20"/>
              </w:rPr>
            </w:pPr>
          </w:p>
        </w:tc>
        <w:tc>
          <w:tcPr>
            <w:tcW w:w="1035" w:type="dxa"/>
            <w:vAlign w:val="center"/>
          </w:tcPr>
          <w:p w14:paraId="79EC5198" w14:textId="77777777" w:rsidR="00FA1843" w:rsidRPr="004B2A0E" w:rsidRDefault="00FA1843" w:rsidP="00EE1D03">
            <w:pPr>
              <w:jc w:val="right"/>
              <w:rPr>
                <w:noProof/>
                <w:color w:val="000000"/>
                <w:sz w:val="20"/>
                <w:szCs w:val="20"/>
              </w:rPr>
            </w:pPr>
          </w:p>
        </w:tc>
        <w:tc>
          <w:tcPr>
            <w:tcW w:w="1036" w:type="dxa"/>
            <w:vAlign w:val="center"/>
          </w:tcPr>
          <w:p w14:paraId="7A032E93" w14:textId="77777777" w:rsidR="00FA1843" w:rsidRPr="004B2A0E" w:rsidRDefault="00FA1843" w:rsidP="00EE1D03">
            <w:pPr>
              <w:jc w:val="right"/>
              <w:rPr>
                <w:noProof/>
                <w:color w:val="000000"/>
                <w:sz w:val="20"/>
                <w:szCs w:val="20"/>
              </w:rPr>
            </w:pPr>
          </w:p>
        </w:tc>
        <w:tc>
          <w:tcPr>
            <w:tcW w:w="1843" w:type="dxa"/>
            <w:vAlign w:val="center"/>
          </w:tcPr>
          <w:p w14:paraId="671EAF11" w14:textId="77777777" w:rsidR="00FA1843" w:rsidRPr="004B2A0E" w:rsidRDefault="00FA1843" w:rsidP="00EE1D03">
            <w:pPr>
              <w:jc w:val="right"/>
              <w:rPr>
                <w:b/>
                <w:bCs/>
                <w:noProof/>
                <w:color w:val="000000"/>
                <w:sz w:val="20"/>
                <w:szCs w:val="20"/>
              </w:rPr>
            </w:pPr>
          </w:p>
        </w:tc>
      </w:tr>
      <w:tr w:rsidR="00FA1843" w:rsidRPr="004B2A0E" w14:paraId="6D45F221" w14:textId="77777777" w:rsidTr="00EE1D03">
        <w:tc>
          <w:tcPr>
            <w:tcW w:w="3762" w:type="dxa"/>
            <w:vMerge/>
            <w:vAlign w:val="center"/>
          </w:tcPr>
          <w:p w14:paraId="6B3E7BA7" w14:textId="77777777" w:rsidR="00FA1843" w:rsidRPr="004B2A0E" w:rsidRDefault="00FA1843" w:rsidP="00EE1D03">
            <w:pPr>
              <w:rPr>
                <w:noProof/>
                <w:sz w:val="20"/>
                <w:szCs w:val="20"/>
              </w:rPr>
            </w:pPr>
          </w:p>
        </w:tc>
        <w:tc>
          <w:tcPr>
            <w:tcW w:w="1560" w:type="dxa"/>
            <w:vAlign w:val="center"/>
          </w:tcPr>
          <w:p w14:paraId="571AAA2E" w14:textId="77777777" w:rsidR="00FA1843" w:rsidRPr="004B2A0E" w:rsidRDefault="00FA1843" w:rsidP="00EE1D03">
            <w:pPr>
              <w:spacing w:before="20" w:after="20"/>
              <w:rPr>
                <w:noProof/>
                <w:sz w:val="18"/>
                <w:szCs w:val="18"/>
              </w:rPr>
            </w:pPr>
            <w:r w:rsidRPr="004B2A0E">
              <w:rPr>
                <w:noProof/>
                <w:sz w:val="18"/>
                <w:szCs w:val="18"/>
              </w:rPr>
              <w:t>Payments</w:t>
            </w:r>
          </w:p>
        </w:tc>
        <w:tc>
          <w:tcPr>
            <w:tcW w:w="708" w:type="dxa"/>
            <w:vAlign w:val="center"/>
          </w:tcPr>
          <w:p w14:paraId="34FF91EF" w14:textId="77777777" w:rsidR="00FA1843" w:rsidRPr="004B2A0E" w:rsidRDefault="00FA1843" w:rsidP="00EE1D03">
            <w:pPr>
              <w:spacing w:before="20" w:after="20"/>
              <w:jc w:val="center"/>
              <w:rPr>
                <w:noProof/>
                <w:sz w:val="18"/>
                <w:szCs w:val="18"/>
              </w:rPr>
            </w:pPr>
            <w:r w:rsidRPr="004B2A0E">
              <w:rPr>
                <w:noProof/>
                <w:sz w:val="18"/>
                <w:szCs w:val="18"/>
              </w:rPr>
              <w:t>(2a)</w:t>
            </w:r>
          </w:p>
        </w:tc>
        <w:tc>
          <w:tcPr>
            <w:tcW w:w="1036" w:type="dxa"/>
            <w:vAlign w:val="center"/>
          </w:tcPr>
          <w:p w14:paraId="4B8E54E4" w14:textId="77777777" w:rsidR="00FA1843" w:rsidRPr="004B2A0E" w:rsidRDefault="00FA1843" w:rsidP="00EE1D03">
            <w:pPr>
              <w:spacing w:before="20" w:after="20"/>
              <w:jc w:val="right"/>
              <w:rPr>
                <w:noProof/>
                <w:sz w:val="20"/>
                <w:szCs w:val="20"/>
              </w:rPr>
            </w:pPr>
          </w:p>
        </w:tc>
        <w:tc>
          <w:tcPr>
            <w:tcW w:w="1035" w:type="dxa"/>
            <w:vAlign w:val="center"/>
          </w:tcPr>
          <w:p w14:paraId="2E5B8B37" w14:textId="77777777" w:rsidR="00FA1843" w:rsidRPr="004B2A0E" w:rsidRDefault="00FA1843" w:rsidP="00EE1D03">
            <w:pPr>
              <w:spacing w:before="0" w:after="0"/>
              <w:jc w:val="right"/>
              <w:rPr>
                <w:noProof/>
                <w:color w:val="000000"/>
                <w:sz w:val="20"/>
                <w:szCs w:val="20"/>
              </w:rPr>
            </w:pPr>
          </w:p>
        </w:tc>
        <w:tc>
          <w:tcPr>
            <w:tcW w:w="1036" w:type="dxa"/>
            <w:vAlign w:val="center"/>
          </w:tcPr>
          <w:p w14:paraId="08F89566" w14:textId="77777777" w:rsidR="00FA1843" w:rsidRPr="004B2A0E" w:rsidRDefault="00FA1843" w:rsidP="00EE1D03">
            <w:pPr>
              <w:jc w:val="right"/>
              <w:rPr>
                <w:noProof/>
                <w:color w:val="000000"/>
                <w:sz w:val="20"/>
                <w:szCs w:val="20"/>
              </w:rPr>
            </w:pPr>
          </w:p>
        </w:tc>
        <w:tc>
          <w:tcPr>
            <w:tcW w:w="1035" w:type="dxa"/>
            <w:vAlign w:val="center"/>
          </w:tcPr>
          <w:p w14:paraId="43882A6B" w14:textId="77777777" w:rsidR="00FA1843" w:rsidRPr="004B2A0E" w:rsidRDefault="00FA1843" w:rsidP="00EE1D03">
            <w:pPr>
              <w:jc w:val="right"/>
              <w:rPr>
                <w:noProof/>
                <w:color w:val="000000"/>
                <w:sz w:val="20"/>
                <w:szCs w:val="20"/>
              </w:rPr>
            </w:pPr>
          </w:p>
        </w:tc>
        <w:tc>
          <w:tcPr>
            <w:tcW w:w="1036" w:type="dxa"/>
            <w:vAlign w:val="center"/>
          </w:tcPr>
          <w:p w14:paraId="59D025D5" w14:textId="77777777" w:rsidR="00FA1843" w:rsidRPr="004B2A0E" w:rsidRDefault="00FA1843" w:rsidP="00EE1D03">
            <w:pPr>
              <w:jc w:val="right"/>
              <w:rPr>
                <w:noProof/>
                <w:color w:val="000000"/>
                <w:sz w:val="20"/>
                <w:szCs w:val="20"/>
              </w:rPr>
            </w:pPr>
          </w:p>
        </w:tc>
        <w:tc>
          <w:tcPr>
            <w:tcW w:w="1843" w:type="dxa"/>
            <w:vAlign w:val="center"/>
          </w:tcPr>
          <w:p w14:paraId="214849DA" w14:textId="77777777" w:rsidR="00FA1843" w:rsidRPr="004B2A0E" w:rsidRDefault="00FA1843" w:rsidP="00EE1D03">
            <w:pPr>
              <w:jc w:val="right"/>
              <w:rPr>
                <w:b/>
                <w:bCs/>
                <w:noProof/>
                <w:color w:val="000000"/>
                <w:sz w:val="20"/>
                <w:szCs w:val="20"/>
              </w:rPr>
            </w:pPr>
          </w:p>
        </w:tc>
      </w:tr>
      <w:tr w:rsidR="00FA1843" w:rsidRPr="004B2A0E" w14:paraId="4D9CF05E" w14:textId="77777777" w:rsidTr="00EE1D03">
        <w:trPr>
          <w:trHeight w:val="319"/>
        </w:trPr>
        <w:tc>
          <w:tcPr>
            <w:tcW w:w="3762" w:type="dxa"/>
            <w:vMerge w:val="restart"/>
            <w:vAlign w:val="center"/>
          </w:tcPr>
          <w:p w14:paraId="2F66D633" w14:textId="77777777" w:rsidR="00FA1843" w:rsidRPr="004B2A0E" w:rsidRDefault="00FA1843" w:rsidP="00EE1D03">
            <w:pPr>
              <w:spacing w:before="60" w:after="60"/>
              <w:rPr>
                <w:noProof/>
                <w:sz w:val="20"/>
                <w:szCs w:val="20"/>
              </w:rPr>
            </w:pPr>
            <w:r w:rsidRPr="004B2A0E">
              <w:rPr>
                <w:noProof/>
                <w:sz w:val="20"/>
                <w:szCs w:val="20"/>
              </w:rPr>
              <w:t>Title 3:</w:t>
            </w:r>
          </w:p>
        </w:tc>
        <w:tc>
          <w:tcPr>
            <w:tcW w:w="1560" w:type="dxa"/>
            <w:vAlign w:val="center"/>
          </w:tcPr>
          <w:p w14:paraId="17341FE5" w14:textId="77777777" w:rsidR="00FA1843" w:rsidRPr="004B2A0E" w:rsidRDefault="00FA1843" w:rsidP="00EE1D03">
            <w:pPr>
              <w:spacing w:before="40" w:after="40"/>
              <w:rPr>
                <w:noProof/>
                <w:sz w:val="18"/>
                <w:szCs w:val="18"/>
              </w:rPr>
            </w:pPr>
            <w:r w:rsidRPr="004B2A0E">
              <w:rPr>
                <w:noProof/>
                <w:sz w:val="18"/>
                <w:szCs w:val="18"/>
              </w:rPr>
              <w:t>Commitments</w:t>
            </w:r>
          </w:p>
        </w:tc>
        <w:tc>
          <w:tcPr>
            <w:tcW w:w="708" w:type="dxa"/>
            <w:vAlign w:val="center"/>
          </w:tcPr>
          <w:p w14:paraId="45B864F7" w14:textId="77777777" w:rsidR="00FA1843" w:rsidRPr="004B2A0E" w:rsidRDefault="00FA1843" w:rsidP="00EE1D03">
            <w:pPr>
              <w:spacing w:before="40" w:after="40"/>
              <w:jc w:val="center"/>
              <w:rPr>
                <w:noProof/>
                <w:sz w:val="18"/>
                <w:szCs w:val="18"/>
              </w:rPr>
            </w:pPr>
            <w:r w:rsidRPr="004B2A0E">
              <w:rPr>
                <w:noProof/>
                <w:sz w:val="18"/>
                <w:szCs w:val="18"/>
              </w:rPr>
              <w:t>(3a)</w:t>
            </w:r>
          </w:p>
        </w:tc>
        <w:tc>
          <w:tcPr>
            <w:tcW w:w="1036" w:type="dxa"/>
            <w:vAlign w:val="center"/>
          </w:tcPr>
          <w:p w14:paraId="4E062A3A" w14:textId="77777777" w:rsidR="00FA1843" w:rsidRPr="004B2A0E" w:rsidRDefault="00FA1843" w:rsidP="00EE1D03">
            <w:pPr>
              <w:spacing w:before="40" w:after="40"/>
              <w:jc w:val="right"/>
              <w:rPr>
                <w:b/>
                <w:noProof/>
                <w:sz w:val="20"/>
                <w:szCs w:val="20"/>
              </w:rPr>
            </w:pPr>
          </w:p>
        </w:tc>
        <w:tc>
          <w:tcPr>
            <w:tcW w:w="1035" w:type="dxa"/>
            <w:vAlign w:val="center"/>
          </w:tcPr>
          <w:p w14:paraId="5D8ECC62" w14:textId="77777777" w:rsidR="00FA1843" w:rsidRPr="004B2A0E" w:rsidRDefault="00FA1843" w:rsidP="00EE1D03">
            <w:pPr>
              <w:spacing w:before="0" w:after="0"/>
              <w:jc w:val="right"/>
              <w:rPr>
                <w:noProof/>
                <w:color w:val="000000"/>
                <w:sz w:val="20"/>
                <w:szCs w:val="20"/>
              </w:rPr>
            </w:pPr>
          </w:p>
        </w:tc>
        <w:tc>
          <w:tcPr>
            <w:tcW w:w="1036" w:type="dxa"/>
            <w:vAlign w:val="center"/>
          </w:tcPr>
          <w:p w14:paraId="4A43B939" w14:textId="77777777" w:rsidR="00FA1843" w:rsidRPr="004B2A0E" w:rsidRDefault="00FA1843" w:rsidP="00EE1D03">
            <w:pPr>
              <w:jc w:val="right"/>
              <w:rPr>
                <w:noProof/>
                <w:color w:val="000000"/>
                <w:sz w:val="20"/>
                <w:szCs w:val="20"/>
              </w:rPr>
            </w:pPr>
          </w:p>
        </w:tc>
        <w:tc>
          <w:tcPr>
            <w:tcW w:w="1035" w:type="dxa"/>
            <w:vAlign w:val="center"/>
          </w:tcPr>
          <w:p w14:paraId="23258F95" w14:textId="77777777" w:rsidR="00FA1843" w:rsidRPr="004B2A0E" w:rsidRDefault="00FA1843" w:rsidP="00EE1D03">
            <w:pPr>
              <w:jc w:val="right"/>
              <w:rPr>
                <w:noProof/>
                <w:color w:val="000000"/>
                <w:sz w:val="20"/>
                <w:szCs w:val="20"/>
              </w:rPr>
            </w:pPr>
          </w:p>
        </w:tc>
        <w:tc>
          <w:tcPr>
            <w:tcW w:w="1036" w:type="dxa"/>
            <w:vAlign w:val="center"/>
          </w:tcPr>
          <w:p w14:paraId="730212BB" w14:textId="77777777" w:rsidR="00FA1843" w:rsidRPr="004B2A0E" w:rsidRDefault="00FA1843" w:rsidP="00EE1D03">
            <w:pPr>
              <w:jc w:val="right"/>
              <w:rPr>
                <w:noProof/>
                <w:color w:val="000000"/>
                <w:sz w:val="20"/>
                <w:szCs w:val="20"/>
              </w:rPr>
            </w:pPr>
          </w:p>
        </w:tc>
        <w:tc>
          <w:tcPr>
            <w:tcW w:w="1843" w:type="dxa"/>
            <w:vAlign w:val="center"/>
          </w:tcPr>
          <w:p w14:paraId="31957457" w14:textId="77777777" w:rsidR="00FA1843" w:rsidRPr="004B2A0E" w:rsidRDefault="00FA1843" w:rsidP="00EE1D03">
            <w:pPr>
              <w:jc w:val="right"/>
              <w:rPr>
                <w:b/>
                <w:bCs/>
                <w:noProof/>
                <w:color w:val="000000"/>
                <w:sz w:val="20"/>
                <w:szCs w:val="20"/>
              </w:rPr>
            </w:pPr>
          </w:p>
        </w:tc>
      </w:tr>
      <w:tr w:rsidR="00FA1843" w:rsidRPr="004B2A0E" w14:paraId="719832CB" w14:textId="77777777" w:rsidTr="00EE1D03">
        <w:trPr>
          <w:trHeight w:val="319"/>
        </w:trPr>
        <w:tc>
          <w:tcPr>
            <w:tcW w:w="3762" w:type="dxa"/>
            <w:vMerge/>
            <w:vAlign w:val="center"/>
          </w:tcPr>
          <w:p w14:paraId="18BE19EC" w14:textId="77777777" w:rsidR="00FA1843" w:rsidRPr="004B2A0E" w:rsidRDefault="00FA1843" w:rsidP="00EE1D03">
            <w:pPr>
              <w:spacing w:before="60" w:after="60"/>
              <w:rPr>
                <w:b/>
                <w:noProof/>
                <w:sz w:val="20"/>
                <w:szCs w:val="20"/>
              </w:rPr>
            </w:pPr>
          </w:p>
        </w:tc>
        <w:tc>
          <w:tcPr>
            <w:tcW w:w="1560" w:type="dxa"/>
            <w:vAlign w:val="center"/>
          </w:tcPr>
          <w:p w14:paraId="4FF5290F" w14:textId="77777777" w:rsidR="00FA1843" w:rsidRPr="004B2A0E" w:rsidRDefault="00FA1843" w:rsidP="00EE1D03">
            <w:pPr>
              <w:spacing w:before="40" w:after="40"/>
              <w:rPr>
                <w:noProof/>
                <w:sz w:val="18"/>
                <w:szCs w:val="18"/>
              </w:rPr>
            </w:pPr>
            <w:r w:rsidRPr="004B2A0E">
              <w:rPr>
                <w:noProof/>
                <w:sz w:val="18"/>
                <w:szCs w:val="18"/>
              </w:rPr>
              <w:t>Payments</w:t>
            </w:r>
          </w:p>
        </w:tc>
        <w:tc>
          <w:tcPr>
            <w:tcW w:w="708" w:type="dxa"/>
            <w:vAlign w:val="center"/>
          </w:tcPr>
          <w:p w14:paraId="0B34F261" w14:textId="77777777" w:rsidR="00FA1843" w:rsidRPr="004B2A0E" w:rsidRDefault="00FA1843" w:rsidP="00EE1D03">
            <w:pPr>
              <w:spacing w:before="40" w:after="40"/>
              <w:jc w:val="center"/>
              <w:rPr>
                <w:noProof/>
                <w:sz w:val="18"/>
                <w:szCs w:val="18"/>
              </w:rPr>
            </w:pPr>
            <w:r w:rsidRPr="004B2A0E">
              <w:rPr>
                <w:noProof/>
                <w:sz w:val="18"/>
                <w:szCs w:val="18"/>
              </w:rPr>
              <w:t>(3b)</w:t>
            </w:r>
          </w:p>
        </w:tc>
        <w:tc>
          <w:tcPr>
            <w:tcW w:w="1036" w:type="dxa"/>
            <w:vAlign w:val="center"/>
          </w:tcPr>
          <w:p w14:paraId="0943231F" w14:textId="77777777" w:rsidR="00FA1843" w:rsidRPr="004B2A0E" w:rsidRDefault="00FA1843" w:rsidP="00EE1D03">
            <w:pPr>
              <w:spacing w:before="40" w:after="40"/>
              <w:jc w:val="right"/>
              <w:rPr>
                <w:b/>
                <w:noProof/>
                <w:sz w:val="20"/>
                <w:szCs w:val="20"/>
              </w:rPr>
            </w:pPr>
          </w:p>
        </w:tc>
        <w:tc>
          <w:tcPr>
            <w:tcW w:w="1035" w:type="dxa"/>
            <w:vAlign w:val="center"/>
          </w:tcPr>
          <w:p w14:paraId="6FA7125B" w14:textId="77777777" w:rsidR="00FA1843" w:rsidRPr="004B2A0E" w:rsidRDefault="00FA1843" w:rsidP="00EE1D03">
            <w:pPr>
              <w:spacing w:before="0" w:after="0"/>
              <w:jc w:val="right"/>
              <w:rPr>
                <w:noProof/>
                <w:color w:val="000000"/>
                <w:sz w:val="20"/>
                <w:szCs w:val="20"/>
              </w:rPr>
            </w:pPr>
          </w:p>
        </w:tc>
        <w:tc>
          <w:tcPr>
            <w:tcW w:w="1036" w:type="dxa"/>
            <w:vAlign w:val="center"/>
          </w:tcPr>
          <w:p w14:paraId="777832CD" w14:textId="77777777" w:rsidR="00FA1843" w:rsidRPr="004B2A0E" w:rsidRDefault="00FA1843" w:rsidP="00EE1D03">
            <w:pPr>
              <w:jc w:val="right"/>
              <w:rPr>
                <w:noProof/>
                <w:color w:val="000000"/>
                <w:sz w:val="20"/>
                <w:szCs w:val="20"/>
              </w:rPr>
            </w:pPr>
          </w:p>
        </w:tc>
        <w:tc>
          <w:tcPr>
            <w:tcW w:w="1035" w:type="dxa"/>
            <w:vAlign w:val="center"/>
          </w:tcPr>
          <w:p w14:paraId="5941EB84" w14:textId="77777777" w:rsidR="00FA1843" w:rsidRPr="004B2A0E" w:rsidRDefault="00FA1843" w:rsidP="00EE1D03">
            <w:pPr>
              <w:jc w:val="right"/>
              <w:rPr>
                <w:noProof/>
                <w:color w:val="000000"/>
                <w:sz w:val="20"/>
                <w:szCs w:val="20"/>
              </w:rPr>
            </w:pPr>
          </w:p>
        </w:tc>
        <w:tc>
          <w:tcPr>
            <w:tcW w:w="1036" w:type="dxa"/>
            <w:vAlign w:val="center"/>
          </w:tcPr>
          <w:p w14:paraId="50F50955" w14:textId="77777777" w:rsidR="00FA1843" w:rsidRPr="004B2A0E" w:rsidRDefault="00FA1843" w:rsidP="00EE1D03">
            <w:pPr>
              <w:jc w:val="right"/>
              <w:rPr>
                <w:noProof/>
                <w:color w:val="000000"/>
                <w:sz w:val="20"/>
                <w:szCs w:val="20"/>
              </w:rPr>
            </w:pPr>
          </w:p>
        </w:tc>
        <w:tc>
          <w:tcPr>
            <w:tcW w:w="1843" w:type="dxa"/>
            <w:vAlign w:val="center"/>
          </w:tcPr>
          <w:p w14:paraId="6373EEAC" w14:textId="77777777" w:rsidR="00FA1843" w:rsidRPr="004B2A0E" w:rsidRDefault="00FA1843" w:rsidP="00EE1D03">
            <w:pPr>
              <w:jc w:val="right"/>
              <w:rPr>
                <w:b/>
                <w:bCs/>
                <w:noProof/>
                <w:color w:val="000000"/>
                <w:sz w:val="20"/>
                <w:szCs w:val="20"/>
              </w:rPr>
            </w:pPr>
          </w:p>
        </w:tc>
      </w:tr>
      <w:tr w:rsidR="00FA1843" w:rsidRPr="004B2A0E" w14:paraId="1A1FAA1B" w14:textId="77777777" w:rsidTr="00EE1D03">
        <w:tc>
          <w:tcPr>
            <w:tcW w:w="3762" w:type="dxa"/>
            <w:vMerge w:val="restart"/>
            <w:vAlign w:val="center"/>
          </w:tcPr>
          <w:p w14:paraId="76E18EAD" w14:textId="77777777" w:rsidR="00FA1843" w:rsidRPr="004B2A0E" w:rsidRDefault="00FA1843" w:rsidP="00EE1D03">
            <w:pPr>
              <w:jc w:val="center"/>
              <w:rPr>
                <w:noProof/>
                <w:sz w:val="20"/>
                <w:szCs w:val="20"/>
              </w:rPr>
            </w:pPr>
            <w:r>
              <w:rPr>
                <w:b/>
                <w:noProof/>
                <w:sz w:val="22"/>
              </w:rPr>
              <w:t>TOTAL appropriations</w:t>
            </w:r>
            <w:r>
              <w:rPr>
                <w:noProof/>
                <w:sz w:val="22"/>
              </w:rPr>
              <w:br/>
            </w:r>
            <w:r>
              <w:rPr>
                <w:b/>
                <w:noProof/>
                <w:sz w:val="22"/>
              </w:rPr>
              <w:t xml:space="preserve">for [body] </w:t>
            </w:r>
            <w:r w:rsidRPr="005828C6">
              <w:rPr>
                <w:noProof/>
              </w:rPr>
              <w:t>&lt;…….&gt;</w:t>
            </w:r>
          </w:p>
        </w:tc>
        <w:tc>
          <w:tcPr>
            <w:tcW w:w="1560" w:type="dxa"/>
            <w:vAlign w:val="center"/>
          </w:tcPr>
          <w:p w14:paraId="462B89A5" w14:textId="77777777" w:rsidR="00FA1843" w:rsidRPr="004B2A0E" w:rsidRDefault="00FA1843" w:rsidP="00EE1D03">
            <w:pPr>
              <w:rPr>
                <w:noProof/>
                <w:sz w:val="18"/>
                <w:szCs w:val="18"/>
              </w:rPr>
            </w:pPr>
            <w:r w:rsidRPr="004B2A0E">
              <w:rPr>
                <w:noProof/>
                <w:sz w:val="18"/>
                <w:szCs w:val="18"/>
              </w:rPr>
              <w:t>Commitments</w:t>
            </w:r>
          </w:p>
        </w:tc>
        <w:tc>
          <w:tcPr>
            <w:tcW w:w="708" w:type="dxa"/>
            <w:vAlign w:val="center"/>
          </w:tcPr>
          <w:p w14:paraId="0F4C5018" w14:textId="77777777" w:rsidR="00FA1843" w:rsidRPr="004B2A0E" w:rsidRDefault="00FA1843" w:rsidP="00EE1D03">
            <w:pPr>
              <w:jc w:val="center"/>
              <w:rPr>
                <w:noProof/>
                <w:sz w:val="18"/>
                <w:szCs w:val="18"/>
              </w:rPr>
            </w:pPr>
            <w:r w:rsidRPr="004B2A0E">
              <w:rPr>
                <w:noProof/>
                <w:sz w:val="18"/>
                <w:szCs w:val="18"/>
              </w:rPr>
              <w:t>=1+1a +3a</w:t>
            </w:r>
          </w:p>
        </w:tc>
        <w:tc>
          <w:tcPr>
            <w:tcW w:w="1036" w:type="dxa"/>
            <w:vAlign w:val="center"/>
          </w:tcPr>
          <w:p w14:paraId="7DA95154" w14:textId="77777777" w:rsidR="00FA1843" w:rsidRPr="004B2A0E" w:rsidRDefault="00FA1843" w:rsidP="00EE1D03">
            <w:pPr>
              <w:spacing w:before="0" w:after="0"/>
              <w:jc w:val="right"/>
              <w:rPr>
                <w:b/>
                <w:bCs/>
                <w:noProof/>
                <w:color w:val="000000"/>
                <w:sz w:val="20"/>
                <w:szCs w:val="20"/>
              </w:rPr>
            </w:pPr>
          </w:p>
        </w:tc>
        <w:tc>
          <w:tcPr>
            <w:tcW w:w="1035" w:type="dxa"/>
            <w:vAlign w:val="center"/>
          </w:tcPr>
          <w:p w14:paraId="63A1EE96" w14:textId="77777777" w:rsidR="00FA1843" w:rsidRPr="004B2A0E" w:rsidRDefault="00FA1843" w:rsidP="00EE1D03">
            <w:pPr>
              <w:spacing w:before="0" w:after="0"/>
              <w:jc w:val="right"/>
              <w:rPr>
                <w:b/>
                <w:bCs/>
                <w:noProof/>
                <w:color w:val="000000"/>
                <w:sz w:val="20"/>
                <w:szCs w:val="20"/>
              </w:rPr>
            </w:pPr>
          </w:p>
        </w:tc>
        <w:tc>
          <w:tcPr>
            <w:tcW w:w="1036" w:type="dxa"/>
            <w:vAlign w:val="center"/>
          </w:tcPr>
          <w:p w14:paraId="564AE00F" w14:textId="77777777" w:rsidR="00FA1843" w:rsidRPr="004B2A0E" w:rsidRDefault="00FA1843" w:rsidP="00EE1D03">
            <w:pPr>
              <w:spacing w:before="0" w:after="0"/>
              <w:jc w:val="right"/>
              <w:rPr>
                <w:b/>
                <w:bCs/>
                <w:noProof/>
                <w:color w:val="000000"/>
                <w:sz w:val="20"/>
                <w:szCs w:val="20"/>
              </w:rPr>
            </w:pPr>
          </w:p>
        </w:tc>
        <w:tc>
          <w:tcPr>
            <w:tcW w:w="1035" w:type="dxa"/>
            <w:vAlign w:val="center"/>
          </w:tcPr>
          <w:p w14:paraId="11828B0D" w14:textId="77777777" w:rsidR="00FA1843" w:rsidRPr="004B2A0E" w:rsidRDefault="00FA1843" w:rsidP="00EE1D03">
            <w:pPr>
              <w:spacing w:before="0" w:after="0"/>
              <w:jc w:val="right"/>
              <w:rPr>
                <w:b/>
                <w:bCs/>
                <w:noProof/>
                <w:color w:val="000000"/>
                <w:sz w:val="20"/>
                <w:szCs w:val="20"/>
              </w:rPr>
            </w:pPr>
          </w:p>
        </w:tc>
        <w:tc>
          <w:tcPr>
            <w:tcW w:w="1036" w:type="dxa"/>
            <w:vAlign w:val="center"/>
          </w:tcPr>
          <w:p w14:paraId="581D1EE7" w14:textId="77777777" w:rsidR="00FA1843" w:rsidRPr="004B2A0E" w:rsidRDefault="00FA1843" w:rsidP="00EE1D03">
            <w:pPr>
              <w:spacing w:before="0" w:after="0"/>
              <w:jc w:val="right"/>
              <w:rPr>
                <w:b/>
                <w:bCs/>
                <w:noProof/>
                <w:color w:val="000000"/>
                <w:sz w:val="20"/>
                <w:szCs w:val="20"/>
              </w:rPr>
            </w:pPr>
          </w:p>
        </w:tc>
        <w:tc>
          <w:tcPr>
            <w:tcW w:w="1843" w:type="dxa"/>
            <w:vAlign w:val="center"/>
          </w:tcPr>
          <w:p w14:paraId="7037720F" w14:textId="77777777" w:rsidR="00FA1843" w:rsidRPr="004B2A0E" w:rsidRDefault="00FA1843" w:rsidP="00EE1D03">
            <w:pPr>
              <w:spacing w:before="0" w:after="0"/>
              <w:jc w:val="right"/>
              <w:rPr>
                <w:b/>
                <w:bCs/>
                <w:noProof/>
                <w:color w:val="000000"/>
                <w:sz w:val="20"/>
                <w:szCs w:val="20"/>
              </w:rPr>
            </w:pPr>
          </w:p>
        </w:tc>
      </w:tr>
      <w:tr w:rsidR="00FA1843" w:rsidRPr="004B2A0E" w14:paraId="798E0E65" w14:textId="77777777" w:rsidTr="00EE1D03">
        <w:trPr>
          <w:trHeight w:val="659"/>
        </w:trPr>
        <w:tc>
          <w:tcPr>
            <w:tcW w:w="3762" w:type="dxa"/>
            <w:vMerge/>
            <w:vAlign w:val="center"/>
          </w:tcPr>
          <w:p w14:paraId="4BCD7CA3" w14:textId="77777777" w:rsidR="00FA1843" w:rsidRPr="004B2A0E" w:rsidRDefault="00FA1843" w:rsidP="00EE1D03">
            <w:pPr>
              <w:rPr>
                <w:b/>
                <w:noProof/>
                <w:sz w:val="20"/>
                <w:szCs w:val="20"/>
              </w:rPr>
            </w:pPr>
          </w:p>
        </w:tc>
        <w:tc>
          <w:tcPr>
            <w:tcW w:w="1560" w:type="dxa"/>
            <w:vAlign w:val="center"/>
          </w:tcPr>
          <w:p w14:paraId="25336736" w14:textId="77777777" w:rsidR="00FA1843" w:rsidRPr="004B2A0E" w:rsidRDefault="00FA1843" w:rsidP="00EE1D03">
            <w:pPr>
              <w:rPr>
                <w:noProof/>
                <w:sz w:val="18"/>
                <w:szCs w:val="18"/>
              </w:rPr>
            </w:pPr>
            <w:r w:rsidRPr="004B2A0E">
              <w:rPr>
                <w:noProof/>
                <w:sz w:val="18"/>
                <w:szCs w:val="18"/>
              </w:rPr>
              <w:t>Payments</w:t>
            </w:r>
          </w:p>
        </w:tc>
        <w:tc>
          <w:tcPr>
            <w:tcW w:w="708" w:type="dxa"/>
            <w:vAlign w:val="center"/>
          </w:tcPr>
          <w:p w14:paraId="400B4EF8" w14:textId="77777777" w:rsidR="00FA1843" w:rsidRPr="004B2A0E" w:rsidRDefault="00FA1843" w:rsidP="00EE1D03">
            <w:pPr>
              <w:jc w:val="center"/>
              <w:rPr>
                <w:noProof/>
                <w:sz w:val="18"/>
                <w:szCs w:val="18"/>
              </w:rPr>
            </w:pPr>
            <w:r w:rsidRPr="004B2A0E">
              <w:rPr>
                <w:noProof/>
                <w:sz w:val="18"/>
                <w:szCs w:val="18"/>
              </w:rPr>
              <w:t>=2+2a</w:t>
            </w:r>
          </w:p>
          <w:p w14:paraId="0CE15D75" w14:textId="77777777" w:rsidR="00FA1843" w:rsidRPr="004B2A0E" w:rsidRDefault="00FA1843" w:rsidP="00EE1D03">
            <w:pPr>
              <w:jc w:val="center"/>
              <w:rPr>
                <w:noProof/>
                <w:sz w:val="18"/>
                <w:szCs w:val="18"/>
              </w:rPr>
            </w:pPr>
            <w:r w:rsidRPr="004B2A0E">
              <w:rPr>
                <w:noProof/>
                <w:sz w:val="18"/>
                <w:szCs w:val="18"/>
              </w:rPr>
              <w:t>+3b</w:t>
            </w:r>
          </w:p>
        </w:tc>
        <w:tc>
          <w:tcPr>
            <w:tcW w:w="1036" w:type="dxa"/>
            <w:vAlign w:val="center"/>
          </w:tcPr>
          <w:p w14:paraId="3CCB116B" w14:textId="77777777" w:rsidR="00FA1843" w:rsidRPr="004B2A0E" w:rsidRDefault="00FA1843" w:rsidP="00EE1D03">
            <w:pPr>
              <w:spacing w:before="0" w:after="0"/>
              <w:jc w:val="right"/>
              <w:rPr>
                <w:b/>
                <w:bCs/>
                <w:noProof/>
                <w:color w:val="000000"/>
                <w:sz w:val="20"/>
                <w:szCs w:val="20"/>
              </w:rPr>
            </w:pPr>
          </w:p>
        </w:tc>
        <w:tc>
          <w:tcPr>
            <w:tcW w:w="1035" w:type="dxa"/>
            <w:vAlign w:val="center"/>
          </w:tcPr>
          <w:p w14:paraId="55680D63" w14:textId="77777777" w:rsidR="00FA1843" w:rsidRPr="004B2A0E" w:rsidRDefault="00FA1843" w:rsidP="00EE1D03">
            <w:pPr>
              <w:spacing w:before="0" w:after="0"/>
              <w:jc w:val="right"/>
              <w:rPr>
                <w:b/>
                <w:bCs/>
                <w:noProof/>
                <w:color w:val="000000"/>
                <w:sz w:val="20"/>
                <w:szCs w:val="20"/>
              </w:rPr>
            </w:pPr>
          </w:p>
        </w:tc>
        <w:tc>
          <w:tcPr>
            <w:tcW w:w="1036" w:type="dxa"/>
            <w:vAlign w:val="center"/>
          </w:tcPr>
          <w:p w14:paraId="13D66ECD" w14:textId="77777777" w:rsidR="00FA1843" w:rsidRPr="004B2A0E" w:rsidRDefault="00FA1843" w:rsidP="00EE1D03">
            <w:pPr>
              <w:spacing w:before="0" w:after="0"/>
              <w:jc w:val="right"/>
              <w:rPr>
                <w:b/>
                <w:bCs/>
                <w:noProof/>
                <w:color w:val="000000"/>
                <w:sz w:val="20"/>
                <w:szCs w:val="20"/>
              </w:rPr>
            </w:pPr>
          </w:p>
        </w:tc>
        <w:tc>
          <w:tcPr>
            <w:tcW w:w="1035" w:type="dxa"/>
            <w:vAlign w:val="center"/>
          </w:tcPr>
          <w:p w14:paraId="24656E2A" w14:textId="77777777" w:rsidR="00FA1843" w:rsidRPr="004B2A0E" w:rsidRDefault="00FA1843" w:rsidP="00EE1D03">
            <w:pPr>
              <w:spacing w:before="0" w:after="0"/>
              <w:jc w:val="right"/>
              <w:rPr>
                <w:b/>
                <w:bCs/>
                <w:noProof/>
                <w:color w:val="000000"/>
                <w:sz w:val="20"/>
                <w:szCs w:val="20"/>
              </w:rPr>
            </w:pPr>
          </w:p>
        </w:tc>
        <w:tc>
          <w:tcPr>
            <w:tcW w:w="1036" w:type="dxa"/>
            <w:vAlign w:val="center"/>
          </w:tcPr>
          <w:p w14:paraId="624003DE" w14:textId="77777777" w:rsidR="00FA1843" w:rsidRPr="004B2A0E" w:rsidRDefault="00FA1843" w:rsidP="00EE1D03">
            <w:pPr>
              <w:spacing w:before="0" w:after="0"/>
              <w:jc w:val="right"/>
              <w:rPr>
                <w:b/>
                <w:bCs/>
                <w:noProof/>
                <w:color w:val="000000"/>
                <w:sz w:val="20"/>
                <w:szCs w:val="20"/>
              </w:rPr>
            </w:pPr>
          </w:p>
        </w:tc>
        <w:tc>
          <w:tcPr>
            <w:tcW w:w="1843" w:type="dxa"/>
            <w:vAlign w:val="center"/>
          </w:tcPr>
          <w:p w14:paraId="4CE147D8" w14:textId="77777777" w:rsidR="00FA1843" w:rsidRPr="004B2A0E" w:rsidRDefault="00FA1843" w:rsidP="00EE1D03">
            <w:pPr>
              <w:spacing w:before="0" w:after="0"/>
              <w:jc w:val="right"/>
              <w:rPr>
                <w:b/>
                <w:bCs/>
                <w:noProof/>
                <w:color w:val="000000"/>
                <w:sz w:val="20"/>
                <w:szCs w:val="20"/>
              </w:rPr>
            </w:pPr>
          </w:p>
        </w:tc>
      </w:tr>
    </w:tbl>
    <w:p w14:paraId="59CB2C3B" w14:textId="77777777" w:rsidR="00FA1843" w:rsidRPr="004B2A0E" w:rsidRDefault="00FA1843" w:rsidP="00FA1843">
      <w:pPr>
        <w:rPr>
          <w:noProof/>
        </w:rPr>
      </w:pPr>
    </w:p>
    <w:p w14:paraId="626CB0DE" w14:textId="77777777" w:rsidR="00FA1843" w:rsidRPr="004B2A0E" w:rsidRDefault="00FA1843" w:rsidP="00FA1843">
      <w:pPr>
        <w:spacing w:before="0" w:after="200" w:line="276" w:lineRule="auto"/>
        <w:jc w:val="left"/>
        <w:rPr>
          <w:noProof/>
        </w:rPr>
      </w:pPr>
      <w:r w:rsidRPr="004B2A0E">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A1843" w:rsidRPr="004B2A0E" w14:paraId="4EB0306E" w14:textId="77777777" w:rsidTr="00EE1D03">
        <w:trPr>
          <w:jc w:val="center"/>
        </w:trPr>
        <w:tc>
          <w:tcPr>
            <w:tcW w:w="4744" w:type="dxa"/>
            <w:shd w:val="thinDiagStripe" w:color="C0C0C0" w:fill="auto"/>
            <w:vAlign w:val="center"/>
          </w:tcPr>
          <w:p w14:paraId="7ECA21E4" w14:textId="77777777" w:rsidR="00FA1843" w:rsidRPr="004B2A0E" w:rsidRDefault="00FA1843" w:rsidP="00EE1D03">
            <w:pPr>
              <w:spacing w:before="60" w:after="60"/>
              <w:jc w:val="center"/>
              <w:rPr>
                <w:b/>
                <w:noProof/>
              </w:rPr>
            </w:pPr>
            <w:r w:rsidRPr="004B2A0E">
              <w:rPr>
                <w:noProof/>
                <w:sz w:val="22"/>
              </w:rPr>
              <w:br w:type="page"/>
            </w:r>
            <w:r w:rsidRPr="004B2A0E">
              <w:rPr>
                <w:b/>
                <w:noProof/>
                <w:sz w:val="22"/>
              </w:rPr>
              <w:t xml:space="preserve">Heading of multiannual financial </w:t>
            </w:r>
            <w:r w:rsidRPr="004B2A0E">
              <w:rPr>
                <w:noProof/>
                <w:sz w:val="22"/>
              </w:rPr>
              <w:br/>
            </w:r>
            <w:r w:rsidRPr="004B2A0E">
              <w:rPr>
                <w:b/>
                <w:noProof/>
                <w:sz w:val="22"/>
              </w:rPr>
              <w:t xml:space="preserve">framework </w:t>
            </w:r>
          </w:p>
        </w:tc>
        <w:tc>
          <w:tcPr>
            <w:tcW w:w="1080" w:type="dxa"/>
            <w:shd w:val="thinDiagStripe" w:color="C0C0C0" w:fill="auto"/>
            <w:vAlign w:val="center"/>
          </w:tcPr>
          <w:p w14:paraId="2B832197" w14:textId="77777777" w:rsidR="00FA1843" w:rsidRPr="004B2A0E" w:rsidRDefault="00FA1843" w:rsidP="00EE1D03">
            <w:pPr>
              <w:spacing w:before="60" w:after="60"/>
              <w:jc w:val="center"/>
              <w:rPr>
                <w:noProof/>
              </w:rPr>
            </w:pPr>
            <w:r w:rsidRPr="004B2A0E">
              <w:rPr>
                <w:b/>
                <w:noProof/>
                <w:sz w:val="22"/>
              </w:rPr>
              <w:t>7</w:t>
            </w:r>
          </w:p>
        </w:tc>
        <w:tc>
          <w:tcPr>
            <w:tcW w:w="7817" w:type="dxa"/>
            <w:vAlign w:val="center"/>
          </w:tcPr>
          <w:p w14:paraId="60AC57C6" w14:textId="77777777" w:rsidR="00FA1843" w:rsidRPr="004B2A0E" w:rsidRDefault="00FA1843" w:rsidP="00EE1D03">
            <w:pPr>
              <w:spacing w:before="60" w:after="60"/>
              <w:rPr>
                <w:noProof/>
              </w:rPr>
            </w:pPr>
            <w:r w:rsidRPr="004B2A0E">
              <w:rPr>
                <w:noProof/>
                <w:sz w:val="22"/>
              </w:rPr>
              <w:t>‘Administrative expenditure’</w:t>
            </w:r>
          </w:p>
        </w:tc>
      </w:tr>
    </w:tbl>
    <w:p w14:paraId="583EBC35" w14:textId="77777777" w:rsidR="00FA1843" w:rsidRPr="004B2A0E" w:rsidRDefault="00FA1843" w:rsidP="00FA1843">
      <w:pPr>
        <w:jc w:val="right"/>
        <w:rPr>
          <w:noProof/>
          <w:sz w:val="20"/>
        </w:rPr>
      </w:pPr>
      <w:r w:rsidRPr="004B2A0E">
        <w:rPr>
          <w:noProof/>
          <w:sz w:val="20"/>
        </w:rPr>
        <w:t>EUR million (to three decimal places)</w:t>
      </w:r>
    </w:p>
    <w:tbl>
      <w:tblPr>
        <w:tblW w:w="13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93"/>
        <w:gridCol w:w="992"/>
        <w:gridCol w:w="992"/>
        <w:gridCol w:w="1134"/>
        <w:gridCol w:w="992"/>
        <w:gridCol w:w="1843"/>
      </w:tblGrid>
      <w:tr w:rsidR="00FA1843" w:rsidRPr="004B2A0E" w14:paraId="58E0066C" w14:textId="77777777" w:rsidTr="00EE1D03">
        <w:tc>
          <w:tcPr>
            <w:tcW w:w="3960" w:type="dxa"/>
            <w:tcBorders>
              <w:top w:val="nil"/>
              <w:left w:val="nil"/>
              <w:right w:val="nil"/>
            </w:tcBorders>
            <w:vAlign w:val="center"/>
          </w:tcPr>
          <w:p w14:paraId="79C72BB2" w14:textId="77777777" w:rsidR="00FA1843" w:rsidRPr="004B2A0E" w:rsidRDefault="00FA1843" w:rsidP="00EE1D03">
            <w:pPr>
              <w:jc w:val="center"/>
              <w:rPr>
                <w:noProof/>
              </w:rPr>
            </w:pPr>
          </w:p>
        </w:tc>
        <w:tc>
          <w:tcPr>
            <w:tcW w:w="1560" w:type="dxa"/>
            <w:tcBorders>
              <w:top w:val="nil"/>
              <w:left w:val="nil"/>
              <w:right w:val="nil"/>
            </w:tcBorders>
          </w:tcPr>
          <w:p w14:paraId="68E441D3" w14:textId="77777777" w:rsidR="00FA1843" w:rsidRPr="004B2A0E" w:rsidRDefault="00FA1843" w:rsidP="00EE1D03">
            <w:pPr>
              <w:rPr>
                <w:noProof/>
                <w:sz w:val="20"/>
              </w:rPr>
            </w:pPr>
          </w:p>
        </w:tc>
        <w:tc>
          <w:tcPr>
            <w:tcW w:w="534" w:type="dxa"/>
            <w:tcBorders>
              <w:top w:val="nil"/>
              <w:left w:val="nil"/>
            </w:tcBorders>
          </w:tcPr>
          <w:p w14:paraId="17BE26BA" w14:textId="77777777" w:rsidR="00FA1843" w:rsidRPr="004B2A0E" w:rsidRDefault="00FA1843" w:rsidP="00EE1D03">
            <w:pPr>
              <w:jc w:val="center"/>
              <w:rPr>
                <w:noProof/>
                <w:sz w:val="20"/>
              </w:rPr>
            </w:pPr>
          </w:p>
        </w:tc>
        <w:tc>
          <w:tcPr>
            <w:tcW w:w="993" w:type="dxa"/>
            <w:vAlign w:val="center"/>
          </w:tcPr>
          <w:p w14:paraId="74E076B3" w14:textId="77777777" w:rsidR="00FA1843" w:rsidRPr="004B2A0E" w:rsidRDefault="00FA1843" w:rsidP="00EE1D03">
            <w:pPr>
              <w:jc w:val="center"/>
              <w:rPr>
                <w:noProof/>
                <w:sz w:val="20"/>
              </w:rPr>
            </w:pPr>
            <w:r w:rsidRPr="004B2A0E">
              <w:rPr>
                <w:noProof/>
                <w:sz w:val="20"/>
              </w:rPr>
              <w:t>2023</w:t>
            </w:r>
          </w:p>
        </w:tc>
        <w:tc>
          <w:tcPr>
            <w:tcW w:w="992" w:type="dxa"/>
            <w:vAlign w:val="center"/>
          </w:tcPr>
          <w:p w14:paraId="623695A7" w14:textId="77777777" w:rsidR="00FA1843" w:rsidRPr="004B2A0E" w:rsidRDefault="00FA1843" w:rsidP="00EE1D03">
            <w:pPr>
              <w:jc w:val="center"/>
              <w:rPr>
                <w:noProof/>
                <w:sz w:val="20"/>
              </w:rPr>
            </w:pPr>
            <w:r w:rsidRPr="004B2A0E">
              <w:rPr>
                <w:noProof/>
                <w:sz w:val="20"/>
              </w:rPr>
              <w:t>2024</w:t>
            </w:r>
          </w:p>
        </w:tc>
        <w:tc>
          <w:tcPr>
            <w:tcW w:w="992" w:type="dxa"/>
            <w:vAlign w:val="center"/>
          </w:tcPr>
          <w:p w14:paraId="631825C5" w14:textId="77777777" w:rsidR="00FA1843" w:rsidRPr="004B2A0E" w:rsidRDefault="00FA1843" w:rsidP="00EE1D03">
            <w:pPr>
              <w:jc w:val="center"/>
              <w:rPr>
                <w:noProof/>
                <w:sz w:val="20"/>
              </w:rPr>
            </w:pPr>
            <w:r w:rsidRPr="004B2A0E">
              <w:rPr>
                <w:noProof/>
                <w:sz w:val="20"/>
              </w:rPr>
              <w:t>2025</w:t>
            </w:r>
          </w:p>
        </w:tc>
        <w:tc>
          <w:tcPr>
            <w:tcW w:w="1134" w:type="dxa"/>
            <w:vAlign w:val="center"/>
          </w:tcPr>
          <w:p w14:paraId="306DEB4E" w14:textId="77777777" w:rsidR="00FA1843" w:rsidRPr="004B2A0E" w:rsidRDefault="00FA1843" w:rsidP="00EE1D03">
            <w:pPr>
              <w:jc w:val="center"/>
              <w:rPr>
                <w:b/>
                <w:noProof/>
                <w:sz w:val="18"/>
              </w:rPr>
            </w:pPr>
            <w:r w:rsidRPr="004B2A0E">
              <w:rPr>
                <w:noProof/>
                <w:sz w:val="18"/>
              </w:rPr>
              <w:t>2026</w:t>
            </w:r>
          </w:p>
        </w:tc>
        <w:tc>
          <w:tcPr>
            <w:tcW w:w="992" w:type="dxa"/>
            <w:vAlign w:val="center"/>
          </w:tcPr>
          <w:p w14:paraId="03E8E907" w14:textId="77777777" w:rsidR="00FA1843" w:rsidRPr="004B2A0E" w:rsidRDefault="00FA1843" w:rsidP="00EE1D03">
            <w:pPr>
              <w:jc w:val="center"/>
              <w:rPr>
                <w:noProof/>
                <w:sz w:val="18"/>
              </w:rPr>
            </w:pPr>
            <w:r w:rsidRPr="004B2A0E">
              <w:rPr>
                <w:noProof/>
                <w:sz w:val="18"/>
              </w:rPr>
              <w:t>2027</w:t>
            </w:r>
          </w:p>
        </w:tc>
        <w:tc>
          <w:tcPr>
            <w:tcW w:w="1843" w:type="dxa"/>
            <w:vAlign w:val="center"/>
          </w:tcPr>
          <w:p w14:paraId="19407548" w14:textId="77777777" w:rsidR="00FA1843" w:rsidRPr="004B2A0E" w:rsidRDefault="00FA1843" w:rsidP="00EE1D03">
            <w:pPr>
              <w:jc w:val="center"/>
              <w:rPr>
                <w:b/>
                <w:noProof/>
                <w:sz w:val="20"/>
              </w:rPr>
            </w:pPr>
            <w:r w:rsidRPr="004B2A0E">
              <w:rPr>
                <w:b/>
                <w:noProof/>
                <w:sz w:val="20"/>
              </w:rPr>
              <w:t>TOTAL</w:t>
            </w:r>
          </w:p>
        </w:tc>
      </w:tr>
      <w:tr w:rsidR="00FA1843" w:rsidRPr="004B2A0E" w14:paraId="6E2A18B2" w14:textId="77777777" w:rsidTr="00EE1D03">
        <w:trPr>
          <w:gridAfter w:val="8"/>
          <w:wAfter w:w="9040" w:type="dxa"/>
        </w:trPr>
        <w:tc>
          <w:tcPr>
            <w:tcW w:w="3960" w:type="dxa"/>
            <w:vAlign w:val="center"/>
          </w:tcPr>
          <w:p w14:paraId="25635113" w14:textId="77777777" w:rsidR="00FA1843" w:rsidRPr="004B2A0E" w:rsidRDefault="00FA1843" w:rsidP="00EE1D03">
            <w:pPr>
              <w:spacing w:before="60" w:after="60"/>
              <w:jc w:val="center"/>
              <w:rPr>
                <w:noProof/>
              </w:rPr>
            </w:pPr>
            <w:r w:rsidRPr="004B2A0E">
              <w:rPr>
                <w:noProof/>
                <w:sz w:val="22"/>
              </w:rPr>
              <w:t xml:space="preserve">DG: </w:t>
            </w:r>
            <w:r w:rsidRPr="004B2A0E">
              <w:rPr>
                <w:noProof/>
              </w:rPr>
              <w:t>&lt;…….&gt;</w:t>
            </w:r>
          </w:p>
        </w:tc>
      </w:tr>
      <w:tr w:rsidR="00FA1843" w:rsidRPr="004B2A0E" w14:paraId="5A42A9EB" w14:textId="77777777" w:rsidTr="00EE1D03">
        <w:trPr>
          <w:trHeight w:val="313"/>
        </w:trPr>
        <w:tc>
          <w:tcPr>
            <w:tcW w:w="6054" w:type="dxa"/>
            <w:gridSpan w:val="3"/>
            <w:vAlign w:val="center"/>
          </w:tcPr>
          <w:p w14:paraId="600259DA" w14:textId="77777777" w:rsidR="00FA1843" w:rsidRPr="004B2A0E" w:rsidRDefault="00FA1843" w:rsidP="00EE1D03">
            <w:pPr>
              <w:spacing w:before="20" w:after="20"/>
              <w:rPr>
                <w:noProof/>
              </w:rPr>
            </w:pPr>
            <w:r w:rsidRPr="004B2A0E">
              <w:rPr>
                <w:noProof/>
                <w:sz w:val="22"/>
              </w:rPr>
              <w:sym w:font="Wingdings" w:char="F09F"/>
            </w:r>
            <w:r w:rsidRPr="004B2A0E">
              <w:rPr>
                <w:noProof/>
                <w:sz w:val="22"/>
              </w:rPr>
              <w:t xml:space="preserve"> Human Resources </w:t>
            </w:r>
          </w:p>
        </w:tc>
        <w:tc>
          <w:tcPr>
            <w:tcW w:w="993" w:type="dxa"/>
            <w:vAlign w:val="center"/>
          </w:tcPr>
          <w:p w14:paraId="553DDD55" w14:textId="77777777" w:rsidR="00FA1843" w:rsidRPr="004B2A0E" w:rsidRDefault="00FA1843" w:rsidP="00EE1D03">
            <w:pPr>
              <w:spacing w:before="20" w:after="20"/>
              <w:jc w:val="right"/>
              <w:rPr>
                <w:noProof/>
                <w:sz w:val="20"/>
              </w:rPr>
            </w:pPr>
          </w:p>
        </w:tc>
        <w:tc>
          <w:tcPr>
            <w:tcW w:w="992" w:type="dxa"/>
            <w:vAlign w:val="center"/>
          </w:tcPr>
          <w:p w14:paraId="4160D740" w14:textId="77777777" w:rsidR="00FA1843" w:rsidRPr="004B2A0E" w:rsidRDefault="00FA1843" w:rsidP="00EE1D03">
            <w:pPr>
              <w:spacing w:before="20" w:after="20"/>
              <w:jc w:val="right"/>
              <w:rPr>
                <w:noProof/>
                <w:sz w:val="20"/>
              </w:rPr>
            </w:pPr>
          </w:p>
        </w:tc>
        <w:tc>
          <w:tcPr>
            <w:tcW w:w="992" w:type="dxa"/>
            <w:vAlign w:val="center"/>
          </w:tcPr>
          <w:p w14:paraId="3B2E9621" w14:textId="77777777" w:rsidR="00FA1843" w:rsidRPr="004B2A0E" w:rsidRDefault="00FA1843" w:rsidP="00EE1D03">
            <w:pPr>
              <w:spacing w:before="20" w:after="20"/>
              <w:jc w:val="right"/>
              <w:rPr>
                <w:noProof/>
                <w:sz w:val="20"/>
              </w:rPr>
            </w:pPr>
          </w:p>
        </w:tc>
        <w:tc>
          <w:tcPr>
            <w:tcW w:w="1134" w:type="dxa"/>
            <w:vAlign w:val="center"/>
          </w:tcPr>
          <w:p w14:paraId="05424EB4" w14:textId="77777777" w:rsidR="00FA1843" w:rsidRPr="004B2A0E" w:rsidRDefault="00FA1843" w:rsidP="00EE1D03">
            <w:pPr>
              <w:spacing w:before="20" w:after="20"/>
              <w:jc w:val="right"/>
              <w:rPr>
                <w:noProof/>
                <w:sz w:val="20"/>
              </w:rPr>
            </w:pPr>
          </w:p>
        </w:tc>
        <w:tc>
          <w:tcPr>
            <w:tcW w:w="992" w:type="dxa"/>
            <w:vAlign w:val="center"/>
          </w:tcPr>
          <w:p w14:paraId="5BD1F348" w14:textId="77777777" w:rsidR="00FA1843" w:rsidRPr="004B2A0E" w:rsidRDefault="00FA1843" w:rsidP="00EE1D03">
            <w:pPr>
              <w:spacing w:before="20" w:after="20"/>
              <w:jc w:val="right"/>
              <w:rPr>
                <w:noProof/>
                <w:sz w:val="20"/>
              </w:rPr>
            </w:pPr>
          </w:p>
        </w:tc>
        <w:tc>
          <w:tcPr>
            <w:tcW w:w="1843" w:type="dxa"/>
            <w:vAlign w:val="center"/>
          </w:tcPr>
          <w:p w14:paraId="206EEB39" w14:textId="77777777" w:rsidR="00FA1843" w:rsidRPr="004B2A0E" w:rsidRDefault="00FA1843" w:rsidP="00EE1D03">
            <w:pPr>
              <w:spacing w:before="20" w:after="20"/>
              <w:jc w:val="right"/>
              <w:rPr>
                <w:b/>
                <w:noProof/>
                <w:sz w:val="20"/>
              </w:rPr>
            </w:pPr>
          </w:p>
        </w:tc>
      </w:tr>
      <w:tr w:rsidR="00FA1843" w:rsidRPr="004B2A0E" w14:paraId="6A96E0C3" w14:textId="77777777" w:rsidTr="00EE1D03">
        <w:trPr>
          <w:trHeight w:val="351"/>
        </w:trPr>
        <w:tc>
          <w:tcPr>
            <w:tcW w:w="6054" w:type="dxa"/>
            <w:gridSpan w:val="3"/>
            <w:vAlign w:val="center"/>
          </w:tcPr>
          <w:p w14:paraId="4A7D8FC3" w14:textId="77777777" w:rsidR="00FA1843" w:rsidRPr="004B2A0E" w:rsidRDefault="00FA1843" w:rsidP="00EE1D03">
            <w:pPr>
              <w:spacing w:before="20" w:after="20"/>
              <w:rPr>
                <w:noProof/>
              </w:rPr>
            </w:pPr>
            <w:r w:rsidRPr="004B2A0E">
              <w:rPr>
                <w:noProof/>
                <w:sz w:val="22"/>
              </w:rPr>
              <w:sym w:font="Wingdings" w:char="F09F"/>
            </w:r>
            <w:r w:rsidRPr="004B2A0E">
              <w:rPr>
                <w:noProof/>
                <w:sz w:val="22"/>
              </w:rPr>
              <w:t xml:space="preserve"> Other administrative expenditure </w:t>
            </w:r>
          </w:p>
        </w:tc>
        <w:tc>
          <w:tcPr>
            <w:tcW w:w="993" w:type="dxa"/>
            <w:vAlign w:val="center"/>
          </w:tcPr>
          <w:p w14:paraId="4E00FB30" w14:textId="77777777" w:rsidR="00FA1843" w:rsidRPr="004B2A0E" w:rsidRDefault="00FA1843" w:rsidP="00EE1D03">
            <w:pPr>
              <w:spacing w:before="20" w:after="20"/>
              <w:jc w:val="right"/>
              <w:rPr>
                <w:b/>
                <w:noProof/>
                <w:sz w:val="20"/>
              </w:rPr>
            </w:pPr>
          </w:p>
        </w:tc>
        <w:tc>
          <w:tcPr>
            <w:tcW w:w="992" w:type="dxa"/>
            <w:vAlign w:val="center"/>
          </w:tcPr>
          <w:p w14:paraId="16B147FE" w14:textId="77777777" w:rsidR="00FA1843" w:rsidRPr="004B2A0E" w:rsidRDefault="00FA1843" w:rsidP="00EE1D03">
            <w:pPr>
              <w:spacing w:before="20" w:after="20"/>
              <w:jc w:val="right"/>
              <w:rPr>
                <w:b/>
                <w:noProof/>
                <w:sz w:val="20"/>
              </w:rPr>
            </w:pPr>
          </w:p>
        </w:tc>
        <w:tc>
          <w:tcPr>
            <w:tcW w:w="992" w:type="dxa"/>
            <w:vAlign w:val="center"/>
          </w:tcPr>
          <w:p w14:paraId="2A238FCD" w14:textId="77777777" w:rsidR="00FA1843" w:rsidRPr="004B2A0E" w:rsidRDefault="00FA1843" w:rsidP="00EE1D03">
            <w:pPr>
              <w:spacing w:before="20" w:after="20"/>
              <w:jc w:val="right"/>
              <w:rPr>
                <w:b/>
                <w:noProof/>
                <w:sz w:val="20"/>
              </w:rPr>
            </w:pPr>
          </w:p>
        </w:tc>
        <w:tc>
          <w:tcPr>
            <w:tcW w:w="1134" w:type="dxa"/>
            <w:vAlign w:val="center"/>
          </w:tcPr>
          <w:p w14:paraId="31506B9D" w14:textId="77777777" w:rsidR="00FA1843" w:rsidRPr="004B2A0E" w:rsidRDefault="00FA1843" w:rsidP="00EE1D03">
            <w:pPr>
              <w:spacing w:before="20" w:after="20"/>
              <w:jc w:val="right"/>
              <w:rPr>
                <w:b/>
                <w:noProof/>
                <w:sz w:val="20"/>
              </w:rPr>
            </w:pPr>
          </w:p>
        </w:tc>
        <w:tc>
          <w:tcPr>
            <w:tcW w:w="992" w:type="dxa"/>
            <w:vAlign w:val="center"/>
          </w:tcPr>
          <w:p w14:paraId="753D2C17" w14:textId="77777777" w:rsidR="00FA1843" w:rsidRPr="004B2A0E" w:rsidRDefault="00FA1843" w:rsidP="00EE1D03">
            <w:pPr>
              <w:spacing w:before="20" w:after="20"/>
              <w:jc w:val="right"/>
              <w:rPr>
                <w:b/>
                <w:noProof/>
                <w:sz w:val="20"/>
              </w:rPr>
            </w:pPr>
          </w:p>
        </w:tc>
        <w:tc>
          <w:tcPr>
            <w:tcW w:w="1843" w:type="dxa"/>
            <w:vAlign w:val="center"/>
          </w:tcPr>
          <w:p w14:paraId="46D16830" w14:textId="77777777" w:rsidR="00FA1843" w:rsidRPr="004B2A0E" w:rsidRDefault="00FA1843" w:rsidP="00EE1D03">
            <w:pPr>
              <w:spacing w:before="20" w:after="20"/>
              <w:jc w:val="right"/>
              <w:rPr>
                <w:b/>
                <w:noProof/>
                <w:sz w:val="20"/>
              </w:rPr>
            </w:pPr>
          </w:p>
        </w:tc>
      </w:tr>
      <w:tr w:rsidR="00FA1843" w:rsidRPr="004B2A0E" w14:paraId="560E82EB" w14:textId="77777777" w:rsidTr="00EE1D03">
        <w:tc>
          <w:tcPr>
            <w:tcW w:w="3960" w:type="dxa"/>
            <w:vAlign w:val="center"/>
          </w:tcPr>
          <w:p w14:paraId="39398530" w14:textId="77777777" w:rsidR="00FA1843" w:rsidRPr="004B2A0E" w:rsidRDefault="00FA1843" w:rsidP="00EE1D03">
            <w:pPr>
              <w:jc w:val="center"/>
              <w:rPr>
                <w:b/>
                <w:noProof/>
              </w:rPr>
            </w:pPr>
            <w:r w:rsidRPr="004B2A0E">
              <w:rPr>
                <w:b/>
                <w:noProof/>
                <w:sz w:val="22"/>
              </w:rPr>
              <w:t xml:space="preserve">TOTAL DG </w:t>
            </w:r>
            <w:r w:rsidRPr="004B2A0E">
              <w:rPr>
                <w:noProof/>
              </w:rPr>
              <w:t>&lt;…….&gt;</w:t>
            </w:r>
          </w:p>
        </w:tc>
        <w:tc>
          <w:tcPr>
            <w:tcW w:w="2094" w:type="dxa"/>
            <w:gridSpan w:val="2"/>
            <w:vAlign w:val="center"/>
          </w:tcPr>
          <w:p w14:paraId="6EB74EF0" w14:textId="77777777" w:rsidR="00FA1843" w:rsidRPr="004B2A0E" w:rsidRDefault="00FA1843" w:rsidP="00EE1D03">
            <w:pPr>
              <w:rPr>
                <w:noProof/>
                <w:sz w:val="14"/>
              </w:rPr>
            </w:pPr>
            <w:r w:rsidRPr="004B2A0E">
              <w:rPr>
                <w:noProof/>
                <w:sz w:val="18"/>
              </w:rPr>
              <w:t xml:space="preserve">Appropriations </w:t>
            </w:r>
          </w:p>
        </w:tc>
        <w:tc>
          <w:tcPr>
            <w:tcW w:w="993" w:type="dxa"/>
            <w:vAlign w:val="center"/>
          </w:tcPr>
          <w:p w14:paraId="095C387D" w14:textId="77777777" w:rsidR="00FA1843" w:rsidRPr="004B2A0E" w:rsidRDefault="00FA1843" w:rsidP="00EE1D03">
            <w:pPr>
              <w:spacing w:before="20" w:after="20"/>
              <w:jc w:val="right"/>
              <w:rPr>
                <w:noProof/>
                <w:sz w:val="20"/>
              </w:rPr>
            </w:pPr>
          </w:p>
        </w:tc>
        <w:tc>
          <w:tcPr>
            <w:tcW w:w="992" w:type="dxa"/>
            <w:vAlign w:val="center"/>
          </w:tcPr>
          <w:p w14:paraId="31EFCB15" w14:textId="77777777" w:rsidR="00FA1843" w:rsidRPr="004B2A0E" w:rsidRDefault="00FA1843" w:rsidP="00EE1D03">
            <w:pPr>
              <w:spacing w:before="20" w:after="20"/>
              <w:jc w:val="right"/>
              <w:rPr>
                <w:noProof/>
                <w:sz w:val="20"/>
              </w:rPr>
            </w:pPr>
          </w:p>
        </w:tc>
        <w:tc>
          <w:tcPr>
            <w:tcW w:w="992" w:type="dxa"/>
            <w:vAlign w:val="center"/>
          </w:tcPr>
          <w:p w14:paraId="574EBCE5" w14:textId="77777777" w:rsidR="00FA1843" w:rsidRPr="004B2A0E" w:rsidRDefault="00FA1843" w:rsidP="00EE1D03">
            <w:pPr>
              <w:spacing w:before="20" w:after="20"/>
              <w:jc w:val="right"/>
              <w:rPr>
                <w:noProof/>
                <w:sz w:val="20"/>
              </w:rPr>
            </w:pPr>
          </w:p>
        </w:tc>
        <w:tc>
          <w:tcPr>
            <w:tcW w:w="1134" w:type="dxa"/>
            <w:vAlign w:val="center"/>
          </w:tcPr>
          <w:p w14:paraId="02B175FC" w14:textId="77777777" w:rsidR="00FA1843" w:rsidRPr="004B2A0E" w:rsidRDefault="00FA1843" w:rsidP="00EE1D03">
            <w:pPr>
              <w:spacing w:before="20" w:after="20"/>
              <w:jc w:val="right"/>
              <w:rPr>
                <w:noProof/>
                <w:sz w:val="20"/>
              </w:rPr>
            </w:pPr>
          </w:p>
        </w:tc>
        <w:tc>
          <w:tcPr>
            <w:tcW w:w="992" w:type="dxa"/>
            <w:vAlign w:val="center"/>
          </w:tcPr>
          <w:p w14:paraId="6D080163" w14:textId="77777777" w:rsidR="00FA1843" w:rsidRPr="004B2A0E" w:rsidRDefault="00FA1843" w:rsidP="00EE1D03">
            <w:pPr>
              <w:spacing w:before="20" w:after="20"/>
              <w:jc w:val="right"/>
              <w:rPr>
                <w:noProof/>
                <w:sz w:val="20"/>
              </w:rPr>
            </w:pPr>
          </w:p>
        </w:tc>
        <w:tc>
          <w:tcPr>
            <w:tcW w:w="1843" w:type="dxa"/>
            <w:vAlign w:val="center"/>
          </w:tcPr>
          <w:p w14:paraId="672A1FB0" w14:textId="77777777" w:rsidR="00FA1843" w:rsidRPr="004B2A0E" w:rsidRDefault="00FA1843" w:rsidP="00EE1D03">
            <w:pPr>
              <w:spacing w:before="20" w:after="20"/>
              <w:jc w:val="right"/>
              <w:rPr>
                <w:b/>
                <w:noProof/>
                <w:sz w:val="20"/>
              </w:rPr>
            </w:pPr>
          </w:p>
        </w:tc>
      </w:tr>
    </w:tbl>
    <w:p w14:paraId="05C1655D" w14:textId="77777777" w:rsidR="00FA1843" w:rsidRPr="004B2A0E" w:rsidRDefault="00FA1843" w:rsidP="00FA1843">
      <w:pPr>
        <w:rPr>
          <w:noProof/>
        </w:rPr>
      </w:pPr>
    </w:p>
    <w:tbl>
      <w:tblPr>
        <w:tblW w:w="13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93"/>
        <w:gridCol w:w="992"/>
        <w:gridCol w:w="992"/>
        <w:gridCol w:w="1134"/>
        <w:gridCol w:w="992"/>
        <w:gridCol w:w="1843"/>
      </w:tblGrid>
      <w:tr w:rsidR="00FA1843" w:rsidRPr="004B2A0E" w14:paraId="4E9FDFF6" w14:textId="77777777" w:rsidTr="00EE1D03">
        <w:tc>
          <w:tcPr>
            <w:tcW w:w="3960" w:type="dxa"/>
            <w:shd w:val="thinDiagStripe" w:color="C0C0C0" w:fill="auto"/>
            <w:vAlign w:val="center"/>
          </w:tcPr>
          <w:p w14:paraId="675A5B27" w14:textId="77777777" w:rsidR="00FA1843" w:rsidRPr="004B2A0E" w:rsidRDefault="00FA1843" w:rsidP="00EE1D03">
            <w:pPr>
              <w:jc w:val="center"/>
              <w:rPr>
                <w:b/>
                <w:noProof/>
              </w:rPr>
            </w:pPr>
            <w:r w:rsidRPr="004B2A0E">
              <w:rPr>
                <w:b/>
                <w:noProof/>
                <w:sz w:val="22"/>
              </w:rPr>
              <w:t>TOTAL appropriations</w:t>
            </w:r>
            <w:r w:rsidRPr="004B2A0E">
              <w:rPr>
                <w:noProof/>
                <w:sz w:val="22"/>
              </w:rPr>
              <w:br/>
            </w:r>
            <w:r w:rsidRPr="004B2A0E">
              <w:rPr>
                <w:b/>
                <w:noProof/>
                <w:sz w:val="22"/>
              </w:rPr>
              <w:t>under HEADING 7</w:t>
            </w:r>
            <w:r w:rsidRPr="004B2A0E">
              <w:rPr>
                <w:noProof/>
                <w:sz w:val="22"/>
              </w:rPr>
              <w:br/>
              <w:t>of the multiannual financial framework</w:t>
            </w:r>
            <w:r w:rsidRPr="004B2A0E">
              <w:rPr>
                <w:b/>
                <w:noProof/>
                <w:sz w:val="22"/>
              </w:rPr>
              <w:t xml:space="preserve"> </w:t>
            </w:r>
          </w:p>
        </w:tc>
        <w:tc>
          <w:tcPr>
            <w:tcW w:w="2094" w:type="dxa"/>
            <w:vAlign w:val="center"/>
          </w:tcPr>
          <w:p w14:paraId="1067D41E" w14:textId="77777777" w:rsidR="00FA1843" w:rsidRPr="004B2A0E" w:rsidRDefault="00FA1843" w:rsidP="00EE1D03">
            <w:pPr>
              <w:spacing w:before="40" w:after="40"/>
              <w:rPr>
                <w:noProof/>
              </w:rPr>
            </w:pPr>
            <w:r w:rsidRPr="004B2A0E">
              <w:rPr>
                <w:noProof/>
                <w:sz w:val="18"/>
              </w:rPr>
              <w:t>(Total commitments = Total payments)</w:t>
            </w:r>
          </w:p>
        </w:tc>
        <w:tc>
          <w:tcPr>
            <w:tcW w:w="993" w:type="dxa"/>
            <w:vAlign w:val="center"/>
          </w:tcPr>
          <w:p w14:paraId="7A413A6B" w14:textId="77777777" w:rsidR="00FA1843" w:rsidRPr="004B2A0E" w:rsidRDefault="00FA1843" w:rsidP="00EE1D03">
            <w:pPr>
              <w:spacing w:before="20" w:after="20"/>
              <w:jc w:val="right"/>
              <w:rPr>
                <w:noProof/>
                <w:sz w:val="20"/>
              </w:rPr>
            </w:pPr>
          </w:p>
        </w:tc>
        <w:tc>
          <w:tcPr>
            <w:tcW w:w="992" w:type="dxa"/>
            <w:vAlign w:val="center"/>
          </w:tcPr>
          <w:p w14:paraId="336B0B90" w14:textId="77777777" w:rsidR="00FA1843" w:rsidRPr="004B2A0E" w:rsidRDefault="00FA1843" w:rsidP="00EE1D03">
            <w:pPr>
              <w:spacing w:before="20" w:after="20"/>
              <w:jc w:val="right"/>
              <w:rPr>
                <w:noProof/>
                <w:sz w:val="20"/>
              </w:rPr>
            </w:pPr>
          </w:p>
        </w:tc>
        <w:tc>
          <w:tcPr>
            <w:tcW w:w="992" w:type="dxa"/>
            <w:vAlign w:val="center"/>
          </w:tcPr>
          <w:p w14:paraId="2CA77459" w14:textId="77777777" w:rsidR="00FA1843" w:rsidRPr="004B2A0E" w:rsidRDefault="00FA1843" w:rsidP="00EE1D03">
            <w:pPr>
              <w:spacing w:before="20" w:after="20"/>
              <w:jc w:val="right"/>
              <w:rPr>
                <w:noProof/>
                <w:sz w:val="20"/>
              </w:rPr>
            </w:pPr>
          </w:p>
        </w:tc>
        <w:tc>
          <w:tcPr>
            <w:tcW w:w="1134" w:type="dxa"/>
            <w:vAlign w:val="center"/>
          </w:tcPr>
          <w:p w14:paraId="2F27366D" w14:textId="77777777" w:rsidR="00FA1843" w:rsidRPr="004B2A0E" w:rsidRDefault="00FA1843" w:rsidP="00EE1D03">
            <w:pPr>
              <w:spacing w:before="20" w:after="20"/>
              <w:jc w:val="right"/>
              <w:rPr>
                <w:noProof/>
                <w:sz w:val="20"/>
              </w:rPr>
            </w:pPr>
          </w:p>
        </w:tc>
        <w:tc>
          <w:tcPr>
            <w:tcW w:w="992" w:type="dxa"/>
            <w:vAlign w:val="center"/>
          </w:tcPr>
          <w:p w14:paraId="0E5FC100" w14:textId="77777777" w:rsidR="00FA1843" w:rsidRPr="004B2A0E" w:rsidRDefault="00FA1843" w:rsidP="00EE1D03">
            <w:pPr>
              <w:spacing w:before="20" w:after="20"/>
              <w:jc w:val="right"/>
              <w:rPr>
                <w:noProof/>
                <w:sz w:val="20"/>
              </w:rPr>
            </w:pPr>
          </w:p>
        </w:tc>
        <w:tc>
          <w:tcPr>
            <w:tcW w:w="1843" w:type="dxa"/>
            <w:vAlign w:val="center"/>
          </w:tcPr>
          <w:p w14:paraId="0A7BE8D5" w14:textId="77777777" w:rsidR="00FA1843" w:rsidRPr="004B2A0E" w:rsidRDefault="00FA1843" w:rsidP="00EE1D03">
            <w:pPr>
              <w:spacing w:before="20" w:after="20"/>
              <w:jc w:val="right"/>
              <w:rPr>
                <w:b/>
                <w:noProof/>
                <w:sz w:val="20"/>
              </w:rPr>
            </w:pPr>
          </w:p>
        </w:tc>
      </w:tr>
    </w:tbl>
    <w:p w14:paraId="665FBD20" w14:textId="77777777" w:rsidR="00FA1843" w:rsidRPr="004B2A0E" w:rsidRDefault="00FA1843" w:rsidP="00FA1843">
      <w:pPr>
        <w:jc w:val="right"/>
        <w:rPr>
          <w:noProof/>
          <w:sz w:val="20"/>
        </w:rPr>
      </w:pPr>
      <w:r w:rsidRPr="004B2A0E">
        <w:rPr>
          <w:noProof/>
          <w:sz w:val="20"/>
        </w:rPr>
        <w:t>EUR million (to three decimal places)</w:t>
      </w:r>
    </w:p>
    <w:tbl>
      <w:tblPr>
        <w:tblW w:w="13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93"/>
        <w:gridCol w:w="992"/>
        <w:gridCol w:w="992"/>
        <w:gridCol w:w="1134"/>
        <w:gridCol w:w="992"/>
        <w:gridCol w:w="1843"/>
      </w:tblGrid>
      <w:tr w:rsidR="00FA1843" w:rsidRPr="004B2A0E" w14:paraId="24E94182" w14:textId="77777777" w:rsidTr="00EE1D03">
        <w:tc>
          <w:tcPr>
            <w:tcW w:w="3960" w:type="dxa"/>
            <w:tcBorders>
              <w:top w:val="nil"/>
              <w:left w:val="nil"/>
              <w:right w:val="nil"/>
            </w:tcBorders>
            <w:vAlign w:val="center"/>
          </w:tcPr>
          <w:p w14:paraId="01E76FE3" w14:textId="77777777" w:rsidR="00FA1843" w:rsidRPr="004B2A0E" w:rsidRDefault="00FA1843" w:rsidP="00EE1D03">
            <w:pPr>
              <w:jc w:val="center"/>
              <w:rPr>
                <w:noProof/>
              </w:rPr>
            </w:pPr>
          </w:p>
        </w:tc>
        <w:tc>
          <w:tcPr>
            <w:tcW w:w="1560" w:type="dxa"/>
            <w:tcBorders>
              <w:top w:val="nil"/>
              <w:left w:val="nil"/>
              <w:right w:val="nil"/>
            </w:tcBorders>
          </w:tcPr>
          <w:p w14:paraId="26BC033A" w14:textId="77777777" w:rsidR="00FA1843" w:rsidRPr="004B2A0E" w:rsidRDefault="00FA1843" w:rsidP="00EE1D03">
            <w:pPr>
              <w:rPr>
                <w:noProof/>
                <w:sz w:val="20"/>
              </w:rPr>
            </w:pPr>
          </w:p>
        </w:tc>
        <w:tc>
          <w:tcPr>
            <w:tcW w:w="534" w:type="dxa"/>
            <w:tcBorders>
              <w:top w:val="nil"/>
              <w:left w:val="nil"/>
            </w:tcBorders>
          </w:tcPr>
          <w:p w14:paraId="15D47E8C" w14:textId="77777777" w:rsidR="00FA1843" w:rsidRPr="004B2A0E" w:rsidRDefault="00FA1843" w:rsidP="00EE1D03">
            <w:pPr>
              <w:jc w:val="center"/>
              <w:rPr>
                <w:noProof/>
                <w:sz w:val="20"/>
              </w:rPr>
            </w:pPr>
          </w:p>
        </w:tc>
        <w:tc>
          <w:tcPr>
            <w:tcW w:w="993" w:type="dxa"/>
            <w:vAlign w:val="center"/>
          </w:tcPr>
          <w:p w14:paraId="14078D5D" w14:textId="77777777" w:rsidR="00FA1843" w:rsidRPr="004B2A0E" w:rsidRDefault="00FA1843" w:rsidP="00EE1D03">
            <w:pPr>
              <w:jc w:val="center"/>
              <w:rPr>
                <w:noProof/>
                <w:sz w:val="20"/>
              </w:rPr>
            </w:pPr>
            <w:r w:rsidRPr="004B2A0E">
              <w:rPr>
                <w:noProof/>
                <w:sz w:val="20"/>
              </w:rPr>
              <w:t>2023</w:t>
            </w:r>
          </w:p>
        </w:tc>
        <w:tc>
          <w:tcPr>
            <w:tcW w:w="992" w:type="dxa"/>
            <w:vAlign w:val="center"/>
          </w:tcPr>
          <w:p w14:paraId="00C6EDB9" w14:textId="77777777" w:rsidR="00FA1843" w:rsidRPr="004B2A0E" w:rsidRDefault="00FA1843" w:rsidP="00EE1D03">
            <w:pPr>
              <w:jc w:val="center"/>
              <w:rPr>
                <w:noProof/>
                <w:sz w:val="20"/>
              </w:rPr>
            </w:pPr>
            <w:r w:rsidRPr="004B2A0E">
              <w:rPr>
                <w:noProof/>
                <w:sz w:val="20"/>
              </w:rPr>
              <w:t>2024</w:t>
            </w:r>
          </w:p>
        </w:tc>
        <w:tc>
          <w:tcPr>
            <w:tcW w:w="992" w:type="dxa"/>
            <w:vAlign w:val="center"/>
          </w:tcPr>
          <w:p w14:paraId="6A9A89E0" w14:textId="77777777" w:rsidR="00FA1843" w:rsidRPr="004B2A0E" w:rsidRDefault="00FA1843" w:rsidP="00EE1D03">
            <w:pPr>
              <w:jc w:val="center"/>
              <w:rPr>
                <w:noProof/>
                <w:sz w:val="20"/>
              </w:rPr>
            </w:pPr>
            <w:r w:rsidRPr="004B2A0E">
              <w:rPr>
                <w:noProof/>
                <w:sz w:val="20"/>
              </w:rPr>
              <w:t>2025</w:t>
            </w:r>
          </w:p>
        </w:tc>
        <w:tc>
          <w:tcPr>
            <w:tcW w:w="1134" w:type="dxa"/>
            <w:vAlign w:val="center"/>
          </w:tcPr>
          <w:p w14:paraId="45A85501" w14:textId="77777777" w:rsidR="00FA1843" w:rsidRPr="004B2A0E" w:rsidRDefault="00FA1843" w:rsidP="00EE1D03">
            <w:pPr>
              <w:jc w:val="center"/>
              <w:rPr>
                <w:b/>
                <w:noProof/>
                <w:sz w:val="18"/>
              </w:rPr>
            </w:pPr>
            <w:r w:rsidRPr="004B2A0E">
              <w:rPr>
                <w:noProof/>
                <w:sz w:val="18"/>
              </w:rPr>
              <w:t>2026</w:t>
            </w:r>
          </w:p>
        </w:tc>
        <w:tc>
          <w:tcPr>
            <w:tcW w:w="992" w:type="dxa"/>
            <w:vAlign w:val="center"/>
          </w:tcPr>
          <w:p w14:paraId="65D1EB9E" w14:textId="77777777" w:rsidR="00FA1843" w:rsidRPr="004B2A0E" w:rsidRDefault="00FA1843" w:rsidP="00EE1D03">
            <w:pPr>
              <w:jc w:val="center"/>
              <w:rPr>
                <w:noProof/>
                <w:sz w:val="18"/>
              </w:rPr>
            </w:pPr>
            <w:r w:rsidRPr="004B2A0E">
              <w:rPr>
                <w:noProof/>
                <w:sz w:val="18"/>
              </w:rPr>
              <w:t>2027</w:t>
            </w:r>
          </w:p>
        </w:tc>
        <w:tc>
          <w:tcPr>
            <w:tcW w:w="1843" w:type="dxa"/>
            <w:vAlign w:val="center"/>
          </w:tcPr>
          <w:p w14:paraId="4148E796" w14:textId="77777777" w:rsidR="00FA1843" w:rsidRPr="004B2A0E" w:rsidRDefault="00FA1843" w:rsidP="00EE1D03">
            <w:pPr>
              <w:jc w:val="center"/>
              <w:rPr>
                <w:b/>
                <w:noProof/>
                <w:sz w:val="20"/>
              </w:rPr>
            </w:pPr>
            <w:r w:rsidRPr="004B2A0E">
              <w:rPr>
                <w:b/>
                <w:noProof/>
                <w:sz w:val="20"/>
              </w:rPr>
              <w:t>TOTAL</w:t>
            </w:r>
          </w:p>
        </w:tc>
      </w:tr>
      <w:tr w:rsidR="00FA1843" w:rsidRPr="004B2A0E" w14:paraId="2F5025E0" w14:textId="77777777" w:rsidTr="00EE1D03">
        <w:tc>
          <w:tcPr>
            <w:tcW w:w="3960" w:type="dxa"/>
            <w:vMerge w:val="restart"/>
            <w:shd w:val="clear" w:color="auto" w:fill="C0C0C0"/>
            <w:vAlign w:val="center"/>
          </w:tcPr>
          <w:p w14:paraId="2382CDCD" w14:textId="77777777" w:rsidR="00FA1843" w:rsidRPr="004B2A0E" w:rsidRDefault="00FA1843" w:rsidP="00EE1D03">
            <w:pPr>
              <w:jc w:val="center"/>
              <w:rPr>
                <w:b/>
                <w:noProof/>
              </w:rPr>
            </w:pPr>
            <w:r w:rsidRPr="004B2A0E">
              <w:rPr>
                <w:b/>
                <w:noProof/>
                <w:sz w:val="22"/>
              </w:rPr>
              <w:t xml:space="preserve">TOTAL appropriations </w:t>
            </w:r>
            <w:r w:rsidRPr="004B2A0E">
              <w:rPr>
                <w:noProof/>
                <w:sz w:val="22"/>
              </w:rPr>
              <w:br/>
            </w:r>
            <w:r w:rsidRPr="004B2A0E">
              <w:rPr>
                <w:b/>
                <w:noProof/>
                <w:sz w:val="22"/>
              </w:rPr>
              <w:t>under HEADINGS 1 to 7</w:t>
            </w:r>
            <w:r w:rsidRPr="004B2A0E">
              <w:rPr>
                <w:noProof/>
                <w:sz w:val="22"/>
              </w:rPr>
              <w:br/>
              <w:t>of the multiannual financial framework</w:t>
            </w:r>
            <w:r w:rsidRPr="004B2A0E">
              <w:rPr>
                <w:b/>
                <w:noProof/>
                <w:sz w:val="22"/>
              </w:rPr>
              <w:t xml:space="preserve"> </w:t>
            </w:r>
          </w:p>
        </w:tc>
        <w:tc>
          <w:tcPr>
            <w:tcW w:w="2094" w:type="dxa"/>
            <w:gridSpan w:val="2"/>
            <w:vAlign w:val="center"/>
          </w:tcPr>
          <w:p w14:paraId="6C1E0670" w14:textId="77777777" w:rsidR="00FA1843" w:rsidRPr="004B2A0E" w:rsidRDefault="00FA1843" w:rsidP="00EE1D03">
            <w:pPr>
              <w:rPr>
                <w:noProof/>
                <w:sz w:val="14"/>
              </w:rPr>
            </w:pPr>
            <w:r w:rsidRPr="004B2A0E">
              <w:rPr>
                <w:noProof/>
                <w:sz w:val="18"/>
              </w:rPr>
              <w:t>Commitments</w:t>
            </w:r>
          </w:p>
        </w:tc>
        <w:tc>
          <w:tcPr>
            <w:tcW w:w="993" w:type="dxa"/>
            <w:vAlign w:val="center"/>
          </w:tcPr>
          <w:p w14:paraId="56E9F624" w14:textId="77777777" w:rsidR="00FA1843" w:rsidRPr="004B2A0E" w:rsidRDefault="00FA1843" w:rsidP="00EE1D03">
            <w:pPr>
              <w:spacing w:before="20" w:after="20"/>
              <w:jc w:val="right"/>
              <w:rPr>
                <w:b/>
                <w:bCs/>
                <w:noProof/>
                <w:sz w:val="18"/>
                <w:szCs w:val="18"/>
              </w:rPr>
            </w:pPr>
          </w:p>
        </w:tc>
        <w:tc>
          <w:tcPr>
            <w:tcW w:w="992" w:type="dxa"/>
            <w:vAlign w:val="center"/>
          </w:tcPr>
          <w:p w14:paraId="68949BDE" w14:textId="77777777" w:rsidR="00FA1843" w:rsidRPr="004B2A0E" w:rsidRDefault="00FA1843" w:rsidP="00EE1D03">
            <w:pPr>
              <w:spacing w:before="0" w:after="0"/>
              <w:jc w:val="right"/>
              <w:rPr>
                <w:b/>
                <w:bCs/>
                <w:noProof/>
                <w:color w:val="000000"/>
                <w:sz w:val="18"/>
                <w:szCs w:val="18"/>
              </w:rPr>
            </w:pPr>
          </w:p>
        </w:tc>
        <w:tc>
          <w:tcPr>
            <w:tcW w:w="992" w:type="dxa"/>
            <w:vAlign w:val="center"/>
          </w:tcPr>
          <w:p w14:paraId="282C76DB" w14:textId="77777777" w:rsidR="00FA1843" w:rsidRPr="004B2A0E" w:rsidRDefault="00FA1843" w:rsidP="00EE1D03">
            <w:pPr>
              <w:jc w:val="right"/>
              <w:rPr>
                <w:b/>
                <w:bCs/>
                <w:noProof/>
                <w:color w:val="000000"/>
                <w:sz w:val="18"/>
                <w:szCs w:val="18"/>
              </w:rPr>
            </w:pPr>
          </w:p>
        </w:tc>
        <w:tc>
          <w:tcPr>
            <w:tcW w:w="1134" w:type="dxa"/>
            <w:vAlign w:val="center"/>
          </w:tcPr>
          <w:p w14:paraId="4CD875EA" w14:textId="77777777" w:rsidR="00FA1843" w:rsidRPr="004B2A0E" w:rsidRDefault="00FA1843" w:rsidP="00EE1D03">
            <w:pPr>
              <w:jc w:val="right"/>
              <w:rPr>
                <w:b/>
                <w:bCs/>
                <w:noProof/>
                <w:color w:val="000000"/>
                <w:sz w:val="18"/>
                <w:szCs w:val="18"/>
              </w:rPr>
            </w:pPr>
          </w:p>
        </w:tc>
        <w:tc>
          <w:tcPr>
            <w:tcW w:w="992" w:type="dxa"/>
            <w:vAlign w:val="center"/>
          </w:tcPr>
          <w:p w14:paraId="2730815A" w14:textId="77777777" w:rsidR="00FA1843" w:rsidRPr="004B2A0E" w:rsidRDefault="00FA1843" w:rsidP="00EE1D03">
            <w:pPr>
              <w:jc w:val="right"/>
              <w:rPr>
                <w:b/>
                <w:bCs/>
                <w:noProof/>
                <w:color w:val="000000"/>
                <w:sz w:val="18"/>
                <w:szCs w:val="18"/>
              </w:rPr>
            </w:pPr>
          </w:p>
        </w:tc>
        <w:tc>
          <w:tcPr>
            <w:tcW w:w="1843" w:type="dxa"/>
            <w:vAlign w:val="center"/>
          </w:tcPr>
          <w:p w14:paraId="0ADF3064" w14:textId="77777777" w:rsidR="00FA1843" w:rsidRPr="004B2A0E" w:rsidRDefault="00FA1843" w:rsidP="00EE1D03">
            <w:pPr>
              <w:jc w:val="right"/>
              <w:rPr>
                <w:b/>
                <w:bCs/>
                <w:noProof/>
                <w:color w:val="000000"/>
                <w:sz w:val="18"/>
                <w:szCs w:val="18"/>
              </w:rPr>
            </w:pPr>
          </w:p>
        </w:tc>
      </w:tr>
      <w:tr w:rsidR="00FA1843" w:rsidRPr="004B2A0E" w14:paraId="4A05DEC5" w14:textId="77777777" w:rsidTr="00EE1D03">
        <w:tc>
          <w:tcPr>
            <w:tcW w:w="3960" w:type="dxa"/>
            <w:vMerge/>
            <w:vAlign w:val="center"/>
          </w:tcPr>
          <w:p w14:paraId="30C9C909" w14:textId="77777777" w:rsidR="00FA1843" w:rsidRPr="004B2A0E" w:rsidRDefault="00FA1843" w:rsidP="00EE1D03">
            <w:pPr>
              <w:rPr>
                <w:b/>
                <w:noProof/>
              </w:rPr>
            </w:pPr>
          </w:p>
        </w:tc>
        <w:tc>
          <w:tcPr>
            <w:tcW w:w="2094" w:type="dxa"/>
            <w:gridSpan w:val="2"/>
            <w:vAlign w:val="center"/>
          </w:tcPr>
          <w:p w14:paraId="48321CC2" w14:textId="77777777" w:rsidR="00FA1843" w:rsidRPr="004B2A0E" w:rsidRDefault="00FA1843" w:rsidP="00EE1D03">
            <w:pPr>
              <w:rPr>
                <w:noProof/>
                <w:sz w:val="14"/>
              </w:rPr>
            </w:pPr>
            <w:r w:rsidRPr="004B2A0E">
              <w:rPr>
                <w:noProof/>
                <w:sz w:val="18"/>
              </w:rPr>
              <w:t>Payments</w:t>
            </w:r>
          </w:p>
        </w:tc>
        <w:tc>
          <w:tcPr>
            <w:tcW w:w="993" w:type="dxa"/>
            <w:vAlign w:val="center"/>
          </w:tcPr>
          <w:p w14:paraId="45862B0C" w14:textId="77777777" w:rsidR="00FA1843" w:rsidRPr="004B2A0E" w:rsidRDefault="00FA1843" w:rsidP="00EE1D03">
            <w:pPr>
              <w:spacing w:before="20" w:after="20"/>
              <w:jc w:val="right"/>
              <w:rPr>
                <w:b/>
                <w:bCs/>
                <w:noProof/>
                <w:sz w:val="18"/>
                <w:szCs w:val="18"/>
              </w:rPr>
            </w:pPr>
          </w:p>
        </w:tc>
        <w:tc>
          <w:tcPr>
            <w:tcW w:w="992" w:type="dxa"/>
            <w:vAlign w:val="center"/>
          </w:tcPr>
          <w:p w14:paraId="472E4CC4" w14:textId="77777777" w:rsidR="00FA1843" w:rsidRPr="004B2A0E" w:rsidRDefault="00FA1843" w:rsidP="00EE1D03">
            <w:pPr>
              <w:spacing w:before="0" w:after="0"/>
              <w:jc w:val="right"/>
              <w:rPr>
                <w:b/>
                <w:bCs/>
                <w:noProof/>
                <w:color w:val="000000"/>
                <w:sz w:val="18"/>
                <w:szCs w:val="18"/>
              </w:rPr>
            </w:pPr>
          </w:p>
        </w:tc>
        <w:tc>
          <w:tcPr>
            <w:tcW w:w="992" w:type="dxa"/>
            <w:vAlign w:val="center"/>
          </w:tcPr>
          <w:p w14:paraId="5643DA23" w14:textId="77777777" w:rsidR="00FA1843" w:rsidRPr="004B2A0E" w:rsidRDefault="00FA1843" w:rsidP="00EE1D03">
            <w:pPr>
              <w:jc w:val="right"/>
              <w:rPr>
                <w:b/>
                <w:bCs/>
                <w:noProof/>
                <w:color w:val="000000"/>
                <w:sz w:val="18"/>
                <w:szCs w:val="18"/>
              </w:rPr>
            </w:pPr>
          </w:p>
        </w:tc>
        <w:tc>
          <w:tcPr>
            <w:tcW w:w="1134" w:type="dxa"/>
            <w:vAlign w:val="center"/>
          </w:tcPr>
          <w:p w14:paraId="04144FE1" w14:textId="77777777" w:rsidR="00FA1843" w:rsidRPr="004B2A0E" w:rsidRDefault="00FA1843" w:rsidP="00EE1D03">
            <w:pPr>
              <w:jc w:val="right"/>
              <w:rPr>
                <w:b/>
                <w:bCs/>
                <w:noProof/>
                <w:color w:val="000000"/>
                <w:sz w:val="18"/>
                <w:szCs w:val="18"/>
              </w:rPr>
            </w:pPr>
          </w:p>
        </w:tc>
        <w:tc>
          <w:tcPr>
            <w:tcW w:w="992" w:type="dxa"/>
            <w:vAlign w:val="center"/>
          </w:tcPr>
          <w:p w14:paraId="1A491214" w14:textId="77777777" w:rsidR="00FA1843" w:rsidRPr="004B2A0E" w:rsidRDefault="00FA1843" w:rsidP="00EE1D03">
            <w:pPr>
              <w:jc w:val="right"/>
              <w:rPr>
                <w:b/>
                <w:bCs/>
                <w:noProof/>
                <w:color w:val="000000"/>
                <w:sz w:val="18"/>
                <w:szCs w:val="18"/>
              </w:rPr>
            </w:pPr>
          </w:p>
        </w:tc>
        <w:tc>
          <w:tcPr>
            <w:tcW w:w="1843" w:type="dxa"/>
            <w:vAlign w:val="center"/>
          </w:tcPr>
          <w:p w14:paraId="00474A9B" w14:textId="77777777" w:rsidR="00FA1843" w:rsidRPr="004B2A0E" w:rsidRDefault="00FA1843" w:rsidP="00EE1D03">
            <w:pPr>
              <w:jc w:val="right"/>
              <w:rPr>
                <w:b/>
                <w:bCs/>
                <w:noProof/>
                <w:color w:val="000000"/>
                <w:sz w:val="18"/>
                <w:szCs w:val="18"/>
              </w:rPr>
            </w:pPr>
          </w:p>
        </w:tc>
      </w:tr>
    </w:tbl>
    <w:p w14:paraId="5E4009D3" w14:textId="77777777" w:rsidR="00FA1843" w:rsidRPr="004B2A0E" w:rsidRDefault="00FA1843" w:rsidP="00FA1843">
      <w:pPr>
        <w:rPr>
          <w:noProof/>
        </w:rPr>
        <w:sectPr w:rsidR="00FA1843" w:rsidRPr="004B2A0E" w:rsidSect="00783A24">
          <w:headerReference w:type="default" r:id="rId17"/>
          <w:footerReference w:type="default" r:id="rId18"/>
          <w:headerReference w:type="first" r:id="rId19"/>
          <w:footerReference w:type="first" r:id="rId20"/>
          <w:pgSz w:w="16838" w:h="11906" w:orient="landscape" w:code="9"/>
          <w:pgMar w:top="1134" w:right="1077" w:bottom="902" w:left="1247" w:header="709" w:footer="510" w:gutter="0"/>
          <w:cols w:space="720"/>
          <w:docGrid w:linePitch="326"/>
        </w:sectPr>
      </w:pPr>
    </w:p>
    <w:p w14:paraId="59C5DF35" w14:textId="2BCC1F83" w:rsidR="00FA1843" w:rsidRPr="004B2A0E" w:rsidRDefault="002A7F8C" w:rsidP="002A7F8C">
      <w:pPr>
        <w:pStyle w:val="ManualHeading3"/>
        <w:rPr>
          <w:bCs/>
          <w:noProof/>
          <w:szCs w:val="24"/>
        </w:rPr>
      </w:pPr>
      <w:bookmarkStart w:id="61" w:name="_Toc514938687"/>
      <w:bookmarkStart w:id="62" w:name="_Toc520485446"/>
      <w:r w:rsidRPr="002A7F8C">
        <w:rPr>
          <w:noProof/>
        </w:rPr>
        <w:t>3.2.2.</w:t>
      </w:r>
      <w:r w:rsidRPr="002A7F8C">
        <w:rPr>
          <w:noProof/>
        </w:rPr>
        <w:tab/>
      </w:r>
      <w:r w:rsidR="00FA1843" w:rsidRPr="004B2A0E">
        <w:rPr>
          <w:noProof/>
        </w:rPr>
        <w:t>Estimated impact on ESMA’s appropriations</w:t>
      </w:r>
      <w:bookmarkEnd w:id="61"/>
      <w:bookmarkEnd w:id="62"/>
      <w:r w:rsidR="00FA1843" w:rsidRPr="004B2A0E">
        <w:rPr>
          <w:noProof/>
        </w:rPr>
        <w:t xml:space="preserve"> </w:t>
      </w:r>
    </w:p>
    <w:p w14:paraId="1710E240" w14:textId="77777777" w:rsidR="00FA1843" w:rsidRPr="004B2A0E" w:rsidRDefault="00FA1843" w:rsidP="00580A58">
      <w:pPr>
        <w:pStyle w:val="ListDash1"/>
        <w:numPr>
          <w:ilvl w:val="0"/>
          <w:numId w:val="21"/>
        </w:numPr>
        <w:rPr>
          <w:noProof/>
        </w:rPr>
      </w:pPr>
      <w:r w:rsidRPr="004B2A0E">
        <w:rPr>
          <w:noProof/>
        </w:rPr>
        <w:sym w:font="Wingdings" w:char="F0A8"/>
      </w:r>
      <w:r w:rsidRPr="004B2A0E">
        <w:rPr>
          <w:noProof/>
        </w:rPr>
        <w:tab/>
        <w:t xml:space="preserve">The proposal/initiative does not require the use of operational appropriations </w:t>
      </w:r>
    </w:p>
    <w:p w14:paraId="7DC47D99" w14:textId="77777777" w:rsidR="00FA1843" w:rsidRPr="004B2A0E" w:rsidRDefault="00FA1843" w:rsidP="00580A58">
      <w:pPr>
        <w:pStyle w:val="ListDash1"/>
        <w:numPr>
          <w:ilvl w:val="0"/>
          <w:numId w:val="21"/>
        </w:numPr>
        <w:rPr>
          <w:noProof/>
        </w:rPr>
      </w:pPr>
      <w:r w:rsidRPr="004B2A0E">
        <w:rPr>
          <w:noProof/>
        </w:rPr>
        <w:sym w:font="Wingdings" w:char="F0FE"/>
      </w:r>
      <w:r w:rsidRPr="004B2A0E">
        <w:rPr>
          <w:noProof/>
        </w:rPr>
        <w:tab/>
        <w:t>The proposal/initiative requires the use of operational appropriations, as explained below:</w:t>
      </w:r>
    </w:p>
    <w:p w14:paraId="76135A4E" w14:textId="77777777" w:rsidR="00FA1843" w:rsidRPr="004B2A0E" w:rsidRDefault="00FA1843" w:rsidP="00FA1843">
      <w:pPr>
        <w:jc w:val="right"/>
        <w:rPr>
          <w:noProof/>
          <w:sz w:val="20"/>
        </w:rPr>
      </w:pPr>
      <w:r w:rsidRPr="004B2A0E">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183"/>
        <w:gridCol w:w="709"/>
        <w:gridCol w:w="719"/>
        <w:gridCol w:w="719"/>
        <w:gridCol w:w="719"/>
        <w:gridCol w:w="719"/>
        <w:gridCol w:w="719"/>
        <w:gridCol w:w="719"/>
        <w:gridCol w:w="719"/>
        <w:gridCol w:w="719"/>
        <w:gridCol w:w="719"/>
        <w:gridCol w:w="719"/>
        <w:gridCol w:w="719"/>
        <w:gridCol w:w="719"/>
      </w:tblGrid>
      <w:tr w:rsidR="00FA1843" w:rsidRPr="004B2A0E" w14:paraId="36FCE5E0" w14:textId="77777777" w:rsidTr="00EE1D03">
        <w:trPr>
          <w:jc w:val="center"/>
        </w:trPr>
        <w:tc>
          <w:tcPr>
            <w:tcW w:w="1717" w:type="dxa"/>
            <w:vMerge w:val="restart"/>
            <w:vAlign w:val="center"/>
          </w:tcPr>
          <w:p w14:paraId="5F7C48C3" w14:textId="77777777" w:rsidR="00FA1843" w:rsidRPr="004B2A0E" w:rsidRDefault="00FA1843" w:rsidP="00EE1D03">
            <w:pPr>
              <w:ind w:right="-29"/>
              <w:jc w:val="center"/>
              <w:rPr>
                <w:b/>
                <w:noProof/>
                <w:sz w:val="18"/>
              </w:rPr>
            </w:pPr>
            <w:r w:rsidRPr="004B2A0E">
              <w:rPr>
                <w:b/>
                <w:noProof/>
                <w:sz w:val="18"/>
              </w:rPr>
              <w:t xml:space="preserve">Indicate objectives and outputs </w:t>
            </w:r>
          </w:p>
          <w:p w14:paraId="3E00465E" w14:textId="77777777" w:rsidR="00FA1843" w:rsidRPr="004B2A0E" w:rsidRDefault="00FA1843" w:rsidP="00EE1D03">
            <w:pPr>
              <w:ind w:right="-29"/>
              <w:jc w:val="center"/>
              <w:rPr>
                <w:noProof/>
                <w:sz w:val="18"/>
              </w:rPr>
            </w:pPr>
            <w:r w:rsidRPr="004B2A0E">
              <w:rPr>
                <w:noProof/>
                <w:sz w:val="18"/>
              </w:rPr>
              <w:sym w:font="Wingdings" w:char="F0F2"/>
            </w:r>
          </w:p>
        </w:tc>
        <w:tc>
          <w:tcPr>
            <w:tcW w:w="1183" w:type="dxa"/>
            <w:vAlign w:val="center"/>
          </w:tcPr>
          <w:p w14:paraId="2B9862B6" w14:textId="77777777" w:rsidR="00FA1843" w:rsidRPr="004B2A0E" w:rsidRDefault="00FA1843" w:rsidP="00EE1D03">
            <w:pPr>
              <w:ind w:right="-29"/>
              <w:jc w:val="center"/>
              <w:rPr>
                <w:noProof/>
                <w:sz w:val="18"/>
              </w:rPr>
            </w:pPr>
          </w:p>
        </w:tc>
        <w:tc>
          <w:tcPr>
            <w:tcW w:w="709" w:type="dxa"/>
            <w:vAlign w:val="center"/>
          </w:tcPr>
          <w:p w14:paraId="100F9C70" w14:textId="77777777" w:rsidR="00FA1843" w:rsidRPr="004B2A0E" w:rsidRDefault="00FA1843" w:rsidP="00EE1D03">
            <w:pPr>
              <w:ind w:right="-29"/>
              <w:jc w:val="center"/>
              <w:rPr>
                <w:noProof/>
                <w:sz w:val="18"/>
              </w:rPr>
            </w:pPr>
          </w:p>
        </w:tc>
        <w:tc>
          <w:tcPr>
            <w:tcW w:w="1438" w:type="dxa"/>
            <w:gridSpan w:val="2"/>
            <w:vAlign w:val="center"/>
          </w:tcPr>
          <w:p w14:paraId="41F130A1" w14:textId="77777777" w:rsidR="00FA1843" w:rsidRPr="004B2A0E" w:rsidRDefault="00FA1843" w:rsidP="00EE1D03">
            <w:pPr>
              <w:ind w:right="-29"/>
              <w:jc w:val="center"/>
              <w:rPr>
                <w:noProof/>
                <w:sz w:val="18"/>
              </w:rPr>
            </w:pPr>
            <w:r w:rsidRPr="004B2A0E">
              <w:rPr>
                <w:noProof/>
                <w:sz w:val="18"/>
              </w:rPr>
              <w:t>2023</w:t>
            </w:r>
          </w:p>
        </w:tc>
        <w:tc>
          <w:tcPr>
            <w:tcW w:w="1438" w:type="dxa"/>
            <w:gridSpan w:val="2"/>
            <w:vAlign w:val="center"/>
          </w:tcPr>
          <w:p w14:paraId="5CE37650" w14:textId="77777777" w:rsidR="00FA1843" w:rsidRPr="004B2A0E" w:rsidRDefault="00FA1843" w:rsidP="00EE1D03">
            <w:pPr>
              <w:ind w:right="-29"/>
              <w:jc w:val="center"/>
              <w:rPr>
                <w:noProof/>
                <w:sz w:val="18"/>
              </w:rPr>
            </w:pPr>
            <w:r w:rsidRPr="004B2A0E">
              <w:rPr>
                <w:noProof/>
                <w:sz w:val="18"/>
              </w:rPr>
              <w:t>2024</w:t>
            </w:r>
          </w:p>
        </w:tc>
        <w:tc>
          <w:tcPr>
            <w:tcW w:w="1438" w:type="dxa"/>
            <w:gridSpan w:val="2"/>
            <w:vAlign w:val="center"/>
          </w:tcPr>
          <w:p w14:paraId="1D3ED57F" w14:textId="77777777" w:rsidR="00FA1843" w:rsidRPr="004B2A0E" w:rsidRDefault="00FA1843" w:rsidP="00EE1D03">
            <w:pPr>
              <w:ind w:right="-29"/>
              <w:jc w:val="center"/>
              <w:rPr>
                <w:noProof/>
                <w:sz w:val="18"/>
              </w:rPr>
            </w:pPr>
            <w:r w:rsidRPr="004B2A0E">
              <w:rPr>
                <w:noProof/>
                <w:sz w:val="18"/>
              </w:rPr>
              <w:t>2025</w:t>
            </w:r>
          </w:p>
        </w:tc>
        <w:tc>
          <w:tcPr>
            <w:tcW w:w="1438" w:type="dxa"/>
            <w:gridSpan w:val="2"/>
            <w:vAlign w:val="center"/>
          </w:tcPr>
          <w:p w14:paraId="0E913B56" w14:textId="77777777" w:rsidR="00FA1843" w:rsidRPr="004B2A0E" w:rsidRDefault="00FA1843" w:rsidP="00EE1D03">
            <w:pPr>
              <w:jc w:val="center"/>
              <w:rPr>
                <w:noProof/>
                <w:sz w:val="18"/>
              </w:rPr>
            </w:pPr>
            <w:r w:rsidRPr="004B2A0E">
              <w:rPr>
                <w:noProof/>
                <w:sz w:val="18"/>
              </w:rPr>
              <w:t>2026</w:t>
            </w:r>
          </w:p>
        </w:tc>
        <w:tc>
          <w:tcPr>
            <w:tcW w:w="1438" w:type="dxa"/>
            <w:gridSpan w:val="2"/>
            <w:vAlign w:val="center"/>
          </w:tcPr>
          <w:p w14:paraId="749E0FAE" w14:textId="77777777" w:rsidR="00FA1843" w:rsidRPr="004B2A0E" w:rsidRDefault="00FA1843" w:rsidP="00EE1D03">
            <w:pPr>
              <w:jc w:val="center"/>
              <w:rPr>
                <w:noProof/>
                <w:sz w:val="18"/>
              </w:rPr>
            </w:pPr>
            <w:r w:rsidRPr="004B2A0E">
              <w:rPr>
                <w:noProof/>
                <w:sz w:val="18"/>
              </w:rPr>
              <w:t>2027</w:t>
            </w:r>
          </w:p>
        </w:tc>
        <w:tc>
          <w:tcPr>
            <w:tcW w:w="1438" w:type="dxa"/>
            <w:gridSpan w:val="2"/>
            <w:tcBorders>
              <w:left w:val="nil"/>
              <w:bottom w:val="nil"/>
            </w:tcBorders>
            <w:vAlign w:val="center"/>
          </w:tcPr>
          <w:p w14:paraId="6ECC8450" w14:textId="77777777" w:rsidR="00FA1843" w:rsidRPr="004B2A0E" w:rsidRDefault="00FA1843" w:rsidP="00EE1D03">
            <w:pPr>
              <w:ind w:right="-29"/>
              <w:jc w:val="center"/>
              <w:rPr>
                <w:noProof/>
                <w:sz w:val="18"/>
              </w:rPr>
            </w:pPr>
            <w:r w:rsidRPr="004B2A0E">
              <w:rPr>
                <w:b/>
                <w:noProof/>
                <w:sz w:val="18"/>
              </w:rPr>
              <w:t>TOTAL</w:t>
            </w:r>
          </w:p>
        </w:tc>
      </w:tr>
      <w:tr w:rsidR="00FA1843" w:rsidRPr="004B2A0E" w14:paraId="099DDD01" w14:textId="77777777" w:rsidTr="00EE1D03">
        <w:trPr>
          <w:jc w:val="center"/>
        </w:trPr>
        <w:tc>
          <w:tcPr>
            <w:tcW w:w="1717" w:type="dxa"/>
            <w:vMerge/>
            <w:vAlign w:val="center"/>
          </w:tcPr>
          <w:p w14:paraId="1F0BA31C" w14:textId="77777777" w:rsidR="00FA1843" w:rsidRPr="004B2A0E" w:rsidRDefault="00FA1843" w:rsidP="00EE1D03">
            <w:pPr>
              <w:ind w:right="-29"/>
              <w:jc w:val="center"/>
              <w:rPr>
                <w:b/>
                <w:noProof/>
                <w:sz w:val="18"/>
              </w:rPr>
            </w:pPr>
          </w:p>
        </w:tc>
        <w:tc>
          <w:tcPr>
            <w:tcW w:w="10520" w:type="dxa"/>
            <w:gridSpan w:val="14"/>
            <w:vAlign w:val="center"/>
          </w:tcPr>
          <w:p w14:paraId="1C7D2FC2" w14:textId="77777777" w:rsidR="00FA1843" w:rsidRPr="004B2A0E" w:rsidRDefault="00FA1843" w:rsidP="00EE1D03">
            <w:pPr>
              <w:ind w:right="-29"/>
              <w:jc w:val="center"/>
              <w:rPr>
                <w:b/>
                <w:noProof/>
                <w:sz w:val="18"/>
              </w:rPr>
            </w:pPr>
            <w:r w:rsidRPr="004B2A0E">
              <w:rPr>
                <w:b/>
                <w:noProof/>
                <w:sz w:val="18"/>
              </w:rPr>
              <w:t>OUTPUTS</w:t>
            </w:r>
          </w:p>
        </w:tc>
      </w:tr>
      <w:tr w:rsidR="00FA1843" w:rsidRPr="004B2A0E" w14:paraId="2AE0A5B3" w14:textId="77777777" w:rsidTr="00EE1D03">
        <w:trPr>
          <w:cantSplit/>
          <w:trHeight w:val="1134"/>
          <w:jc w:val="center"/>
        </w:trPr>
        <w:tc>
          <w:tcPr>
            <w:tcW w:w="1717" w:type="dxa"/>
            <w:vMerge/>
            <w:vAlign w:val="center"/>
          </w:tcPr>
          <w:p w14:paraId="08341355" w14:textId="77777777" w:rsidR="00FA1843" w:rsidRPr="004B2A0E" w:rsidRDefault="00FA1843" w:rsidP="00EE1D03">
            <w:pPr>
              <w:rPr>
                <w:noProof/>
                <w:sz w:val="18"/>
              </w:rPr>
            </w:pPr>
          </w:p>
        </w:tc>
        <w:tc>
          <w:tcPr>
            <w:tcW w:w="1183" w:type="dxa"/>
            <w:vAlign w:val="center"/>
          </w:tcPr>
          <w:p w14:paraId="50D65E8C" w14:textId="77777777" w:rsidR="00FA1843" w:rsidRPr="004B2A0E" w:rsidRDefault="00FA1843" w:rsidP="00EE1D03">
            <w:pPr>
              <w:jc w:val="center"/>
              <w:rPr>
                <w:noProof/>
                <w:sz w:val="18"/>
              </w:rPr>
            </w:pPr>
            <w:r w:rsidRPr="004B2A0E">
              <w:rPr>
                <w:noProof/>
                <w:sz w:val="18"/>
              </w:rPr>
              <w:t>Type</w:t>
            </w:r>
            <w:r w:rsidRPr="004B2A0E">
              <w:rPr>
                <w:rStyle w:val="FootnoteReference"/>
                <w:noProof/>
                <w:sz w:val="18"/>
              </w:rPr>
              <w:footnoteReference w:id="64"/>
            </w:r>
          </w:p>
        </w:tc>
        <w:tc>
          <w:tcPr>
            <w:tcW w:w="709" w:type="dxa"/>
            <w:vAlign w:val="center"/>
          </w:tcPr>
          <w:p w14:paraId="4AF60351" w14:textId="77777777" w:rsidR="00FA1843" w:rsidRPr="004B2A0E" w:rsidRDefault="00FA1843" w:rsidP="00EE1D03">
            <w:pPr>
              <w:jc w:val="center"/>
              <w:rPr>
                <w:noProof/>
              </w:rPr>
            </w:pPr>
            <w:r w:rsidRPr="004B2A0E">
              <w:rPr>
                <w:noProof/>
                <w:sz w:val="18"/>
              </w:rPr>
              <w:t>Average cost</w:t>
            </w:r>
          </w:p>
        </w:tc>
        <w:tc>
          <w:tcPr>
            <w:tcW w:w="719" w:type="dxa"/>
            <w:tcBorders>
              <w:right w:val="dashSmallGap" w:sz="4" w:space="0" w:color="auto"/>
            </w:tcBorders>
            <w:shd w:val="pct10" w:color="auto" w:fill="auto"/>
            <w:textDirection w:val="btLr"/>
            <w:vAlign w:val="center"/>
          </w:tcPr>
          <w:p w14:paraId="5AEA07D3" w14:textId="77777777" w:rsidR="00FA1843" w:rsidRPr="004B2A0E" w:rsidRDefault="00FA1843" w:rsidP="00EE1D03">
            <w:pPr>
              <w:ind w:left="113" w:right="113"/>
              <w:jc w:val="center"/>
              <w:rPr>
                <w:noProof/>
              </w:rPr>
            </w:pPr>
            <w:r w:rsidRPr="004B2A0E">
              <w:rPr>
                <w:noProof/>
                <w:sz w:val="18"/>
              </w:rPr>
              <w:t>No</w:t>
            </w:r>
          </w:p>
        </w:tc>
        <w:tc>
          <w:tcPr>
            <w:tcW w:w="719" w:type="dxa"/>
            <w:tcBorders>
              <w:left w:val="dashSmallGap" w:sz="4" w:space="0" w:color="auto"/>
            </w:tcBorders>
            <w:shd w:val="pct10" w:color="auto" w:fill="auto"/>
            <w:vAlign w:val="center"/>
          </w:tcPr>
          <w:p w14:paraId="5F3B1BD7" w14:textId="77777777" w:rsidR="00FA1843" w:rsidRPr="004B2A0E" w:rsidRDefault="00FA1843" w:rsidP="00EE1D03">
            <w:pPr>
              <w:jc w:val="center"/>
              <w:rPr>
                <w:noProof/>
                <w:sz w:val="18"/>
              </w:rPr>
            </w:pPr>
            <w:r w:rsidRPr="004B2A0E">
              <w:rPr>
                <w:noProof/>
                <w:sz w:val="18"/>
              </w:rPr>
              <w:t>Cost</w:t>
            </w:r>
          </w:p>
        </w:tc>
        <w:tc>
          <w:tcPr>
            <w:tcW w:w="719" w:type="dxa"/>
            <w:tcBorders>
              <w:right w:val="dashSmallGap" w:sz="4" w:space="0" w:color="auto"/>
            </w:tcBorders>
            <w:shd w:val="pct10" w:color="auto" w:fill="auto"/>
            <w:textDirection w:val="btLr"/>
            <w:vAlign w:val="center"/>
          </w:tcPr>
          <w:p w14:paraId="79A80069" w14:textId="77777777" w:rsidR="00FA1843" w:rsidRPr="004B2A0E" w:rsidRDefault="00FA1843" w:rsidP="00EE1D03">
            <w:pPr>
              <w:ind w:left="113" w:right="113"/>
              <w:jc w:val="center"/>
              <w:rPr>
                <w:noProof/>
              </w:rPr>
            </w:pPr>
            <w:r w:rsidRPr="004B2A0E">
              <w:rPr>
                <w:noProof/>
                <w:sz w:val="18"/>
              </w:rPr>
              <w:t>No</w:t>
            </w:r>
          </w:p>
        </w:tc>
        <w:tc>
          <w:tcPr>
            <w:tcW w:w="719" w:type="dxa"/>
            <w:tcBorders>
              <w:left w:val="dashSmallGap" w:sz="4" w:space="0" w:color="auto"/>
            </w:tcBorders>
            <w:shd w:val="pct10" w:color="auto" w:fill="auto"/>
            <w:vAlign w:val="center"/>
          </w:tcPr>
          <w:p w14:paraId="3D24BF45" w14:textId="77777777" w:rsidR="00FA1843" w:rsidRPr="004B2A0E" w:rsidRDefault="00FA1843" w:rsidP="00EE1D03">
            <w:pPr>
              <w:jc w:val="center"/>
              <w:rPr>
                <w:noProof/>
                <w:sz w:val="18"/>
              </w:rPr>
            </w:pPr>
            <w:r w:rsidRPr="004B2A0E">
              <w:rPr>
                <w:noProof/>
                <w:sz w:val="18"/>
              </w:rPr>
              <w:t>Cost</w:t>
            </w:r>
          </w:p>
        </w:tc>
        <w:tc>
          <w:tcPr>
            <w:tcW w:w="719" w:type="dxa"/>
            <w:tcBorders>
              <w:right w:val="dashSmallGap" w:sz="4" w:space="0" w:color="auto"/>
            </w:tcBorders>
            <w:shd w:val="pct10" w:color="auto" w:fill="auto"/>
            <w:textDirection w:val="btLr"/>
            <w:vAlign w:val="center"/>
          </w:tcPr>
          <w:p w14:paraId="45CA8F1C" w14:textId="77777777" w:rsidR="00FA1843" w:rsidRPr="004B2A0E" w:rsidRDefault="00FA1843" w:rsidP="00EE1D03">
            <w:pPr>
              <w:ind w:left="113" w:right="113"/>
              <w:jc w:val="center"/>
              <w:rPr>
                <w:noProof/>
              </w:rPr>
            </w:pPr>
            <w:r w:rsidRPr="004B2A0E">
              <w:rPr>
                <w:noProof/>
                <w:sz w:val="18"/>
              </w:rPr>
              <w:t>No</w:t>
            </w:r>
          </w:p>
        </w:tc>
        <w:tc>
          <w:tcPr>
            <w:tcW w:w="719" w:type="dxa"/>
            <w:tcBorders>
              <w:left w:val="dashSmallGap" w:sz="4" w:space="0" w:color="auto"/>
            </w:tcBorders>
            <w:shd w:val="pct10" w:color="auto" w:fill="auto"/>
            <w:vAlign w:val="center"/>
          </w:tcPr>
          <w:p w14:paraId="06E1053C" w14:textId="77777777" w:rsidR="00FA1843" w:rsidRPr="004B2A0E" w:rsidRDefault="00FA1843" w:rsidP="00EE1D03">
            <w:pPr>
              <w:jc w:val="center"/>
              <w:rPr>
                <w:noProof/>
                <w:sz w:val="18"/>
              </w:rPr>
            </w:pPr>
            <w:r w:rsidRPr="004B2A0E">
              <w:rPr>
                <w:noProof/>
                <w:sz w:val="18"/>
              </w:rPr>
              <w:t>Cost</w:t>
            </w:r>
          </w:p>
        </w:tc>
        <w:tc>
          <w:tcPr>
            <w:tcW w:w="719" w:type="dxa"/>
            <w:tcBorders>
              <w:right w:val="dashSmallGap" w:sz="4" w:space="0" w:color="auto"/>
            </w:tcBorders>
            <w:shd w:val="pct10" w:color="auto" w:fill="auto"/>
            <w:textDirection w:val="btLr"/>
            <w:vAlign w:val="center"/>
          </w:tcPr>
          <w:p w14:paraId="01927D08" w14:textId="77777777" w:rsidR="00FA1843" w:rsidRPr="004B2A0E" w:rsidRDefault="00FA1843" w:rsidP="00EE1D03">
            <w:pPr>
              <w:ind w:left="113" w:right="113"/>
              <w:jc w:val="center"/>
              <w:rPr>
                <w:noProof/>
              </w:rPr>
            </w:pPr>
            <w:r w:rsidRPr="004B2A0E">
              <w:rPr>
                <w:noProof/>
                <w:sz w:val="18"/>
              </w:rPr>
              <w:t>No</w:t>
            </w:r>
          </w:p>
        </w:tc>
        <w:tc>
          <w:tcPr>
            <w:tcW w:w="719" w:type="dxa"/>
            <w:tcBorders>
              <w:left w:val="dashSmallGap" w:sz="4" w:space="0" w:color="auto"/>
            </w:tcBorders>
            <w:shd w:val="pct10" w:color="auto" w:fill="auto"/>
            <w:vAlign w:val="center"/>
          </w:tcPr>
          <w:p w14:paraId="6BD35227" w14:textId="77777777" w:rsidR="00FA1843" w:rsidRPr="004B2A0E" w:rsidRDefault="00FA1843" w:rsidP="00EE1D03">
            <w:pPr>
              <w:jc w:val="center"/>
              <w:rPr>
                <w:noProof/>
                <w:sz w:val="18"/>
              </w:rPr>
            </w:pPr>
            <w:r w:rsidRPr="004B2A0E">
              <w:rPr>
                <w:noProof/>
                <w:sz w:val="18"/>
              </w:rPr>
              <w:t>Cost</w:t>
            </w:r>
          </w:p>
        </w:tc>
        <w:tc>
          <w:tcPr>
            <w:tcW w:w="719" w:type="dxa"/>
            <w:tcBorders>
              <w:right w:val="dashSmallGap" w:sz="4" w:space="0" w:color="auto"/>
            </w:tcBorders>
            <w:shd w:val="pct10" w:color="auto" w:fill="auto"/>
            <w:textDirection w:val="btLr"/>
            <w:vAlign w:val="center"/>
          </w:tcPr>
          <w:p w14:paraId="25038F7E" w14:textId="77777777" w:rsidR="00FA1843" w:rsidRPr="004B2A0E" w:rsidRDefault="00FA1843" w:rsidP="00EE1D03">
            <w:pPr>
              <w:ind w:left="113" w:right="113"/>
              <w:jc w:val="center"/>
              <w:rPr>
                <w:noProof/>
              </w:rPr>
            </w:pPr>
            <w:r w:rsidRPr="004B2A0E">
              <w:rPr>
                <w:noProof/>
                <w:sz w:val="18"/>
              </w:rPr>
              <w:t>No</w:t>
            </w:r>
          </w:p>
        </w:tc>
        <w:tc>
          <w:tcPr>
            <w:tcW w:w="719" w:type="dxa"/>
            <w:tcBorders>
              <w:left w:val="dashSmallGap" w:sz="4" w:space="0" w:color="auto"/>
            </w:tcBorders>
            <w:shd w:val="pct10" w:color="auto" w:fill="auto"/>
            <w:vAlign w:val="center"/>
          </w:tcPr>
          <w:p w14:paraId="14A49464" w14:textId="77777777" w:rsidR="00FA1843" w:rsidRPr="004B2A0E" w:rsidRDefault="00FA1843" w:rsidP="00EE1D03">
            <w:pPr>
              <w:jc w:val="center"/>
              <w:rPr>
                <w:noProof/>
                <w:sz w:val="18"/>
              </w:rPr>
            </w:pPr>
            <w:r w:rsidRPr="004B2A0E">
              <w:rPr>
                <w:noProof/>
                <w:sz w:val="18"/>
              </w:rPr>
              <w:t>Cost</w:t>
            </w:r>
          </w:p>
        </w:tc>
        <w:tc>
          <w:tcPr>
            <w:tcW w:w="719" w:type="dxa"/>
            <w:tcBorders>
              <w:right w:val="dashSmallGap" w:sz="4" w:space="0" w:color="auto"/>
            </w:tcBorders>
            <w:shd w:val="pct10" w:color="auto" w:fill="auto"/>
            <w:vAlign w:val="center"/>
          </w:tcPr>
          <w:p w14:paraId="08DD7BFA" w14:textId="77777777" w:rsidR="00FA1843" w:rsidRPr="004B2A0E" w:rsidRDefault="00FA1843" w:rsidP="00EE1D03">
            <w:pPr>
              <w:jc w:val="center"/>
              <w:rPr>
                <w:noProof/>
                <w:sz w:val="18"/>
              </w:rPr>
            </w:pPr>
            <w:r w:rsidRPr="004B2A0E">
              <w:rPr>
                <w:noProof/>
                <w:sz w:val="18"/>
              </w:rPr>
              <w:t>Total No</w:t>
            </w:r>
          </w:p>
        </w:tc>
        <w:tc>
          <w:tcPr>
            <w:tcW w:w="719" w:type="dxa"/>
            <w:tcBorders>
              <w:left w:val="dashSmallGap" w:sz="4" w:space="0" w:color="auto"/>
            </w:tcBorders>
            <w:shd w:val="pct10" w:color="auto" w:fill="auto"/>
            <w:vAlign w:val="center"/>
          </w:tcPr>
          <w:p w14:paraId="33E9C96A" w14:textId="77777777" w:rsidR="00FA1843" w:rsidRPr="004B2A0E" w:rsidRDefault="00FA1843" w:rsidP="00EE1D03">
            <w:pPr>
              <w:jc w:val="center"/>
              <w:rPr>
                <w:noProof/>
              </w:rPr>
            </w:pPr>
            <w:r w:rsidRPr="004B2A0E">
              <w:rPr>
                <w:noProof/>
                <w:sz w:val="18"/>
              </w:rPr>
              <w:t>Total cost</w:t>
            </w:r>
          </w:p>
        </w:tc>
      </w:tr>
      <w:tr w:rsidR="00FA1843" w:rsidRPr="004B2A0E" w14:paraId="753B62F8" w14:textId="77777777" w:rsidTr="00EE1D03">
        <w:trPr>
          <w:jc w:val="center"/>
        </w:trPr>
        <w:tc>
          <w:tcPr>
            <w:tcW w:w="3609" w:type="dxa"/>
            <w:gridSpan w:val="3"/>
            <w:vAlign w:val="center"/>
          </w:tcPr>
          <w:p w14:paraId="074194BB" w14:textId="77777777" w:rsidR="00FA1843" w:rsidRPr="004B2A0E" w:rsidRDefault="00FA1843" w:rsidP="00EE1D03">
            <w:pPr>
              <w:spacing w:before="60" w:after="60"/>
              <w:ind w:right="-29"/>
              <w:jc w:val="center"/>
              <w:rPr>
                <w:noProof/>
                <w:sz w:val="18"/>
              </w:rPr>
            </w:pPr>
            <w:r w:rsidRPr="004B2A0E">
              <w:rPr>
                <w:noProof/>
                <w:sz w:val="18"/>
              </w:rPr>
              <w:t xml:space="preserve">SPECIFIC OBJECTIVE No 1: </w:t>
            </w:r>
            <w:r w:rsidRPr="00976E42">
              <w:rPr>
                <w:noProof/>
                <w:sz w:val="18"/>
              </w:rPr>
              <w:t>On-boarding entities to supervisory reporting system</w:t>
            </w:r>
          </w:p>
        </w:tc>
        <w:tc>
          <w:tcPr>
            <w:tcW w:w="719" w:type="dxa"/>
            <w:tcBorders>
              <w:top w:val="nil"/>
              <w:left w:val="nil"/>
              <w:bottom w:val="nil"/>
              <w:right w:val="nil"/>
            </w:tcBorders>
            <w:vAlign w:val="center"/>
          </w:tcPr>
          <w:p w14:paraId="79F36F18"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0AF9EF85"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31668846"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4586BFCB"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5D78AAD5"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793E9048"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7032115D"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4BD11CB0"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3046682D"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181750D4"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51849D9F"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679FB6F9" w14:textId="77777777" w:rsidR="00FA1843" w:rsidRPr="004B2A0E" w:rsidRDefault="00FA1843" w:rsidP="00EE1D03">
            <w:pPr>
              <w:spacing w:before="60" w:after="60"/>
              <w:ind w:right="-29"/>
              <w:jc w:val="center"/>
              <w:rPr>
                <w:noProof/>
                <w:sz w:val="18"/>
              </w:rPr>
            </w:pPr>
          </w:p>
        </w:tc>
      </w:tr>
      <w:tr w:rsidR="00FA1843" w:rsidRPr="004B2A0E" w14:paraId="5D548725" w14:textId="77777777" w:rsidTr="00EE1D03">
        <w:trPr>
          <w:trHeight w:hRule="exact" w:val="842"/>
          <w:jc w:val="center"/>
        </w:trPr>
        <w:tc>
          <w:tcPr>
            <w:tcW w:w="1717" w:type="dxa"/>
            <w:vAlign w:val="center"/>
          </w:tcPr>
          <w:p w14:paraId="0250AF3F" w14:textId="77777777" w:rsidR="00FA1843" w:rsidRPr="004B2A0E" w:rsidRDefault="00FA1843" w:rsidP="00EE1D03">
            <w:pPr>
              <w:ind w:right="-29"/>
              <w:jc w:val="center"/>
              <w:rPr>
                <w:noProof/>
                <w:sz w:val="18"/>
              </w:rPr>
            </w:pPr>
            <w:r w:rsidRPr="004B2A0E">
              <w:rPr>
                <w:noProof/>
                <w:sz w:val="18"/>
              </w:rPr>
              <w:t>- Output</w:t>
            </w:r>
          </w:p>
        </w:tc>
        <w:tc>
          <w:tcPr>
            <w:tcW w:w="1183" w:type="dxa"/>
            <w:vAlign w:val="center"/>
          </w:tcPr>
          <w:p w14:paraId="6C5FADC5" w14:textId="77777777" w:rsidR="00FA1843" w:rsidRPr="004B2A0E" w:rsidRDefault="00FA1843" w:rsidP="00EE1D03">
            <w:pPr>
              <w:ind w:right="-29"/>
              <w:jc w:val="center"/>
              <w:rPr>
                <w:noProof/>
                <w:sz w:val="18"/>
              </w:rPr>
            </w:pPr>
            <w:r>
              <w:rPr>
                <w:noProof/>
                <w:sz w:val="18"/>
              </w:rPr>
              <w:t>Entities on-boarded</w:t>
            </w:r>
          </w:p>
        </w:tc>
        <w:tc>
          <w:tcPr>
            <w:tcW w:w="709" w:type="dxa"/>
            <w:vAlign w:val="center"/>
          </w:tcPr>
          <w:p w14:paraId="2D9A4D04" w14:textId="77777777" w:rsidR="00FA1843" w:rsidRPr="004B2A0E" w:rsidRDefault="00FA1843" w:rsidP="00EE1D03">
            <w:pPr>
              <w:ind w:right="-29"/>
              <w:jc w:val="center"/>
              <w:rPr>
                <w:noProof/>
                <w:sz w:val="18"/>
              </w:rPr>
            </w:pPr>
          </w:p>
        </w:tc>
        <w:tc>
          <w:tcPr>
            <w:tcW w:w="719" w:type="dxa"/>
            <w:tcBorders>
              <w:right w:val="dashSmallGap" w:sz="4" w:space="0" w:color="auto"/>
            </w:tcBorders>
            <w:vAlign w:val="center"/>
          </w:tcPr>
          <w:p w14:paraId="138952F8" w14:textId="77777777" w:rsidR="00FA1843" w:rsidRPr="004B2A0E" w:rsidRDefault="00FA1843" w:rsidP="00EE1D03">
            <w:pPr>
              <w:ind w:right="-29"/>
              <w:jc w:val="center"/>
              <w:rPr>
                <w:noProof/>
                <w:sz w:val="18"/>
              </w:rPr>
            </w:pPr>
          </w:p>
        </w:tc>
        <w:tc>
          <w:tcPr>
            <w:tcW w:w="719" w:type="dxa"/>
            <w:tcBorders>
              <w:left w:val="dashSmallGap" w:sz="4" w:space="0" w:color="auto"/>
            </w:tcBorders>
            <w:vAlign w:val="center"/>
          </w:tcPr>
          <w:p w14:paraId="1640B6A2" w14:textId="77777777" w:rsidR="00FA1843" w:rsidRPr="004B2A0E" w:rsidRDefault="00FA1843" w:rsidP="00EE1D03">
            <w:pPr>
              <w:ind w:right="-29"/>
              <w:jc w:val="center"/>
              <w:rPr>
                <w:noProof/>
                <w:sz w:val="18"/>
              </w:rPr>
            </w:pPr>
          </w:p>
        </w:tc>
        <w:tc>
          <w:tcPr>
            <w:tcW w:w="719" w:type="dxa"/>
            <w:tcBorders>
              <w:right w:val="dashSmallGap" w:sz="4" w:space="0" w:color="auto"/>
            </w:tcBorders>
            <w:vAlign w:val="center"/>
          </w:tcPr>
          <w:p w14:paraId="4BAB23B7" w14:textId="77777777" w:rsidR="00FA1843" w:rsidRPr="004B2A0E" w:rsidRDefault="00FA1843" w:rsidP="00EE1D03">
            <w:pPr>
              <w:spacing w:before="0" w:after="0"/>
              <w:jc w:val="center"/>
              <w:rPr>
                <w:noProof/>
                <w:color w:val="000000"/>
                <w:sz w:val="18"/>
                <w:szCs w:val="18"/>
              </w:rPr>
            </w:pPr>
          </w:p>
        </w:tc>
        <w:tc>
          <w:tcPr>
            <w:tcW w:w="719" w:type="dxa"/>
            <w:tcBorders>
              <w:left w:val="dashSmallGap" w:sz="4" w:space="0" w:color="auto"/>
            </w:tcBorders>
            <w:vAlign w:val="center"/>
          </w:tcPr>
          <w:p w14:paraId="7F860C87" w14:textId="77777777" w:rsidR="00FA1843" w:rsidRPr="004B2A0E" w:rsidRDefault="00FA1843" w:rsidP="00EE1D03">
            <w:pPr>
              <w:jc w:val="center"/>
              <w:rPr>
                <w:noProof/>
                <w:color w:val="000000"/>
                <w:sz w:val="18"/>
                <w:szCs w:val="18"/>
              </w:rPr>
            </w:pPr>
          </w:p>
        </w:tc>
        <w:tc>
          <w:tcPr>
            <w:tcW w:w="719" w:type="dxa"/>
            <w:tcBorders>
              <w:right w:val="dashSmallGap" w:sz="4" w:space="0" w:color="auto"/>
            </w:tcBorders>
            <w:vAlign w:val="center"/>
          </w:tcPr>
          <w:p w14:paraId="549B8A35" w14:textId="77777777" w:rsidR="00FA1843" w:rsidRPr="004B2A0E" w:rsidRDefault="00FA1843" w:rsidP="00EE1D03">
            <w:pPr>
              <w:jc w:val="center"/>
              <w:rPr>
                <w:noProof/>
                <w:color w:val="000000"/>
                <w:sz w:val="18"/>
                <w:szCs w:val="18"/>
              </w:rPr>
            </w:pPr>
            <w:r>
              <w:rPr>
                <w:noProof/>
                <w:color w:val="000000"/>
                <w:sz w:val="18"/>
                <w:szCs w:val="18"/>
              </w:rPr>
              <w:t>40</w:t>
            </w:r>
          </w:p>
        </w:tc>
        <w:tc>
          <w:tcPr>
            <w:tcW w:w="719" w:type="dxa"/>
            <w:tcBorders>
              <w:left w:val="dashSmallGap" w:sz="4" w:space="0" w:color="auto"/>
            </w:tcBorders>
            <w:vAlign w:val="center"/>
          </w:tcPr>
          <w:p w14:paraId="6E11F422" w14:textId="77777777" w:rsidR="00FA1843" w:rsidRPr="004B2A0E" w:rsidRDefault="00FA1843" w:rsidP="00EE1D03">
            <w:pPr>
              <w:jc w:val="center"/>
              <w:rPr>
                <w:noProof/>
                <w:color w:val="000000"/>
                <w:sz w:val="18"/>
                <w:szCs w:val="18"/>
              </w:rPr>
            </w:pPr>
            <w:r>
              <w:rPr>
                <w:noProof/>
                <w:color w:val="000000"/>
                <w:sz w:val="18"/>
                <w:szCs w:val="18"/>
              </w:rPr>
              <w:t>0.035</w:t>
            </w:r>
          </w:p>
        </w:tc>
        <w:tc>
          <w:tcPr>
            <w:tcW w:w="719" w:type="dxa"/>
            <w:tcBorders>
              <w:right w:val="dashSmallGap" w:sz="4" w:space="0" w:color="auto"/>
            </w:tcBorders>
            <w:vAlign w:val="center"/>
          </w:tcPr>
          <w:p w14:paraId="41CFB73C" w14:textId="77777777" w:rsidR="00FA1843" w:rsidRPr="004B2A0E" w:rsidRDefault="00FA1843" w:rsidP="00EE1D03">
            <w:pPr>
              <w:ind w:right="-29"/>
              <w:jc w:val="center"/>
              <w:rPr>
                <w:noProof/>
                <w:sz w:val="18"/>
              </w:rPr>
            </w:pPr>
            <w:r>
              <w:rPr>
                <w:noProof/>
                <w:sz w:val="18"/>
              </w:rPr>
              <w:t>10</w:t>
            </w:r>
          </w:p>
        </w:tc>
        <w:tc>
          <w:tcPr>
            <w:tcW w:w="719" w:type="dxa"/>
            <w:tcBorders>
              <w:left w:val="dashSmallGap" w:sz="4" w:space="0" w:color="auto"/>
            </w:tcBorders>
            <w:vAlign w:val="center"/>
          </w:tcPr>
          <w:p w14:paraId="58B54E70" w14:textId="77777777" w:rsidR="00FA1843" w:rsidRPr="004B2A0E" w:rsidRDefault="00FA1843" w:rsidP="00EE1D03">
            <w:pPr>
              <w:ind w:right="-29"/>
              <w:jc w:val="center"/>
              <w:rPr>
                <w:noProof/>
                <w:sz w:val="18"/>
              </w:rPr>
            </w:pPr>
            <w:r>
              <w:rPr>
                <w:noProof/>
                <w:sz w:val="18"/>
              </w:rPr>
              <w:t>0.005</w:t>
            </w:r>
          </w:p>
        </w:tc>
        <w:tc>
          <w:tcPr>
            <w:tcW w:w="719" w:type="dxa"/>
            <w:tcBorders>
              <w:right w:val="dashSmallGap" w:sz="4" w:space="0" w:color="auto"/>
            </w:tcBorders>
            <w:vAlign w:val="center"/>
          </w:tcPr>
          <w:p w14:paraId="3E8F1021" w14:textId="77777777" w:rsidR="00FA1843" w:rsidRPr="004B2A0E" w:rsidRDefault="00FA1843" w:rsidP="00EE1D03">
            <w:pPr>
              <w:ind w:right="-29"/>
              <w:jc w:val="center"/>
              <w:rPr>
                <w:noProof/>
                <w:sz w:val="18"/>
              </w:rPr>
            </w:pPr>
            <w:r>
              <w:rPr>
                <w:noProof/>
                <w:sz w:val="18"/>
              </w:rPr>
              <w:t>9</w:t>
            </w:r>
          </w:p>
        </w:tc>
        <w:tc>
          <w:tcPr>
            <w:tcW w:w="719" w:type="dxa"/>
            <w:tcBorders>
              <w:left w:val="dashSmallGap" w:sz="4" w:space="0" w:color="auto"/>
            </w:tcBorders>
            <w:vAlign w:val="center"/>
          </w:tcPr>
          <w:p w14:paraId="116A9BFB" w14:textId="77777777" w:rsidR="00FA1843" w:rsidRPr="004B2A0E" w:rsidRDefault="00FA1843" w:rsidP="00EE1D03">
            <w:pPr>
              <w:ind w:right="-29"/>
              <w:jc w:val="center"/>
              <w:rPr>
                <w:noProof/>
                <w:sz w:val="18"/>
              </w:rPr>
            </w:pPr>
            <w:r>
              <w:rPr>
                <w:noProof/>
                <w:sz w:val="18"/>
              </w:rPr>
              <w:t>0.005</w:t>
            </w:r>
          </w:p>
        </w:tc>
        <w:tc>
          <w:tcPr>
            <w:tcW w:w="719" w:type="dxa"/>
            <w:vAlign w:val="center"/>
          </w:tcPr>
          <w:p w14:paraId="41EEA56E" w14:textId="77777777" w:rsidR="00FA1843" w:rsidRPr="004B2A0E" w:rsidRDefault="00FA1843" w:rsidP="00EE1D03">
            <w:pPr>
              <w:ind w:right="-29"/>
              <w:jc w:val="center"/>
              <w:rPr>
                <w:noProof/>
                <w:sz w:val="18"/>
              </w:rPr>
            </w:pPr>
            <w:r>
              <w:rPr>
                <w:noProof/>
                <w:sz w:val="18"/>
              </w:rPr>
              <w:t>59</w:t>
            </w:r>
          </w:p>
        </w:tc>
        <w:tc>
          <w:tcPr>
            <w:tcW w:w="719" w:type="dxa"/>
            <w:vAlign w:val="center"/>
          </w:tcPr>
          <w:p w14:paraId="7B4D3E1B" w14:textId="77777777" w:rsidR="00FA1843" w:rsidRPr="004B2A0E" w:rsidRDefault="00FA1843" w:rsidP="00EE1D03">
            <w:pPr>
              <w:ind w:right="-29"/>
              <w:jc w:val="center"/>
              <w:rPr>
                <w:noProof/>
                <w:sz w:val="18"/>
              </w:rPr>
            </w:pPr>
            <w:r>
              <w:rPr>
                <w:noProof/>
                <w:sz w:val="18"/>
              </w:rPr>
              <w:t>0.045</w:t>
            </w:r>
          </w:p>
        </w:tc>
      </w:tr>
      <w:tr w:rsidR="00FA1843" w:rsidRPr="004B2A0E" w14:paraId="23F5FAF0" w14:textId="77777777" w:rsidTr="00EE1D03">
        <w:trPr>
          <w:jc w:val="center"/>
        </w:trPr>
        <w:tc>
          <w:tcPr>
            <w:tcW w:w="3609" w:type="dxa"/>
            <w:gridSpan w:val="3"/>
            <w:tcBorders>
              <w:bottom w:val="single" w:sz="12" w:space="0" w:color="auto"/>
            </w:tcBorders>
            <w:vAlign w:val="center"/>
          </w:tcPr>
          <w:p w14:paraId="0ED181AB" w14:textId="77777777" w:rsidR="00FA1843" w:rsidRPr="004B2A0E" w:rsidRDefault="00FA1843" w:rsidP="00EE1D03">
            <w:pPr>
              <w:ind w:right="-29"/>
              <w:jc w:val="center"/>
              <w:rPr>
                <w:noProof/>
                <w:sz w:val="18"/>
              </w:rPr>
            </w:pPr>
            <w:r w:rsidRPr="004B2A0E">
              <w:rPr>
                <w:noProof/>
                <w:sz w:val="18"/>
              </w:rPr>
              <w:t>Subtotal for specific objective No 1</w:t>
            </w:r>
          </w:p>
        </w:tc>
        <w:tc>
          <w:tcPr>
            <w:tcW w:w="719" w:type="dxa"/>
            <w:tcBorders>
              <w:bottom w:val="single" w:sz="12" w:space="0" w:color="auto"/>
            </w:tcBorders>
            <w:vAlign w:val="center"/>
          </w:tcPr>
          <w:p w14:paraId="16682DD4"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35B2D40A"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287D5C0D" w14:textId="77777777" w:rsidR="00FA1843" w:rsidRPr="004B2A0E" w:rsidRDefault="00FA1843" w:rsidP="00EE1D03">
            <w:pPr>
              <w:spacing w:before="0" w:after="0"/>
              <w:jc w:val="center"/>
              <w:rPr>
                <w:noProof/>
                <w:color w:val="000000"/>
                <w:sz w:val="18"/>
                <w:szCs w:val="18"/>
              </w:rPr>
            </w:pPr>
          </w:p>
        </w:tc>
        <w:tc>
          <w:tcPr>
            <w:tcW w:w="719" w:type="dxa"/>
            <w:tcBorders>
              <w:bottom w:val="single" w:sz="12" w:space="0" w:color="auto"/>
            </w:tcBorders>
            <w:vAlign w:val="center"/>
          </w:tcPr>
          <w:p w14:paraId="6C411F15" w14:textId="77777777" w:rsidR="00FA1843" w:rsidRPr="004B2A0E" w:rsidRDefault="00FA1843" w:rsidP="00EE1D03">
            <w:pPr>
              <w:jc w:val="center"/>
              <w:rPr>
                <w:noProof/>
                <w:color w:val="000000"/>
                <w:sz w:val="18"/>
                <w:szCs w:val="18"/>
              </w:rPr>
            </w:pPr>
          </w:p>
        </w:tc>
        <w:tc>
          <w:tcPr>
            <w:tcW w:w="719" w:type="dxa"/>
            <w:tcBorders>
              <w:bottom w:val="single" w:sz="12" w:space="0" w:color="auto"/>
            </w:tcBorders>
            <w:vAlign w:val="center"/>
          </w:tcPr>
          <w:p w14:paraId="195269F5" w14:textId="77777777" w:rsidR="00FA1843" w:rsidRPr="004B2A0E" w:rsidRDefault="00FA1843" w:rsidP="00EE1D03">
            <w:pPr>
              <w:jc w:val="center"/>
              <w:rPr>
                <w:noProof/>
                <w:color w:val="000000"/>
                <w:sz w:val="18"/>
                <w:szCs w:val="18"/>
              </w:rPr>
            </w:pPr>
            <w:r w:rsidRPr="00860E1F">
              <w:rPr>
                <w:noProof/>
                <w:color w:val="000000"/>
                <w:sz w:val="18"/>
                <w:szCs w:val="18"/>
              </w:rPr>
              <w:t>40</w:t>
            </w:r>
          </w:p>
        </w:tc>
        <w:tc>
          <w:tcPr>
            <w:tcW w:w="719" w:type="dxa"/>
            <w:tcBorders>
              <w:bottom w:val="single" w:sz="12" w:space="0" w:color="auto"/>
            </w:tcBorders>
            <w:vAlign w:val="center"/>
          </w:tcPr>
          <w:p w14:paraId="09B7A344" w14:textId="77777777" w:rsidR="00FA1843" w:rsidRPr="004B2A0E" w:rsidRDefault="00FA1843" w:rsidP="00EE1D03">
            <w:pPr>
              <w:jc w:val="center"/>
              <w:rPr>
                <w:noProof/>
                <w:color w:val="000000"/>
                <w:sz w:val="18"/>
                <w:szCs w:val="18"/>
              </w:rPr>
            </w:pPr>
            <w:r>
              <w:rPr>
                <w:noProof/>
                <w:color w:val="000000"/>
                <w:sz w:val="18"/>
                <w:szCs w:val="18"/>
              </w:rPr>
              <w:t>0.035</w:t>
            </w:r>
          </w:p>
        </w:tc>
        <w:tc>
          <w:tcPr>
            <w:tcW w:w="719" w:type="dxa"/>
            <w:tcBorders>
              <w:bottom w:val="single" w:sz="12" w:space="0" w:color="auto"/>
            </w:tcBorders>
            <w:vAlign w:val="center"/>
          </w:tcPr>
          <w:p w14:paraId="64FF1136" w14:textId="77777777" w:rsidR="00FA1843" w:rsidRPr="004B2A0E" w:rsidRDefault="00FA1843" w:rsidP="00EE1D03">
            <w:pPr>
              <w:ind w:right="-29"/>
              <w:jc w:val="center"/>
              <w:rPr>
                <w:noProof/>
                <w:sz w:val="18"/>
              </w:rPr>
            </w:pPr>
            <w:r>
              <w:rPr>
                <w:noProof/>
                <w:sz w:val="18"/>
              </w:rPr>
              <w:t>10</w:t>
            </w:r>
          </w:p>
        </w:tc>
        <w:tc>
          <w:tcPr>
            <w:tcW w:w="719" w:type="dxa"/>
            <w:tcBorders>
              <w:bottom w:val="single" w:sz="12" w:space="0" w:color="auto"/>
            </w:tcBorders>
            <w:vAlign w:val="center"/>
          </w:tcPr>
          <w:p w14:paraId="28443696" w14:textId="77777777" w:rsidR="00FA1843" w:rsidRPr="004B2A0E" w:rsidRDefault="00FA1843" w:rsidP="00EE1D03">
            <w:pPr>
              <w:ind w:right="-29"/>
              <w:jc w:val="center"/>
              <w:rPr>
                <w:noProof/>
                <w:sz w:val="18"/>
              </w:rPr>
            </w:pPr>
            <w:r>
              <w:rPr>
                <w:noProof/>
                <w:sz w:val="18"/>
              </w:rPr>
              <w:t>0.005</w:t>
            </w:r>
          </w:p>
        </w:tc>
        <w:tc>
          <w:tcPr>
            <w:tcW w:w="719" w:type="dxa"/>
            <w:tcBorders>
              <w:bottom w:val="single" w:sz="12" w:space="0" w:color="auto"/>
            </w:tcBorders>
            <w:vAlign w:val="center"/>
          </w:tcPr>
          <w:p w14:paraId="5BEED688" w14:textId="77777777" w:rsidR="00FA1843" w:rsidRPr="004B2A0E" w:rsidRDefault="00FA1843" w:rsidP="00EE1D03">
            <w:pPr>
              <w:ind w:right="-29"/>
              <w:jc w:val="center"/>
              <w:rPr>
                <w:noProof/>
                <w:sz w:val="18"/>
              </w:rPr>
            </w:pPr>
            <w:r>
              <w:rPr>
                <w:noProof/>
                <w:sz w:val="18"/>
              </w:rPr>
              <w:t>9</w:t>
            </w:r>
          </w:p>
        </w:tc>
        <w:tc>
          <w:tcPr>
            <w:tcW w:w="719" w:type="dxa"/>
            <w:tcBorders>
              <w:bottom w:val="single" w:sz="12" w:space="0" w:color="auto"/>
            </w:tcBorders>
            <w:vAlign w:val="center"/>
          </w:tcPr>
          <w:p w14:paraId="74A90887" w14:textId="77777777" w:rsidR="00FA1843" w:rsidRPr="004B2A0E" w:rsidRDefault="00FA1843" w:rsidP="00EE1D03">
            <w:pPr>
              <w:ind w:right="-29"/>
              <w:jc w:val="center"/>
              <w:rPr>
                <w:noProof/>
                <w:sz w:val="18"/>
              </w:rPr>
            </w:pPr>
            <w:r>
              <w:rPr>
                <w:noProof/>
                <w:sz w:val="18"/>
              </w:rPr>
              <w:t>0.005</w:t>
            </w:r>
          </w:p>
        </w:tc>
        <w:tc>
          <w:tcPr>
            <w:tcW w:w="719" w:type="dxa"/>
            <w:tcBorders>
              <w:bottom w:val="single" w:sz="12" w:space="0" w:color="auto"/>
            </w:tcBorders>
            <w:vAlign w:val="center"/>
          </w:tcPr>
          <w:p w14:paraId="13B91D2E" w14:textId="77777777" w:rsidR="00FA1843" w:rsidRPr="004B2A0E" w:rsidRDefault="00FA1843" w:rsidP="00EE1D03">
            <w:pPr>
              <w:ind w:right="-29"/>
              <w:jc w:val="center"/>
              <w:rPr>
                <w:noProof/>
                <w:sz w:val="18"/>
              </w:rPr>
            </w:pPr>
            <w:r>
              <w:rPr>
                <w:noProof/>
                <w:sz w:val="18"/>
              </w:rPr>
              <w:t>59</w:t>
            </w:r>
          </w:p>
        </w:tc>
        <w:tc>
          <w:tcPr>
            <w:tcW w:w="719" w:type="dxa"/>
            <w:tcBorders>
              <w:bottom w:val="single" w:sz="12" w:space="0" w:color="auto"/>
            </w:tcBorders>
            <w:vAlign w:val="center"/>
          </w:tcPr>
          <w:p w14:paraId="3FA1242F" w14:textId="77777777" w:rsidR="00FA1843" w:rsidRPr="004B2A0E" w:rsidRDefault="00FA1843" w:rsidP="00EE1D03">
            <w:pPr>
              <w:ind w:right="-29"/>
              <w:jc w:val="center"/>
              <w:rPr>
                <w:noProof/>
                <w:sz w:val="18"/>
              </w:rPr>
            </w:pPr>
            <w:r>
              <w:rPr>
                <w:noProof/>
                <w:sz w:val="18"/>
              </w:rPr>
              <w:t>0.045</w:t>
            </w:r>
          </w:p>
        </w:tc>
      </w:tr>
      <w:tr w:rsidR="00FA1843" w:rsidRPr="004B2A0E" w14:paraId="6C5CA85A" w14:textId="77777777" w:rsidTr="00EE1D03">
        <w:trPr>
          <w:jc w:val="center"/>
        </w:trPr>
        <w:tc>
          <w:tcPr>
            <w:tcW w:w="3609" w:type="dxa"/>
            <w:gridSpan w:val="3"/>
            <w:vAlign w:val="center"/>
          </w:tcPr>
          <w:p w14:paraId="2EA89730" w14:textId="77777777" w:rsidR="00FA1843" w:rsidRPr="004B2A0E" w:rsidRDefault="00FA1843" w:rsidP="00EE1D03">
            <w:pPr>
              <w:spacing w:before="60" w:after="60"/>
              <w:ind w:right="-29"/>
              <w:jc w:val="center"/>
              <w:rPr>
                <w:noProof/>
                <w:sz w:val="18"/>
              </w:rPr>
            </w:pPr>
            <w:r w:rsidRPr="004B2A0E">
              <w:rPr>
                <w:noProof/>
                <w:sz w:val="18"/>
              </w:rPr>
              <w:t xml:space="preserve">SPECIFIC OBJECTIVE No 2 </w:t>
            </w:r>
          </w:p>
        </w:tc>
        <w:tc>
          <w:tcPr>
            <w:tcW w:w="719" w:type="dxa"/>
            <w:tcBorders>
              <w:top w:val="nil"/>
              <w:left w:val="nil"/>
              <w:bottom w:val="nil"/>
              <w:right w:val="nil"/>
            </w:tcBorders>
            <w:vAlign w:val="center"/>
          </w:tcPr>
          <w:p w14:paraId="14BCE9A7"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2E5C5DA6"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288162B4"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06B44C1D"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4DD8BB44"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0E950B87"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06E7FC22"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0CC05FC6"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4B26E3FB"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2E04DEBD"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0BE1C83D" w14:textId="77777777" w:rsidR="00FA1843" w:rsidRPr="004B2A0E" w:rsidRDefault="00FA1843" w:rsidP="00EE1D03">
            <w:pPr>
              <w:spacing w:before="60" w:after="60"/>
              <w:ind w:right="-29"/>
              <w:jc w:val="center"/>
              <w:rPr>
                <w:noProof/>
                <w:sz w:val="18"/>
              </w:rPr>
            </w:pPr>
          </w:p>
        </w:tc>
        <w:tc>
          <w:tcPr>
            <w:tcW w:w="719" w:type="dxa"/>
            <w:tcBorders>
              <w:top w:val="nil"/>
              <w:left w:val="nil"/>
              <w:bottom w:val="nil"/>
              <w:right w:val="nil"/>
            </w:tcBorders>
            <w:vAlign w:val="center"/>
          </w:tcPr>
          <w:p w14:paraId="6FCB7BE3" w14:textId="77777777" w:rsidR="00FA1843" w:rsidRPr="004B2A0E" w:rsidRDefault="00FA1843" w:rsidP="00EE1D03">
            <w:pPr>
              <w:spacing w:before="60" w:after="60"/>
              <w:ind w:right="-29"/>
              <w:jc w:val="center"/>
              <w:rPr>
                <w:noProof/>
                <w:sz w:val="18"/>
              </w:rPr>
            </w:pPr>
          </w:p>
        </w:tc>
      </w:tr>
      <w:tr w:rsidR="00FA1843" w:rsidRPr="004B2A0E" w14:paraId="039521FD" w14:textId="77777777" w:rsidTr="00EE1D03">
        <w:trPr>
          <w:trHeight w:hRule="exact" w:val="475"/>
          <w:jc w:val="center"/>
        </w:trPr>
        <w:tc>
          <w:tcPr>
            <w:tcW w:w="1717" w:type="dxa"/>
            <w:vAlign w:val="center"/>
          </w:tcPr>
          <w:p w14:paraId="39B36C52" w14:textId="77777777" w:rsidR="00FA1843" w:rsidRPr="004B2A0E" w:rsidRDefault="00FA1843" w:rsidP="00EE1D03">
            <w:pPr>
              <w:ind w:right="-29"/>
              <w:jc w:val="center"/>
              <w:rPr>
                <w:noProof/>
                <w:sz w:val="18"/>
              </w:rPr>
            </w:pPr>
            <w:r w:rsidRPr="004B2A0E">
              <w:rPr>
                <w:noProof/>
                <w:sz w:val="18"/>
              </w:rPr>
              <w:t>- Output</w:t>
            </w:r>
          </w:p>
        </w:tc>
        <w:tc>
          <w:tcPr>
            <w:tcW w:w="1183" w:type="dxa"/>
            <w:vAlign w:val="center"/>
          </w:tcPr>
          <w:p w14:paraId="334F67B9" w14:textId="77777777" w:rsidR="00FA1843" w:rsidRPr="004B2A0E" w:rsidRDefault="00FA1843" w:rsidP="00EE1D03">
            <w:pPr>
              <w:ind w:right="-29"/>
              <w:jc w:val="center"/>
              <w:rPr>
                <w:noProof/>
                <w:sz w:val="18"/>
              </w:rPr>
            </w:pPr>
          </w:p>
        </w:tc>
        <w:tc>
          <w:tcPr>
            <w:tcW w:w="709" w:type="dxa"/>
            <w:vAlign w:val="center"/>
          </w:tcPr>
          <w:p w14:paraId="084AE732" w14:textId="77777777" w:rsidR="00FA1843" w:rsidRPr="004B2A0E" w:rsidRDefault="00FA1843" w:rsidP="00EE1D03">
            <w:pPr>
              <w:ind w:right="-29"/>
              <w:jc w:val="center"/>
              <w:rPr>
                <w:noProof/>
                <w:sz w:val="18"/>
              </w:rPr>
            </w:pPr>
          </w:p>
        </w:tc>
        <w:tc>
          <w:tcPr>
            <w:tcW w:w="719" w:type="dxa"/>
            <w:vAlign w:val="center"/>
          </w:tcPr>
          <w:p w14:paraId="3C942B7A" w14:textId="77777777" w:rsidR="00FA1843" w:rsidRPr="004B2A0E" w:rsidRDefault="00FA1843" w:rsidP="00EE1D03">
            <w:pPr>
              <w:ind w:right="-29"/>
              <w:jc w:val="center"/>
              <w:rPr>
                <w:noProof/>
                <w:sz w:val="18"/>
              </w:rPr>
            </w:pPr>
          </w:p>
        </w:tc>
        <w:tc>
          <w:tcPr>
            <w:tcW w:w="719" w:type="dxa"/>
            <w:vAlign w:val="center"/>
          </w:tcPr>
          <w:p w14:paraId="1B54B7A5" w14:textId="77777777" w:rsidR="00FA1843" w:rsidRPr="004B2A0E" w:rsidRDefault="00FA1843" w:rsidP="00EE1D03">
            <w:pPr>
              <w:ind w:right="-29"/>
              <w:jc w:val="center"/>
              <w:rPr>
                <w:noProof/>
                <w:sz w:val="18"/>
              </w:rPr>
            </w:pPr>
          </w:p>
        </w:tc>
        <w:tc>
          <w:tcPr>
            <w:tcW w:w="719" w:type="dxa"/>
            <w:vAlign w:val="center"/>
          </w:tcPr>
          <w:p w14:paraId="1C1603FE" w14:textId="77777777" w:rsidR="00FA1843" w:rsidRPr="004B2A0E" w:rsidRDefault="00FA1843" w:rsidP="00EE1D03">
            <w:pPr>
              <w:ind w:right="-29"/>
              <w:jc w:val="center"/>
              <w:rPr>
                <w:noProof/>
                <w:sz w:val="18"/>
              </w:rPr>
            </w:pPr>
          </w:p>
        </w:tc>
        <w:tc>
          <w:tcPr>
            <w:tcW w:w="719" w:type="dxa"/>
            <w:vAlign w:val="center"/>
          </w:tcPr>
          <w:p w14:paraId="13A3F2F4" w14:textId="77777777" w:rsidR="00FA1843" w:rsidRPr="004B2A0E" w:rsidRDefault="00FA1843" w:rsidP="00EE1D03">
            <w:pPr>
              <w:ind w:right="-29"/>
              <w:jc w:val="center"/>
              <w:rPr>
                <w:noProof/>
                <w:sz w:val="18"/>
              </w:rPr>
            </w:pPr>
          </w:p>
        </w:tc>
        <w:tc>
          <w:tcPr>
            <w:tcW w:w="719" w:type="dxa"/>
            <w:vAlign w:val="center"/>
          </w:tcPr>
          <w:p w14:paraId="13AC3FA7" w14:textId="77777777" w:rsidR="00FA1843" w:rsidRPr="004B2A0E" w:rsidRDefault="00FA1843" w:rsidP="00EE1D03">
            <w:pPr>
              <w:ind w:right="-29"/>
              <w:jc w:val="center"/>
              <w:rPr>
                <w:noProof/>
                <w:sz w:val="18"/>
              </w:rPr>
            </w:pPr>
          </w:p>
        </w:tc>
        <w:tc>
          <w:tcPr>
            <w:tcW w:w="719" w:type="dxa"/>
            <w:vAlign w:val="center"/>
          </w:tcPr>
          <w:p w14:paraId="5212A84F" w14:textId="77777777" w:rsidR="00FA1843" w:rsidRPr="004B2A0E" w:rsidRDefault="00FA1843" w:rsidP="00EE1D03">
            <w:pPr>
              <w:ind w:right="-29"/>
              <w:jc w:val="center"/>
              <w:rPr>
                <w:noProof/>
                <w:sz w:val="18"/>
              </w:rPr>
            </w:pPr>
          </w:p>
        </w:tc>
        <w:tc>
          <w:tcPr>
            <w:tcW w:w="719" w:type="dxa"/>
            <w:vAlign w:val="center"/>
          </w:tcPr>
          <w:p w14:paraId="30CFB2D8" w14:textId="77777777" w:rsidR="00FA1843" w:rsidRPr="004B2A0E" w:rsidRDefault="00FA1843" w:rsidP="00EE1D03">
            <w:pPr>
              <w:ind w:right="-29"/>
              <w:jc w:val="center"/>
              <w:rPr>
                <w:noProof/>
                <w:sz w:val="18"/>
              </w:rPr>
            </w:pPr>
          </w:p>
        </w:tc>
        <w:tc>
          <w:tcPr>
            <w:tcW w:w="719" w:type="dxa"/>
            <w:vAlign w:val="center"/>
          </w:tcPr>
          <w:p w14:paraId="2B0CE1A3" w14:textId="77777777" w:rsidR="00FA1843" w:rsidRPr="004B2A0E" w:rsidRDefault="00FA1843" w:rsidP="00EE1D03">
            <w:pPr>
              <w:ind w:right="-29"/>
              <w:jc w:val="center"/>
              <w:rPr>
                <w:noProof/>
                <w:sz w:val="18"/>
              </w:rPr>
            </w:pPr>
          </w:p>
        </w:tc>
        <w:tc>
          <w:tcPr>
            <w:tcW w:w="719" w:type="dxa"/>
            <w:vAlign w:val="center"/>
          </w:tcPr>
          <w:p w14:paraId="2838E389" w14:textId="77777777" w:rsidR="00FA1843" w:rsidRPr="004B2A0E" w:rsidRDefault="00FA1843" w:rsidP="00EE1D03">
            <w:pPr>
              <w:ind w:right="-29"/>
              <w:jc w:val="center"/>
              <w:rPr>
                <w:noProof/>
                <w:sz w:val="18"/>
              </w:rPr>
            </w:pPr>
          </w:p>
        </w:tc>
        <w:tc>
          <w:tcPr>
            <w:tcW w:w="719" w:type="dxa"/>
            <w:vAlign w:val="center"/>
          </w:tcPr>
          <w:p w14:paraId="297DD6E3" w14:textId="77777777" w:rsidR="00FA1843" w:rsidRPr="004B2A0E" w:rsidRDefault="00FA1843" w:rsidP="00EE1D03">
            <w:pPr>
              <w:ind w:right="-29"/>
              <w:jc w:val="center"/>
              <w:rPr>
                <w:noProof/>
                <w:sz w:val="18"/>
              </w:rPr>
            </w:pPr>
          </w:p>
        </w:tc>
        <w:tc>
          <w:tcPr>
            <w:tcW w:w="719" w:type="dxa"/>
            <w:vAlign w:val="center"/>
          </w:tcPr>
          <w:p w14:paraId="5BA98D51" w14:textId="77777777" w:rsidR="00FA1843" w:rsidRPr="004B2A0E" w:rsidRDefault="00FA1843" w:rsidP="00EE1D03">
            <w:pPr>
              <w:ind w:right="-29"/>
              <w:jc w:val="center"/>
              <w:rPr>
                <w:noProof/>
                <w:sz w:val="18"/>
              </w:rPr>
            </w:pPr>
          </w:p>
        </w:tc>
        <w:tc>
          <w:tcPr>
            <w:tcW w:w="719" w:type="dxa"/>
            <w:vAlign w:val="center"/>
          </w:tcPr>
          <w:p w14:paraId="129F47E0" w14:textId="77777777" w:rsidR="00FA1843" w:rsidRPr="004B2A0E" w:rsidRDefault="00FA1843" w:rsidP="00EE1D03">
            <w:pPr>
              <w:ind w:right="-29"/>
              <w:jc w:val="center"/>
              <w:rPr>
                <w:noProof/>
                <w:sz w:val="18"/>
              </w:rPr>
            </w:pPr>
          </w:p>
        </w:tc>
      </w:tr>
      <w:tr w:rsidR="00FA1843" w:rsidRPr="004B2A0E" w14:paraId="323A1F84" w14:textId="77777777" w:rsidTr="00EE1D03">
        <w:trPr>
          <w:trHeight w:hRule="exact" w:val="484"/>
          <w:jc w:val="center"/>
        </w:trPr>
        <w:tc>
          <w:tcPr>
            <w:tcW w:w="1717" w:type="dxa"/>
            <w:vAlign w:val="center"/>
          </w:tcPr>
          <w:p w14:paraId="0B459093" w14:textId="77777777" w:rsidR="00FA1843" w:rsidRPr="004B2A0E" w:rsidRDefault="00FA1843" w:rsidP="00EE1D03">
            <w:pPr>
              <w:ind w:right="-29"/>
              <w:jc w:val="center"/>
              <w:rPr>
                <w:noProof/>
                <w:sz w:val="18"/>
              </w:rPr>
            </w:pPr>
            <w:r w:rsidRPr="004B2A0E">
              <w:rPr>
                <w:noProof/>
                <w:sz w:val="18"/>
              </w:rPr>
              <w:t>- Output</w:t>
            </w:r>
          </w:p>
        </w:tc>
        <w:tc>
          <w:tcPr>
            <w:tcW w:w="1183" w:type="dxa"/>
            <w:vAlign w:val="center"/>
          </w:tcPr>
          <w:p w14:paraId="06C80A95" w14:textId="77777777" w:rsidR="00FA1843" w:rsidRPr="004B2A0E" w:rsidRDefault="00FA1843" w:rsidP="00EE1D03">
            <w:pPr>
              <w:ind w:right="-29"/>
              <w:jc w:val="center"/>
              <w:rPr>
                <w:noProof/>
                <w:sz w:val="18"/>
              </w:rPr>
            </w:pPr>
          </w:p>
        </w:tc>
        <w:tc>
          <w:tcPr>
            <w:tcW w:w="709" w:type="dxa"/>
            <w:vAlign w:val="center"/>
          </w:tcPr>
          <w:p w14:paraId="434AABED" w14:textId="77777777" w:rsidR="00FA1843" w:rsidRPr="004B2A0E" w:rsidRDefault="00FA1843" w:rsidP="00EE1D03">
            <w:pPr>
              <w:ind w:right="-29"/>
              <w:jc w:val="center"/>
              <w:rPr>
                <w:noProof/>
                <w:sz w:val="18"/>
              </w:rPr>
            </w:pPr>
          </w:p>
        </w:tc>
        <w:tc>
          <w:tcPr>
            <w:tcW w:w="719" w:type="dxa"/>
            <w:vAlign w:val="center"/>
          </w:tcPr>
          <w:p w14:paraId="22B28CF9" w14:textId="77777777" w:rsidR="00FA1843" w:rsidRPr="004B2A0E" w:rsidRDefault="00FA1843" w:rsidP="00EE1D03">
            <w:pPr>
              <w:ind w:right="-29"/>
              <w:jc w:val="center"/>
              <w:rPr>
                <w:noProof/>
                <w:sz w:val="18"/>
              </w:rPr>
            </w:pPr>
          </w:p>
        </w:tc>
        <w:tc>
          <w:tcPr>
            <w:tcW w:w="719" w:type="dxa"/>
            <w:vAlign w:val="center"/>
          </w:tcPr>
          <w:p w14:paraId="36D6F92F" w14:textId="77777777" w:rsidR="00FA1843" w:rsidRPr="004B2A0E" w:rsidRDefault="00FA1843" w:rsidP="00EE1D03">
            <w:pPr>
              <w:ind w:right="-29"/>
              <w:jc w:val="center"/>
              <w:rPr>
                <w:noProof/>
                <w:sz w:val="18"/>
              </w:rPr>
            </w:pPr>
          </w:p>
        </w:tc>
        <w:tc>
          <w:tcPr>
            <w:tcW w:w="719" w:type="dxa"/>
            <w:vAlign w:val="center"/>
          </w:tcPr>
          <w:p w14:paraId="702259E9" w14:textId="77777777" w:rsidR="00FA1843" w:rsidRPr="004B2A0E" w:rsidRDefault="00FA1843" w:rsidP="00EE1D03">
            <w:pPr>
              <w:ind w:right="-29"/>
              <w:jc w:val="center"/>
              <w:rPr>
                <w:noProof/>
                <w:sz w:val="18"/>
              </w:rPr>
            </w:pPr>
          </w:p>
        </w:tc>
        <w:tc>
          <w:tcPr>
            <w:tcW w:w="719" w:type="dxa"/>
            <w:vAlign w:val="center"/>
          </w:tcPr>
          <w:p w14:paraId="70E037AD" w14:textId="77777777" w:rsidR="00FA1843" w:rsidRPr="004B2A0E" w:rsidRDefault="00FA1843" w:rsidP="00EE1D03">
            <w:pPr>
              <w:ind w:right="-29"/>
              <w:jc w:val="center"/>
              <w:rPr>
                <w:noProof/>
                <w:sz w:val="18"/>
              </w:rPr>
            </w:pPr>
          </w:p>
        </w:tc>
        <w:tc>
          <w:tcPr>
            <w:tcW w:w="719" w:type="dxa"/>
            <w:vAlign w:val="center"/>
          </w:tcPr>
          <w:p w14:paraId="64C4E7C0" w14:textId="77777777" w:rsidR="00FA1843" w:rsidRPr="004B2A0E" w:rsidRDefault="00FA1843" w:rsidP="00EE1D03">
            <w:pPr>
              <w:ind w:right="-29"/>
              <w:jc w:val="center"/>
              <w:rPr>
                <w:noProof/>
                <w:sz w:val="18"/>
              </w:rPr>
            </w:pPr>
          </w:p>
        </w:tc>
        <w:tc>
          <w:tcPr>
            <w:tcW w:w="719" w:type="dxa"/>
            <w:vAlign w:val="center"/>
          </w:tcPr>
          <w:p w14:paraId="70FB8CFC" w14:textId="77777777" w:rsidR="00FA1843" w:rsidRPr="004B2A0E" w:rsidRDefault="00FA1843" w:rsidP="00EE1D03">
            <w:pPr>
              <w:ind w:right="-29"/>
              <w:jc w:val="center"/>
              <w:rPr>
                <w:noProof/>
                <w:sz w:val="18"/>
              </w:rPr>
            </w:pPr>
          </w:p>
        </w:tc>
        <w:tc>
          <w:tcPr>
            <w:tcW w:w="719" w:type="dxa"/>
            <w:vAlign w:val="center"/>
          </w:tcPr>
          <w:p w14:paraId="7D5C9063" w14:textId="77777777" w:rsidR="00FA1843" w:rsidRPr="004B2A0E" w:rsidRDefault="00FA1843" w:rsidP="00EE1D03">
            <w:pPr>
              <w:ind w:right="-29"/>
              <w:jc w:val="center"/>
              <w:rPr>
                <w:noProof/>
                <w:sz w:val="18"/>
              </w:rPr>
            </w:pPr>
          </w:p>
        </w:tc>
        <w:tc>
          <w:tcPr>
            <w:tcW w:w="719" w:type="dxa"/>
            <w:vAlign w:val="center"/>
          </w:tcPr>
          <w:p w14:paraId="631C1515" w14:textId="77777777" w:rsidR="00FA1843" w:rsidRPr="004B2A0E" w:rsidRDefault="00FA1843" w:rsidP="00EE1D03">
            <w:pPr>
              <w:ind w:right="-29"/>
              <w:jc w:val="center"/>
              <w:rPr>
                <w:noProof/>
                <w:sz w:val="18"/>
              </w:rPr>
            </w:pPr>
          </w:p>
        </w:tc>
        <w:tc>
          <w:tcPr>
            <w:tcW w:w="719" w:type="dxa"/>
            <w:vAlign w:val="center"/>
          </w:tcPr>
          <w:p w14:paraId="4761AEDB" w14:textId="77777777" w:rsidR="00FA1843" w:rsidRPr="004B2A0E" w:rsidRDefault="00FA1843" w:rsidP="00EE1D03">
            <w:pPr>
              <w:ind w:right="-29"/>
              <w:jc w:val="center"/>
              <w:rPr>
                <w:noProof/>
                <w:sz w:val="18"/>
              </w:rPr>
            </w:pPr>
          </w:p>
        </w:tc>
        <w:tc>
          <w:tcPr>
            <w:tcW w:w="719" w:type="dxa"/>
            <w:vAlign w:val="center"/>
          </w:tcPr>
          <w:p w14:paraId="097DD470" w14:textId="77777777" w:rsidR="00FA1843" w:rsidRPr="004B2A0E" w:rsidRDefault="00FA1843" w:rsidP="00EE1D03">
            <w:pPr>
              <w:ind w:right="-29"/>
              <w:jc w:val="center"/>
              <w:rPr>
                <w:noProof/>
                <w:sz w:val="18"/>
              </w:rPr>
            </w:pPr>
          </w:p>
        </w:tc>
        <w:tc>
          <w:tcPr>
            <w:tcW w:w="719" w:type="dxa"/>
            <w:vAlign w:val="center"/>
          </w:tcPr>
          <w:p w14:paraId="3B4B8E1A" w14:textId="77777777" w:rsidR="00FA1843" w:rsidRPr="004B2A0E" w:rsidRDefault="00FA1843" w:rsidP="00EE1D03">
            <w:pPr>
              <w:ind w:right="-29"/>
              <w:jc w:val="center"/>
              <w:rPr>
                <w:noProof/>
                <w:sz w:val="18"/>
              </w:rPr>
            </w:pPr>
          </w:p>
        </w:tc>
        <w:tc>
          <w:tcPr>
            <w:tcW w:w="719" w:type="dxa"/>
            <w:vAlign w:val="center"/>
          </w:tcPr>
          <w:p w14:paraId="5C9744E0" w14:textId="77777777" w:rsidR="00FA1843" w:rsidRPr="004B2A0E" w:rsidRDefault="00FA1843" w:rsidP="00EE1D03">
            <w:pPr>
              <w:ind w:right="-29"/>
              <w:jc w:val="center"/>
              <w:rPr>
                <w:noProof/>
                <w:sz w:val="18"/>
              </w:rPr>
            </w:pPr>
          </w:p>
        </w:tc>
      </w:tr>
      <w:tr w:rsidR="00FA1843" w:rsidRPr="004B2A0E" w14:paraId="7B256917" w14:textId="77777777" w:rsidTr="00EE1D03">
        <w:trPr>
          <w:jc w:val="center"/>
        </w:trPr>
        <w:tc>
          <w:tcPr>
            <w:tcW w:w="3609" w:type="dxa"/>
            <w:gridSpan w:val="3"/>
            <w:tcBorders>
              <w:bottom w:val="single" w:sz="12" w:space="0" w:color="auto"/>
            </w:tcBorders>
            <w:vAlign w:val="center"/>
          </w:tcPr>
          <w:p w14:paraId="7AD7D222" w14:textId="77777777" w:rsidR="00FA1843" w:rsidRPr="004B2A0E" w:rsidRDefault="00FA1843" w:rsidP="00EE1D03">
            <w:pPr>
              <w:jc w:val="center"/>
              <w:rPr>
                <w:noProof/>
                <w:sz w:val="18"/>
              </w:rPr>
            </w:pPr>
            <w:r w:rsidRPr="004B2A0E">
              <w:rPr>
                <w:noProof/>
                <w:sz w:val="18"/>
              </w:rPr>
              <w:t>Subtotal for specific objective No 2</w:t>
            </w:r>
          </w:p>
        </w:tc>
        <w:tc>
          <w:tcPr>
            <w:tcW w:w="719" w:type="dxa"/>
            <w:tcBorders>
              <w:bottom w:val="single" w:sz="12" w:space="0" w:color="auto"/>
            </w:tcBorders>
            <w:vAlign w:val="center"/>
          </w:tcPr>
          <w:p w14:paraId="44A5519F"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15391090"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493D28F2"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4A58B470"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480F1570"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05B640FC"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3BE7A81D"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41292C96"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63A05E57"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1A50265F"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0FDCBA2B" w14:textId="77777777" w:rsidR="00FA1843" w:rsidRPr="004B2A0E" w:rsidRDefault="00FA1843" w:rsidP="00EE1D03">
            <w:pPr>
              <w:ind w:right="-29"/>
              <w:jc w:val="center"/>
              <w:rPr>
                <w:noProof/>
                <w:sz w:val="18"/>
              </w:rPr>
            </w:pPr>
          </w:p>
        </w:tc>
        <w:tc>
          <w:tcPr>
            <w:tcW w:w="719" w:type="dxa"/>
            <w:tcBorders>
              <w:bottom w:val="single" w:sz="12" w:space="0" w:color="auto"/>
            </w:tcBorders>
            <w:vAlign w:val="center"/>
          </w:tcPr>
          <w:p w14:paraId="21DECB2E" w14:textId="77777777" w:rsidR="00FA1843" w:rsidRPr="004B2A0E" w:rsidRDefault="00FA1843" w:rsidP="00EE1D03">
            <w:pPr>
              <w:ind w:right="-29"/>
              <w:jc w:val="center"/>
              <w:rPr>
                <w:noProof/>
                <w:sz w:val="18"/>
              </w:rPr>
            </w:pPr>
          </w:p>
        </w:tc>
      </w:tr>
      <w:tr w:rsidR="00FA1843" w:rsidRPr="004B2A0E" w14:paraId="43898BF3" w14:textId="77777777" w:rsidTr="00EE1D03">
        <w:trPr>
          <w:jc w:val="center"/>
        </w:trPr>
        <w:tc>
          <w:tcPr>
            <w:tcW w:w="3609" w:type="dxa"/>
            <w:gridSpan w:val="3"/>
            <w:tcBorders>
              <w:top w:val="single" w:sz="12" w:space="0" w:color="auto"/>
              <w:left w:val="single" w:sz="12" w:space="0" w:color="auto"/>
              <w:bottom w:val="single" w:sz="12" w:space="0" w:color="auto"/>
            </w:tcBorders>
            <w:vAlign w:val="center"/>
          </w:tcPr>
          <w:p w14:paraId="653D9F33" w14:textId="77777777" w:rsidR="00FA1843" w:rsidRPr="004B2A0E" w:rsidRDefault="00FA1843" w:rsidP="00EE1D03">
            <w:pPr>
              <w:ind w:right="-29"/>
              <w:jc w:val="center"/>
              <w:rPr>
                <w:noProof/>
                <w:sz w:val="18"/>
              </w:rPr>
            </w:pPr>
            <w:r w:rsidRPr="004B2A0E">
              <w:rPr>
                <w:b/>
                <w:noProof/>
                <w:sz w:val="18"/>
              </w:rPr>
              <w:t>TOTAL COST</w:t>
            </w:r>
          </w:p>
        </w:tc>
        <w:tc>
          <w:tcPr>
            <w:tcW w:w="719" w:type="dxa"/>
            <w:tcBorders>
              <w:top w:val="single" w:sz="12" w:space="0" w:color="auto"/>
              <w:bottom w:val="single" w:sz="12" w:space="0" w:color="auto"/>
            </w:tcBorders>
            <w:vAlign w:val="center"/>
          </w:tcPr>
          <w:p w14:paraId="08114D82" w14:textId="77777777" w:rsidR="00FA1843" w:rsidRPr="004B2A0E" w:rsidRDefault="00FA1843" w:rsidP="00EE1D03">
            <w:pPr>
              <w:spacing w:before="180" w:after="180"/>
              <w:ind w:right="-29"/>
              <w:jc w:val="center"/>
              <w:rPr>
                <w:noProof/>
                <w:sz w:val="18"/>
              </w:rPr>
            </w:pPr>
          </w:p>
        </w:tc>
        <w:tc>
          <w:tcPr>
            <w:tcW w:w="719" w:type="dxa"/>
            <w:tcBorders>
              <w:top w:val="single" w:sz="12" w:space="0" w:color="auto"/>
              <w:bottom w:val="single" w:sz="12" w:space="0" w:color="auto"/>
            </w:tcBorders>
            <w:vAlign w:val="center"/>
          </w:tcPr>
          <w:p w14:paraId="1AD72FDF" w14:textId="77777777" w:rsidR="00FA1843" w:rsidRPr="004B2A0E" w:rsidRDefault="00FA1843" w:rsidP="00EE1D03">
            <w:pPr>
              <w:spacing w:before="180" w:after="180"/>
              <w:ind w:right="-29"/>
              <w:jc w:val="center"/>
              <w:rPr>
                <w:noProof/>
                <w:sz w:val="18"/>
              </w:rPr>
            </w:pPr>
          </w:p>
        </w:tc>
        <w:tc>
          <w:tcPr>
            <w:tcW w:w="719" w:type="dxa"/>
            <w:tcBorders>
              <w:top w:val="single" w:sz="12" w:space="0" w:color="auto"/>
              <w:bottom w:val="single" w:sz="12" w:space="0" w:color="auto"/>
            </w:tcBorders>
            <w:vAlign w:val="center"/>
          </w:tcPr>
          <w:p w14:paraId="4C5447F7" w14:textId="77777777" w:rsidR="00FA1843" w:rsidRPr="004B2A0E" w:rsidRDefault="00FA1843" w:rsidP="00EE1D03">
            <w:pPr>
              <w:spacing w:before="0" w:after="0"/>
              <w:jc w:val="center"/>
              <w:rPr>
                <w:noProof/>
                <w:color w:val="000000"/>
                <w:sz w:val="18"/>
                <w:szCs w:val="18"/>
              </w:rPr>
            </w:pPr>
          </w:p>
        </w:tc>
        <w:tc>
          <w:tcPr>
            <w:tcW w:w="719" w:type="dxa"/>
            <w:tcBorders>
              <w:top w:val="single" w:sz="12" w:space="0" w:color="auto"/>
              <w:bottom w:val="single" w:sz="12" w:space="0" w:color="auto"/>
            </w:tcBorders>
            <w:vAlign w:val="center"/>
          </w:tcPr>
          <w:p w14:paraId="5859B348" w14:textId="77777777" w:rsidR="00FA1843" w:rsidRPr="004B2A0E" w:rsidRDefault="00FA1843" w:rsidP="00EE1D03">
            <w:pPr>
              <w:jc w:val="center"/>
              <w:rPr>
                <w:noProof/>
                <w:color w:val="000000"/>
                <w:sz w:val="18"/>
                <w:szCs w:val="18"/>
              </w:rPr>
            </w:pPr>
          </w:p>
        </w:tc>
        <w:tc>
          <w:tcPr>
            <w:tcW w:w="719" w:type="dxa"/>
            <w:tcBorders>
              <w:top w:val="single" w:sz="12" w:space="0" w:color="auto"/>
              <w:bottom w:val="single" w:sz="12" w:space="0" w:color="auto"/>
            </w:tcBorders>
            <w:vAlign w:val="center"/>
          </w:tcPr>
          <w:p w14:paraId="043FC839" w14:textId="77777777" w:rsidR="00FA1843" w:rsidRPr="004B2A0E" w:rsidRDefault="00FA1843" w:rsidP="00EE1D03">
            <w:pPr>
              <w:jc w:val="center"/>
              <w:rPr>
                <w:noProof/>
                <w:color w:val="000000"/>
                <w:sz w:val="18"/>
                <w:szCs w:val="18"/>
              </w:rPr>
            </w:pPr>
            <w:r>
              <w:rPr>
                <w:noProof/>
                <w:color w:val="000000"/>
                <w:sz w:val="18"/>
                <w:szCs w:val="18"/>
              </w:rPr>
              <w:t>40</w:t>
            </w:r>
          </w:p>
        </w:tc>
        <w:tc>
          <w:tcPr>
            <w:tcW w:w="719" w:type="dxa"/>
            <w:tcBorders>
              <w:top w:val="single" w:sz="12" w:space="0" w:color="auto"/>
              <w:bottom w:val="single" w:sz="12" w:space="0" w:color="auto"/>
            </w:tcBorders>
            <w:vAlign w:val="center"/>
          </w:tcPr>
          <w:p w14:paraId="1DF0D7E0" w14:textId="77777777" w:rsidR="00FA1843" w:rsidRPr="004B2A0E" w:rsidRDefault="00FA1843" w:rsidP="00EE1D03">
            <w:pPr>
              <w:jc w:val="center"/>
              <w:rPr>
                <w:noProof/>
                <w:color w:val="000000"/>
                <w:sz w:val="18"/>
                <w:szCs w:val="18"/>
              </w:rPr>
            </w:pPr>
            <w:r>
              <w:rPr>
                <w:noProof/>
                <w:color w:val="000000"/>
                <w:sz w:val="18"/>
                <w:szCs w:val="18"/>
              </w:rPr>
              <w:t>0.035</w:t>
            </w:r>
          </w:p>
        </w:tc>
        <w:tc>
          <w:tcPr>
            <w:tcW w:w="719" w:type="dxa"/>
            <w:tcBorders>
              <w:top w:val="single" w:sz="12" w:space="0" w:color="auto"/>
              <w:bottom w:val="single" w:sz="12" w:space="0" w:color="auto"/>
            </w:tcBorders>
            <w:vAlign w:val="center"/>
          </w:tcPr>
          <w:p w14:paraId="3B966373" w14:textId="77777777" w:rsidR="00FA1843" w:rsidRPr="004B2A0E" w:rsidRDefault="00FA1843" w:rsidP="00EE1D03">
            <w:pPr>
              <w:ind w:right="-29"/>
              <w:jc w:val="center"/>
              <w:rPr>
                <w:noProof/>
                <w:sz w:val="18"/>
              </w:rPr>
            </w:pPr>
            <w:r>
              <w:rPr>
                <w:noProof/>
                <w:sz w:val="18"/>
              </w:rPr>
              <w:t>10</w:t>
            </w:r>
          </w:p>
        </w:tc>
        <w:tc>
          <w:tcPr>
            <w:tcW w:w="719" w:type="dxa"/>
            <w:tcBorders>
              <w:top w:val="single" w:sz="12" w:space="0" w:color="auto"/>
              <w:bottom w:val="single" w:sz="12" w:space="0" w:color="auto"/>
            </w:tcBorders>
            <w:vAlign w:val="center"/>
          </w:tcPr>
          <w:p w14:paraId="1371F9AA" w14:textId="77777777" w:rsidR="00FA1843" w:rsidRPr="004B2A0E" w:rsidRDefault="00FA1843" w:rsidP="00EE1D03">
            <w:pPr>
              <w:ind w:right="-29"/>
              <w:jc w:val="center"/>
              <w:rPr>
                <w:noProof/>
                <w:sz w:val="18"/>
              </w:rPr>
            </w:pPr>
            <w:r>
              <w:rPr>
                <w:noProof/>
                <w:sz w:val="18"/>
              </w:rPr>
              <w:t>0.005</w:t>
            </w:r>
          </w:p>
        </w:tc>
        <w:tc>
          <w:tcPr>
            <w:tcW w:w="719" w:type="dxa"/>
            <w:tcBorders>
              <w:top w:val="single" w:sz="12" w:space="0" w:color="auto"/>
              <w:bottom w:val="single" w:sz="12" w:space="0" w:color="auto"/>
            </w:tcBorders>
            <w:vAlign w:val="center"/>
          </w:tcPr>
          <w:p w14:paraId="16839BCB" w14:textId="77777777" w:rsidR="00FA1843" w:rsidRPr="004B2A0E" w:rsidRDefault="00FA1843" w:rsidP="00EE1D03">
            <w:pPr>
              <w:ind w:right="-29"/>
              <w:jc w:val="center"/>
              <w:rPr>
                <w:noProof/>
                <w:sz w:val="18"/>
              </w:rPr>
            </w:pPr>
            <w:r>
              <w:rPr>
                <w:noProof/>
                <w:sz w:val="18"/>
              </w:rPr>
              <w:t>9</w:t>
            </w:r>
          </w:p>
        </w:tc>
        <w:tc>
          <w:tcPr>
            <w:tcW w:w="719" w:type="dxa"/>
            <w:tcBorders>
              <w:top w:val="single" w:sz="12" w:space="0" w:color="auto"/>
              <w:bottom w:val="single" w:sz="12" w:space="0" w:color="auto"/>
            </w:tcBorders>
            <w:vAlign w:val="center"/>
          </w:tcPr>
          <w:p w14:paraId="51FC7497" w14:textId="77777777" w:rsidR="00FA1843" w:rsidRPr="004B2A0E" w:rsidRDefault="00FA1843" w:rsidP="00EE1D03">
            <w:pPr>
              <w:ind w:right="-29"/>
              <w:jc w:val="center"/>
              <w:rPr>
                <w:noProof/>
                <w:sz w:val="18"/>
              </w:rPr>
            </w:pPr>
            <w:r>
              <w:rPr>
                <w:noProof/>
                <w:sz w:val="18"/>
              </w:rPr>
              <w:t>0.005</w:t>
            </w:r>
          </w:p>
        </w:tc>
        <w:tc>
          <w:tcPr>
            <w:tcW w:w="719" w:type="dxa"/>
            <w:tcBorders>
              <w:top w:val="single" w:sz="12" w:space="0" w:color="auto"/>
              <w:bottom w:val="single" w:sz="12" w:space="0" w:color="auto"/>
            </w:tcBorders>
            <w:vAlign w:val="center"/>
          </w:tcPr>
          <w:p w14:paraId="5D11A762" w14:textId="77777777" w:rsidR="00FA1843" w:rsidRPr="004B2A0E" w:rsidRDefault="00FA1843" w:rsidP="00EE1D03">
            <w:pPr>
              <w:ind w:right="-29"/>
              <w:jc w:val="center"/>
              <w:rPr>
                <w:noProof/>
                <w:sz w:val="18"/>
              </w:rPr>
            </w:pPr>
            <w:r>
              <w:rPr>
                <w:noProof/>
                <w:sz w:val="18"/>
              </w:rPr>
              <w:t>59</w:t>
            </w:r>
          </w:p>
        </w:tc>
        <w:tc>
          <w:tcPr>
            <w:tcW w:w="719" w:type="dxa"/>
            <w:tcBorders>
              <w:top w:val="single" w:sz="12" w:space="0" w:color="auto"/>
              <w:bottom w:val="single" w:sz="12" w:space="0" w:color="auto"/>
              <w:right w:val="single" w:sz="12" w:space="0" w:color="auto"/>
            </w:tcBorders>
            <w:vAlign w:val="center"/>
          </w:tcPr>
          <w:p w14:paraId="094F5556" w14:textId="77777777" w:rsidR="00FA1843" w:rsidRPr="004B2A0E" w:rsidRDefault="00FA1843" w:rsidP="00EE1D03">
            <w:pPr>
              <w:ind w:right="-29"/>
              <w:jc w:val="center"/>
              <w:rPr>
                <w:noProof/>
                <w:sz w:val="18"/>
              </w:rPr>
            </w:pPr>
            <w:r>
              <w:rPr>
                <w:noProof/>
                <w:sz w:val="18"/>
              </w:rPr>
              <w:t>0.045</w:t>
            </w:r>
          </w:p>
        </w:tc>
      </w:tr>
    </w:tbl>
    <w:p w14:paraId="0ECABC9A" w14:textId="77777777" w:rsidR="00FA1843" w:rsidRPr="004B2A0E" w:rsidRDefault="00FA1843" w:rsidP="00FA1843">
      <w:pPr>
        <w:rPr>
          <w:noProof/>
        </w:rPr>
        <w:sectPr w:rsidR="00FA1843" w:rsidRPr="004B2A0E" w:rsidSect="00783A24">
          <w:pgSz w:w="16838" w:h="11906" w:orient="landscape" w:code="9"/>
          <w:pgMar w:top="1418" w:right="902" w:bottom="902" w:left="567" w:header="709" w:footer="709" w:gutter="0"/>
          <w:cols w:space="720"/>
          <w:docGrid w:linePitch="326"/>
        </w:sectPr>
      </w:pPr>
    </w:p>
    <w:p w14:paraId="12B212D3" w14:textId="5619833A" w:rsidR="00FA1843" w:rsidRPr="004B2A0E" w:rsidRDefault="002A7F8C" w:rsidP="002A7F8C">
      <w:pPr>
        <w:pStyle w:val="ManualHeading3"/>
        <w:rPr>
          <w:bCs/>
          <w:noProof/>
          <w:szCs w:val="24"/>
        </w:rPr>
      </w:pPr>
      <w:bookmarkStart w:id="63" w:name="_Toc514938688"/>
      <w:bookmarkStart w:id="64" w:name="_Toc520485447"/>
      <w:r w:rsidRPr="002A7F8C">
        <w:rPr>
          <w:noProof/>
        </w:rPr>
        <w:t>3.2.3.</w:t>
      </w:r>
      <w:r w:rsidRPr="002A7F8C">
        <w:rPr>
          <w:noProof/>
        </w:rPr>
        <w:tab/>
      </w:r>
      <w:r w:rsidR="00FA1843" w:rsidRPr="004B2A0E">
        <w:rPr>
          <w:noProof/>
        </w:rPr>
        <w:t>Estimated impact on</w:t>
      </w:r>
      <w:r w:rsidR="00FA1843">
        <w:rPr>
          <w:noProof/>
        </w:rPr>
        <w:t xml:space="preserve"> </w:t>
      </w:r>
      <w:r w:rsidR="00FA1843" w:rsidRPr="004B2A0E">
        <w:rPr>
          <w:noProof/>
        </w:rPr>
        <w:t>ESMA’s human resources</w:t>
      </w:r>
      <w:bookmarkEnd w:id="63"/>
      <w:bookmarkEnd w:id="64"/>
    </w:p>
    <w:p w14:paraId="5488E8F1" w14:textId="7DF90A9F" w:rsidR="00FA1843" w:rsidRPr="004B2A0E" w:rsidRDefault="002A7F8C" w:rsidP="002A7F8C">
      <w:pPr>
        <w:pStyle w:val="ManualHeading4"/>
        <w:rPr>
          <w:bCs/>
          <w:noProof/>
          <w:szCs w:val="24"/>
        </w:rPr>
      </w:pPr>
      <w:r w:rsidRPr="002A7F8C">
        <w:rPr>
          <w:noProof/>
        </w:rPr>
        <w:t>3.2.3.1.</w:t>
      </w:r>
      <w:r w:rsidRPr="002A7F8C">
        <w:rPr>
          <w:noProof/>
        </w:rPr>
        <w:tab/>
      </w:r>
      <w:r w:rsidR="00FA1843" w:rsidRPr="004B2A0E">
        <w:rPr>
          <w:noProof/>
        </w:rPr>
        <w:t>Summary</w:t>
      </w:r>
    </w:p>
    <w:p w14:paraId="235D398C" w14:textId="77777777" w:rsidR="00FA1843" w:rsidRPr="004B2A0E" w:rsidRDefault="00FA1843" w:rsidP="00580A58">
      <w:pPr>
        <w:pStyle w:val="ListDash1"/>
        <w:numPr>
          <w:ilvl w:val="0"/>
          <w:numId w:val="21"/>
        </w:numPr>
        <w:rPr>
          <w:noProof/>
        </w:rPr>
      </w:pPr>
      <w:r w:rsidRPr="004B2A0E">
        <w:rPr>
          <w:noProof/>
        </w:rPr>
        <w:sym w:font="Wingdings" w:char="F0A8"/>
      </w:r>
      <w:r w:rsidRPr="004B2A0E">
        <w:rPr>
          <w:noProof/>
        </w:rPr>
        <w:tab/>
        <w:t xml:space="preserve">The proposal/initiative does not require the use of appropriations of an administrative nature </w:t>
      </w:r>
    </w:p>
    <w:p w14:paraId="4A757B16" w14:textId="77777777" w:rsidR="00FA1843" w:rsidRPr="004B2A0E" w:rsidRDefault="00FA1843" w:rsidP="00580A58">
      <w:pPr>
        <w:pStyle w:val="ListDash1"/>
        <w:numPr>
          <w:ilvl w:val="0"/>
          <w:numId w:val="21"/>
        </w:numPr>
        <w:rPr>
          <w:noProof/>
        </w:rPr>
      </w:pPr>
      <w:r w:rsidRPr="004B2A0E">
        <w:rPr>
          <w:noProof/>
        </w:rPr>
        <w:sym w:font="Wingdings" w:char="F0FE"/>
      </w:r>
      <w:r w:rsidRPr="004B2A0E">
        <w:rPr>
          <w:noProof/>
        </w:rPr>
        <w:tab/>
        <w:t>The proposal/initiative requires the use of appropriations of an administrative nature, as explained below:</w:t>
      </w:r>
    </w:p>
    <w:p w14:paraId="17FFE2EC" w14:textId="77777777" w:rsidR="00FA1843" w:rsidRPr="004B2A0E" w:rsidRDefault="00FA1843" w:rsidP="00FA1843">
      <w:pPr>
        <w:rPr>
          <w:noProof/>
          <w:sz w:val="20"/>
        </w:rPr>
      </w:pPr>
      <w:r w:rsidRPr="004B2A0E">
        <w:rPr>
          <w:noProof/>
          <w:sz w:val="20"/>
        </w:rPr>
        <w:t>EUR million (to three decimal places)</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FA1843" w:rsidRPr="004B2A0E" w14:paraId="106942FB" w14:textId="77777777" w:rsidTr="00EE1D03">
        <w:trPr>
          <w:trHeight w:val="585"/>
        </w:trPr>
        <w:tc>
          <w:tcPr>
            <w:tcW w:w="1980" w:type="dxa"/>
          </w:tcPr>
          <w:p w14:paraId="4EB128BD" w14:textId="77777777" w:rsidR="00FA1843" w:rsidRPr="00DB031B" w:rsidRDefault="00FA1843" w:rsidP="00EE1D03">
            <w:pPr>
              <w:spacing w:before="60" w:after="60"/>
              <w:rPr>
                <w:noProof/>
                <w:sz w:val="20"/>
                <w:lang w:val="en-IE"/>
              </w:rPr>
            </w:pPr>
          </w:p>
        </w:tc>
        <w:tc>
          <w:tcPr>
            <w:tcW w:w="1302" w:type="dxa"/>
            <w:vAlign w:val="center"/>
          </w:tcPr>
          <w:p w14:paraId="7D74AC8E" w14:textId="77777777" w:rsidR="00FA1843" w:rsidRPr="004B2A0E" w:rsidRDefault="00FA1843" w:rsidP="00EE1D03">
            <w:pPr>
              <w:spacing w:before="60" w:after="60"/>
              <w:jc w:val="center"/>
              <w:rPr>
                <w:noProof/>
                <w:sz w:val="20"/>
              </w:rPr>
            </w:pPr>
            <w:r w:rsidRPr="004B2A0E">
              <w:rPr>
                <w:noProof/>
                <w:sz w:val="20"/>
              </w:rPr>
              <w:t>2023</w:t>
            </w:r>
          </w:p>
        </w:tc>
        <w:tc>
          <w:tcPr>
            <w:tcW w:w="1302" w:type="dxa"/>
            <w:vAlign w:val="center"/>
          </w:tcPr>
          <w:p w14:paraId="000CB1E2" w14:textId="77777777" w:rsidR="00FA1843" w:rsidRPr="004B2A0E" w:rsidRDefault="00FA1843" w:rsidP="00EE1D03">
            <w:pPr>
              <w:spacing w:before="60" w:after="60"/>
              <w:jc w:val="center"/>
              <w:rPr>
                <w:noProof/>
                <w:sz w:val="20"/>
              </w:rPr>
            </w:pPr>
            <w:r w:rsidRPr="004B2A0E">
              <w:rPr>
                <w:noProof/>
                <w:sz w:val="20"/>
              </w:rPr>
              <w:t>2024</w:t>
            </w:r>
          </w:p>
        </w:tc>
        <w:tc>
          <w:tcPr>
            <w:tcW w:w="1302" w:type="dxa"/>
            <w:vAlign w:val="center"/>
          </w:tcPr>
          <w:p w14:paraId="0210ECF8" w14:textId="77777777" w:rsidR="00FA1843" w:rsidRPr="004B2A0E" w:rsidRDefault="00FA1843" w:rsidP="00EE1D03">
            <w:pPr>
              <w:spacing w:before="60" w:after="60"/>
              <w:jc w:val="center"/>
              <w:rPr>
                <w:noProof/>
                <w:sz w:val="20"/>
              </w:rPr>
            </w:pPr>
            <w:r w:rsidRPr="004B2A0E">
              <w:rPr>
                <w:noProof/>
                <w:sz w:val="20"/>
              </w:rPr>
              <w:t>2025</w:t>
            </w:r>
          </w:p>
        </w:tc>
        <w:tc>
          <w:tcPr>
            <w:tcW w:w="1302" w:type="dxa"/>
            <w:vAlign w:val="center"/>
          </w:tcPr>
          <w:p w14:paraId="5E5F8C9B" w14:textId="77777777" w:rsidR="00FA1843" w:rsidRPr="004B2A0E" w:rsidRDefault="00FA1843" w:rsidP="00EE1D03">
            <w:pPr>
              <w:jc w:val="center"/>
              <w:rPr>
                <w:noProof/>
                <w:sz w:val="20"/>
              </w:rPr>
            </w:pPr>
            <w:r w:rsidRPr="004B2A0E">
              <w:rPr>
                <w:noProof/>
                <w:sz w:val="20"/>
              </w:rPr>
              <w:t>2026</w:t>
            </w:r>
          </w:p>
        </w:tc>
        <w:tc>
          <w:tcPr>
            <w:tcW w:w="1302" w:type="dxa"/>
            <w:vAlign w:val="center"/>
          </w:tcPr>
          <w:p w14:paraId="12A20BBE" w14:textId="77777777" w:rsidR="00FA1843" w:rsidRPr="004B2A0E" w:rsidRDefault="00FA1843" w:rsidP="00EE1D03">
            <w:pPr>
              <w:jc w:val="center"/>
              <w:rPr>
                <w:noProof/>
                <w:sz w:val="20"/>
              </w:rPr>
            </w:pPr>
            <w:r w:rsidRPr="004B2A0E">
              <w:rPr>
                <w:noProof/>
                <w:sz w:val="20"/>
              </w:rPr>
              <w:t>2027</w:t>
            </w:r>
          </w:p>
        </w:tc>
        <w:tc>
          <w:tcPr>
            <w:tcW w:w="1302" w:type="dxa"/>
            <w:vAlign w:val="center"/>
          </w:tcPr>
          <w:p w14:paraId="6DA93BD5" w14:textId="77777777" w:rsidR="00FA1843" w:rsidRPr="004B2A0E" w:rsidRDefault="00FA1843" w:rsidP="00EE1D03">
            <w:pPr>
              <w:spacing w:before="60" w:after="60"/>
              <w:jc w:val="center"/>
              <w:rPr>
                <w:b/>
                <w:noProof/>
                <w:sz w:val="20"/>
              </w:rPr>
            </w:pPr>
            <w:r w:rsidRPr="004B2A0E">
              <w:rPr>
                <w:b/>
                <w:noProof/>
                <w:sz w:val="20"/>
              </w:rPr>
              <w:t>TOTAL</w:t>
            </w:r>
          </w:p>
        </w:tc>
      </w:tr>
    </w:tbl>
    <w:p w14:paraId="313B608A" w14:textId="77777777" w:rsidR="00FA1843" w:rsidRPr="004B2A0E" w:rsidRDefault="00FA1843" w:rsidP="00FA1843">
      <w:pPr>
        <w:rPr>
          <w:noProof/>
          <w:sz w:val="20"/>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341E44" w:rsidRPr="00341E44" w14:paraId="210A6DAE" w14:textId="77777777" w:rsidTr="00EE1D03">
        <w:trPr>
          <w:trHeight w:val="585"/>
        </w:trPr>
        <w:tc>
          <w:tcPr>
            <w:tcW w:w="1980" w:type="dxa"/>
            <w:shd w:val="clear" w:color="auto" w:fill="D9D9D9" w:themeFill="background1" w:themeFillShade="D9"/>
            <w:vAlign w:val="center"/>
          </w:tcPr>
          <w:p w14:paraId="4DF3614D" w14:textId="77777777" w:rsidR="00341E44" w:rsidRPr="00341E44" w:rsidRDefault="00341E44" w:rsidP="00341E44">
            <w:pPr>
              <w:spacing w:before="60" w:after="60"/>
              <w:jc w:val="center"/>
              <w:rPr>
                <w:noProof/>
              </w:rPr>
            </w:pPr>
            <w:r w:rsidRPr="00341E44">
              <w:rPr>
                <w:noProof/>
                <w:sz w:val="18"/>
              </w:rPr>
              <w:t>Temporary agents (AD Grades)</w:t>
            </w:r>
          </w:p>
        </w:tc>
        <w:tc>
          <w:tcPr>
            <w:tcW w:w="1302" w:type="dxa"/>
            <w:vAlign w:val="center"/>
          </w:tcPr>
          <w:p w14:paraId="0CE8B8A4" w14:textId="77777777" w:rsidR="00341E44" w:rsidRPr="00341E44" w:rsidRDefault="00341E44" w:rsidP="00341E44">
            <w:pPr>
              <w:spacing w:before="60" w:after="60"/>
              <w:jc w:val="right"/>
              <w:rPr>
                <w:noProof/>
                <w:sz w:val="20"/>
              </w:rPr>
            </w:pPr>
          </w:p>
        </w:tc>
        <w:tc>
          <w:tcPr>
            <w:tcW w:w="1302" w:type="dxa"/>
            <w:vAlign w:val="center"/>
          </w:tcPr>
          <w:p w14:paraId="5700341C" w14:textId="77777777" w:rsidR="00341E44" w:rsidRPr="00341E44" w:rsidRDefault="00341E44" w:rsidP="00341E44">
            <w:pPr>
              <w:spacing w:before="60" w:after="60"/>
              <w:jc w:val="right"/>
              <w:rPr>
                <w:noProof/>
                <w:sz w:val="20"/>
              </w:rPr>
            </w:pPr>
          </w:p>
        </w:tc>
        <w:tc>
          <w:tcPr>
            <w:tcW w:w="1302" w:type="dxa"/>
            <w:vAlign w:val="center"/>
          </w:tcPr>
          <w:p w14:paraId="3DDBE96B" w14:textId="53FB9C29" w:rsidR="00341E44" w:rsidRPr="00341E44" w:rsidRDefault="00341E44" w:rsidP="00341E44">
            <w:pPr>
              <w:spacing w:before="60" w:after="60"/>
              <w:jc w:val="right"/>
              <w:rPr>
                <w:noProof/>
                <w:sz w:val="20"/>
              </w:rPr>
            </w:pPr>
            <w:r w:rsidRPr="00341E44">
              <w:rPr>
                <w:noProof/>
                <w:sz w:val="20"/>
              </w:rPr>
              <w:t>0.587</w:t>
            </w:r>
          </w:p>
        </w:tc>
        <w:tc>
          <w:tcPr>
            <w:tcW w:w="1302" w:type="dxa"/>
            <w:vAlign w:val="center"/>
          </w:tcPr>
          <w:p w14:paraId="38968025" w14:textId="5C511F61" w:rsidR="00341E44" w:rsidRPr="00341E44" w:rsidRDefault="00341E44" w:rsidP="00341E44">
            <w:pPr>
              <w:spacing w:before="60" w:after="60"/>
              <w:jc w:val="center"/>
              <w:rPr>
                <w:noProof/>
                <w:sz w:val="20"/>
              </w:rPr>
            </w:pPr>
            <w:r w:rsidRPr="00341E44">
              <w:rPr>
                <w:noProof/>
                <w:sz w:val="20"/>
              </w:rPr>
              <w:t xml:space="preserve">         1.198</w:t>
            </w:r>
          </w:p>
        </w:tc>
        <w:tc>
          <w:tcPr>
            <w:tcW w:w="1302" w:type="dxa"/>
            <w:vAlign w:val="center"/>
          </w:tcPr>
          <w:p w14:paraId="00BECFDB" w14:textId="04D6241D" w:rsidR="00341E44" w:rsidRPr="00341E44" w:rsidRDefault="00341E44" w:rsidP="00341E44">
            <w:pPr>
              <w:spacing w:before="60" w:after="60"/>
              <w:jc w:val="right"/>
              <w:rPr>
                <w:noProof/>
                <w:sz w:val="20"/>
              </w:rPr>
            </w:pPr>
            <w:r w:rsidRPr="00341E44">
              <w:rPr>
                <w:noProof/>
                <w:sz w:val="20"/>
              </w:rPr>
              <w:t>1.222</w:t>
            </w:r>
          </w:p>
        </w:tc>
        <w:tc>
          <w:tcPr>
            <w:tcW w:w="1302" w:type="dxa"/>
            <w:vAlign w:val="center"/>
          </w:tcPr>
          <w:p w14:paraId="3338B1D1" w14:textId="3A6091E1" w:rsidR="00341E44" w:rsidRPr="00341E44" w:rsidRDefault="00341E44" w:rsidP="00341E44">
            <w:pPr>
              <w:spacing w:before="60" w:after="60"/>
              <w:jc w:val="right"/>
              <w:rPr>
                <w:b/>
                <w:noProof/>
                <w:sz w:val="20"/>
              </w:rPr>
            </w:pPr>
            <w:r w:rsidRPr="00341E44">
              <w:rPr>
                <w:b/>
                <w:noProof/>
                <w:sz w:val="20"/>
              </w:rPr>
              <w:t>3.006</w:t>
            </w:r>
          </w:p>
        </w:tc>
      </w:tr>
      <w:tr w:rsidR="00341E44" w:rsidRPr="00341E44" w14:paraId="6FDB6D4E" w14:textId="77777777" w:rsidTr="00EE1D03">
        <w:trPr>
          <w:trHeight w:val="585"/>
        </w:trPr>
        <w:tc>
          <w:tcPr>
            <w:tcW w:w="1980" w:type="dxa"/>
            <w:shd w:val="clear" w:color="auto" w:fill="BFBFBF" w:themeFill="background1" w:themeFillShade="BF"/>
            <w:vAlign w:val="center"/>
          </w:tcPr>
          <w:p w14:paraId="281E6785" w14:textId="77777777" w:rsidR="00341E44" w:rsidRPr="00341E44" w:rsidRDefault="00341E44" w:rsidP="00341E44">
            <w:pPr>
              <w:spacing w:before="60" w:after="60"/>
              <w:ind w:left="72"/>
              <w:rPr>
                <w:noProof/>
              </w:rPr>
            </w:pPr>
            <w:r w:rsidRPr="00341E44">
              <w:rPr>
                <w:noProof/>
                <w:sz w:val="20"/>
              </w:rPr>
              <w:t>Temporary agents (AST grades)</w:t>
            </w:r>
          </w:p>
        </w:tc>
        <w:tc>
          <w:tcPr>
            <w:tcW w:w="1302" w:type="dxa"/>
            <w:vAlign w:val="center"/>
          </w:tcPr>
          <w:p w14:paraId="31761719" w14:textId="77777777" w:rsidR="00341E44" w:rsidRPr="00341E44" w:rsidRDefault="00341E44" w:rsidP="00341E44">
            <w:pPr>
              <w:spacing w:before="60" w:after="60"/>
              <w:jc w:val="right"/>
              <w:rPr>
                <w:noProof/>
                <w:sz w:val="20"/>
              </w:rPr>
            </w:pPr>
          </w:p>
        </w:tc>
        <w:tc>
          <w:tcPr>
            <w:tcW w:w="1302" w:type="dxa"/>
            <w:vAlign w:val="center"/>
          </w:tcPr>
          <w:p w14:paraId="1A60D7A3" w14:textId="77777777" w:rsidR="00341E44" w:rsidRPr="00341E44" w:rsidRDefault="00341E44" w:rsidP="00341E44">
            <w:pPr>
              <w:spacing w:before="60" w:after="60"/>
              <w:jc w:val="right"/>
              <w:rPr>
                <w:noProof/>
                <w:sz w:val="20"/>
              </w:rPr>
            </w:pPr>
          </w:p>
        </w:tc>
        <w:tc>
          <w:tcPr>
            <w:tcW w:w="1302" w:type="dxa"/>
            <w:vAlign w:val="center"/>
          </w:tcPr>
          <w:p w14:paraId="103D573B" w14:textId="126EFD84" w:rsidR="00341E44" w:rsidRPr="00341E44" w:rsidRDefault="00341E44" w:rsidP="00341E44">
            <w:pPr>
              <w:spacing w:before="60" w:after="60"/>
              <w:jc w:val="right"/>
              <w:rPr>
                <w:noProof/>
                <w:sz w:val="20"/>
              </w:rPr>
            </w:pPr>
            <w:r w:rsidRPr="00341E44">
              <w:rPr>
                <w:noProof/>
                <w:sz w:val="20"/>
              </w:rPr>
              <w:t>0.098</w:t>
            </w:r>
          </w:p>
        </w:tc>
        <w:tc>
          <w:tcPr>
            <w:tcW w:w="1302" w:type="dxa"/>
            <w:vAlign w:val="center"/>
          </w:tcPr>
          <w:p w14:paraId="1C482773" w14:textId="7405AE0C" w:rsidR="00341E44" w:rsidRPr="00341E44" w:rsidRDefault="00341E44" w:rsidP="00341E44">
            <w:pPr>
              <w:spacing w:before="60" w:after="60"/>
              <w:jc w:val="right"/>
              <w:rPr>
                <w:noProof/>
                <w:sz w:val="20"/>
              </w:rPr>
            </w:pPr>
            <w:r w:rsidRPr="00341E44">
              <w:rPr>
                <w:noProof/>
                <w:sz w:val="20"/>
              </w:rPr>
              <w:t>0.200</w:t>
            </w:r>
          </w:p>
        </w:tc>
        <w:tc>
          <w:tcPr>
            <w:tcW w:w="1302" w:type="dxa"/>
            <w:vAlign w:val="center"/>
          </w:tcPr>
          <w:p w14:paraId="171E1AAB" w14:textId="77777777" w:rsidR="00341E44" w:rsidRPr="00341E44" w:rsidRDefault="00341E44" w:rsidP="00341E44">
            <w:pPr>
              <w:spacing w:before="60" w:after="60"/>
              <w:jc w:val="right"/>
              <w:rPr>
                <w:noProof/>
                <w:sz w:val="20"/>
              </w:rPr>
            </w:pPr>
            <w:r w:rsidRPr="00341E44">
              <w:rPr>
                <w:noProof/>
                <w:sz w:val="20"/>
              </w:rPr>
              <w:t>0.203</w:t>
            </w:r>
          </w:p>
        </w:tc>
        <w:tc>
          <w:tcPr>
            <w:tcW w:w="1302" w:type="dxa"/>
            <w:vAlign w:val="center"/>
          </w:tcPr>
          <w:p w14:paraId="78F1D092" w14:textId="77777777" w:rsidR="00341E44" w:rsidRPr="00341E44" w:rsidRDefault="00341E44" w:rsidP="00341E44">
            <w:pPr>
              <w:spacing w:before="60" w:after="60"/>
              <w:jc w:val="right"/>
              <w:rPr>
                <w:b/>
                <w:noProof/>
                <w:sz w:val="20"/>
              </w:rPr>
            </w:pPr>
            <w:r w:rsidRPr="00341E44">
              <w:rPr>
                <w:b/>
                <w:noProof/>
                <w:sz w:val="20"/>
              </w:rPr>
              <w:t>0.501</w:t>
            </w:r>
          </w:p>
        </w:tc>
      </w:tr>
      <w:tr w:rsidR="00FA1843" w:rsidRPr="00341E44" w14:paraId="7F187F83" w14:textId="77777777" w:rsidTr="00EE1D03">
        <w:trPr>
          <w:trHeight w:val="585"/>
        </w:trPr>
        <w:tc>
          <w:tcPr>
            <w:tcW w:w="1980" w:type="dxa"/>
            <w:shd w:val="clear" w:color="auto" w:fill="BFBFBF" w:themeFill="background1" w:themeFillShade="BF"/>
            <w:vAlign w:val="center"/>
          </w:tcPr>
          <w:p w14:paraId="4FFD4019" w14:textId="77777777" w:rsidR="00FA1843" w:rsidRPr="00341E44" w:rsidRDefault="00FA1843" w:rsidP="00EE1D03">
            <w:pPr>
              <w:spacing w:before="60" w:after="60"/>
              <w:ind w:left="72"/>
              <w:rPr>
                <w:noProof/>
              </w:rPr>
            </w:pPr>
            <w:r w:rsidRPr="00341E44">
              <w:rPr>
                <w:noProof/>
                <w:sz w:val="20"/>
              </w:rPr>
              <w:t>Contract staff</w:t>
            </w:r>
          </w:p>
        </w:tc>
        <w:tc>
          <w:tcPr>
            <w:tcW w:w="1302" w:type="dxa"/>
            <w:shd w:val="clear" w:color="auto" w:fill="BFBFBF" w:themeFill="background1" w:themeFillShade="BF"/>
            <w:vAlign w:val="center"/>
          </w:tcPr>
          <w:p w14:paraId="4190D52D" w14:textId="77777777" w:rsidR="00FA1843" w:rsidRPr="00341E44" w:rsidRDefault="00FA1843" w:rsidP="00EE1D03">
            <w:pPr>
              <w:spacing w:before="60" w:after="60"/>
              <w:jc w:val="right"/>
              <w:rPr>
                <w:noProof/>
                <w:sz w:val="20"/>
              </w:rPr>
            </w:pPr>
          </w:p>
        </w:tc>
        <w:tc>
          <w:tcPr>
            <w:tcW w:w="1302" w:type="dxa"/>
            <w:shd w:val="clear" w:color="auto" w:fill="BFBFBF" w:themeFill="background1" w:themeFillShade="BF"/>
            <w:vAlign w:val="center"/>
          </w:tcPr>
          <w:p w14:paraId="6C4EEDDF" w14:textId="77777777" w:rsidR="00FA1843" w:rsidRPr="00341E44" w:rsidRDefault="00FA1843" w:rsidP="00EE1D03">
            <w:pPr>
              <w:spacing w:before="60" w:after="60"/>
              <w:jc w:val="right"/>
              <w:rPr>
                <w:noProof/>
                <w:sz w:val="20"/>
              </w:rPr>
            </w:pPr>
          </w:p>
        </w:tc>
        <w:tc>
          <w:tcPr>
            <w:tcW w:w="1302" w:type="dxa"/>
            <w:shd w:val="clear" w:color="auto" w:fill="BFBFBF" w:themeFill="background1" w:themeFillShade="BF"/>
            <w:vAlign w:val="center"/>
          </w:tcPr>
          <w:p w14:paraId="2B086BA4" w14:textId="77777777" w:rsidR="00FA1843" w:rsidRPr="00341E44" w:rsidRDefault="00FA1843" w:rsidP="00EE1D03">
            <w:pPr>
              <w:spacing w:before="60" w:after="60"/>
              <w:jc w:val="right"/>
              <w:rPr>
                <w:noProof/>
                <w:sz w:val="20"/>
              </w:rPr>
            </w:pPr>
            <w:r w:rsidRPr="00341E44">
              <w:rPr>
                <w:noProof/>
                <w:sz w:val="20"/>
              </w:rPr>
              <w:t>0.918</w:t>
            </w:r>
          </w:p>
        </w:tc>
        <w:tc>
          <w:tcPr>
            <w:tcW w:w="1302" w:type="dxa"/>
            <w:shd w:val="clear" w:color="auto" w:fill="BFBFBF" w:themeFill="background1" w:themeFillShade="BF"/>
            <w:vAlign w:val="center"/>
          </w:tcPr>
          <w:p w14:paraId="7D162E25" w14:textId="77777777" w:rsidR="00FA1843" w:rsidRPr="00341E44" w:rsidRDefault="00FA1843" w:rsidP="00EE1D03">
            <w:pPr>
              <w:spacing w:before="60" w:after="60"/>
              <w:jc w:val="right"/>
              <w:rPr>
                <w:noProof/>
                <w:sz w:val="20"/>
              </w:rPr>
            </w:pPr>
            <w:r w:rsidRPr="00341E44">
              <w:rPr>
                <w:noProof/>
                <w:sz w:val="20"/>
              </w:rPr>
              <w:t>1.873</w:t>
            </w:r>
          </w:p>
        </w:tc>
        <w:tc>
          <w:tcPr>
            <w:tcW w:w="1302" w:type="dxa"/>
            <w:shd w:val="clear" w:color="auto" w:fill="BFBFBF" w:themeFill="background1" w:themeFillShade="BF"/>
            <w:vAlign w:val="center"/>
          </w:tcPr>
          <w:p w14:paraId="56F52ACA" w14:textId="77777777" w:rsidR="00FA1843" w:rsidRPr="00341E44" w:rsidRDefault="00FA1843" w:rsidP="00EE1D03">
            <w:pPr>
              <w:spacing w:before="60" w:after="60"/>
              <w:jc w:val="right"/>
              <w:rPr>
                <w:noProof/>
                <w:sz w:val="20"/>
              </w:rPr>
            </w:pPr>
            <w:r w:rsidRPr="00341E44">
              <w:rPr>
                <w:noProof/>
                <w:sz w:val="20"/>
              </w:rPr>
              <w:t>1.720</w:t>
            </w:r>
          </w:p>
        </w:tc>
        <w:tc>
          <w:tcPr>
            <w:tcW w:w="1302" w:type="dxa"/>
            <w:shd w:val="clear" w:color="auto" w:fill="BFBFBF" w:themeFill="background1" w:themeFillShade="BF"/>
            <w:vAlign w:val="center"/>
          </w:tcPr>
          <w:p w14:paraId="16777036" w14:textId="77777777" w:rsidR="00FA1843" w:rsidRPr="00341E44" w:rsidRDefault="00FA1843" w:rsidP="00EE1D03">
            <w:pPr>
              <w:spacing w:before="60" w:after="60"/>
              <w:jc w:val="right"/>
              <w:rPr>
                <w:b/>
                <w:noProof/>
                <w:sz w:val="20"/>
              </w:rPr>
            </w:pPr>
            <w:r w:rsidRPr="00341E44">
              <w:rPr>
                <w:b/>
                <w:noProof/>
                <w:sz w:val="20"/>
              </w:rPr>
              <w:t>4.512</w:t>
            </w:r>
          </w:p>
        </w:tc>
      </w:tr>
      <w:tr w:rsidR="00FA1843" w:rsidRPr="00341E44" w14:paraId="502504B0" w14:textId="77777777" w:rsidTr="00EE1D03">
        <w:trPr>
          <w:trHeight w:val="585"/>
        </w:trPr>
        <w:tc>
          <w:tcPr>
            <w:tcW w:w="1980" w:type="dxa"/>
            <w:shd w:val="clear" w:color="auto" w:fill="CCCCCC"/>
            <w:vAlign w:val="center"/>
          </w:tcPr>
          <w:p w14:paraId="69E0B1C2" w14:textId="77777777" w:rsidR="00FA1843" w:rsidRPr="00341E44" w:rsidRDefault="00FA1843" w:rsidP="00EE1D03">
            <w:pPr>
              <w:spacing w:before="60" w:after="60"/>
              <w:jc w:val="center"/>
              <w:rPr>
                <w:noProof/>
              </w:rPr>
            </w:pPr>
            <w:r w:rsidRPr="00341E44">
              <w:rPr>
                <w:noProof/>
                <w:sz w:val="18"/>
              </w:rPr>
              <w:t>Seconded National Experts</w:t>
            </w:r>
          </w:p>
        </w:tc>
        <w:tc>
          <w:tcPr>
            <w:tcW w:w="1302" w:type="dxa"/>
            <w:vAlign w:val="center"/>
          </w:tcPr>
          <w:p w14:paraId="6C105257" w14:textId="77777777" w:rsidR="00FA1843" w:rsidRPr="00341E44" w:rsidRDefault="00FA1843" w:rsidP="00EE1D03">
            <w:pPr>
              <w:spacing w:before="60" w:after="60"/>
              <w:jc w:val="right"/>
              <w:rPr>
                <w:noProof/>
                <w:sz w:val="20"/>
              </w:rPr>
            </w:pPr>
          </w:p>
        </w:tc>
        <w:tc>
          <w:tcPr>
            <w:tcW w:w="1302" w:type="dxa"/>
            <w:vAlign w:val="center"/>
          </w:tcPr>
          <w:p w14:paraId="4933BEE7" w14:textId="77777777" w:rsidR="00FA1843" w:rsidRPr="00341E44" w:rsidRDefault="00FA1843" w:rsidP="00EE1D03">
            <w:pPr>
              <w:spacing w:before="60" w:after="60"/>
              <w:jc w:val="right"/>
              <w:rPr>
                <w:noProof/>
                <w:sz w:val="20"/>
              </w:rPr>
            </w:pPr>
          </w:p>
        </w:tc>
        <w:tc>
          <w:tcPr>
            <w:tcW w:w="1302" w:type="dxa"/>
            <w:vAlign w:val="center"/>
          </w:tcPr>
          <w:p w14:paraId="612F81F4" w14:textId="77777777" w:rsidR="00FA1843" w:rsidRPr="00341E44" w:rsidRDefault="00FA1843" w:rsidP="00EE1D03">
            <w:pPr>
              <w:spacing w:before="60" w:after="60"/>
              <w:jc w:val="right"/>
              <w:rPr>
                <w:noProof/>
                <w:sz w:val="20"/>
              </w:rPr>
            </w:pPr>
          </w:p>
        </w:tc>
        <w:tc>
          <w:tcPr>
            <w:tcW w:w="1302" w:type="dxa"/>
            <w:vAlign w:val="center"/>
          </w:tcPr>
          <w:p w14:paraId="769945E7" w14:textId="77777777" w:rsidR="00FA1843" w:rsidRPr="00341E44" w:rsidRDefault="00FA1843" w:rsidP="00EE1D03">
            <w:pPr>
              <w:spacing w:before="60" w:after="60"/>
              <w:jc w:val="right"/>
              <w:rPr>
                <w:noProof/>
                <w:sz w:val="20"/>
              </w:rPr>
            </w:pPr>
          </w:p>
        </w:tc>
        <w:tc>
          <w:tcPr>
            <w:tcW w:w="1302" w:type="dxa"/>
            <w:vAlign w:val="center"/>
          </w:tcPr>
          <w:p w14:paraId="711BAE12" w14:textId="77777777" w:rsidR="00FA1843" w:rsidRPr="00341E44" w:rsidRDefault="00FA1843" w:rsidP="00EE1D03">
            <w:pPr>
              <w:spacing w:before="60" w:after="60"/>
              <w:jc w:val="right"/>
              <w:rPr>
                <w:noProof/>
                <w:sz w:val="20"/>
              </w:rPr>
            </w:pPr>
          </w:p>
        </w:tc>
        <w:tc>
          <w:tcPr>
            <w:tcW w:w="1302" w:type="dxa"/>
            <w:vAlign w:val="center"/>
          </w:tcPr>
          <w:p w14:paraId="4DF1CBD2" w14:textId="77777777" w:rsidR="00FA1843" w:rsidRPr="00341E44" w:rsidRDefault="00FA1843" w:rsidP="00EE1D03">
            <w:pPr>
              <w:spacing w:before="60" w:after="60"/>
              <w:jc w:val="right"/>
              <w:rPr>
                <w:b/>
                <w:noProof/>
                <w:sz w:val="20"/>
              </w:rPr>
            </w:pPr>
          </w:p>
        </w:tc>
      </w:tr>
    </w:tbl>
    <w:p w14:paraId="3731C621" w14:textId="77777777" w:rsidR="00FA1843" w:rsidRPr="00341E44" w:rsidRDefault="00FA1843" w:rsidP="00FA1843">
      <w:pPr>
        <w:rPr>
          <w:noProof/>
          <w:sz w:val="20"/>
        </w:rPr>
      </w:pPr>
    </w:p>
    <w:tbl>
      <w:tblPr>
        <w:tblW w:w="9792" w:type="dxa"/>
        <w:tblInd w:w="-612" w:type="dxa"/>
        <w:tblLayout w:type="fixed"/>
        <w:tblLook w:val="01E0" w:firstRow="1" w:lastRow="1" w:firstColumn="1" w:lastColumn="1" w:noHBand="0" w:noVBand="0"/>
      </w:tblPr>
      <w:tblGrid>
        <w:gridCol w:w="1980"/>
        <w:gridCol w:w="1302"/>
        <w:gridCol w:w="1302"/>
        <w:gridCol w:w="1302"/>
        <w:gridCol w:w="1302"/>
        <w:gridCol w:w="1302"/>
        <w:gridCol w:w="1302"/>
      </w:tblGrid>
      <w:tr w:rsidR="00341E44" w:rsidRPr="004B2A0E" w14:paraId="0007C088" w14:textId="77777777" w:rsidTr="00EE1D0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B8AB2F0" w14:textId="77777777" w:rsidR="00341E44" w:rsidRPr="00341E44" w:rsidRDefault="00341E44" w:rsidP="00341E44">
            <w:pPr>
              <w:spacing w:before="60" w:after="60"/>
              <w:jc w:val="center"/>
              <w:rPr>
                <w:noProof/>
                <w:sz w:val="20"/>
              </w:rPr>
            </w:pPr>
            <w:r w:rsidRPr="00341E44">
              <w:rPr>
                <w:b/>
                <w:noProof/>
                <w:sz w:val="20"/>
              </w:rPr>
              <w:t>TOTAL</w:t>
            </w:r>
            <w:r w:rsidRPr="00341E44">
              <w:rPr>
                <w:rStyle w:val="FootnoteReference"/>
                <w:b/>
                <w:noProof/>
                <w:sz w:val="20"/>
              </w:rPr>
              <w:footnoteReference w:id="65"/>
            </w:r>
          </w:p>
        </w:tc>
        <w:tc>
          <w:tcPr>
            <w:tcW w:w="1302" w:type="dxa"/>
            <w:tcBorders>
              <w:top w:val="single" w:sz="12" w:space="0" w:color="auto"/>
              <w:left w:val="single" w:sz="2" w:space="0" w:color="auto"/>
              <w:bottom w:val="single" w:sz="12" w:space="0" w:color="auto"/>
              <w:right w:val="single" w:sz="2" w:space="0" w:color="auto"/>
            </w:tcBorders>
            <w:vAlign w:val="center"/>
          </w:tcPr>
          <w:p w14:paraId="62FF5795" w14:textId="77777777" w:rsidR="00341E44" w:rsidRPr="00341E44" w:rsidRDefault="00341E44" w:rsidP="00341E44">
            <w:pPr>
              <w:spacing w:before="60" w:after="60"/>
              <w:jc w:val="right"/>
              <w:rPr>
                <w:b/>
                <w:bCs/>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78CFEA62" w14:textId="77777777" w:rsidR="00341E44" w:rsidRPr="00341E44" w:rsidRDefault="00341E44" w:rsidP="00341E44">
            <w:pPr>
              <w:spacing w:before="60" w:after="60"/>
              <w:jc w:val="right"/>
              <w:rPr>
                <w:b/>
                <w:bCs/>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5B5FAA16" w14:textId="186E80EB" w:rsidR="00341E44" w:rsidRPr="00341E44" w:rsidRDefault="00341E44" w:rsidP="00341E44">
            <w:pPr>
              <w:spacing w:before="60" w:after="60"/>
              <w:jc w:val="right"/>
              <w:rPr>
                <w:b/>
                <w:bCs/>
                <w:noProof/>
                <w:sz w:val="20"/>
              </w:rPr>
            </w:pPr>
            <w:r w:rsidRPr="00341E44">
              <w:rPr>
                <w:b/>
                <w:bCs/>
                <w:noProof/>
                <w:sz w:val="20"/>
              </w:rPr>
              <w:t>1.603</w:t>
            </w:r>
          </w:p>
        </w:tc>
        <w:tc>
          <w:tcPr>
            <w:tcW w:w="1302" w:type="dxa"/>
            <w:tcBorders>
              <w:top w:val="single" w:sz="12" w:space="0" w:color="auto"/>
              <w:left w:val="single" w:sz="2" w:space="0" w:color="auto"/>
              <w:bottom w:val="single" w:sz="12" w:space="0" w:color="auto"/>
              <w:right w:val="single" w:sz="2" w:space="0" w:color="auto"/>
            </w:tcBorders>
            <w:vAlign w:val="center"/>
          </w:tcPr>
          <w:p w14:paraId="000CEAD5" w14:textId="5FE3A6D7" w:rsidR="00341E44" w:rsidRPr="00341E44" w:rsidRDefault="00341E44" w:rsidP="00341E44">
            <w:pPr>
              <w:spacing w:before="60" w:after="60"/>
              <w:jc w:val="right"/>
              <w:rPr>
                <w:b/>
                <w:bCs/>
                <w:noProof/>
                <w:sz w:val="20"/>
              </w:rPr>
            </w:pPr>
            <w:r w:rsidRPr="00341E44">
              <w:rPr>
                <w:b/>
                <w:bCs/>
                <w:noProof/>
                <w:sz w:val="20"/>
              </w:rPr>
              <w:t>3.271</w:t>
            </w:r>
          </w:p>
        </w:tc>
        <w:tc>
          <w:tcPr>
            <w:tcW w:w="1302" w:type="dxa"/>
            <w:tcBorders>
              <w:top w:val="single" w:sz="12" w:space="0" w:color="auto"/>
              <w:left w:val="single" w:sz="2" w:space="0" w:color="auto"/>
              <w:bottom w:val="single" w:sz="12" w:space="0" w:color="auto"/>
              <w:right w:val="single" w:sz="2" w:space="0" w:color="auto"/>
            </w:tcBorders>
            <w:vAlign w:val="center"/>
          </w:tcPr>
          <w:p w14:paraId="0A99A2E2" w14:textId="64A027B3" w:rsidR="00341E44" w:rsidRPr="00341E44" w:rsidRDefault="00341E44" w:rsidP="00341E44">
            <w:pPr>
              <w:spacing w:before="60" w:after="60"/>
              <w:jc w:val="right"/>
              <w:rPr>
                <w:b/>
                <w:bCs/>
                <w:noProof/>
                <w:sz w:val="20"/>
              </w:rPr>
            </w:pPr>
            <w:r w:rsidRPr="00341E44">
              <w:rPr>
                <w:b/>
                <w:bCs/>
                <w:noProof/>
                <w:sz w:val="20"/>
              </w:rPr>
              <w:t>3.145</w:t>
            </w:r>
          </w:p>
        </w:tc>
        <w:tc>
          <w:tcPr>
            <w:tcW w:w="1302" w:type="dxa"/>
            <w:tcBorders>
              <w:top w:val="single" w:sz="12" w:space="0" w:color="auto"/>
              <w:left w:val="single" w:sz="2" w:space="0" w:color="auto"/>
              <w:bottom w:val="single" w:sz="12" w:space="0" w:color="auto"/>
              <w:right w:val="single" w:sz="12" w:space="0" w:color="auto"/>
            </w:tcBorders>
            <w:vAlign w:val="center"/>
          </w:tcPr>
          <w:p w14:paraId="430A5FBD" w14:textId="35DC97F9" w:rsidR="00341E44" w:rsidRPr="004B2A0E" w:rsidRDefault="00341E44" w:rsidP="00341E44">
            <w:pPr>
              <w:spacing w:before="60" w:after="60"/>
              <w:jc w:val="right"/>
              <w:rPr>
                <w:b/>
                <w:noProof/>
                <w:sz w:val="20"/>
              </w:rPr>
            </w:pPr>
            <w:r w:rsidRPr="00341E44">
              <w:rPr>
                <w:b/>
                <w:noProof/>
                <w:sz w:val="20"/>
              </w:rPr>
              <w:t>8.020</w:t>
            </w:r>
          </w:p>
        </w:tc>
      </w:tr>
    </w:tbl>
    <w:p w14:paraId="5CEFA00F" w14:textId="77777777" w:rsidR="00FA1843" w:rsidRPr="004B2A0E" w:rsidRDefault="00FA1843" w:rsidP="00FA1843">
      <w:pPr>
        <w:rPr>
          <w:noProof/>
          <w:sz w:val="20"/>
        </w:rPr>
      </w:pPr>
      <w:r w:rsidRPr="004B2A0E">
        <w:rPr>
          <w:noProof/>
          <w:sz w:val="20"/>
        </w:rPr>
        <w:t>Staff requirements (FTE):</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FA1843" w:rsidRPr="001612E6" w14:paraId="3236FBD0" w14:textId="77777777" w:rsidTr="00EE1D03">
        <w:trPr>
          <w:trHeight w:val="585"/>
        </w:trPr>
        <w:tc>
          <w:tcPr>
            <w:tcW w:w="1980" w:type="dxa"/>
          </w:tcPr>
          <w:p w14:paraId="6FDC4E57" w14:textId="77777777" w:rsidR="00FA1843" w:rsidRPr="001612E6" w:rsidRDefault="00FA1843" w:rsidP="00EE1D03">
            <w:pPr>
              <w:spacing w:before="60" w:after="60"/>
              <w:rPr>
                <w:noProof/>
                <w:sz w:val="20"/>
                <w:lang w:val="es-ES"/>
              </w:rPr>
            </w:pPr>
          </w:p>
        </w:tc>
        <w:tc>
          <w:tcPr>
            <w:tcW w:w="1302" w:type="dxa"/>
            <w:vAlign w:val="center"/>
          </w:tcPr>
          <w:p w14:paraId="71B65936" w14:textId="77777777" w:rsidR="00FA1843" w:rsidRPr="001612E6" w:rsidRDefault="00FA1843" w:rsidP="00EE1D03">
            <w:pPr>
              <w:spacing w:before="60" w:after="60"/>
              <w:jc w:val="center"/>
              <w:rPr>
                <w:noProof/>
                <w:sz w:val="20"/>
              </w:rPr>
            </w:pPr>
            <w:r w:rsidRPr="001612E6">
              <w:rPr>
                <w:noProof/>
                <w:sz w:val="20"/>
              </w:rPr>
              <w:t>2023</w:t>
            </w:r>
          </w:p>
        </w:tc>
        <w:tc>
          <w:tcPr>
            <w:tcW w:w="1302" w:type="dxa"/>
            <w:vAlign w:val="center"/>
          </w:tcPr>
          <w:p w14:paraId="7B896553" w14:textId="77777777" w:rsidR="00FA1843" w:rsidRPr="001612E6" w:rsidRDefault="00FA1843" w:rsidP="00EE1D03">
            <w:pPr>
              <w:spacing w:before="60" w:after="60"/>
              <w:jc w:val="center"/>
              <w:rPr>
                <w:noProof/>
                <w:sz w:val="20"/>
              </w:rPr>
            </w:pPr>
            <w:r w:rsidRPr="001612E6">
              <w:rPr>
                <w:noProof/>
                <w:sz w:val="20"/>
              </w:rPr>
              <w:t>2024</w:t>
            </w:r>
          </w:p>
        </w:tc>
        <w:tc>
          <w:tcPr>
            <w:tcW w:w="1302" w:type="dxa"/>
            <w:vAlign w:val="center"/>
          </w:tcPr>
          <w:p w14:paraId="610112F7" w14:textId="77777777" w:rsidR="00FA1843" w:rsidRPr="001612E6" w:rsidRDefault="00FA1843" w:rsidP="00EE1D03">
            <w:pPr>
              <w:spacing w:before="60" w:after="60"/>
              <w:jc w:val="center"/>
              <w:rPr>
                <w:noProof/>
                <w:sz w:val="20"/>
              </w:rPr>
            </w:pPr>
            <w:r w:rsidRPr="001612E6">
              <w:rPr>
                <w:noProof/>
                <w:sz w:val="20"/>
              </w:rPr>
              <w:t>2025</w:t>
            </w:r>
          </w:p>
        </w:tc>
        <w:tc>
          <w:tcPr>
            <w:tcW w:w="1302" w:type="dxa"/>
            <w:vAlign w:val="center"/>
          </w:tcPr>
          <w:p w14:paraId="01418AA4" w14:textId="77777777" w:rsidR="00FA1843" w:rsidRPr="001612E6" w:rsidRDefault="00FA1843" w:rsidP="00EE1D03">
            <w:pPr>
              <w:jc w:val="center"/>
              <w:rPr>
                <w:noProof/>
                <w:sz w:val="20"/>
              </w:rPr>
            </w:pPr>
            <w:r w:rsidRPr="001612E6">
              <w:rPr>
                <w:noProof/>
                <w:sz w:val="20"/>
              </w:rPr>
              <w:t>2026</w:t>
            </w:r>
          </w:p>
        </w:tc>
        <w:tc>
          <w:tcPr>
            <w:tcW w:w="1302" w:type="dxa"/>
            <w:vAlign w:val="center"/>
          </w:tcPr>
          <w:p w14:paraId="4A706130" w14:textId="77777777" w:rsidR="00FA1843" w:rsidRPr="001612E6" w:rsidRDefault="00FA1843" w:rsidP="00EE1D03">
            <w:pPr>
              <w:jc w:val="center"/>
              <w:rPr>
                <w:noProof/>
                <w:sz w:val="20"/>
              </w:rPr>
            </w:pPr>
            <w:r w:rsidRPr="001612E6">
              <w:rPr>
                <w:noProof/>
                <w:sz w:val="20"/>
              </w:rPr>
              <w:t>2027</w:t>
            </w:r>
          </w:p>
        </w:tc>
        <w:tc>
          <w:tcPr>
            <w:tcW w:w="1302" w:type="dxa"/>
            <w:vAlign w:val="center"/>
          </w:tcPr>
          <w:p w14:paraId="544D3D56" w14:textId="77777777" w:rsidR="00FA1843" w:rsidRPr="001612E6" w:rsidRDefault="00FA1843" w:rsidP="00EE1D03">
            <w:pPr>
              <w:spacing w:before="60" w:after="60"/>
              <w:jc w:val="center"/>
              <w:rPr>
                <w:b/>
                <w:noProof/>
                <w:sz w:val="20"/>
              </w:rPr>
            </w:pPr>
            <w:r w:rsidRPr="001612E6">
              <w:rPr>
                <w:b/>
                <w:noProof/>
                <w:sz w:val="20"/>
              </w:rPr>
              <w:t>TOTAL</w:t>
            </w:r>
          </w:p>
        </w:tc>
      </w:tr>
    </w:tbl>
    <w:p w14:paraId="02671FCD" w14:textId="77777777" w:rsidR="00FA1843" w:rsidRPr="001612E6" w:rsidRDefault="00FA1843" w:rsidP="00FA1843">
      <w:pPr>
        <w:rPr>
          <w:noProof/>
          <w:sz w:val="20"/>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FA1843" w:rsidRPr="001612E6" w14:paraId="601C5347" w14:textId="77777777" w:rsidTr="00EE1D03">
        <w:trPr>
          <w:trHeight w:val="585"/>
        </w:trPr>
        <w:tc>
          <w:tcPr>
            <w:tcW w:w="1980" w:type="dxa"/>
            <w:shd w:val="clear" w:color="auto" w:fill="D9D9D9" w:themeFill="background1" w:themeFillShade="D9"/>
            <w:vAlign w:val="center"/>
          </w:tcPr>
          <w:p w14:paraId="493BA8A7" w14:textId="77777777" w:rsidR="00FA1843" w:rsidRPr="001612E6" w:rsidRDefault="00FA1843" w:rsidP="00EE1D03">
            <w:pPr>
              <w:spacing w:before="60" w:after="60"/>
              <w:jc w:val="center"/>
              <w:rPr>
                <w:noProof/>
              </w:rPr>
            </w:pPr>
            <w:r w:rsidRPr="001612E6">
              <w:rPr>
                <w:noProof/>
                <w:sz w:val="18"/>
              </w:rPr>
              <w:t>Temporary agents (AD Grades)</w:t>
            </w:r>
          </w:p>
        </w:tc>
        <w:tc>
          <w:tcPr>
            <w:tcW w:w="1302" w:type="dxa"/>
            <w:vAlign w:val="center"/>
          </w:tcPr>
          <w:p w14:paraId="10C1FCD1" w14:textId="77777777" w:rsidR="00FA1843" w:rsidRPr="001612E6" w:rsidRDefault="00FA1843" w:rsidP="00EE1D03">
            <w:pPr>
              <w:spacing w:before="60" w:after="60"/>
              <w:jc w:val="right"/>
              <w:rPr>
                <w:noProof/>
                <w:sz w:val="20"/>
              </w:rPr>
            </w:pPr>
          </w:p>
        </w:tc>
        <w:tc>
          <w:tcPr>
            <w:tcW w:w="1302" w:type="dxa"/>
            <w:vAlign w:val="center"/>
          </w:tcPr>
          <w:p w14:paraId="7D0CA8DA" w14:textId="77777777" w:rsidR="00FA1843" w:rsidRPr="001612E6" w:rsidRDefault="00FA1843" w:rsidP="00EE1D03">
            <w:pPr>
              <w:spacing w:before="60" w:after="60"/>
              <w:jc w:val="right"/>
              <w:rPr>
                <w:noProof/>
                <w:sz w:val="20"/>
              </w:rPr>
            </w:pPr>
          </w:p>
        </w:tc>
        <w:tc>
          <w:tcPr>
            <w:tcW w:w="1302" w:type="dxa"/>
            <w:vAlign w:val="center"/>
          </w:tcPr>
          <w:p w14:paraId="69B6A59C" w14:textId="77777777" w:rsidR="00FA1843" w:rsidRPr="001612E6" w:rsidRDefault="00FA1843" w:rsidP="00EE1D03">
            <w:pPr>
              <w:spacing w:before="60" w:after="60"/>
              <w:jc w:val="right"/>
              <w:rPr>
                <w:noProof/>
                <w:sz w:val="20"/>
              </w:rPr>
            </w:pPr>
            <w:r>
              <w:rPr>
                <w:noProof/>
                <w:sz w:val="20"/>
              </w:rPr>
              <w:t>6</w:t>
            </w:r>
          </w:p>
        </w:tc>
        <w:tc>
          <w:tcPr>
            <w:tcW w:w="1302" w:type="dxa"/>
            <w:vAlign w:val="center"/>
          </w:tcPr>
          <w:p w14:paraId="1EFC399A" w14:textId="77777777" w:rsidR="00FA1843" w:rsidRPr="001612E6" w:rsidRDefault="00FA1843" w:rsidP="00EE1D03">
            <w:pPr>
              <w:spacing w:before="60" w:after="60"/>
              <w:jc w:val="right"/>
              <w:rPr>
                <w:noProof/>
                <w:sz w:val="20"/>
              </w:rPr>
            </w:pPr>
            <w:r>
              <w:rPr>
                <w:noProof/>
                <w:sz w:val="20"/>
              </w:rPr>
              <w:t>6</w:t>
            </w:r>
          </w:p>
        </w:tc>
        <w:tc>
          <w:tcPr>
            <w:tcW w:w="1302" w:type="dxa"/>
            <w:vAlign w:val="center"/>
          </w:tcPr>
          <w:p w14:paraId="4D3A79F3" w14:textId="77777777" w:rsidR="00FA1843" w:rsidRPr="001612E6" w:rsidRDefault="00FA1843" w:rsidP="00EE1D03">
            <w:pPr>
              <w:spacing w:before="60" w:after="60"/>
              <w:jc w:val="right"/>
              <w:rPr>
                <w:noProof/>
                <w:sz w:val="20"/>
              </w:rPr>
            </w:pPr>
            <w:r>
              <w:rPr>
                <w:noProof/>
                <w:sz w:val="20"/>
              </w:rPr>
              <w:t>6</w:t>
            </w:r>
          </w:p>
        </w:tc>
        <w:tc>
          <w:tcPr>
            <w:tcW w:w="1302" w:type="dxa"/>
            <w:vAlign w:val="center"/>
          </w:tcPr>
          <w:p w14:paraId="5765312C" w14:textId="77777777" w:rsidR="00FA1843" w:rsidRPr="001612E6" w:rsidRDefault="00FA1843" w:rsidP="00EE1D03">
            <w:pPr>
              <w:spacing w:before="60" w:after="60"/>
              <w:jc w:val="right"/>
              <w:rPr>
                <w:b/>
                <w:noProof/>
                <w:sz w:val="20"/>
              </w:rPr>
            </w:pPr>
            <w:r>
              <w:rPr>
                <w:b/>
                <w:noProof/>
                <w:sz w:val="20"/>
              </w:rPr>
              <w:t>18</w:t>
            </w:r>
          </w:p>
        </w:tc>
      </w:tr>
      <w:tr w:rsidR="00FA1843" w:rsidRPr="001612E6" w14:paraId="143C5DEF" w14:textId="77777777" w:rsidTr="00EE1D03">
        <w:trPr>
          <w:trHeight w:val="585"/>
        </w:trPr>
        <w:tc>
          <w:tcPr>
            <w:tcW w:w="1980" w:type="dxa"/>
            <w:shd w:val="clear" w:color="auto" w:fill="BFBFBF" w:themeFill="background1" w:themeFillShade="BF"/>
            <w:vAlign w:val="center"/>
          </w:tcPr>
          <w:p w14:paraId="39B3B305" w14:textId="77777777" w:rsidR="00FA1843" w:rsidRPr="001612E6" w:rsidRDefault="00FA1843" w:rsidP="00EE1D03">
            <w:pPr>
              <w:spacing w:before="60" w:after="60"/>
              <w:ind w:left="72"/>
              <w:rPr>
                <w:noProof/>
              </w:rPr>
            </w:pPr>
            <w:r w:rsidRPr="001612E6">
              <w:rPr>
                <w:noProof/>
                <w:sz w:val="20"/>
              </w:rPr>
              <w:t>Temporary agents (AST grades)</w:t>
            </w:r>
          </w:p>
        </w:tc>
        <w:tc>
          <w:tcPr>
            <w:tcW w:w="1302" w:type="dxa"/>
            <w:vAlign w:val="center"/>
          </w:tcPr>
          <w:p w14:paraId="3DE793B1" w14:textId="77777777" w:rsidR="00FA1843" w:rsidRPr="001612E6" w:rsidRDefault="00FA1843" w:rsidP="00EE1D03">
            <w:pPr>
              <w:spacing w:before="60" w:after="60"/>
              <w:jc w:val="right"/>
              <w:rPr>
                <w:noProof/>
                <w:sz w:val="20"/>
              </w:rPr>
            </w:pPr>
          </w:p>
        </w:tc>
        <w:tc>
          <w:tcPr>
            <w:tcW w:w="1302" w:type="dxa"/>
            <w:vAlign w:val="center"/>
          </w:tcPr>
          <w:p w14:paraId="7819D513" w14:textId="77777777" w:rsidR="00FA1843" w:rsidRPr="001612E6" w:rsidRDefault="00FA1843" w:rsidP="00EE1D03">
            <w:pPr>
              <w:spacing w:before="60" w:after="60"/>
              <w:jc w:val="right"/>
              <w:rPr>
                <w:noProof/>
                <w:sz w:val="20"/>
              </w:rPr>
            </w:pPr>
          </w:p>
        </w:tc>
        <w:tc>
          <w:tcPr>
            <w:tcW w:w="1302" w:type="dxa"/>
            <w:vAlign w:val="center"/>
          </w:tcPr>
          <w:p w14:paraId="121029B3" w14:textId="77777777" w:rsidR="00FA1843" w:rsidRPr="001612E6" w:rsidRDefault="00FA1843" w:rsidP="00EE1D03">
            <w:pPr>
              <w:spacing w:before="60" w:after="60"/>
              <w:jc w:val="right"/>
              <w:rPr>
                <w:noProof/>
                <w:sz w:val="20"/>
              </w:rPr>
            </w:pPr>
            <w:r>
              <w:rPr>
                <w:noProof/>
                <w:sz w:val="20"/>
              </w:rPr>
              <w:t>1</w:t>
            </w:r>
          </w:p>
        </w:tc>
        <w:tc>
          <w:tcPr>
            <w:tcW w:w="1302" w:type="dxa"/>
            <w:vAlign w:val="center"/>
          </w:tcPr>
          <w:p w14:paraId="111C6BCE" w14:textId="77777777" w:rsidR="00FA1843" w:rsidRPr="001612E6" w:rsidRDefault="00FA1843" w:rsidP="00EE1D03">
            <w:pPr>
              <w:spacing w:before="60" w:after="60"/>
              <w:jc w:val="right"/>
              <w:rPr>
                <w:noProof/>
                <w:sz w:val="20"/>
              </w:rPr>
            </w:pPr>
            <w:r>
              <w:rPr>
                <w:noProof/>
                <w:sz w:val="20"/>
              </w:rPr>
              <w:t>1</w:t>
            </w:r>
          </w:p>
        </w:tc>
        <w:tc>
          <w:tcPr>
            <w:tcW w:w="1302" w:type="dxa"/>
            <w:vAlign w:val="center"/>
          </w:tcPr>
          <w:p w14:paraId="0A608505" w14:textId="77777777" w:rsidR="00FA1843" w:rsidRPr="001612E6" w:rsidRDefault="00FA1843" w:rsidP="00EE1D03">
            <w:pPr>
              <w:spacing w:before="60" w:after="60"/>
              <w:jc w:val="right"/>
              <w:rPr>
                <w:noProof/>
                <w:sz w:val="20"/>
              </w:rPr>
            </w:pPr>
            <w:r>
              <w:rPr>
                <w:noProof/>
                <w:sz w:val="20"/>
              </w:rPr>
              <w:t>1</w:t>
            </w:r>
          </w:p>
        </w:tc>
        <w:tc>
          <w:tcPr>
            <w:tcW w:w="1302" w:type="dxa"/>
            <w:vAlign w:val="center"/>
          </w:tcPr>
          <w:p w14:paraId="33DBD9B9" w14:textId="77777777" w:rsidR="00FA1843" w:rsidRPr="001612E6" w:rsidRDefault="00FA1843" w:rsidP="00EE1D03">
            <w:pPr>
              <w:spacing w:before="60" w:after="60"/>
              <w:jc w:val="right"/>
              <w:rPr>
                <w:b/>
                <w:noProof/>
                <w:sz w:val="20"/>
              </w:rPr>
            </w:pPr>
            <w:r>
              <w:rPr>
                <w:b/>
                <w:noProof/>
                <w:sz w:val="20"/>
              </w:rPr>
              <w:t>3</w:t>
            </w:r>
          </w:p>
        </w:tc>
      </w:tr>
      <w:tr w:rsidR="00FA1843" w:rsidRPr="001612E6" w14:paraId="1704B983" w14:textId="77777777" w:rsidTr="00EE1D03">
        <w:trPr>
          <w:trHeight w:val="585"/>
        </w:trPr>
        <w:tc>
          <w:tcPr>
            <w:tcW w:w="1980" w:type="dxa"/>
            <w:shd w:val="clear" w:color="auto" w:fill="BFBFBF" w:themeFill="background1" w:themeFillShade="BF"/>
            <w:vAlign w:val="center"/>
          </w:tcPr>
          <w:p w14:paraId="6AEC577D" w14:textId="77777777" w:rsidR="00FA1843" w:rsidRPr="001612E6" w:rsidRDefault="00FA1843" w:rsidP="00EE1D03">
            <w:pPr>
              <w:spacing w:before="60" w:after="60"/>
              <w:ind w:left="72"/>
              <w:rPr>
                <w:noProof/>
              </w:rPr>
            </w:pPr>
            <w:r w:rsidRPr="001612E6">
              <w:rPr>
                <w:noProof/>
                <w:sz w:val="20"/>
              </w:rPr>
              <w:t>Contract staff</w:t>
            </w:r>
          </w:p>
        </w:tc>
        <w:tc>
          <w:tcPr>
            <w:tcW w:w="1302" w:type="dxa"/>
            <w:shd w:val="clear" w:color="auto" w:fill="BFBFBF" w:themeFill="background1" w:themeFillShade="BF"/>
            <w:vAlign w:val="center"/>
          </w:tcPr>
          <w:p w14:paraId="07E5430F" w14:textId="77777777" w:rsidR="00FA1843" w:rsidRPr="001612E6" w:rsidRDefault="00FA1843" w:rsidP="00EE1D03">
            <w:pPr>
              <w:spacing w:before="60" w:after="60"/>
              <w:jc w:val="right"/>
              <w:rPr>
                <w:noProof/>
                <w:sz w:val="20"/>
              </w:rPr>
            </w:pPr>
          </w:p>
        </w:tc>
        <w:tc>
          <w:tcPr>
            <w:tcW w:w="1302" w:type="dxa"/>
            <w:shd w:val="clear" w:color="auto" w:fill="BFBFBF" w:themeFill="background1" w:themeFillShade="BF"/>
            <w:vAlign w:val="center"/>
          </w:tcPr>
          <w:p w14:paraId="014A589D" w14:textId="77777777" w:rsidR="00FA1843" w:rsidRPr="001612E6" w:rsidRDefault="00FA1843" w:rsidP="00EE1D03">
            <w:pPr>
              <w:spacing w:before="60" w:after="60"/>
              <w:jc w:val="right"/>
              <w:rPr>
                <w:noProof/>
                <w:sz w:val="20"/>
              </w:rPr>
            </w:pPr>
          </w:p>
        </w:tc>
        <w:tc>
          <w:tcPr>
            <w:tcW w:w="1302" w:type="dxa"/>
            <w:shd w:val="clear" w:color="auto" w:fill="BFBFBF" w:themeFill="background1" w:themeFillShade="BF"/>
            <w:vAlign w:val="center"/>
          </w:tcPr>
          <w:p w14:paraId="1C36416D" w14:textId="77777777" w:rsidR="00FA1843" w:rsidRPr="001612E6" w:rsidRDefault="00FA1843" w:rsidP="00EE1D03">
            <w:pPr>
              <w:spacing w:before="60" w:after="60"/>
              <w:jc w:val="right"/>
              <w:rPr>
                <w:noProof/>
                <w:sz w:val="20"/>
              </w:rPr>
            </w:pPr>
            <w:r>
              <w:rPr>
                <w:noProof/>
                <w:sz w:val="20"/>
              </w:rPr>
              <w:t>12</w:t>
            </w:r>
          </w:p>
        </w:tc>
        <w:tc>
          <w:tcPr>
            <w:tcW w:w="1302" w:type="dxa"/>
            <w:shd w:val="clear" w:color="auto" w:fill="BFBFBF" w:themeFill="background1" w:themeFillShade="BF"/>
            <w:vAlign w:val="center"/>
          </w:tcPr>
          <w:p w14:paraId="6878A386" w14:textId="77777777" w:rsidR="00FA1843" w:rsidRPr="001612E6" w:rsidRDefault="00FA1843" w:rsidP="00EE1D03">
            <w:pPr>
              <w:spacing w:before="60" w:after="60"/>
              <w:jc w:val="right"/>
              <w:rPr>
                <w:noProof/>
                <w:sz w:val="20"/>
              </w:rPr>
            </w:pPr>
            <w:r>
              <w:rPr>
                <w:noProof/>
                <w:sz w:val="20"/>
              </w:rPr>
              <w:t>12</w:t>
            </w:r>
          </w:p>
        </w:tc>
        <w:tc>
          <w:tcPr>
            <w:tcW w:w="1302" w:type="dxa"/>
            <w:shd w:val="clear" w:color="auto" w:fill="BFBFBF" w:themeFill="background1" w:themeFillShade="BF"/>
            <w:vAlign w:val="center"/>
          </w:tcPr>
          <w:p w14:paraId="77264878" w14:textId="77777777" w:rsidR="00FA1843" w:rsidRPr="001612E6" w:rsidRDefault="00FA1843" w:rsidP="00EE1D03">
            <w:pPr>
              <w:spacing w:before="60" w:after="60"/>
              <w:jc w:val="right"/>
              <w:rPr>
                <w:noProof/>
                <w:sz w:val="20"/>
              </w:rPr>
            </w:pPr>
            <w:r>
              <w:rPr>
                <w:noProof/>
                <w:sz w:val="20"/>
              </w:rPr>
              <w:t>10</w:t>
            </w:r>
          </w:p>
        </w:tc>
        <w:tc>
          <w:tcPr>
            <w:tcW w:w="1302" w:type="dxa"/>
            <w:shd w:val="clear" w:color="auto" w:fill="BFBFBF" w:themeFill="background1" w:themeFillShade="BF"/>
            <w:vAlign w:val="center"/>
          </w:tcPr>
          <w:p w14:paraId="12B724A0" w14:textId="77777777" w:rsidR="00FA1843" w:rsidRPr="001612E6" w:rsidRDefault="00FA1843" w:rsidP="00EE1D03">
            <w:pPr>
              <w:spacing w:before="60" w:after="60"/>
              <w:jc w:val="right"/>
              <w:rPr>
                <w:b/>
                <w:noProof/>
                <w:sz w:val="20"/>
              </w:rPr>
            </w:pPr>
            <w:r>
              <w:rPr>
                <w:b/>
                <w:noProof/>
                <w:sz w:val="20"/>
              </w:rPr>
              <w:t>34</w:t>
            </w:r>
          </w:p>
        </w:tc>
      </w:tr>
      <w:tr w:rsidR="00FA1843" w:rsidRPr="001612E6" w14:paraId="754857E4" w14:textId="77777777" w:rsidTr="00EE1D03">
        <w:trPr>
          <w:trHeight w:val="585"/>
        </w:trPr>
        <w:tc>
          <w:tcPr>
            <w:tcW w:w="1980" w:type="dxa"/>
            <w:shd w:val="clear" w:color="auto" w:fill="CCCCCC"/>
            <w:vAlign w:val="center"/>
          </w:tcPr>
          <w:p w14:paraId="2B4D9096" w14:textId="77777777" w:rsidR="00FA1843" w:rsidRPr="001612E6" w:rsidRDefault="00FA1843" w:rsidP="00EE1D03">
            <w:pPr>
              <w:spacing w:before="60" w:after="60"/>
              <w:jc w:val="center"/>
              <w:rPr>
                <w:noProof/>
              </w:rPr>
            </w:pPr>
            <w:r w:rsidRPr="001612E6">
              <w:rPr>
                <w:noProof/>
                <w:sz w:val="18"/>
              </w:rPr>
              <w:t>Seconded National Experts</w:t>
            </w:r>
          </w:p>
        </w:tc>
        <w:tc>
          <w:tcPr>
            <w:tcW w:w="1302" w:type="dxa"/>
            <w:vAlign w:val="center"/>
          </w:tcPr>
          <w:p w14:paraId="59B09498" w14:textId="77777777" w:rsidR="00FA1843" w:rsidRPr="001612E6" w:rsidRDefault="00FA1843" w:rsidP="00EE1D03">
            <w:pPr>
              <w:spacing w:before="60" w:after="60"/>
              <w:jc w:val="right"/>
              <w:rPr>
                <w:noProof/>
                <w:sz w:val="20"/>
              </w:rPr>
            </w:pPr>
          </w:p>
        </w:tc>
        <w:tc>
          <w:tcPr>
            <w:tcW w:w="1302" w:type="dxa"/>
            <w:vAlign w:val="center"/>
          </w:tcPr>
          <w:p w14:paraId="66417DB5" w14:textId="77777777" w:rsidR="00FA1843" w:rsidRPr="001612E6" w:rsidRDefault="00FA1843" w:rsidP="00EE1D03">
            <w:pPr>
              <w:spacing w:before="60" w:after="60"/>
              <w:jc w:val="right"/>
              <w:rPr>
                <w:noProof/>
                <w:sz w:val="20"/>
              </w:rPr>
            </w:pPr>
          </w:p>
        </w:tc>
        <w:tc>
          <w:tcPr>
            <w:tcW w:w="1302" w:type="dxa"/>
            <w:vAlign w:val="center"/>
          </w:tcPr>
          <w:p w14:paraId="79807792" w14:textId="77777777" w:rsidR="00FA1843" w:rsidRPr="001612E6" w:rsidRDefault="00FA1843" w:rsidP="00EE1D03">
            <w:pPr>
              <w:spacing w:before="60" w:after="60"/>
              <w:jc w:val="right"/>
              <w:rPr>
                <w:noProof/>
                <w:sz w:val="20"/>
              </w:rPr>
            </w:pPr>
          </w:p>
        </w:tc>
        <w:tc>
          <w:tcPr>
            <w:tcW w:w="1302" w:type="dxa"/>
            <w:vAlign w:val="center"/>
          </w:tcPr>
          <w:p w14:paraId="50780EAE" w14:textId="77777777" w:rsidR="00FA1843" w:rsidRPr="001612E6" w:rsidRDefault="00FA1843" w:rsidP="00EE1D03">
            <w:pPr>
              <w:spacing w:before="60" w:after="60"/>
              <w:jc w:val="right"/>
              <w:rPr>
                <w:noProof/>
                <w:sz w:val="20"/>
              </w:rPr>
            </w:pPr>
          </w:p>
        </w:tc>
        <w:tc>
          <w:tcPr>
            <w:tcW w:w="1302" w:type="dxa"/>
            <w:vAlign w:val="center"/>
          </w:tcPr>
          <w:p w14:paraId="28D7FFC1" w14:textId="77777777" w:rsidR="00FA1843" w:rsidRPr="001612E6" w:rsidRDefault="00FA1843" w:rsidP="00EE1D03">
            <w:pPr>
              <w:spacing w:before="60" w:after="60"/>
              <w:jc w:val="right"/>
              <w:rPr>
                <w:noProof/>
                <w:sz w:val="20"/>
              </w:rPr>
            </w:pPr>
          </w:p>
        </w:tc>
        <w:tc>
          <w:tcPr>
            <w:tcW w:w="1302" w:type="dxa"/>
            <w:vAlign w:val="center"/>
          </w:tcPr>
          <w:p w14:paraId="017B6117" w14:textId="77777777" w:rsidR="00FA1843" w:rsidRPr="001612E6" w:rsidRDefault="00FA1843" w:rsidP="00EE1D03">
            <w:pPr>
              <w:spacing w:before="60" w:after="60"/>
              <w:jc w:val="right"/>
              <w:rPr>
                <w:b/>
                <w:noProof/>
                <w:sz w:val="20"/>
              </w:rPr>
            </w:pPr>
          </w:p>
        </w:tc>
      </w:tr>
    </w:tbl>
    <w:p w14:paraId="7360A9EE" w14:textId="77777777" w:rsidR="00FA1843" w:rsidRPr="001612E6" w:rsidRDefault="00FA1843" w:rsidP="00FA1843">
      <w:pPr>
        <w:rPr>
          <w:noProof/>
          <w:sz w:val="20"/>
        </w:rPr>
      </w:pPr>
    </w:p>
    <w:tbl>
      <w:tblPr>
        <w:tblW w:w="9792" w:type="dxa"/>
        <w:tblInd w:w="-612" w:type="dxa"/>
        <w:tblLayout w:type="fixed"/>
        <w:tblLook w:val="01E0" w:firstRow="1" w:lastRow="1" w:firstColumn="1" w:lastColumn="1" w:noHBand="0" w:noVBand="0"/>
      </w:tblPr>
      <w:tblGrid>
        <w:gridCol w:w="1980"/>
        <w:gridCol w:w="1302"/>
        <w:gridCol w:w="1302"/>
        <w:gridCol w:w="1302"/>
        <w:gridCol w:w="1302"/>
        <w:gridCol w:w="1302"/>
        <w:gridCol w:w="1302"/>
      </w:tblGrid>
      <w:tr w:rsidR="00FA1843" w:rsidRPr="004B2A0E" w14:paraId="44C10B5D" w14:textId="77777777" w:rsidTr="00EE1D0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E640E9D" w14:textId="77777777" w:rsidR="00FA1843" w:rsidRPr="001612E6" w:rsidRDefault="00FA1843" w:rsidP="00EE1D03">
            <w:pPr>
              <w:spacing w:before="60" w:after="60"/>
              <w:jc w:val="center"/>
              <w:rPr>
                <w:noProof/>
                <w:sz w:val="20"/>
              </w:rPr>
            </w:pPr>
            <w:r w:rsidRPr="001612E6">
              <w:rPr>
                <w:b/>
                <w:noProof/>
                <w:sz w:val="20"/>
              </w:rPr>
              <w:t>TOTAL</w:t>
            </w:r>
          </w:p>
        </w:tc>
        <w:tc>
          <w:tcPr>
            <w:tcW w:w="1302" w:type="dxa"/>
            <w:tcBorders>
              <w:top w:val="single" w:sz="12" w:space="0" w:color="auto"/>
              <w:left w:val="single" w:sz="2" w:space="0" w:color="auto"/>
              <w:bottom w:val="single" w:sz="12" w:space="0" w:color="auto"/>
              <w:right w:val="single" w:sz="2" w:space="0" w:color="auto"/>
            </w:tcBorders>
            <w:vAlign w:val="center"/>
          </w:tcPr>
          <w:p w14:paraId="3F918051" w14:textId="77777777" w:rsidR="00FA1843" w:rsidRPr="001612E6" w:rsidRDefault="00FA1843" w:rsidP="00EE1D03">
            <w:pPr>
              <w:spacing w:before="60" w:after="60"/>
              <w:jc w:val="right"/>
              <w:rPr>
                <w:b/>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4BF470C0" w14:textId="77777777" w:rsidR="00FA1843" w:rsidRPr="001612E6" w:rsidRDefault="00FA1843" w:rsidP="00EE1D03">
            <w:pPr>
              <w:spacing w:before="60" w:after="60"/>
              <w:jc w:val="right"/>
              <w:rPr>
                <w:b/>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7B9660F8" w14:textId="77777777" w:rsidR="00FA1843" w:rsidRPr="001612E6" w:rsidRDefault="00FA1843" w:rsidP="00EE1D03">
            <w:pPr>
              <w:spacing w:before="60" w:after="60"/>
              <w:jc w:val="right"/>
              <w:rPr>
                <w:b/>
                <w:noProof/>
                <w:sz w:val="20"/>
              </w:rPr>
            </w:pPr>
            <w:r>
              <w:rPr>
                <w:b/>
                <w:noProof/>
                <w:sz w:val="20"/>
              </w:rPr>
              <w:t>19</w:t>
            </w:r>
          </w:p>
        </w:tc>
        <w:tc>
          <w:tcPr>
            <w:tcW w:w="1302" w:type="dxa"/>
            <w:tcBorders>
              <w:top w:val="single" w:sz="12" w:space="0" w:color="auto"/>
              <w:left w:val="single" w:sz="2" w:space="0" w:color="auto"/>
              <w:bottom w:val="single" w:sz="12" w:space="0" w:color="auto"/>
              <w:right w:val="single" w:sz="2" w:space="0" w:color="auto"/>
            </w:tcBorders>
            <w:vAlign w:val="center"/>
          </w:tcPr>
          <w:p w14:paraId="53130786" w14:textId="77777777" w:rsidR="00FA1843" w:rsidRPr="001612E6" w:rsidRDefault="00FA1843" w:rsidP="00EE1D03">
            <w:pPr>
              <w:spacing w:before="60" w:after="60"/>
              <w:jc w:val="right"/>
              <w:rPr>
                <w:b/>
                <w:noProof/>
                <w:sz w:val="20"/>
              </w:rPr>
            </w:pPr>
            <w:r>
              <w:rPr>
                <w:b/>
                <w:noProof/>
                <w:sz w:val="20"/>
              </w:rPr>
              <w:t>19</w:t>
            </w:r>
          </w:p>
        </w:tc>
        <w:tc>
          <w:tcPr>
            <w:tcW w:w="1302" w:type="dxa"/>
            <w:tcBorders>
              <w:top w:val="single" w:sz="12" w:space="0" w:color="auto"/>
              <w:left w:val="single" w:sz="2" w:space="0" w:color="auto"/>
              <w:bottom w:val="single" w:sz="12" w:space="0" w:color="auto"/>
              <w:right w:val="single" w:sz="2" w:space="0" w:color="auto"/>
            </w:tcBorders>
            <w:vAlign w:val="center"/>
          </w:tcPr>
          <w:p w14:paraId="1C147C38" w14:textId="77777777" w:rsidR="00FA1843" w:rsidRPr="001612E6" w:rsidRDefault="00FA1843" w:rsidP="00EE1D03">
            <w:pPr>
              <w:spacing w:before="60" w:after="60"/>
              <w:jc w:val="right"/>
              <w:rPr>
                <w:b/>
                <w:noProof/>
                <w:sz w:val="20"/>
              </w:rPr>
            </w:pPr>
            <w:r>
              <w:rPr>
                <w:b/>
                <w:noProof/>
                <w:sz w:val="20"/>
              </w:rPr>
              <w:t>17</w:t>
            </w:r>
          </w:p>
        </w:tc>
        <w:tc>
          <w:tcPr>
            <w:tcW w:w="1302" w:type="dxa"/>
            <w:tcBorders>
              <w:top w:val="single" w:sz="12" w:space="0" w:color="auto"/>
              <w:left w:val="single" w:sz="2" w:space="0" w:color="auto"/>
              <w:bottom w:val="single" w:sz="12" w:space="0" w:color="auto"/>
              <w:right w:val="single" w:sz="12" w:space="0" w:color="auto"/>
            </w:tcBorders>
            <w:vAlign w:val="center"/>
          </w:tcPr>
          <w:p w14:paraId="58EE3055" w14:textId="77777777" w:rsidR="00FA1843" w:rsidRPr="004B2A0E" w:rsidRDefault="00FA1843" w:rsidP="00EE1D03">
            <w:pPr>
              <w:spacing w:before="60" w:after="60"/>
              <w:jc w:val="right"/>
              <w:rPr>
                <w:b/>
                <w:noProof/>
                <w:sz w:val="20"/>
              </w:rPr>
            </w:pPr>
          </w:p>
        </w:tc>
      </w:tr>
    </w:tbl>
    <w:p w14:paraId="3CDDCA7F" w14:textId="77777777" w:rsidR="00FA1843" w:rsidRPr="004B2A0E" w:rsidRDefault="00FA1843" w:rsidP="00FA1843">
      <w:pPr>
        <w:rPr>
          <w:noProof/>
        </w:rPr>
        <w:sectPr w:rsidR="00FA1843" w:rsidRPr="004B2A0E" w:rsidSect="00783A24">
          <w:headerReference w:type="default" r:id="rId21"/>
          <w:footerReference w:type="default" r:id="rId22"/>
          <w:headerReference w:type="first" r:id="rId23"/>
          <w:footerReference w:type="first" r:id="rId24"/>
          <w:pgSz w:w="11907" w:h="16839"/>
          <w:pgMar w:top="1134" w:right="1417" w:bottom="1134" w:left="1417" w:header="709" w:footer="709" w:gutter="0"/>
          <w:cols w:space="720"/>
          <w:docGrid w:linePitch="326"/>
        </w:sectPr>
      </w:pPr>
      <w:r w:rsidRPr="004B2A0E">
        <w:rPr>
          <w:noProof/>
          <w:u w:val="single"/>
        </w:rPr>
        <w:t xml:space="preserve"> </w:t>
      </w:r>
    </w:p>
    <w:p w14:paraId="23AE5091" w14:textId="66AC6058" w:rsidR="00FA1843" w:rsidRPr="004B2A0E" w:rsidRDefault="002A7F8C" w:rsidP="002A7F8C">
      <w:pPr>
        <w:pStyle w:val="ManualHeading4"/>
        <w:rPr>
          <w:bCs/>
          <w:noProof/>
          <w:szCs w:val="24"/>
        </w:rPr>
      </w:pPr>
      <w:r w:rsidRPr="002A7F8C">
        <w:rPr>
          <w:noProof/>
        </w:rPr>
        <w:t>3.2.3.2.</w:t>
      </w:r>
      <w:r w:rsidRPr="002A7F8C">
        <w:rPr>
          <w:noProof/>
        </w:rPr>
        <w:tab/>
      </w:r>
      <w:r w:rsidR="00FA1843" w:rsidRPr="004B2A0E">
        <w:rPr>
          <w:noProof/>
        </w:rPr>
        <w:t>Estimated requirements of human resources for the parent DG</w:t>
      </w:r>
    </w:p>
    <w:p w14:paraId="715589C3" w14:textId="77777777" w:rsidR="00FA1843" w:rsidRPr="004B2A0E" w:rsidRDefault="00FA1843" w:rsidP="00580A58">
      <w:pPr>
        <w:pStyle w:val="ListDash1"/>
        <w:numPr>
          <w:ilvl w:val="0"/>
          <w:numId w:val="21"/>
        </w:numPr>
        <w:rPr>
          <w:noProof/>
        </w:rPr>
      </w:pPr>
      <w:r w:rsidRPr="004B2A0E">
        <w:rPr>
          <w:noProof/>
        </w:rPr>
        <w:sym w:font="Wingdings" w:char="F0FE"/>
      </w:r>
      <w:r w:rsidRPr="004B2A0E">
        <w:rPr>
          <w:noProof/>
        </w:rPr>
        <w:tab/>
        <w:t xml:space="preserve">The proposal/initiative does not require the use of human resources. </w:t>
      </w:r>
    </w:p>
    <w:p w14:paraId="7992FBCB" w14:textId="77777777" w:rsidR="00FA1843" w:rsidRPr="004B2A0E" w:rsidRDefault="00FA1843" w:rsidP="00580A58">
      <w:pPr>
        <w:pStyle w:val="ListDash1"/>
        <w:numPr>
          <w:ilvl w:val="0"/>
          <w:numId w:val="21"/>
        </w:numPr>
        <w:rPr>
          <w:noProof/>
        </w:rPr>
      </w:pPr>
      <w:r w:rsidRPr="004B2A0E">
        <w:rPr>
          <w:noProof/>
        </w:rPr>
        <w:sym w:font="Wingdings" w:char="F0A8"/>
      </w:r>
      <w:r w:rsidRPr="004B2A0E">
        <w:rPr>
          <w:noProof/>
        </w:rPr>
        <w:tab/>
        <w:t>The proposal/initiative requires the use of human resources, as explained below:</w:t>
      </w:r>
    </w:p>
    <w:p w14:paraId="16D281A0" w14:textId="77777777" w:rsidR="00FA1843" w:rsidRPr="004B2A0E" w:rsidRDefault="00FA1843" w:rsidP="00FA1843">
      <w:pPr>
        <w:spacing w:after="60"/>
        <w:jc w:val="right"/>
        <w:rPr>
          <w:i/>
          <w:noProof/>
          <w:sz w:val="20"/>
        </w:rPr>
      </w:pPr>
      <w:r w:rsidRPr="004B2A0E">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FA1843" w:rsidRPr="004B2A0E" w14:paraId="6D7D0A93" w14:textId="77777777" w:rsidTr="00EE1D03">
        <w:trPr>
          <w:gridAfter w:val="1"/>
          <w:wAfter w:w="5" w:type="pct"/>
          <w:trHeight w:val="289"/>
          <w:jc w:val="center"/>
        </w:trPr>
        <w:tc>
          <w:tcPr>
            <w:tcW w:w="2043" w:type="pct"/>
            <w:gridSpan w:val="2"/>
            <w:shd w:val="clear" w:color="auto" w:fill="auto"/>
          </w:tcPr>
          <w:p w14:paraId="24C399BD" w14:textId="77777777" w:rsidR="00FA1843" w:rsidRPr="004B2A0E" w:rsidRDefault="00FA1843" w:rsidP="00EE1D03">
            <w:pPr>
              <w:pStyle w:val="Text1"/>
              <w:spacing w:before="40" w:after="40"/>
              <w:ind w:left="0"/>
              <w:jc w:val="center"/>
              <w:rPr>
                <w:i/>
                <w:noProof/>
                <w:sz w:val="20"/>
              </w:rPr>
            </w:pPr>
          </w:p>
        </w:tc>
        <w:tc>
          <w:tcPr>
            <w:tcW w:w="377" w:type="pct"/>
            <w:shd w:val="clear" w:color="auto" w:fill="auto"/>
            <w:vAlign w:val="center"/>
          </w:tcPr>
          <w:p w14:paraId="7EEDAD7D" w14:textId="77777777" w:rsidR="00FA1843" w:rsidRPr="004B2A0E" w:rsidRDefault="00FA1843" w:rsidP="00EE1D03">
            <w:pPr>
              <w:spacing w:before="20" w:after="20"/>
              <w:jc w:val="center"/>
              <w:rPr>
                <w:noProof/>
                <w:sz w:val="20"/>
              </w:rPr>
            </w:pPr>
            <w:r w:rsidRPr="004B2A0E">
              <w:rPr>
                <w:noProof/>
                <w:sz w:val="20"/>
              </w:rPr>
              <w:t>Year</w:t>
            </w:r>
            <w:r w:rsidRPr="004B2A0E">
              <w:rPr>
                <w:noProof/>
                <w:sz w:val="20"/>
              </w:rPr>
              <w:br/>
            </w:r>
            <w:r w:rsidRPr="004B2A0E">
              <w:rPr>
                <w:b/>
                <w:noProof/>
                <w:sz w:val="20"/>
              </w:rPr>
              <w:t>N</w:t>
            </w:r>
          </w:p>
        </w:tc>
        <w:tc>
          <w:tcPr>
            <w:tcW w:w="377" w:type="pct"/>
            <w:shd w:val="clear" w:color="auto" w:fill="auto"/>
            <w:vAlign w:val="center"/>
          </w:tcPr>
          <w:p w14:paraId="7F259FB3" w14:textId="77777777" w:rsidR="00FA1843" w:rsidRPr="004B2A0E" w:rsidRDefault="00FA1843" w:rsidP="00EE1D03">
            <w:pPr>
              <w:spacing w:before="20" w:after="20"/>
              <w:jc w:val="center"/>
              <w:rPr>
                <w:noProof/>
                <w:sz w:val="20"/>
              </w:rPr>
            </w:pPr>
            <w:r w:rsidRPr="004B2A0E">
              <w:rPr>
                <w:noProof/>
                <w:sz w:val="20"/>
              </w:rPr>
              <w:t>Year</w:t>
            </w:r>
            <w:r w:rsidRPr="004B2A0E">
              <w:rPr>
                <w:noProof/>
                <w:sz w:val="20"/>
              </w:rPr>
              <w:br/>
            </w:r>
            <w:r w:rsidRPr="004B2A0E">
              <w:rPr>
                <w:b/>
                <w:noProof/>
                <w:sz w:val="20"/>
              </w:rPr>
              <w:t>N+1</w:t>
            </w:r>
          </w:p>
        </w:tc>
        <w:tc>
          <w:tcPr>
            <w:tcW w:w="406" w:type="pct"/>
            <w:shd w:val="clear" w:color="auto" w:fill="auto"/>
            <w:vAlign w:val="center"/>
          </w:tcPr>
          <w:p w14:paraId="616C89A4" w14:textId="77777777" w:rsidR="00FA1843" w:rsidRPr="004B2A0E" w:rsidRDefault="00FA1843" w:rsidP="00EE1D03">
            <w:pPr>
              <w:spacing w:before="20" w:after="20"/>
              <w:jc w:val="center"/>
              <w:rPr>
                <w:noProof/>
                <w:sz w:val="20"/>
              </w:rPr>
            </w:pPr>
            <w:r w:rsidRPr="004B2A0E">
              <w:rPr>
                <w:noProof/>
                <w:sz w:val="20"/>
              </w:rPr>
              <w:t xml:space="preserve">Year </w:t>
            </w:r>
            <w:r w:rsidRPr="004B2A0E">
              <w:rPr>
                <w:b/>
                <w:noProof/>
                <w:sz w:val="20"/>
              </w:rPr>
              <w:t>N+2</w:t>
            </w:r>
          </w:p>
        </w:tc>
        <w:tc>
          <w:tcPr>
            <w:tcW w:w="497" w:type="pct"/>
            <w:shd w:val="clear" w:color="auto" w:fill="auto"/>
            <w:vAlign w:val="center"/>
          </w:tcPr>
          <w:p w14:paraId="1BE93CE9" w14:textId="77777777" w:rsidR="00FA1843" w:rsidRPr="004B2A0E" w:rsidRDefault="00FA1843" w:rsidP="00EE1D03">
            <w:pPr>
              <w:spacing w:before="20" w:after="20"/>
              <w:jc w:val="center"/>
              <w:rPr>
                <w:noProof/>
                <w:sz w:val="20"/>
              </w:rPr>
            </w:pPr>
            <w:r w:rsidRPr="004B2A0E">
              <w:rPr>
                <w:noProof/>
                <w:sz w:val="20"/>
              </w:rPr>
              <w:t xml:space="preserve">Year </w:t>
            </w:r>
            <w:r w:rsidRPr="004B2A0E">
              <w:rPr>
                <w:b/>
                <w:noProof/>
                <w:sz w:val="20"/>
              </w:rPr>
              <w:t>N+3</w:t>
            </w:r>
          </w:p>
        </w:tc>
        <w:tc>
          <w:tcPr>
            <w:tcW w:w="1294" w:type="pct"/>
            <w:gridSpan w:val="3"/>
            <w:shd w:val="clear" w:color="auto" w:fill="auto"/>
            <w:vAlign w:val="center"/>
          </w:tcPr>
          <w:p w14:paraId="5DD27270" w14:textId="77777777" w:rsidR="00FA1843" w:rsidRPr="004B2A0E" w:rsidRDefault="00FA1843" w:rsidP="00EE1D03">
            <w:pPr>
              <w:tabs>
                <w:tab w:val="left" w:pos="685"/>
              </w:tabs>
              <w:jc w:val="center"/>
              <w:rPr>
                <w:b/>
                <w:noProof/>
                <w:sz w:val="20"/>
              </w:rPr>
            </w:pPr>
            <w:r w:rsidRPr="004B2A0E">
              <w:rPr>
                <w:noProof/>
                <w:sz w:val="20"/>
              </w:rPr>
              <w:t>Enter as many years as necessary to show the duration of the impact (see point 1.6)</w:t>
            </w:r>
          </w:p>
        </w:tc>
      </w:tr>
      <w:tr w:rsidR="00FA1843" w:rsidRPr="004B2A0E" w14:paraId="223B18E9" w14:textId="77777777" w:rsidTr="00EE1D03">
        <w:trPr>
          <w:trHeight w:val="289"/>
          <w:jc w:val="center"/>
        </w:trPr>
        <w:tc>
          <w:tcPr>
            <w:tcW w:w="2043" w:type="pct"/>
            <w:gridSpan w:val="2"/>
            <w:shd w:val="clear" w:color="auto" w:fill="auto"/>
            <w:vAlign w:val="center"/>
          </w:tcPr>
          <w:p w14:paraId="710BAC13" w14:textId="77777777" w:rsidR="00FA1843" w:rsidRPr="004B2A0E" w:rsidRDefault="00FA1843" w:rsidP="00580A58">
            <w:pPr>
              <w:pStyle w:val="Text1"/>
              <w:numPr>
                <w:ilvl w:val="0"/>
                <w:numId w:val="23"/>
              </w:numPr>
              <w:tabs>
                <w:tab w:val="left" w:pos="208"/>
              </w:tabs>
              <w:spacing w:beforeLines="20" w:before="48" w:afterLines="20" w:after="48"/>
              <w:ind w:left="208" w:hanging="120"/>
              <w:jc w:val="left"/>
              <w:rPr>
                <w:b/>
                <w:noProof/>
                <w:sz w:val="20"/>
              </w:rPr>
            </w:pPr>
            <w:r w:rsidRPr="004B2A0E">
              <w:rPr>
                <w:b/>
                <w:noProof/>
                <w:sz w:val="20"/>
              </w:rPr>
              <w:t>Establishment plan posts (officials and temporary staff)</w:t>
            </w:r>
          </w:p>
        </w:tc>
        <w:tc>
          <w:tcPr>
            <w:tcW w:w="377" w:type="pct"/>
            <w:shd w:val="clear" w:color="auto" w:fill="auto"/>
            <w:vAlign w:val="center"/>
          </w:tcPr>
          <w:p w14:paraId="67D54CB6"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7CECCD09"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2382DA31"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6DF95075"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10907D5C"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1225F8C8"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55C5D9A3" w14:textId="77777777" w:rsidR="00FA1843" w:rsidRPr="004B2A0E" w:rsidRDefault="00FA1843" w:rsidP="00EE1D03">
            <w:pPr>
              <w:spacing w:beforeLines="20" w:before="48" w:afterLines="20" w:after="48"/>
              <w:jc w:val="center"/>
              <w:rPr>
                <w:noProof/>
                <w:sz w:val="20"/>
              </w:rPr>
            </w:pPr>
          </w:p>
        </w:tc>
      </w:tr>
      <w:tr w:rsidR="00FA1843" w:rsidRPr="004B2A0E" w14:paraId="101E089A" w14:textId="77777777" w:rsidTr="00EE1D03">
        <w:trPr>
          <w:trHeight w:val="289"/>
          <w:jc w:val="center"/>
        </w:trPr>
        <w:tc>
          <w:tcPr>
            <w:tcW w:w="2043" w:type="pct"/>
            <w:gridSpan w:val="2"/>
            <w:shd w:val="clear" w:color="auto" w:fill="auto"/>
            <w:vAlign w:val="center"/>
          </w:tcPr>
          <w:p w14:paraId="50375C30" w14:textId="77777777" w:rsidR="00FA1843" w:rsidRPr="004B2A0E" w:rsidRDefault="00FA1843" w:rsidP="00EE1D03">
            <w:pPr>
              <w:pStyle w:val="Text1"/>
              <w:spacing w:beforeLines="20" w:before="48" w:afterLines="20" w:after="48"/>
              <w:ind w:left="984"/>
              <w:jc w:val="left"/>
              <w:rPr>
                <w:b/>
                <w:noProof/>
                <w:sz w:val="20"/>
              </w:rPr>
            </w:pPr>
            <w:r w:rsidRPr="004B2A0E">
              <w:rPr>
                <w:noProof/>
                <w:sz w:val="20"/>
              </w:rPr>
              <w:t>20 01 02 01 and 20 01 02 02 (Headquarters and Commission’s Representation Offices)</w:t>
            </w:r>
          </w:p>
        </w:tc>
        <w:tc>
          <w:tcPr>
            <w:tcW w:w="377" w:type="pct"/>
            <w:shd w:val="clear" w:color="auto" w:fill="auto"/>
            <w:vAlign w:val="center"/>
          </w:tcPr>
          <w:p w14:paraId="76D88A75"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6C448F5B"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1D3C82C8"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3571FBB6"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70D252C6"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4FBE7814"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591184BC" w14:textId="77777777" w:rsidR="00FA1843" w:rsidRPr="004B2A0E" w:rsidRDefault="00FA1843" w:rsidP="00EE1D03">
            <w:pPr>
              <w:spacing w:beforeLines="20" w:before="48" w:afterLines="20" w:after="48"/>
              <w:jc w:val="center"/>
              <w:rPr>
                <w:noProof/>
                <w:sz w:val="20"/>
              </w:rPr>
            </w:pPr>
          </w:p>
        </w:tc>
      </w:tr>
      <w:tr w:rsidR="00FA1843" w:rsidRPr="004B2A0E" w14:paraId="00323809" w14:textId="77777777" w:rsidTr="00EE1D03">
        <w:trPr>
          <w:trHeight w:val="289"/>
          <w:jc w:val="center"/>
        </w:trPr>
        <w:tc>
          <w:tcPr>
            <w:tcW w:w="2043" w:type="pct"/>
            <w:gridSpan w:val="2"/>
            <w:shd w:val="clear" w:color="auto" w:fill="auto"/>
            <w:vAlign w:val="center"/>
          </w:tcPr>
          <w:p w14:paraId="6B3CA96D" w14:textId="77777777" w:rsidR="00FA1843" w:rsidRPr="004B2A0E" w:rsidRDefault="00FA1843" w:rsidP="00EE1D03">
            <w:pPr>
              <w:pStyle w:val="Text1"/>
              <w:spacing w:beforeLines="20" w:before="48" w:afterLines="20" w:after="48"/>
              <w:ind w:left="984"/>
              <w:jc w:val="left"/>
              <w:rPr>
                <w:noProof/>
                <w:sz w:val="20"/>
              </w:rPr>
            </w:pPr>
            <w:r w:rsidRPr="004B2A0E">
              <w:rPr>
                <w:noProof/>
                <w:sz w:val="20"/>
              </w:rPr>
              <w:t>20 01 02 03 (Delegations)</w:t>
            </w:r>
          </w:p>
        </w:tc>
        <w:tc>
          <w:tcPr>
            <w:tcW w:w="377" w:type="pct"/>
            <w:shd w:val="clear" w:color="auto" w:fill="auto"/>
            <w:vAlign w:val="center"/>
          </w:tcPr>
          <w:p w14:paraId="113C9E41"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5D8FED91"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7599B83A"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253D8022"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436963F4"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3D2C6C0C"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6C39CB1E" w14:textId="77777777" w:rsidR="00FA1843" w:rsidRPr="004B2A0E" w:rsidRDefault="00FA1843" w:rsidP="00EE1D03">
            <w:pPr>
              <w:spacing w:beforeLines="20" w:before="48" w:afterLines="20" w:after="48"/>
              <w:jc w:val="center"/>
              <w:rPr>
                <w:noProof/>
                <w:sz w:val="20"/>
              </w:rPr>
            </w:pPr>
          </w:p>
        </w:tc>
      </w:tr>
      <w:tr w:rsidR="00FA1843" w:rsidRPr="004B2A0E" w14:paraId="4BE24E1D" w14:textId="77777777" w:rsidTr="00EE1D03">
        <w:trPr>
          <w:trHeight w:val="953"/>
          <w:jc w:val="center"/>
        </w:trPr>
        <w:tc>
          <w:tcPr>
            <w:tcW w:w="2043" w:type="pct"/>
            <w:gridSpan w:val="2"/>
            <w:shd w:val="clear" w:color="auto" w:fill="auto"/>
            <w:vAlign w:val="center"/>
          </w:tcPr>
          <w:p w14:paraId="219C67BF" w14:textId="77777777" w:rsidR="00FA1843" w:rsidRPr="004B2A0E" w:rsidRDefault="00FA1843" w:rsidP="00EE1D03">
            <w:pPr>
              <w:pStyle w:val="Text1"/>
              <w:spacing w:beforeLines="20" w:before="48" w:afterLines="20" w:after="48"/>
              <w:ind w:left="984"/>
              <w:jc w:val="left"/>
              <w:rPr>
                <w:noProof/>
                <w:sz w:val="20"/>
              </w:rPr>
            </w:pPr>
            <w:r w:rsidRPr="004B2A0E">
              <w:rPr>
                <w:noProof/>
                <w:sz w:val="20"/>
              </w:rPr>
              <w:t>01 01 01 01 (Indirect research)</w:t>
            </w:r>
          </w:p>
        </w:tc>
        <w:tc>
          <w:tcPr>
            <w:tcW w:w="377" w:type="pct"/>
            <w:shd w:val="clear" w:color="auto" w:fill="auto"/>
            <w:vAlign w:val="center"/>
          </w:tcPr>
          <w:p w14:paraId="0844BFE4"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508243DA"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3071DA9D"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1ADC7967"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172A1905"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450E9BEC"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5C809508" w14:textId="77777777" w:rsidR="00FA1843" w:rsidRPr="004B2A0E" w:rsidRDefault="00FA1843" w:rsidP="00EE1D03">
            <w:pPr>
              <w:spacing w:beforeLines="20" w:before="48" w:afterLines="20" w:after="48"/>
              <w:jc w:val="center"/>
              <w:rPr>
                <w:noProof/>
                <w:sz w:val="20"/>
              </w:rPr>
            </w:pPr>
          </w:p>
        </w:tc>
      </w:tr>
      <w:tr w:rsidR="00FA1843" w:rsidRPr="004B2A0E" w14:paraId="455C8A35" w14:textId="77777777" w:rsidTr="00EE1D03">
        <w:trPr>
          <w:trHeight w:val="289"/>
          <w:jc w:val="center"/>
        </w:trPr>
        <w:tc>
          <w:tcPr>
            <w:tcW w:w="2043" w:type="pct"/>
            <w:gridSpan w:val="2"/>
            <w:shd w:val="clear" w:color="auto" w:fill="auto"/>
            <w:vAlign w:val="center"/>
          </w:tcPr>
          <w:p w14:paraId="43DB9231" w14:textId="77777777" w:rsidR="00FA1843" w:rsidRPr="004B2A0E" w:rsidRDefault="00FA1843" w:rsidP="00EE1D03">
            <w:pPr>
              <w:pStyle w:val="Text1"/>
              <w:spacing w:beforeLines="20" w:before="48" w:afterLines="20" w:after="48"/>
              <w:ind w:left="984"/>
              <w:jc w:val="left"/>
              <w:rPr>
                <w:noProof/>
                <w:sz w:val="20"/>
              </w:rPr>
            </w:pPr>
            <w:r w:rsidRPr="004B2A0E">
              <w:rPr>
                <w:noProof/>
                <w:sz w:val="20"/>
              </w:rPr>
              <w:t>10 01 05 01 (Direct research)</w:t>
            </w:r>
          </w:p>
        </w:tc>
        <w:tc>
          <w:tcPr>
            <w:tcW w:w="377" w:type="pct"/>
            <w:shd w:val="clear" w:color="auto" w:fill="auto"/>
            <w:vAlign w:val="center"/>
          </w:tcPr>
          <w:p w14:paraId="59842B9B"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3E89AFED"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432EF00A"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7ABB7A68"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0553F2A1"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008FADEF"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23105A15" w14:textId="77777777" w:rsidR="00FA1843" w:rsidRPr="004B2A0E" w:rsidRDefault="00FA1843" w:rsidP="00EE1D03">
            <w:pPr>
              <w:spacing w:beforeLines="20" w:before="48" w:afterLines="20" w:after="48"/>
              <w:jc w:val="center"/>
              <w:rPr>
                <w:noProof/>
                <w:sz w:val="20"/>
              </w:rPr>
            </w:pPr>
          </w:p>
        </w:tc>
      </w:tr>
      <w:tr w:rsidR="00FA1843" w:rsidRPr="004B2A0E" w14:paraId="582DA6A9" w14:textId="77777777" w:rsidTr="00EE1D03">
        <w:trPr>
          <w:trHeight w:val="289"/>
          <w:jc w:val="center"/>
        </w:trPr>
        <w:tc>
          <w:tcPr>
            <w:tcW w:w="2043" w:type="pct"/>
            <w:gridSpan w:val="2"/>
            <w:shd w:val="clear" w:color="auto" w:fill="auto"/>
            <w:vAlign w:val="center"/>
          </w:tcPr>
          <w:p w14:paraId="0A2EE98A" w14:textId="77777777" w:rsidR="00FA1843" w:rsidRPr="004B2A0E" w:rsidRDefault="00FA1843" w:rsidP="00EE1D03">
            <w:pPr>
              <w:pStyle w:val="Text1"/>
              <w:spacing w:beforeLines="20" w:before="48" w:afterLines="20" w:after="48"/>
              <w:ind w:left="984"/>
              <w:jc w:val="left"/>
              <w:rPr>
                <w:noProof/>
                <w:sz w:val="20"/>
              </w:rPr>
            </w:pPr>
          </w:p>
        </w:tc>
        <w:tc>
          <w:tcPr>
            <w:tcW w:w="377" w:type="pct"/>
            <w:shd w:val="clear" w:color="auto" w:fill="auto"/>
            <w:vAlign w:val="center"/>
          </w:tcPr>
          <w:p w14:paraId="44C1F97F"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608D56F9"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294E867E"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448A692A"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0CF13E7D"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1DF6E6CD"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24011274" w14:textId="77777777" w:rsidR="00FA1843" w:rsidRPr="004B2A0E" w:rsidRDefault="00FA1843" w:rsidP="00EE1D03">
            <w:pPr>
              <w:spacing w:beforeLines="20" w:before="48" w:afterLines="20" w:after="48"/>
              <w:jc w:val="center"/>
              <w:rPr>
                <w:noProof/>
                <w:sz w:val="20"/>
              </w:rPr>
            </w:pPr>
          </w:p>
        </w:tc>
      </w:tr>
      <w:tr w:rsidR="00FA1843" w:rsidRPr="004B2A0E" w14:paraId="558F4FBB" w14:textId="77777777" w:rsidTr="00EE1D03">
        <w:trPr>
          <w:trHeight w:val="289"/>
          <w:jc w:val="center"/>
        </w:trPr>
        <w:tc>
          <w:tcPr>
            <w:tcW w:w="2043" w:type="pct"/>
            <w:gridSpan w:val="2"/>
            <w:shd w:val="clear" w:color="auto" w:fill="auto"/>
            <w:vAlign w:val="center"/>
          </w:tcPr>
          <w:p w14:paraId="6A5F75E9" w14:textId="77777777" w:rsidR="00FA1843" w:rsidRPr="004B2A0E" w:rsidRDefault="00FA1843" w:rsidP="00EE1D03">
            <w:pPr>
              <w:pStyle w:val="Text1"/>
              <w:spacing w:beforeLines="20" w:before="48" w:afterLines="20" w:after="48"/>
              <w:ind w:left="208" w:hanging="120"/>
              <w:jc w:val="left"/>
              <w:rPr>
                <w:noProof/>
                <w:sz w:val="20"/>
              </w:rPr>
            </w:pPr>
            <w:r w:rsidRPr="004B2A0E">
              <w:rPr>
                <w:b/>
                <w:noProof/>
                <w:sz w:val="20"/>
              </w:rPr>
              <w:sym w:font="Wingdings" w:char="F09F"/>
            </w:r>
            <w:r w:rsidRPr="004B2A0E">
              <w:rPr>
                <w:b/>
                <w:noProof/>
                <w:sz w:val="20"/>
              </w:rPr>
              <w:t xml:space="preserve"> External staff (in Full Time Equivalent unit: FTE)</w:t>
            </w:r>
            <w:r w:rsidRPr="004B2A0E">
              <w:rPr>
                <w:rStyle w:val="FootnoteReference"/>
                <w:b/>
                <w:noProof/>
                <w:sz w:val="20"/>
              </w:rPr>
              <w:footnoteReference w:id="66"/>
            </w:r>
          </w:p>
        </w:tc>
        <w:tc>
          <w:tcPr>
            <w:tcW w:w="377" w:type="pct"/>
            <w:shd w:val="clear" w:color="auto" w:fill="auto"/>
            <w:vAlign w:val="center"/>
          </w:tcPr>
          <w:p w14:paraId="6B3B67A6"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61043CBF"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7A9B4586"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31C7133A"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3D396120"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5D4FE649"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5D425A4E" w14:textId="77777777" w:rsidR="00FA1843" w:rsidRPr="004B2A0E" w:rsidRDefault="00FA1843" w:rsidP="00EE1D03">
            <w:pPr>
              <w:spacing w:beforeLines="20" w:before="48" w:afterLines="20" w:after="48"/>
              <w:jc w:val="center"/>
              <w:rPr>
                <w:noProof/>
                <w:sz w:val="20"/>
              </w:rPr>
            </w:pPr>
          </w:p>
        </w:tc>
      </w:tr>
      <w:tr w:rsidR="00FA1843" w:rsidRPr="004B2A0E" w14:paraId="11C36130" w14:textId="77777777" w:rsidTr="00EE1D03">
        <w:trPr>
          <w:trHeight w:val="289"/>
          <w:jc w:val="center"/>
        </w:trPr>
        <w:tc>
          <w:tcPr>
            <w:tcW w:w="2043" w:type="pct"/>
            <w:gridSpan w:val="2"/>
            <w:shd w:val="clear" w:color="auto" w:fill="auto"/>
            <w:vAlign w:val="center"/>
          </w:tcPr>
          <w:p w14:paraId="75F29A43" w14:textId="77777777" w:rsidR="00FA1843" w:rsidRPr="004B2A0E" w:rsidRDefault="00FA1843" w:rsidP="00EE1D03">
            <w:pPr>
              <w:pStyle w:val="Text1"/>
              <w:spacing w:beforeLines="20" w:before="48" w:afterLines="20" w:after="48"/>
              <w:ind w:left="986"/>
              <w:jc w:val="left"/>
              <w:rPr>
                <w:b/>
                <w:noProof/>
                <w:sz w:val="20"/>
              </w:rPr>
            </w:pPr>
            <w:r w:rsidRPr="004B2A0E">
              <w:rPr>
                <w:noProof/>
                <w:sz w:val="20"/>
              </w:rPr>
              <w:t>20 02 01 (AC, END, INT from the ‘global envelope’)</w:t>
            </w:r>
          </w:p>
        </w:tc>
        <w:tc>
          <w:tcPr>
            <w:tcW w:w="377" w:type="pct"/>
            <w:shd w:val="clear" w:color="auto" w:fill="auto"/>
            <w:vAlign w:val="center"/>
          </w:tcPr>
          <w:p w14:paraId="7714FAAA"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7AE1558C"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319BDD90"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438FA0F9"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781F4B1E"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6391B5DB"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67FA8B6A" w14:textId="77777777" w:rsidR="00FA1843" w:rsidRPr="004B2A0E" w:rsidRDefault="00FA1843" w:rsidP="00EE1D03">
            <w:pPr>
              <w:spacing w:beforeLines="20" w:before="48" w:afterLines="20" w:after="48"/>
              <w:jc w:val="center"/>
              <w:rPr>
                <w:noProof/>
                <w:sz w:val="20"/>
              </w:rPr>
            </w:pPr>
          </w:p>
        </w:tc>
      </w:tr>
      <w:tr w:rsidR="00FA1843" w:rsidRPr="004B2A0E" w14:paraId="19853004" w14:textId="77777777" w:rsidTr="00EE1D03">
        <w:trPr>
          <w:trHeight w:val="289"/>
          <w:jc w:val="center"/>
        </w:trPr>
        <w:tc>
          <w:tcPr>
            <w:tcW w:w="2043" w:type="pct"/>
            <w:gridSpan w:val="2"/>
            <w:shd w:val="clear" w:color="auto" w:fill="auto"/>
            <w:vAlign w:val="center"/>
          </w:tcPr>
          <w:p w14:paraId="0F7435B3" w14:textId="77777777" w:rsidR="00FA1843" w:rsidRPr="004B2A0E" w:rsidRDefault="00FA1843" w:rsidP="00EE1D03">
            <w:pPr>
              <w:pStyle w:val="Text1"/>
              <w:spacing w:beforeLines="20" w:before="48" w:afterLines="20" w:after="48"/>
              <w:ind w:left="986"/>
              <w:jc w:val="left"/>
              <w:rPr>
                <w:noProof/>
                <w:sz w:val="20"/>
              </w:rPr>
            </w:pPr>
            <w:r w:rsidRPr="004B2A0E">
              <w:rPr>
                <w:noProof/>
                <w:sz w:val="20"/>
              </w:rPr>
              <w:t>20 02 03 (AC, AL, END, INT and JPD in the Delegations)</w:t>
            </w:r>
          </w:p>
        </w:tc>
        <w:tc>
          <w:tcPr>
            <w:tcW w:w="377" w:type="pct"/>
            <w:shd w:val="clear" w:color="auto" w:fill="auto"/>
            <w:vAlign w:val="center"/>
          </w:tcPr>
          <w:p w14:paraId="783CBD89"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4D4022BC"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30816AC7"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6FEA1E05"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038E9BD5"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10FCF128"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52BC368A" w14:textId="77777777" w:rsidR="00FA1843" w:rsidRPr="004B2A0E" w:rsidRDefault="00FA1843" w:rsidP="00EE1D03">
            <w:pPr>
              <w:spacing w:beforeLines="20" w:before="48" w:afterLines="20" w:after="48"/>
              <w:jc w:val="center"/>
              <w:rPr>
                <w:noProof/>
                <w:sz w:val="20"/>
              </w:rPr>
            </w:pPr>
          </w:p>
        </w:tc>
      </w:tr>
      <w:tr w:rsidR="00FA1843" w:rsidRPr="004B2A0E" w14:paraId="2390A3B9" w14:textId="77777777" w:rsidTr="00EE1D03">
        <w:trPr>
          <w:trHeight w:val="289"/>
          <w:jc w:val="center"/>
        </w:trPr>
        <w:tc>
          <w:tcPr>
            <w:tcW w:w="1018" w:type="pct"/>
            <w:vMerge w:val="restart"/>
            <w:shd w:val="clear" w:color="auto" w:fill="auto"/>
            <w:vAlign w:val="center"/>
          </w:tcPr>
          <w:p w14:paraId="258FC1CD" w14:textId="77777777" w:rsidR="00FA1843" w:rsidRPr="004B2A0E" w:rsidRDefault="00FA1843" w:rsidP="00EE1D03">
            <w:pPr>
              <w:pStyle w:val="Text1"/>
              <w:spacing w:beforeLines="20" w:before="48" w:afterLines="20" w:after="48"/>
              <w:ind w:left="986"/>
              <w:jc w:val="left"/>
              <w:rPr>
                <w:b/>
                <w:noProof/>
                <w:sz w:val="20"/>
              </w:rPr>
            </w:pPr>
            <w:r w:rsidRPr="004B2A0E">
              <w:rPr>
                <w:noProof/>
                <w:sz w:val="20"/>
              </w:rPr>
              <w:t>Budget line(s) (specify)</w:t>
            </w:r>
            <w:r w:rsidRPr="004B2A0E">
              <w:rPr>
                <w:b/>
                <w:noProof/>
                <w:sz w:val="20"/>
              </w:rPr>
              <w:t xml:space="preserve"> </w:t>
            </w:r>
            <w:r w:rsidRPr="00080177">
              <w:rPr>
                <w:rStyle w:val="FootnoteReference"/>
                <w:b/>
                <w:noProof/>
                <w:sz w:val="20"/>
              </w:rPr>
              <w:footnoteReference w:id="67"/>
            </w:r>
          </w:p>
        </w:tc>
        <w:tc>
          <w:tcPr>
            <w:tcW w:w="1025" w:type="pct"/>
            <w:shd w:val="clear" w:color="auto" w:fill="auto"/>
            <w:vAlign w:val="center"/>
          </w:tcPr>
          <w:p w14:paraId="170A9FBB" w14:textId="77777777" w:rsidR="00FA1843" w:rsidRPr="004B2A0E" w:rsidRDefault="00FA1843" w:rsidP="00EE1D03">
            <w:pPr>
              <w:pStyle w:val="Text1"/>
              <w:spacing w:beforeLines="20" w:before="48" w:afterLines="20" w:after="48"/>
              <w:ind w:left="598"/>
              <w:jc w:val="left"/>
              <w:rPr>
                <w:b/>
                <w:noProof/>
                <w:sz w:val="20"/>
              </w:rPr>
            </w:pPr>
            <w:r w:rsidRPr="004B2A0E">
              <w:rPr>
                <w:noProof/>
                <w:sz w:val="20"/>
              </w:rPr>
              <w:t>- at Headquarters</w:t>
            </w:r>
            <w:r w:rsidRPr="004B2A0E">
              <w:rPr>
                <w:rStyle w:val="FootnoteReference"/>
                <w:noProof/>
                <w:sz w:val="20"/>
              </w:rPr>
              <w:footnoteReference w:id="68"/>
            </w:r>
            <w:r w:rsidRPr="004B2A0E">
              <w:rPr>
                <w:noProof/>
                <w:sz w:val="20"/>
              </w:rPr>
              <w:br/>
            </w:r>
          </w:p>
        </w:tc>
        <w:tc>
          <w:tcPr>
            <w:tcW w:w="377" w:type="pct"/>
            <w:shd w:val="clear" w:color="auto" w:fill="auto"/>
            <w:vAlign w:val="center"/>
          </w:tcPr>
          <w:p w14:paraId="0D9E7CA3" w14:textId="77777777" w:rsidR="00FA1843" w:rsidRPr="004B2A0E" w:rsidRDefault="00FA1843" w:rsidP="00EE1D03">
            <w:pPr>
              <w:pStyle w:val="Text1"/>
              <w:spacing w:beforeLines="20" w:before="48" w:afterLines="20" w:after="48"/>
              <w:rPr>
                <w:noProof/>
                <w:sz w:val="20"/>
              </w:rPr>
            </w:pPr>
          </w:p>
        </w:tc>
        <w:tc>
          <w:tcPr>
            <w:tcW w:w="377" w:type="pct"/>
            <w:shd w:val="clear" w:color="auto" w:fill="auto"/>
            <w:vAlign w:val="center"/>
          </w:tcPr>
          <w:p w14:paraId="1420396E"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3347FDFD"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6BE7A242"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3048A587"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6E030714"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05337EB5" w14:textId="77777777" w:rsidR="00FA1843" w:rsidRPr="004B2A0E" w:rsidRDefault="00FA1843" w:rsidP="00EE1D03">
            <w:pPr>
              <w:spacing w:beforeLines="20" w:before="48" w:afterLines="20" w:after="48"/>
              <w:jc w:val="center"/>
              <w:rPr>
                <w:noProof/>
                <w:sz w:val="20"/>
              </w:rPr>
            </w:pPr>
          </w:p>
        </w:tc>
      </w:tr>
      <w:tr w:rsidR="00FA1843" w:rsidRPr="004B2A0E" w14:paraId="17917ED2" w14:textId="77777777" w:rsidTr="00EE1D03">
        <w:trPr>
          <w:trHeight w:val="289"/>
          <w:jc w:val="center"/>
        </w:trPr>
        <w:tc>
          <w:tcPr>
            <w:tcW w:w="1018" w:type="pct"/>
            <w:vMerge/>
            <w:shd w:val="clear" w:color="auto" w:fill="auto"/>
            <w:vAlign w:val="center"/>
          </w:tcPr>
          <w:p w14:paraId="7EE5ABFF" w14:textId="77777777" w:rsidR="00FA1843" w:rsidRPr="004B2A0E" w:rsidRDefault="00FA1843" w:rsidP="00EE1D03">
            <w:pPr>
              <w:rPr>
                <w:b/>
                <w:noProof/>
                <w:sz w:val="20"/>
              </w:rPr>
            </w:pPr>
          </w:p>
        </w:tc>
        <w:tc>
          <w:tcPr>
            <w:tcW w:w="1025" w:type="pct"/>
            <w:shd w:val="clear" w:color="auto" w:fill="auto"/>
            <w:vAlign w:val="center"/>
          </w:tcPr>
          <w:p w14:paraId="4C0453E4" w14:textId="77777777" w:rsidR="00FA1843" w:rsidRPr="004B2A0E" w:rsidRDefault="00FA1843" w:rsidP="00EE1D03">
            <w:pPr>
              <w:pStyle w:val="Text1"/>
              <w:spacing w:beforeLines="20" w:before="48" w:afterLines="20" w:after="48"/>
              <w:ind w:left="598"/>
              <w:jc w:val="left"/>
              <w:rPr>
                <w:b/>
                <w:noProof/>
                <w:sz w:val="20"/>
              </w:rPr>
            </w:pPr>
            <w:r w:rsidRPr="004B2A0E">
              <w:rPr>
                <w:noProof/>
                <w:sz w:val="20"/>
              </w:rPr>
              <w:t xml:space="preserve">- in Delegations </w:t>
            </w:r>
          </w:p>
        </w:tc>
        <w:tc>
          <w:tcPr>
            <w:tcW w:w="377" w:type="pct"/>
            <w:shd w:val="clear" w:color="auto" w:fill="auto"/>
            <w:vAlign w:val="center"/>
          </w:tcPr>
          <w:p w14:paraId="5D132E37" w14:textId="77777777" w:rsidR="00FA1843" w:rsidRPr="004B2A0E" w:rsidRDefault="00FA1843" w:rsidP="00EE1D03">
            <w:pPr>
              <w:pStyle w:val="Text1"/>
              <w:spacing w:beforeLines="20" w:before="48" w:afterLines="20" w:after="48"/>
              <w:rPr>
                <w:noProof/>
                <w:sz w:val="20"/>
              </w:rPr>
            </w:pPr>
          </w:p>
        </w:tc>
        <w:tc>
          <w:tcPr>
            <w:tcW w:w="377" w:type="pct"/>
            <w:shd w:val="clear" w:color="auto" w:fill="auto"/>
            <w:vAlign w:val="center"/>
          </w:tcPr>
          <w:p w14:paraId="43E0CC65"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220E256C"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13BE54D6"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07C95CDA"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52FBD922"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22C5C133" w14:textId="77777777" w:rsidR="00FA1843" w:rsidRPr="004B2A0E" w:rsidRDefault="00FA1843" w:rsidP="00EE1D03">
            <w:pPr>
              <w:spacing w:beforeLines="20" w:before="48" w:afterLines="20" w:after="48"/>
              <w:jc w:val="center"/>
              <w:rPr>
                <w:noProof/>
                <w:sz w:val="20"/>
              </w:rPr>
            </w:pPr>
          </w:p>
        </w:tc>
      </w:tr>
      <w:tr w:rsidR="00FA1843" w:rsidRPr="004B2A0E" w14:paraId="185D3CA0" w14:textId="77777777" w:rsidTr="00EE1D03">
        <w:trPr>
          <w:trHeight w:val="289"/>
          <w:jc w:val="center"/>
        </w:trPr>
        <w:tc>
          <w:tcPr>
            <w:tcW w:w="2043" w:type="pct"/>
            <w:gridSpan w:val="2"/>
            <w:shd w:val="clear" w:color="auto" w:fill="auto"/>
            <w:vAlign w:val="center"/>
          </w:tcPr>
          <w:p w14:paraId="43BB0818" w14:textId="77777777" w:rsidR="00FA1843" w:rsidRPr="004B2A0E" w:rsidRDefault="00FA1843" w:rsidP="00EE1D03">
            <w:pPr>
              <w:pStyle w:val="Text1"/>
              <w:spacing w:beforeLines="20" w:before="48" w:afterLines="20" w:after="48"/>
              <w:ind w:left="986"/>
              <w:jc w:val="left"/>
              <w:rPr>
                <w:noProof/>
                <w:sz w:val="20"/>
              </w:rPr>
            </w:pPr>
            <w:r w:rsidRPr="004B2A0E">
              <w:rPr>
                <w:b/>
                <w:noProof/>
                <w:sz w:val="20"/>
              </w:rPr>
              <w:t>01 01 01 02</w:t>
            </w:r>
            <w:r w:rsidRPr="004B2A0E">
              <w:rPr>
                <w:noProof/>
                <w:sz w:val="20"/>
              </w:rPr>
              <w:t xml:space="preserve"> (AC, END, INT – Indirect research)</w:t>
            </w:r>
          </w:p>
        </w:tc>
        <w:tc>
          <w:tcPr>
            <w:tcW w:w="377" w:type="pct"/>
            <w:shd w:val="clear" w:color="auto" w:fill="auto"/>
            <w:vAlign w:val="center"/>
          </w:tcPr>
          <w:p w14:paraId="79325755"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1B4D572F"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011670EF"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54F71F8B"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27820379"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41CBEE15"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47796D27" w14:textId="77777777" w:rsidR="00FA1843" w:rsidRPr="004B2A0E" w:rsidRDefault="00FA1843" w:rsidP="00EE1D03">
            <w:pPr>
              <w:spacing w:beforeLines="20" w:before="48" w:afterLines="20" w:after="48"/>
              <w:jc w:val="center"/>
              <w:rPr>
                <w:noProof/>
                <w:sz w:val="20"/>
              </w:rPr>
            </w:pPr>
          </w:p>
        </w:tc>
      </w:tr>
      <w:tr w:rsidR="00FA1843" w:rsidRPr="004B2A0E" w14:paraId="7FF1C95F" w14:textId="77777777" w:rsidTr="00EE1D03">
        <w:trPr>
          <w:trHeight w:val="289"/>
          <w:jc w:val="center"/>
        </w:trPr>
        <w:tc>
          <w:tcPr>
            <w:tcW w:w="2043" w:type="pct"/>
            <w:gridSpan w:val="2"/>
            <w:shd w:val="clear" w:color="auto" w:fill="auto"/>
            <w:vAlign w:val="center"/>
          </w:tcPr>
          <w:p w14:paraId="4BEB763B" w14:textId="77777777" w:rsidR="00FA1843" w:rsidRPr="004B2A0E" w:rsidRDefault="00FA1843" w:rsidP="00EE1D03">
            <w:pPr>
              <w:pStyle w:val="Text1"/>
              <w:spacing w:beforeLines="20" w:before="48" w:afterLines="20" w:after="48"/>
              <w:ind w:left="986"/>
              <w:jc w:val="left"/>
              <w:rPr>
                <w:noProof/>
                <w:sz w:val="20"/>
              </w:rPr>
            </w:pPr>
            <w:r w:rsidRPr="004B2A0E">
              <w:rPr>
                <w:noProof/>
                <w:sz w:val="20"/>
              </w:rPr>
              <w:t>10 01 05 02 (AC, END, INT – Direct research)</w:t>
            </w:r>
          </w:p>
        </w:tc>
        <w:tc>
          <w:tcPr>
            <w:tcW w:w="377" w:type="pct"/>
            <w:shd w:val="clear" w:color="auto" w:fill="auto"/>
            <w:vAlign w:val="center"/>
          </w:tcPr>
          <w:p w14:paraId="23238070" w14:textId="77777777" w:rsidR="00FA1843" w:rsidRPr="004B2A0E" w:rsidRDefault="00FA1843" w:rsidP="00EE1D03">
            <w:pPr>
              <w:spacing w:beforeLines="20" w:before="48" w:afterLines="20" w:after="48"/>
              <w:jc w:val="center"/>
              <w:rPr>
                <w:noProof/>
                <w:sz w:val="20"/>
              </w:rPr>
            </w:pPr>
          </w:p>
        </w:tc>
        <w:tc>
          <w:tcPr>
            <w:tcW w:w="377" w:type="pct"/>
            <w:shd w:val="clear" w:color="auto" w:fill="auto"/>
            <w:vAlign w:val="center"/>
          </w:tcPr>
          <w:p w14:paraId="24031BB6" w14:textId="77777777" w:rsidR="00FA1843" w:rsidRPr="004B2A0E" w:rsidRDefault="00FA1843" w:rsidP="00EE1D03">
            <w:pPr>
              <w:spacing w:beforeLines="20" w:before="48" w:afterLines="20" w:after="48"/>
              <w:jc w:val="center"/>
              <w:rPr>
                <w:noProof/>
                <w:sz w:val="20"/>
              </w:rPr>
            </w:pPr>
          </w:p>
        </w:tc>
        <w:tc>
          <w:tcPr>
            <w:tcW w:w="406" w:type="pct"/>
            <w:shd w:val="clear" w:color="auto" w:fill="auto"/>
            <w:vAlign w:val="center"/>
          </w:tcPr>
          <w:p w14:paraId="264AD27C" w14:textId="77777777" w:rsidR="00FA1843" w:rsidRPr="004B2A0E" w:rsidRDefault="00FA1843" w:rsidP="00EE1D03">
            <w:pPr>
              <w:spacing w:beforeLines="20" w:before="48" w:afterLines="20" w:after="48"/>
              <w:jc w:val="center"/>
              <w:rPr>
                <w:noProof/>
                <w:sz w:val="20"/>
              </w:rPr>
            </w:pPr>
          </w:p>
        </w:tc>
        <w:tc>
          <w:tcPr>
            <w:tcW w:w="497" w:type="pct"/>
            <w:shd w:val="clear" w:color="auto" w:fill="auto"/>
            <w:vAlign w:val="center"/>
          </w:tcPr>
          <w:p w14:paraId="1F79AFD2" w14:textId="77777777" w:rsidR="00FA1843" w:rsidRPr="004B2A0E" w:rsidRDefault="00FA1843" w:rsidP="00EE1D03">
            <w:pPr>
              <w:spacing w:beforeLines="20" w:before="48" w:afterLines="20" w:after="48"/>
              <w:jc w:val="center"/>
              <w:rPr>
                <w:noProof/>
                <w:sz w:val="20"/>
              </w:rPr>
            </w:pPr>
          </w:p>
        </w:tc>
        <w:tc>
          <w:tcPr>
            <w:tcW w:w="424" w:type="pct"/>
            <w:shd w:val="clear" w:color="auto" w:fill="auto"/>
            <w:vAlign w:val="center"/>
          </w:tcPr>
          <w:p w14:paraId="1A5ADDCA" w14:textId="77777777" w:rsidR="00FA1843" w:rsidRPr="004B2A0E" w:rsidRDefault="00FA1843" w:rsidP="00EE1D03">
            <w:pPr>
              <w:spacing w:beforeLines="20" w:before="48" w:afterLines="20" w:after="48"/>
              <w:jc w:val="center"/>
              <w:rPr>
                <w:noProof/>
                <w:sz w:val="20"/>
              </w:rPr>
            </w:pPr>
          </w:p>
        </w:tc>
        <w:tc>
          <w:tcPr>
            <w:tcW w:w="423" w:type="pct"/>
            <w:shd w:val="clear" w:color="auto" w:fill="auto"/>
            <w:vAlign w:val="center"/>
          </w:tcPr>
          <w:p w14:paraId="2AFB4156" w14:textId="77777777" w:rsidR="00FA1843" w:rsidRPr="004B2A0E" w:rsidRDefault="00FA1843" w:rsidP="00EE1D03">
            <w:pPr>
              <w:spacing w:beforeLines="20" w:before="48" w:afterLines="20" w:after="48"/>
              <w:jc w:val="center"/>
              <w:rPr>
                <w:noProof/>
                <w:sz w:val="20"/>
              </w:rPr>
            </w:pPr>
          </w:p>
        </w:tc>
        <w:tc>
          <w:tcPr>
            <w:tcW w:w="452" w:type="pct"/>
            <w:gridSpan w:val="2"/>
            <w:shd w:val="clear" w:color="auto" w:fill="auto"/>
            <w:vAlign w:val="center"/>
          </w:tcPr>
          <w:p w14:paraId="04064781" w14:textId="77777777" w:rsidR="00FA1843" w:rsidRPr="004B2A0E" w:rsidRDefault="00FA1843" w:rsidP="00EE1D03">
            <w:pPr>
              <w:spacing w:beforeLines="20" w:before="48" w:afterLines="20" w:after="48"/>
              <w:jc w:val="center"/>
              <w:rPr>
                <w:noProof/>
                <w:sz w:val="20"/>
              </w:rPr>
            </w:pPr>
          </w:p>
        </w:tc>
      </w:tr>
      <w:tr w:rsidR="00FA1843" w:rsidRPr="004B2A0E" w14:paraId="332B33C9" w14:textId="77777777" w:rsidTr="00EE1D03">
        <w:trPr>
          <w:trHeight w:val="289"/>
          <w:jc w:val="center"/>
        </w:trPr>
        <w:tc>
          <w:tcPr>
            <w:tcW w:w="2043" w:type="pct"/>
            <w:gridSpan w:val="2"/>
            <w:tcBorders>
              <w:bottom w:val="double" w:sz="4" w:space="0" w:color="auto"/>
            </w:tcBorders>
            <w:shd w:val="clear" w:color="auto" w:fill="auto"/>
            <w:vAlign w:val="center"/>
          </w:tcPr>
          <w:p w14:paraId="79C73379" w14:textId="77777777" w:rsidR="00FA1843" w:rsidRPr="004B2A0E" w:rsidRDefault="00FA1843" w:rsidP="00EE1D03">
            <w:pPr>
              <w:pStyle w:val="Text1"/>
              <w:spacing w:beforeLines="20" w:before="48" w:afterLines="20" w:after="48"/>
              <w:ind w:left="984"/>
              <w:jc w:val="left"/>
              <w:rPr>
                <w:noProof/>
                <w:sz w:val="20"/>
              </w:rPr>
            </w:pPr>
            <w:r w:rsidRPr="004B2A0E">
              <w:rPr>
                <w:noProof/>
                <w:sz w:val="20"/>
              </w:rPr>
              <w:t>Other budget lines (specify)</w:t>
            </w:r>
          </w:p>
        </w:tc>
        <w:tc>
          <w:tcPr>
            <w:tcW w:w="377" w:type="pct"/>
            <w:tcBorders>
              <w:bottom w:val="double" w:sz="4" w:space="0" w:color="auto"/>
            </w:tcBorders>
            <w:shd w:val="clear" w:color="auto" w:fill="auto"/>
            <w:vAlign w:val="center"/>
          </w:tcPr>
          <w:p w14:paraId="6A0EB3CC" w14:textId="77777777" w:rsidR="00FA1843" w:rsidRPr="004B2A0E" w:rsidRDefault="00FA1843" w:rsidP="00EE1D03">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14:paraId="51148947" w14:textId="77777777" w:rsidR="00FA1843" w:rsidRPr="004B2A0E" w:rsidRDefault="00FA1843" w:rsidP="00EE1D03">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14:paraId="1BE33F6A" w14:textId="77777777" w:rsidR="00FA1843" w:rsidRPr="004B2A0E" w:rsidRDefault="00FA1843" w:rsidP="00EE1D03">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14:paraId="78047815" w14:textId="77777777" w:rsidR="00FA1843" w:rsidRPr="004B2A0E" w:rsidRDefault="00FA1843" w:rsidP="00EE1D03">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14:paraId="5E7FAEC5" w14:textId="77777777" w:rsidR="00FA1843" w:rsidRPr="004B2A0E" w:rsidRDefault="00FA1843" w:rsidP="00EE1D03">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14:paraId="6360A031" w14:textId="77777777" w:rsidR="00FA1843" w:rsidRPr="004B2A0E" w:rsidRDefault="00FA1843" w:rsidP="00EE1D03">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14:paraId="0CEE75D5" w14:textId="77777777" w:rsidR="00FA1843" w:rsidRPr="004B2A0E" w:rsidRDefault="00FA1843" w:rsidP="00EE1D03">
            <w:pPr>
              <w:spacing w:beforeLines="20" w:before="48" w:afterLines="20" w:after="48"/>
              <w:jc w:val="center"/>
              <w:rPr>
                <w:noProof/>
                <w:sz w:val="20"/>
              </w:rPr>
            </w:pPr>
          </w:p>
        </w:tc>
      </w:tr>
      <w:tr w:rsidR="00FA1843" w:rsidRPr="004B2A0E" w14:paraId="248FBE41" w14:textId="77777777" w:rsidTr="00EE1D03">
        <w:trPr>
          <w:trHeight w:val="289"/>
          <w:jc w:val="center"/>
        </w:trPr>
        <w:tc>
          <w:tcPr>
            <w:tcW w:w="2043" w:type="pct"/>
            <w:gridSpan w:val="2"/>
            <w:tcBorders>
              <w:top w:val="double" w:sz="4" w:space="0" w:color="auto"/>
            </w:tcBorders>
            <w:shd w:val="clear" w:color="auto" w:fill="auto"/>
            <w:vAlign w:val="center"/>
          </w:tcPr>
          <w:p w14:paraId="1B6E83D5" w14:textId="77777777" w:rsidR="00FA1843" w:rsidRPr="004B2A0E" w:rsidRDefault="00FA1843" w:rsidP="00EE1D03">
            <w:pPr>
              <w:pStyle w:val="Text1"/>
              <w:spacing w:beforeLines="20" w:before="48" w:afterLines="20" w:after="48"/>
              <w:ind w:left="986"/>
              <w:jc w:val="left"/>
              <w:rPr>
                <w:noProof/>
                <w:sz w:val="20"/>
              </w:rPr>
            </w:pPr>
            <w:r w:rsidRPr="004B2A0E">
              <w:rPr>
                <w:b/>
                <w:noProof/>
                <w:sz w:val="20"/>
              </w:rPr>
              <w:t>TOTAL</w:t>
            </w:r>
          </w:p>
        </w:tc>
        <w:tc>
          <w:tcPr>
            <w:tcW w:w="377" w:type="pct"/>
            <w:tcBorders>
              <w:top w:val="double" w:sz="4" w:space="0" w:color="auto"/>
            </w:tcBorders>
            <w:shd w:val="clear" w:color="auto" w:fill="auto"/>
            <w:vAlign w:val="center"/>
          </w:tcPr>
          <w:p w14:paraId="79C445BC" w14:textId="77777777" w:rsidR="00FA1843" w:rsidRPr="004B2A0E" w:rsidRDefault="00FA1843" w:rsidP="00EE1D03">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14:paraId="79B448CF" w14:textId="77777777" w:rsidR="00FA1843" w:rsidRPr="004B2A0E" w:rsidRDefault="00FA1843" w:rsidP="00EE1D03">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14:paraId="145A35CC" w14:textId="77777777" w:rsidR="00FA1843" w:rsidRPr="004B2A0E" w:rsidRDefault="00FA1843" w:rsidP="00EE1D03">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14:paraId="63CE8BAE" w14:textId="77777777" w:rsidR="00FA1843" w:rsidRPr="004B2A0E" w:rsidRDefault="00FA1843" w:rsidP="00EE1D03">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14:paraId="05D17160" w14:textId="77777777" w:rsidR="00FA1843" w:rsidRPr="004B2A0E" w:rsidRDefault="00FA1843" w:rsidP="00EE1D03">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14:paraId="4EF71736" w14:textId="77777777" w:rsidR="00FA1843" w:rsidRPr="004B2A0E" w:rsidRDefault="00FA1843" w:rsidP="00EE1D03">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14:paraId="78425A51" w14:textId="77777777" w:rsidR="00FA1843" w:rsidRPr="004B2A0E" w:rsidRDefault="00FA1843" w:rsidP="00EE1D03">
            <w:pPr>
              <w:spacing w:beforeLines="20" w:before="48" w:afterLines="20" w:after="48"/>
              <w:jc w:val="center"/>
              <w:rPr>
                <w:b/>
                <w:noProof/>
                <w:sz w:val="20"/>
              </w:rPr>
            </w:pPr>
          </w:p>
        </w:tc>
      </w:tr>
    </w:tbl>
    <w:p w14:paraId="39827B96" w14:textId="77777777" w:rsidR="00FA1843" w:rsidRPr="004B2A0E" w:rsidRDefault="00FA1843" w:rsidP="00FA1843">
      <w:pPr>
        <w:pStyle w:val="Text1"/>
        <w:rPr>
          <w:noProof/>
          <w:sz w:val="22"/>
        </w:rPr>
      </w:pPr>
      <w:r w:rsidRPr="004B2A0E">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5DCBF744" w14:textId="77777777" w:rsidR="00FA1843" w:rsidRPr="004B2A0E" w:rsidRDefault="00FA1843" w:rsidP="00FA1843">
      <w:pPr>
        <w:rPr>
          <w:noProof/>
          <w:sz w:val="20"/>
        </w:rPr>
      </w:pPr>
      <w:r w:rsidRPr="004B2A0E">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A1843" w:rsidRPr="004B2A0E" w14:paraId="35D4439E" w14:textId="77777777" w:rsidTr="00EE1D03">
        <w:tc>
          <w:tcPr>
            <w:tcW w:w="3240" w:type="dxa"/>
          </w:tcPr>
          <w:p w14:paraId="74D9DA5F" w14:textId="77777777" w:rsidR="00FA1843" w:rsidRPr="004B2A0E" w:rsidRDefault="00FA1843" w:rsidP="00EE1D03">
            <w:pPr>
              <w:rPr>
                <w:noProof/>
                <w:sz w:val="20"/>
              </w:rPr>
            </w:pPr>
            <w:r w:rsidRPr="004B2A0E">
              <w:rPr>
                <w:noProof/>
                <w:sz w:val="20"/>
              </w:rPr>
              <w:t>Officials and temporary staff</w:t>
            </w:r>
          </w:p>
        </w:tc>
        <w:tc>
          <w:tcPr>
            <w:tcW w:w="7200" w:type="dxa"/>
          </w:tcPr>
          <w:p w14:paraId="649B5337" w14:textId="77777777" w:rsidR="00FA1843" w:rsidRPr="004B2A0E" w:rsidRDefault="00FA1843" w:rsidP="00EE1D03">
            <w:pPr>
              <w:rPr>
                <w:noProof/>
                <w:sz w:val="20"/>
              </w:rPr>
            </w:pPr>
          </w:p>
        </w:tc>
      </w:tr>
      <w:tr w:rsidR="00FA1843" w:rsidRPr="004B2A0E" w14:paraId="269092AE" w14:textId="77777777" w:rsidTr="00EE1D03">
        <w:tc>
          <w:tcPr>
            <w:tcW w:w="3240" w:type="dxa"/>
          </w:tcPr>
          <w:p w14:paraId="2B32C7B0" w14:textId="77777777" w:rsidR="00FA1843" w:rsidRPr="004B2A0E" w:rsidRDefault="00FA1843" w:rsidP="00EE1D03">
            <w:pPr>
              <w:spacing w:before="60" w:after="60"/>
              <w:rPr>
                <w:noProof/>
                <w:sz w:val="20"/>
              </w:rPr>
            </w:pPr>
            <w:r w:rsidRPr="004B2A0E">
              <w:rPr>
                <w:noProof/>
                <w:sz w:val="20"/>
              </w:rPr>
              <w:t>External staff</w:t>
            </w:r>
          </w:p>
        </w:tc>
        <w:tc>
          <w:tcPr>
            <w:tcW w:w="7200" w:type="dxa"/>
          </w:tcPr>
          <w:p w14:paraId="562362C2" w14:textId="77777777" w:rsidR="00FA1843" w:rsidRPr="004B2A0E" w:rsidRDefault="00FA1843" w:rsidP="00EE1D03">
            <w:pPr>
              <w:rPr>
                <w:noProof/>
                <w:sz w:val="20"/>
              </w:rPr>
            </w:pPr>
          </w:p>
        </w:tc>
      </w:tr>
    </w:tbl>
    <w:p w14:paraId="1357EDC3" w14:textId="77777777" w:rsidR="00FA1843" w:rsidRPr="004B2A0E" w:rsidRDefault="00FA1843" w:rsidP="00FA1843">
      <w:pPr>
        <w:rPr>
          <w:noProof/>
        </w:rPr>
      </w:pPr>
    </w:p>
    <w:p w14:paraId="2F490F6F" w14:textId="77777777" w:rsidR="00FA1843" w:rsidRPr="004B2A0E" w:rsidRDefault="00FA1843" w:rsidP="00FA1843">
      <w:pPr>
        <w:rPr>
          <w:noProof/>
        </w:rPr>
        <w:sectPr w:rsidR="00FA1843" w:rsidRPr="004B2A0E" w:rsidSect="00783A24">
          <w:pgSz w:w="11907" w:h="16839"/>
          <w:pgMar w:top="1134" w:right="1417" w:bottom="1134" w:left="1417" w:header="709" w:footer="709" w:gutter="0"/>
          <w:cols w:space="720"/>
          <w:docGrid w:linePitch="326"/>
        </w:sectPr>
      </w:pPr>
      <w:r w:rsidRPr="004B2A0E">
        <w:rPr>
          <w:noProof/>
        </w:rPr>
        <w:t xml:space="preserve">Description of the calculation of cost for FTE units should be included in the Annex V, section 3. </w:t>
      </w:r>
    </w:p>
    <w:p w14:paraId="20E1D4A4" w14:textId="43C7E516" w:rsidR="00FA1843" w:rsidRPr="004B2A0E" w:rsidRDefault="002A7F8C" w:rsidP="002A7F8C">
      <w:pPr>
        <w:pStyle w:val="ManualHeading3"/>
        <w:rPr>
          <w:bCs/>
          <w:noProof/>
          <w:szCs w:val="24"/>
        </w:rPr>
      </w:pPr>
      <w:bookmarkStart w:id="65" w:name="_Toc514938689"/>
      <w:bookmarkStart w:id="66" w:name="_Toc520485448"/>
      <w:r w:rsidRPr="002A7F8C">
        <w:rPr>
          <w:noProof/>
        </w:rPr>
        <w:t>3.2.4.</w:t>
      </w:r>
      <w:r w:rsidRPr="002A7F8C">
        <w:rPr>
          <w:noProof/>
        </w:rPr>
        <w:tab/>
      </w:r>
      <w:r w:rsidR="00FA1843" w:rsidRPr="004B2A0E">
        <w:rPr>
          <w:noProof/>
        </w:rPr>
        <w:t>Compatibility with the current multiannual financial framework</w:t>
      </w:r>
      <w:bookmarkEnd w:id="65"/>
      <w:bookmarkEnd w:id="66"/>
      <w:r w:rsidR="00FA1843" w:rsidRPr="004B2A0E">
        <w:rPr>
          <w:noProof/>
        </w:rPr>
        <w:t xml:space="preserve"> </w:t>
      </w:r>
    </w:p>
    <w:p w14:paraId="12A75DB7" w14:textId="77777777" w:rsidR="00FA1843" w:rsidRPr="004B2A0E" w:rsidRDefault="00FA1843" w:rsidP="00580A58">
      <w:pPr>
        <w:pStyle w:val="ListDash1"/>
        <w:numPr>
          <w:ilvl w:val="0"/>
          <w:numId w:val="21"/>
        </w:numPr>
        <w:rPr>
          <w:noProof/>
        </w:rPr>
      </w:pPr>
      <w:r w:rsidRPr="004B2A0E">
        <w:rPr>
          <w:noProof/>
        </w:rPr>
        <w:sym w:font="Wingdings" w:char="F0FE"/>
      </w:r>
      <w:r w:rsidRPr="004B2A0E">
        <w:rPr>
          <w:noProof/>
        </w:rPr>
        <w:tab/>
        <w:t>The proposal/initiative is compatible the current multiannual financial framework.</w:t>
      </w:r>
    </w:p>
    <w:p w14:paraId="39C2E98E" w14:textId="77777777" w:rsidR="00FA1843" w:rsidRPr="004B2A0E" w:rsidRDefault="00FA1843" w:rsidP="00580A58">
      <w:pPr>
        <w:pStyle w:val="ListDash1"/>
        <w:numPr>
          <w:ilvl w:val="0"/>
          <w:numId w:val="21"/>
        </w:numPr>
        <w:rPr>
          <w:noProof/>
        </w:rPr>
      </w:pPr>
      <w:r w:rsidRPr="004B2A0E">
        <w:rPr>
          <w:noProof/>
        </w:rPr>
        <w:sym w:font="Wingdings" w:char="F0A8"/>
      </w:r>
      <w:r w:rsidRPr="004B2A0E">
        <w:rPr>
          <w:noProof/>
        </w:rPr>
        <w:tab/>
        <w:t>The proposal/initiative will entail reprogramming of the relevant heading in the multiannual financial framework.</w:t>
      </w:r>
    </w:p>
    <w:p w14:paraId="0586CFA5" w14:textId="77777777" w:rsidR="00FA1843" w:rsidRDefault="00FA1843" w:rsidP="00FA1843">
      <w:pPr>
        <w:pStyle w:val="Text1"/>
        <w:pBdr>
          <w:top w:val="single" w:sz="4" w:space="1" w:color="auto"/>
          <w:left w:val="single" w:sz="4" w:space="4" w:color="auto"/>
          <w:bottom w:val="single" w:sz="4" w:space="1" w:color="auto"/>
          <w:right w:val="single" w:sz="4" w:space="4" w:color="auto"/>
        </w:pBdr>
        <w:rPr>
          <w:noProof/>
          <w:sz w:val="20"/>
        </w:rPr>
      </w:pPr>
      <w:r w:rsidRPr="004B2A0E">
        <w:rPr>
          <w:noProof/>
          <w:sz w:val="20"/>
        </w:rPr>
        <w:t>Explain what reprogramming is required, specifying the budget lines concerned and the corresponding amounts.</w:t>
      </w:r>
    </w:p>
    <w:p w14:paraId="1FD8A55D"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sz w:val="20"/>
        </w:rPr>
      </w:pPr>
      <w:r>
        <w:rPr>
          <w:noProof/>
          <w:sz w:val="20"/>
        </w:rPr>
        <w:t>N/A</w:t>
      </w:r>
    </w:p>
    <w:p w14:paraId="554CB202" w14:textId="77777777" w:rsidR="00FA1843" w:rsidRPr="004B2A0E" w:rsidRDefault="00FA1843" w:rsidP="00580A58">
      <w:pPr>
        <w:pStyle w:val="ListDash1"/>
        <w:numPr>
          <w:ilvl w:val="0"/>
          <w:numId w:val="21"/>
        </w:numPr>
        <w:rPr>
          <w:noProof/>
        </w:rPr>
      </w:pPr>
      <w:r w:rsidRPr="004B2A0E">
        <w:rPr>
          <w:noProof/>
        </w:rPr>
        <w:sym w:font="Wingdings" w:char="F0A8"/>
      </w:r>
      <w:r w:rsidRPr="004B2A0E">
        <w:rPr>
          <w:noProof/>
        </w:rPr>
        <w:tab/>
        <w:t>The proposal/initiative requires application of the flexibility instrument or revision of the multiannual financial framework</w:t>
      </w:r>
      <w:r w:rsidRPr="004B2A0E">
        <w:rPr>
          <w:rStyle w:val="FootnoteReference"/>
          <w:noProof/>
        </w:rPr>
        <w:footnoteReference w:id="69"/>
      </w:r>
      <w:r w:rsidRPr="004B2A0E">
        <w:rPr>
          <w:noProof/>
        </w:rPr>
        <w:t>.</w:t>
      </w:r>
    </w:p>
    <w:p w14:paraId="7A55CCAB" w14:textId="77777777"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sz w:val="20"/>
        </w:rPr>
      </w:pPr>
      <w:r w:rsidRPr="004B2A0E">
        <w:rPr>
          <w:noProof/>
          <w:sz w:val="20"/>
        </w:rPr>
        <w:t>Explain what is required, specifying the headings and budget lines concerned and the corresponding amounts.</w:t>
      </w:r>
    </w:p>
    <w:p w14:paraId="4899A313" w14:textId="77777777" w:rsidR="00FA1843" w:rsidRPr="00080177" w:rsidRDefault="00FA1843" w:rsidP="00FA1843">
      <w:pPr>
        <w:pStyle w:val="Text1"/>
        <w:pBdr>
          <w:top w:val="single" w:sz="4" w:space="1" w:color="auto"/>
          <w:left w:val="single" w:sz="4" w:space="4" w:color="auto"/>
          <w:bottom w:val="single" w:sz="4" w:space="1" w:color="auto"/>
          <w:right w:val="single" w:sz="4" w:space="4" w:color="auto"/>
        </w:pBdr>
        <w:rPr>
          <w:noProof/>
          <w:sz w:val="20"/>
        </w:rPr>
      </w:pPr>
      <w:r w:rsidRPr="00080177">
        <w:rPr>
          <w:noProof/>
          <w:sz w:val="20"/>
        </w:rPr>
        <w:t>N/A</w:t>
      </w:r>
    </w:p>
    <w:p w14:paraId="4911D98E" w14:textId="2DC0429A" w:rsidR="00FA1843" w:rsidRPr="004B2A0E" w:rsidRDefault="002A7F8C" w:rsidP="002A7F8C">
      <w:pPr>
        <w:pStyle w:val="ManualHeading3"/>
        <w:rPr>
          <w:bCs/>
          <w:noProof/>
          <w:szCs w:val="24"/>
        </w:rPr>
      </w:pPr>
      <w:bookmarkStart w:id="67" w:name="_Toc514938690"/>
      <w:bookmarkStart w:id="68" w:name="_Toc520485449"/>
      <w:r w:rsidRPr="002A7F8C">
        <w:rPr>
          <w:noProof/>
        </w:rPr>
        <w:t>3.2.5.</w:t>
      </w:r>
      <w:r w:rsidRPr="002A7F8C">
        <w:rPr>
          <w:noProof/>
        </w:rPr>
        <w:tab/>
      </w:r>
      <w:r w:rsidR="00FA1843" w:rsidRPr="004B2A0E">
        <w:rPr>
          <w:noProof/>
        </w:rPr>
        <w:t>Third-party contributions</w:t>
      </w:r>
      <w:bookmarkEnd w:id="67"/>
      <w:bookmarkEnd w:id="68"/>
      <w:r w:rsidR="00FA1843" w:rsidRPr="004B2A0E">
        <w:rPr>
          <w:noProof/>
        </w:rPr>
        <w:t xml:space="preserve"> </w:t>
      </w:r>
    </w:p>
    <w:p w14:paraId="4CD40BA1" w14:textId="77777777" w:rsidR="00FA1843" w:rsidRPr="004B2A0E" w:rsidRDefault="00FA1843" w:rsidP="00580A58">
      <w:pPr>
        <w:pStyle w:val="ListDash1"/>
        <w:numPr>
          <w:ilvl w:val="0"/>
          <w:numId w:val="21"/>
        </w:numPr>
        <w:rPr>
          <w:noProof/>
        </w:rPr>
      </w:pPr>
      <w:r w:rsidRPr="004B2A0E">
        <w:rPr>
          <w:noProof/>
        </w:rPr>
        <w:sym w:font="Wingdings" w:char="F0A8"/>
      </w:r>
      <w:r w:rsidRPr="004B2A0E">
        <w:rPr>
          <w:noProof/>
        </w:rPr>
        <w:tab/>
        <w:t xml:space="preserve">The proposal/initiative does not provide for co-financing by third parties. </w:t>
      </w:r>
    </w:p>
    <w:p w14:paraId="7DCF00AB" w14:textId="77777777" w:rsidR="00FA1843" w:rsidRPr="004B2A0E" w:rsidRDefault="00FA1843" w:rsidP="00580A58">
      <w:pPr>
        <w:pStyle w:val="ListDash1"/>
        <w:numPr>
          <w:ilvl w:val="0"/>
          <w:numId w:val="21"/>
        </w:numPr>
        <w:rPr>
          <w:noProof/>
        </w:rPr>
      </w:pPr>
      <w:r w:rsidRPr="004B2A0E">
        <w:rPr>
          <w:noProof/>
        </w:rPr>
        <w:sym w:font="Wingdings" w:char="F0FE"/>
      </w:r>
      <w:r w:rsidRPr="004B2A0E">
        <w:rPr>
          <w:noProof/>
        </w:rPr>
        <w:tab/>
        <w:t>The proposal/initiative provides for the co-financing estimated below:</w:t>
      </w:r>
    </w:p>
    <w:p w14:paraId="09599084" w14:textId="77777777" w:rsidR="00FA1843" w:rsidRPr="004B2A0E" w:rsidRDefault="00FA1843" w:rsidP="00FA1843">
      <w:pPr>
        <w:jc w:val="right"/>
        <w:rPr>
          <w:noProof/>
          <w:sz w:val="20"/>
        </w:rPr>
      </w:pPr>
      <w:r w:rsidRPr="004B2A0E">
        <w:rPr>
          <w:noProof/>
          <w:sz w:val="20"/>
        </w:rPr>
        <w:t>EUR million (to three decimal places)</w:t>
      </w:r>
    </w:p>
    <w:tbl>
      <w:tblPr>
        <w:tblW w:w="87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0"/>
        <w:gridCol w:w="972"/>
        <w:gridCol w:w="972"/>
        <w:gridCol w:w="972"/>
        <w:gridCol w:w="972"/>
        <w:gridCol w:w="972"/>
        <w:gridCol w:w="972"/>
      </w:tblGrid>
      <w:tr w:rsidR="00FA1843" w:rsidRPr="004B2A0E" w14:paraId="23F83949" w14:textId="77777777" w:rsidTr="00EE1D03">
        <w:trPr>
          <w:cantSplit/>
        </w:trPr>
        <w:tc>
          <w:tcPr>
            <w:tcW w:w="2950" w:type="dxa"/>
            <w:vAlign w:val="center"/>
          </w:tcPr>
          <w:p w14:paraId="4C09DD1D" w14:textId="77777777" w:rsidR="00FA1843" w:rsidRPr="004B2A0E" w:rsidRDefault="00FA1843" w:rsidP="00EE1D03">
            <w:pPr>
              <w:spacing w:before="60" w:after="60"/>
              <w:rPr>
                <w:noProof/>
                <w:sz w:val="20"/>
                <w:szCs w:val="20"/>
              </w:rPr>
            </w:pPr>
          </w:p>
        </w:tc>
        <w:tc>
          <w:tcPr>
            <w:tcW w:w="972" w:type="dxa"/>
            <w:vAlign w:val="center"/>
          </w:tcPr>
          <w:p w14:paraId="31746E1D" w14:textId="77777777" w:rsidR="00FA1843" w:rsidRPr="004B2A0E" w:rsidRDefault="00FA1843" w:rsidP="00EE1D03">
            <w:pPr>
              <w:jc w:val="center"/>
              <w:rPr>
                <w:noProof/>
                <w:sz w:val="20"/>
                <w:szCs w:val="20"/>
              </w:rPr>
            </w:pPr>
            <w:r w:rsidRPr="004B2A0E">
              <w:rPr>
                <w:noProof/>
                <w:sz w:val="20"/>
                <w:szCs w:val="20"/>
              </w:rPr>
              <w:t>2023</w:t>
            </w:r>
          </w:p>
        </w:tc>
        <w:tc>
          <w:tcPr>
            <w:tcW w:w="972" w:type="dxa"/>
            <w:vAlign w:val="center"/>
          </w:tcPr>
          <w:p w14:paraId="5AB11A70" w14:textId="77777777" w:rsidR="00FA1843" w:rsidRPr="004B2A0E" w:rsidRDefault="00FA1843" w:rsidP="00EE1D03">
            <w:pPr>
              <w:jc w:val="center"/>
              <w:rPr>
                <w:noProof/>
                <w:sz w:val="20"/>
                <w:szCs w:val="20"/>
              </w:rPr>
            </w:pPr>
            <w:r w:rsidRPr="004B2A0E">
              <w:rPr>
                <w:noProof/>
                <w:sz w:val="20"/>
                <w:szCs w:val="20"/>
              </w:rPr>
              <w:t>2024</w:t>
            </w:r>
          </w:p>
        </w:tc>
        <w:tc>
          <w:tcPr>
            <w:tcW w:w="972" w:type="dxa"/>
            <w:vAlign w:val="center"/>
          </w:tcPr>
          <w:p w14:paraId="5750149A" w14:textId="77777777" w:rsidR="00FA1843" w:rsidRPr="004B2A0E" w:rsidRDefault="00FA1843" w:rsidP="00EE1D03">
            <w:pPr>
              <w:jc w:val="center"/>
              <w:rPr>
                <w:noProof/>
                <w:sz w:val="20"/>
                <w:szCs w:val="20"/>
              </w:rPr>
            </w:pPr>
            <w:r w:rsidRPr="004B2A0E">
              <w:rPr>
                <w:noProof/>
                <w:sz w:val="20"/>
                <w:szCs w:val="20"/>
              </w:rPr>
              <w:t>2025</w:t>
            </w:r>
          </w:p>
        </w:tc>
        <w:tc>
          <w:tcPr>
            <w:tcW w:w="972" w:type="dxa"/>
            <w:vAlign w:val="center"/>
          </w:tcPr>
          <w:p w14:paraId="36333096" w14:textId="77777777" w:rsidR="00FA1843" w:rsidRPr="004B2A0E" w:rsidRDefault="00FA1843" w:rsidP="00EE1D03">
            <w:pPr>
              <w:jc w:val="center"/>
              <w:rPr>
                <w:noProof/>
                <w:sz w:val="20"/>
                <w:szCs w:val="20"/>
              </w:rPr>
            </w:pPr>
            <w:r w:rsidRPr="004B2A0E">
              <w:rPr>
                <w:noProof/>
                <w:sz w:val="20"/>
                <w:szCs w:val="20"/>
              </w:rPr>
              <w:t>2026</w:t>
            </w:r>
          </w:p>
        </w:tc>
        <w:tc>
          <w:tcPr>
            <w:tcW w:w="972" w:type="dxa"/>
            <w:vAlign w:val="center"/>
          </w:tcPr>
          <w:p w14:paraId="64DBBFC2" w14:textId="77777777" w:rsidR="00FA1843" w:rsidRPr="004B2A0E" w:rsidRDefault="00FA1843" w:rsidP="00EE1D03">
            <w:pPr>
              <w:jc w:val="center"/>
              <w:rPr>
                <w:noProof/>
                <w:sz w:val="20"/>
                <w:szCs w:val="20"/>
              </w:rPr>
            </w:pPr>
            <w:r w:rsidRPr="004B2A0E">
              <w:rPr>
                <w:noProof/>
                <w:sz w:val="20"/>
                <w:szCs w:val="20"/>
              </w:rPr>
              <w:t>2027</w:t>
            </w:r>
          </w:p>
        </w:tc>
        <w:tc>
          <w:tcPr>
            <w:tcW w:w="972" w:type="dxa"/>
            <w:vAlign w:val="center"/>
          </w:tcPr>
          <w:p w14:paraId="5D586A70" w14:textId="77777777" w:rsidR="00FA1843" w:rsidRPr="00CC398E" w:rsidRDefault="00FA1843" w:rsidP="00EE1D03">
            <w:pPr>
              <w:spacing w:before="60" w:after="60"/>
              <w:jc w:val="center"/>
              <w:rPr>
                <w:b/>
                <w:bCs/>
                <w:noProof/>
                <w:sz w:val="20"/>
                <w:szCs w:val="20"/>
              </w:rPr>
            </w:pPr>
            <w:r w:rsidRPr="00CC398E">
              <w:rPr>
                <w:b/>
                <w:bCs/>
                <w:noProof/>
                <w:sz w:val="20"/>
                <w:szCs w:val="20"/>
              </w:rPr>
              <w:t>Total</w:t>
            </w:r>
          </w:p>
        </w:tc>
      </w:tr>
      <w:tr w:rsidR="00FA1843" w:rsidRPr="004B2A0E" w14:paraId="167487AC" w14:textId="77777777" w:rsidTr="00EE1D03">
        <w:trPr>
          <w:cantSplit/>
        </w:trPr>
        <w:tc>
          <w:tcPr>
            <w:tcW w:w="2950" w:type="dxa"/>
            <w:vAlign w:val="center"/>
          </w:tcPr>
          <w:p w14:paraId="04BA5CE5" w14:textId="77777777" w:rsidR="00FA1843" w:rsidRPr="00A30348" w:rsidRDefault="00FA1843" w:rsidP="00EE1D03">
            <w:pPr>
              <w:jc w:val="left"/>
              <w:rPr>
                <w:noProof/>
                <w:sz w:val="18"/>
                <w:szCs w:val="18"/>
              </w:rPr>
            </w:pPr>
            <w:r w:rsidRPr="00A30348">
              <w:rPr>
                <w:noProof/>
                <w:sz w:val="18"/>
                <w:szCs w:val="18"/>
              </w:rPr>
              <w:t xml:space="preserve">Estimate of costs covered by supervisory fees </w:t>
            </w:r>
          </w:p>
        </w:tc>
        <w:tc>
          <w:tcPr>
            <w:tcW w:w="972" w:type="dxa"/>
            <w:vAlign w:val="center"/>
          </w:tcPr>
          <w:p w14:paraId="7C8A7995" w14:textId="77777777" w:rsidR="00FA1843" w:rsidRPr="004B2A0E" w:rsidRDefault="00FA1843" w:rsidP="00EE1D03">
            <w:pPr>
              <w:spacing w:before="60" w:after="60"/>
              <w:jc w:val="right"/>
              <w:rPr>
                <w:noProof/>
                <w:sz w:val="20"/>
                <w:szCs w:val="20"/>
              </w:rPr>
            </w:pPr>
          </w:p>
        </w:tc>
        <w:tc>
          <w:tcPr>
            <w:tcW w:w="972" w:type="dxa"/>
            <w:vAlign w:val="center"/>
          </w:tcPr>
          <w:p w14:paraId="67673267" w14:textId="77777777" w:rsidR="00FA1843" w:rsidRPr="00E45712" w:rsidRDefault="00FA1843" w:rsidP="00EE1D03">
            <w:pPr>
              <w:spacing w:before="60" w:after="60"/>
              <w:jc w:val="right"/>
              <w:rPr>
                <w:noProof/>
                <w:sz w:val="20"/>
                <w:szCs w:val="20"/>
              </w:rPr>
            </w:pPr>
          </w:p>
        </w:tc>
        <w:tc>
          <w:tcPr>
            <w:tcW w:w="972" w:type="dxa"/>
            <w:vAlign w:val="center"/>
          </w:tcPr>
          <w:p w14:paraId="7D057B32" w14:textId="4BBA4A7A" w:rsidR="00FA1843" w:rsidRPr="008A11FA" w:rsidRDefault="00FA1843" w:rsidP="008A11FA">
            <w:pPr>
              <w:jc w:val="center"/>
              <w:rPr>
                <w:noProof/>
                <w:sz w:val="20"/>
                <w:szCs w:val="20"/>
              </w:rPr>
            </w:pPr>
            <w:r w:rsidRPr="008A11FA">
              <w:rPr>
                <w:noProof/>
                <w:sz w:val="20"/>
                <w:szCs w:val="20"/>
              </w:rPr>
              <w:t xml:space="preserve">1.911 </w:t>
            </w:r>
          </w:p>
          <w:p w14:paraId="56542EF0" w14:textId="77777777" w:rsidR="00FA1843" w:rsidRPr="008A11FA" w:rsidRDefault="00FA1843" w:rsidP="008A11FA">
            <w:pPr>
              <w:jc w:val="center"/>
              <w:rPr>
                <w:noProof/>
                <w:sz w:val="20"/>
                <w:szCs w:val="20"/>
              </w:rPr>
            </w:pPr>
          </w:p>
        </w:tc>
        <w:tc>
          <w:tcPr>
            <w:tcW w:w="972" w:type="dxa"/>
            <w:vAlign w:val="center"/>
          </w:tcPr>
          <w:p w14:paraId="76999E1A" w14:textId="0026A1FB" w:rsidR="00FA1843" w:rsidRDefault="00FA1843" w:rsidP="008A11FA">
            <w:pPr>
              <w:jc w:val="center"/>
              <w:rPr>
                <w:noProof/>
                <w:sz w:val="20"/>
                <w:szCs w:val="20"/>
              </w:rPr>
            </w:pPr>
            <w:r w:rsidRPr="008A11FA">
              <w:rPr>
                <w:noProof/>
                <w:sz w:val="20"/>
                <w:szCs w:val="20"/>
              </w:rPr>
              <w:t xml:space="preserve">3.833 </w:t>
            </w:r>
          </w:p>
          <w:p w14:paraId="5B0022D8" w14:textId="77777777" w:rsidR="00FA1843" w:rsidRPr="008A11FA" w:rsidRDefault="00FA1843" w:rsidP="008A11FA">
            <w:pPr>
              <w:jc w:val="center"/>
              <w:rPr>
                <w:noProof/>
                <w:sz w:val="20"/>
                <w:szCs w:val="20"/>
              </w:rPr>
            </w:pPr>
          </w:p>
        </w:tc>
        <w:tc>
          <w:tcPr>
            <w:tcW w:w="972" w:type="dxa"/>
            <w:vAlign w:val="center"/>
          </w:tcPr>
          <w:p w14:paraId="1B722DB8" w14:textId="357909D6" w:rsidR="00FA1843" w:rsidRPr="008A11FA" w:rsidRDefault="00FA1843" w:rsidP="008A11FA">
            <w:pPr>
              <w:jc w:val="center"/>
              <w:rPr>
                <w:noProof/>
                <w:sz w:val="20"/>
                <w:szCs w:val="20"/>
              </w:rPr>
            </w:pPr>
            <w:r w:rsidRPr="008A11FA">
              <w:rPr>
                <w:noProof/>
                <w:sz w:val="20"/>
                <w:szCs w:val="20"/>
              </w:rPr>
              <w:t xml:space="preserve">3.685 </w:t>
            </w:r>
          </w:p>
          <w:p w14:paraId="0650A3F8" w14:textId="77777777" w:rsidR="00FA1843" w:rsidRPr="008A11FA" w:rsidRDefault="00FA1843" w:rsidP="008A11FA">
            <w:pPr>
              <w:jc w:val="center"/>
              <w:rPr>
                <w:noProof/>
                <w:sz w:val="20"/>
                <w:szCs w:val="20"/>
              </w:rPr>
            </w:pPr>
          </w:p>
        </w:tc>
        <w:tc>
          <w:tcPr>
            <w:tcW w:w="972" w:type="dxa"/>
            <w:vAlign w:val="center"/>
          </w:tcPr>
          <w:p w14:paraId="7DFCD379" w14:textId="34CFAC9F" w:rsidR="00FA1843" w:rsidRPr="008A11FA" w:rsidRDefault="00FA1843" w:rsidP="008A11FA">
            <w:pPr>
              <w:jc w:val="center"/>
              <w:rPr>
                <w:noProof/>
                <w:sz w:val="20"/>
                <w:szCs w:val="20"/>
              </w:rPr>
            </w:pPr>
            <w:r w:rsidRPr="008A11FA">
              <w:rPr>
                <w:noProof/>
                <w:sz w:val="20"/>
                <w:szCs w:val="20"/>
              </w:rPr>
              <w:t>9.430</w:t>
            </w:r>
          </w:p>
          <w:p w14:paraId="6749D4C5" w14:textId="77777777" w:rsidR="00FA1843" w:rsidRPr="008A11FA" w:rsidRDefault="00FA1843" w:rsidP="008A11FA">
            <w:pPr>
              <w:jc w:val="center"/>
              <w:rPr>
                <w:noProof/>
                <w:sz w:val="20"/>
                <w:szCs w:val="20"/>
              </w:rPr>
            </w:pPr>
          </w:p>
        </w:tc>
      </w:tr>
      <w:tr w:rsidR="00FA1843" w:rsidRPr="004B2A0E" w14:paraId="6F20841F" w14:textId="77777777" w:rsidTr="00EE1D03">
        <w:trPr>
          <w:cantSplit/>
        </w:trPr>
        <w:tc>
          <w:tcPr>
            <w:tcW w:w="2950" w:type="dxa"/>
            <w:vAlign w:val="center"/>
          </w:tcPr>
          <w:p w14:paraId="0F859FDD" w14:textId="77777777" w:rsidR="00FA1843" w:rsidRPr="00CC398E" w:rsidRDefault="00FA1843" w:rsidP="00EE1D03">
            <w:pPr>
              <w:spacing w:before="60" w:after="60"/>
              <w:rPr>
                <w:b/>
                <w:bCs/>
                <w:noProof/>
                <w:sz w:val="20"/>
                <w:szCs w:val="20"/>
              </w:rPr>
            </w:pPr>
            <w:r w:rsidRPr="00CC398E">
              <w:rPr>
                <w:b/>
                <w:bCs/>
                <w:noProof/>
                <w:sz w:val="20"/>
                <w:szCs w:val="20"/>
              </w:rPr>
              <w:t xml:space="preserve">TOTAL appropriations co-financed </w:t>
            </w:r>
            <w:r>
              <w:rPr>
                <w:b/>
                <w:bCs/>
                <w:noProof/>
                <w:sz w:val="20"/>
                <w:szCs w:val="20"/>
              </w:rPr>
              <w:t>(including employer’s pension contributions)</w:t>
            </w:r>
          </w:p>
        </w:tc>
        <w:tc>
          <w:tcPr>
            <w:tcW w:w="972" w:type="dxa"/>
            <w:vAlign w:val="center"/>
          </w:tcPr>
          <w:p w14:paraId="1452949D" w14:textId="77777777" w:rsidR="00FA1843" w:rsidRPr="00CC398E" w:rsidRDefault="00FA1843" w:rsidP="00EE1D03">
            <w:pPr>
              <w:spacing w:before="60" w:after="60"/>
              <w:jc w:val="right"/>
              <w:rPr>
                <w:b/>
                <w:bCs/>
                <w:noProof/>
                <w:sz w:val="20"/>
                <w:szCs w:val="20"/>
              </w:rPr>
            </w:pPr>
          </w:p>
        </w:tc>
        <w:tc>
          <w:tcPr>
            <w:tcW w:w="972" w:type="dxa"/>
            <w:vAlign w:val="center"/>
          </w:tcPr>
          <w:p w14:paraId="3F1C0EC5" w14:textId="77777777" w:rsidR="00FA1843" w:rsidRPr="00CC398E" w:rsidRDefault="00FA1843" w:rsidP="00EE1D03">
            <w:pPr>
              <w:spacing w:before="60" w:after="60"/>
              <w:jc w:val="right"/>
              <w:rPr>
                <w:b/>
                <w:bCs/>
                <w:noProof/>
                <w:sz w:val="20"/>
                <w:szCs w:val="20"/>
              </w:rPr>
            </w:pPr>
          </w:p>
        </w:tc>
        <w:tc>
          <w:tcPr>
            <w:tcW w:w="972" w:type="dxa"/>
            <w:vAlign w:val="center"/>
          </w:tcPr>
          <w:p w14:paraId="7A22DB00" w14:textId="1E1E112D" w:rsidR="00FA1843" w:rsidRPr="008A11FA" w:rsidRDefault="00FA1843" w:rsidP="008A11FA">
            <w:pPr>
              <w:jc w:val="center"/>
              <w:rPr>
                <w:noProof/>
                <w:sz w:val="20"/>
                <w:szCs w:val="20"/>
              </w:rPr>
            </w:pPr>
            <w:r w:rsidRPr="008A11FA">
              <w:rPr>
                <w:noProof/>
                <w:sz w:val="20"/>
                <w:szCs w:val="20"/>
              </w:rPr>
              <w:t xml:space="preserve">1.911 </w:t>
            </w:r>
          </w:p>
          <w:p w14:paraId="26388829" w14:textId="77777777" w:rsidR="00FA1843" w:rsidRPr="008A11FA" w:rsidRDefault="00FA1843" w:rsidP="008A11FA">
            <w:pPr>
              <w:jc w:val="center"/>
              <w:rPr>
                <w:noProof/>
                <w:sz w:val="20"/>
                <w:szCs w:val="20"/>
              </w:rPr>
            </w:pPr>
          </w:p>
        </w:tc>
        <w:tc>
          <w:tcPr>
            <w:tcW w:w="972" w:type="dxa"/>
            <w:vAlign w:val="center"/>
          </w:tcPr>
          <w:p w14:paraId="77EA5ED9" w14:textId="0285B4C8" w:rsidR="00FA1843" w:rsidRPr="008A11FA" w:rsidRDefault="00FA1843" w:rsidP="008A11FA">
            <w:pPr>
              <w:jc w:val="center"/>
              <w:rPr>
                <w:noProof/>
                <w:sz w:val="20"/>
                <w:szCs w:val="20"/>
              </w:rPr>
            </w:pPr>
            <w:r w:rsidRPr="008A11FA">
              <w:rPr>
                <w:noProof/>
                <w:sz w:val="20"/>
                <w:szCs w:val="20"/>
              </w:rPr>
              <w:t xml:space="preserve">3.833 </w:t>
            </w:r>
          </w:p>
          <w:p w14:paraId="75459E72" w14:textId="77777777" w:rsidR="00FA1843" w:rsidRPr="008A11FA" w:rsidRDefault="00FA1843" w:rsidP="008A11FA">
            <w:pPr>
              <w:jc w:val="center"/>
              <w:rPr>
                <w:noProof/>
                <w:sz w:val="20"/>
                <w:szCs w:val="20"/>
              </w:rPr>
            </w:pPr>
          </w:p>
        </w:tc>
        <w:tc>
          <w:tcPr>
            <w:tcW w:w="972" w:type="dxa"/>
            <w:vAlign w:val="center"/>
          </w:tcPr>
          <w:p w14:paraId="4351DE41" w14:textId="5E75106E" w:rsidR="00FA1843" w:rsidRPr="008A11FA" w:rsidRDefault="00FA1843" w:rsidP="008A11FA">
            <w:pPr>
              <w:jc w:val="center"/>
              <w:rPr>
                <w:noProof/>
                <w:sz w:val="20"/>
                <w:szCs w:val="20"/>
              </w:rPr>
            </w:pPr>
            <w:r w:rsidRPr="008A11FA">
              <w:rPr>
                <w:noProof/>
                <w:sz w:val="20"/>
                <w:szCs w:val="20"/>
              </w:rPr>
              <w:t xml:space="preserve">3.685 </w:t>
            </w:r>
          </w:p>
          <w:p w14:paraId="36C84279" w14:textId="77777777" w:rsidR="00FA1843" w:rsidRPr="008A11FA" w:rsidRDefault="00FA1843" w:rsidP="008A11FA">
            <w:pPr>
              <w:jc w:val="center"/>
              <w:rPr>
                <w:noProof/>
                <w:sz w:val="20"/>
                <w:szCs w:val="20"/>
              </w:rPr>
            </w:pPr>
          </w:p>
        </w:tc>
        <w:tc>
          <w:tcPr>
            <w:tcW w:w="972" w:type="dxa"/>
            <w:vAlign w:val="center"/>
          </w:tcPr>
          <w:p w14:paraId="286527A1" w14:textId="4C043982" w:rsidR="00FA1843" w:rsidRPr="008A11FA" w:rsidRDefault="00FA1843" w:rsidP="008A11FA">
            <w:pPr>
              <w:jc w:val="center"/>
              <w:rPr>
                <w:noProof/>
                <w:sz w:val="20"/>
                <w:szCs w:val="20"/>
              </w:rPr>
            </w:pPr>
            <w:r w:rsidRPr="008A11FA">
              <w:rPr>
                <w:noProof/>
                <w:sz w:val="20"/>
                <w:szCs w:val="20"/>
              </w:rPr>
              <w:t xml:space="preserve">9.430 </w:t>
            </w:r>
          </w:p>
          <w:p w14:paraId="4BAE0C73" w14:textId="77777777" w:rsidR="00FA1843" w:rsidRPr="008A11FA" w:rsidRDefault="00FA1843" w:rsidP="008A11FA">
            <w:pPr>
              <w:jc w:val="center"/>
              <w:rPr>
                <w:noProof/>
                <w:sz w:val="20"/>
                <w:szCs w:val="20"/>
              </w:rPr>
            </w:pPr>
          </w:p>
        </w:tc>
      </w:tr>
    </w:tbl>
    <w:p w14:paraId="4D798C20" w14:textId="77525CD5" w:rsidR="00FA1843" w:rsidRPr="004B2A0E" w:rsidRDefault="00FA1843" w:rsidP="002A7F8C">
      <w:pPr>
        <w:pStyle w:val="ManualHeading2"/>
        <w:rPr>
          <w:bCs/>
          <w:noProof/>
          <w:szCs w:val="24"/>
        </w:rPr>
      </w:pPr>
      <w:r w:rsidRPr="004B2A0E">
        <w:rPr>
          <w:noProof/>
        </w:rPr>
        <w:br w:type="page"/>
      </w:r>
      <w:bookmarkStart w:id="69" w:name="_Toc514938691"/>
      <w:bookmarkStart w:id="70" w:name="_Toc520485450"/>
      <w:r w:rsidR="002A7F8C" w:rsidRPr="002A7F8C">
        <w:rPr>
          <w:noProof/>
        </w:rPr>
        <w:t>3.3.</w:t>
      </w:r>
      <w:r w:rsidR="002A7F8C" w:rsidRPr="002A7F8C">
        <w:rPr>
          <w:noProof/>
        </w:rPr>
        <w:tab/>
      </w:r>
      <w:r w:rsidRPr="004B2A0E">
        <w:rPr>
          <w:noProof/>
        </w:rPr>
        <w:t>Estimated impact on revenue</w:t>
      </w:r>
      <w:bookmarkEnd w:id="69"/>
      <w:bookmarkEnd w:id="70"/>
      <w:r w:rsidRPr="004B2A0E">
        <w:rPr>
          <w:noProof/>
        </w:rPr>
        <w:t xml:space="preserve"> </w:t>
      </w:r>
    </w:p>
    <w:p w14:paraId="4B0192FF" w14:textId="77777777" w:rsidR="00FA1843" w:rsidRPr="004B2A0E" w:rsidRDefault="00FA1843" w:rsidP="00580A58">
      <w:pPr>
        <w:pStyle w:val="ListDash1"/>
        <w:numPr>
          <w:ilvl w:val="0"/>
          <w:numId w:val="21"/>
        </w:numPr>
        <w:rPr>
          <w:noProof/>
        </w:rPr>
      </w:pPr>
      <w:r w:rsidRPr="004B2A0E">
        <w:rPr>
          <w:noProof/>
        </w:rPr>
        <w:sym w:font="Wingdings" w:char="F0FE"/>
      </w:r>
      <w:r w:rsidRPr="004B2A0E">
        <w:rPr>
          <w:noProof/>
        </w:rPr>
        <w:tab/>
        <w:t>The proposal/initiative has no financial impact on revenue.</w:t>
      </w:r>
    </w:p>
    <w:p w14:paraId="167125A5" w14:textId="77777777" w:rsidR="00FA1843" w:rsidRPr="004B2A0E" w:rsidRDefault="00FA1843" w:rsidP="00580A58">
      <w:pPr>
        <w:pStyle w:val="ListDash1"/>
        <w:numPr>
          <w:ilvl w:val="0"/>
          <w:numId w:val="21"/>
        </w:numPr>
        <w:rPr>
          <w:noProof/>
        </w:rPr>
      </w:pPr>
      <w:r w:rsidRPr="004B2A0E">
        <w:rPr>
          <w:noProof/>
        </w:rPr>
        <w:sym w:font="Wingdings" w:char="F0A8"/>
      </w:r>
      <w:r w:rsidRPr="004B2A0E">
        <w:rPr>
          <w:noProof/>
        </w:rPr>
        <w:tab/>
        <w:t>The proposal/initiative has the following financial impact:</w:t>
      </w:r>
    </w:p>
    <w:p w14:paraId="0DBDD8BA" w14:textId="77777777" w:rsidR="00FA1843" w:rsidRPr="004B2A0E" w:rsidRDefault="00FA1843" w:rsidP="00580A58">
      <w:pPr>
        <w:pStyle w:val="ListNumberLevel3"/>
        <w:numPr>
          <w:ilvl w:val="2"/>
          <w:numId w:val="19"/>
        </w:numPr>
        <w:rPr>
          <w:noProof/>
        </w:rPr>
      </w:pPr>
      <w:r w:rsidRPr="004B2A0E">
        <w:rPr>
          <w:noProof/>
        </w:rPr>
        <w:sym w:font="Wingdings" w:char="F0A8"/>
      </w:r>
      <w:r w:rsidRPr="004B2A0E">
        <w:rPr>
          <w:noProof/>
        </w:rPr>
        <w:tab/>
        <w:t xml:space="preserve">on own resources </w:t>
      </w:r>
    </w:p>
    <w:p w14:paraId="47300A5F" w14:textId="77777777" w:rsidR="00FA1843" w:rsidRPr="004B2A0E" w:rsidRDefault="00FA1843" w:rsidP="00580A58">
      <w:pPr>
        <w:pStyle w:val="ListNumberLevel3"/>
        <w:numPr>
          <w:ilvl w:val="2"/>
          <w:numId w:val="19"/>
        </w:numPr>
        <w:rPr>
          <w:noProof/>
        </w:rPr>
      </w:pPr>
      <w:r w:rsidRPr="004B2A0E">
        <w:rPr>
          <w:noProof/>
        </w:rPr>
        <w:sym w:font="Wingdings" w:char="F0A8"/>
      </w:r>
      <w:r w:rsidRPr="004B2A0E">
        <w:rPr>
          <w:noProof/>
        </w:rPr>
        <w:tab/>
        <w:t xml:space="preserve">on other revenue </w:t>
      </w:r>
    </w:p>
    <w:p w14:paraId="190ABE33" w14:textId="3E9BB30E" w:rsidR="00FA1843" w:rsidRPr="004B2A0E" w:rsidRDefault="00FA1843" w:rsidP="00580A58">
      <w:pPr>
        <w:pStyle w:val="ListNumberLevel3"/>
        <w:numPr>
          <w:ilvl w:val="2"/>
          <w:numId w:val="19"/>
        </w:numPr>
        <w:rPr>
          <w:noProof/>
        </w:rPr>
      </w:pPr>
      <w:r w:rsidRPr="004B2A0E">
        <w:rPr>
          <w:noProof/>
        </w:rPr>
        <w:sym w:font="Wingdings" w:char="F0A8"/>
      </w:r>
      <w:r w:rsidRPr="004B2A0E">
        <w:rPr>
          <w:noProof/>
        </w:rPr>
        <w:t xml:space="preserve">        please indicate, if the revenue is assigned to expenditure lines </w:t>
      </w:r>
    </w:p>
    <w:p w14:paraId="4C2F5C48" w14:textId="77777777" w:rsidR="00FA1843" w:rsidRPr="004B2A0E" w:rsidRDefault="00FA1843" w:rsidP="00FA1843">
      <w:pPr>
        <w:jc w:val="right"/>
        <w:rPr>
          <w:i/>
          <w:noProof/>
          <w:sz w:val="20"/>
        </w:rPr>
      </w:pPr>
      <w:r w:rsidRPr="004B2A0E">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FA1843" w:rsidRPr="004B2A0E" w14:paraId="21FF1B08" w14:textId="77777777" w:rsidTr="00EE1D03">
        <w:trPr>
          <w:trHeight w:val="388"/>
        </w:trPr>
        <w:tc>
          <w:tcPr>
            <w:tcW w:w="2144" w:type="dxa"/>
            <w:vMerge w:val="restart"/>
            <w:vAlign w:val="center"/>
          </w:tcPr>
          <w:p w14:paraId="4FF40102" w14:textId="77777777" w:rsidR="00FA1843" w:rsidRPr="004B2A0E" w:rsidRDefault="00FA1843" w:rsidP="00EE1D03">
            <w:pPr>
              <w:spacing w:before="40" w:after="40"/>
              <w:rPr>
                <w:noProof/>
                <w:sz w:val="18"/>
              </w:rPr>
            </w:pPr>
            <w:r w:rsidRPr="004B2A0E">
              <w:rPr>
                <w:noProof/>
                <w:sz w:val="18"/>
              </w:rPr>
              <w:t>Budget revenue line:</w:t>
            </w:r>
          </w:p>
        </w:tc>
        <w:tc>
          <w:tcPr>
            <w:tcW w:w="1276" w:type="dxa"/>
            <w:vMerge w:val="restart"/>
            <w:vAlign w:val="center"/>
          </w:tcPr>
          <w:p w14:paraId="5ED7952C" w14:textId="77777777" w:rsidR="00FA1843" w:rsidRPr="004B2A0E" w:rsidRDefault="00FA1843" w:rsidP="00EE1D03">
            <w:pPr>
              <w:jc w:val="center"/>
              <w:rPr>
                <w:noProof/>
                <w:sz w:val="18"/>
              </w:rPr>
            </w:pPr>
            <w:r w:rsidRPr="004B2A0E">
              <w:rPr>
                <w:noProof/>
                <w:sz w:val="18"/>
              </w:rPr>
              <w:t>Appropriations available for the current financial year</w:t>
            </w:r>
          </w:p>
        </w:tc>
        <w:tc>
          <w:tcPr>
            <w:tcW w:w="7200" w:type="dxa"/>
            <w:gridSpan w:val="7"/>
            <w:vAlign w:val="center"/>
          </w:tcPr>
          <w:p w14:paraId="0F82A4F6" w14:textId="77777777" w:rsidR="00FA1843" w:rsidRPr="004B2A0E" w:rsidRDefault="00FA1843" w:rsidP="00EE1D03">
            <w:pPr>
              <w:jc w:val="center"/>
              <w:rPr>
                <w:noProof/>
                <w:sz w:val="18"/>
              </w:rPr>
            </w:pPr>
            <w:r w:rsidRPr="004B2A0E">
              <w:rPr>
                <w:noProof/>
                <w:sz w:val="18"/>
              </w:rPr>
              <w:t>Impact of the proposal/initiative</w:t>
            </w:r>
            <w:r w:rsidRPr="004B2A0E">
              <w:rPr>
                <w:rStyle w:val="FootnoteReference"/>
                <w:noProof/>
                <w:sz w:val="18"/>
              </w:rPr>
              <w:footnoteReference w:id="70"/>
            </w:r>
          </w:p>
        </w:tc>
      </w:tr>
      <w:tr w:rsidR="00FA1843" w:rsidRPr="004B2A0E" w14:paraId="046C02A6" w14:textId="77777777" w:rsidTr="00EE1D03">
        <w:trPr>
          <w:trHeight w:val="388"/>
        </w:trPr>
        <w:tc>
          <w:tcPr>
            <w:tcW w:w="2144" w:type="dxa"/>
            <w:vMerge/>
            <w:vAlign w:val="center"/>
          </w:tcPr>
          <w:p w14:paraId="52BCB515" w14:textId="77777777" w:rsidR="00FA1843" w:rsidRPr="004B2A0E" w:rsidRDefault="00FA1843" w:rsidP="00EE1D03">
            <w:pPr>
              <w:rPr>
                <w:noProof/>
                <w:sz w:val="18"/>
              </w:rPr>
            </w:pPr>
          </w:p>
        </w:tc>
        <w:tc>
          <w:tcPr>
            <w:tcW w:w="1276" w:type="dxa"/>
            <w:vMerge/>
            <w:vAlign w:val="center"/>
          </w:tcPr>
          <w:p w14:paraId="2C7BC2CB" w14:textId="77777777" w:rsidR="00FA1843" w:rsidRPr="004B2A0E" w:rsidRDefault="00FA1843" w:rsidP="00EE1D03">
            <w:pPr>
              <w:rPr>
                <w:noProof/>
                <w:sz w:val="18"/>
              </w:rPr>
            </w:pPr>
          </w:p>
        </w:tc>
        <w:tc>
          <w:tcPr>
            <w:tcW w:w="1080" w:type="dxa"/>
            <w:vAlign w:val="center"/>
          </w:tcPr>
          <w:p w14:paraId="22ECA942" w14:textId="77777777" w:rsidR="00FA1843" w:rsidRPr="004B2A0E" w:rsidRDefault="00FA1843" w:rsidP="00EE1D03">
            <w:pPr>
              <w:jc w:val="center"/>
              <w:rPr>
                <w:noProof/>
                <w:sz w:val="18"/>
              </w:rPr>
            </w:pPr>
            <w:r w:rsidRPr="004B2A0E">
              <w:rPr>
                <w:noProof/>
                <w:sz w:val="18"/>
              </w:rPr>
              <w:t>Year</w:t>
            </w:r>
            <w:r w:rsidRPr="004B2A0E">
              <w:rPr>
                <w:noProof/>
                <w:sz w:val="22"/>
              </w:rPr>
              <w:br/>
            </w:r>
            <w:r w:rsidRPr="004B2A0E">
              <w:rPr>
                <w:b/>
                <w:noProof/>
                <w:sz w:val="18"/>
              </w:rPr>
              <w:t>N</w:t>
            </w:r>
          </w:p>
        </w:tc>
        <w:tc>
          <w:tcPr>
            <w:tcW w:w="900" w:type="dxa"/>
            <w:vAlign w:val="center"/>
          </w:tcPr>
          <w:p w14:paraId="6C2615B3" w14:textId="77777777" w:rsidR="00FA1843" w:rsidRPr="004B2A0E" w:rsidRDefault="00FA1843" w:rsidP="00EE1D03">
            <w:pPr>
              <w:jc w:val="center"/>
              <w:rPr>
                <w:noProof/>
                <w:sz w:val="18"/>
              </w:rPr>
            </w:pPr>
            <w:r w:rsidRPr="004B2A0E">
              <w:rPr>
                <w:noProof/>
                <w:sz w:val="18"/>
              </w:rPr>
              <w:t>Year</w:t>
            </w:r>
            <w:r w:rsidRPr="004B2A0E">
              <w:rPr>
                <w:noProof/>
                <w:sz w:val="22"/>
              </w:rPr>
              <w:br/>
            </w:r>
            <w:r w:rsidRPr="004B2A0E">
              <w:rPr>
                <w:b/>
                <w:noProof/>
                <w:sz w:val="18"/>
              </w:rPr>
              <w:t>N+1</w:t>
            </w:r>
          </w:p>
        </w:tc>
        <w:tc>
          <w:tcPr>
            <w:tcW w:w="900" w:type="dxa"/>
            <w:vAlign w:val="center"/>
          </w:tcPr>
          <w:p w14:paraId="0C1B743C" w14:textId="77777777" w:rsidR="00FA1843" w:rsidRPr="004B2A0E" w:rsidRDefault="00FA1843" w:rsidP="00EE1D03">
            <w:pPr>
              <w:jc w:val="center"/>
              <w:rPr>
                <w:noProof/>
                <w:sz w:val="18"/>
              </w:rPr>
            </w:pPr>
            <w:r w:rsidRPr="004B2A0E">
              <w:rPr>
                <w:noProof/>
                <w:sz w:val="18"/>
              </w:rPr>
              <w:t>Year</w:t>
            </w:r>
            <w:r w:rsidRPr="004B2A0E">
              <w:rPr>
                <w:noProof/>
                <w:sz w:val="22"/>
              </w:rPr>
              <w:br/>
            </w:r>
            <w:r w:rsidRPr="004B2A0E">
              <w:rPr>
                <w:b/>
                <w:noProof/>
                <w:sz w:val="18"/>
              </w:rPr>
              <w:t>N+2</w:t>
            </w:r>
          </w:p>
        </w:tc>
        <w:tc>
          <w:tcPr>
            <w:tcW w:w="1080" w:type="dxa"/>
            <w:vAlign w:val="center"/>
          </w:tcPr>
          <w:p w14:paraId="1446CD2F" w14:textId="77777777" w:rsidR="00FA1843" w:rsidRPr="004B2A0E" w:rsidRDefault="00FA1843" w:rsidP="00EE1D03">
            <w:pPr>
              <w:jc w:val="center"/>
              <w:rPr>
                <w:noProof/>
                <w:sz w:val="18"/>
              </w:rPr>
            </w:pPr>
            <w:r w:rsidRPr="004B2A0E">
              <w:rPr>
                <w:noProof/>
                <w:sz w:val="18"/>
              </w:rPr>
              <w:t>Year</w:t>
            </w:r>
            <w:r w:rsidRPr="004B2A0E">
              <w:rPr>
                <w:noProof/>
                <w:sz w:val="22"/>
              </w:rPr>
              <w:br/>
            </w:r>
            <w:r w:rsidRPr="004B2A0E">
              <w:rPr>
                <w:b/>
                <w:noProof/>
                <w:sz w:val="18"/>
              </w:rPr>
              <w:t>N+3</w:t>
            </w:r>
          </w:p>
        </w:tc>
        <w:tc>
          <w:tcPr>
            <w:tcW w:w="3240" w:type="dxa"/>
            <w:gridSpan w:val="3"/>
            <w:vAlign w:val="center"/>
          </w:tcPr>
          <w:p w14:paraId="7B3A3E11" w14:textId="77777777" w:rsidR="00FA1843" w:rsidRPr="004B2A0E" w:rsidRDefault="00FA1843" w:rsidP="00EE1D03">
            <w:pPr>
              <w:jc w:val="center"/>
              <w:rPr>
                <w:b/>
                <w:noProof/>
                <w:sz w:val="18"/>
              </w:rPr>
            </w:pPr>
            <w:r w:rsidRPr="004B2A0E">
              <w:rPr>
                <w:noProof/>
                <w:sz w:val="18"/>
              </w:rPr>
              <w:t>Enter as many years as necessary to show the duration of the impact (see point 1.6)</w:t>
            </w:r>
          </w:p>
        </w:tc>
      </w:tr>
      <w:tr w:rsidR="00FA1843" w:rsidRPr="004B2A0E" w14:paraId="7EBDB0CE" w14:textId="77777777" w:rsidTr="00EE1D03">
        <w:trPr>
          <w:trHeight w:val="388"/>
        </w:trPr>
        <w:tc>
          <w:tcPr>
            <w:tcW w:w="2144" w:type="dxa"/>
            <w:vAlign w:val="center"/>
          </w:tcPr>
          <w:p w14:paraId="3EAE4025" w14:textId="77777777" w:rsidR="00FA1843" w:rsidRPr="004B2A0E" w:rsidRDefault="00FA1843" w:rsidP="00EE1D03">
            <w:pPr>
              <w:spacing w:before="40" w:after="40"/>
              <w:rPr>
                <w:noProof/>
                <w:sz w:val="18"/>
              </w:rPr>
            </w:pPr>
            <w:r w:rsidRPr="004B2A0E">
              <w:rPr>
                <w:noProof/>
                <w:sz w:val="18"/>
              </w:rPr>
              <w:t>Article ………….</w:t>
            </w:r>
          </w:p>
        </w:tc>
        <w:tc>
          <w:tcPr>
            <w:tcW w:w="1276" w:type="dxa"/>
          </w:tcPr>
          <w:p w14:paraId="3DDF9ADE" w14:textId="77777777" w:rsidR="00FA1843" w:rsidRPr="004B2A0E" w:rsidRDefault="00FA1843" w:rsidP="00EE1D03">
            <w:pPr>
              <w:spacing w:beforeLines="40" w:before="96" w:afterLines="40" w:after="96"/>
              <w:jc w:val="center"/>
              <w:rPr>
                <w:i/>
                <w:noProof/>
                <w:sz w:val="18"/>
              </w:rPr>
            </w:pPr>
          </w:p>
        </w:tc>
        <w:tc>
          <w:tcPr>
            <w:tcW w:w="1080" w:type="dxa"/>
          </w:tcPr>
          <w:p w14:paraId="4644FECE" w14:textId="77777777" w:rsidR="00FA1843" w:rsidRPr="004B2A0E" w:rsidRDefault="00FA1843" w:rsidP="00EE1D03">
            <w:pPr>
              <w:spacing w:beforeLines="40" w:before="96" w:afterLines="40" w:after="96"/>
              <w:jc w:val="center"/>
              <w:rPr>
                <w:noProof/>
                <w:sz w:val="18"/>
              </w:rPr>
            </w:pPr>
          </w:p>
        </w:tc>
        <w:tc>
          <w:tcPr>
            <w:tcW w:w="900" w:type="dxa"/>
          </w:tcPr>
          <w:p w14:paraId="5FEFFB9A" w14:textId="77777777" w:rsidR="00FA1843" w:rsidRPr="004B2A0E" w:rsidRDefault="00FA1843" w:rsidP="00EE1D03">
            <w:pPr>
              <w:spacing w:beforeLines="40" w:before="96" w:afterLines="40" w:after="96"/>
              <w:jc w:val="center"/>
              <w:rPr>
                <w:noProof/>
                <w:sz w:val="18"/>
              </w:rPr>
            </w:pPr>
          </w:p>
        </w:tc>
        <w:tc>
          <w:tcPr>
            <w:tcW w:w="900" w:type="dxa"/>
          </w:tcPr>
          <w:p w14:paraId="149429D3" w14:textId="77777777" w:rsidR="00FA1843" w:rsidRPr="004B2A0E" w:rsidRDefault="00FA1843" w:rsidP="00EE1D03">
            <w:pPr>
              <w:spacing w:beforeLines="40" w:before="96" w:afterLines="40" w:after="96"/>
              <w:jc w:val="center"/>
              <w:rPr>
                <w:noProof/>
                <w:sz w:val="18"/>
              </w:rPr>
            </w:pPr>
          </w:p>
        </w:tc>
        <w:tc>
          <w:tcPr>
            <w:tcW w:w="1080" w:type="dxa"/>
          </w:tcPr>
          <w:p w14:paraId="13154631" w14:textId="77777777" w:rsidR="00FA1843" w:rsidRPr="004B2A0E" w:rsidRDefault="00FA1843" w:rsidP="00EE1D03">
            <w:pPr>
              <w:spacing w:beforeLines="40" w:before="96" w:afterLines="40" w:after="96"/>
              <w:jc w:val="center"/>
              <w:rPr>
                <w:noProof/>
                <w:sz w:val="18"/>
              </w:rPr>
            </w:pPr>
          </w:p>
        </w:tc>
        <w:tc>
          <w:tcPr>
            <w:tcW w:w="1080" w:type="dxa"/>
          </w:tcPr>
          <w:p w14:paraId="323284AB" w14:textId="77777777" w:rsidR="00FA1843" w:rsidRPr="004B2A0E" w:rsidRDefault="00FA1843" w:rsidP="00EE1D03">
            <w:pPr>
              <w:spacing w:beforeLines="40" w:before="96" w:afterLines="40" w:after="96"/>
              <w:jc w:val="center"/>
              <w:rPr>
                <w:noProof/>
                <w:sz w:val="18"/>
              </w:rPr>
            </w:pPr>
          </w:p>
        </w:tc>
        <w:tc>
          <w:tcPr>
            <w:tcW w:w="1080" w:type="dxa"/>
          </w:tcPr>
          <w:p w14:paraId="571856CE" w14:textId="77777777" w:rsidR="00FA1843" w:rsidRPr="004B2A0E" w:rsidRDefault="00FA1843" w:rsidP="00EE1D03">
            <w:pPr>
              <w:spacing w:beforeLines="40" w:before="96" w:afterLines="40" w:after="96"/>
              <w:jc w:val="center"/>
              <w:rPr>
                <w:noProof/>
                <w:sz w:val="18"/>
              </w:rPr>
            </w:pPr>
          </w:p>
        </w:tc>
        <w:tc>
          <w:tcPr>
            <w:tcW w:w="1080" w:type="dxa"/>
          </w:tcPr>
          <w:p w14:paraId="5BC71000" w14:textId="77777777" w:rsidR="00FA1843" w:rsidRPr="004B2A0E" w:rsidRDefault="00FA1843" w:rsidP="00EE1D03">
            <w:pPr>
              <w:spacing w:beforeLines="40" w:before="96" w:afterLines="40" w:after="96"/>
              <w:jc w:val="center"/>
              <w:rPr>
                <w:noProof/>
                <w:sz w:val="18"/>
              </w:rPr>
            </w:pPr>
          </w:p>
        </w:tc>
      </w:tr>
    </w:tbl>
    <w:p w14:paraId="4E34C2C0" w14:textId="77777777" w:rsidR="00FA1843" w:rsidRPr="004B2A0E" w:rsidRDefault="00FA1843" w:rsidP="00FA1843">
      <w:pPr>
        <w:pStyle w:val="Text1"/>
        <w:rPr>
          <w:noProof/>
          <w:sz w:val="20"/>
        </w:rPr>
      </w:pPr>
      <w:r w:rsidRPr="004B2A0E">
        <w:rPr>
          <w:noProof/>
          <w:sz w:val="20"/>
        </w:rPr>
        <w:t>For miscellaneous ‘assigned’ revenue, specify the budget expenditure line(s) affected.</w:t>
      </w:r>
    </w:p>
    <w:p w14:paraId="59201996" w14:textId="7D960C51"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p>
    <w:p w14:paraId="3F828787" w14:textId="77777777" w:rsidR="00FA1843" w:rsidRPr="004B2A0E" w:rsidRDefault="00FA1843" w:rsidP="00FA1843">
      <w:pPr>
        <w:pStyle w:val="Text1"/>
        <w:rPr>
          <w:noProof/>
          <w:sz w:val="20"/>
        </w:rPr>
      </w:pPr>
      <w:r w:rsidRPr="004B2A0E">
        <w:rPr>
          <w:noProof/>
          <w:sz w:val="20"/>
        </w:rPr>
        <w:t>Specify the method for calculating the impact on revenue.</w:t>
      </w:r>
    </w:p>
    <w:p w14:paraId="0D961F70" w14:textId="1C6B553A" w:rsidR="00FA1843" w:rsidRPr="004B2A0E" w:rsidRDefault="00FA1843" w:rsidP="00FA1843">
      <w:pPr>
        <w:pStyle w:val="Text1"/>
        <w:pBdr>
          <w:top w:val="single" w:sz="4" w:space="1" w:color="auto"/>
          <w:left w:val="single" w:sz="4" w:space="4" w:color="auto"/>
          <w:bottom w:val="single" w:sz="4" w:space="1" w:color="auto"/>
          <w:right w:val="single" w:sz="4" w:space="4" w:color="auto"/>
        </w:pBdr>
        <w:rPr>
          <w:noProof/>
        </w:rPr>
      </w:pPr>
    </w:p>
    <w:p w14:paraId="5340B38C" w14:textId="77777777" w:rsidR="00FA1843" w:rsidRPr="004B2A0E" w:rsidRDefault="00FA1843" w:rsidP="00FA1843">
      <w:pPr>
        <w:rPr>
          <w:noProof/>
        </w:rPr>
      </w:pPr>
    </w:p>
    <w:p w14:paraId="7434F3F9" w14:textId="77777777" w:rsidR="00FA1843" w:rsidRPr="004B2A0E" w:rsidRDefault="00FA1843" w:rsidP="00FA1843">
      <w:pPr>
        <w:spacing w:before="0" w:after="200" w:line="276" w:lineRule="auto"/>
        <w:jc w:val="left"/>
        <w:rPr>
          <w:noProof/>
        </w:rPr>
      </w:pPr>
      <w:r w:rsidRPr="004B2A0E">
        <w:rPr>
          <w:noProof/>
        </w:rPr>
        <w:br w:type="page"/>
      </w:r>
    </w:p>
    <w:p w14:paraId="2E8089CD" w14:textId="77777777" w:rsidR="00FA1843" w:rsidRPr="004B2A0E" w:rsidRDefault="00FA1843" w:rsidP="00FA1843">
      <w:pPr>
        <w:rPr>
          <w:b/>
          <w:noProof/>
          <w:u w:val="single"/>
        </w:rPr>
      </w:pPr>
      <w:r w:rsidRPr="004B2A0E">
        <w:rPr>
          <w:b/>
          <w:noProof/>
          <w:u w:val="single"/>
        </w:rPr>
        <w:t xml:space="preserve">Annex to the Legislative Financial Statement </w:t>
      </w:r>
    </w:p>
    <w:p w14:paraId="0BFD9F8A" w14:textId="77777777" w:rsidR="00FA1843" w:rsidRPr="005B03C3" w:rsidRDefault="00FA1843" w:rsidP="00FA1843">
      <w:pPr>
        <w:rPr>
          <w:noProof/>
          <w:u w:val="single"/>
        </w:rPr>
      </w:pPr>
      <w:r w:rsidRPr="005B03C3">
        <w:rPr>
          <w:noProof/>
          <w:u w:val="single"/>
        </w:rPr>
        <w:t>General Assumptions:</w:t>
      </w:r>
    </w:p>
    <w:p w14:paraId="1BDE182C" w14:textId="77777777" w:rsidR="00FA1843" w:rsidRPr="000A03B8" w:rsidRDefault="00FA1843" w:rsidP="004E776C">
      <w:pPr>
        <w:pStyle w:val="ListBullet"/>
        <w:rPr>
          <w:noProof/>
        </w:rPr>
      </w:pPr>
      <w:r w:rsidRPr="000A03B8">
        <w:rPr>
          <w:noProof/>
        </w:rPr>
        <w:t>Legislation enters into force</w:t>
      </w:r>
      <w:r>
        <w:rPr>
          <w:noProof/>
        </w:rPr>
        <w:t xml:space="preserve"> in the </w:t>
      </w:r>
      <w:r w:rsidRPr="000A03B8">
        <w:rPr>
          <w:noProof/>
        </w:rPr>
        <w:t xml:space="preserve">second </w:t>
      </w:r>
      <w:r>
        <w:rPr>
          <w:noProof/>
        </w:rPr>
        <w:t xml:space="preserve">half </w:t>
      </w:r>
      <w:r w:rsidRPr="000A03B8">
        <w:rPr>
          <w:noProof/>
        </w:rPr>
        <w:t>of 2024.</w:t>
      </w:r>
    </w:p>
    <w:p w14:paraId="32521BD0" w14:textId="77777777" w:rsidR="00FA1843" w:rsidRPr="004B2A0E" w:rsidRDefault="00FA1843" w:rsidP="004E776C">
      <w:pPr>
        <w:pStyle w:val="ListBullet"/>
        <w:rPr>
          <w:noProof/>
        </w:rPr>
      </w:pPr>
      <w:r w:rsidRPr="000A03B8">
        <w:rPr>
          <w:noProof/>
        </w:rPr>
        <w:t>Direct supervision and fees will start</w:t>
      </w:r>
      <w:r>
        <w:rPr>
          <w:noProof/>
        </w:rPr>
        <w:t xml:space="preserve"> 6 months later,</w:t>
      </w:r>
      <w:r w:rsidRPr="000A03B8">
        <w:rPr>
          <w:noProof/>
        </w:rPr>
        <w:t xml:space="preserve"> in 2025</w:t>
      </w:r>
      <w:r w:rsidRPr="004B2A0E">
        <w:rPr>
          <w:noProof/>
        </w:rPr>
        <w:t>.</w:t>
      </w:r>
    </w:p>
    <w:p w14:paraId="1301CD83" w14:textId="77777777" w:rsidR="00FA1843" w:rsidRDefault="00FA1843" w:rsidP="004E776C">
      <w:pPr>
        <w:pStyle w:val="ListBullet"/>
        <w:rPr>
          <w:noProof/>
        </w:rPr>
      </w:pPr>
      <w:r>
        <w:rPr>
          <w:noProof/>
        </w:rPr>
        <w:t xml:space="preserve">The cost of </w:t>
      </w:r>
      <w:r w:rsidRPr="006D1812">
        <w:rPr>
          <w:noProof/>
          <w:u w:val="single"/>
        </w:rPr>
        <w:t>additional staff expenditure</w:t>
      </w:r>
      <w:r>
        <w:rPr>
          <w:noProof/>
          <w:u w:val="single"/>
        </w:rPr>
        <w:t xml:space="preserve"> (Title I)</w:t>
      </w:r>
      <w:r>
        <w:rPr>
          <w:noProof/>
        </w:rPr>
        <w:t xml:space="preserve"> has been calculated using the a</w:t>
      </w:r>
      <w:r w:rsidRPr="004B2A0E">
        <w:rPr>
          <w:noProof/>
        </w:rPr>
        <w:t>verage staff co</w:t>
      </w:r>
      <w:r>
        <w:rPr>
          <w:noProof/>
        </w:rPr>
        <w:t>sts applicable from January 2023</w:t>
      </w:r>
      <w:r w:rsidRPr="004B2A0E">
        <w:rPr>
          <w:noProof/>
        </w:rPr>
        <w:t xml:space="preserve"> </w:t>
      </w:r>
      <w:r>
        <w:rPr>
          <w:noProof/>
        </w:rPr>
        <w:t>of</w:t>
      </w:r>
      <w:r w:rsidRPr="004B2A0E">
        <w:rPr>
          <w:noProof/>
        </w:rPr>
        <w:t xml:space="preserve"> EUR </w:t>
      </w:r>
      <w:r>
        <w:rPr>
          <w:noProof/>
        </w:rPr>
        <w:t>171 000</w:t>
      </w:r>
      <w:r w:rsidRPr="004B2A0E">
        <w:rPr>
          <w:noProof/>
        </w:rPr>
        <w:t xml:space="preserve"> per Temporary Agent</w:t>
      </w:r>
      <w:r>
        <w:rPr>
          <w:noProof/>
        </w:rPr>
        <w:t xml:space="preserve"> and </w:t>
      </w:r>
      <w:r w:rsidRPr="004B2A0E">
        <w:rPr>
          <w:noProof/>
        </w:rPr>
        <w:t>EUR</w:t>
      </w:r>
      <w:r>
        <w:rPr>
          <w:noProof/>
        </w:rPr>
        <w:t> 91 </w:t>
      </w:r>
      <w:r w:rsidRPr="004B2A0E">
        <w:rPr>
          <w:noProof/>
        </w:rPr>
        <w:t>000 per Contract Agent</w:t>
      </w:r>
      <w:r>
        <w:rPr>
          <w:noProof/>
        </w:rPr>
        <w:t xml:space="preserve"> (i.e., the standard costs excluding the standard EUR 29 000 ‘habillage’ cost for the building and IT costs associated with additional FTEs).  </w:t>
      </w:r>
    </w:p>
    <w:p w14:paraId="4735D0FD" w14:textId="77777777" w:rsidR="00FA1843" w:rsidRDefault="00FA1843" w:rsidP="004E776C">
      <w:pPr>
        <w:rPr>
          <w:noProof/>
        </w:rPr>
      </w:pPr>
      <w:r>
        <w:rPr>
          <w:noProof/>
        </w:rPr>
        <w:t>The currently applicable correction coefficient for Paris (118.7) was applied to these standard costs, which were then indexed at 2% for years after 2023 (as is standard practice when programming the Union budget taking into account that in some years inflation may be less and in others it may be more).</w:t>
      </w:r>
    </w:p>
    <w:p w14:paraId="769F4ECD" w14:textId="77777777" w:rsidR="00FA1843" w:rsidRDefault="00FA1843" w:rsidP="004E776C">
      <w:pPr>
        <w:pStyle w:val="ListBullet"/>
        <w:rPr>
          <w:noProof/>
        </w:rPr>
      </w:pPr>
      <w:r>
        <w:rPr>
          <w:noProof/>
        </w:rPr>
        <w:t xml:space="preserve">The cost of </w:t>
      </w:r>
      <w:r w:rsidRPr="004E776C">
        <w:rPr>
          <w:noProof/>
        </w:rPr>
        <w:t>additional infrastructure and operating expenditure (Title II)</w:t>
      </w:r>
      <w:r>
        <w:rPr>
          <w:noProof/>
        </w:rPr>
        <w:t xml:space="preserve"> has been calculated using the standard EUR 29 000 ‘habillage’ allocation for the building and IT costs associated with additional FTEs, indexed at 2% for years after 2023.  In addition, a standard cost of EUR 2 500 per FTE (also indexed at 2% for years after 2023) has been included for other administrative costs not covered by the allocation ‘habillage’ </w:t>
      </w:r>
    </w:p>
    <w:p w14:paraId="589F06F5" w14:textId="77777777" w:rsidR="00FA1843" w:rsidRDefault="00FA1843" w:rsidP="00FA1843">
      <w:pPr>
        <w:ind w:left="360"/>
        <w:rPr>
          <w:noProof/>
        </w:rPr>
      </w:pPr>
      <w:r>
        <w:rPr>
          <w:noProof/>
        </w:rPr>
        <w:t xml:space="preserve">The forecast impact on the Union budget was estimated on the following basis: </w:t>
      </w:r>
    </w:p>
    <w:p w14:paraId="67DAC1D7" w14:textId="77777777" w:rsidR="00FA1843" w:rsidRPr="007B3C9B" w:rsidRDefault="00FA1843" w:rsidP="007B3C9B">
      <w:pPr>
        <w:rPr>
          <w:noProof/>
          <w:u w:val="single"/>
        </w:rPr>
      </w:pPr>
      <w:r w:rsidRPr="007B3C9B">
        <w:rPr>
          <w:noProof/>
          <w:u w:val="single"/>
        </w:rPr>
        <w:t xml:space="preserve">Title I – Staff Expenditure </w:t>
      </w:r>
    </w:p>
    <w:p w14:paraId="4E4B30F8" w14:textId="77777777" w:rsidR="00FA1843" w:rsidRDefault="00FA1843" w:rsidP="007B3C9B">
      <w:pPr>
        <w:pStyle w:val="ListBullet"/>
        <w:rPr>
          <w:noProof/>
        </w:rPr>
      </w:pPr>
      <w:r>
        <w:rPr>
          <w:noProof/>
        </w:rPr>
        <w:t xml:space="preserve">Calculations are based on the following data: there are 59 entities operating in the EU, out of which 30 are located in the EU, and 29 are located outside the EU. For the non-EU based entities there will be 3 ways in which they will be able to provide services in the EU: a) equivalence b) endorsement c) recognition. The intensity of supervisory tasks will vary depending on the location of providers (EU vs non-EU).  </w:t>
      </w:r>
    </w:p>
    <w:p w14:paraId="35A26818" w14:textId="77777777" w:rsidR="00FA1843" w:rsidRDefault="00FA1843" w:rsidP="007B3C9B">
      <w:pPr>
        <w:rPr>
          <w:noProof/>
        </w:rPr>
      </w:pPr>
      <w:r>
        <w:rPr>
          <w:noProof/>
        </w:rPr>
        <w:t>EU based entities: In the case of 30 ESG providers based in the EU (3 large + 6 medium + 9 small + 12 micro): i) in year (n), it will take 6 months for the authorisation of 30 entities  based in EU (CAs)+ 6 months of supervision of those entities that have already been authorised (TAs). ii)  in year (n)+1 supervision of 30 entities. iii)  in year (n)+2, supervision of 30 entities.</w:t>
      </w:r>
    </w:p>
    <w:p w14:paraId="32803DEE" w14:textId="77777777" w:rsidR="00FA1843" w:rsidRDefault="00FA1843" w:rsidP="007B3C9B">
      <w:pPr>
        <w:pStyle w:val="ListBullet"/>
        <w:rPr>
          <w:noProof/>
        </w:rPr>
      </w:pPr>
      <w:r>
        <w:rPr>
          <w:noProof/>
        </w:rPr>
        <w:t xml:space="preserve">EU providers assumptions: COM </w:t>
      </w:r>
      <w:r w:rsidRPr="003D70E2">
        <w:rPr>
          <w:noProof/>
        </w:rPr>
        <w:t>estimate</w:t>
      </w:r>
      <w:r>
        <w:rPr>
          <w:noProof/>
        </w:rPr>
        <w:t>s, on the basis of the input from ESMA,</w:t>
      </w:r>
      <w:r w:rsidRPr="003D70E2">
        <w:rPr>
          <w:noProof/>
        </w:rPr>
        <w:t xml:space="preserve"> that it would take 1.7 FTE to supervise a large ESG rating provider and 0.2 FTE to supervise a small ESG rating provider.</w:t>
      </w:r>
      <w:r>
        <w:rPr>
          <w:noProof/>
        </w:rPr>
        <w:t xml:space="preserve"> This is based on the assumption that </w:t>
      </w:r>
      <w:r w:rsidRPr="003D70E2">
        <w:rPr>
          <w:noProof/>
        </w:rPr>
        <w:t xml:space="preserve">ESG ratings are not as systemically important as credit ratings and will therefore require a lower level of supervisory intensity to that which </w:t>
      </w:r>
      <w:r>
        <w:rPr>
          <w:noProof/>
        </w:rPr>
        <w:t>ESMA</w:t>
      </w:r>
      <w:r w:rsidRPr="003D70E2">
        <w:rPr>
          <w:noProof/>
        </w:rPr>
        <w:t xml:space="preserve"> currently employ</w:t>
      </w:r>
      <w:r>
        <w:rPr>
          <w:noProof/>
        </w:rPr>
        <w:t>s</w:t>
      </w:r>
      <w:r w:rsidRPr="003D70E2">
        <w:rPr>
          <w:noProof/>
        </w:rPr>
        <w:t xml:space="preserve"> for CRAs, </w:t>
      </w:r>
      <w:r>
        <w:rPr>
          <w:noProof/>
        </w:rPr>
        <w:t>COM</w:t>
      </w:r>
      <w:r w:rsidRPr="003D70E2">
        <w:rPr>
          <w:noProof/>
        </w:rPr>
        <w:t xml:space="preserve"> </w:t>
      </w:r>
      <w:r>
        <w:rPr>
          <w:noProof/>
        </w:rPr>
        <w:t>has therefore applied</w:t>
      </w:r>
      <w:r w:rsidRPr="003D70E2">
        <w:rPr>
          <w:noProof/>
        </w:rPr>
        <w:t xml:space="preserve"> a 50% reduction to FTE numbers</w:t>
      </w:r>
      <w:r>
        <w:rPr>
          <w:noProof/>
        </w:rPr>
        <w:t xml:space="preserve"> for CRAs</w:t>
      </w:r>
      <w:r w:rsidRPr="003D70E2">
        <w:rPr>
          <w:noProof/>
        </w:rPr>
        <w:t xml:space="preserve">. </w:t>
      </w:r>
    </w:p>
    <w:p w14:paraId="7CD4ABCC" w14:textId="77777777" w:rsidR="00FA1843" w:rsidRDefault="00FA1843" w:rsidP="007B3C9B">
      <w:pPr>
        <w:pStyle w:val="ListBullet"/>
        <w:rPr>
          <w:noProof/>
        </w:rPr>
      </w:pPr>
      <w:r>
        <w:rPr>
          <w:noProof/>
        </w:rPr>
        <w:t>Non-EU based ESG rating providers assumptions:</w:t>
      </w:r>
    </w:p>
    <w:p w14:paraId="05CFB73C" w14:textId="77777777" w:rsidR="00FA1843" w:rsidRDefault="00FA1843" w:rsidP="007B3C9B">
      <w:pPr>
        <w:rPr>
          <w:noProof/>
        </w:rPr>
      </w:pPr>
      <w:r>
        <w:rPr>
          <w:noProof/>
        </w:rPr>
        <w:t>We considered for non-EU providers = 0.1 FTE (half of time allocated for an EU based micro ESG provider), considering 29 non-EU based ESG providers, we considered a flat fee of €3,000 per each ESG provider non-EU based (half of the amount of fees charged to certified CRAs €6,000).</w:t>
      </w:r>
    </w:p>
    <w:p w14:paraId="0CB531AC" w14:textId="77777777" w:rsidR="00FA1843" w:rsidRPr="00B3580A" w:rsidRDefault="00FA1843" w:rsidP="007B3C9B">
      <w:pPr>
        <w:pStyle w:val="ListBullet"/>
        <w:rPr>
          <w:noProof/>
        </w:rPr>
      </w:pPr>
      <w:r>
        <w:rPr>
          <w:noProof/>
        </w:rPr>
        <w:t xml:space="preserve">It is to be noted </w:t>
      </w:r>
      <w:r w:rsidRPr="00B3580A">
        <w:rPr>
          <w:noProof/>
        </w:rPr>
        <w:t xml:space="preserve">that the balance of staff under the ESG rating mandate (more </w:t>
      </w:r>
      <w:r>
        <w:rPr>
          <w:noProof/>
        </w:rPr>
        <w:t>CAs</w:t>
      </w:r>
      <w:r w:rsidRPr="00B3580A">
        <w:rPr>
          <w:noProof/>
        </w:rPr>
        <w:t xml:space="preserve"> vs TA</w:t>
      </w:r>
      <w:r>
        <w:rPr>
          <w:noProof/>
        </w:rPr>
        <w:t>s</w:t>
      </w:r>
      <w:r w:rsidRPr="00B3580A">
        <w:rPr>
          <w:noProof/>
        </w:rPr>
        <w:t xml:space="preserve">) differs from </w:t>
      </w:r>
      <w:r>
        <w:rPr>
          <w:noProof/>
        </w:rPr>
        <w:t>the</w:t>
      </w:r>
      <w:r w:rsidRPr="00B3580A">
        <w:rPr>
          <w:noProof/>
        </w:rPr>
        <w:t xml:space="preserve"> approach to CRAs. </w:t>
      </w:r>
      <w:r>
        <w:rPr>
          <w:noProof/>
        </w:rPr>
        <w:t>In both cases ESMA has a mandate of the direct supervision, however, in the case of CRAs it has considerably more TAs than CAs than TAs (37 TAs and 14 CAs) in order to ensure that skilled and experienced staff is employed on permanent basis.</w:t>
      </w:r>
    </w:p>
    <w:p w14:paraId="1E3F41CB" w14:textId="77777777" w:rsidR="00FA1843" w:rsidRDefault="00FA1843" w:rsidP="007B3C9B">
      <w:pPr>
        <w:pStyle w:val="ListBullet"/>
        <w:rPr>
          <w:noProof/>
        </w:rPr>
      </w:pPr>
      <w:r w:rsidRPr="00265D9B">
        <w:rPr>
          <w:noProof/>
        </w:rPr>
        <w:t>We consider it is likely there will be a peak of one-off work in the first year</w:t>
      </w:r>
      <w:r>
        <w:rPr>
          <w:noProof/>
        </w:rPr>
        <w:t xml:space="preserve"> (year 2025</w:t>
      </w:r>
      <w:r w:rsidRPr="00265D9B">
        <w:rPr>
          <w:noProof/>
        </w:rPr>
        <w:t>)</w:t>
      </w:r>
      <w:r>
        <w:rPr>
          <w:noProof/>
        </w:rPr>
        <w:t xml:space="preserve"> related to the authorisation</w:t>
      </w:r>
      <w:r w:rsidRPr="00265D9B">
        <w:rPr>
          <w:noProof/>
        </w:rPr>
        <w:t>. In this respect, it will be important</w:t>
      </w:r>
      <w:r>
        <w:rPr>
          <w:noProof/>
        </w:rPr>
        <w:t xml:space="preserve"> that ESMA is given the above </w:t>
      </w:r>
      <w:r w:rsidRPr="001B344C">
        <w:rPr>
          <w:noProof/>
        </w:rPr>
        <w:t>19 FTEs</w:t>
      </w:r>
      <w:r w:rsidRPr="00265D9B">
        <w:rPr>
          <w:noProof/>
        </w:rPr>
        <w:t xml:space="preserve"> from the start, to manage this peak.</w:t>
      </w:r>
      <w:r>
        <w:rPr>
          <w:noProof/>
        </w:rPr>
        <w:t xml:space="preserve"> </w:t>
      </w:r>
      <w:r w:rsidRPr="00B3580A">
        <w:rPr>
          <w:noProof/>
        </w:rPr>
        <w:t xml:space="preserve">For the years 2027, it is likely the initial heavy workload of registration </w:t>
      </w:r>
      <w:r>
        <w:rPr>
          <w:noProof/>
        </w:rPr>
        <w:t>and authorisation will ease</w:t>
      </w:r>
      <w:r w:rsidRPr="00B3580A">
        <w:rPr>
          <w:noProof/>
        </w:rPr>
        <w:t>, and the number of temporary CAs could be reduced</w:t>
      </w:r>
      <w:r>
        <w:rPr>
          <w:noProof/>
        </w:rPr>
        <w:t xml:space="preserve">, so that the total number of FTEs can be reduced </w:t>
      </w:r>
      <w:r w:rsidRPr="001B344C">
        <w:rPr>
          <w:noProof/>
        </w:rPr>
        <w:t>to 17.</w:t>
      </w:r>
      <w:r>
        <w:rPr>
          <w:noProof/>
        </w:rPr>
        <w:t xml:space="preserve"> However, in the year 2027, ESMA will be responsible for the supervision of all entities registered and authorised in years 2025 and 2026, therefore the proposed reduction cannot be too substantial.</w:t>
      </w:r>
    </w:p>
    <w:p w14:paraId="7BCBC5F6" w14:textId="77777777" w:rsidR="00FA1843" w:rsidRDefault="00FA1843" w:rsidP="007B3C9B">
      <w:pPr>
        <w:pStyle w:val="ListBullet"/>
        <w:rPr>
          <w:noProof/>
        </w:rPr>
      </w:pPr>
      <w:r>
        <w:rPr>
          <w:noProof/>
        </w:rPr>
        <w:t xml:space="preserve">Compared with number of FTEs for the direct supervision of CRAs the number of FTEs for the direct supervison of ESG rating providers has been reduced by more than 50% (total of 51 FTEs for CRAs vs 19 FTEs in 2025/2026 and 17 FTEs in 2027 for ESG rating providers). This is considered to be a minimum staff that can guarantee the proper direct supervision of the market of 59 entities. </w:t>
      </w:r>
    </w:p>
    <w:p w14:paraId="7E0A3069" w14:textId="77777777" w:rsidR="00FA1843" w:rsidRPr="007B3C9B" w:rsidRDefault="00FA1843" w:rsidP="007B3C9B">
      <w:pPr>
        <w:rPr>
          <w:noProof/>
          <w:u w:val="single"/>
        </w:rPr>
      </w:pPr>
      <w:r w:rsidRPr="007B3C9B">
        <w:rPr>
          <w:noProof/>
          <w:u w:val="single"/>
        </w:rPr>
        <w:t xml:space="preserve">Title III – operational expenditures </w:t>
      </w:r>
    </w:p>
    <w:p w14:paraId="67F02B12" w14:textId="77777777" w:rsidR="00FA1843" w:rsidRDefault="00FA1843" w:rsidP="007B3C9B">
      <w:pPr>
        <w:pStyle w:val="ListBullet"/>
        <w:rPr>
          <w:noProof/>
        </w:rPr>
      </w:pPr>
      <w:r>
        <w:rPr>
          <w:noProof/>
        </w:rPr>
        <w:t>Justification of 35.000 EUR</w:t>
      </w:r>
      <w:r w:rsidRPr="004447BB">
        <w:rPr>
          <w:noProof/>
        </w:rPr>
        <w:t xml:space="preserve"> for on-boarding of entities to supervisory reporting system. This </w:t>
      </w:r>
      <w:r>
        <w:rPr>
          <w:noProof/>
        </w:rPr>
        <w:t>cost</w:t>
      </w:r>
      <w:r w:rsidRPr="004447BB">
        <w:rPr>
          <w:noProof/>
        </w:rPr>
        <w:t xml:space="preserve"> is necessary to create a module in </w:t>
      </w:r>
      <w:r>
        <w:rPr>
          <w:noProof/>
        </w:rPr>
        <w:t>the system that ESMA uses for supervisory reporting called</w:t>
      </w:r>
      <w:r w:rsidRPr="004447BB">
        <w:rPr>
          <w:noProof/>
        </w:rPr>
        <w:t xml:space="preserve"> BWise</w:t>
      </w:r>
      <w:r>
        <w:rPr>
          <w:noProof/>
        </w:rPr>
        <w:t xml:space="preserve">. Given the new mandate of direct supervision, the </w:t>
      </w:r>
      <w:r w:rsidRPr="004447BB">
        <w:rPr>
          <w:noProof/>
        </w:rPr>
        <w:t xml:space="preserve">supervisory reporting system </w:t>
      </w:r>
      <w:r>
        <w:rPr>
          <w:noProof/>
        </w:rPr>
        <w:t xml:space="preserve">needs to be expanded. In addition to the initial costs, there will be </w:t>
      </w:r>
      <w:r w:rsidRPr="004447BB">
        <w:rPr>
          <w:noProof/>
        </w:rPr>
        <w:t>a recurring annual mainte</w:t>
      </w:r>
      <w:r>
        <w:rPr>
          <w:noProof/>
        </w:rPr>
        <w:t>nance fee of 5.000 EUR</w:t>
      </w:r>
      <w:r w:rsidRPr="004447BB">
        <w:rPr>
          <w:noProof/>
        </w:rPr>
        <w:t xml:space="preserve">. </w:t>
      </w:r>
    </w:p>
    <w:p w14:paraId="03B1465B" w14:textId="77777777" w:rsidR="00FA1843" w:rsidRDefault="00FA1843" w:rsidP="007B3C9B">
      <w:pPr>
        <w:pStyle w:val="ListBullet"/>
        <w:rPr>
          <w:noProof/>
        </w:rPr>
      </w:pPr>
      <w:r>
        <w:rPr>
          <w:noProof/>
        </w:rPr>
        <w:t>The</w:t>
      </w:r>
      <w:r w:rsidRPr="004447BB">
        <w:rPr>
          <w:noProof/>
        </w:rPr>
        <w:t xml:space="preserve"> reporting system enables ESMA to process supervisory documentation received from entities, and helps reduce manual labour of opening and saving e-mail attachments manually.</w:t>
      </w:r>
      <w:r>
        <w:rPr>
          <w:noProof/>
        </w:rPr>
        <w:t xml:space="preserve"> It therefore helps to reduce FTE costs.</w:t>
      </w:r>
    </w:p>
    <w:p w14:paraId="42E4CB5A" w14:textId="77777777" w:rsidR="00FA1843" w:rsidRPr="004B2A0E" w:rsidRDefault="00FA1843" w:rsidP="00FA1843">
      <w:pPr>
        <w:rPr>
          <w:noProof/>
        </w:rPr>
      </w:pPr>
    </w:p>
    <w:p w14:paraId="5E5A21AC" w14:textId="77777777" w:rsidR="00FA1843" w:rsidRPr="004B2A0E" w:rsidRDefault="00FA1843" w:rsidP="00FA1843">
      <w:pPr>
        <w:rPr>
          <w:noProof/>
        </w:rPr>
        <w:sectPr w:rsidR="00FA1843" w:rsidRPr="004B2A0E" w:rsidSect="00783A24">
          <w:pgSz w:w="11907" w:h="16839"/>
          <w:pgMar w:top="1134" w:right="1417" w:bottom="1134" w:left="1417" w:header="709" w:footer="709" w:gutter="0"/>
          <w:cols w:space="708"/>
          <w:docGrid w:linePitch="360"/>
        </w:sectPr>
      </w:pPr>
    </w:p>
    <w:p w14:paraId="42CAA57E" w14:textId="77777777" w:rsidR="00FA1843" w:rsidRPr="00463E6F" w:rsidRDefault="00FA1843" w:rsidP="00463E6F">
      <w:pPr>
        <w:pStyle w:val="ManualHeading2"/>
        <w:rPr>
          <w:noProof/>
        </w:rPr>
      </w:pPr>
      <w:r w:rsidRPr="00463E6F">
        <w:rPr>
          <w:noProof/>
        </w:rPr>
        <w:t>Estimated expenditure to be covered by fees for all direct supervisory tasks undertaken by ESMA</w:t>
      </w:r>
    </w:p>
    <w:p w14:paraId="733B9CBA" w14:textId="77777777" w:rsidR="00FA1843" w:rsidRPr="004B2A0E" w:rsidRDefault="00FA1843" w:rsidP="00FA1843">
      <w:pPr>
        <w:jc w:val="right"/>
        <w:rPr>
          <w:noProof/>
          <w:sz w:val="20"/>
        </w:rPr>
      </w:pPr>
      <w:r w:rsidRPr="004B2A0E">
        <w:rPr>
          <w:noProof/>
          <w:sz w:val="20"/>
        </w:rPr>
        <w:t xml:space="preserve">EUR </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559"/>
        <w:gridCol w:w="1276"/>
        <w:gridCol w:w="1346"/>
        <w:gridCol w:w="1347"/>
        <w:gridCol w:w="1346"/>
        <w:gridCol w:w="1347"/>
        <w:gridCol w:w="1346"/>
        <w:gridCol w:w="1347"/>
      </w:tblGrid>
      <w:tr w:rsidR="00FA1843" w:rsidRPr="004B2A0E" w14:paraId="37623487" w14:textId="77777777" w:rsidTr="00EE1D03">
        <w:tc>
          <w:tcPr>
            <w:tcW w:w="3054" w:type="dxa"/>
            <w:vAlign w:val="center"/>
          </w:tcPr>
          <w:p w14:paraId="50F87020" w14:textId="77777777" w:rsidR="00FA1843" w:rsidRPr="004B2A0E" w:rsidRDefault="00FA1843" w:rsidP="00EE1D03">
            <w:pPr>
              <w:jc w:val="center"/>
              <w:rPr>
                <w:noProof/>
                <w:sz w:val="20"/>
                <w:szCs w:val="20"/>
              </w:rPr>
            </w:pPr>
            <w:r>
              <w:rPr>
                <w:noProof/>
                <w:sz w:val="20"/>
                <w:szCs w:val="20"/>
              </w:rPr>
              <w:t>ESMA</w:t>
            </w:r>
          </w:p>
        </w:tc>
        <w:tc>
          <w:tcPr>
            <w:tcW w:w="1559" w:type="dxa"/>
            <w:vAlign w:val="center"/>
          </w:tcPr>
          <w:p w14:paraId="65F24C78" w14:textId="77777777" w:rsidR="00FA1843" w:rsidRPr="004B2A0E" w:rsidRDefault="00FA1843" w:rsidP="00EE1D03">
            <w:pPr>
              <w:rPr>
                <w:noProof/>
                <w:sz w:val="20"/>
                <w:szCs w:val="20"/>
              </w:rPr>
            </w:pPr>
          </w:p>
        </w:tc>
        <w:tc>
          <w:tcPr>
            <w:tcW w:w="1276" w:type="dxa"/>
            <w:vAlign w:val="center"/>
          </w:tcPr>
          <w:p w14:paraId="1B6C976D" w14:textId="77777777" w:rsidR="00FA1843" w:rsidRPr="004B2A0E" w:rsidRDefault="00FA1843" w:rsidP="00EE1D03">
            <w:pPr>
              <w:jc w:val="center"/>
              <w:rPr>
                <w:noProof/>
                <w:sz w:val="20"/>
                <w:szCs w:val="20"/>
              </w:rPr>
            </w:pPr>
          </w:p>
        </w:tc>
        <w:tc>
          <w:tcPr>
            <w:tcW w:w="1346" w:type="dxa"/>
            <w:vAlign w:val="center"/>
          </w:tcPr>
          <w:p w14:paraId="2FF9DF6E" w14:textId="77777777" w:rsidR="00FA1843" w:rsidRPr="004B2A0E" w:rsidRDefault="00FA1843" w:rsidP="00EE1D03">
            <w:pPr>
              <w:jc w:val="center"/>
              <w:rPr>
                <w:noProof/>
                <w:sz w:val="20"/>
                <w:szCs w:val="20"/>
              </w:rPr>
            </w:pPr>
            <w:r w:rsidRPr="004B2A0E">
              <w:rPr>
                <w:noProof/>
                <w:sz w:val="20"/>
                <w:szCs w:val="20"/>
              </w:rPr>
              <w:t>2023</w:t>
            </w:r>
          </w:p>
        </w:tc>
        <w:tc>
          <w:tcPr>
            <w:tcW w:w="1347" w:type="dxa"/>
            <w:vAlign w:val="center"/>
          </w:tcPr>
          <w:p w14:paraId="1FFD4698" w14:textId="77777777" w:rsidR="00FA1843" w:rsidRPr="004B2A0E" w:rsidRDefault="00FA1843" w:rsidP="00EE1D03">
            <w:pPr>
              <w:jc w:val="center"/>
              <w:rPr>
                <w:noProof/>
                <w:sz w:val="20"/>
                <w:szCs w:val="20"/>
              </w:rPr>
            </w:pPr>
            <w:r w:rsidRPr="004B2A0E">
              <w:rPr>
                <w:noProof/>
                <w:sz w:val="20"/>
                <w:szCs w:val="20"/>
              </w:rPr>
              <w:t>2024</w:t>
            </w:r>
          </w:p>
        </w:tc>
        <w:tc>
          <w:tcPr>
            <w:tcW w:w="1346" w:type="dxa"/>
            <w:vAlign w:val="center"/>
          </w:tcPr>
          <w:p w14:paraId="528A0192" w14:textId="77777777" w:rsidR="00FA1843" w:rsidRPr="004B2A0E" w:rsidRDefault="00FA1843" w:rsidP="00EE1D03">
            <w:pPr>
              <w:jc w:val="center"/>
              <w:rPr>
                <w:noProof/>
                <w:sz w:val="20"/>
                <w:szCs w:val="20"/>
              </w:rPr>
            </w:pPr>
            <w:r w:rsidRPr="004B2A0E">
              <w:rPr>
                <w:noProof/>
                <w:sz w:val="20"/>
                <w:szCs w:val="20"/>
              </w:rPr>
              <w:t>2025</w:t>
            </w:r>
          </w:p>
        </w:tc>
        <w:tc>
          <w:tcPr>
            <w:tcW w:w="1347" w:type="dxa"/>
            <w:vAlign w:val="center"/>
          </w:tcPr>
          <w:p w14:paraId="136B1B67" w14:textId="77777777" w:rsidR="00FA1843" w:rsidRPr="004B2A0E" w:rsidRDefault="00FA1843" w:rsidP="00EE1D03">
            <w:pPr>
              <w:jc w:val="center"/>
              <w:rPr>
                <w:noProof/>
                <w:sz w:val="20"/>
                <w:szCs w:val="20"/>
              </w:rPr>
            </w:pPr>
            <w:r w:rsidRPr="004B2A0E">
              <w:rPr>
                <w:noProof/>
                <w:sz w:val="20"/>
                <w:szCs w:val="20"/>
              </w:rPr>
              <w:t>2026</w:t>
            </w:r>
          </w:p>
        </w:tc>
        <w:tc>
          <w:tcPr>
            <w:tcW w:w="1346" w:type="dxa"/>
            <w:vAlign w:val="center"/>
          </w:tcPr>
          <w:p w14:paraId="0F06FE56" w14:textId="77777777" w:rsidR="00FA1843" w:rsidRPr="004B2A0E" w:rsidRDefault="00FA1843" w:rsidP="00EE1D03">
            <w:pPr>
              <w:jc w:val="center"/>
              <w:rPr>
                <w:noProof/>
                <w:sz w:val="20"/>
                <w:szCs w:val="20"/>
              </w:rPr>
            </w:pPr>
            <w:r w:rsidRPr="004B2A0E">
              <w:rPr>
                <w:noProof/>
                <w:sz w:val="20"/>
                <w:szCs w:val="20"/>
              </w:rPr>
              <w:t>2027</w:t>
            </w:r>
          </w:p>
        </w:tc>
        <w:tc>
          <w:tcPr>
            <w:tcW w:w="1347" w:type="dxa"/>
            <w:vAlign w:val="center"/>
          </w:tcPr>
          <w:p w14:paraId="1A57DA66" w14:textId="77777777" w:rsidR="00FA1843" w:rsidRPr="004B2A0E" w:rsidRDefault="00FA1843" w:rsidP="00EE1D03">
            <w:pPr>
              <w:jc w:val="center"/>
              <w:rPr>
                <w:b/>
                <w:noProof/>
                <w:sz w:val="20"/>
                <w:szCs w:val="20"/>
              </w:rPr>
            </w:pPr>
            <w:r w:rsidRPr="004B2A0E">
              <w:rPr>
                <w:b/>
                <w:noProof/>
                <w:sz w:val="20"/>
                <w:szCs w:val="20"/>
              </w:rPr>
              <w:t>TOTAL</w:t>
            </w:r>
          </w:p>
        </w:tc>
      </w:tr>
      <w:tr w:rsidR="00341E44" w:rsidRPr="004B2A0E" w14:paraId="30987190" w14:textId="77777777" w:rsidTr="00EE1D03">
        <w:trPr>
          <w:trHeight w:val="277"/>
        </w:trPr>
        <w:tc>
          <w:tcPr>
            <w:tcW w:w="3054" w:type="dxa"/>
            <w:vMerge w:val="restart"/>
            <w:vAlign w:val="center"/>
          </w:tcPr>
          <w:p w14:paraId="4D85DEBB" w14:textId="77777777" w:rsidR="00341E44" w:rsidRPr="004B2A0E" w:rsidRDefault="00341E44" w:rsidP="00341E44">
            <w:pPr>
              <w:jc w:val="left"/>
              <w:rPr>
                <w:noProof/>
                <w:sz w:val="20"/>
                <w:szCs w:val="20"/>
              </w:rPr>
            </w:pPr>
            <w:r w:rsidRPr="004B2A0E">
              <w:rPr>
                <w:noProof/>
                <w:sz w:val="20"/>
                <w:szCs w:val="20"/>
              </w:rPr>
              <w:t>Title 1:</w:t>
            </w:r>
            <w:r>
              <w:rPr>
                <w:noProof/>
                <w:sz w:val="20"/>
                <w:szCs w:val="20"/>
              </w:rPr>
              <w:t xml:space="preserve"> Staff expenditure</w:t>
            </w:r>
            <w:r w:rsidRPr="004B2A0E">
              <w:rPr>
                <w:rStyle w:val="FootnoteReference"/>
                <w:noProof/>
                <w:sz w:val="20"/>
                <w:szCs w:val="20"/>
              </w:rPr>
              <w:t xml:space="preserve"> </w:t>
            </w:r>
          </w:p>
        </w:tc>
        <w:tc>
          <w:tcPr>
            <w:tcW w:w="1559" w:type="dxa"/>
            <w:vAlign w:val="center"/>
          </w:tcPr>
          <w:p w14:paraId="23BE94E9" w14:textId="77777777" w:rsidR="00341E44" w:rsidRPr="004B2A0E" w:rsidRDefault="00341E44" w:rsidP="00341E44">
            <w:pPr>
              <w:spacing w:before="20" w:after="20"/>
              <w:rPr>
                <w:noProof/>
                <w:sz w:val="18"/>
                <w:szCs w:val="18"/>
              </w:rPr>
            </w:pPr>
            <w:r w:rsidRPr="004B2A0E">
              <w:rPr>
                <w:noProof/>
                <w:sz w:val="18"/>
                <w:szCs w:val="18"/>
              </w:rPr>
              <w:t>Commitments</w:t>
            </w:r>
          </w:p>
        </w:tc>
        <w:tc>
          <w:tcPr>
            <w:tcW w:w="1276" w:type="dxa"/>
            <w:vAlign w:val="center"/>
          </w:tcPr>
          <w:p w14:paraId="6163747A" w14:textId="77777777" w:rsidR="00341E44" w:rsidRPr="004B2A0E" w:rsidRDefault="00341E44" w:rsidP="00341E44">
            <w:pPr>
              <w:spacing w:before="20" w:after="20"/>
              <w:jc w:val="center"/>
              <w:rPr>
                <w:noProof/>
                <w:sz w:val="18"/>
                <w:szCs w:val="18"/>
              </w:rPr>
            </w:pPr>
            <w:r w:rsidRPr="004B2A0E">
              <w:rPr>
                <w:noProof/>
                <w:sz w:val="18"/>
                <w:szCs w:val="18"/>
              </w:rPr>
              <w:t>(1)</w:t>
            </w:r>
          </w:p>
        </w:tc>
        <w:tc>
          <w:tcPr>
            <w:tcW w:w="1346" w:type="dxa"/>
            <w:vAlign w:val="center"/>
          </w:tcPr>
          <w:p w14:paraId="3F785140" w14:textId="77777777" w:rsidR="00341E44" w:rsidRPr="004B2A0E" w:rsidRDefault="00341E44" w:rsidP="00341E44">
            <w:pPr>
              <w:spacing w:before="20" w:after="20"/>
              <w:jc w:val="right"/>
              <w:rPr>
                <w:noProof/>
                <w:sz w:val="18"/>
                <w:szCs w:val="18"/>
              </w:rPr>
            </w:pPr>
          </w:p>
        </w:tc>
        <w:tc>
          <w:tcPr>
            <w:tcW w:w="1347" w:type="dxa"/>
            <w:vAlign w:val="center"/>
          </w:tcPr>
          <w:p w14:paraId="05D1D16E" w14:textId="77777777" w:rsidR="00341E44" w:rsidRPr="004B2A0E" w:rsidRDefault="00341E44" w:rsidP="00341E44">
            <w:pPr>
              <w:spacing w:before="0" w:after="0"/>
              <w:jc w:val="right"/>
              <w:rPr>
                <w:noProof/>
                <w:color w:val="000000"/>
                <w:sz w:val="18"/>
                <w:szCs w:val="18"/>
              </w:rPr>
            </w:pPr>
          </w:p>
        </w:tc>
        <w:tc>
          <w:tcPr>
            <w:tcW w:w="1346" w:type="dxa"/>
            <w:vAlign w:val="center"/>
          </w:tcPr>
          <w:p w14:paraId="707BE677" w14:textId="77777777" w:rsidR="00341E44" w:rsidRPr="00341E44" w:rsidRDefault="00341E44" w:rsidP="00341E44">
            <w:pPr>
              <w:jc w:val="right"/>
              <w:rPr>
                <w:noProof/>
                <w:color w:val="000000"/>
                <w:sz w:val="18"/>
                <w:szCs w:val="18"/>
              </w:rPr>
            </w:pPr>
          </w:p>
          <w:p w14:paraId="32400069" w14:textId="5C4543E3" w:rsidR="00341E44" w:rsidRPr="00341E44" w:rsidRDefault="00341E44" w:rsidP="00341E44">
            <w:pPr>
              <w:jc w:val="right"/>
              <w:rPr>
                <w:noProof/>
                <w:color w:val="000000"/>
                <w:sz w:val="18"/>
                <w:szCs w:val="18"/>
              </w:rPr>
            </w:pPr>
            <w:r w:rsidRPr="00341E44">
              <w:rPr>
                <w:noProof/>
                <w:color w:val="000000"/>
                <w:sz w:val="18"/>
                <w:szCs w:val="18"/>
              </w:rPr>
              <w:t>1.603.618</w:t>
            </w:r>
          </w:p>
        </w:tc>
        <w:tc>
          <w:tcPr>
            <w:tcW w:w="1347" w:type="dxa"/>
            <w:vAlign w:val="center"/>
          </w:tcPr>
          <w:p w14:paraId="03C32DCD" w14:textId="77777777" w:rsidR="00341E44" w:rsidRPr="00341E44" w:rsidRDefault="00341E44" w:rsidP="00341E44">
            <w:pPr>
              <w:jc w:val="right"/>
              <w:rPr>
                <w:noProof/>
                <w:color w:val="000000"/>
                <w:sz w:val="18"/>
                <w:szCs w:val="18"/>
              </w:rPr>
            </w:pPr>
          </w:p>
          <w:p w14:paraId="6737B31D" w14:textId="71C0D32F" w:rsidR="00341E44" w:rsidRPr="00341E44" w:rsidRDefault="00341E44" w:rsidP="00341E44">
            <w:pPr>
              <w:jc w:val="right"/>
              <w:rPr>
                <w:noProof/>
                <w:color w:val="000000"/>
                <w:sz w:val="18"/>
                <w:szCs w:val="18"/>
              </w:rPr>
            </w:pPr>
            <w:r w:rsidRPr="00341E44">
              <w:rPr>
                <w:noProof/>
                <w:color w:val="000000"/>
                <w:sz w:val="18"/>
                <w:szCs w:val="18"/>
              </w:rPr>
              <w:t>3.271.382</w:t>
            </w:r>
          </w:p>
        </w:tc>
        <w:tc>
          <w:tcPr>
            <w:tcW w:w="1346" w:type="dxa"/>
            <w:vAlign w:val="center"/>
          </w:tcPr>
          <w:p w14:paraId="00262DE6" w14:textId="77777777" w:rsidR="00341E44" w:rsidRPr="00341E44" w:rsidRDefault="00341E44" w:rsidP="00341E44">
            <w:pPr>
              <w:jc w:val="right"/>
              <w:rPr>
                <w:noProof/>
                <w:color w:val="000000"/>
                <w:sz w:val="18"/>
                <w:szCs w:val="18"/>
              </w:rPr>
            </w:pPr>
          </w:p>
          <w:p w14:paraId="37048E64" w14:textId="53BB72DF" w:rsidR="00341E44" w:rsidRPr="00341E44" w:rsidRDefault="00341E44" w:rsidP="00341E44">
            <w:pPr>
              <w:jc w:val="right"/>
              <w:rPr>
                <w:noProof/>
                <w:color w:val="000000"/>
                <w:sz w:val="18"/>
                <w:szCs w:val="18"/>
              </w:rPr>
            </w:pPr>
            <w:r w:rsidRPr="00341E44">
              <w:rPr>
                <w:noProof/>
                <w:color w:val="000000"/>
                <w:sz w:val="18"/>
                <w:szCs w:val="18"/>
              </w:rPr>
              <w:t>3.145.675</w:t>
            </w:r>
          </w:p>
        </w:tc>
        <w:tc>
          <w:tcPr>
            <w:tcW w:w="1347" w:type="dxa"/>
            <w:vAlign w:val="center"/>
          </w:tcPr>
          <w:p w14:paraId="09847495" w14:textId="77777777" w:rsidR="00341E44" w:rsidRPr="00341E44" w:rsidRDefault="00341E44" w:rsidP="00341E44">
            <w:pPr>
              <w:jc w:val="right"/>
              <w:rPr>
                <w:b/>
                <w:noProof/>
                <w:color w:val="000000"/>
                <w:sz w:val="18"/>
                <w:szCs w:val="18"/>
              </w:rPr>
            </w:pPr>
          </w:p>
          <w:p w14:paraId="1416250F" w14:textId="3979387E" w:rsidR="00341E44" w:rsidRPr="00341E44" w:rsidRDefault="00341E44" w:rsidP="00341E44">
            <w:pPr>
              <w:jc w:val="right"/>
              <w:rPr>
                <w:b/>
                <w:noProof/>
                <w:color w:val="000000"/>
                <w:sz w:val="18"/>
                <w:szCs w:val="18"/>
              </w:rPr>
            </w:pPr>
            <w:r w:rsidRPr="00341E44">
              <w:rPr>
                <w:b/>
                <w:noProof/>
                <w:color w:val="000000"/>
                <w:sz w:val="18"/>
                <w:szCs w:val="18"/>
              </w:rPr>
              <w:t>8.020.675</w:t>
            </w:r>
          </w:p>
        </w:tc>
      </w:tr>
      <w:tr w:rsidR="00341E44" w:rsidRPr="004B2A0E" w14:paraId="13A9FD76" w14:textId="77777777" w:rsidTr="00EE1D03">
        <w:tc>
          <w:tcPr>
            <w:tcW w:w="3054" w:type="dxa"/>
            <w:vMerge/>
            <w:vAlign w:val="center"/>
          </w:tcPr>
          <w:p w14:paraId="6349753B" w14:textId="77777777" w:rsidR="00341E44" w:rsidRPr="004B2A0E" w:rsidRDefault="00341E44" w:rsidP="00341E44">
            <w:pPr>
              <w:jc w:val="left"/>
              <w:rPr>
                <w:noProof/>
                <w:sz w:val="20"/>
                <w:szCs w:val="20"/>
              </w:rPr>
            </w:pPr>
          </w:p>
        </w:tc>
        <w:tc>
          <w:tcPr>
            <w:tcW w:w="1559" w:type="dxa"/>
            <w:vAlign w:val="center"/>
          </w:tcPr>
          <w:p w14:paraId="1423430F" w14:textId="77777777" w:rsidR="00341E44" w:rsidRPr="004B2A0E" w:rsidRDefault="00341E44" w:rsidP="00341E44">
            <w:pPr>
              <w:spacing w:before="20" w:after="20"/>
              <w:rPr>
                <w:noProof/>
                <w:sz w:val="18"/>
                <w:szCs w:val="18"/>
              </w:rPr>
            </w:pPr>
            <w:r w:rsidRPr="004B2A0E">
              <w:rPr>
                <w:noProof/>
                <w:sz w:val="18"/>
                <w:szCs w:val="18"/>
              </w:rPr>
              <w:t>Payments</w:t>
            </w:r>
          </w:p>
        </w:tc>
        <w:tc>
          <w:tcPr>
            <w:tcW w:w="1276" w:type="dxa"/>
            <w:vAlign w:val="center"/>
          </w:tcPr>
          <w:p w14:paraId="27D05C22" w14:textId="77777777" w:rsidR="00341E44" w:rsidRPr="004B2A0E" w:rsidRDefault="00341E44" w:rsidP="00341E44">
            <w:pPr>
              <w:spacing w:before="20" w:after="20"/>
              <w:jc w:val="center"/>
              <w:rPr>
                <w:noProof/>
                <w:sz w:val="18"/>
                <w:szCs w:val="18"/>
              </w:rPr>
            </w:pPr>
            <w:r w:rsidRPr="004B2A0E">
              <w:rPr>
                <w:noProof/>
                <w:sz w:val="18"/>
                <w:szCs w:val="18"/>
              </w:rPr>
              <w:t>(2)</w:t>
            </w:r>
          </w:p>
        </w:tc>
        <w:tc>
          <w:tcPr>
            <w:tcW w:w="1346" w:type="dxa"/>
            <w:vAlign w:val="center"/>
          </w:tcPr>
          <w:p w14:paraId="7F6B5B57" w14:textId="77777777" w:rsidR="00341E44" w:rsidRPr="004B2A0E" w:rsidRDefault="00341E44" w:rsidP="00341E44">
            <w:pPr>
              <w:spacing w:before="20" w:after="20"/>
              <w:jc w:val="right"/>
              <w:rPr>
                <w:noProof/>
                <w:sz w:val="18"/>
                <w:szCs w:val="18"/>
              </w:rPr>
            </w:pPr>
          </w:p>
        </w:tc>
        <w:tc>
          <w:tcPr>
            <w:tcW w:w="1347" w:type="dxa"/>
            <w:vAlign w:val="center"/>
          </w:tcPr>
          <w:p w14:paraId="549C1463" w14:textId="77777777" w:rsidR="00341E44" w:rsidRPr="004B2A0E" w:rsidRDefault="00341E44" w:rsidP="00341E44">
            <w:pPr>
              <w:spacing w:before="0" w:after="0"/>
              <w:jc w:val="right"/>
              <w:rPr>
                <w:noProof/>
                <w:color w:val="000000"/>
                <w:sz w:val="18"/>
                <w:szCs w:val="18"/>
              </w:rPr>
            </w:pPr>
          </w:p>
        </w:tc>
        <w:tc>
          <w:tcPr>
            <w:tcW w:w="1346" w:type="dxa"/>
            <w:vAlign w:val="center"/>
          </w:tcPr>
          <w:p w14:paraId="02C6F681" w14:textId="121D5DC5" w:rsidR="00341E44" w:rsidRPr="00341E44" w:rsidRDefault="00341E44" w:rsidP="00341E44">
            <w:pPr>
              <w:jc w:val="right"/>
              <w:rPr>
                <w:noProof/>
                <w:color w:val="000000"/>
                <w:sz w:val="18"/>
                <w:szCs w:val="18"/>
              </w:rPr>
            </w:pPr>
            <w:r w:rsidRPr="00341E44">
              <w:rPr>
                <w:noProof/>
                <w:color w:val="000000"/>
                <w:sz w:val="18"/>
                <w:szCs w:val="18"/>
              </w:rPr>
              <w:t>1.603.618</w:t>
            </w:r>
          </w:p>
        </w:tc>
        <w:tc>
          <w:tcPr>
            <w:tcW w:w="1347" w:type="dxa"/>
            <w:vAlign w:val="center"/>
          </w:tcPr>
          <w:p w14:paraId="25EB72DB" w14:textId="09BFD895" w:rsidR="00341E44" w:rsidRPr="00341E44" w:rsidRDefault="00341E44" w:rsidP="00341E44">
            <w:pPr>
              <w:jc w:val="right"/>
              <w:rPr>
                <w:noProof/>
                <w:color w:val="000000"/>
                <w:sz w:val="18"/>
                <w:szCs w:val="18"/>
              </w:rPr>
            </w:pPr>
            <w:r w:rsidRPr="00341E44">
              <w:rPr>
                <w:noProof/>
                <w:color w:val="000000"/>
                <w:sz w:val="18"/>
                <w:szCs w:val="18"/>
              </w:rPr>
              <w:t>3.271.382</w:t>
            </w:r>
          </w:p>
        </w:tc>
        <w:tc>
          <w:tcPr>
            <w:tcW w:w="1346" w:type="dxa"/>
            <w:vAlign w:val="center"/>
          </w:tcPr>
          <w:p w14:paraId="54A1F3AE" w14:textId="1CDAA527" w:rsidR="00341E44" w:rsidRPr="00341E44" w:rsidRDefault="00341E44" w:rsidP="00341E44">
            <w:pPr>
              <w:jc w:val="right"/>
              <w:rPr>
                <w:noProof/>
                <w:color w:val="000000"/>
                <w:sz w:val="18"/>
                <w:szCs w:val="18"/>
              </w:rPr>
            </w:pPr>
            <w:r w:rsidRPr="00341E44">
              <w:rPr>
                <w:noProof/>
                <w:color w:val="000000"/>
                <w:sz w:val="18"/>
                <w:szCs w:val="18"/>
              </w:rPr>
              <w:t>3.145.675</w:t>
            </w:r>
          </w:p>
        </w:tc>
        <w:tc>
          <w:tcPr>
            <w:tcW w:w="1347" w:type="dxa"/>
            <w:vAlign w:val="center"/>
          </w:tcPr>
          <w:p w14:paraId="640E4CED" w14:textId="64BDA109" w:rsidR="00341E44" w:rsidRPr="00341E44" w:rsidRDefault="00341E44" w:rsidP="00341E44">
            <w:pPr>
              <w:jc w:val="right"/>
              <w:rPr>
                <w:b/>
                <w:noProof/>
                <w:color w:val="000000"/>
                <w:sz w:val="18"/>
                <w:szCs w:val="18"/>
              </w:rPr>
            </w:pPr>
            <w:r w:rsidRPr="00341E44">
              <w:rPr>
                <w:b/>
                <w:noProof/>
                <w:color w:val="000000"/>
                <w:sz w:val="18"/>
                <w:szCs w:val="18"/>
              </w:rPr>
              <w:t>8.020.675</w:t>
            </w:r>
          </w:p>
        </w:tc>
      </w:tr>
      <w:tr w:rsidR="00FA1843" w:rsidRPr="004B2A0E" w14:paraId="4BA80843" w14:textId="77777777" w:rsidTr="00EE1D03">
        <w:tc>
          <w:tcPr>
            <w:tcW w:w="3054" w:type="dxa"/>
            <w:vMerge w:val="restart"/>
            <w:vAlign w:val="center"/>
          </w:tcPr>
          <w:p w14:paraId="7B6D57C7" w14:textId="77777777" w:rsidR="00FA1843" w:rsidRPr="004B2A0E" w:rsidRDefault="00FA1843" w:rsidP="00EE1D03">
            <w:pPr>
              <w:jc w:val="left"/>
              <w:rPr>
                <w:noProof/>
                <w:sz w:val="20"/>
                <w:szCs w:val="20"/>
              </w:rPr>
            </w:pPr>
            <w:r w:rsidRPr="004B2A0E">
              <w:rPr>
                <w:noProof/>
                <w:sz w:val="20"/>
                <w:szCs w:val="20"/>
              </w:rPr>
              <w:t>Title 2:</w:t>
            </w:r>
            <w:r>
              <w:rPr>
                <w:noProof/>
                <w:sz w:val="20"/>
                <w:szCs w:val="20"/>
              </w:rPr>
              <w:t xml:space="preserve"> Infrastructure and operating expenditure</w:t>
            </w:r>
          </w:p>
        </w:tc>
        <w:tc>
          <w:tcPr>
            <w:tcW w:w="1559" w:type="dxa"/>
            <w:vAlign w:val="center"/>
          </w:tcPr>
          <w:p w14:paraId="2CCD6B2D" w14:textId="77777777" w:rsidR="00FA1843" w:rsidRPr="004B2A0E" w:rsidRDefault="00FA1843" w:rsidP="00EE1D03">
            <w:pPr>
              <w:spacing w:before="20" w:after="20"/>
              <w:rPr>
                <w:noProof/>
                <w:sz w:val="18"/>
                <w:szCs w:val="18"/>
              </w:rPr>
            </w:pPr>
            <w:r w:rsidRPr="004B2A0E">
              <w:rPr>
                <w:noProof/>
                <w:sz w:val="18"/>
                <w:szCs w:val="18"/>
              </w:rPr>
              <w:t>Commitments</w:t>
            </w:r>
          </w:p>
        </w:tc>
        <w:tc>
          <w:tcPr>
            <w:tcW w:w="1276" w:type="dxa"/>
            <w:vAlign w:val="center"/>
          </w:tcPr>
          <w:p w14:paraId="5F9556D1" w14:textId="77777777" w:rsidR="00FA1843" w:rsidRPr="004B2A0E" w:rsidRDefault="00FA1843" w:rsidP="00EE1D03">
            <w:pPr>
              <w:spacing w:before="20" w:after="20"/>
              <w:jc w:val="center"/>
              <w:rPr>
                <w:noProof/>
                <w:sz w:val="18"/>
                <w:szCs w:val="18"/>
              </w:rPr>
            </w:pPr>
            <w:r w:rsidRPr="004B2A0E">
              <w:rPr>
                <w:noProof/>
                <w:sz w:val="18"/>
                <w:szCs w:val="18"/>
              </w:rPr>
              <w:t>(1a)</w:t>
            </w:r>
          </w:p>
        </w:tc>
        <w:tc>
          <w:tcPr>
            <w:tcW w:w="1346" w:type="dxa"/>
            <w:vAlign w:val="center"/>
          </w:tcPr>
          <w:p w14:paraId="7F3075F9" w14:textId="77777777" w:rsidR="00FA1843" w:rsidRPr="004B2A0E" w:rsidRDefault="00FA1843" w:rsidP="00EE1D03">
            <w:pPr>
              <w:spacing w:before="20" w:after="20"/>
              <w:jc w:val="right"/>
              <w:rPr>
                <w:noProof/>
                <w:sz w:val="18"/>
                <w:szCs w:val="18"/>
              </w:rPr>
            </w:pPr>
          </w:p>
        </w:tc>
        <w:tc>
          <w:tcPr>
            <w:tcW w:w="1347" w:type="dxa"/>
            <w:vAlign w:val="center"/>
          </w:tcPr>
          <w:p w14:paraId="012AE0CD" w14:textId="77777777" w:rsidR="00FA1843" w:rsidRPr="004B2A0E" w:rsidRDefault="00FA1843" w:rsidP="00EE1D03">
            <w:pPr>
              <w:spacing w:before="0" w:after="0"/>
              <w:jc w:val="right"/>
              <w:rPr>
                <w:noProof/>
                <w:color w:val="000000"/>
                <w:sz w:val="18"/>
                <w:szCs w:val="18"/>
              </w:rPr>
            </w:pPr>
          </w:p>
        </w:tc>
        <w:tc>
          <w:tcPr>
            <w:tcW w:w="1346" w:type="dxa"/>
            <w:vAlign w:val="center"/>
          </w:tcPr>
          <w:p w14:paraId="64FEB804" w14:textId="77777777" w:rsidR="00FA1843" w:rsidRPr="00EC3779" w:rsidRDefault="00FA1843" w:rsidP="00EE1D03">
            <w:pPr>
              <w:jc w:val="right"/>
              <w:rPr>
                <w:noProof/>
                <w:color w:val="000000"/>
                <w:sz w:val="18"/>
                <w:szCs w:val="18"/>
              </w:rPr>
            </w:pPr>
            <w:r w:rsidRPr="00EC3779">
              <w:rPr>
                <w:noProof/>
                <w:color w:val="000000"/>
                <w:sz w:val="18"/>
                <w:szCs w:val="18"/>
              </w:rPr>
              <w:t xml:space="preserve">         273.105 </w:t>
            </w:r>
          </w:p>
          <w:p w14:paraId="1AE65D5B" w14:textId="77777777" w:rsidR="00FA1843" w:rsidRPr="006D6042" w:rsidRDefault="00FA1843" w:rsidP="00EE1D03">
            <w:pPr>
              <w:jc w:val="right"/>
              <w:rPr>
                <w:noProof/>
                <w:color w:val="000000"/>
                <w:sz w:val="18"/>
                <w:szCs w:val="18"/>
              </w:rPr>
            </w:pPr>
          </w:p>
        </w:tc>
        <w:tc>
          <w:tcPr>
            <w:tcW w:w="1347" w:type="dxa"/>
            <w:vAlign w:val="center"/>
          </w:tcPr>
          <w:p w14:paraId="12981A38" w14:textId="77777777" w:rsidR="00FA1843" w:rsidRPr="00EC3779" w:rsidRDefault="00FA1843" w:rsidP="00EE1D03">
            <w:pPr>
              <w:jc w:val="right"/>
              <w:rPr>
                <w:noProof/>
                <w:color w:val="000000"/>
                <w:sz w:val="18"/>
                <w:szCs w:val="18"/>
              </w:rPr>
            </w:pPr>
            <w:r w:rsidRPr="00EC3779">
              <w:rPr>
                <w:noProof/>
                <w:color w:val="000000"/>
                <w:sz w:val="18"/>
                <w:szCs w:val="18"/>
              </w:rPr>
              <w:t xml:space="preserve">           557.134 </w:t>
            </w:r>
          </w:p>
          <w:p w14:paraId="7032859F" w14:textId="77777777" w:rsidR="00FA1843" w:rsidRPr="006D6042" w:rsidRDefault="00FA1843" w:rsidP="00EE1D03">
            <w:pPr>
              <w:jc w:val="right"/>
              <w:rPr>
                <w:noProof/>
                <w:color w:val="000000"/>
                <w:sz w:val="18"/>
                <w:szCs w:val="18"/>
              </w:rPr>
            </w:pPr>
          </w:p>
        </w:tc>
        <w:tc>
          <w:tcPr>
            <w:tcW w:w="1346" w:type="dxa"/>
            <w:vAlign w:val="center"/>
          </w:tcPr>
          <w:p w14:paraId="5D3D1634" w14:textId="77777777" w:rsidR="00FA1843" w:rsidRDefault="00FA1843" w:rsidP="00EE1D03">
            <w:pPr>
              <w:jc w:val="right"/>
              <w:rPr>
                <w:noProof/>
                <w:color w:val="000000"/>
                <w:sz w:val="18"/>
                <w:szCs w:val="18"/>
              </w:rPr>
            </w:pPr>
            <w:r w:rsidRPr="007B7BF3">
              <w:rPr>
                <w:noProof/>
                <w:color w:val="000000"/>
                <w:sz w:val="18"/>
                <w:szCs w:val="18"/>
              </w:rPr>
              <w:t>534.849</w:t>
            </w:r>
          </w:p>
          <w:p w14:paraId="0B89A308" w14:textId="77777777" w:rsidR="00FA1843" w:rsidRPr="006D6042" w:rsidRDefault="00FA1843" w:rsidP="00EE1D03">
            <w:pPr>
              <w:jc w:val="right"/>
              <w:rPr>
                <w:noProof/>
                <w:color w:val="000000"/>
                <w:sz w:val="18"/>
                <w:szCs w:val="18"/>
              </w:rPr>
            </w:pPr>
          </w:p>
        </w:tc>
        <w:tc>
          <w:tcPr>
            <w:tcW w:w="1347" w:type="dxa"/>
            <w:vAlign w:val="center"/>
          </w:tcPr>
          <w:p w14:paraId="3A403117" w14:textId="77777777" w:rsidR="00FA1843" w:rsidRPr="004B2A0E" w:rsidRDefault="00FA1843" w:rsidP="00EE1D03">
            <w:pPr>
              <w:jc w:val="right"/>
              <w:rPr>
                <w:b/>
                <w:noProof/>
                <w:color w:val="000000"/>
                <w:sz w:val="18"/>
                <w:szCs w:val="18"/>
              </w:rPr>
            </w:pPr>
            <w:r w:rsidRPr="007B7BF3">
              <w:rPr>
                <w:b/>
                <w:noProof/>
                <w:color w:val="000000"/>
                <w:sz w:val="18"/>
                <w:szCs w:val="18"/>
              </w:rPr>
              <w:t xml:space="preserve">1.365.088 </w:t>
            </w:r>
          </w:p>
        </w:tc>
      </w:tr>
      <w:tr w:rsidR="00FA1843" w:rsidRPr="004B2A0E" w14:paraId="651BD0A2" w14:textId="77777777" w:rsidTr="00EE1D03">
        <w:tc>
          <w:tcPr>
            <w:tcW w:w="3054" w:type="dxa"/>
            <w:vMerge/>
            <w:vAlign w:val="center"/>
          </w:tcPr>
          <w:p w14:paraId="0851C211" w14:textId="77777777" w:rsidR="00FA1843" w:rsidRPr="004B2A0E" w:rsidRDefault="00FA1843" w:rsidP="00EE1D03">
            <w:pPr>
              <w:jc w:val="left"/>
              <w:rPr>
                <w:noProof/>
                <w:sz w:val="20"/>
                <w:szCs w:val="20"/>
              </w:rPr>
            </w:pPr>
          </w:p>
        </w:tc>
        <w:tc>
          <w:tcPr>
            <w:tcW w:w="1559" w:type="dxa"/>
            <w:vAlign w:val="center"/>
          </w:tcPr>
          <w:p w14:paraId="438EC3D8" w14:textId="77777777" w:rsidR="00FA1843" w:rsidRPr="004B2A0E" w:rsidRDefault="00FA1843" w:rsidP="00EE1D03">
            <w:pPr>
              <w:spacing w:before="20" w:after="20"/>
              <w:rPr>
                <w:noProof/>
                <w:sz w:val="18"/>
                <w:szCs w:val="18"/>
              </w:rPr>
            </w:pPr>
            <w:r w:rsidRPr="004B2A0E">
              <w:rPr>
                <w:noProof/>
                <w:sz w:val="18"/>
                <w:szCs w:val="18"/>
              </w:rPr>
              <w:t>Payments</w:t>
            </w:r>
          </w:p>
        </w:tc>
        <w:tc>
          <w:tcPr>
            <w:tcW w:w="1276" w:type="dxa"/>
            <w:vAlign w:val="center"/>
          </w:tcPr>
          <w:p w14:paraId="56FBFBC0" w14:textId="77777777" w:rsidR="00FA1843" w:rsidRPr="004B2A0E" w:rsidRDefault="00FA1843" w:rsidP="00EE1D03">
            <w:pPr>
              <w:spacing w:before="20" w:after="20"/>
              <w:jc w:val="center"/>
              <w:rPr>
                <w:noProof/>
                <w:sz w:val="18"/>
                <w:szCs w:val="18"/>
              </w:rPr>
            </w:pPr>
            <w:r w:rsidRPr="004B2A0E">
              <w:rPr>
                <w:noProof/>
                <w:sz w:val="18"/>
                <w:szCs w:val="18"/>
              </w:rPr>
              <w:t>(2a)</w:t>
            </w:r>
          </w:p>
        </w:tc>
        <w:tc>
          <w:tcPr>
            <w:tcW w:w="1346" w:type="dxa"/>
            <w:vAlign w:val="center"/>
          </w:tcPr>
          <w:p w14:paraId="1BF5DD21" w14:textId="77777777" w:rsidR="00FA1843" w:rsidRPr="004B2A0E" w:rsidRDefault="00FA1843" w:rsidP="00EE1D03">
            <w:pPr>
              <w:spacing w:before="20" w:after="20"/>
              <w:jc w:val="right"/>
              <w:rPr>
                <w:noProof/>
                <w:sz w:val="18"/>
                <w:szCs w:val="18"/>
              </w:rPr>
            </w:pPr>
          </w:p>
        </w:tc>
        <w:tc>
          <w:tcPr>
            <w:tcW w:w="1347" w:type="dxa"/>
            <w:vAlign w:val="center"/>
          </w:tcPr>
          <w:p w14:paraId="4230EF70" w14:textId="77777777" w:rsidR="00FA1843" w:rsidRPr="004B2A0E" w:rsidRDefault="00FA1843" w:rsidP="00EE1D03">
            <w:pPr>
              <w:spacing w:before="0" w:after="0"/>
              <w:jc w:val="right"/>
              <w:rPr>
                <w:noProof/>
                <w:color w:val="000000"/>
                <w:sz w:val="18"/>
                <w:szCs w:val="18"/>
              </w:rPr>
            </w:pPr>
          </w:p>
        </w:tc>
        <w:tc>
          <w:tcPr>
            <w:tcW w:w="1346" w:type="dxa"/>
            <w:vAlign w:val="center"/>
          </w:tcPr>
          <w:p w14:paraId="6A5E7B38" w14:textId="77777777" w:rsidR="00FA1843" w:rsidRPr="00EC3779" w:rsidRDefault="00FA1843" w:rsidP="00EE1D03">
            <w:pPr>
              <w:jc w:val="right"/>
              <w:rPr>
                <w:noProof/>
                <w:color w:val="000000"/>
                <w:sz w:val="18"/>
                <w:szCs w:val="18"/>
              </w:rPr>
            </w:pPr>
            <w:r w:rsidRPr="00EC3779">
              <w:rPr>
                <w:noProof/>
                <w:color w:val="000000"/>
                <w:sz w:val="18"/>
                <w:szCs w:val="18"/>
              </w:rPr>
              <w:t xml:space="preserve">         273.105 </w:t>
            </w:r>
          </w:p>
          <w:p w14:paraId="45AA03E3" w14:textId="77777777" w:rsidR="00FA1843" w:rsidRPr="006D6042" w:rsidRDefault="00FA1843" w:rsidP="00EE1D03">
            <w:pPr>
              <w:jc w:val="right"/>
              <w:rPr>
                <w:noProof/>
                <w:color w:val="000000"/>
                <w:sz w:val="18"/>
                <w:szCs w:val="18"/>
              </w:rPr>
            </w:pPr>
          </w:p>
        </w:tc>
        <w:tc>
          <w:tcPr>
            <w:tcW w:w="1347" w:type="dxa"/>
            <w:vAlign w:val="center"/>
          </w:tcPr>
          <w:p w14:paraId="2663EE90" w14:textId="77777777" w:rsidR="00FA1843" w:rsidRPr="00EC3779" w:rsidRDefault="00FA1843" w:rsidP="00EE1D03">
            <w:pPr>
              <w:jc w:val="right"/>
              <w:rPr>
                <w:noProof/>
                <w:color w:val="000000"/>
                <w:sz w:val="18"/>
                <w:szCs w:val="18"/>
              </w:rPr>
            </w:pPr>
            <w:r w:rsidRPr="00EC3779">
              <w:rPr>
                <w:noProof/>
                <w:color w:val="000000"/>
                <w:sz w:val="18"/>
                <w:szCs w:val="18"/>
              </w:rPr>
              <w:t xml:space="preserve">            557.134 </w:t>
            </w:r>
          </w:p>
          <w:p w14:paraId="62C3CEA5" w14:textId="77777777" w:rsidR="00FA1843" w:rsidRPr="006D6042" w:rsidRDefault="00FA1843" w:rsidP="00EE1D03">
            <w:pPr>
              <w:jc w:val="right"/>
              <w:rPr>
                <w:noProof/>
                <w:color w:val="000000"/>
                <w:sz w:val="18"/>
                <w:szCs w:val="18"/>
              </w:rPr>
            </w:pPr>
          </w:p>
        </w:tc>
        <w:tc>
          <w:tcPr>
            <w:tcW w:w="1346" w:type="dxa"/>
            <w:vAlign w:val="center"/>
          </w:tcPr>
          <w:p w14:paraId="0CDB82F6" w14:textId="77777777" w:rsidR="00FA1843" w:rsidRDefault="00FA1843" w:rsidP="00EE1D03">
            <w:pPr>
              <w:jc w:val="right"/>
              <w:rPr>
                <w:noProof/>
                <w:color w:val="000000"/>
                <w:sz w:val="18"/>
                <w:szCs w:val="18"/>
              </w:rPr>
            </w:pPr>
            <w:r w:rsidRPr="007B7BF3">
              <w:rPr>
                <w:noProof/>
                <w:color w:val="000000"/>
                <w:sz w:val="18"/>
                <w:szCs w:val="18"/>
              </w:rPr>
              <w:t>534.849</w:t>
            </w:r>
          </w:p>
          <w:p w14:paraId="5C3BC3E0" w14:textId="77777777" w:rsidR="00FA1843" w:rsidRPr="006D6042" w:rsidRDefault="00FA1843" w:rsidP="00EE1D03">
            <w:pPr>
              <w:jc w:val="right"/>
              <w:rPr>
                <w:noProof/>
                <w:color w:val="000000"/>
                <w:sz w:val="18"/>
                <w:szCs w:val="18"/>
              </w:rPr>
            </w:pPr>
          </w:p>
        </w:tc>
        <w:tc>
          <w:tcPr>
            <w:tcW w:w="1347" w:type="dxa"/>
            <w:vAlign w:val="center"/>
          </w:tcPr>
          <w:p w14:paraId="7BD63E2A" w14:textId="77777777" w:rsidR="00FA1843" w:rsidRPr="004B2A0E" w:rsidRDefault="00FA1843" w:rsidP="00EE1D03">
            <w:pPr>
              <w:jc w:val="right"/>
              <w:rPr>
                <w:b/>
                <w:noProof/>
                <w:color w:val="000000"/>
                <w:sz w:val="18"/>
                <w:szCs w:val="18"/>
              </w:rPr>
            </w:pPr>
            <w:r w:rsidRPr="007B7BF3">
              <w:rPr>
                <w:b/>
                <w:noProof/>
                <w:color w:val="000000"/>
                <w:sz w:val="18"/>
                <w:szCs w:val="18"/>
              </w:rPr>
              <w:t xml:space="preserve">1.365.088 </w:t>
            </w:r>
          </w:p>
        </w:tc>
      </w:tr>
      <w:tr w:rsidR="00FA1843" w:rsidRPr="004B2A0E" w14:paraId="5BD9BD03" w14:textId="77777777" w:rsidTr="00EE1D03">
        <w:trPr>
          <w:trHeight w:val="319"/>
        </w:trPr>
        <w:tc>
          <w:tcPr>
            <w:tcW w:w="3054" w:type="dxa"/>
            <w:vMerge w:val="restart"/>
            <w:vAlign w:val="center"/>
          </w:tcPr>
          <w:p w14:paraId="771FCEF5" w14:textId="77777777" w:rsidR="00FA1843" w:rsidRPr="004B2A0E" w:rsidRDefault="00FA1843" w:rsidP="00EE1D03">
            <w:pPr>
              <w:spacing w:before="60" w:after="60"/>
              <w:jc w:val="left"/>
              <w:rPr>
                <w:noProof/>
                <w:sz w:val="20"/>
                <w:szCs w:val="20"/>
              </w:rPr>
            </w:pPr>
            <w:r w:rsidRPr="004B2A0E">
              <w:rPr>
                <w:noProof/>
                <w:sz w:val="20"/>
                <w:szCs w:val="20"/>
              </w:rPr>
              <w:t>Title 3:</w:t>
            </w:r>
            <w:r>
              <w:rPr>
                <w:noProof/>
                <w:sz w:val="20"/>
                <w:szCs w:val="20"/>
              </w:rPr>
              <w:t xml:space="preserve"> operational expenditure</w:t>
            </w:r>
          </w:p>
        </w:tc>
        <w:tc>
          <w:tcPr>
            <w:tcW w:w="1559" w:type="dxa"/>
            <w:vAlign w:val="center"/>
          </w:tcPr>
          <w:p w14:paraId="1A5393BA" w14:textId="77777777" w:rsidR="00FA1843" w:rsidRPr="004B2A0E" w:rsidRDefault="00FA1843" w:rsidP="00EE1D03">
            <w:pPr>
              <w:spacing w:before="40" w:after="40"/>
              <w:rPr>
                <w:noProof/>
                <w:sz w:val="18"/>
                <w:szCs w:val="18"/>
              </w:rPr>
            </w:pPr>
            <w:r w:rsidRPr="004B2A0E">
              <w:rPr>
                <w:noProof/>
                <w:sz w:val="18"/>
                <w:szCs w:val="18"/>
              </w:rPr>
              <w:t>Commitments</w:t>
            </w:r>
          </w:p>
        </w:tc>
        <w:tc>
          <w:tcPr>
            <w:tcW w:w="1276" w:type="dxa"/>
            <w:vAlign w:val="center"/>
          </w:tcPr>
          <w:p w14:paraId="135710D4" w14:textId="77777777" w:rsidR="00FA1843" w:rsidRPr="004B2A0E" w:rsidRDefault="00FA1843" w:rsidP="00EE1D03">
            <w:pPr>
              <w:spacing w:before="40" w:after="40"/>
              <w:jc w:val="center"/>
              <w:rPr>
                <w:noProof/>
                <w:sz w:val="18"/>
                <w:szCs w:val="18"/>
              </w:rPr>
            </w:pPr>
            <w:r w:rsidRPr="004B2A0E">
              <w:rPr>
                <w:noProof/>
                <w:sz w:val="18"/>
                <w:szCs w:val="18"/>
              </w:rPr>
              <w:t>(3a)</w:t>
            </w:r>
          </w:p>
        </w:tc>
        <w:tc>
          <w:tcPr>
            <w:tcW w:w="1346" w:type="dxa"/>
            <w:vAlign w:val="center"/>
          </w:tcPr>
          <w:p w14:paraId="0E2D48B8" w14:textId="77777777" w:rsidR="00FA1843" w:rsidRPr="004B2A0E" w:rsidRDefault="00FA1843" w:rsidP="00EE1D03">
            <w:pPr>
              <w:spacing w:before="40" w:after="40"/>
              <w:jc w:val="right"/>
              <w:rPr>
                <w:b/>
                <w:noProof/>
                <w:sz w:val="18"/>
                <w:szCs w:val="18"/>
              </w:rPr>
            </w:pPr>
          </w:p>
        </w:tc>
        <w:tc>
          <w:tcPr>
            <w:tcW w:w="1347" w:type="dxa"/>
            <w:vAlign w:val="center"/>
          </w:tcPr>
          <w:p w14:paraId="7A4B7B0E" w14:textId="77777777" w:rsidR="00FA1843" w:rsidRPr="004B2A0E" w:rsidRDefault="00FA1843" w:rsidP="00EE1D03">
            <w:pPr>
              <w:spacing w:before="0" w:after="0"/>
              <w:jc w:val="right"/>
              <w:rPr>
                <w:noProof/>
                <w:color w:val="000000"/>
                <w:sz w:val="18"/>
                <w:szCs w:val="18"/>
              </w:rPr>
            </w:pPr>
          </w:p>
        </w:tc>
        <w:tc>
          <w:tcPr>
            <w:tcW w:w="1346" w:type="dxa"/>
            <w:vAlign w:val="center"/>
          </w:tcPr>
          <w:p w14:paraId="3CBCBB7A" w14:textId="77777777" w:rsidR="00FA1843" w:rsidRPr="006D6042" w:rsidRDefault="00FA1843" w:rsidP="00EE1D03">
            <w:pPr>
              <w:jc w:val="right"/>
              <w:rPr>
                <w:noProof/>
                <w:color w:val="000000"/>
                <w:sz w:val="18"/>
                <w:szCs w:val="18"/>
              </w:rPr>
            </w:pPr>
            <w:r w:rsidRPr="006D6042">
              <w:rPr>
                <w:noProof/>
                <w:color w:val="000000"/>
                <w:sz w:val="18"/>
                <w:szCs w:val="18"/>
              </w:rPr>
              <w:t>35.000</w:t>
            </w:r>
          </w:p>
        </w:tc>
        <w:tc>
          <w:tcPr>
            <w:tcW w:w="1347" w:type="dxa"/>
            <w:vAlign w:val="center"/>
          </w:tcPr>
          <w:p w14:paraId="2F7106AC" w14:textId="77777777" w:rsidR="00FA1843" w:rsidRPr="006D6042" w:rsidRDefault="00FA1843" w:rsidP="00EE1D03">
            <w:pPr>
              <w:jc w:val="right"/>
              <w:rPr>
                <w:noProof/>
                <w:color w:val="000000"/>
                <w:sz w:val="18"/>
                <w:szCs w:val="18"/>
              </w:rPr>
            </w:pPr>
            <w:r w:rsidRPr="006D6042">
              <w:rPr>
                <w:noProof/>
                <w:color w:val="000000"/>
                <w:sz w:val="18"/>
                <w:szCs w:val="18"/>
              </w:rPr>
              <w:t>5.000</w:t>
            </w:r>
          </w:p>
        </w:tc>
        <w:tc>
          <w:tcPr>
            <w:tcW w:w="1346" w:type="dxa"/>
            <w:vAlign w:val="center"/>
          </w:tcPr>
          <w:p w14:paraId="1E19B5AD" w14:textId="77777777" w:rsidR="00FA1843" w:rsidRPr="006D6042" w:rsidRDefault="00FA1843" w:rsidP="00EE1D03">
            <w:pPr>
              <w:jc w:val="right"/>
              <w:rPr>
                <w:noProof/>
                <w:color w:val="000000"/>
                <w:sz w:val="18"/>
                <w:szCs w:val="18"/>
              </w:rPr>
            </w:pPr>
            <w:r w:rsidRPr="006D6042">
              <w:rPr>
                <w:noProof/>
                <w:color w:val="000000"/>
                <w:sz w:val="18"/>
                <w:szCs w:val="18"/>
              </w:rPr>
              <w:t>5.000</w:t>
            </w:r>
          </w:p>
        </w:tc>
        <w:tc>
          <w:tcPr>
            <w:tcW w:w="1347" w:type="dxa"/>
            <w:vAlign w:val="center"/>
          </w:tcPr>
          <w:p w14:paraId="5B5B625F" w14:textId="77777777" w:rsidR="00FA1843" w:rsidRPr="004B2A0E" w:rsidRDefault="00FA1843" w:rsidP="00EE1D03">
            <w:pPr>
              <w:jc w:val="right"/>
              <w:rPr>
                <w:b/>
                <w:noProof/>
                <w:color w:val="000000"/>
                <w:sz w:val="18"/>
                <w:szCs w:val="18"/>
              </w:rPr>
            </w:pPr>
            <w:r>
              <w:rPr>
                <w:b/>
                <w:noProof/>
                <w:color w:val="000000"/>
                <w:sz w:val="18"/>
                <w:szCs w:val="18"/>
              </w:rPr>
              <w:t>45.000</w:t>
            </w:r>
          </w:p>
        </w:tc>
      </w:tr>
      <w:tr w:rsidR="00FA1843" w:rsidRPr="004B2A0E" w14:paraId="17A7CFCB" w14:textId="77777777" w:rsidTr="00EE1D03">
        <w:trPr>
          <w:trHeight w:val="319"/>
        </w:trPr>
        <w:tc>
          <w:tcPr>
            <w:tcW w:w="3054" w:type="dxa"/>
            <w:vMerge/>
            <w:vAlign w:val="center"/>
          </w:tcPr>
          <w:p w14:paraId="4B350883" w14:textId="77777777" w:rsidR="00FA1843" w:rsidRPr="004B2A0E" w:rsidRDefault="00FA1843" w:rsidP="00EE1D03">
            <w:pPr>
              <w:spacing w:before="60" w:after="60"/>
              <w:rPr>
                <w:b/>
                <w:noProof/>
                <w:sz w:val="20"/>
                <w:szCs w:val="20"/>
              </w:rPr>
            </w:pPr>
          </w:p>
        </w:tc>
        <w:tc>
          <w:tcPr>
            <w:tcW w:w="1559" w:type="dxa"/>
            <w:vAlign w:val="center"/>
          </w:tcPr>
          <w:p w14:paraId="4C945D0F" w14:textId="77777777" w:rsidR="00FA1843" w:rsidRPr="004B2A0E" w:rsidRDefault="00FA1843" w:rsidP="00EE1D03">
            <w:pPr>
              <w:spacing w:before="40" w:after="40"/>
              <w:rPr>
                <w:noProof/>
                <w:sz w:val="18"/>
                <w:szCs w:val="18"/>
              </w:rPr>
            </w:pPr>
            <w:r w:rsidRPr="004B2A0E">
              <w:rPr>
                <w:noProof/>
                <w:sz w:val="18"/>
                <w:szCs w:val="18"/>
              </w:rPr>
              <w:t>Payments</w:t>
            </w:r>
          </w:p>
        </w:tc>
        <w:tc>
          <w:tcPr>
            <w:tcW w:w="1276" w:type="dxa"/>
            <w:vAlign w:val="center"/>
          </w:tcPr>
          <w:p w14:paraId="72C2EF9F" w14:textId="77777777" w:rsidR="00FA1843" w:rsidRPr="004B2A0E" w:rsidRDefault="00FA1843" w:rsidP="00EE1D03">
            <w:pPr>
              <w:spacing w:before="40" w:after="40"/>
              <w:jc w:val="center"/>
              <w:rPr>
                <w:noProof/>
                <w:sz w:val="18"/>
                <w:szCs w:val="18"/>
              </w:rPr>
            </w:pPr>
            <w:r w:rsidRPr="004B2A0E">
              <w:rPr>
                <w:noProof/>
                <w:sz w:val="18"/>
                <w:szCs w:val="18"/>
              </w:rPr>
              <w:t>(3b)</w:t>
            </w:r>
          </w:p>
        </w:tc>
        <w:tc>
          <w:tcPr>
            <w:tcW w:w="1346" w:type="dxa"/>
            <w:vAlign w:val="center"/>
          </w:tcPr>
          <w:p w14:paraId="3B6FAB89" w14:textId="77777777" w:rsidR="00FA1843" w:rsidRPr="004B2A0E" w:rsidRDefault="00FA1843" w:rsidP="00EE1D03">
            <w:pPr>
              <w:spacing w:before="40" w:after="40"/>
              <w:jc w:val="right"/>
              <w:rPr>
                <w:b/>
                <w:noProof/>
                <w:sz w:val="18"/>
                <w:szCs w:val="18"/>
              </w:rPr>
            </w:pPr>
          </w:p>
        </w:tc>
        <w:tc>
          <w:tcPr>
            <w:tcW w:w="1347" w:type="dxa"/>
            <w:vAlign w:val="center"/>
          </w:tcPr>
          <w:p w14:paraId="46147B83" w14:textId="77777777" w:rsidR="00FA1843" w:rsidRPr="004B2A0E" w:rsidRDefault="00FA1843" w:rsidP="00EE1D03">
            <w:pPr>
              <w:spacing w:before="0" w:after="0"/>
              <w:jc w:val="right"/>
              <w:rPr>
                <w:noProof/>
                <w:color w:val="000000"/>
                <w:sz w:val="18"/>
                <w:szCs w:val="18"/>
              </w:rPr>
            </w:pPr>
          </w:p>
        </w:tc>
        <w:tc>
          <w:tcPr>
            <w:tcW w:w="1346" w:type="dxa"/>
            <w:vAlign w:val="center"/>
          </w:tcPr>
          <w:p w14:paraId="1AD33B24" w14:textId="77777777" w:rsidR="00FA1843" w:rsidRPr="004B2A0E" w:rsidRDefault="00FA1843" w:rsidP="00EE1D03">
            <w:pPr>
              <w:jc w:val="right"/>
              <w:rPr>
                <w:noProof/>
                <w:color w:val="000000"/>
                <w:sz w:val="18"/>
                <w:szCs w:val="18"/>
              </w:rPr>
            </w:pPr>
            <w:r>
              <w:rPr>
                <w:noProof/>
                <w:color w:val="000000"/>
                <w:sz w:val="18"/>
                <w:szCs w:val="18"/>
              </w:rPr>
              <w:t>35.000</w:t>
            </w:r>
          </w:p>
        </w:tc>
        <w:tc>
          <w:tcPr>
            <w:tcW w:w="1347" w:type="dxa"/>
            <w:vAlign w:val="center"/>
          </w:tcPr>
          <w:p w14:paraId="349092CB" w14:textId="77777777" w:rsidR="00FA1843" w:rsidRPr="004B2A0E" w:rsidRDefault="00FA1843" w:rsidP="00EE1D03">
            <w:pPr>
              <w:jc w:val="right"/>
              <w:rPr>
                <w:noProof/>
                <w:color w:val="000000"/>
                <w:sz w:val="18"/>
                <w:szCs w:val="18"/>
              </w:rPr>
            </w:pPr>
            <w:r>
              <w:rPr>
                <w:noProof/>
                <w:color w:val="000000"/>
                <w:sz w:val="18"/>
                <w:szCs w:val="18"/>
              </w:rPr>
              <w:t>5.000</w:t>
            </w:r>
          </w:p>
        </w:tc>
        <w:tc>
          <w:tcPr>
            <w:tcW w:w="1346" w:type="dxa"/>
            <w:vAlign w:val="center"/>
          </w:tcPr>
          <w:p w14:paraId="295C50DC" w14:textId="77777777" w:rsidR="00FA1843" w:rsidRPr="004B2A0E" w:rsidRDefault="00FA1843" w:rsidP="00EE1D03">
            <w:pPr>
              <w:jc w:val="right"/>
              <w:rPr>
                <w:noProof/>
                <w:color w:val="000000"/>
                <w:sz w:val="18"/>
                <w:szCs w:val="18"/>
              </w:rPr>
            </w:pPr>
            <w:r>
              <w:rPr>
                <w:noProof/>
                <w:color w:val="000000"/>
                <w:sz w:val="18"/>
                <w:szCs w:val="18"/>
              </w:rPr>
              <w:t>5.000</w:t>
            </w:r>
          </w:p>
        </w:tc>
        <w:tc>
          <w:tcPr>
            <w:tcW w:w="1347" w:type="dxa"/>
            <w:vAlign w:val="center"/>
          </w:tcPr>
          <w:p w14:paraId="5596DCF7" w14:textId="77777777" w:rsidR="00FA1843" w:rsidRPr="004B2A0E" w:rsidRDefault="00FA1843" w:rsidP="00EE1D03">
            <w:pPr>
              <w:jc w:val="right"/>
              <w:rPr>
                <w:b/>
                <w:noProof/>
                <w:color w:val="000000"/>
                <w:sz w:val="18"/>
                <w:szCs w:val="18"/>
              </w:rPr>
            </w:pPr>
            <w:r>
              <w:rPr>
                <w:b/>
                <w:noProof/>
                <w:color w:val="000000"/>
                <w:sz w:val="18"/>
                <w:szCs w:val="18"/>
              </w:rPr>
              <w:t>45.000</w:t>
            </w:r>
          </w:p>
        </w:tc>
      </w:tr>
      <w:tr w:rsidR="00FA1843" w:rsidRPr="004B2A0E" w14:paraId="6DF06B10" w14:textId="77777777" w:rsidTr="00EE1D03">
        <w:tc>
          <w:tcPr>
            <w:tcW w:w="3054" w:type="dxa"/>
            <w:vAlign w:val="center"/>
          </w:tcPr>
          <w:p w14:paraId="1BDB4CFB" w14:textId="77777777" w:rsidR="00FA1843" w:rsidRPr="004B2A0E" w:rsidRDefault="00FA1843" w:rsidP="00EE1D03">
            <w:pPr>
              <w:jc w:val="center"/>
              <w:rPr>
                <w:noProof/>
                <w:sz w:val="20"/>
                <w:szCs w:val="20"/>
              </w:rPr>
            </w:pPr>
            <w:r w:rsidRPr="004B2A0E">
              <w:rPr>
                <w:b/>
                <w:noProof/>
                <w:sz w:val="20"/>
                <w:szCs w:val="20"/>
              </w:rPr>
              <w:t>TOTAL appropriations</w:t>
            </w:r>
          </w:p>
        </w:tc>
        <w:tc>
          <w:tcPr>
            <w:tcW w:w="1559" w:type="dxa"/>
            <w:vAlign w:val="center"/>
          </w:tcPr>
          <w:p w14:paraId="4724EF6E" w14:textId="77777777" w:rsidR="00FA1843" w:rsidRPr="004B2A0E" w:rsidRDefault="00FA1843" w:rsidP="00EE1D03">
            <w:pPr>
              <w:rPr>
                <w:noProof/>
                <w:sz w:val="18"/>
                <w:szCs w:val="18"/>
              </w:rPr>
            </w:pPr>
            <w:r w:rsidRPr="004B2A0E">
              <w:rPr>
                <w:noProof/>
                <w:sz w:val="18"/>
                <w:szCs w:val="18"/>
              </w:rPr>
              <w:t>Commitments</w:t>
            </w:r>
          </w:p>
        </w:tc>
        <w:tc>
          <w:tcPr>
            <w:tcW w:w="1276" w:type="dxa"/>
            <w:vAlign w:val="center"/>
          </w:tcPr>
          <w:p w14:paraId="6F023C47" w14:textId="77777777" w:rsidR="00FA1843" w:rsidRPr="004B2A0E" w:rsidRDefault="00FA1843" w:rsidP="00EE1D03">
            <w:pPr>
              <w:jc w:val="center"/>
              <w:rPr>
                <w:noProof/>
                <w:sz w:val="18"/>
                <w:szCs w:val="18"/>
              </w:rPr>
            </w:pPr>
            <w:r w:rsidRPr="004B2A0E">
              <w:rPr>
                <w:noProof/>
                <w:sz w:val="18"/>
                <w:szCs w:val="18"/>
              </w:rPr>
              <w:t>=1+1a +3a</w:t>
            </w:r>
          </w:p>
        </w:tc>
        <w:tc>
          <w:tcPr>
            <w:tcW w:w="1346" w:type="dxa"/>
            <w:vAlign w:val="center"/>
          </w:tcPr>
          <w:p w14:paraId="43CF7085" w14:textId="77777777" w:rsidR="00FA1843" w:rsidRPr="004B2A0E" w:rsidRDefault="00FA1843" w:rsidP="00EE1D03">
            <w:pPr>
              <w:spacing w:before="20" w:after="20"/>
              <w:jc w:val="right"/>
              <w:rPr>
                <w:noProof/>
                <w:sz w:val="18"/>
                <w:szCs w:val="18"/>
              </w:rPr>
            </w:pPr>
          </w:p>
        </w:tc>
        <w:tc>
          <w:tcPr>
            <w:tcW w:w="1347" w:type="dxa"/>
            <w:vAlign w:val="center"/>
          </w:tcPr>
          <w:p w14:paraId="081C7A8F" w14:textId="77777777" w:rsidR="00FA1843" w:rsidRPr="004B2A0E" w:rsidRDefault="00FA1843" w:rsidP="00EE1D03">
            <w:pPr>
              <w:spacing w:before="0" w:after="0"/>
              <w:jc w:val="right"/>
              <w:rPr>
                <w:b/>
                <w:noProof/>
                <w:color w:val="000000"/>
                <w:sz w:val="18"/>
                <w:szCs w:val="18"/>
              </w:rPr>
            </w:pPr>
          </w:p>
        </w:tc>
        <w:tc>
          <w:tcPr>
            <w:tcW w:w="1346" w:type="dxa"/>
            <w:vAlign w:val="center"/>
          </w:tcPr>
          <w:p w14:paraId="47966411" w14:textId="77777777" w:rsidR="00FA1843" w:rsidRDefault="00FA1843" w:rsidP="00EE1D03">
            <w:pPr>
              <w:jc w:val="right"/>
              <w:rPr>
                <w:b/>
                <w:noProof/>
                <w:color w:val="000000"/>
                <w:sz w:val="18"/>
                <w:szCs w:val="18"/>
              </w:rPr>
            </w:pPr>
          </w:p>
          <w:p w14:paraId="6F89A8C7" w14:textId="77777777" w:rsidR="00FA1843" w:rsidDel="007D518B" w:rsidRDefault="00FA1843" w:rsidP="00EE1D03">
            <w:pPr>
              <w:jc w:val="right"/>
              <w:rPr>
                <w:b/>
                <w:noProof/>
                <w:color w:val="000000"/>
                <w:sz w:val="18"/>
                <w:szCs w:val="18"/>
              </w:rPr>
            </w:pPr>
            <w:r w:rsidRPr="007B7BF3">
              <w:rPr>
                <w:b/>
                <w:noProof/>
                <w:color w:val="000000"/>
                <w:sz w:val="18"/>
                <w:szCs w:val="18"/>
              </w:rPr>
              <w:t>1.911.724</w:t>
            </w:r>
          </w:p>
          <w:p w14:paraId="0F1CDAE0" w14:textId="77777777" w:rsidR="00FA1843" w:rsidRPr="004B2A0E" w:rsidRDefault="00FA1843" w:rsidP="00EE1D03">
            <w:pPr>
              <w:jc w:val="right"/>
              <w:rPr>
                <w:b/>
                <w:noProof/>
                <w:color w:val="000000"/>
                <w:sz w:val="18"/>
                <w:szCs w:val="18"/>
              </w:rPr>
            </w:pPr>
          </w:p>
        </w:tc>
        <w:tc>
          <w:tcPr>
            <w:tcW w:w="1347" w:type="dxa"/>
            <w:vAlign w:val="center"/>
          </w:tcPr>
          <w:p w14:paraId="61056B29" w14:textId="77777777" w:rsidR="00FA1843" w:rsidDel="007D518B" w:rsidRDefault="00FA1843" w:rsidP="00EE1D03">
            <w:pPr>
              <w:jc w:val="right"/>
              <w:rPr>
                <w:b/>
                <w:noProof/>
                <w:color w:val="000000"/>
                <w:sz w:val="18"/>
                <w:szCs w:val="18"/>
              </w:rPr>
            </w:pPr>
          </w:p>
          <w:p w14:paraId="27ECEF0B" w14:textId="77777777" w:rsidR="00FA1843" w:rsidRPr="003B70BC" w:rsidRDefault="00FA1843" w:rsidP="00EE1D03">
            <w:pPr>
              <w:jc w:val="right"/>
              <w:rPr>
                <w:b/>
                <w:bCs/>
                <w:noProof/>
                <w:color w:val="000000"/>
                <w:sz w:val="18"/>
                <w:szCs w:val="18"/>
              </w:rPr>
            </w:pPr>
            <w:r w:rsidRPr="007B7BF3">
              <w:rPr>
                <w:b/>
                <w:noProof/>
                <w:color w:val="000000"/>
                <w:sz w:val="18"/>
                <w:szCs w:val="18"/>
              </w:rPr>
              <w:t xml:space="preserve">3.833.516 </w:t>
            </w:r>
            <w:r w:rsidRPr="003B70BC">
              <w:rPr>
                <w:b/>
                <w:bCs/>
                <w:noProof/>
                <w:color w:val="000000"/>
                <w:sz w:val="18"/>
                <w:szCs w:val="18"/>
              </w:rPr>
              <w:t xml:space="preserve">           </w:t>
            </w:r>
          </w:p>
          <w:p w14:paraId="479B4918" w14:textId="77777777" w:rsidR="00FA1843" w:rsidRPr="004B2A0E" w:rsidRDefault="00FA1843" w:rsidP="00EE1D03">
            <w:pPr>
              <w:jc w:val="right"/>
              <w:rPr>
                <w:b/>
                <w:noProof/>
                <w:color w:val="000000"/>
                <w:sz w:val="18"/>
                <w:szCs w:val="18"/>
              </w:rPr>
            </w:pPr>
          </w:p>
        </w:tc>
        <w:tc>
          <w:tcPr>
            <w:tcW w:w="1346" w:type="dxa"/>
            <w:vAlign w:val="center"/>
          </w:tcPr>
          <w:p w14:paraId="2B4FFE3A" w14:textId="77777777" w:rsidR="00FA1843" w:rsidRDefault="00FA1843" w:rsidP="00EE1D03">
            <w:pPr>
              <w:jc w:val="right"/>
              <w:rPr>
                <w:b/>
                <w:noProof/>
                <w:color w:val="000000"/>
                <w:sz w:val="18"/>
                <w:szCs w:val="18"/>
              </w:rPr>
            </w:pPr>
          </w:p>
          <w:p w14:paraId="36D8CF1D" w14:textId="77777777" w:rsidR="00FA1843" w:rsidRPr="00EC3779" w:rsidRDefault="00FA1843" w:rsidP="00EE1D03">
            <w:pPr>
              <w:jc w:val="right"/>
              <w:rPr>
                <w:b/>
                <w:noProof/>
                <w:color w:val="000000"/>
                <w:sz w:val="18"/>
                <w:szCs w:val="18"/>
              </w:rPr>
            </w:pPr>
            <w:r w:rsidRPr="00EC3779">
              <w:rPr>
                <w:b/>
                <w:noProof/>
                <w:color w:val="000000"/>
                <w:sz w:val="18"/>
                <w:szCs w:val="18"/>
              </w:rPr>
              <w:t xml:space="preserve">3.685.523 </w:t>
            </w:r>
          </w:p>
          <w:p w14:paraId="368E4F6C" w14:textId="77777777" w:rsidR="00FA1843" w:rsidRPr="004B2A0E" w:rsidRDefault="00FA1843" w:rsidP="00EE1D03">
            <w:pPr>
              <w:jc w:val="right"/>
              <w:rPr>
                <w:b/>
                <w:noProof/>
                <w:color w:val="000000"/>
                <w:sz w:val="18"/>
                <w:szCs w:val="18"/>
              </w:rPr>
            </w:pPr>
          </w:p>
        </w:tc>
        <w:tc>
          <w:tcPr>
            <w:tcW w:w="1347" w:type="dxa"/>
            <w:vAlign w:val="center"/>
          </w:tcPr>
          <w:p w14:paraId="0C89AB71" w14:textId="77777777" w:rsidR="00FA1843" w:rsidRDefault="00FA1843" w:rsidP="00EE1D03">
            <w:pPr>
              <w:jc w:val="right"/>
              <w:rPr>
                <w:b/>
                <w:noProof/>
                <w:color w:val="000000"/>
                <w:sz w:val="18"/>
                <w:szCs w:val="18"/>
              </w:rPr>
            </w:pPr>
          </w:p>
          <w:p w14:paraId="1882D34A" w14:textId="77777777" w:rsidR="00FA1843" w:rsidRPr="004B2A0E" w:rsidRDefault="00FA1843" w:rsidP="00EE1D03">
            <w:pPr>
              <w:jc w:val="right"/>
              <w:rPr>
                <w:b/>
                <w:noProof/>
                <w:color w:val="000000"/>
                <w:sz w:val="18"/>
                <w:szCs w:val="18"/>
              </w:rPr>
            </w:pPr>
            <w:r w:rsidRPr="007B7BF3">
              <w:rPr>
                <w:b/>
                <w:noProof/>
                <w:color w:val="000000"/>
                <w:sz w:val="18"/>
                <w:szCs w:val="18"/>
              </w:rPr>
              <w:t xml:space="preserve">9.430.763 </w:t>
            </w:r>
          </w:p>
        </w:tc>
      </w:tr>
      <w:tr w:rsidR="00FA1843" w:rsidRPr="004B2A0E" w14:paraId="19AAD44C" w14:textId="77777777" w:rsidTr="00EE1D03">
        <w:trPr>
          <w:trHeight w:val="659"/>
        </w:trPr>
        <w:tc>
          <w:tcPr>
            <w:tcW w:w="3054" w:type="dxa"/>
            <w:vAlign w:val="center"/>
          </w:tcPr>
          <w:p w14:paraId="3B4832F5" w14:textId="77777777" w:rsidR="00FA1843" w:rsidRPr="004B2A0E" w:rsidRDefault="00FA1843" w:rsidP="00EE1D03">
            <w:pPr>
              <w:rPr>
                <w:b/>
                <w:noProof/>
                <w:sz w:val="20"/>
                <w:szCs w:val="20"/>
              </w:rPr>
            </w:pPr>
          </w:p>
        </w:tc>
        <w:tc>
          <w:tcPr>
            <w:tcW w:w="1559" w:type="dxa"/>
            <w:vAlign w:val="center"/>
          </w:tcPr>
          <w:p w14:paraId="5BD7BB71" w14:textId="77777777" w:rsidR="00FA1843" w:rsidRPr="004B2A0E" w:rsidRDefault="00FA1843" w:rsidP="00EE1D03">
            <w:pPr>
              <w:rPr>
                <w:noProof/>
                <w:sz w:val="18"/>
                <w:szCs w:val="18"/>
              </w:rPr>
            </w:pPr>
            <w:r w:rsidRPr="004B2A0E">
              <w:rPr>
                <w:noProof/>
                <w:sz w:val="18"/>
                <w:szCs w:val="18"/>
              </w:rPr>
              <w:t>Payments</w:t>
            </w:r>
          </w:p>
        </w:tc>
        <w:tc>
          <w:tcPr>
            <w:tcW w:w="1276" w:type="dxa"/>
            <w:vAlign w:val="center"/>
          </w:tcPr>
          <w:p w14:paraId="7E3EC11A" w14:textId="77777777" w:rsidR="00FA1843" w:rsidRPr="004B2A0E" w:rsidRDefault="00FA1843" w:rsidP="00EE1D03">
            <w:pPr>
              <w:jc w:val="center"/>
              <w:rPr>
                <w:noProof/>
                <w:sz w:val="18"/>
                <w:szCs w:val="18"/>
              </w:rPr>
            </w:pPr>
            <w:r w:rsidRPr="004B2A0E">
              <w:rPr>
                <w:noProof/>
                <w:sz w:val="18"/>
                <w:szCs w:val="18"/>
              </w:rPr>
              <w:t>=2+2a</w:t>
            </w:r>
            <w:r>
              <w:rPr>
                <w:noProof/>
                <w:sz w:val="18"/>
                <w:szCs w:val="18"/>
              </w:rPr>
              <w:t xml:space="preserve"> </w:t>
            </w:r>
            <w:r w:rsidRPr="004B2A0E">
              <w:rPr>
                <w:noProof/>
                <w:sz w:val="18"/>
                <w:szCs w:val="18"/>
              </w:rPr>
              <w:t>+3b</w:t>
            </w:r>
          </w:p>
        </w:tc>
        <w:tc>
          <w:tcPr>
            <w:tcW w:w="1346" w:type="dxa"/>
            <w:vAlign w:val="center"/>
          </w:tcPr>
          <w:p w14:paraId="48830798" w14:textId="77777777" w:rsidR="00FA1843" w:rsidRPr="004B2A0E" w:rsidRDefault="00FA1843" w:rsidP="00EE1D03">
            <w:pPr>
              <w:spacing w:before="20" w:after="20"/>
              <w:jc w:val="right"/>
              <w:rPr>
                <w:noProof/>
                <w:sz w:val="18"/>
                <w:szCs w:val="18"/>
              </w:rPr>
            </w:pPr>
          </w:p>
        </w:tc>
        <w:tc>
          <w:tcPr>
            <w:tcW w:w="1347" w:type="dxa"/>
            <w:vAlign w:val="center"/>
          </w:tcPr>
          <w:p w14:paraId="65C72384" w14:textId="77777777" w:rsidR="00FA1843" w:rsidRPr="004B2A0E" w:rsidRDefault="00FA1843" w:rsidP="00EE1D03">
            <w:pPr>
              <w:spacing w:before="0" w:after="0"/>
              <w:jc w:val="right"/>
              <w:rPr>
                <w:b/>
                <w:noProof/>
                <w:color w:val="000000"/>
                <w:sz w:val="18"/>
                <w:szCs w:val="18"/>
              </w:rPr>
            </w:pPr>
          </w:p>
        </w:tc>
        <w:tc>
          <w:tcPr>
            <w:tcW w:w="1346" w:type="dxa"/>
            <w:vAlign w:val="center"/>
          </w:tcPr>
          <w:p w14:paraId="23AA5BDE" w14:textId="77777777" w:rsidR="00FA1843" w:rsidRPr="004B2A0E" w:rsidRDefault="00FA1843" w:rsidP="00EE1D03">
            <w:pPr>
              <w:jc w:val="right"/>
              <w:rPr>
                <w:b/>
                <w:noProof/>
                <w:color w:val="000000"/>
                <w:sz w:val="18"/>
                <w:szCs w:val="18"/>
              </w:rPr>
            </w:pPr>
            <w:r w:rsidRPr="007B7BF3">
              <w:rPr>
                <w:b/>
                <w:noProof/>
                <w:color w:val="000000"/>
                <w:sz w:val="18"/>
                <w:szCs w:val="18"/>
              </w:rPr>
              <w:t xml:space="preserve">1.911.724 </w:t>
            </w:r>
          </w:p>
        </w:tc>
        <w:tc>
          <w:tcPr>
            <w:tcW w:w="1347" w:type="dxa"/>
            <w:vAlign w:val="center"/>
          </w:tcPr>
          <w:p w14:paraId="5993101D" w14:textId="77777777" w:rsidR="00FA1843" w:rsidRPr="004B2A0E" w:rsidRDefault="00FA1843" w:rsidP="00EE1D03">
            <w:pPr>
              <w:jc w:val="right"/>
              <w:rPr>
                <w:b/>
                <w:noProof/>
                <w:color w:val="000000"/>
                <w:sz w:val="18"/>
                <w:szCs w:val="18"/>
              </w:rPr>
            </w:pPr>
            <w:r w:rsidRPr="007B7BF3">
              <w:rPr>
                <w:b/>
                <w:noProof/>
                <w:color w:val="000000"/>
                <w:sz w:val="18"/>
                <w:szCs w:val="18"/>
              </w:rPr>
              <w:t xml:space="preserve">3.833.516 </w:t>
            </w:r>
          </w:p>
        </w:tc>
        <w:tc>
          <w:tcPr>
            <w:tcW w:w="1346" w:type="dxa"/>
            <w:vAlign w:val="center"/>
          </w:tcPr>
          <w:p w14:paraId="79DE18C6" w14:textId="77777777" w:rsidR="00FA1843" w:rsidRDefault="00FA1843" w:rsidP="00EE1D03">
            <w:pPr>
              <w:jc w:val="right"/>
              <w:rPr>
                <w:b/>
                <w:noProof/>
                <w:color w:val="000000"/>
                <w:sz w:val="18"/>
                <w:szCs w:val="18"/>
              </w:rPr>
            </w:pPr>
            <w:r w:rsidRPr="00EC3779">
              <w:rPr>
                <w:b/>
                <w:noProof/>
                <w:color w:val="000000"/>
                <w:sz w:val="18"/>
                <w:szCs w:val="18"/>
              </w:rPr>
              <w:t xml:space="preserve">    </w:t>
            </w:r>
          </w:p>
          <w:p w14:paraId="586967E1" w14:textId="77777777" w:rsidR="00FA1843" w:rsidRPr="00EC3779" w:rsidRDefault="00FA1843" w:rsidP="00EE1D03">
            <w:pPr>
              <w:jc w:val="right"/>
              <w:rPr>
                <w:b/>
                <w:noProof/>
                <w:color w:val="000000"/>
                <w:sz w:val="18"/>
                <w:szCs w:val="18"/>
              </w:rPr>
            </w:pPr>
            <w:r w:rsidRPr="00EC3779">
              <w:rPr>
                <w:b/>
                <w:noProof/>
                <w:color w:val="000000"/>
                <w:sz w:val="18"/>
                <w:szCs w:val="18"/>
              </w:rPr>
              <w:t xml:space="preserve"> 3.685.523 </w:t>
            </w:r>
          </w:p>
          <w:p w14:paraId="5EC2F7A1" w14:textId="77777777" w:rsidR="00FA1843" w:rsidRPr="004B2A0E" w:rsidRDefault="00FA1843" w:rsidP="00EE1D03">
            <w:pPr>
              <w:jc w:val="right"/>
              <w:rPr>
                <w:b/>
                <w:noProof/>
                <w:color w:val="000000"/>
                <w:sz w:val="18"/>
                <w:szCs w:val="18"/>
              </w:rPr>
            </w:pPr>
          </w:p>
        </w:tc>
        <w:tc>
          <w:tcPr>
            <w:tcW w:w="1347" w:type="dxa"/>
            <w:vAlign w:val="center"/>
          </w:tcPr>
          <w:p w14:paraId="78A2D3F8" w14:textId="77777777" w:rsidR="00FA1843" w:rsidRPr="004B2A0E" w:rsidRDefault="00FA1843" w:rsidP="00EE1D03">
            <w:pPr>
              <w:jc w:val="right"/>
              <w:rPr>
                <w:b/>
                <w:noProof/>
                <w:color w:val="000000"/>
                <w:sz w:val="18"/>
                <w:szCs w:val="18"/>
              </w:rPr>
            </w:pPr>
            <w:r w:rsidRPr="007B7BF3">
              <w:rPr>
                <w:b/>
                <w:noProof/>
                <w:color w:val="000000"/>
                <w:sz w:val="18"/>
                <w:szCs w:val="18"/>
              </w:rPr>
              <w:t xml:space="preserve">9.430.763 </w:t>
            </w:r>
          </w:p>
        </w:tc>
      </w:tr>
    </w:tbl>
    <w:p w14:paraId="499F1D2F" w14:textId="77777777" w:rsidR="00FA1843" w:rsidRDefault="00FA1843" w:rsidP="00FA1843">
      <w:pPr>
        <w:spacing w:before="0" w:after="200" w:line="276" w:lineRule="auto"/>
        <w:jc w:val="left"/>
        <w:rPr>
          <w:noProof/>
        </w:rPr>
      </w:pPr>
    </w:p>
    <w:p w14:paraId="782F690A" w14:textId="77777777" w:rsidR="009F50E4" w:rsidRPr="009F50E4" w:rsidRDefault="009F50E4" w:rsidP="009F50E4">
      <w:pPr>
        <w:rPr>
          <w:noProof/>
        </w:rPr>
      </w:pPr>
    </w:p>
    <w:sectPr w:rsidR="009F50E4" w:rsidRPr="009F50E4" w:rsidSect="00783A24">
      <w:headerReference w:type="default" r:id="rId25"/>
      <w:footerReference w:type="default" r:id="rId26"/>
      <w:headerReference w:type="first" r:id="rId27"/>
      <w:footerReference w:type="first" r:id="rId28"/>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82B0" w14:textId="77777777" w:rsidR="00BB0745" w:rsidRDefault="00BB0745" w:rsidP="00587167">
      <w:pPr>
        <w:spacing w:before="0" w:after="0"/>
      </w:pPr>
      <w:r>
        <w:separator/>
      </w:r>
    </w:p>
    <w:p w14:paraId="5687702E" w14:textId="77777777" w:rsidR="00BB0745" w:rsidRDefault="00BB0745"/>
  </w:endnote>
  <w:endnote w:type="continuationSeparator" w:id="0">
    <w:p w14:paraId="5DED845E" w14:textId="77777777" w:rsidR="00BB0745" w:rsidRDefault="00BB0745" w:rsidP="00587167">
      <w:pPr>
        <w:spacing w:before="0" w:after="0"/>
      </w:pPr>
      <w:r>
        <w:continuationSeparator/>
      </w:r>
    </w:p>
    <w:p w14:paraId="7BFBECC0" w14:textId="77777777" w:rsidR="00BB0745" w:rsidRDefault="00BB0745"/>
  </w:endnote>
  <w:endnote w:type="continuationNotice" w:id="1">
    <w:p w14:paraId="16DDBCCE" w14:textId="77777777" w:rsidR="00BB0745" w:rsidRDefault="00BB0745">
      <w:pPr>
        <w:spacing w:before="0" w:after="0"/>
      </w:pPr>
    </w:p>
    <w:p w14:paraId="53A0DF23" w14:textId="77777777" w:rsidR="00BB0745" w:rsidRDefault="00BB0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6F41" w14:textId="71F2D595" w:rsidR="00783A24" w:rsidRPr="00783A24" w:rsidRDefault="00783A24" w:rsidP="00783A24">
    <w:pPr>
      <w:pStyle w:val="Footer"/>
      <w:rPr>
        <w:rFonts w:ascii="Arial" w:hAnsi="Arial" w:cs="Arial"/>
        <w:b/>
        <w:sz w:val="48"/>
      </w:rPr>
    </w:pPr>
    <w:r w:rsidRPr="00783A24">
      <w:rPr>
        <w:rFonts w:ascii="Arial" w:hAnsi="Arial" w:cs="Arial"/>
        <w:b/>
        <w:sz w:val="48"/>
      </w:rPr>
      <w:t>EN</w:t>
    </w:r>
    <w:r w:rsidRPr="00783A24">
      <w:rPr>
        <w:rFonts w:ascii="Arial" w:hAnsi="Arial" w:cs="Arial"/>
        <w:b/>
        <w:sz w:val="48"/>
      </w:rPr>
      <w:tab/>
    </w:r>
    <w:r w:rsidRPr="00783A24">
      <w:rPr>
        <w:rFonts w:ascii="Arial" w:hAnsi="Arial" w:cs="Arial"/>
        <w:b/>
        <w:sz w:val="48"/>
      </w:rPr>
      <w:tab/>
    </w:r>
    <w:r w:rsidRPr="00783A24">
      <w:tab/>
    </w:r>
    <w:proofErr w:type="spellStart"/>
    <w:r w:rsidRPr="00783A24">
      <w:rPr>
        <w:rFonts w:ascii="Arial" w:hAnsi="Arial" w:cs="Arial"/>
        <w:b/>
        <w:sz w:val="48"/>
      </w:rPr>
      <w:t>EN</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B66C" w14:textId="1BF3565F" w:rsidR="00783A24" w:rsidRPr="00783A24" w:rsidRDefault="00783A24" w:rsidP="00783A24">
    <w:pPr>
      <w:pStyle w:val="FooterLandscape"/>
      <w:rPr>
        <w:rFonts w:ascii="Arial" w:hAnsi="Arial" w:cs="Arial"/>
        <w:b/>
        <w:sz w:val="48"/>
      </w:rPr>
    </w:pPr>
    <w:r w:rsidRPr="00783A24">
      <w:rPr>
        <w:rFonts w:ascii="Arial" w:hAnsi="Arial" w:cs="Arial"/>
        <w:b/>
        <w:sz w:val="48"/>
      </w:rPr>
      <w:t>EN</w:t>
    </w:r>
    <w:r w:rsidRPr="00783A24">
      <w:rPr>
        <w:rFonts w:ascii="Arial" w:hAnsi="Arial" w:cs="Arial"/>
        <w:b/>
        <w:sz w:val="48"/>
      </w:rPr>
      <w:tab/>
    </w:r>
    <w:r>
      <w:fldChar w:fldCharType="begin"/>
    </w:r>
    <w:r>
      <w:instrText xml:space="preserve"> PAGE  \* MERGEFORMAT </w:instrText>
    </w:r>
    <w:r>
      <w:fldChar w:fldCharType="separate"/>
    </w:r>
    <w:r>
      <w:rPr>
        <w:noProof/>
      </w:rPr>
      <w:t>75</w:t>
    </w:r>
    <w:r>
      <w:fldChar w:fldCharType="end"/>
    </w:r>
    <w:r>
      <w:tab/>
    </w:r>
    <w:r w:rsidRPr="00783A24">
      <w:tab/>
    </w:r>
    <w:r w:rsidRPr="00783A24">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D8EF" w14:textId="77777777" w:rsidR="00783A24" w:rsidRPr="00783A24" w:rsidRDefault="00783A24" w:rsidP="00783A24">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D676" w14:textId="57413C50" w:rsidR="00783A24" w:rsidRPr="00783A24" w:rsidRDefault="00783A24" w:rsidP="00783A24">
    <w:pPr>
      <w:pStyle w:val="Footer"/>
      <w:rPr>
        <w:rFonts w:ascii="Arial" w:hAnsi="Arial" w:cs="Arial"/>
        <w:b/>
        <w:sz w:val="48"/>
      </w:rPr>
    </w:pPr>
    <w:r w:rsidRPr="00783A24">
      <w:rPr>
        <w:rFonts w:ascii="Arial" w:hAnsi="Arial" w:cs="Arial"/>
        <w:b/>
        <w:sz w:val="48"/>
      </w:rPr>
      <w:t>EN</w:t>
    </w:r>
    <w:r w:rsidRPr="00783A24">
      <w:rPr>
        <w:rFonts w:ascii="Arial" w:hAnsi="Arial" w:cs="Arial"/>
        <w:b/>
        <w:sz w:val="48"/>
      </w:rPr>
      <w:tab/>
    </w:r>
    <w:r w:rsidRPr="00783A24">
      <w:rPr>
        <w:rFonts w:ascii="Arial" w:hAnsi="Arial" w:cs="Arial"/>
        <w:b/>
        <w:sz w:val="48"/>
      </w:rPr>
      <w:tab/>
    </w:r>
    <w:r w:rsidRPr="00783A24">
      <w:tab/>
    </w:r>
    <w:proofErr w:type="spellStart"/>
    <w:r w:rsidRPr="00783A24">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E403" w14:textId="77777777" w:rsidR="00783A24" w:rsidRPr="00783A24" w:rsidRDefault="00783A24" w:rsidP="00783A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63F0" w14:textId="2303FC3D" w:rsidR="00783A24" w:rsidRPr="00783A24" w:rsidRDefault="00783A24" w:rsidP="00783A24">
    <w:pPr>
      <w:pStyle w:val="Footer"/>
      <w:rPr>
        <w:rFonts w:ascii="Arial" w:hAnsi="Arial" w:cs="Arial"/>
        <w:b/>
        <w:sz w:val="48"/>
      </w:rPr>
    </w:pPr>
    <w:r w:rsidRPr="00783A24">
      <w:rPr>
        <w:rFonts w:ascii="Arial" w:hAnsi="Arial" w:cs="Arial"/>
        <w:b/>
        <w:sz w:val="48"/>
      </w:rPr>
      <w:t>EN</w:t>
    </w:r>
    <w:r w:rsidRPr="00783A2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83A24">
      <w:tab/>
    </w:r>
    <w:r w:rsidRPr="00783A2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ABE" w14:textId="77777777" w:rsidR="00783A24" w:rsidRPr="00783A24" w:rsidRDefault="00783A24" w:rsidP="00783A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93A1" w14:textId="5D1A79AD" w:rsidR="00EA1519" w:rsidRPr="00783A24" w:rsidRDefault="00783A24" w:rsidP="00783A24">
    <w:pPr>
      <w:pStyle w:val="FooterLandscape"/>
      <w:rPr>
        <w:rFonts w:ascii="Arial" w:hAnsi="Arial" w:cs="Arial"/>
        <w:b/>
        <w:sz w:val="48"/>
      </w:rPr>
    </w:pPr>
    <w:r w:rsidRPr="00783A24">
      <w:rPr>
        <w:rFonts w:ascii="Arial" w:hAnsi="Arial" w:cs="Arial"/>
        <w:b/>
        <w:sz w:val="48"/>
      </w:rPr>
      <w:t>EN</w:t>
    </w:r>
    <w:r w:rsidRPr="00783A24">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rsidRPr="00783A24">
      <w:tab/>
    </w:r>
    <w:r w:rsidRPr="00783A24">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6ADE" w14:textId="77777777" w:rsidR="00783A24" w:rsidRPr="00783A24" w:rsidRDefault="00783A24" w:rsidP="00783A24">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8831" w14:textId="1BB68A51" w:rsidR="00D500C8" w:rsidRPr="00783A24" w:rsidRDefault="00783A24" w:rsidP="00783A24">
    <w:pPr>
      <w:pStyle w:val="Footer"/>
      <w:rPr>
        <w:rFonts w:ascii="Arial" w:hAnsi="Arial" w:cs="Arial"/>
        <w:b/>
        <w:sz w:val="48"/>
      </w:rPr>
    </w:pPr>
    <w:r w:rsidRPr="00783A24">
      <w:rPr>
        <w:rFonts w:ascii="Arial" w:hAnsi="Arial" w:cs="Arial"/>
        <w:b/>
        <w:sz w:val="48"/>
      </w:rPr>
      <w:t>EN</w:t>
    </w:r>
    <w:r w:rsidRPr="00783A24">
      <w:rPr>
        <w:rFonts w:ascii="Arial" w:hAnsi="Arial" w:cs="Arial"/>
        <w:b/>
        <w:sz w:val="48"/>
      </w:rPr>
      <w:tab/>
    </w:r>
    <w:r>
      <w:fldChar w:fldCharType="begin"/>
    </w:r>
    <w:r>
      <w:instrText xml:space="preserve"> PAGE  \* MERGEFORMAT </w:instrText>
    </w:r>
    <w:r>
      <w:fldChar w:fldCharType="separate"/>
    </w:r>
    <w:r>
      <w:rPr>
        <w:noProof/>
      </w:rPr>
      <w:t>75</w:t>
    </w:r>
    <w:r>
      <w:fldChar w:fldCharType="end"/>
    </w:r>
    <w:r>
      <w:tab/>
    </w:r>
    <w:r w:rsidRPr="00783A24">
      <w:tab/>
    </w:r>
    <w:r w:rsidRPr="00783A24">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9C16" w14:textId="77777777" w:rsidR="00783A24" w:rsidRPr="00783A24" w:rsidRDefault="00783A24" w:rsidP="00783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214C" w14:textId="77777777" w:rsidR="00BB0745" w:rsidRDefault="00BB0745" w:rsidP="00587167">
      <w:pPr>
        <w:spacing w:before="0" w:after="0"/>
      </w:pPr>
      <w:r>
        <w:separator/>
      </w:r>
    </w:p>
    <w:p w14:paraId="130A082D" w14:textId="77777777" w:rsidR="00BB0745" w:rsidRDefault="00BB0745"/>
  </w:footnote>
  <w:footnote w:type="continuationSeparator" w:id="0">
    <w:p w14:paraId="2640CB89" w14:textId="77777777" w:rsidR="00BB0745" w:rsidRDefault="00BB0745" w:rsidP="00587167">
      <w:pPr>
        <w:spacing w:before="0" w:after="0"/>
      </w:pPr>
      <w:r>
        <w:continuationSeparator/>
      </w:r>
    </w:p>
    <w:p w14:paraId="1ECCFFCB" w14:textId="77777777" w:rsidR="00BB0745" w:rsidRDefault="00BB0745"/>
  </w:footnote>
  <w:footnote w:type="continuationNotice" w:id="1">
    <w:p w14:paraId="2D539F8C" w14:textId="77777777" w:rsidR="00BB0745" w:rsidRDefault="00BB0745">
      <w:pPr>
        <w:spacing w:before="0" w:after="0"/>
      </w:pPr>
    </w:p>
    <w:p w14:paraId="7C1C8244" w14:textId="77777777" w:rsidR="00BB0745" w:rsidRDefault="00BB0745"/>
  </w:footnote>
  <w:footnote w:id="2">
    <w:p w14:paraId="153E962A" w14:textId="77777777" w:rsidR="00A04512" w:rsidRPr="00D564BF" w:rsidRDefault="00A04512" w:rsidP="0077292E">
      <w:pPr>
        <w:pStyle w:val="FootnoteText"/>
        <w:ind w:left="567" w:hanging="567"/>
        <w:rPr>
          <w:lang w:val="en-US"/>
        </w:rPr>
      </w:pPr>
      <w:r w:rsidRPr="002831C7">
        <w:rPr>
          <w:rStyle w:val="FootnoteReference"/>
        </w:rPr>
        <w:footnoteRef/>
      </w:r>
      <w:r w:rsidR="002831C7">
        <w:rPr>
          <w:rFonts w:eastAsiaTheme="minorEastAsia"/>
        </w:rPr>
        <w:tab/>
      </w:r>
      <w:r w:rsidRPr="003B39C2">
        <w:rPr>
          <w:rStyle w:val="FootnoteReference"/>
          <w:rFonts w:eastAsiaTheme="minorEastAsia"/>
          <w:vertAlign w:val="baseline"/>
        </w:rPr>
        <w:t xml:space="preserve">Communication from the Commission on the Strategy for Financing the Transition to a Sustainable Economy </w:t>
      </w:r>
      <w:hyperlink r:id="rId1" w:history="1">
        <w:r w:rsidR="00625D7F" w:rsidRPr="003B39C2">
          <w:rPr>
            <w:rStyle w:val="FootnoteReference"/>
            <w:rFonts w:eastAsiaTheme="minorEastAsia"/>
            <w:vertAlign w:val="baseline"/>
          </w:rPr>
          <w:t>COM(2021) 390 final</w:t>
        </w:r>
      </w:hyperlink>
      <w:r w:rsidRPr="003B39C2">
        <w:rPr>
          <w:rStyle w:val="FootnoteReference"/>
          <w:rFonts w:eastAsiaTheme="minorEastAsia"/>
          <w:vertAlign w:val="baseline"/>
        </w:rPr>
        <w:t>.</w:t>
      </w:r>
      <w:r>
        <w:rPr>
          <w:color w:val="0000FF"/>
          <w:u w:val="single"/>
          <w:lang w:val="en-US"/>
        </w:rPr>
        <w:t xml:space="preserve"> </w:t>
      </w:r>
    </w:p>
  </w:footnote>
  <w:footnote w:id="3">
    <w:p w14:paraId="1D137DA3" w14:textId="77777777" w:rsidR="00FE234E" w:rsidRPr="00604B91" w:rsidRDefault="00FE234E" w:rsidP="0077292E">
      <w:pPr>
        <w:pStyle w:val="FootnoteText"/>
        <w:ind w:left="567" w:hanging="567"/>
        <w:rPr>
          <w:rStyle w:val="FootnoteReference"/>
          <w:rFonts w:eastAsiaTheme="minorEastAsia"/>
        </w:rPr>
      </w:pPr>
      <w:r w:rsidRPr="002831C7">
        <w:rPr>
          <w:rStyle w:val="FootnoteReference"/>
        </w:rPr>
        <w:footnoteRef/>
      </w:r>
      <w:r w:rsidR="002831C7">
        <w:rPr>
          <w:rFonts w:eastAsiaTheme="minorEastAsia"/>
        </w:rPr>
        <w:tab/>
      </w:r>
      <w:r w:rsidRPr="00604B91">
        <w:rPr>
          <w:rStyle w:val="FootnoteReference"/>
          <w:rFonts w:eastAsiaTheme="minorEastAsia"/>
          <w:vertAlign w:val="baseline"/>
        </w:rPr>
        <w:t>Communication from the Commission on the European Green Deal, COM(2019)</w:t>
      </w:r>
      <w:r>
        <w:rPr>
          <w:rFonts w:eastAsiaTheme="minorEastAsia"/>
        </w:rPr>
        <w:t xml:space="preserve"> </w:t>
      </w:r>
      <w:r w:rsidRPr="00604B91">
        <w:rPr>
          <w:rStyle w:val="FootnoteReference"/>
          <w:rFonts w:eastAsiaTheme="minorEastAsia"/>
          <w:vertAlign w:val="baseline"/>
        </w:rPr>
        <w:t>640 final.</w:t>
      </w:r>
    </w:p>
  </w:footnote>
  <w:footnote w:id="4">
    <w:p w14:paraId="0FC7886C" w14:textId="77777777" w:rsidR="00A04512" w:rsidRDefault="00A04512" w:rsidP="0077292E">
      <w:pPr>
        <w:pStyle w:val="FootnoteText"/>
        <w:ind w:left="567" w:hanging="567"/>
      </w:pPr>
      <w:r w:rsidRPr="002831C7">
        <w:rPr>
          <w:rStyle w:val="FootnoteReference"/>
        </w:rPr>
        <w:footnoteRef/>
      </w:r>
      <w:r w:rsidR="002831C7">
        <w:rPr>
          <w:rFonts w:eastAsiaTheme="minorEastAsia"/>
        </w:rPr>
        <w:tab/>
      </w:r>
      <w:r w:rsidRPr="0A34F25D">
        <w:rPr>
          <w:rStyle w:val="FootnoteReference"/>
          <w:rFonts w:eastAsiaTheme="minorEastAsia"/>
          <w:vertAlign w:val="baseline"/>
        </w:rPr>
        <w:t>These building blocks are: 1) a classification system, or ‘taxonomy’, of sustainable activities, 2) a disclosure framework for non-financial and financial undertakings, and 3) investment tools, including benchmarks, standards and labels.</w:t>
      </w:r>
    </w:p>
  </w:footnote>
  <w:footnote w:id="5">
    <w:p w14:paraId="74C93F2B" w14:textId="77777777" w:rsidR="00A04512" w:rsidRPr="003B39C2" w:rsidRDefault="00A04512" w:rsidP="0077292E">
      <w:pPr>
        <w:pStyle w:val="FootnoteText"/>
        <w:ind w:left="567" w:hanging="567"/>
        <w:rPr>
          <w:rStyle w:val="FootnoteReference"/>
          <w:rFonts w:eastAsiaTheme="minorEastAsia"/>
        </w:rPr>
      </w:pPr>
      <w:r w:rsidRPr="002831C7">
        <w:rPr>
          <w:rStyle w:val="FootnoteReference"/>
        </w:rPr>
        <w:footnoteRef/>
      </w:r>
      <w:r w:rsidR="002831C7">
        <w:rPr>
          <w:rFonts w:eastAsiaTheme="minorEastAsia"/>
        </w:rPr>
        <w:tab/>
      </w:r>
      <w:r w:rsidRPr="004E3749">
        <w:rPr>
          <w:rStyle w:val="FootnoteReference"/>
          <w:rFonts w:eastAsiaTheme="minorEastAsia"/>
          <w:vertAlign w:val="baseline"/>
        </w:rPr>
        <w:t>Directive (EU) 2022/2464 of the European Parliament and of the Council of 14 December 2022 amending Regulation (EU) No 537/2014, Directive 2004/109/EC, Directive 2006/43/EC and Directive 2013/34/EU, as regards cor</w:t>
      </w:r>
      <w:r w:rsidRPr="00B56421">
        <w:rPr>
          <w:rStyle w:val="FootnoteReference"/>
          <w:rFonts w:eastAsiaTheme="minorEastAsia"/>
          <w:vertAlign w:val="baseline"/>
        </w:rPr>
        <w:t>porate sustainability reportin</w:t>
      </w:r>
      <w:r w:rsidRPr="003B39C2">
        <w:rPr>
          <w:rStyle w:val="FootnoteReference"/>
          <w:vertAlign w:val="baseline"/>
        </w:rPr>
        <w:t>g.</w:t>
      </w:r>
    </w:p>
  </w:footnote>
  <w:footnote w:id="6">
    <w:p w14:paraId="67894DB4" w14:textId="77777777" w:rsidR="00E1367E" w:rsidRPr="003B39C2" w:rsidRDefault="00E1367E" w:rsidP="0077292E">
      <w:pPr>
        <w:pStyle w:val="FootnoteText"/>
        <w:ind w:left="567" w:hanging="567"/>
        <w:rPr>
          <w:rStyle w:val="FootnoteReference"/>
          <w:rFonts w:eastAsiaTheme="minorEastAsia"/>
          <w:vertAlign w:val="baseline"/>
        </w:rPr>
      </w:pPr>
      <w:r w:rsidRPr="002831C7">
        <w:rPr>
          <w:rStyle w:val="FootnoteReference"/>
        </w:rPr>
        <w:footnoteRef/>
      </w:r>
      <w:r w:rsidR="002831C7">
        <w:rPr>
          <w:rFonts w:eastAsiaTheme="minorEastAsia"/>
        </w:rPr>
        <w:tab/>
      </w:r>
      <w:r w:rsidRPr="003B39C2">
        <w:rPr>
          <w:rStyle w:val="FootnoteReference"/>
          <w:rFonts w:eastAsiaTheme="minorEastAsia"/>
          <w:vertAlign w:val="baseline"/>
        </w:rPr>
        <w:t>Regulation (EU) 2020/852 of the European Parliament and of the Council of 18 June 2020 on the establishment of a framework to facilitate sustainable investment, and amending Regulation (EU) 2019/2088.</w:t>
      </w:r>
    </w:p>
  </w:footnote>
  <w:footnote w:id="7">
    <w:p w14:paraId="1976E09D" w14:textId="77777777" w:rsidR="00A04512" w:rsidRPr="003B39C2" w:rsidRDefault="00A04512" w:rsidP="0077292E">
      <w:pPr>
        <w:pStyle w:val="FootnoteText"/>
        <w:ind w:left="567" w:hanging="567"/>
        <w:rPr>
          <w:rStyle w:val="FootnoteReference"/>
          <w:rFonts w:eastAsiaTheme="minorEastAsia"/>
          <w:vertAlign w:val="baseline"/>
        </w:rPr>
      </w:pPr>
      <w:r w:rsidRPr="002831C7">
        <w:rPr>
          <w:rStyle w:val="FootnoteReference"/>
        </w:rPr>
        <w:footnoteRef/>
      </w:r>
      <w:r w:rsidR="002831C7">
        <w:rPr>
          <w:rFonts w:eastAsiaTheme="minorEastAsia"/>
        </w:rPr>
        <w:tab/>
      </w:r>
      <w:r w:rsidRPr="003B39C2">
        <w:rPr>
          <w:rStyle w:val="FootnoteReference"/>
          <w:rFonts w:eastAsiaTheme="minorEastAsia"/>
          <w:vertAlign w:val="baseline"/>
        </w:rPr>
        <w:t>Regulation (EU) 2019/2088 of the European Parliament and of the Council of 27 November 2019 on sustainability‐related disclosures in the financial services sector.</w:t>
      </w:r>
    </w:p>
  </w:footnote>
  <w:footnote w:id="8">
    <w:p w14:paraId="0093A1EF" w14:textId="77777777" w:rsidR="00A04512" w:rsidRPr="00782C6A" w:rsidRDefault="00A04512" w:rsidP="0077292E">
      <w:pPr>
        <w:pStyle w:val="FootnoteText"/>
        <w:ind w:left="567" w:hanging="567"/>
        <w:rPr>
          <w:lang w:val="pl-PL"/>
        </w:rPr>
      </w:pPr>
      <w:r w:rsidRPr="002831C7">
        <w:rPr>
          <w:rStyle w:val="FootnoteReference"/>
        </w:rPr>
        <w:footnoteRef/>
      </w:r>
      <w:r w:rsidR="002831C7">
        <w:rPr>
          <w:rFonts w:eastAsiaTheme="minorEastAsia"/>
        </w:rPr>
        <w:tab/>
      </w:r>
      <w:r w:rsidRPr="003B39C2">
        <w:rPr>
          <w:rStyle w:val="FootnoteReference"/>
          <w:rFonts w:eastAsiaTheme="minorEastAsia"/>
          <w:vertAlign w:val="baseline"/>
        </w:rPr>
        <w:t>Proposal for a Regulation of the European Parliament and of the Council on European green bonds, COM/2021/391 final.</w:t>
      </w:r>
    </w:p>
  </w:footnote>
  <w:footnote w:id="9">
    <w:p w14:paraId="3AB7F876" w14:textId="77777777" w:rsidR="00A04512" w:rsidRPr="00782C6A" w:rsidRDefault="00A04512" w:rsidP="0077292E">
      <w:pPr>
        <w:pStyle w:val="FootnoteText"/>
        <w:ind w:left="567" w:hanging="567"/>
        <w:rPr>
          <w:lang w:val="pl-PL"/>
        </w:rPr>
      </w:pPr>
      <w:r w:rsidRPr="002831C7">
        <w:rPr>
          <w:rStyle w:val="FootnoteReference"/>
        </w:rPr>
        <w:footnoteRef/>
      </w:r>
      <w:r w:rsidR="002831C7">
        <w:rPr>
          <w:rFonts w:eastAsiaTheme="minorEastAsia"/>
        </w:rPr>
        <w:tab/>
      </w:r>
      <w:r w:rsidRPr="003B39C2">
        <w:rPr>
          <w:rStyle w:val="FootnoteReference"/>
          <w:rFonts w:eastAsiaTheme="minorEastAsia"/>
          <w:vertAlign w:val="baseline"/>
        </w:rPr>
        <w:t>Commission Delegated Regulation (EU) 2020/1818 of 17 July 2020 supplementing Regulation (EU) 2016/1011 of the European Parliament and of the Council as regards minimum standards for EU Climate Transition Benchmarks and EU Paris-aligned Benchmarks.</w:t>
      </w:r>
    </w:p>
  </w:footnote>
  <w:footnote w:id="10">
    <w:p w14:paraId="3EC387E8" w14:textId="77777777" w:rsidR="00701D7D" w:rsidRPr="00701D7D" w:rsidRDefault="00701D7D" w:rsidP="0077292E">
      <w:pPr>
        <w:pStyle w:val="FootnoteText"/>
        <w:ind w:left="567" w:hanging="567"/>
        <w:rPr>
          <w:lang w:val="pl-PL"/>
        </w:rPr>
      </w:pPr>
      <w:r w:rsidRPr="002831C7">
        <w:rPr>
          <w:rStyle w:val="FootnoteReference"/>
        </w:rPr>
        <w:footnoteRef/>
      </w:r>
      <w:r w:rsidR="002831C7">
        <w:rPr>
          <w:lang w:val="pl-PL"/>
        </w:rPr>
        <w:tab/>
      </w:r>
      <w:r w:rsidRPr="00701D7D">
        <w:rPr>
          <w:rStyle w:val="FootnoteReference"/>
          <w:rFonts w:eastAsiaTheme="minorEastAsia"/>
          <w:vertAlign w:val="baseline"/>
          <w:lang w:val="pl-PL"/>
        </w:rPr>
        <w:t xml:space="preserve">Commission </w:t>
      </w:r>
      <w:proofErr w:type="spellStart"/>
      <w:r w:rsidRPr="00701D7D">
        <w:rPr>
          <w:rStyle w:val="FootnoteReference"/>
          <w:rFonts w:eastAsiaTheme="minorEastAsia"/>
          <w:vertAlign w:val="baseline"/>
          <w:lang w:val="pl-PL"/>
        </w:rPr>
        <w:t>Delegated</w:t>
      </w:r>
      <w:proofErr w:type="spellEnd"/>
      <w:r w:rsidRPr="00701D7D">
        <w:rPr>
          <w:rStyle w:val="FootnoteReference"/>
          <w:rFonts w:eastAsiaTheme="minorEastAsia"/>
          <w:vertAlign w:val="baseline"/>
          <w:lang w:val="pl-PL"/>
        </w:rPr>
        <w:t xml:space="preserve"> Regulation (EU) 2020/1816 of 17 </w:t>
      </w:r>
      <w:proofErr w:type="spellStart"/>
      <w:r w:rsidRPr="00701D7D">
        <w:rPr>
          <w:rStyle w:val="FootnoteReference"/>
          <w:rFonts w:eastAsiaTheme="minorEastAsia"/>
          <w:vertAlign w:val="baseline"/>
          <w:lang w:val="pl-PL"/>
        </w:rPr>
        <w:t>July</w:t>
      </w:r>
      <w:proofErr w:type="spellEnd"/>
      <w:r w:rsidRPr="00701D7D">
        <w:rPr>
          <w:rStyle w:val="FootnoteReference"/>
          <w:rFonts w:eastAsiaTheme="minorEastAsia"/>
          <w:vertAlign w:val="baseline"/>
          <w:lang w:val="pl-PL"/>
        </w:rPr>
        <w:t xml:space="preserve"> 2020 </w:t>
      </w:r>
      <w:proofErr w:type="spellStart"/>
      <w:r w:rsidRPr="00701D7D">
        <w:rPr>
          <w:rStyle w:val="FootnoteReference"/>
          <w:rFonts w:eastAsiaTheme="minorEastAsia"/>
          <w:vertAlign w:val="baseline"/>
          <w:lang w:val="pl-PL"/>
        </w:rPr>
        <w:t>supplementing</w:t>
      </w:r>
      <w:proofErr w:type="spellEnd"/>
      <w:r w:rsidRPr="00701D7D">
        <w:rPr>
          <w:rStyle w:val="FootnoteReference"/>
          <w:rFonts w:eastAsiaTheme="minorEastAsia"/>
          <w:vertAlign w:val="baseline"/>
          <w:lang w:val="pl-PL"/>
        </w:rPr>
        <w:t xml:space="preserve"> Regulation (EU) 2016/1011 of the European </w:t>
      </w:r>
      <w:proofErr w:type="spellStart"/>
      <w:r w:rsidRPr="00701D7D">
        <w:rPr>
          <w:rStyle w:val="FootnoteReference"/>
          <w:rFonts w:eastAsiaTheme="minorEastAsia"/>
          <w:vertAlign w:val="baseline"/>
          <w:lang w:val="pl-PL"/>
        </w:rPr>
        <w:t>Parliament</w:t>
      </w:r>
      <w:proofErr w:type="spellEnd"/>
      <w:r w:rsidRPr="00701D7D">
        <w:rPr>
          <w:rStyle w:val="FootnoteReference"/>
          <w:rFonts w:eastAsiaTheme="minorEastAsia"/>
          <w:vertAlign w:val="baseline"/>
          <w:lang w:val="pl-PL"/>
        </w:rPr>
        <w:t xml:space="preserve"> and of the </w:t>
      </w:r>
      <w:proofErr w:type="spellStart"/>
      <w:r w:rsidRPr="00701D7D">
        <w:rPr>
          <w:rStyle w:val="FootnoteReference"/>
          <w:rFonts w:eastAsiaTheme="minorEastAsia"/>
          <w:vertAlign w:val="baseline"/>
          <w:lang w:val="pl-PL"/>
        </w:rPr>
        <w:t>Council</w:t>
      </w:r>
      <w:proofErr w:type="spellEnd"/>
      <w:r w:rsidRPr="00701D7D">
        <w:rPr>
          <w:rStyle w:val="FootnoteReference"/>
          <w:rFonts w:eastAsiaTheme="minorEastAsia"/>
          <w:vertAlign w:val="baseline"/>
          <w:lang w:val="pl-PL"/>
        </w:rPr>
        <w:t xml:space="preserve"> as </w:t>
      </w:r>
      <w:proofErr w:type="spellStart"/>
      <w:r w:rsidRPr="00701D7D">
        <w:rPr>
          <w:rStyle w:val="FootnoteReference"/>
          <w:rFonts w:eastAsiaTheme="minorEastAsia"/>
          <w:vertAlign w:val="baseline"/>
          <w:lang w:val="pl-PL"/>
        </w:rPr>
        <w:t>regards</w:t>
      </w:r>
      <w:proofErr w:type="spellEnd"/>
      <w:r w:rsidRPr="00701D7D">
        <w:rPr>
          <w:rStyle w:val="FootnoteReference"/>
          <w:rFonts w:eastAsiaTheme="minorEastAsia"/>
          <w:vertAlign w:val="baseline"/>
          <w:lang w:val="pl-PL"/>
        </w:rPr>
        <w:t xml:space="preserve"> the </w:t>
      </w:r>
      <w:proofErr w:type="spellStart"/>
      <w:r w:rsidRPr="00701D7D">
        <w:rPr>
          <w:rStyle w:val="FootnoteReference"/>
          <w:rFonts w:eastAsiaTheme="minorEastAsia"/>
          <w:vertAlign w:val="baseline"/>
          <w:lang w:val="pl-PL"/>
        </w:rPr>
        <w:t>explanation</w:t>
      </w:r>
      <w:proofErr w:type="spellEnd"/>
      <w:r w:rsidRPr="00701D7D">
        <w:rPr>
          <w:rStyle w:val="FootnoteReference"/>
          <w:rFonts w:eastAsiaTheme="minorEastAsia"/>
          <w:vertAlign w:val="baseline"/>
          <w:lang w:val="pl-PL"/>
        </w:rPr>
        <w:t xml:space="preserve"> in the benchmark </w:t>
      </w:r>
      <w:proofErr w:type="spellStart"/>
      <w:r w:rsidRPr="00701D7D">
        <w:rPr>
          <w:rStyle w:val="FootnoteReference"/>
          <w:rFonts w:eastAsiaTheme="minorEastAsia"/>
          <w:vertAlign w:val="baseline"/>
          <w:lang w:val="pl-PL"/>
        </w:rPr>
        <w:t>statement</w:t>
      </w:r>
      <w:proofErr w:type="spellEnd"/>
      <w:r w:rsidRPr="00701D7D">
        <w:rPr>
          <w:rStyle w:val="FootnoteReference"/>
          <w:rFonts w:eastAsiaTheme="minorEastAsia"/>
          <w:vertAlign w:val="baseline"/>
          <w:lang w:val="pl-PL"/>
        </w:rPr>
        <w:t xml:space="preserve"> of </w:t>
      </w:r>
      <w:proofErr w:type="spellStart"/>
      <w:r w:rsidRPr="00701D7D">
        <w:rPr>
          <w:rStyle w:val="FootnoteReference"/>
          <w:rFonts w:eastAsiaTheme="minorEastAsia"/>
          <w:vertAlign w:val="baseline"/>
          <w:lang w:val="pl-PL"/>
        </w:rPr>
        <w:t>how</w:t>
      </w:r>
      <w:proofErr w:type="spellEnd"/>
      <w:r w:rsidRPr="00701D7D">
        <w:rPr>
          <w:rStyle w:val="FootnoteReference"/>
          <w:rFonts w:eastAsiaTheme="minorEastAsia"/>
          <w:vertAlign w:val="baseline"/>
          <w:lang w:val="pl-PL"/>
        </w:rPr>
        <w:t xml:space="preserve"> </w:t>
      </w:r>
      <w:proofErr w:type="spellStart"/>
      <w:r w:rsidRPr="00701D7D">
        <w:rPr>
          <w:rStyle w:val="FootnoteReference"/>
          <w:rFonts w:eastAsiaTheme="minorEastAsia"/>
          <w:vertAlign w:val="baseline"/>
          <w:lang w:val="pl-PL"/>
        </w:rPr>
        <w:t>environmental</w:t>
      </w:r>
      <w:proofErr w:type="spellEnd"/>
      <w:r w:rsidRPr="00701D7D">
        <w:rPr>
          <w:rStyle w:val="FootnoteReference"/>
          <w:rFonts w:eastAsiaTheme="minorEastAsia"/>
          <w:vertAlign w:val="baseline"/>
          <w:lang w:val="pl-PL"/>
        </w:rPr>
        <w:t xml:space="preserve">, </w:t>
      </w:r>
      <w:proofErr w:type="spellStart"/>
      <w:r w:rsidRPr="00701D7D">
        <w:rPr>
          <w:rStyle w:val="FootnoteReference"/>
          <w:rFonts w:eastAsiaTheme="minorEastAsia"/>
          <w:vertAlign w:val="baseline"/>
          <w:lang w:val="pl-PL"/>
        </w:rPr>
        <w:t>social</w:t>
      </w:r>
      <w:proofErr w:type="spellEnd"/>
      <w:r w:rsidRPr="00701D7D">
        <w:rPr>
          <w:rStyle w:val="FootnoteReference"/>
          <w:rFonts w:eastAsiaTheme="minorEastAsia"/>
          <w:vertAlign w:val="baseline"/>
          <w:lang w:val="pl-PL"/>
        </w:rPr>
        <w:t xml:space="preserve"> and </w:t>
      </w:r>
      <w:proofErr w:type="spellStart"/>
      <w:r w:rsidRPr="00701D7D">
        <w:rPr>
          <w:rStyle w:val="FootnoteReference"/>
          <w:rFonts w:eastAsiaTheme="minorEastAsia"/>
          <w:vertAlign w:val="baseline"/>
          <w:lang w:val="pl-PL"/>
        </w:rPr>
        <w:t>governance</w:t>
      </w:r>
      <w:proofErr w:type="spellEnd"/>
      <w:r w:rsidRPr="00701D7D">
        <w:rPr>
          <w:rStyle w:val="FootnoteReference"/>
          <w:rFonts w:eastAsiaTheme="minorEastAsia"/>
          <w:vertAlign w:val="baseline"/>
          <w:lang w:val="pl-PL"/>
        </w:rPr>
        <w:t xml:space="preserve"> </w:t>
      </w:r>
      <w:proofErr w:type="spellStart"/>
      <w:r w:rsidRPr="00701D7D">
        <w:rPr>
          <w:rStyle w:val="FootnoteReference"/>
          <w:rFonts w:eastAsiaTheme="minorEastAsia"/>
          <w:vertAlign w:val="baseline"/>
          <w:lang w:val="pl-PL"/>
        </w:rPr>
        <w:t>factors</w:t>
      </w:r>
      <w:proofErr w:type="spellEnd"/>
      <w:r w:rsidRPr="00701D7D">
        <w:rPr>
          <w:rStyle w:val="FootnoteReference"/>
          <w:rFonts w:eastAsiaTheme="minorEastAsia"/>
          <w:vertAlign w:val="baseline"/>
          <w:lang w:val="pl-PL"/>
        </w:rPr>
        <w:t xml:space="preserve"> </w:t>
      </w:r>
      <w:proofErr w:type="spellStart"/>
      <w:r w:rsidRPr="00701D7D">
        <w:rPr>
          <w:rStyle w:val="FootnoteReference"/>
          <w:rFonts w:eastAsiaTheme="minorEastAsia"/>
          <w:vertAlign w:val="baseline"/>
          <w:lang w:val="pl-PL"/>
        </w:rPr>
        <w:t>are</w:t>
      </w:r>
      <w:proofErr w:type="spellEnd"/>
      <w:r w:rsidRPr="00701D7D">
        <w:rPr>
          <w:rStyle w:val="FootnoteReference"/>
          <w:rFonts w:eastAsiaTheme="minorEastAsia"/>
          <w:vertAlign w:val="baseline"/>
          <w:lang w:val="pl-PL"/>
        </w:rPr>
        <w:t xml:space="preserve"> </w:t>
      </w:r>
      <w:proofErr w:type="spellStart"/>
      <w:r w:rsidRPr="00701D7D">
        <w:rPr>
          <w:rStyle w:val="FootnoteReference"/>
          <w:rFonts w:eastAsiaTheme="minorEastAsia"/>
          <w:vertAlign w:val="baseline"/>
          <w:lang w:val="pl-PL"/>
        </w:rPr>
        <w:t>reflected</w:t>
      </w:r>
      <w:proofErr w:type="spellEnd"/>
      <w:r w:rsidRPr="00701D7D">
        <w:rPr>
          <w:rStyle w:val="FootnoteReference"/>
          <w:rFonts w:eastAsiaTheme="minorEastAsia"/>
          <w:vertAlign w:val="baseline"/>
          <w:lang w:val="pl-PL"/>
        </w:rPr>
        <w:t xml:space="preserve"> in </w:t>
      </w:r>
      <w:proofErr w:type="spellStart"/>
      <w:r w:rsidRPr="00701D7D">
        <w:rPr>
          <w:rStyle w:val="FootnoteReference"/>
          <w:rFonts w:eastAsiaTheme="minorEastAsia"/>
          <w:vertAlign w:val="baseline"/>
          <w:lang w:val="pl-PL"/>
        </w:rPr>
        <w:t>each</w:t>
      </w:r>
      <w:proofErr w:type="spellEnd"/>
      <w:r w:rsidRPr="00701D7D">
        <w:rPr>
          <w:rStyle w:val="FootnoteReference"/>
          <w:rFonts w:eastAsiaTheme="minorEastAsia"/>
          <w:vertAlign w:val="baseline"/>
          <w:lang w:val="pl-PL"/>
        </w:rPr>
        <w:t xml:space="preserve"> benchmark </w:t>
      </w:r>
      <w:proofErr w:type="spellStart"/>
      <w:r w:rsidRPr="00701D7D">
        <w:rPr>
          <w:rStyle w:val="FootnoteReference"/>
          <w:rFonts w:eastAsiaTheme="minorEastAsia"/>
          <w:vertAlign w:val="baseline"/>
          <w:lang w:val="pl-PL"/>
        </w:rPr>
        <w:t>provided</w:t>
      </w:r>
      <w:proofErr w:type="spellEnd"/>
      <w:r w:rsidRPr="00701D7D">
        <w:rPr>
          <w:rStyle w:val="FootnoteReference"/>
          <w:rFonts w:eastAsiaTheme="minorEastAsia"/>
          <w:vertAlign w:val="baseline"/>
          <w:lang w:val="pl-PL"/>
        </w:rPr>
        <w:t xml:space="preserve"> and </w:t>
      </w:r>
      <w:proofErr w:type="spellStart"/>
      <w:r w:rsidRPr="00701D7D">
        <w:rPr>
          <w:rStyle w:val="FootnoteReference"/>
          <w:rFonts w:eastAsiaTheme="minorEastAsia"/>
          <w:vertAlign w:val="baseline"/>
          <w:lang w:val="pl-PL"/>
        </w:rPr>
        <w:t>published</w:t>
      </w:r>
      <w:proofErr w:type="spellEnd"/>
      <w:r w:rsidRPr="00701D7D">
        <w:rPr>
          <w:rFonts w:eastAsiaTheme="minorEastAsia"/>
          <w:lang w:val="pl-PL"/>
        </w:rPr>
        <w:t>.</w:t>
      </w:r>
    </w:p>
  </w:footnote>
  <w:footnote w:id="11">
    <w:p w14:paraId="6E41A7B2" w14:textId="77777777" w:rsidR="006741EE" w:rsidRPr="003B0B22" w:rsidRDefault="006741EE" w:rsidP="0077292E">
      <w:pPr>
        <w:pStyle w:val="FootnoteText"/>
        <w:ind w:left="567" w:hanging="567"/>
      </w:pPr>
      <w:r w:rsidRPr="003B0B22">
        <w:rPr>
          <w:rStyle w:val="FootnoteReference"/>
        </w:rPr>
        <w:footnoteRef/>
      </w:r>
      <w:r w:rsidRPr="003B0B22">
        <w:tab/>
        <w:t>See Section 2 on</w:t>
      </w:r>
      <w:r>
        <w:t xml:space="preserve"> the Impact Assessment’s</w:t>
      </w:r>
      <w:r w:rsidRPr="003B0B22">
        <w:t xml:space="preserve"> problem definition.</w:t>
      </w:r>
    </w:p>
  </w:footnote>
  <w:footnote w:id="12">
    <w:p w14:paraId="67CB3E63" w14:textId="77777777" w:rsidR="00A04512" w:rsidRPr="000A7312" w:rsidRDefault="00A04512" w:rsidP="0077292E">
      <w:pPr>
        <w:pStyle w:val="FootnoteText"/>
        <w:ind w:left="567" w:hanging="567"/>
      </w:pPr>
      <w:r w:rsidRPr="002831C7">
        <w:rPr>
          <w:rStyle w:val="FootnoteReference"/>
        </w:rPr>
        <w:footnoteRef/>
      </w:r>
      <w:r w:rsidR="002831C7">
        <w:tab/>
      </w:r>
      <w:r>
        <w:t>Commission Staff Working Document SWD (</w:t>
      </w:r>
      <w:r w:rsidRPr="000A7312">
        <w:t xml:space="preserve">2023) [XXX]. </w:t>
      </w:r>
    </w:p>
  </w:footnote>
  <w:footnote w:id="13">
    <w:p w14:paraId="637BAD39" w14:textId="77777777" w:rsidR="00A8705F" w:rsidRPr="003B0B22" w:rsidRDefault="00A8705F" w:rsidP="0077292E">
      <w:pPr>
        <w:pStyle w:val="FootnoteText"/>
        <w:ind w:left="567" w:hanging="567"/>
      </w:pPr>
      <w:r w:rsidRPr="003B0B22">
        <w:rPr>
          <w:rStyle w:val="FootnoteReference"/>
        </w:rPr>
        <w:footnoteRef/>
      </w:r>
      <w:r w:rsidRPr="003B0B22">
        <w:tab/>
      </w:r>
      <w:hyperlink r:id="rId2" w:anchor=":~:text=Risk%2Dbased%20supervision%20refers%20to,managing%20the%20risks%20identified%3B%20and" w:history="1">
        <w:r w:rsidRPr="003B0B22">
          <w:rPr>
            <w:rStyle w:val="Hyperlink"/>
          </w:rPr>
          <w:t>ESMA risk-based and data-driven approach when conducting supervision</w:t>
        </w:r>
      </w:hyperlink>
    </w:p>
  </w:footnote>
  <w:footnote w:id="14">
    <w:p w14:paraId="1AB1480A" w14:textId="77777777" w:rsidR="00A8705F" w:rsidRPr="003B0B22" w:rsidRDefault="00A8705F" w:rsidP="0077292E">
      <w:pPr>
        <w:pStyle w:val="FootnoteText"/>
        <w:ind w:left="567" w:hanging="567"/>
        <w:rPr>
          <w:rStyle w:val="FootnoteReference"/>
          <w:rFonts w:eastAsiaTheme="minorEastAsia"/>
          <w:vertAlign w:val="baseline"/>
        </w:rPr>
      </w:pPr>
      <w:r w:rsidRPr="003B0B22">
        <w:rPr>
          <w:rStyle w:val="FootnoteReference"/>
        </w:rPr>
        <w:footnoteRef/>
      </w:r>
      <w:r w:rsidRPr="003B0B22">
        <w:rPr>
          <w:rFonts w:eastAsiaTheme="minorEastAsia"/>
        </w:rPr>
        <w:tab/>
      </w:r>
      <w:r w:rsidRPr="003B0B22">
        <w:rPr>
          <w:rStyle w:val="FootnoteReference"/>
          <w:rFonts w:eastAsiaTheme="minorEastAsia"/>
          <w:vertAlign w:val="baseline"/>
        </w:rPr>
        <w:t>Small group of quants develop a data-driven ESG ratings model, which has very broad firm coverage from day one.</w:t>
      </w:r>
    </w:p>
  </w:footnote>
  <w:footnote w:id="15">
    <w:p w14:paraId="1E25636E" w14:textId="77777777" w:rsidR="00A8705F" w:rsidRPr="003B0B22" w:rsidRDefault="00A8705F" w:rsidP="0077292E">
      <w:pPr>
        <w:pStyle w:val="FootnoteText"/>
        <w:ind w:left="567" w:hanging="567"/>
      </w:pPr>
      <w:r w:rsidRPr="003B0B22">
        <w:rPr>
          <w:rStyle w:val="FootnoteReference"/>
        </w:rPr>
        <w:footnoteRef/>
      </w:r>
      <w:r w:rsidRPr="003B0B22">
        <w:rPr>
          <w:rFonts w:eastAsiaTheme="minorEastAsia"/>
        </w:rPr>
        <w:tab/>
      </w:r>
      <w:r w:rsidRPr="003B0B22">
        <w:rPr>
          <w:rStyle w:val="FootnoteReference"/>
          <w:rFonts w:eastAsiaTheme="minorEastAsia"/>
          <w:vertAlign w:val="baseline"/>
        </w:rPr>
        <w:t>Innovative, but not revenue-producing business that takes more than seven years from founding to finali</w:t>
      </w:r>
      <w:r>
        <w:rPr>
          <w:rFonts w:eastAsiaTheme="minorEastAsia"/>
        </w:rPr>
        <w:t>s</w:t>
      </w:r>
      <w:r w:rsidRPr="003B0B22">
        <w:rPr>
          <w:rStyle w:val="FootnoteReference"/>
          <w:rFonts w:eastAsiaTheme="minorEastAsia"/>
          <w:vertAlign w:val="baseline"/>
        </w:rPr>
        <w:t>e its ESG ratings model.</w:t>
      </w:r>
    </w:p>
  </w:footnote>
  <w:footnote w:id="16">
    <w:p w14:paraId="1B64247E" w14:textId="77777777" w:rsidR="00A13F4C" w:rsidRPr="003B0B22" w:rsidRDefault="00A13F4C" w:rsidP="0077292E">
      <w:pPr>
        <w:pStyle w:val="FootnoteText"/>
        <w:ind w:left="567" w:hanging="567"/>
      </w:pPr>
      <w:r w:rsidRPr="003B0B22">
        <w:rPr>
          <w:rStyle w:val="FootnoteReference"/>
        </w:rPr>
        <w:footnoteRef/>
      </w:r>
      <w:r w:rsidRPr="003B0B22">
        <w:rPr>
          <w:rFonts w:eastAsiaTheme="minorEastAsia"/>
        </w:rPr>
        <w:tab/>
      </w:r>
      <w:r w:rsidRPr="003B0B22">
        <w:rPr>
          <w:rStyle w:val="FootnoteReference"/>
          <w:rFonts w:eastAsiaTheme="minorEastAsia"/>
          <w:vertAlign w:val="baseline"/>
        </w:rPr>
        <w:t>This will be done in close cooperation with the Platform on Sustainable Finance, which will monitor trends regarding capital flows towards sustainable investments as set out in Article</w:t>
      </w:r>
      <w:r>
        <w:rPr>
          <w:rFonts w:eastAsiaTheme="minorEastAsia"/>
        </w:rPr>
        <w:t> </w:t>
      </w:r>
      <w:r w:rsidRPr="003B0B22">
        <w:rPr>
          <w:rStyle w:val="FootnoteReference"/>
          <w:rFonts w:eastAsiaTheme="minorEastAsia"/>
          <w:vertAlign w:val="baseline"/>
        </w:rPr>
        <w:t>20 of the Taxonomy Regulation.</w:t>
      </w:r>
    </w:p>
  </w:footnote>
  <w:footnote w:id="17">
    <w:p w14:paraId="6BD8ABB8" w14:textId="77485793" w:rsidR="00A04512" w:rsidRDefault="00A04512" w:rsidP="0077292E">
      <w:pPr>
        <w:pStyle w:val="FootnoteText"/>
        <w:ind w:left="567" w:hanging="567"/>
      </w:pPr>
      <w:r>
        <w:rPr>
          <w:rStyle w:val="FootnoteReference"/>
        </w:rPr>
        <w:footnoteRef/>
      </w:r>
      <w:r>
        <w:tab/>
        <w:t>OJ C , , p. .</w:t>
      </w:r>
    </w:p>
  </w:footnote>
  <w:footnote w:id="18">
    <w:p w14:paraId="7240A9A7" w14:textId="77777777" w:rsidR="00A04512" w:rsidRPr="000F314C" w:rsidRDefault="00A04512" w:rsidP="0077292E">
      <w:pPr>
        <w:pStyle w:val="FootnoteText"/>
        <w:ind w:left="567" w:hanging="567"/>
        <w:rPr>
          <w:lang w:val="en-IE"/>
        </w:rPr>
      </w:pPr>
      <w:r w:rsidRPr="002831C7">
        <w:rPr>
          <w:rStyle w:val="FootnoteReference"/>
        </w:rPr>
        <w:footnoteRef/>
      </w:r>
      <w:r w:rsidR="002831C7">
        <w:tab/>
      </w:r>
      <w:r w:rsidRPr="000F314C">
        <w:t>Transforming our World: The 2030 Agenda for Sustainable Development (UN 2015).</w:t>
      </w:r>
    </w:p>
  </w:footnote>
  <w:footnote w:id="19">
    <w:p w14:paraId="35B95697" w14:textId="77777777" w:rsidR="00A04512" w:rsidRPr="000F314C" w:rsidRDefault="00A04512" w:rsidP="0077292E">
      <w:pPr>
        <w:pStyle w:val="FootnoteText"/>
        <w:ind w:left="567" w:hanging="567"/>
        <w:rPr>
          <w:lang w:val="en-IE"/>
        </w:rPr>
      </w:pPr>
      <w:r w:rsidRPr="002831C7">
        <w:rPr>
          <w:rStyle w:val="FootnoteReference"/>
        </w:rPr>
        <w:footnoteRef/>
      </w:r>
      <w:r w:rsidR="002831C7">
        <w:tab/>
      </w:r>
      <w:r w:rsidRPr="000F314C">
        <w:t>COM(2016) 739 final</w:t>
      </w:r>
      <w:r>
        <w:t xml:space="preserve">. </w:t>
      </w:r>
    </w:p>
  </w:footnote>
  <w:footnote w:id="20">
    <w:p w14:paraId="223BC07D" w14:textId="77777777" w:rsidR="00A04512" w:rsidRPr="000F314C" w:rsidRDefault="00A04512" w:rsidP="0077292E">
      <w:pPr>
        <w:pStyle w:val="FootnoteText"/>
        <w:ind w:left="567" w:hanging="567"/>
      </w:pPr>
      <w:r w:rsidRPr="002831C7">
        <w:rPr>
          <w:rStyle w:val="FootnoteReference"/>
        </w:rPr>
        <w:footnoteRef/>
      </w:r>
      <w:r w:rsidR="002831C7">
        <w:tab/>
      </w:r>
      <w:r w:rsidRPr="000F314C">
        <w:t>CO EUR 17, CONCL. 5</w:t>
      </w:r>
      <w:r>
        <w:t xml:space="preserve">. </w:t>
      </w:r>
    </w:p>
  </w:footnote>
  <w:footnote w:id="21">
    <w:p w14:paraId="695448E2" w14:textId="77777777" w:rsidR="00E33601" w:rsidRPr="006A39BB" w:rsidRDefault="00E33601" w:rsidP="0077292E">
      <w:pPr>
        <w:pStyle w:val="FootnoteText"/>
        <w:ind w:left="567" w:hanging="567"/>
        <w:rPr>
          <w:rStyle w:val="FootnoteReference"/>
          <w:rFonts w:eastAsiaTheme="minorEastAsia"/>
          <w:vertAlign w:val="baseline"/>
        </w:rPr>
      </w:pPr>
      <w:r w:rsidRPr="002831C7">
        <w:rPr>
          <w:rStyle w:val="FootnoteReference"/>
        </w:rPr>
        <w:footnoteRef/>
      </w:r>
      <w:r>
        <w:rPr>
          <w:rFonts w:eastAsiaTheme="minorEastAsia"/>
        </w:rPr>
        <w:tab/>
      </w:r>
      <w:r w:rsidRPr="00604B91">
        <w:rPr>
          <w:rStyle w:val="FootnoteReference"/>
          <w:rFonts w:eastAsiaTheme="minorEastAsia"/>
          <w:vertAlign w:val="baseline"/>
        </w:rPr>
        <w:t xml:space="preserve">Communication from the Commission </w:t>
      </w:r>
      <w:r w:rsidR="003D2675">
        <w:rPr>
          <w:rFonts w:eastAsiaTheme="minorEastAsia"/>
        </w:rPr>
        <w:t xml:space="preserve">of 11 December 2019 </w:t>
      </w:r>
      <w:r w:rsidRPr="00604B91">
        <w:rPr>
          <w:rStyle w:val="FootnoteReference"/>
          <w:rFonts w:eastAsiaTheme="minorEastAsia"/>
          <w:vertAlign w:val="baseline"/>
        </w:rPr>
        <w:t>on the European Green Deal, COM(2019)</w:t>
      </w:r>
      <w:r>
        <w:rPr>
          <w:rFonts w:eastAsiaTheme="minorEastAsia"/>
        </w:rPr>
        <w:t xml:space="preserve"> </w:t>
      </w:r>
      <w:r w:rsidRPr="00604B91">
        <w:rPr>
          <w:rStyle w:val="FootnoteReference"/>
          <w:rFonts w:eastAsiaTheme="minorEastAsia"/>
          <w:vertAlign w:val="baseline"/>
        </w:rPr>
        <w:t>640 final.</w:t>
      </w:r>
    </w:p>
  </w:footnote>
  <w:footnote w:id="22">
    <w:p w14:paraId="429E71A6" w14:textId="13DF62D8" w:rsidR="00D02FA9" w:rsidRPr="00FA585F" w:rsidRDefault="00D02FA9">
      <w:pPr>
        <w:pStyle w:val="FootnoteText"/>
        <w:rPr>
          <w:lang w:val="en-IE"/>
        </w:rPr>
      </w:pPr>
      <w:r>
        <w:rPr>
          <w:rStyle w:val="FootnoteReference"/>
        </w:rPr>
        <w:footnoteRef/>
      </w:r>
      <w:r w:rsidRPr="00FA585F">
        <w:rPr>
          <w:lang w:val="en-IE"/>
        </w:rPr>
        <w:tab/>
        <w:t>Gender equality strategy; LGBTIQ equality strategy; Roma strategic framework; Strategy for the Rights of Persons with Disability</w:t>
      </w:r>
      <w:r w:rsidR="004E083F">
        <w:rPr>
          <w:lang w:val="en-IE"/>
        </w:rPr>
        <w:t>.</w:t>
      </w:r>
    </w:p>
  </w:footnote>
  <w:footnote w:id="23">
    <w:p w14:paraId="617CFF42" w14:textId="77777777" w:rsidR="00A04512" w:rsidRPr="009026C1" w:rsidRDefault="00A04512" w:rsidP="0077292E">
      <w:pPr>
        <w:pStyle w:val="FootnoteText"/>
        <w:ind w:left="567" w:hanging="567"/>
      </w:pPr>
      <w:r w:rsidRPr="002831C7">
        <w:rPr>
          <w:rStyle w:val="FootnoteReference"/>
        </w:rPr>
        <w:footnoteRef/>
      </w:r>
      <w:r w:rsidR="002831C7">
        <w:tab/>
      </w:r>
      <w:r>
        <w:t>European Commission, Action Plan: Financing Sustainable Growth, COM(2018) 97 final.</w:t>
      </w:r>
    </w:p>
  </w:footnote>
  <w:footnote w:id="24">
    <w:p w14:paraId="13597C2B" w14:textId="77777777" w:rsidR="00A04512" w:rsidRPr="003B39C2" w:rsidRDefault="00A04512" w:rsidP="0077292E">
      <w:pPr>
        <w:pStyle w:val="FootnoteText"/>
        <w:ind w:left="567" w:hanging="567"/>
        <w:rPr>
          <w:rStyle w:val="FootnoteReference"/>
          <w:rFonts w:eastAsiaTheme="minorEastAsia"/>
          <w:vertAlign w:val="baseline"/>
        </w:rPr>
      </w:pPr>
      <w:r w:rsidRPr="002831C7">
        <w:rPr>
          <w:rStyle w:val="FootnoteReference"/>
        </w:rPr>
        <w:footnoteRef/>
      </w:r>
      <w:r w:rsidR="002831C7">
        <w:rPr>
          <w:rFonts w:eastAsiaTheme="minorEastAsia"/>
        </w:rPr>
        <w:tab/>
      </w:r>
      <w:r w:rsidRPr="003B39C2">
        <w:rPr>
          <w:rStyle w:val="FootnoteReference"/>
          <w:rFonts w:eastAsiaTheme="minorEastAsia"/>
          <w:vertAlign w:val="baseline"/>
        </w:rPr>
        <w:t xml:space="preserve">European Commission, Directorate-General for Financial Stability, Financial Services and Capital Markets Union, Study on sustainability-related ratings, data and research, Publications Office of the European Union, 2021, </w:t>
      </w:r>
      <w:hyperlink r:id="rId3" w:history="1">
        <w:r w:rsidR="00625D7F" w:rsidRPr="003B39C2">
          <w:rPr>
            <w:rStyle w:val="FootnoteReference"/>
            <w:rFonts w:eastAsiaTheme="minorEastAsia"/>
            <w:vertAlign w:val="baseline"/>
          </w:rPr>
          <w:t>https://data.europa.eu/doi/10.2874/14850</w:t>
        </w:r>
      </w:hyperlink>
      <w:r>
        <w:rPr>
          <w:rFonts w:eastAsiaTheme="minorEastAsia"/>
        </w:rPr>
        <w:t>.</w:t>
      </w:r>
    </w:p>
  </w:footnote>
  <w:footnote w:id="25">
    <w:p w14:paraId="6AFD3464" w14:textId="77777777" w:rsidR="00A04512" w:rsidRPr="004E3749" w:rsidRDefault="00A04512" w:rsidP="0077292E">
      <w:pPr>
        <w:pStyle w:val="FootnoteText"/>
        <w:ind w:left="567" w:hanging="567"/>
        <w:rPr>
          <w:lang w:val="en-US"/>
        </w:rPr>
      </w:pPr>
      <w:r w:rsidRPr="002831C7">
        <w:rPr>
          <w:rStyle w:val="FootnoteReference"/>
        </w:rPr>
        <w:footnoteRef/>
      </w:r>
      <w:r w:rsidR="002831C7">
        <w:rPr>
          <w:rFonts w:eastAsiaTheme="minorEastAsia"/>
        </w:rPr>
        <w:tab/>
      </w:r>
      <w:r w:rsidRPr="003B39C2">
        <w:rPr>
          <w:rStyle w:val="FootnoteReference"/>
          <w:rFonts w:eastAsiaTheme="minorEastAsia"/>
          <w:vertAlign w:val="baseline"/>
        </w:rPr>
        <w:t xml:space="preserve">Communication from the Commission on the Strategy for Financing the Transition to a Sustainable Economy </w:t>
      </w:r>
      <w:hyperlink r:id="rId4" w:history="1">
        <w:r w:rsidR="00625D7F" w:rsidRPr="003B39C2">
          <w:rPr>
            <w:rStyle w:val="FootnoteReference"/>
            <w:rFonts w:eastAsiaTheme="minorEastAsia"/>
            <w:vertAlign w:val="baseline"/>
          </w:rPr>
          <w:t>COM(2021) 390 final</w:t>
        </w:r>
      </w:hyperlink>
      <w:r>
        <w:rPr>
          <w:rFonts w:eastAsiaTheme="minorEastAsia"/>
        </w:rPr>
        <w:t xml:space="preserve">. </w:t>
      </w:r>
    </w:p>
  </w:footnote>
  <w:footnote w:id="26">
    <w:p w14:paraId="0ECFD811" w14:textId="77777777" w:rsidR="005B5FB4" w:rsidRDefault="005B5FB4" w:rsidP="0077292E">
      <w:pPr>
        <w:pStyle w:val="FootnoteText"/>
        <w:ind w:left="567" w:hanging="567"/>
      </w:pPr>
      <w:r w:rsidRPr="002831C7">
        <w:rPr>
          <w:rStyle w:val="FootnoteReference"/>
        </w:rPr>
        <w:footnoteRef/>
      </w:r>
      <w:r>
        <w:tab/>
      </w:r>
      <w:hyperlink r:id="rId5" w:history="1">
        <w:r>
          <w:rPr>
            <w:rStyle w:val="Hyperlink"/>
          </w:rPr>
          <w:t>IOSCO Report on ESG ratings and data products providers</w:t>
        </w:r>
      </w:hyperlink>
      <w:r w:rsidR="00BE6BBD">
        <w:rPr>
          <w:rStyle w:val="Hyperlink"/>
        </w:rPr>
        <w:t xml:space="preserve">, available at: </w:t>
      </w:r>
      <w:hyperlink r:id="rId6" w:history="1">
        <w:r w:rsidR="00BE6BBD" w:rsidRPr="00A175AE">
          <w:rPr>
            <w:rStyle w:val="Hyperlink"/>
          </w:rPr>
          <w:t>https://www.iosco.org/library/pubdocs/pdf/IOSCOPD690.pdf</w:t>
        </w:r>
      </w:hyperlink>
      <w:r w:rsidR="00BE6BBD">
        <w:rPr>
          <w:rStyle w:val="Hyperlink"/>
        </w:rPr>
        <w:t>.</w:t>
      </w:r>
      <w:r w:rsidR="0009429D">
        <w:rPr>
          <w:rStyle w:val="Hyperlink"/>
        </w:rPr>
        <w:t xml:space="preserve"> </w:t>
      </w:r>
    </w:p>
  </w:footnote>
  <w:footnote w:id="27">
    <w:p w14:paraId="56A0C1D7" w14:textId="77777777" w:rsidR="00603013" w:rsidRPr="00FC59F9" w:rsidRDefault="00603013" w:rsidP="00603013">
      <w:pPr>
        <w:pStyle w:val="FootnoteText"/>
        <w:ind w:left="567" w:hanging="567"/>
      </w:pPr>
      <w:r w:rsidRPr="00AB2B94">
        <w:rPr>
          <w:rStyle w:val="FootnoteReference"/>
        </w:rPr>
        <w:footnoteRef/>
      </w:r>
      <w:r>
        <w:tab/>
      </w:r>
      <w:r w:rsidRPr="006F1542">
        <w:rPr>
          <w:lang w:val="en-IE"/>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28">
    <w:p w14:paraId="6F2D2384" w14:textId="32D2A957" w:rsidR="00CF0D82" w:rsidRPr="00CF0D82" w:rsidRDefault="00CF0D82">
      <w:pPr>
        <w:pStyle w:val="FootnoteText"/>
        <w:rPr>
          <w:lang w:val="en-US"/>
        </w:rPr>
      </w:pPr>
      <w:r w:rsidRPr="00EA1519">
        <w:rPr>
          <w:rStyle w:val="FootnoteReference"/>
        </w:rPr>
        <w:footnoteRef/>
      </w:r>
      <w:r w:rsidR="00EA1519">
        <w:tab/>
      </w:r>
      <w:r w:rsidRPr="00CF0D82">
        <w:rPr>
          <w:lang w:val="en-IE"/>
        </w:rPr>
        <w:t>Regulation (EU) XX/XXXX of the European Parliament and of the Council establishing a European Single Access Point (ESAP) providing centralised access to publicly available information of relevance to financial services, capital markets and sustainability (OJ L [...], […], p. […]).</w:t>
      </w:r>
    </w:p>
  </w:footnote>
  <w:footnote w:id="29">
    <w:p w14:paraId="703941C0" w14:textId="77777777" w:rsidR="00A04512" w:rsidRPr="00A540E6" w:rsidRDefault="00A04512" w:rsidP="0077292E">
      <w:pPr>
        <w:pStyle w:val="FootnoteText"/>
        <w:ind w:left="567" w:hanging="567"/>
      </w:pPr>
      <w:r w:rsidRPr="002831C7">
        <w:rPr>
          <w:rStyle w:val="FootnoteReference"/>
        </w:rPr>
        <w:footnoteRef/>
      </w:r>
      <w:r w:rsidR="002831C7">
        <w:tab/>
      </w:r>
      <w:r w:rsidRPr="00AC2F81">
        <w:t>Regulation (EU) No 1095/2010 of the European Parliament and of the Council of 24 November 2010 establishing a European Supervisory Authority (European Securities and Markets Authority), amending Decision No 716/2009/EC and repealing Commission Decision 2009/77/EC (OJ L 331, 15.12.2010, p.</w:t>
      </w:r>
      <w:r w:rsidR="0009429D">
        <w:t> </w:t>
      </w:r>
      <w:r w:rsidRPr="00AC2F81">
        <w:t>84)</w:t>
      </w:r>
      <w:r>
        <w:t>.</w:t>
      </w:r>
    </w:p>
  </w:footnote>
  <w:footnote w:id="30">
    <w:p w14:paraId="5F9C4B20" w14:textId="77777777" w:rsidR="00EE0C58" w:rsidRPr="00C17C30" w:rsidRDefault="00EE0C58" w:rsidP="0077292E">
      <w:pPr>
        <w:pStyle w:val="FootnoteText"/>
        <w:ind w:left="567" w:hanging="567"/>
      </w:pPr>
      <w:r w:rsidRPr="002831C7">
        <w:rPr>
          <w:rStyle w:val="FootnoteReference"/>
        </w:rPr>
        <w:footnoteRef/>
      </w:r>
      <w:r>
        <w:tab/>
      </w:r>
      <w:r w:rsidRPr="00C17C30">
        <w:t>OJ L 123, 12.5.2016, p. 1.</w:t>
      </w:r>
    </w:p>
  </w:footnote>
  <w:footnote w:id="31">
    <w:p w14:paraId="09FAE584" w14:textId="77777777" w:rsidR="00EC7841" w:rsidRPr="006F1542" w:rsidRDefault="00EC7841" w:rsidP="00EC7841">
      <w:pPr>
        <w:pStyle w:val="FootnoteText"/>
        <w:ind w:left="567" w:hanging="567"/>
        <w:rPr>
          <w:lang w:val="en-IE"/>
        </w:rPr>
      </w:pPr>
      <w:r w:rsidRPr="00AB2B94">
        <w:rPr>
          <w:rStyle w:val="FootnoteReference"/>
        </w:rPr>
        <w:footnoteRef/>
      </w:r>
      <w:r w:rsidR="00AB2B94">
        <w:tab/>
      </w:r>
      <w:r w:rsidRPr="006F1542">
        <w:rPr>
          <w:lang w:val="en-IE"/>
        </w:rPr>
        <w:t>Regulation (EC) No 1060/2009 of the European Parliament and of the Council of 16 September 2009 on credit rating agencies (OJ L 302, 17.11.2009, p. 1).</w:t>
      </w:r>
    </w:p>
  </w:footnote>
  <w:footnote w:id="32">
    <w:p w14:paraId="7943B917" w14:textId="77777777" w:rsidR="00F62937" w:rsidRDefault="00F62937" w:rsidP="0077292E">
      <w:pPr>
        <w:pStyle w:val="FootnoteText"/>
        <w:ind w:left="567" w:hanging="567"/>
      </w:pPr>
      <w:r w:rsidRPr="009A39C9">
        <w:rPr>
          <w:rStyle w:val="FootnoteReference"/>
        </w:rPr>
        <w:footnoteRef/>
      </w:r>
      <w:r>
        <w:tab/>
      </w:r>
      <w:r w:rsidRPr="00AB35F9">
        <w:t>Regulation (EU) No 575/2013 of the European Parliament and of the Council of 26 June 2013 on prudential requirements for credit institutions and investment firms and amending Regulation (EU) No 648/2012 (OJ L 176, 27.6.2013, p. 1).</w:t>
      </w:r>
    </w:p>
  </w:footnote>
  <w:footnote w:id="33">
    <w:p w14:paraId="362093C7" w14:textId="77777777" w:rsidR="00F62937" w:rsidRDefault="00F62937" w:rsidP="0077292E">
      <w:pPr>
        <w:pStyle w:val="FootnoteText"/>
        <w:ind w:left="567" w:hanging="567"/>
      </w:pPr>
      <w:r w:rsidRPr="009A39C9">
        <w:rPr>
          <w:rStyle w:val="FootnoteReference"/>
        </w:rPr>
        <w:footnoteRef/>
      </w:r>
      <w:r>
        <w:tab/>
      </w:r>
      <w:r w:rsidRPr="00AB35F9">
        <w:t>Directive 2014/65/EU of the European Parliament and of the Council of 15 May 2014 on markets in financial instruments and amending Directive 2002/92/EC and Directive 2011/61/EU (OJ L 173, 12.6.2014, p. 349).</w:t>
      </w:r>
    </w:p>
  </w:footnote>
  <w:footnote w:id="34">
    <w:p w14:paraId="1AD20CD7" w14:textId="77777777" w:rsidR="00226FD4" w:rsidRPr="00226FD4" w:rsidRDefault="00226FD4" w:rsidP="00226FD4">
      <w:pPr>
        <w:pStyle w:val="FootnoteText"/>
        <w:ind w:left="567" w:hanging="567"/>
      </w:pPr>
      <w:r w:rsidRPr="00AB2B94">
        <w:rPr>
          <w:rStyle w:val="FootnoteReference"/>
        </w:rPr>
        <w:footnoteRef/>
      </w:r>
      <w:r w:rsidR="00AB2B94">
        <w:tab/>
      </w:r>
      <w:r w:rsidRPr="006F1542">
        <w:rPr>
          <w:lang w:val="en-IE"/>
        </w:rPr>
        <w:t>Directive 2011/61/EU of the European Parliament and of the Council of 8 June 2011 on Alternative Investment Fund Managers and amending Directives 2003/41/EC and 2009/65/EC and Regulations (EC) No 1060/2009 and (EU) No 1095/2010 (OJ L 174, 1.7.2011, p. 1).</w:t>
      </w:r>
    </w:p>
  </w:footnote>
  <w:footnote w:id="35">
    <w:p w14:paraId="07435BE4" w14:textId="77777777" w:rsidR="00F62937" w:rsidRDefault="00F62937" w:rsidP="0077292E">
      <w:pPr>
        <w:pStyle w:val="FootnoteText"/>
        <w:ind w:left="567" w:hanging="567"/>
      </w:pPr>
      <w:r w:rsidRPr="009A39C9">
        <w:rPr>
          <w:rStyle w:val="FootnoteReference"/>
        </w:rPr>
        <w:footnoteRef/>
      </w:r>
      <w:r>
        <w:tab/>
      </w:r>
      <w:r w:rsidRPr="00AB35F9">
        <w:t>Regulation (EU) No 345/2013 of the European Parliament and of the Council of 17 April 2013 on European venture capital funds (OJ L 115, 25.4.2013, p. 1).</w:t>
      </w:r>
    </w:p>
  </w:footnote>
  <w:footnote w:id="36">
    <w:p w14:paraId="3E28EDC1" w14:textId="77777777" w:rsidR="00F62937" w:rsidRDefault="00F62937" w:rsidP="0077292E">
      <w:pPr>
        <w:pStyle w:val="FootnoteText"/>
        <w:ind w:left="567" w:hanging="567"/>
      </w:pPr>
      <w:r w:rsidRPr="009A39C9">
        <w:rPr>
          <w:rStyle w:val="FootnoteReference"/>
        </w:rPr>
        <w:footnoteRef/>
      </w:r>
      <w:r>
        <w:tab/>
      </w:r>
      <w:r w:rsidRPr="00AB35F9">
        <w:t>Regulation (EU) No 346/2013 of the European Parliament and of the Council of 17 April 2013 on European social entrepreneurship funds (OJ L 115, 25.4.2013, p. 18).</w:t>
      </w:r>
    </w:p>
  </w:footnote>
  <w:footnote w:id="37">
    <w:p w14:paraId="4335DA3B" w14:textId="77777777" w:rsidR="00F62937" w:rsidRDefault="00F62937" w:rsidP="0077292E">
      <w:pPr>
        <w:pStyle w:val="FootnoteText"/>
        <w:ind w:left="567" w:hanging="567"/>
      </w:pPr>
      <w:r w:rsidRPr="009A39C9">
        <w:rPr>
          <w:rStyle w:val="FootnoteReference"/>
        </w:rPr>
        <w:footnoteRef/>
      </w:r>
      <w:r>
        <w:tab/>
      </w:r>
      <w:r w:rsidRPr="00AB35F9">
        <w:t>Regulation (EU) 2015/760 of the European Parliament and of the Council of 29 April 2015 on European long-term investment funds (OJ L 123, 19.5.2015, p. 98).</w:t>
      </w:r>
    </w:p>
  </w:footnote>
  <w:footnote w:id="38">
    <w:p w14:paraId="0401F077" w14:textId="77777777" w:rsidR="00F62937" w:rsidRDefault="00F62937" w:rsidP="0077292E">
      <w:pPr>
        <w:pStyle w:val="FootnoteText"/>
        <w:ind w:left="567" w:hanging="567"/>
      </w:pPr>
      <w:r w:rsidRPr="009A39C9">
        <w:rPr>
          <w:rStyle w:val="FootnoteReference"/>
        </w:rPr>
        <w:footnoteRef/>
      </w:r>
      <w:r>
        <w:tab/>
      </w:r>
      <w:r w:rsidRPr="00AB35F9">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39">
    <w:p w14:paraId="5972AF57" w14:textId="77777777" w:rsidR="00F62937" w:rsidRPr="00AB35F9" w:rsidRDefault="00F62937" w:rsidP="0077292E">
      <w:pPr>
        <w:pStyle w:val="FootnoteText"/>
        <w:ind w:left="567" w:hanging="567"/>
        <w:rPr>
          <w:lang w:val="ro-RO"/>
        </w:rPr>
      </w:pPr>
      <w:r w:rsidRPr="009A39C9">
        <w:rPr>
          <w:rStyle w:val="FootnoteReference"/>
        </w:rPr>
        <w:footnoteRef/>
      </w:r>
      <w:r>
        <w:tab/>
      </w:r>
      <w:r w:rsidRPr="00AB35F9">
        <w:t>Directive 2009/138/EC of the European Parliament and of the Council of 25 November 2009 on the taking-up and pursuit of the business of Insurance and Reinsurance (Solvency II) (OJ L 335, 17.12.2009, p. 1).</w:t>
      </w:r>
    </w:p>
  </w:footnote>
  <w:footnote w:id="40">
    <w:p w14:paraId="1FBD7998" w14:textId="77777777" w:rsidR="00F62937" w:rsidRPr="00715B8D" w:rsidRDefault="00F62937" w:rsidP="0077292E">
      <w:pPr>
        <w:pStyle w:val="FootnoteText"/>
        <w:ind w:left="567" w:hanging="567"/>
      </w:pPr>
      <w:r w:rsidRPr="009A39C9">
        <w:rPr>
          <w:rStyle w:val="FootnoteReference"/>
        </w:rPr>
        <w:footnoteRef/>
      </w:r>
      <w:r>
        <w:tab/>
      </w:r>
      <w:r w:rsidRPr="00AB35F9">
        <w:t>Directive (EU) 2016/2341 of the European Parliament and of the Council of 14 December 2016 on the activities and supervision of institutions for occupational retirement provision (IORPs) (OJ L 354, 23.12.2016, p. 37).</w:t>
      </w:r>
    </w:p>
  </w:footnote>
  <w:footnote w:id="41">
    <w:p w14:paraId="42EE7FA8" w14:textId="77777777" w:rsidR="00F62937" w:rsidRPr="00AB35F9" w:rsidRDefault="00F62937" w:rsidP="0077292E">
      <w:pPr>
        <w:pStyle w:val="FootnoteText"/>
        <w:ind w:left="567" w:hanging="567"/>
        <w:rPr>
          <w:lang w:val="ro-RO"/>
        </w:rPr>
      </w:pPr>
      <w:r w:rsidRPr="009A39C9">
        <w:rPr>
          <w:rStyle w:val="FootnoteReference"/>
        </w:rPr>
        <w:footnoteRef/>
      </w:r>
      <w:r>
        <w:tab/>
      </w:r>
      <w:r w:rsidRPr="00AB35F9">
        <w:t>Regulation (EC) No 883/2004 of the European Parliament and of the Council of 29 April 2004 on the coordination of social security systems (OJ L 166, 30.4.2004, p. 1).</w:t>
      </w:r>
    </w:p>
  </w:footnote>
  <w:footnote w:id="42">
    <w:p w14:paraId="52A415CA" w14:textId="77777777" w:rsidR="00F62937" w:rsidRPr="00715B8D" w:rsidRDefault="00F62937" w:rsidP="0077292E">
      <w:pPr>
        <w:pStyle w:val="FootnoteText"/>
        <w:ind w:left="567" w:hanging="567"/>
      </w:pPr>
      <w:r w:rsidRPr="009A39C9">
        <w:rPr>
          <w:rStyle w:val="FootnoteReference"/>
        </w:rPr>
        <w:footnoteRef/>
      </w:r>
      <w:r>
        <w:tab/>
      </w:r>
      <w:r w:rsidRPr="00AB35F9">
        <w:t>Regulation (EC) No 987/2009 of the European Parliament and of the Council of 16 September 2009 laying down the procedure for implementing Regulation (EC) No 883/2004 on the coordination of social security systems (OJ L 284, 30.10.2009, p. 1).</w:t>
      </w:r>
    </w:p>
  </w:footnote>
  <w:footnote w:id="43">
    <w:p w14:paraId="7BE4C457" w14:textId="77777777" w:rsidR="00F62937" w:rsidRPr="004E2506" w:rsidRDefault="00F62937" w:rsidP="0077292E">
      <w:pPr>
        <w:pStyle w:val="FootnoteText"/>
        <w:ind w:left="567" w:hanging="567"/>
      </w:pPr>
      <w:r w:rsidRPr="009A39C9">
        <w:rPr>
          <w:rStyle w:val="FootnoteReference"/>
        </w:rPr>
        <w:footnoteRef/>
      </w:r>
      <w:r>
        <w:tab/>
      </w:r>
      <w:r w:rsidRPr="007007C8">
        <w:t>Regulation (EU) No 648/2012 of the European Parliament and of the Council of 4 July 2012 on OTC derivatives, central counterparties and trade repositories (OJ L 201, 27.7.2012, p. 1</w:t>
      </w:r>
      <w:r w:rsidRPr="004E2506">
        <w:t>).</w:t>
      </w:r>
    </w:p>
  </w:footnote>
  <w:footnote w:id="44">
    <w:p w14:paraId="124D3545" w14:textId="77777777" w:rsidR="00F62937" w:rsidRPr="007007C8" w:rsidRDefault="00F62937" w:rsidP="0077292E">
      <w:pPr>
        <w:pStyle w:val="FootnoteText"/>
        <w:ind w:left="567" w:hanging="567"/>
      </w:pPr>
      <w:r w:rsidRPr="009A39C9">
        <w:rPr>
          <w:rStyle w:val="FootnoteReference"/>
        </w:rPr>
        <w:footnoteRef/>
      </w:r>
      <w:r>
        <w:tab/>
      </w:r>
      <w:r w:rsidRPr="00AB35F9">
        <w:t>Regulation (EU) No 909/2014 of the European Parliament and of the Council of 23 July 2014 on improving securities settlement in the European Union and on central securities depositories and amending Directives 98/26/EC and 2014/65/EU and Regulation (EU) No 236/2012 (OJ L 257, 28.8.2014, p. 1).</w:t>
      </w:r>
    </w:p>
  </w:footnote>
  <w:footnote w:id="45">
    <w:p w14:paraId="37014EB1" w14:textId="77777777" w:rsidR="00F62937" w:rsidRPr="00715B8D" w:rsidRDefault="00F62937" w:rsidP="0077292E">
      <w:pPr>
        <w:pStyle w:val="FootnoteText"/>
        <w:ind w:left="567" w:hanging="567"/>
      </w:pPr>
      <w:r w:rsidRPr="009A39C9">
        <w:rPr>
          <w:rStyle w:val="FootnoteReference"/>
        </w:rPr>
        <w:footnoteRef/>
      </w:r>
      <w:r>
        <w:tab/>
      </w:r>
      <w:r w:rsidRPr="00AB35F9">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(OJ L 347, 28.12.2017, p. 35).</w:t>
      </w:r>
    </w:p>
  </w:footnote>
  <w:footnote w:id="46">
    <w:p w14:paraId="48349FBC" w14:textId="77777777" w:rsidR="00F62937" w:rsidRPr="00BC7E90" w:rsidRDefault="00F62937" w:rsidP="0077292E">
      <w:pPr>
        <w:pStyle w:val="FootnoteText"/>
        <w:ind w:left="567" w:hanging="567"/>
        <w:rPr>
          <w:lang w:val="en-IE"/>
        </w:rPr>
      </w:pPr>
      <w:r w:rsidRPr="002946F3">
        <w:rPr>
          <w:rStyle w:val="FootnoteReference"/>
        </w:rPr>
        <w:footnoteRef/>
      </w:r>
      <w:r>
        <w:tab/>
      </w:r>
      <w:r w:rsidRPr="00BC7E90">
        <w:t>Directive (EU) 2015/2366 of the European Parliament and of the Council of 25 November 2015 on payment services in the internal market, amending Directives 2002/65/EC, 2009/110/EC and 2013/36/EU and Regulation (EU) No 1093/2010, and repealing Directive 2007/64/EC</w:t>
      </w:r>
      <w:r>
        <w:t xml:space="preserve"> (OJ L 337, 23.12.2015, p. 35).</w:t>
      </w:r>
    </w:p>
  </w:footnote>
  <w:footnote w:id="47">
    <w:p w14:paraId="25E0DB6C" w14:textId="77777777" w:rsidR="00F62937" w:rsidRPr="00BC7E90" w:rsidRDefault="00F62937" w:rsidP="0077292E">
      <w:pPr>
        <w:pStyle w:val="FootnoteText"/>
        <w:ind w:left="567" w:hanging="567"/>
        <w:rPr>
          <w:lang w:val="en-IE"/>
        </w:rPr>
      </w:pPr>
      <w:r w:rsidRPr="002946F3">
        <w:rPr>
          <w:rStyle w:val="FootnoteReference"/>
        </w:rPr>
        <w:footnoteRef/>
      </w:r>
      <w:r>
        <w:tab/>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w:t>
      </w:r>
      <w:r w:rsidR="006A39BB">
        <w:t> </w:t>
      </w:r>
      <w:r>
        <w:t>7).</w:t>
      </w:r>
    </w:p>
  </w:footnote>
  <w:footnote w:id="48">
    <w:p w14:paraId="3E4E75D5" w14:textId="77777777" w:rsidR="00F62937" w:rsidRPr="00BC7E90" w:rsidRDefault="00F62937" w:rsidP="0077292E">
      <w:pPr>
        <w:pStyle w:val="FootnoteText"/>
        <w:ind w:left="567" w:hanging="567"/>
        <w:rPr>
          <w:lang w:val="en-IE"/>
        </w:rPr>
      </w:pPr>
      <w:r w:rsidRPr="002946F3">
        <w:rPr>
          <w:rStyle w:val="FootnoteReference"/>
        </w:rPr>
        <w:footnoteRef/>
      </w:r>
      <w:r>
        <w:tab/>
        <w:t>Regulation (EU) 2020/1503 of the European Parliament and of the Council of 7 October 2020 on European crowdfunding service providers for business, and amending Regulation (EU) 2017/1129 and Directive (EU) 2019/1937 (</w:t>
      </w:r>
      <w:r w:rsidRPr="00BC7E90">
        <w:t>OJ L 347, 20.10.2020, p. 1</w:t>
      </w:r>
      <w:r>
        <w:t>).</w:t>
      </w:r>
    </w:p>
  </w:footnote>
  <w:footnote w:id="49">
    <w:p w14:paraId="630B3DAD" w14:textId="77777777" w:rsidR="00F62937" w:rsidRDefault="00F62937" w:rsidP="0077292E">
      <w:pPr>
        <w:pStyle w:val="FootnoteText"/>
        <w:ind w:left="567" w:hanging="567"/>
      </w:pPr>
      <w:r w:rsidRPr="002946F3">
        <w:rPr>
          <w:rStyle w:val="FootnoteReference"/>
        </w:rPr>
        <w:footnoteRef/>
      </w:r>
      <w:r>
        <w:tab/>
      </w:r>
      <w:r w:rsidRPr="004329B1">
        <w:t>COM/2020/593 final</w:t>
      </w:r>
      <w:r>
        <w:t>.</w:t>
      </w:r>
    </w:p>
  </w:footnote>
  <w:footnote w:id="50">
    <w:p w14:paraId="4149F2C2" w14:textId="77777777" w:rsidR="00F250BA" w:rsidRDefault="00F250BA" w:rsidP="0077292E">
      <w:pPr>
        <w:pStyle w:val="FootnoteText"/>
        <w:ind w:left="567" w:hanging="567"/>
      </w:pPr>
      <w:r>
        <w:rPr>
          <w:rStyle w:val="FootnoteReference"/>
        </w:rPr>
        <w:footnoteRef/>
      </w:r>
      <w:r w:rsidR="0077292E">
        <w:tab/>
      </w:r>
      <w:r w:rsidRPr="00F250BA">
        <w:t>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w:t>
      </w:r>
      <w:r w:rsidR="00FE2950">
        <w:t xml:space="preserve"> (</w:t>
      </w:r>
      <w:r w:rsidR="00FE2950" w:rsidRPr="00FE2950">
        <w:t>OJ L 171, 29.6.2016, p. 1</w:t>
      </w:r>
      <w:r w:rsidR="00FE2950">
        <w:t>)</w:t>
      </w:r>
      <w:r w:rsidR="006A39BB">
        <w:t>.</w:t>
      </w:r>
    </w:p>
  </w:footnote>
  <w:footnote w:id="51">
    <w:p w14:paraId="4CF2DF4E" w14:textId="77777777" w:rsidR="00B73B86" w:rsidRPr="00B73B86" w:rsidRDefault="00B73B86" w:rsidP="00B73B86">
      <w:pPr>
        <w:pStyle w:val="FootnoteText"/>
        <w:ind w:left="567" w:hanging="567"/>
      </w:pPr>
      <w:r w:rsidRPr="00AB2B94">
        <w:rPr>
          <w:rStyle w:val="FootnoteReference"/>
        </w:rPr>
        <w:footnoteRef/>
      </w:r>
      <w:r w:rsidR="00AB2B94">
        <w:tab/>
      </w:r>
      <w:r w:rsidRPr="006F1542">
        <w:rPr>
          <w:lang w:val="en-IE"/>
        </w:rPr>
        <w:t>Council Regulation No 1 determining the languages to be used by the European Economic Community (OJ 17, 6.10.1958, p. 385).</w:t>
      </w:r>
    </w:p>
  </w:footnote>
  <w:footnote w:id="52">
    <w:p w14:paraId="1C6DA395" w14:textId="77777777" w:rsidR="0013188C" w:rsidRPr="003A5F45" w:rsidRDefault="0013188C" w:rsidP="0077292E">
      <w:pPr>
        <w:pStyle w:val="FootnoteText"/>
        <w:ind w:left="567" w:hanging="567"/>
      </w:pPr>
      <w:r w:rsidRPr="002831C7">
        <w:rPr>
          <w:rStyle w:val="FootnoteReference"/>
        </w:rPr>
        <w:footnoteRef/>
      </w:r>
      <w:r>
        <w:tab/>
      </w:r>
      <w:r w:rsidRPr="003A5F45">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w:t>
      </w:r>
      <w:r w:rsidR="00764546">
        <w:t> </w:t>
      </w:r>
      <w:r w:rsidRPr="003A5F45">
        <w:t>45/2001 and Decision No 1247/2002/EC</w:t>
      </w:r>
      <w:r>
        <w:t xml:space="preserve"> (</w:t>
      </w:r>
      <w:r w:rsidRPr="003A5F45">
        <w:t>OJ L 295, 21.11.2018, p. 39</w:t>
      </w:r>
      <w:r>
        <w:t>).</w:t>
      </w:r>
    </w:p>
  </w:footnote>
  <w:footnote w:id="53">
    <w:p w14:paraId="3529425A" w14:textId="77777777" w:rsidR="00A0746F" w:rsidRPr="0077074E" w:rsidRDefault="00A0746F" w:rsidP="0077292E">
      <w:pPr>
        <w:pStyle w:val="FootnoteText"/>
        <w:ind w:left="567" w:hanging="567"/>
      </w:pPr>
      <w:r w:rsidRPr="00AB2B94">
        <w:rPr>
          <w:rStyle w:val="FootnoteReference"/>
        </w:rPr>
        <w:footnoteRef/>
      </w:r>
      <w:r w:rsidR="00AB2B94">
        <w:tab/>
      </w:r>
      <w:r w:rsidRPr="0077074E">
        <w:t>Directive (EU) 2016/943 of the European Parliament and of the Council of 8 June 2016 on the protection of undisclosed know-how and business information (trade secrets) against their unlawful acquisition, use and disclosure (OJ L 157, 15.6.2016, p. 1).</w:t>
      </w:r>
    </w:p>
  </w:footnote>
  <w:footnote w:id="54">
    <w:p w14:paraId="0AE34B85" w14:textId="77777777" w:rsidR="00B53731" w:rsidRPr="009849B0" w:rsidRDefault="00B53731" w:rsidP="0077292E">
      <w:pPr>
        <w:pStyle w:val="FootnoteText"/>
        <w:ind w:left="567" w:hanging="567"/>
      </w:pPr>
      <w:r w:rsidRPr="00AB2B94">
        <w:rPr>
          <w:rStyle w:val="FootnoteReference"/>
        </w:rPr>
        <w:footnoteRef/>
      </w:r>
      <w:r w:rsidR="00AB2B94">
        <w:tab/>
      </w:r>
      <w:r w:rsidRPr="009849B0">
        <w:t>Regulation (EU) No 596/2014 of the European Parliament and of the Council of 16 April 2014 on market abuse (market abuse regulation) and repealing Directive 2003/6/EC of the European Parliament and of the Council and Commission Directives 2003/124/EC, 2003/125/EC and 2004/72/EC (OJ L 173, 12.6.2014, p. 1).</w:t>
      </w:r>
    </w:p>
  </w:footnote>
  <w:footnote w:id="55">
    <w:p w14:paraId="4CD4D21B" w14:textId="77777777" w:rsidR="00A04512" w:rsidRPr="004F72AB" w:rsidRDefault="00A04512" w:rsidP="0077292E">
      <w:pPr>
        <w:pStyle w:val="FootnoteText"/>
        <w:ind w:left="567" w:hanging="567"/>
      </w:pPr>
      <w:r w:rsidRPr="002831C7">
        <w:rPr>
          <w:rStyle w:val="FootnoteReference"/>
        </w:rPr>
        <w:footnoteRef/>
      </w:r>
      <w:r w:rsidR="002831C7">
        <w:tab/>
      </w:r>
      <w:r w:rsidRPr="004F72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t xml:space="preserve"> (</w:t>
      </w:r>
      <w:r w:rsidRPr="004F72AB">
        <w:t>OJ L 295, 21.11.2018, p. 39</w:t>
      </w:r>
      <w:r>
        <w:t>).</w:t>
      </w:r>
    </w:p>
  </w:footnote>
  <w:footnote w:id="56">
    <w:p w14:paraId="1B8D36C5" w14:textId="77777777" w:rsidR="00A04512" w:rsidRPr="009F55D8" w:rsidRDefault="00A04512" w:rsidP="00C9315C">
      <w:pPr>
        <w:pStyle w:val="FootnoteText"/>
        <w:ind w:left="567" w:hanging="567"/>
        <w:rPr>
          <w:lang w:val="en-IE"/>
        </w:rPr>
      </w:pPr>
      <w:r w:rsidRPr="002831C7">
        <w:rPr>
          <w:rStyle w:val="FootnoteReference"/>
        </w:rPr>
        <w:footnoteRef/>
      </w:r>
      <w:r w:rsidR="002831C7">
        <w:tab/>
      </w:r>
      <w:r w:rsidR="00C9315C">
        <w:t>Commission Decision of 6 June 2001 establishing the European Securities Committee (OJ L 191, 13.7.2001, p. 45)</w:t>
      </w:r>
    </w:p>
  </w:footnote>
  <w:footnote w:id="57">
    <w:p w14:paraId="137AD8B2" w14:textId="77777777" w:rsidR="00A04512" w:rsidRPr="009F55D8" w:rsidRDefault="00A04512" w:rsidP="0077292E">
      <w:pPr>
        <w:pStyle w:val="FootnoteText"/>
        <w:ind w:left="567" w:hanging="567"/>
        <w:rPr>
          <w:lang w:val="en-IE"/>
        </w:rPr>
      </w:pPr>
      <w:r w:rsidRPr="002831C7">
        <w:rPr>
          <w:rStyle w:val="FootnoteReference"/>
        </w:rPr>
        <w:footnoteRef/>
      </w:r>
      <w:r w:rsidR="002831C7">
        <w:tab/>
      </w:r>
      <w:r>
        <w:t>Regulation (EU) No 182/2011 of the European Parliament and of the Council of 16 February 2011 laying down the rules and general principles concerning mechanisms for control by Member States of the Commission’s exercise of implementing powers</w:t>
      </w:r>
      <w:r w:rsidR="00C9315C">
        <w:t xml:space="preserve"> (</w:t>
      </w:r>
      <w:r w:rsidR="00C9315C" w:rsidRPr="00C9315C">
        <w:t>OJ L 55, 28.2.2011, p. 13</w:t>
      </w:r>
      <w:r w:rsidR="00C9315C">
        <w:t>).</w:t>
      </w:r>
    </w:p>
  </w:footnote>
  <w:footnote w:id="58">
    <w:p w14:paraId="6AD7CFD2" w14:textId="77777777" w:rsidR="00FA1843" w:rsidRDefault="00FA1843" w:rsidP="00FA1843">
      <w:pPr>
        <w:pStyle w:val="FootnoteText"/>
        <w:rPr>
          <w:szCs w:val="24"/>
        </w:rPr>
      </w:pPr>
      <w:r>
        <w:rPr>
          <w:rStyle w:val="FootnoteReference"/>
        </w:rPr>
        <w:footnoteRef/>
      </w:r>
      <w:r>
        <w:tab/>
        <w:t>As referred to in Article 58(2)(a) or (b) of the Financial Regulation.</w:t>
      </w:r>
    </w:p>
  </w:footnote>
  <w:footnote w:id="59">
    <w:p w14:paraId="744C9D1A" w14:textId="71FD416E" w:rsidR="00FA1843" w:rsidRPr="002C3D46" w:rsidRDefault="00FA1843" w:rsidP="00FA1843">
      <w:pPr>
        <w:pStyle w:val="FootnoteText"/>
        <w:rPr>
          <w:lang w:val="en-IE"/>
        </w:rPr>
      </w:pPr>
      <w:r w:rsidRPr="00080177">
        <w:rPr>
          <w:rStyle w:val="FootnoteReference"/>
        </w:rPr>
        <w:footnoteRef/>
      </w:r>
      <w:r w:rsidR="00080177">
        <w:rPr>
          <w:lang w:val="en-IE"/>
        </w:rPr>
        <w:tab/>
      </w:r>
      <w:r w:rsidRPr="002524EA">
        <w:rPr>
          <w:lang w:val="en-IE"/>
        </w:rPr>
        <w:t>Relative si</w:t>
      </w:r>
      <w:r w:rsidRPr="002C3D46">
        <w:rPr>
          <w:lang w:val="en-IE"/>
        </w:rPr>
        <w:t>ze of the f</w:t>
      </w:r>
      <w:r>
        <w:rPr>
          <w:lang w:val="en-IE"/>
        </w:rPr>
        <w:t xml:space="preserve">ees depending on the size of ESG rating providers. Passing costs of supervision onto supervised entities is a typical practice in the financial sector. </w:t>
      </w:r>
    </w:p>
  </w:footnote>
  <w:footnote w:id="60">
    <w:p w14:paraId="3A33EB5A" w14:textId="77777777" w:rsidR="00FA1843" w:rsidRDefault="00FA1843" w:rsidP="00FA1843">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7" w:history="1">
        <w:r>
          <w:rPr>
            <w:rStyle w:val="Hyperlink"/>
            <w:szCs w:val="24"/>
          </w:rPr>
          <w:t>https://myintracomm.ec.europa.eu/budgweb/EN/man/budgmanag/Pages/budgmanag.aspx</w:t>
        </w:r>
      </w:hyperlink>
      <w:r>
        <w:rPr>
          <w:szCs w:val="24"/>
        </w:rPr>
        <w:t>.</w:t>
      </w:r>
    </w:p>
  </w:footnote>
  <w:footnote w:id="61">
    <w:p w14:paraId="74D8ADBD" w14:textId="77777777" w:rsidR="00FA1843" w:rsidRDefault="00FA1843" w:rsidP="00FA1843">
      <w:pPr>
        <w:pStyle w:val="FootnoteText"/>
        <w:rPr>
          <w:szCs w:val="24"/>
        </w:rPr>
      </w:pPr>
      <w:r>
        <w:rPr>
          <w:rStyle w:val="FootnoteReference"/>
        </w:rPr>
        <w:footnoteRef/>
      </w:r>
      <w:r>
        <w:tab/>
        <w:t>Diff. = Differentiated appropriations / Non-diff. = Non-differentiated appropriations.</w:t>
      </w:r>
    </w:p>
  </w:footnote>
  <w:footnote w:id="62">
    <w:p w14:paraId="378E27E4" w14:textId="77777777" w:rsidR="00FA1843" w:rsidRDefault="00FA1843" w:rsidP="00FA1843">
      <w:pPr>
        <w:pStyle w:val="FootnoteText"/>
        <w:rPr>
          <w:szCs w:val="24"/>
        </w:rPr>
      </w:pPr>
      <w:r>
        <w:rPr>
          <w:rStyle w:val="FootnoteReference"/>
        </w:rPr>
        <w:footnoteRef/>
      </w:r>
      <w:r>
        <w:tab/>
        <w:t xml:space="preserve">EFTA: European Free Trade Association. </w:t>
      </w:r>
    </w:p>
  </w:footnote>
  <w:footnote w:id="63">
    <w:p w14:paraId="639D35F6" w14:textId="77777777" w:rsidR="00FA1843" w:rsidRDefault="00FA1843" w:rsidP="00FA1843">
      <w:pPr>
        <w:pStyle w:val="FootnoteText"/>
        <w:rPr>
          <w:szCs w:val="24"/>
        </w:rPr>
      </w:pPr>
      <w:r>
        <w:rPr>
          <w:rStyle w:val="FootnoteReference"/>
        </w:rPr>
        <w:footnoteRef/>
      </w:r>
      <w:r>
        <w:tab/>
        <w:t>Candidate countries and, where applicable, potential candidates from the Western Balkans.</w:t>
      </w:r>
    </w:p>
  </w:footnote>
  <w:footnote w:id="64">
    <w:p w14:paraId="212BF9EF" w14:textId="77777777" w:rsidR="00FA1843" w:rsidRDefault="00FA1843" w:rsidP="00FA1843">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65">
    <w:p w14:paraId="2F1FF7F4" w14:textId="48B663AA" w:rsidR="00341E44" w:rsidRDefault="00341E44" w:rsidP="00FA1843">
      <w:pPr>
        <w:pStyle w:val="FootnoteText"/>
      </w:pPr>
      <w:r w:rsidRPr="00080177">
        <w:rPr>
          <w:rStyle w:val="FootnoteReference"/>
        </w:rPr>
        <w:footnoteRef/>
      </w:r>
      <w:r>
        <w:tab/>
        <w:t>All fee funded (including employer’s pension contributions)</w:t>
      </w:r>
    </w:p>
  </w:footnote>
  <w:footnote w:id="66">
    <w:p w14:paraId="787812F8" w14:textId="77777777" w:rsidR="00FA1843" w:rsidRDefault="00FA1843" w:rsidP="00FA1843">
      <w:pPr>
        <w:pStyle w:val="FootnoteText"/>
        <w:rPr>
          <w:szCs w:val="24"/>
        </w:rPr>
      </w:pPr>
      <w:r>
        <w:rPr>
          <w:rStyle w:val="FootnoteReference"/>
        </w:rPr>
        <w:footnoteRef/>
      </w:r>
      <w:r>
        <w:tab/>
        <w:t xml:space="preserve">AC = Contract Staff; AL = Local Staff; END = Seconded National Expert; INT = agency staff; JPD = Junior </w:t>
      </w:r>
      <w:r w:rsidRPr="00547C99">
        <w:t>Professional</w:t>
      </w:r>
      <w:r>
        <w:t>s</w:t>
      </w:r>
      <w:r w:rsidRPr="00547C99">
        <w:t xml:space="preserve"> </w:t>
      </w:r>
      <w:r>
        <w:t xml:space="preserve">in Delegations. </w:t>
      </w:r>
    </w:p>
  </w:footnote>
  <w:footnote w:id="67">
    <w:p w14:paraId="317CB14D" w14:textId="77777777" w:rsidR="00FA1843" w:rsidRDefault="00FA1843" w:rsidP="00FA1843">
      <w:pPr>
        <w:pStyle w:val="FootnoteText"/>
        <w:rPr>
          <w:szCs w:val="24"/>
        </w:rPr>
      </w:pPr>
      <w:r>
        <w:rPr>
          <w:rStyle w:val="FootnoteReference"/>
        </w:rPr>
        <w:footnoteRef/>
      </w:r>
      <w:r>
        <w:tab/>
        <w:t>Sub-ceiling for external staff covered by operational appropriations (former ‘BA’ lines).</w:t>
      </w:r>
    </w:p>
  </w:footnote>
  <w:footnote w:id="68">
    <w:p w14:paraId="17AA9E88" w14:textId="77777777" w:rsidR="00FA1843" w:rsidRDefault="00FA1843" w:rsidP="00FA1843">
      <w:pPr>
        <w:pStyle w:val="FootnoteText"/>
      </w:pPr>
      <w:r>
        <w:rPr>
          <w:rStyle w:val="FootnoteReference"/>
        </w:rPr>
        <w:footnoteRef/>
      </w:r>
      <w:r>
        <w:tab/>
        <w:t xml:space="preserve">Mainly for the EU Cohesion Policy Funds, the European Agricultural Fund for Rural Development (EAFRD) and the European Maritime Fisheries and Aquaculture Fund (EMFAF).  </w:t>
      </w:r>
    </w:p>
    <w:p w14:paraId="07908CCB" w14:textId="77777777" w:rsidR="00FA1843" w:rsidRPr="001D4F31" w:rsidRDefault="00FA1843" w:rsidP="00FA1843">
      <w:pPr>
        <w:pStyle w:val="FootnoteText"/>
        <w:rPr>
          <w:szCs w:val="24"/>
          <w:lang w:val="en-IE"/>
        </w:rPr>
      </w:pPr>
    </w:p>
  </w:footnote>
  <w:footnote w:id="69">
    <w:p w14:paraId="4F7602DD" w14:textId="77777777" w:rsidR="00FA1843" w:rsidRDefault="00FA1843" w:rsidP="00FA1843">
      <w:pPr>
        <w:pStyle w:val="FootnoteText"/>
        <w:rPr>
          <w:szCs w:val="24"/>
        </w:rPr>
      </w:pPr>
      <w:r>
        <w:rPr>
          <w:rStyle w:val="FootnoteReference"/>
        </w:rPr>
        <w:footnoteRef/>
      </w:r>
      <w:r>
        <w:tab/>
        <w:t>See Articles 12 and 13 of Council Regulation (EU, Euratom) No 2093/2020 of 17 December 2020 laying down the multiannual financial framework for the years 2021 to 2027.</w:t>
      </w:r>
    </w:p>
  </w:footnote>
  <w:footnote w:id="70">
    <w:p w14:paraId="7D58BE2F" w14:textId="77777777" w:rsidR="00FA1843" w:rsidRDefault="00FA1843" w:rsidP="00FA1843">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D8F3" w14:textId="77777777" w:rsidR="00783A24" w:rsidRPr="00783A24" w:rsidRDefault="00783A24" w:rsidP="00783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F3B5" w14:textId="77777777" w:rsidR="00783A24" w:rsidRPr="00783A24" w:rsidRDefault="00783A24" w:rsidP="00783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DED9" w14:textId="77777777" w:rsidR="00783A24" w:rsidRPr="00783A24" w:rsidRDefault="00783A24" w:rsidP="00783A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89A6" w14:textId="77777777" w:rsidR="00EA1519" w:rsidRPr="00EA1519" w:rsidRDefault="00EA1519" w:rsidP="00783A24">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51A0" w14:textId="77777777" w:rsidR="00783A24" w:rsidRPr="00783A24" w:rsidRDefault="00783A24" w:rsidP="00783A24">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6F17" w14:textId="77777777" w:rsidR="00D500C8" w:rsidRPr="00EA1519" w:rsidRDefault="00D500C8" w:rsidP="00783A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542F" w14:textId="77777777" w:rsidR="00783A24" w:rsidRPr="00783A24" w:rsidRDefault="00783A24" w:rsidP="00783A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D85C" w14:textId="77777777" w:rsidR="00783A24" w:rsidRPr="00EA1519" w:rsidRDefault="00783A24" w:rsidP="00783A24">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6FE" w14:textId="77777777" w:rsidR="00783A24" w:rsidRPr="00783A24" w:rsidRDefault="00783A24" w:rsidP="00783A24">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B24A3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628832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D2003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ED420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FA53FCD"/>
    <w:multiLevelType w:val="multilevel"/>
    <w:tmpl w:val="AC00E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820C1F"/>
    <w:multiLevelType w:val="singleLevel"/>
    <w:tmpl w:val="7896AADE"/>
    <w:name w:val="List Dash"/>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NumberLevel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0"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3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1F06166"/>
    <w:multiLevelType w:val="multilevel"/>
    <w:tmpl w:val="C08066D2"/>
    <w:name w:val="0.6719891"/>
    <w:lvl w:ilvl="0">
      <w:start w:val="1"/>
      <w:numFmt w:val="decimal"/>
      <w:lvlRestart w:val="0"/>
      <w:pStyle w:val="ListBullet1"/>
      <w:lvlText w:val="(%1)"/>
      <w:lvlJc w:val="left"/>
      <w:pPr>
        <w:tabs>
          <w:tab w:val="num" w:pos="709"/>
        </w:tabs>
        <w:ind w:left="709" w:hanging="709"/>
      </w:pPr>
    </w:lvl>
    <w:lvl w:ilvl="1">
      <w:start w:val="1"/>
      <w:numFmt w:val="lowerLetter"/>
      <w:pStyle w:val="ListNumberLevel3"/>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1366A8"/>
    <w:multiLevelType w:val="multilevel"/>
    <w:tmpl w:val="30D49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570848619">
    <w:abstractNumId w:val="3"/>
  </w:num>
  <w:num w:numId="2" w16cid:durableId="747051">
    <w:abstractNumId w:val="2"/>
  </w:num>
  <w:num w:numId="3" w16cid:durableId="185601038">
    <w:abstractNumId w:val="1"/>
  </w:num>
  <w:num w:numId="4" w16cid:durableId="537358598">
    <w:abstractNumId w:val="0"/>
  </w:num>
  <w:num w:numId="5" w16cid:durableId="2123181804">
    <w:abstractNumId w:val="19"/>
    <w:lvlOverride w:ilvl="0">
      <w:startOverride w:val="1"/>
    </w:lvlOverride>
  </w:num>
  <w:num w:numId="6" w16cid:durableId="1746604276">
    <w:abstractNumId w:val="27"/>
    <w:lvlOverride w:ilvl="0">
      <w:startOverride w:val="1"/>
    </w:lvlOverride>
  </w:num>
  <w:num w:numId="7" w16cid:durableId="1479302084">
    <w:abstractNumId w:val="32"/>
    <w:lvlOverride w:ilvl="0">
      <w:startOverride w:val="1"/>
    </w:lvlOverride>
  </w:num>
  <w:num w:numId="8" w16cid:durableId="119734406">
    <w:abstractNumId w:val="4"/>
  </w:num>
  <w:num w:numId="9" w16cid:durableId="1296957884">
    <w:abstractNumId w:val="12"/>
  </w:num>
  <w:num w:numId="10" w16cid:durableId="980035585">
    <w:abstractNumId w:val="21"/>
  </w:num>
  <w:num w:numId="11" w16cid:durableId="1168788372">
    <w:abstractNumId w:val="20"/>
  </w:num>
  <w:num w:numId="12" w16cid:durableId="1671790415">
    <w:abstractNumId w:val="34"/>
  </w:num>
  <w:num w:numId="13" w16cid:durableId="344524428">
    <w:abstractNumId w:val="5"/>
  </w:num>
  <w:num w:numId="14" w16cid:durableId="1600017304">
    <w:abstractNumId w:val="14"/>
  </w:num>
  <w:num w:numId="15" w16cid:durableId="927423033">
    <w:abstractNumId w:val="6"/>
  </w:num>
  <w:num w:numId="16" w16cid:durableId="1918435556">
    <w:abstractNumId w:val="15"/>
  </w:num>
  <w:num w:numId="17" w16cid:durableId="870454443">
    <w:abstractNumId w:val="13"/>
  </w:num>
  <w:num w:numId="18" w16cid:durableId="107434158">
    <w:abstractNumId w:val="22"/>
  </w:num>
  <w:num w:numId="19" w16cid:durableId="1391344309">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260131">
    <w:abstractNumId w:val="33"/>
  </w:num>
  <w:num w:numId="21" w16cid:durableId="1734622888">
    <w:abstractNumId w:val="30"/>
  </w:num>
  <w:num w:numId="22" w16cid:durableId="1554855315">
    <w:abstractNumId w:val="24"/>
  </w:num>
  <w:num w:numId="23" w16cid:durableId="4331121">
    <w:abstractNumId w:val="29"/>
  </w:num>
  <w:num w:numId="24" w16cid:durableId="593708607">
    <w:abstractNumId w:val="35"/>
  </w:num>
  <w:num w:numId="25" w16cid:durableId="924338389">
    <w:abstractNumId w:val="27"/>
  </w:num>
  <w:num w:numId="26" w16cid:durableId="2036076296">
    <w:abstractNumId w:val="16"/>
  </w:num>
  <w:num w:numId="27" w16cid:durableId="1203324420">
    <w:abstractNumId w:val="32"/>
  </w:num>
  <w:num w:numId="28" w16cid:durableId="500585456">
    <w:abstractNumId w:val="11"/>
  </w:num>
  <w:num w:numId="29" w16cid:durableId="598948382">
    <w:abstractNumId w:val="17"/>
  </w:num>
  <w:num w:numId="30" w16cid:durableId="1503163501">
    <w:abstractNumId w:val="18"/>
  </w:num>
  <w:num w:numId="31" w16cid:durableId="79110912">
    <w:abstractNumId w:val="9"/>
  </w:num>
  <w:num w:numId="32" w16cid:durableId="1485781692">
    <w:abstractNumId w:val="31"/>
  </w:num>
  <w:num w:numId="33" w16cid:durableId="604925704">
    <w:abstractNumId w:val="7"/>
  </w:num>
  <w:num w:numId="34" w16cid:durableId="103116754">
    <w:abstractNumId w:val="19"/>
  </w:num>
  <w:num w:numId="35" w16cid:durableId="667103167">
    <w:abstractNumId w:val="25"/>
  </w:num>
  <w:num w:numId="36" w16cid:durableId="1747802022">
    <w:abstractNumId w:val="26"/>
  </w:num>
  <w:num w:numId="37" w16cid:durableId="1710759565">
    <w:abstractNumId w:val="10"/>
  </w:num>
  <w:num w:numId="38" w16cid:durableId="814224033">
    <w:abstractNumId w:val="23"/>
  </w:num>
  <w:num w:numId="39" w16cid:durableId="322129158">
    <w:abstractNumId w:val="36"/>
  </w:num>
  <w:num w:numId="40" w16cid:durableId="136774424">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BE"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fr-BE" w:vendorID="64" w:dllVersion="6" w:nlCheck="1" w:checkStyle="0"/>
  <w:activeWritingStyle w:appName="MSWord" w:lang="pl-PL" w:vendorID="64" w:dllVersion="0" w:nlCheck="1" w:checkStyle="0"/>
  <w:proofState w:spelling="clean"/>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3-06-29 12:35: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COM(2023)314 final of 13.6.2023_x000b_Concerns the EN version only_x000b_Minor editing corrections which do not affect the substance of the text_x000b_The text shall read as follows:"/>
    <w:docVar w:name="LW_COVERPAGE_EXISTS" w:val="True"/>
    <w:docVar w:name="LW_COVERPAGE_GUID" w:val="1B383798-89F7-4593-909B-816ADA9CCC1F"/>
    <w:docVar w:name="LW_COVERPAGE_TYPE" w:val="1"/>
    <w:docVar w:name="LW_CROSSREFERENCE" w:val="{SEC(2023) 241 final} - {SWD(2023) 204 final} - {SWD(2023) 207 final}"/>
    <w:docVar w:name="LW_DocType" w:val="COM"/>
    <w:docVar w:name="LW_EMISSION" w:val="7.7.2023"/>
    <w:docVar w:name="LW_EMISSION_ISODATE" w:val="2023-07-0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7"/>
    <w:docVar w:name="LW_REF.II.NEW.CP_YEAR" w:val="2023"/>
    <w:docVar w:name="LW_REF.INST.NEW" w:val="COM"/>
    <w:docVar w:name="LW_REF.INST.NEW_ADOPTED" w:val="final/2"/>
    <w:docVar w:name="LW_REF.INST.NEW_TEXT" w:val="(2023) 31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transparency and integrity of Environmental, Social and Governance (ESG) rating activities"/>
    <w:docVar w:name="LW_TYPE.DOC.CP" w:val="REGULATION OF THE EUROPEAN PARLIAMENT AND OF THE COUNCIL"/>
    <w:docVar w:name="LwApiVersions" w:val="LW4CoDe 1.23.2.0; LW 8.0, Build 20211117"/>
  </w:docVars>
  <w:rsids>
    <w:rsidRoot w:val="00587167"/>
    <w:rsid w:val="00000CA9"/>
    <w:rsid w:val="000010B8"/>
    <w:rsid w:val="000010FA"/>
    <w:rsid w:val="00001298"/>
    <w:rsid w:val="00001E8D"/>
    <w:rsid w:val="00001EAB"/>
    <w:rsid w:val="000024B6"/>
    <w:rsid w:val="00002580"/>
    <w:rsid w:val="00002739"/>
    <w:rsid w:val="0000347C"/>
    <w:rsid w:val="0000393A"/>
    <w:rsid w:val="000039B2"/>
    <w:rsid w:val="00004FC8"/>
    <w:rsid w:val="000050F7"/>
    <w:rsid w:val="00005D4F"/>
    <w:rsid w:val="00006302"/>
    <w:rsid w:val="00006369"/>
    <w:rsid w:val="00006A20"/>
    <w:rsid w:val="00007C70"/>
    <w:rsid w:val="00010577"/>
    <w:rsid w:val="000105A1"/>
    <w:rsid w:val="0001100F"/>
    <w:rsid w:val="0001147B"/>
    <w:rsid w:val="00012770"/>
    <w:rsid w:val="000129CE"/>
    <w:rsid w:val="0001366E"/>
    <w:rsid w:val="000141B1"/>
    <w:rsid w:val="000141B3"/>
    <w:rsid w:val="000148C3"/>
    <w:rsid w:val="00014ACB"/>
    <w:rsid w:val="00014B81"/>
    <w:rsid w:val="00014E89"/>
    <w:rsid w:val="000159F9"/>
    <w:rsid w:val="00016529"/>
    <w:rsid w:val="000167DC"/>
    <w:rsid w:val="000172A0"/>
    <w:rsid w:val="000172B6"/>
    <w:rsid w:val="00017719"/>
    <w:rsid w:val="00017AE5"/>
    <w:rsid w:val="000201AC"/>
    <w:rsid w:val="000203D4"/>
    <w:rsid w:val="0002130B"/>
    <w:rsid w:val="00021F06"/>
    <w:rsid w:val="00022256"/>
    <w:rsid w:val="000231FA"/>
    <w:rsid w:val="00023FCB"/>
    <w:rsid w:val="000249AF"/>
    <w:rsid w:val="000253C8"/>
    <w:rsid w:val="0002542F"/>
    <w:rsid w:val="0002611C"/>
    <w:rsid w:val="00026342"/>
    <w:rsid w:val="000265CF"/>
    <w:rsid w:val="000266A0"/>
    <w:rsid w:val="00026C1F"/>
    <w:rsid w:val="00027212"/>
    <w:rsid w:val="00027382"/>
    <w:rsid w:val="0002755C"/>
    <w:rsid w:val="000279F1"/>
    <w:rsid w:val="0002AA19"/>
    <w:rsid w:val="000307D7"/>
    <w:rsid w:val="00030929"/>
    <w:rsid w:val="00030C45"/>
    <w:rsid w:val="00031435"/>
    <w:rsid w:val="00031928"/>
    <w:rsid w:val="00031FD5"/>
    <w:rsid w:val="0003267A"/>
    <w:rsid w:val="000328F0"/>
    <w:rsid w:val="00032A7D"/>
    <w:rsid w:val="0003482F"/>
    <w:rsid w:val="0003582E"/>
    <w:rsid w:val="00035A06"/>
    <w:rsid w:val="00036267"/>
    <w:rsid w:val="00036C76"/>
    <w:rsid w:val="0003736D"/>
    <w:rsid w:val="000400EA"/>
    <w:rsid w:val="00040C41"/>
    <w:rsid w:val="00041225"/>
    <w:rsid w:val="0004248E"/>
    <w:rsid w:val="0004257B"/>
    <w:rsid w:val="00042A11"/>
    <w:rsid w:val="00042D1C"/>
    <w:rsid w:val="00043912"/>
    <w:rsid w:val="000439C2"/>
    <w:rsid w:val="00043C97"/>
    <w:rsid w:val="000440E7"/>
    <w:rsid w:val="0004459C"/>
    <w:rsid w:val="00044936"/>
    <w:rsid w:val="00044B00"/>
    <w:rsid w:val="00045C6B"/>
    <w:rsid w:val="000468F1"/>
    <w:rsid w:val="00046D4C"/>
    <w:rsid w:val="00046E59"/>
    <w:rsid w:val="000470DE"/>
    <w:rsid w:val="000478BD"/>
    <w:rsid w:val="00047D60"/>
    <w:rsid w:val="00047E68"/>
    <w:rsid w:val="000500BF"/>
    <w:rsid w:val="00050715"/>
    <w:rsid w:val="000507B4"/>
    <w:rsid w:val="00050DCF"/>
    <w:rsid w:val="00050F20"/>
    <w:rsid w:val="00051758"/>
    <w:rsid w:val="00051CF5"/>
    <w:rsid w:val="00052024"/>
    <w:rsid w:val="00053946"/>
    <w:rsid w:val="000539A4"/>
    <w:rsid w:val="0005444F"/>
    <w:rsid w:val="000551AA"/>
    <w:rsid w:val="00055BBD"/>
    <w:rsid w:val="00055E2A"/>
    <w:rsid w:val="000562D4"/>
    <w:rsid w:val="000566F7"/>
    <w:rsid w:val="00056E4B"/>
    <w:rsid w:val="00057DB6"/>
    <w:rsid w:val="00060AA0"/>
    <w:rsid w:val="00061597"/>
    <w:rsid w:val="000619DC"/>
    <w:rsid w:val="00061CA9"/>
    <w:rsid w:val="0006213D"/>
    <w:rsid w:val="00062239"/>
    <w:rsid w:val="00062456"/>
    <w:rsid w:val="0006260B"/>
    <w:rsid w:val="00062E8A"/>
    <w:rsid w:val="000638DF"/>
    <w:rsid w:val="00063B37"/>
    <w:rsid w:val="00064553"/>
    <w:rsid w:val="00064935"/>
    <w:rsid w:val="00064F19"/>
    <w:rsid w:val="000650F4"/>
    <w:rsid w:val="00065904"/>
    <w:rsid w:val="0006593B"/>
    <w:rsid w:val="00066114"/>
    <w:rsid w:val="00066435"/>
    <w:rsid w:val="0006664E"/>
    <w:rsid w:val="000668D0"/>
    <w:rsid w:val="00066D52"/>
    <w:rsid w:val="00066E11"/>
    <w:rsid w:val="0006E5E3"/>
    <w:rsid w:val="00070375"/>
    <w:rsid w:val="000713B5"/>
    <w:rsid w:val="000714B7"/>
    <w:rsid w:val="00072950"/>
    <w:rsid w:val="00072A45"/>
    <w:rsid w:val="00072C3A"/>
    <w:rsid w:val="00072CAA"/>
    <w:rsid w:val="00072CBA"/>
    <w:rsid w:val="00072CD7"/>
    <w:rsid w:val="00072E39"/>
    <w:rsid w:val="00073254"/>
    <w:rsid w:val="000737B7"/>
    <w:rsid w:val="00073AB3"/>
    <w:rsid w:val="00073B1F"/>
    <w:rsid w:val="00075280"/>
    <w:rsid w:val="0007580C"/>
    <w:rsid w:val="00075B18"/>
    <w:rsid w:val="00076F28"/>
    <w:rsid w:val="00077BAF"/>
    <w:rsid w:val="00077FEC"/>
    <w:rsid w:val="00080177"/>
    <w:rsid w:val="00080BC8"/>
    <w:rsid w:val="00081964"/>
    <w:rsid w:val="0008200E"/>
    <w:rsid w:val="00082C17"/>
    <w:rsid w:val="00083496"/>
    <w:rsid w:val="00084272"/>
    <w:rsid w:val="00084527"/>
    <w:rsid w:val="0008492F"/>
    <w:rsid w:val="00084AC7"/>
    <w:rsid w:val="0008552D"/>
    <w:rsid w:val="00086026"/>
    <w:rsid w:val="00086154"/>
    <w:rsid w:val="0008746F"/>
    <w:rsid w:val="0008780E"/>
    <w:rsid w:val="00087E64"/>
    <w:rsid w:val="00090A0F"/>
    <w:rsid w:val="00091A49"/>
    <w:rsid w:val="00091C95"/>
    <w:rsid w:val="0009271F"/>
    <w:rsid w:val="000928E2"/>
    <w:rsid w:val="00092B9D"/>
    <w:rsid w:val="00093A67"/>
    <w:rsid w:val="0009429D"/>
    <w:rsid w:val="0009453E"/>
    <w:rsid w:val="0009539E"/>
    <w:rsid w:val="00095A55"/>
    <w:rsid w:val="000966B7"/>
    <w:rsid w:val="00096BB3"/>
    <w:rsid w:val="00097636"/>
    <w:rsid w:val="000A168A"/>
    <w:rsid w:val="000A1720"/>
    <w:rsid w:val="000A18A0"/>
    <w:rsid w:val="000A195F"/>
    <w:rsid w:val="000A1A62"/>
    <w:rsid w:val="000A1CB7"/>
    <w:rsid w:val="000A1FFA"/>
    <w:rsid w:val="000A2DC2"/>
    <w:rsid w:val="000A2DFA"/>
    <w:rsid w:val="000A2EDF"/>
    <w:rsid w:val="000A32E9"/>
    <w:rsid w:val="000A39D2"/>
    <w:rsid w:val="000A3DFF"/>
    <w:rsid w:val="000A4B06"/>
    <w:rsid w:val="000A4BC0"/>
    <w:rsid w:val="000A6894"/>
    <w:rsid w:val="000A6DAD"/>
    <w:rsid w:val="000A6F9B"/>
    <w:rsid w:val="000A7312"/>
    <w:rsid w:val="000A739E"/>
    <w:rsid w:val="000A7620"/>
    <w:rsid w:val="000A7E07"/>
    <w:rsid w:val="000A7E93"/>
    <w:rsid w:val="000B0988"/>
    <w:rsid w:val="000B10E0"/>
    <w:rsid w:val="000B17BA"/>
    <w:rsid w:val="000B1C3E"/>
    <w:rsid w:val="000B2700"/>
    <w:rsid w:val="000B2B3F"/>
    <w:rsid w:val="000B2BE0"/>
    <w:rsid w:val="000B31DC"/>
    <w:rsid w:val="000B37AF"/>
    <w:rsid w:val="000B4A9C"/>
    <w:rsid w:val="000B4F2C"/>
    <w:rsid w:val="000B5572"/>
    <w:rsid w:val="000B6A26"/>
    <w:rsid w:val="000B7793"/>
    <w:rsid w:val="000B7A7D"/>
    <w:rsid w:val="000B7C8A"/>
    <w:rsid w:val="000C00FD"/>
    <w:rsid w:val="000C0443"/>
    <w:rsid w:val="000C0586"/>
    <w:rsid w:val="000C1773"/>
    <w:rsid w:val="000C1FDE"/>
    <w:rsid w:val="000C4525"/>
    <w:rsid w:val="000C46DE"/>
    <w:rsid w:val="000C4F66"/>
    <w:rsid w:val="000C50B5"/>
    <w:rsid w:val="000C5656"/>
    <w:rsid w:val="000C5B42"/>
    <w:rsid w:val="000C5E6D"/>
    <w:rsid w:val="000C64D8"/>
    <w:rsid w:val="000C6595"/>
    <w:rsid w:val="000C7CDD"/>
    <w:rsid w:val="000C7D0C"/>
    <w:rsid w:val="000D02C7"/>
    <w:rsid w:val="000D0750"/>
    <w:rsid w:val="000D07AF"/>
    <w:rsid w:val="000D0869"/>
    <w:rsid w:val="000D0B57"/>
    <w:rsid w:val="000D0BB3"/>
    <w:rsid w:val="000D0BCF"/>
    <w:rsid w:val="000D0FAF"/>
    <w:rsid w:val="000D10BC"/>
    <w:rsid w:val="000D14B4"/>
    <w:rsid w:val="000D1D0D"/>
    <w:rsid w:val="000D22FD"/>
    <w:rsid w:val="000D2897"/>
    <w:rsid w:val="000D28F5"/>
    <w:rsid w:val="000D3976"/>
    <w:rsid w:val="000D3E37"/>
    <w:rsid w:val="000D4C02"/>
    <w:rsid w:val="000D585A"/>
    <w:rsid w:val="000D58BC"/>
    <w:rsid w:val="000D6EC3"/>
    <w:rsid w:val="000D73EE"/>
    <w:rsid w:val="000D7A98"/>
    <w:rsid w:val="000E04B6"/>
    <w:rsid w:val="000E0AC1"/>
    <w:rsid w:val="000E0E11"/>
    <w:rsid w:val="000E0E57"/>
    <w:rsid w:val="000E118E"/>
    <w:rsid w:val="000E14C5"/>
    <w:rsid w:val="000E18B6"/>
    <w:rsid w:val="000E1D17"/>
    <w:rsid w:val="000E26D4"/>
    <w:rsid w:val="000E2893"/>
    <w:rsid w:val="000E330A"/>
    <w:rsid w:val="000E3C91"/>
    <w:rsid w:val="000E4C14"/>
    <w:rsid w:val="000E5443"/>
    <w:rsid w:val="000E5988"/>
    <w:rsid w:val="000E60DC"/>
    <w:rsid w:val="000E636C"/>
    <w:rsid w:val="000E6496"/>
    <w:rsid w:val="000E6808"/>
    <w:rsid w:val="000E731D"/>
    <w:rsid w:val="000F05F5"/>
    <w:rsid w:val="000F09F6"/>
    <w:rsid w:val="000F12BA"/>
    <w:rsid w:val="000F1413"/>
    <w:rsid w:val="000F16AB"/>
    <w:rsid w:val="000F1BD5"/>
    <w:rsid w:val="000F24FB"/>
    <w:rsid w:val="000F314C"/>
    <w:rsid w:val="000F47CA"/>
    <w:rsid w:val="000F47EB"/>
    <w:rsid w:val="000F4C8E"/>
    <w:rsid w:val="000F5238"/>
    <w:rsid w:val="000F5C61"/>
    <w:rsid w:val="000F6771"/>
    <w:rsid w:val="000F764D"/>
    <w:rsid w:val="001010A3"/>
    <w:rsid w:val="00101E23"/>
    <w:rsid w:val="00102AD1"/>
    <w:rsid w:val="001035A7"/>
    <w:rsid w:val="00103D59"/>
    <w:rsid w:val="00104065"/>
    <w:rsid w:val="0010482B"/>
    <w:rsid w:val="001050A3"/>
    <w:rsid w:val="001055C2"/>
    <w:rsid w:val="0010580E"/>
    <w:rsid w:val="00105B6C"/>
    <w:rsid w:val="001061B0"/>
    <w:rsid w:val="00106AF1"/>
    <w:rsid w:val="00107CE3"/>
    <w:rsid w:val="001101E3"/>
    <w:rsid w:val="00110726"/>
    <w:rsid w:val="00110DD2"/>
    <w:rsid w:val="00111DC7"/>
    <w:rsid w:val="001124AB"/>
    <w:rsid w:val="0011287E"/>
    <w:rsid w:val="001142B2"/>
    <w:rsid w:val="00114E49"/>
    <w:rsid w:val="001150B8"/>
    <w:rsid w:val="0011579A"/>
    <w:rsid w:val="00115D15"/>
    <w:rsid w:val="001168E6"/>
    <w:rsid w:val="00117FA3"/>
    <w:rsid w:val="00120147"/>
    <w:rsid w:val="0012018B"/>
    <w:rsid w:val="001201A7"/>
    <w:rsid w:val="0012044F"/>
    <w:rsid w:val="00120B95"/>
    <w:rsid w:val="00120FB0"/>
    <w:rsid w:val="00121498"/>
    <w:rsid w:val="00121667"/>
    <w:rsid w:val="00121674"/>
    <w:rsid w:val="00121A92"/>
    <w:rsid w:val="00121DEB"/>
    <w:rsid w:val="00122415"/>
    <w:rsid w:val="00122AB0"/>
    <w:rsid w:val="00122E4E"/>
    <w:rsid w:val="00122F47"/>
    <w:rsid w:val="00123667"/>
    <w:rsid w:val="0012423E"/>
    <w:rsid w:val="001250DD"/>
    <w:rsid w:val="00125107"/>
    <w:rsid w:val="0012531A"/>
    <w:rsid w:val="00125A7D"/>
    <w:rsid w:val="00125BA5"/>
    <w:rsid w:val="00125DFA"/>
    <w:rsid w:val="00125EC4"/>
    <w:rsid w:val="001264CA"/>
    <w:rsid w:val="00127E68"/>
    <w:rsid w:val="00130275"/>
    <w:rsid w:val="0013039D"/>
    <w:rsid w:val="00130455"/>
    <w:rsid w:val="0013112E"/>
    <w:rsid w:val="0013152C"/>
    <w:rsid w:val="0013170B"/>
    <w:rsid w:val="0013188C"/>
    <w:rsid w:val="00131ED6"/>
    <w:rsid w:val="00131FCC"/>
    <w:rsid w:val="0013210B"/>
    <w:rsid w:val="001325AA"/>
    <w:rsid w:val="00132952"/>
    <w:rsid w:val="00132AFC"/>
    <w:rsid w:val="00132BB4"/>
    <w:rsid w:val="00132DCF"/>
    <w:rsid w:val="001337D4"/>
    <w:rsid w:val="00133AC3"/>
    <w:rsid w:val="001344A8"/>
    <w:rsid w:val="00135DA6"/>
    <w:rsid w:val="00135F7F"/>
    <w:rsid w:val="0013682A"/>
    <w:rsid w:val="00136BD1"/>
    <w:rsid w:val="00136D7D"/>
    <w:rsid w:val="00136DBA"/>
    <w:rsid w:val="00136EA2"/>
    <w:rsid w:val="0013704F"/>
    <w:rsid w:val="0013711A"/>
    <w:rsid w:val="00137155"/>
    <w:rsid w:val="001373C9"/>
    <w:rsid w:val="001376ED"/>
    <w:rsid w:val="00137952"/>
    <w:rsid w:val="00140BC1"/>
    <w:rsid w:val="00140BE1"/>
    <w:rsid w:val="001415F8"/>
    <w:rsid w:val="00141730"/>
    <w:rsid w:val="00141CD9"/>
    <w:rsid w:val="001421CE"/>
    <w:rsid w:val="00142306"/>
    <w:rsid w:val="00142C14"/>
    <w:rsid w:val="0014330A"/>
    <w:rsid w:val="00143EAD"/>
    <w:rsid w:val="00144450"/>
    <w:rsid w:val="00145B98"/>
    <w:rsid w:val="00145C35"/>
    <w:rsid w:val="00145E5F"/>
    <w:rsid w:val="00146C84"/>
    <w:rsid w:val="001471DB"/>
    <w:rsid w:val="0015024E"/>
    <w:rsid w:val="00150468"/>
    <w:rsid w:val="00150D04"/>
    <w:rsid w:val="00151102"/>
    <w:rsid w:val="0015179B"/>
    <w:rsid w:val="00151A9C"/>
    <w:rsid w:val="00151BE6"/>
    <w:rsid w:val="00151C11"/>
    <w:rsid w:val="00151F3B"/>
    <w:rsid w:val="00152894"/>
    <w:rsid w:val="001532FB"/>
    <w:rsid w:val="001533F0"/>
    <w:rsid w:val="001534EC"/>
    <w:rsid w:val="001535C5"/>
    <w:rsid w:val="00153772"/>
    <w:rsid w:val="0015391D"/>
    <w:rsid w:val="00154306"/>
    <w:rsid w:val="00154AC2"/>
    <w:rsid w:val="00154D8B"/>
    <w:rsid w:val="00154FFF"/>
    <w:rsid w:val="0015522D"/>
    <w:rsid w:val="00156B2D"/>
    <w:rsid w:val="00156CA4"/>
    <w:rsid w:val="001607BD"/>
    <w:rsid w:val="001608DA"/>
    <w:rsid w:val="00161975"/>
    <w:rsid w:val="00162597"/>
    <w:rsid w:val="00162B2D"/>
    <w:rsid w:val="001636C4"/>
    <w:rsid w:val="0016392B"/>
    <w:rsid w:val="001640D0"/>
    <w:rsid w:val="0016437E"/>
    <w:rsid w:val="00164ADD"/>
    <w:rsid w:val="00165B0E"/>
    <w:rsid w:val="00165C92"/>
    <w:rsid w:val="00166536"/>
    <w:rsid w:val="00166E19"/>
    <w:rsid w:val="00166F7F"/>
    <w:rsid w:val="001678BC"/>
    <w:rsid w:val="00167CF6"/>
    <w:rsid w:val="00170773"/>
    <w:rsid w:val="00170A4C"/>
    <w:rsid w:val="001710C4"/>
    <w:rsid w:val="00171464"/>
    <w:rsid w:val="00171BB4"/>
    <w:rsid w:val="001720CC"/>
    <w:rsid w:val="001721D8"/>
    <w:rsid w:val="001727DD"/>
    <w:rsid w:val="0017283D"/>
    <w:rsid w:val="00172A38"/>
    <w:rsid w:val="0017333B"/>
    <w:rsid w:val="001734FA"/>
    <w:rsid w:val="00173C6B"/>
    <w:rsid w:val="00174D55"/>
    <w:rsid w:val="001762B0"/>
    <w:rsid w:val="001762CA"/>
    <w:rsid w:val="001762E2"/>
    <w:rsid w:val="00176811"/>
    <w:rsid w:val="0017755B"/>
    <w:rsid w:val="001777F1"/>
    <w:rsid w:val="00180111"/>
    <w:rsid w:val="00180E01"/>
    <w:rsid w:val="0018144A"/>
    <w:rsid w:val="00181D00"/>
    <w:rsid w:val="001820BE"/>
    <w:rsid w:val="00182696"/>
    <w:rsid w:val="00182E2A"/>
    <w:rsid w:val="00182F44"/>
    <w:rsid w:val="00182F6F"/>
    <w:rsid w:val="001833BF"/>
    <w:rsid w:val="0018361A"/>
    <w:rsid w:val="00184131"/>
    <w:rsid w:val="0018432F"/>
    <w:rsid w:val="00184747"/>
    <w:rsid w:val="00184E8B"/>
    <w:rsid w:val="001850D8"/>
    <w:rsid w:val="001857BA"/>
    <w:rsid w:val="001858EB"/>
    <w:rsid w:val="00185A04"/>
    <w:rsid w:val="00186939"/>
    <w:rsid w:val="00187853"/>
    <w:rsid w:val="00190A4B"/>
    <w:rsid w:val="001910E3"/>
    <w:rsid w:val="0019310E"/>
    <w:rsid w:val="0019340F"/>
    <w:rsid w:val="001940EC"/>
    <w:rsid w:val="00194424"/>
    <w:rsid w:val="00194672"/>
    <w:rsid w:val="00194721"/>
    <w:rsid w:val="0019510B"/>
    <w:rsid w:val="00195F2A"/>
    <w:rsid w:val="00196AAF"/>
    <w:rsid w:val="00196ECE"/>
    <w:rsid w:val="001976F3"/>
    <w:rsid w:val="00197DF6"/>
    <w:rsid w:val="001A10FE"/>
    <w:rsid w:val="001A1304"/>
    <w:rsid w:val="001A2BAC"/>
    <w:rsid w:val="001A2FE0"/>
    <w:rsid w:val="001A3547"/>
    <w:rsid w:val="001A3A7D"/>
    <w:rsid w:val="001A3D8B"/>
    <w:rsid w:val="001A3FB2"/>
    <w:rsid w:val="001A413C"/>
    <w:rsid w:val="001A4976"/>
    <w:rsid w:val="001A4AA1"/>
    <w:rsid w:val="001A540D"/>
    <w:rsid w:val="001A5873"/>
    <w:rsid w:val="001A5B46"/>
    <w:rsid w:val="001A64E5"/>
    <w:rsid w:val="001A7A44"/>
    <w:rsid w:val="001A7B94"/>
    <w:rsid w:val="001A7BD5"/>
    <w:rsid w:val="001B1377"/>
    <w:rsid w:val="001B169F"/>
    <w:rsid w:val="001B16E1"/>
    <w:rsid w:val="001B2D77"/>
    <w:rsid w:val="001B3586"/>
    <w:rsid w:val="001B4CAE"/>
    <w:rsid w:val="001B4F7C"/>
    <w:rsid w:val="001B592B"/>
    <w:rsid w:val="001B6FF5"/>
    <w:rsid w:val="001C08EB"/>
    <w:rsid w:val="001C0DB8"/>
    <w:rsid w:val="001C0E8A"/>
    <w:rsid w:val="001C167A"/>
    <w:rsid w:val="001C16E0"/>
    <w:rsid w:val="001C1DCE"/>
    <w:rsid w:val="001C227C"/>
    <w:rsid w:val="001C239E"/>
    <w:rsid w:val="001C2B95"/>
    <w:rsid w:val="001C2BE2"/>
    <w:rsid w:val="001C33D8"/>
    <w:rsid w:val="001C36C2"/>
    <w:rsid w:val="001C3A21"/>
    <w:rsid w:val="001C3ACA"/>
    <w:rsid w:val="001C3BA5"/>
    <w:rsid w:val="001C478D"/>
    <w:rsid w:val="001C4E5D"/>
    <w:rsid w:val="001C506A"/>
    <w:rsid w:val="001C64C3"/>
    <w:rsid w:val="001C699E"/>
    <w:rsid w:val="001C7253"/>
    <w:rsid w:val="001C77B7"/>
    <w:rsid w:val="001D04BD"/>
    <w:rsid w:val="001D06F7"/>
    <w:rsid w:val="001D0B8C"/>
    <w:rsid w:val="001D1146"/>
    <w:rsid w:val="001D12ED"/>
    <w:rsid w:val="001D1C40"/>
    <w:rsid w:val="001D1F52"/>
    <w:rsid w:val="001D284C"/>
    <w:rsid w:val="001D3913"/>
    <w:rsid w:val="001D3A9B"/>
    <w:rsid w:val="001D426A"/>
    <w:rsid w:val="001D5FCC"/>
    <w:rsid w:val="001D730B"/>
    <w:rsid w:val="001D768B"/>
    <w:rsid w:val="001E0EE9"/>
    <w:rsid w:val="001E0FC9"/>
    <w:rsid w:val="001E1D14"/>
    <w:rsid w:val="001E2115"/>
    <w:rsid w:val="001E26BC"/>
    <w:rsid w:val="001E2AE9"/>
    <w:rsid w:val="001E2DC8"/>
    <w:rsid w:val="001E3587"/>
    <w:rsid w:val="001E3E4E"/>
    <w:rsid w:val="001E400C"/>
    <w:rsid w:val="001E4432"/>
    <w:rsid w:val="001E4F6B"/>
    <w:rsid w:val="001E798F"/>
    <w:rsid w:val="001E7CD5"/>
    <w:rsid w:val="001F00FD"/>
    <w:rsid w:val="001F0205"/>
    <w:rsid w:val="001F10EF"/>
    <w:rsid w:val="001F2CBC"/>
    <w:rsid w:val="001F2F6B"/>
    <w:rsid w:val="001F364B"/>
    <w:rsid w:val="001F3B4D"/>
    <w:rsid w:val="001F3C58"/>
    <w:rsid w:val="001F3F70"/>
    <w:rsid w:val="001F400B"/>
    <w:rsid w:val="001F40B6"/>
    <w:rsid w:val="001F481F"/>
    <w:rsid w:val="001F4998"/>
    <w:rsid w:val="001F5613"/>
    <w:rsid w:val="001F5774"/>
    <w:rsid w:val="001F5D3E"/>
    <w:rsid w:val="001F71D2"/>
    <w:rsid w:val="001F7580"/>
    <w:rsid w:val="001F77F1"/>
    <w:rsid w:val="002003F8"/>
    <w:rsid w:val="0020060F"/>
    <w:rsid w:val="002025A1"/>
    <w:rsid w:val="00204004"/>
    <w:rsid w:val="00204032"/>
    <w:rsid w:val="002046C9"/>
    <w:rsid w:val="00204B9E"/>
    <w:rsid w:val="00204FDF"/>
    <w:rsid w:val="002069B9"/>
    <w:rsid w:val="002073A5"/>
    <w:rsid w:val="00207BD9"/>
    <w:rsid w:val="002105C3"/>
    <w:rsid w:val="00211333"/>
    <w:rsid w:val="00211913"/>
    <w:rsid w:val="00211A8E"/>
    <w:rsid w:val="00211FBE"/>
    <w:rsid w:val="00214566"/>
    <w:rsid w:val="0021481C"/>
    <w:rsid w:val="00214976"/>
    <w:rsid w:val="00214C24"/>
    <w:rsid w:val="00214D3A"/>
    <w:rsid w:val="00214E36"/>
    <w:rsid w:val="00215385"/>
    <w:rsid w:val="002156D7"/>
    <w:rsid w:val="00215C2B"/>
    <w:rsid w:val="002169E8"/>
    <w:rsid w:val="00216B9C"/>
    <w:rsid w:val="00216C2C"/>
    <w:rsid w:val="00216CC4"/>
    <w:rsid w:val="00216F2B"/>
    <w:rsid w:val="002170E4"/>
    <w:rsid w:val="002202D1"/>
    <w:rsid w:val="00220356"/>
    <w:rsid w:val="00220CC4"/>
    <w:rsid w:val="00221C5B"/>
    <w:rsid w:val="00222039"/>
    <w:rsid w:val="00222E4B"/>
    <w:rsid w:val="00223E19"/>
    <w:rsid w:val="002246B9"/>
    <w:rsid w:val="00224A4E"/>
    <w:rsid w:val="0022525D"/>
    <w:rsid w:val="0022671B"/>
    <w:rsid w:val="00226FD4"/>
    <w:rsid w:val="002270C1"/>
    <w:rsid w:val="002271F4"/>
    <w:rsid w:val="00227694"/>
    <w:rsid w:val="0023013D"/>
    <w:rsid w:val="00231534"/>
    <w:rsid w:val="00231B0B"/>
    <w:rsid w:val="00231E46"/>
    <w:rsid w:val="0023252D"/>
    <w:rsid w:val="002328F8"/>
    <w:rsid w:val="00232E59"/>
    <w:rsid w:val="0023336E"/>
    <w:rsid w:val="002333D6"/>
    <w:rsid w:val="00234B6E"/>
    <w:rsid w:val="0023631F"/>
    <w:rsid w:val="00236AB9"/>
    <w:rsid w:val="00236AF1"/>
    <w:rsid w:val="002371A8"/>
    <w:rsid w:val="0023783C"/>
    <w:rsid w:val="002401E8"/>
    <w:rsid w:val="0024031B"/>
    <w:rsid w:val="00240570"/>
    <w:rsid w:val="00240BE2"/>
    <w:rsid w:val="0024130E"/>
    <w:rsid w:val="00241C27"/>
    <w:rsid w:val="00241F15"/>
    <w:rsid w:val="00242EAC"/>
    <w:rsid w:val="0024328C"/>
    <w:rsid w:val="00243298"/>
    <w:rsid w:val="002432B6"/>
    <w:rsid w:val="00243DAA"/>
    <w:rsid w:val="00243F05"/>
    <w:rsid w:val="00244922"/>
    <w:rsid w:val="002465E3"/>
    <w:rsid w:val="00246731"/>
    <w:rsid w:val="00247760"/>
    <w:rsid w:val="002504FC"/>
    <w:rsid w:val="00250A5E"/>
    <w:rsid w:val="002512D6"/>
    <w:rsid w:val="00251323"/>
    <w:rsid w:val="002522E3"/>
    <w:rsid w:val="00252615"/>
    <w:rsid w:val="00252756"/>
    <w:rsid w:val="00252966"/>
    <w:rsid w:val="00252E06"/>
    <w:rsid w:val="002531EC"/>
    <w:rsid w:val="00253447"/>
    <w:rsid w:val="0025367B"/>
    <w:rsid w:val="00253D34"/>
    <w:rsid w:val="00253D66"/>
    <w:rsid w:val="00253FC5"/>
    <w:rsid w:val="00254053"/>
    <w:rsid w:val="00254924"/>
    <w:rsid w:val="00254DC4"/>
    <w:rsid w:val="002552F4"/>
    <w:rsid w:val="0025591C"/>
    <w:rsid w:val="00255DB0"/>
    <w:rsid w:val="002565F6"/>
    <w:rsid w:val="00256C2C"/>
    <w:rsid w:val="0025756E"/>
    <w:rsid w:val="0025769F"/>
    <w:rsid w:val="00257961"/>
    <w:rsid w:val="00260190"/>
    <w:rsid w:val="00260283"/>
    <w:rsid w:val="002605E9"/>
    <w:rsid w:val="00260760"/>
    <w:rsid w:val="0026159B"/>
    <w:rsid w:val="0026206C"/>
    <w:rsid w:val="00262384"/>
    <w:rsid w:val="00262993"/>
    <w:rsid w:val="00263644"/>
    <w:rsid w:val="00263D76"/>
    <w:rsid w:val="00265F44"/>
    <w:rsid w:val="002664BC"/>
    <w:rsid w:val="00266684"/>
    <w:rsid w:val="002667A9"/>
    <w:rsid w:val="002668AD"/>
    <w:rsid w:val="00266C22"/>
    <w:rsid w:val="00267564"/>
    <w:rsid w:val="00267C66"/>
    <w:rsid w:val="00270846"/>
    <w:rsid w:val="002709E0"/>
    <w:rsid w:val="002710D9"/>
    <w:rsid w:val="00271BF9"/>
    <w:rsid w:val="0027211A"/>
    <w:rsid w:val="00272E12"/>
    <w:rsid w:val="00273A0A"/>
    <w:rsid w:val="00273ED4"/>
    <w:rsid w:val="00274319"/>
    <w:rsid w:val="00274EA5"/>
    <w:rsid w:val="00276136"/>
    <w:rsid w:val="00276363"/>
    <w:rsid w:val="002776AA"/>
    <w:rsid w:val="00277A52"/>
    <w:rsid w:val="002806CA"/>
    <w:rsid w:val="00280BEA"/>
    <w:rsid w:val="002812A4"/>
    <w:rsid w:val="00281559"/>
    <w:rsid w:val="00281D3B"/>
    <w:rsid w:val="00282760"/>
    <w:rsid w:val="00282A43"/>
    <w:rsid w:val="00282BA1"/>
    <w:rsid w:val="002831C7"/>
    <w:rsid w:val="00284531"/>
    <w:rsid w:val="00284FF9"/>
    <w:rsid w:val="00285ACA"/>
    <w:rsid w:val="002867AB"/>
    <w:rsid w:val="00286BE6"/>
    <w:rsid w:val="00287405"/>
    <w:rsid w:val="002876FD"/>
    <w:rsid w:val="00287A2B"/>
    <w:rsid w:val="00287A65"/>
    <w:rsid w:val="00287AF9"/>
    <w:rsid w:val="00287C04"/>
    <w:rsid w:val="00287F1F"/>
    <w:rsid w:val="00287FEA"/>
    <w:rsid w:val="002900BF"/>
    <w:rsid w:val="00290374"/>
    <w:rsid w:val="002909CF"/>
    <w:rsid w:val="00291182"/>
    <w:rsid w:val="0029142F"/>
    <w:rsid w:val="00291E2E"/>
    <w:rsid w:val="00291ED7"/>
    <w:rsid w:val="00292340"/>
    <w:rsid w:val="002923BF"/>
    <w:rsid w:val="00292AFB"/>
    <w:rsid w:val="00292FFE"/>
    <w:rsid w:val="00293C6C"/>
    <w:rsid w:val="002941C3"/>
    <w:rsid w:val="0029446C"/>
    <w:rsid w:val="0029459E"/>
    <w:rsid w:val="00295610"/>
    <w:rsid w:val="0029592D"/>
    <w:rsid w:val="0029604F"/>
    <w:rsid w:val="002964C8"/>
    <w:rsid w:val="002966D4"/>
    <w:rsid w:val="00296802"/>
    <w:rsid w:val="002A1013"/>
    <w:rsid w:val="002A1E40"/>
    <w:rsid w:val="002A204D"/>
    <w:rsid w:val="002A2317"/>
    <w:rsid w:val="002A32C6"/>
    <w:rsid w:val="002A3908"/>
    <w:rsid w:val="002A431C"/>
    <w:rsid w:val="002A4650"/>
    <w:rsid w:val="002A4AB9"/>
    <w:rsid w:val="002A5880"/>
    <w:rsid w:val="002A5C9D"/>
    <w:rsid w:val="002A6755"/>
    <w:rsid w:val="002A6CFE"/>
    <w:rsid w:val="002A72E3"/>
    <w:rsid w:val="002A7996"/>
    <w:rsid w:val="002A7B92"/>
    <w:rsid w:val="002A7F8C"/>
    <w:rsid w:val="002B024B"/>
    <w:rsid w:val="002B0649"/>
    <w:rsid w:val="002B07C9"/>
    <w:rsid w:val="002B08AF"/>
    <w:rsid w:val="002B09BF"/>
    <w:rsid w:val="002B0ED1"/>
    <w:rsid w:val="002B12D4"/>
    <w:rsid w:val="002B2633"/>
    <w:rsid w:val="002B296B"/>
    <w:rsid w:val="002B3059"/>
    <w:rsid w:val="002B30DA"/>
    <w:rsid w:val="002B31B9"/>
    <w:rsid w:val="002B4BCC"/>
    <w:rsid w:val="002B4EED"/>
    <w:rsid w:val="002B59E8"/>
    <w:rsid w:val="002B6637"/>
    <w:rsid w:val="002B69EB"/>
    <w:rsid w:val="002B6F7E"/>
    <w:rsid w:val="002B7745"/>
    <w:rsid w:val="002B794B"/>
    <w:rsid w:val="002B7D7C"/>
    <w:rsid w:val="002C0440"/>
    <w:rsid w:val="002C073C"/>
    <w:rsid w:val="002C11BF"/>
    <w:rsid w:val="002C21E6"/>
    <w:rsid w:val="002C257E"/>
    <w:rsid w:val="002C385C"/>
    <w:rsid w:val="002C3AE1"/>
    <w:rsid w:val="002C3EAE"/>
    <w:rsid w:val="002C40C7"/>
    <w:rsid w:val="002C438F"/>
    <w:rsid w:val="002C462C"/>
    <w:rsid w:val="002C482C"/>
    <w:rsid w:val="002C491A"/>
    <w:rsid w:val="002C4ED7"/>
    <w:rsid w:val="002C5099"/>
    <w:rsid w:val="002C52F9"/>
    <w:rsid w:val="002C537C"/>
    <w:rsid w:val="002C5613"/>
    <w:rsid w:val="002C5B89"/>
    <w:rsid w:val="002C5EDE"/>
    <w:rsid w:val="002C5F5B"/>
    <w:rsid w:val="002C6DF6"/>
    <w:rsid w:val="002C7136"/>
    <w:rsid w:val="002C737A"/>
    <w:rsid w:val="002C7601"/>
    <w:rsid w:val="002C7F0B"/>
    <w:rsid w:val="002D1369"/>
    <w:rsid w:val="002D20E4"/>
    <w:rsid w:val="002D2603"/>
    <w:rsid w:val="002D26A3"/>
    <w:rsid w:val="002D2716"/>
    <w:rsid w:val="002D2EEF"/>
    <w:rsid w:val="002D34A2"/>
    <w:rsid w:val="002D4465"/>
    <w:rsid w:val="002D51E3"/>
    <w:rsid w:val="002D5B77"/>
    <w:rsid w:val="002D62A2"/>
    <w:rsid w:val="002D62CD"/>
    <w:rsid w:val="002D6F97"/>
    <w:rsid w:val="002D7C53"/>
    <w:rsid w:val="002D7FA8"/>
    <w:rsid w:val="002E067F"/>
    <w:rsid w:val="002E0954"/>
    <w:rsid w:val="002E26B2"/>
    <w:rsid w:val="002E2D64"/>
    <w:rsid w:val="002E359D"/>
    <w:rsid w:val="002E3A68"/>
    <w:rsid w:val="002E3D14"/>
    <w:rsid w:val="002E4D57"/>
    <w:rsid w:val="002E5A7C"/>
    <w:rsid w:val="002E6756"/>
    <w:rsid w:val="002E6BDB"/>
    <w:rsid w:val="002E6FE3"/>
    <w:rsid w:val="002E775C"/>
    <w:rsid w:val="002E7BB0"/>
    <w:rsid w:val="002E7D06"/>
    <w:rsid w:val="002F028B"/>
    <w:rsid w:val="002F088C"/>
    <w:rsid w:val="002F0DEE"/>
    <w:rsid w:val="002F1691"/>
    <w:rsid w:val="002F1AF0"/>
    <w:rsid w:val="002F1B90"/>
    <w:rsid w:val="002F1E23"/>
    <w:rsid w:val="002F2C4A"/>
    <w:rsid w:val="002F2E9F"/>
    <w:rsid w:val="002F3352"/>
    <w:rsid w:val="002F358C"/>
    <w:rsid w:val="002F36F4"/>
    <w:rsid w:val="002F3736"/>
    <w:rsid w:val="002F4064"/>
    <w:rsid w:val="002F4C3C"/>
    <w:rsid w:val="002F51D5"/>
    <w:rsid w:val="002F529B"/>
    <w:rsid w:val="002F5765"/>
    <w:rsid w:val="002F5C39"/>
    <w:rsid w:val="002F5CF7"/>
    <w:rsid w:val="002F6EF5"/>
    <w:rsid w:val="002F7587"/>
    <w:rsid w:val="00300227"/>
    <w:rsid w:val="003003F5"/>
    <w:rsid w:val="00300734"/>
    <w:rsid w:val="00301116"/>
    <w:rsid w:val="00301176"/>
    <w:rsid w:val="003014A6"/>
    <w:rsid w:val="00301507"/>
    <w:rsid w:val="003027AB"/>
    <w:rsid w:val="00303751"/>
    <w:rsid w:val="00304742"/>
    <w:rsid w:val="00304A0C"/>
    <w:rsid w:val="00305261"/>
    <w:rsid w:val="003058F7"/>
    <w:rsid w:val="0030594C"/>
    <w:rsid w:val="0030601B"/>
    <w:rsid w:val="003071D9"/>
    <w:rsid w:val="003072BE"/>
    <w:rsid w:val="00311944"/>
    <w:rsid w:val="003119DE"/>
    <w:rsid w:val="00311B21"/>
    <w:rsid w:val="00312D98"/>
    <w:rsid w:val="003135E7"/>
    <w:rsid w:val="00313877"/>
    <w:rsid w:val="00314243"/>
    <w:rsid w:val="003146C7"/>
    <w:rsid w:val="00314AA8"/>
    <w:rsid w:val="00314B3A"/>
    <w:rsid w:val="00314F5B"/>
    <w:rsid w:val="0031507F"/>
    <w:rsid w:val="003157D7"/>
    <w:rsid w:val="00315E45"/>
    <w:rsid w:val="003162D3"/>
    <w:rsid w:val="003169C0"/>
    <w:rsid w:val="00317AF6"/>
    <w:rsid w:val="0031A650"/>
    <w:rsid w:val="003209D8"/>
    <w:rsid w:val="00321032"/>
    <w:rsid w:val="00321F26"/>
    <w:rsid w:val="0032202B"/>
    <w:rsid w:val="00322143"/>
    <w:rsid w:val="00322224"/>
    <w:rsid w:val="00322340"/>
    <w:rsid w:val="00322ECE"/>
    <w:rsid w:val="0032310C"/>
    <w:rsid w:val="0032412F"/>
    <w:rsid w:val="00324A04"/>
    <w:rsid w:val="00324CD5"/>
    <w:rsid w:val="00325502"/>
    <w:rsid w:val="00325AB7"/>
    <w:rsid w:val="00326A60"/>
    <w:rsid w:val="00327775"/>
    <w:rsid w:val="0032CF96"/>
    <w:rsid w:val="00330669"/>
    <w:rsid w:val="00330C66"/>
    <w:rsid w:val="00330E5B"/>
    <w:rsid w:val="003315E1"/>
    <w:rsid w:val="0033182D"/>
    <w:rsid w:val="003325C3"/>
    <w:rsid w:val="00332DA3"/>
    <w:rsid w:val="0033372A"/>
    <w:rsid w:val="00334A32"/>
    <w:rsid w:val="003350FC"/>
    <w:rsid w:val="00335213"/>
    <w:rsid w:val="00335235"/>
    <w:rsid w:val="00335662"/>
    <w:rsid w:val="00335D16"/>
    <w:rsid w:val="00335E18"/>
    <w:rsid w:val="003368CC"/>
    <w:rsid w:val="00336A49"/>
    <w:rsid w:val="00337C93"/>
    <w:rsid w:val="00340EE9"/>
    <w:rsid w:val="00341362"/>
    <w:rsid w:val="00341C11"/>
    <w:rsid w:val="00341DE2"/>
    <w:rsid w:val="00341E44"/>
    <w:rsid w:val="00342163"/>
    <w:rsid w:val="00342230"/>
    <w:rsid w:val="0034347E"/>
    <w:rsid w:val="00343863"/>
    <w:rsid w:val="00345605"/>
    <w:rsid w:val="003457F6"/>
    <w:rsid w:val="00345FF5"/>
    <w:rsid w:val="003511FD"/>
    <w:rsid w:val="003514AA"/>
    <w:rsid w:val="00352B2E"/>
    <w:rsid w:val="00353CBA"/>
    <w:rsid w:val="00353CF6"/>
    <w:rsid w:val="00353FD8"/>
    <w:rsid w:val="00354070"/>
    <w:rsid w:val="00354868"/>
    <w:rsid w:val="0035497B"/>
    <w:rsid w:val="003556D2"/>
    <w:rsid w:val="00355737"/>
    <w:rsid w:val="00355861"/>
    <w:rsid w:val="00355E72"/>
    <w:rsid w:val="003561C3"/>
    <w:rsid w:val="003566E5"/>
    <w:rsid w:val="003576A0"/>
    <w:rsid w:val="003577E4"/>
    <w:rsid w:val="00357955"/>
    <w:rsid w:val="00360124"/>
    <w:rsid w:val="003611A7"/>
    <w:rsid w:val="0036296F"/>
    <w:rsid w:val="00363819"/>
    <w:rsid w:val="00363F60"/>
    <w:rsid w:val="00363FF0"/>
    <w:rsid w:val="00364823"/>
    <w:rsid w:val="00364C97"/>
    <w:rsid w:val="00365CA2"/>
    <w:rsid w:val="00365DB6"/>
    <w:rsid w:val="00366EB0"/>
    <w:rsid w:val="00367B9D"/>
    <w:rsid w:val="00367D16"/>
    <w:rsid w:val="003705AF"/>
    <w:rsid w:val="003706AC"/>
    <w:rsid w:val="003708C5"/>
    <w:rsid w:val="00371415"/>
    <w:rsid w:val="00371E43"/>
    <w:rsid w:val="00371FA5"/>
    <w:rsid w:val="003726A8"/>
    <w:rsid w:val="003731E1"/>
    <w:rsid w:val="0037330B"/>
    <w:rsid w:val="00373555"/>
    <w:rsid w:val="00374391"/>
    <w:rsid w:val="003747BF"/>
    <w:rsid w:val="00374FA7"/>
    <w:rsid w:val="003756C7"/>
    <w:rsid w:val="00375E7D"/>
    <w:rsid w:val="0037617C"/>
    <w:rsid w:val="003764C4"/>
    <w:rsid w:val="0037755B"/>
    <w:rsid w:val="00377AC6"/>
    <w:rsid w:val="00380217"/>
    <w:rsid w:val="003804DD"/>
    <w:rsid w:val="003807A6"/>
    <w:rsid w:val="00381003"/>
    <w:rsid w:val="003825A5"/>
    <w:rsid w:val="003834A6"/>
    <w:rsid w:val="003835DD"/>
    <w:rsid w:val="00383943"/>
    <w:rsid w:val="0038439E"/>
    <w:rsid w:val="003849AE"/>
    <w:rsid w:val="003853F5"/>
    <w:rsid w:val="003855EA"/>
    <w:rsid w:val="00385B77"/>
    <w:rsid w:val="00386358"/>
    <w:rsid w:val="00386679"/>
    <w:rsid w:val="00390135"/>
    <w:rsid w:val="00390544"/>
    <w:rsid w:val="00391048"/>
    <w:rsid w:val="00392D84"/>
    <w:rsid w:val="00394922"/>
    <w:rsid w:val="00394DF3"/>
    <w:rsid w:val="00395002"/>
    <w:rsid w:val="0039527A"/>
    <w:rsid w:val="0039589B"/>
    <w:rsid w:val="00395B4B"/>
    <w:rsid w:val="0039667F"/>
    <w:rsid w:val="0039696C"/>
    <w:rsid w:val="00396ACD"/>
    <w:rsid w:val="003971A1"/>
    <w:rsid w:val="003972C2"/>
    <w:rsid w:val="00397761"/>
    <w:rsid w:val="00397C26"/>
    <w:rsid w:val="003A059D"/>
    <w:rsid w:val="003A0CB1"/>
    <w:rsid w:val="003A1A73"/>
    <w:rsid w:val="003A1AD2"/>
    <w:rsid w:val="003A1CB3"/>
    <w:rsid w:val="003A1F91"/>
    <w:rsid w:val="003A20E7"/>
    <w:rsid w:val="003A225C"/>
    <w:rsid w:val="003A2316"/>
    <w:rsid w:val="003A2F2A"/>
    <w:rsid w:val="003A2F66"/>
    <w:rsid w:val="003A48BE"/>
    <w:rsid w:val="003A4A1A"/>
    <w:rsid w:val="003A5421"/>
    <w:rsid w:val="003A587A"/>
    <w:rsid w:val="003A59B5"/>
    <w:rsid w:val="003A5F45"/>
    <w:rsid w:val="003A6D69"/>
    <w:rsid w:val="003A72DA"/>
    <w:rsid w:val="003A7603"/>
    <w:rsid w:val="003A7764"/>
    <w:rsid w:val="003A7900"/>
    <w:rsid w:val="003B025E"/>
    <w:rsid w:val="003B111D"/>
    <w:rsid w:val="003B11F4"/>
    <w:rsid w:val="003B1A78"/>
    <w:rsid w:val="003B1EF9"/>
    <w:rsid w:val="003B211D"/>
    <w:rsid w:val="003B221C"/>
    <w:rsid w:val="003B2E98"/>
    <w:rsid w:val="003B3364"/>
    <w:rsid w:val="003B3455"/>
    <w:rsid w:val="003B35FE"/>
    <w:rsid w:val="003B39C2"/>
    <w:rsid w:val="003B39F8"/>
    <w:rsid w:val="003B4ABA"/>
    <w:rsid w:val="003B4DF2"/>
    <w:rsid w:val="003B5B90"/>
    <w:rsid w:val="003B5DDA"/>
    <w:rsid w:val="003B7292"/>
    <w:rsid w:val="003B7820"/>
    <w:rsid w:val="003C0AAC"/>
    <w:rsid w:val="003C1FC8"/>
    <w:rsid w:val="003C1FF2"/>
    <w:rsid w:val="003C22C3"/>
    <w:rsid w:val="003C2A27"/>
    <w:rsid w:val="003C401C"/>
    <w:rsid w:val="003C5656"/>
    <w:rsid w:val="003C6661"/>
    <w:rsid w:val="003D05EF"/>
    <w:rsid w:val="003D06A9"/>
    <w:rsid w:val="003D0D23"/>
    <w:rsid w:val="003D2015"/>
    <w:rsid w:val="003D21E6"/>
    <w:rsid w:val="003D239C"/>
    <w:rsid w:val="003D2675"/>
    <w:rsid w:val="003D2A59"/>
    <w:rsid w:val="003D4225"/>
    <w:rsid w:val="003D4735"/>
    <w:rsid w:val="003D4741"/>
    <w:rsid w:val="003D485F"/>
    <w:rsid w:val="003D4EA3"/>
    <w:rsid w:val="003D5AF3"/>
    <w:rsid w:val="003D5F73"/>
    <w:rsid w:val="003D65C8"/>
    <w:rsid w:val="003D690B"/>
    <w:rsid w:val="003D6EDF"/>
    <w:rsid w:val="003D73B1"/>
    <w:rsid w:val="003D75BF"/>
    <w:rsid w:val="003E004B"/>
    <w:rsid w:val="003E02F4"/>
    <w:rsid w:val="003E06C6"/>
    <w:rsid w:val="003E0CA2"/>
    <w:rsid w:val="003E1FCA"/>
    <w:rsid w:val="003E27A2"/>
    <w:rsid w:val="003E2A48"/>
    <w:rsid w:val="003E3358"/>
    <w:rsid w:val="003E3513"/>
    <w:rsid w:val="003E3BB7"/>
    <w:rsid w:val="003E4C34"/>
    <w:rsid w:val="003E4E5C"/>
    <w:rsid w:val="003E518E"/>
    <w:rsid w:val="003E55B8"/>
    <w:rsid w:val="003E596F"/>
    <w:rsid w:val="003E5B6F"/>
    <w:rsid w:val="003E5DDC"/>
    <w:rsid w:val="003E6438"/>
    <w:rsid w:val="003E6A69"/>
    <w:rsid w:val="003E7836"/>
    <w:rsid w:val="003F03AB"/>
    <w:rsid w:val="003F1307"/>
    <w:rsid w:val="003F173D"/>
    <w:rsid w:val="003F1EDA"/>
    <w:rsid w:val="003F24E2"/>
    <w:rsid w:val="003F258F"/>
    <w:rsid w:val="003F3B3D"/>
    <w:rsid w:val="003F47CA"/>
    <w:rsid w:val="003F4B0E"/>
    <w:rsid w:val="003F5278"/>
    <w:rsid w:val="003F6BB5"/>
    <w:rsid w:val="003F6FFE"/>
    <w:rsid w:val="003F76B1"/>
    <w:rsid w:val="004001C4"/>
    <w:rsid w:val="00400493"/>
    <w:rsid w:val="00401536"/>
    <w:rsid w:val="00401FF9"/>
    <w:rsid w:val="0040217E"/>
    <w:rsid w:val="00402716"/>
    <w:rsid w:val="00402CB0"/>
    <w:rsid w:val="00403058"/>
    <w:rsid w:val="00403651"/>
    <w:rsid w:val="0040391B"/>
    <w:rsid w:val="00404A8B"/>
    <w:rsid w:val="004052EE"/>
    <w:rsid w:val="00405569"/>
    <w:rsid w:val="00405DB4"/>
    <w:rsid w:val="0040604A"/>
    <w:rsid w:val="00406450"/>
    <w:rsid w:val="00406E02"/>
    <w:rsid w:val="00406FC8"/>
    <w:rsid w:val="0040719C"/>
    <w:rsid w:val="00407263"/>
    <w:rsid w:val="0041097B"/>
    <w:rsid w:val="00410D0C"/>
    <w:rsid w:val="00411AEB"/>
    <w:rsid w:val="00412E59"/>
    <w:rsid w:val="00413BC6"/>
    <w:rsid w:val="00414348"/>
    <w:rsid w:val="00414956"/>
    <w:rsid w:val="004151BD"/>
    <w:rsid w:val="00415214"/>
    <w:rsid w:val="00415B65"/>
    <w:rsid w:val="0041621B"/>
    <w:rsid w:val="004164E2"/>
    <w:rsid w:val="0041690F"/>
    <w:rsid w:val="004178D9"/>
    <w:rsid w:val="00417EA6"/>
    <w:rsid w:val="0042029B"/>
    <w:rsid w:val="00421B66"/>
    <w:rsid w:val="00422974"/>
    <w:rsid w:val="00423D06"/>
    <w:rsid w:val="00424A2B"/>
    <w:rsid w:val="004253D3"/>
    <w:rsid w:val="0042581A"/>
    <w:rsid w:val="00425DD7"/>
    <w:rsid w:val="00425E58"/>
    <w:rsid w:val="0042604F"/>
    <w:rsid w:val="00426A72"/>
    <w:rsid w:val="00426F73"/>
    <w:rsid w:val="00427220"/>
    <w:rsid w:val="004279BF"/>
    <w:rsid w:val="004301FE"/>
    <w:rsid w:val="004302E3"/>
    <w:rsid w:val="00430E22"/>
    <w:rsid w:val="00431DA1"/>
    <w:rsid w:val="004325F5"/>
    <w:rsid w:val="00432634"/>
    <w:rsid w:val="004330E7"/>
    <w:rsid w:val="00435104"/>
    <w:rsid w:val="0043546B"/>
    <w:rsid w:val="004354D0"/>
    <w:rsid w:val="004362E9"/>
    <w:rsid w:val="004365BF"/>
    <w:rsid w:val="00436AD1"/>
    <w:rsid w:val="00437AA5"/>
    <w:rsid w:val="00437CCC"/>
    <w:rsid w:val="004406D9"/>
    <w:rsid w:val="004409A0"/>
    <w:rsid w:val="00441017"/>
    <w:rsid w:val="00441DA4"/>
    <w:rsid w:val="0044216C"/>
    <w:rsid w:val="00442318"/>
    <w:rsid w:val="00442705"/>
    <w:rsid w:val="004435CA"/>
    <w:rsid w:val="00443C6B"/>
    <w:rsid w:val="00444037"/>
    <w:rsid w:val="00444336"/>
    <w:rsid w:val="00444674"/>
    <w:rsid w:val="00444873"/>
    <w:rsid w:val="00444ABC"/>
    <w:rsid w:val="004451A3"/>
    <w:rsid w:val="004455A1"/>
    <w:rsid w:val="004461F1"/>
    <w:rsid w:val="0044686F"/>
    <w:rsid w:val="00447282"/>
    <w:rsid w:val="00450300"/>
    <w:rsid w:val="00450EA3"/>
    <w:rsid w:val="00451150"/>
    <w:rsid w:val="00451176"/>
    <w:rsid w:val="00452FD1"/>
    <w:rsid w:val="00453020"/>
    <w:rsid w:val="004530D7"/>
    <w:rsid w:val="0045384D"/>
    <w:rsid w:val="00454BE4"/>
    <w:rsid w:val="004552B3"/>
    <w:rsid w:val="0045571A"/>
    <w:rsid w:val="0045580F"/>
    <w:rsid w:val="0045586E"/>
    <w:rsid w:val="004558FC"/>
    <w:rsid w:val="0045611A"/>
    <w:rsid w:val="00456520"/>
    <w:rsid w:val="00456A78"/>
    <w:rsid w:val="004574A1"/>
    <w:rsid w:val="00457AF3"/>
    <w:rsid w:val="00457D57"/>
    <w:rsid w:val="00460175"/>
    <w:rsid w:val="00460859"/>
    <w:rsid w:val="004614A1"/>
    <w:rsid w:val="004615ED"/>
    <w:rsid w:val="004617A5"/>
    <w:rsid w:val="00461A3F"/>
    <w:rsid w:val="00461CBD"/>
    <w:rsid w:val="00461D70"/>
    <w:rsid w:val="00461F0B"/>
    <w:rsid w:val="00462ED4"/>
    <w:rsid w:val="00463E20"/>
    <w:rsid w:val="00463E6F"/>
    <w:rsid w:val="0046402A"/>
    <w:rsid w:val="0046404F"/>
    <w:rsid w:val="00464DB4"/>
    <w:rsid w:val="00465D01"/>
    <w:rsid w:val="004660E8"/>
    <w:rsid w:val="00466785"/>
    <w:rsid w:val="00467265"/>
    <w:rsid w:val="00467563"/>
    <w:rsid w:val="004706C1"/>
    <w:rsid w:val="00470CC7"/>
    <w:rsid w:val="00470FB9"/>
    <w:rsid w:val="00471B17"/>
    <w:rsid w:val="00471DDB"/>
    <w:rsid w:val="004721B3"/>
    <w:rsid w:val="00472687"/>
    <w:rsid w:val="0047573B"/>
    <w:rsid w:val="004764A0"/>
    <w:rsid w:val="004768C7"/>
    <w:rsid w:val="00476FFD"/>
    <w:rsid w:val="004774FA"/>
    <w:rsid w:val="004811FB"/>
    <w:rsid w:val="00481DD7"/>
    <w:rsid w:val="0048213B"/>
    <w:rsid w:val="0048238C"/>
    <w:rsid w:val="00482646"/>
    <w:rsid w:val="00482C16"/>
    <w:rsid w:val="0048390C"/>
    <w:rsid w:val="00484E6A"/>
    <w:rsid w:val="00484E95"/>
    <w:rsid w:val="0048507E"/>
    <w:rsid w:val="004854E1"/>
    <w:rsid w:val="00485552"/>
    <w:rsid w:val="00485623"/>
    <w:rsid w:val="004862E2"/>
    <w:rsid w:val="00486325"/>
    <w:rsid w:val="00486635"/>
    <w:rsid w:val="00487BAA"/>
    <w:rsid w:val="00487D59"/>
    <w:rsid w:val="00490891"/>
    <w:rsid w:val="00490FE1"/>
    <w:rsid w:val="0049178E"/>
    <w:rsid w:val="00492396"/>
    <w:rsid w:val="004923A9"/>
    <w:rsid w:val="004927B7"/>
    <w:rsid w:val="00492ED8"/>
    <w:rsid w:val="00493534"/>
    <w:rsid w:val="0049388B"/>
    <w:rsid w:val="00493BF6"/>
    <w:rsid w:val="004946DC"/>
    <w:rsid w:val="00494CBD"/>
    <w:rsid w:val="00494F0C"/>
    <w:rsid w:val="004954A5"/>
    <w:rsid w:val="00496E46"/>
    <w:rsid w:val="00497767"/>
    <w:rsid w:val="00497EAE"/>
    <w:rsid w:val="004A09DC"/>
    <w:rsid w:val="004A13AE"/>
    <w:rsid w:val="004A141B"/>
    <w:rsid w:val="004A15B5"/>
    <w:rsid w:val="004A19E8"/>
    <w:rsid w:val="004A2E61"/>
    <w:rsid w:val="004A2E98"/>
    <w:rsid w:val="004A40C8"/>
    <w:rsid w:val="004A4803"/>
    <w:rsid w:val="004A52DF"/>
    <w:rsid w:val="004A604B"/>
    <w:rsid w:val="004A638A"/>
    <w:rsid w:val="004A6653"/>
    <w:rsid w:val="004A722A"/>
    <w:rsid w:val="004B018B"/>
    <w:rsid w:val="004B02B8"/>
    <w:rsid w:val="004B0A68"/>
    <w:rsid w:val="004B118F"/>
    <w:rsid w:val="004B3014"/>
    <w:rsid w:val="004B310E"/>
    <w:rsid w:val="004B33E1"/>
    <w:rsid w:val="004B365E"/>
    <w:rsid w:val="004B4032"/>
    <w:rsid w:val="004B53C6"/>
    <w:rsid w:val="004B600C"/>
    <w:rsid w:val="004B6768"/>
    <w:rsid w:val="004B68C9"/>
    <w:rsid w:val="004B74AC"/>
    <w:rsid w:val="004B7709"/>
    <w:rsid w:val="004B7C4A"/>
    <w:rsid w:val="004C0B0C"/>
    <w:rsid w:val="004C0C81"/>
    <w:rsid w:val="004C152C"/>
    <w:rsid w:val="004C1E43"/>
    <w:rsid w:val="004C3C3C"/>
    <w:rsid w:val="004C400E"/>
    <w:rsid w:val="004C4A63"/>
    <w:rsid w:val="004C4CF3"/>
    <w:rsid w:val="004C4F4C"/>
    <w:rsid w:val="004C53CF"/>
    <w:rsid w:val="004C573A"/>
    <w:rsid w:val="004C5A40"/>
    <w:rsid w:val="004C618B"/>
    <w:rsid w:val="004C6BC0"/>
    <w:rsid w:val="004C7118"/>
    <w:rsid w:val="004C7E72"/>
    <w:rsid w:val="004D1855"/>
    <w:rsid w:val="004D1CAD"/>
    <w:rsid w:val="004D3F37"/>
    <w:rsid w:val="004D429C"/>
    <w:rsid w:val="004D460F"/>
    <w:rsid w:val="004D47A1"/>
    <w:rsid w:val="004D4CE2"/>
    <w:rsid w:val="004D5A99"/>
    <w:rsid w:val="004D5C60"/>
    <w:rsid w:val="004D6B00"/>
    <w:rsid w:val="004D6BCA"/>
    <w:rsid w:val="004D6C8F"/>
    <w:rsid w:val="004D6EEA"/>
    <w:rsid w:val="004D7E97"/>
    <w:rsid w:val="004E05A7"/>
    <w:rsid w:val="004E0733"/>
    <w:rsid w:val="004E0735"/>
    <w:rsid w:val="004E083F"/>
    <w:rsid w:val="004E0BB2"/>
    <w:rsid w:val="004E1613"/>
    <w:rsid w:val="004E19F9"/>
    <w:rsid w:val="004E1F38"/>
    <w:rsid w:val="004E1FD1"/>
    <w:rsid w:val="004E25A7"/>
    <w:rsid w:val="004E2795"/>
    <w:rsid w:val="004E2AC4"/>
    <w:rsid w:val="004E3690"/>
    <w:rsid w:val="004E3749"/>
    <w:rsid w:val="004E4374"/>
    <w:rsid w:val="004E466B"/>
    <w:rsid w:val="004E4793"/>
    <w:rsid w:val="004E5568"/>
    <w:rsid w:val="004E59AB"/>
    <w:rsid w:val="004E5D9B"/>
    <w:rsid w:val="004E6590"/>
    <w:rsid w:val="004E72C4"/>
    <w:rsid w:val="004E74B7"/>
    <w:rsid w:val="004E776C"/>
    <w:rsid w:val="004F099D"/>
    <w:rsid w:val="004F0A1B"/>
    <w:rsid w:val="004F1532"/>
    <w:rsid w:val="004F1781"/>
    <w:rsid w:val="004F2ADA"/>
    <w:rsid w:val="004F30DC"/>
    <w:rsid w:val="004F3A66"/>
    <w:rsid w:val="004F4318"/>
    <w:rsid w:val="004F49F0"/>
    <w:rsid w:val="004F4D4A"/>
    <w:rsid w:val="004F5C40"/>
    <w:rsid w:val="004F5EF1"/>
    <w:rsid w:val="004F5FA8"/>
    <w:rsid w:val="004F683E"/>
    <w:rsid w:val="004F6E91"/>
    <w:rsid w:val="004F6ED0"/>
    <w:rsid w:val="004F707B"/>
    <w:rsid w:val="004F72AB"/>
    <w:rsid w:val="004F7334"/>
    <w:rsid w:val="004F79D4"/>
    <w:rsid w:val="004F7DDA"/>
    <w:rsid w:val="0050022D"/>
    <w:rsid w:val="00500239"/>
    <w:rsid w:val="00500351"/>
    <w:rsid w:val="00500794"/>
    <w:rsid w:val="00500B61"/>
    <w:rsid w:val="00500F9A"/>
    <w:rsid w:val="00501586"/>
    <w:rsid w:val="0050180E"/>
    <w:rsid w:val="0050191F"/>
    <w:rsid w:val="005037CF"/>
    <w:rsid w:val="00504AAE"/>
    <w:rsid w:val="00504B2D"/>
    <w:rsid w:val="0050642A"/>
    <w:rsid w:val="00506606"/>
    <w:rsid w:val="00506B35"/>
    <w:rsid w:val="00506CD0"/>
    <w:rsid w:val="00507666"/>
    <w:rsid w:val="00507A4F"/>
    <w:rsid w:val="00507B25"/>
    <w:rsid w:val="00507D18"/>
    <w:rsid w:val="00510130"/>
    <w:rsid w:val="005104E6"/>
    <w:rsid w:val="00510989"/>
    <w:rsid w:val="005114CF"/>
    <w:rsid w:val="00511974"/>
    <w:rsid w:val="005124D2"/>
    <w:rsid w:val="005124E0"/>
    <w:rsid w:val="005128A3"/>
    <w:rsid w:val="005138E7"/>
    <w:rsid w:val="00514D4C"/>
    <w:rsid w:val="005158A6"/>
    <w:rsid w:val="005159F6"/>
    <w:rsid w:val="005164EA"/>
    <w:rsid w:val="00516843"/>
    <w:rsid w:val="00516CE5"/>
    <w:rsid w:val="00516FE7"/>
    <w:rsid w:val="00517205"/>
    <w:rsid w:val="00517AFF"/>
    <w:rsid w:val="0052095E"/>
    <w:rsid w:val="005218C8"/>
    <w:rsid w:val="00521A27"/>
    <w:rsid w:val="00521E93"/>
    <w:rsid w:val="00522071"/>
    <w:rsid w:val="005221DB"/>
    <w:rsid w:val="005221EC"/>
    <w:rsid w:val="00523296"/>
    <w:rsid w:val="0052390B"/>
    <w:rsid w:val="00523D29"/>
    <w:rsid w:val="00524299"/>
    <w:rsid w:val="005245CD"/>
    <w:rsid w:val="00524B4F"/>
    <w:rsid w:val="005253EE"/>
    <w:rsid w:val="00526191"/>
    <w:rsid w:val="00526969"/>
    <w:rsid w:val="00526E0A"/>
    <w:rsid w:val="00527304"/>
    <w:rsid w:val="005274EF"/>
    <w:rsid w:val="005279BF"/>
    <w:rsid w:val="00527F13"/>
    <w:rsid w:val="0053064D"/>
    <w:rsid w:val="00530E45"/>
    <w:rsid w:val="00530E7C"/>
    <w:rsid w:val="0053143B"/>
    <w:rsid w:val="00531730"/>
    <w:rsid w:val="0053218A"/>
    <w:rsid w:val="005326E1"/>
    <w:rsid w:val="005327BA"/>
    <w:rsid w:val="00532E27"/>
    <w:rsid w:val="00533D3A"/>
    <w:rsid w:val="00533ED7"/>
    <w:rsid w:val="00533EF9"/>
    <w:rsid w:val="005348C6"/>
    <w:rsid w:val="00534EB7"/>
    <w:rsid w:val="00534EE0"/>
    <w:rsid w:val="00535D20"/>
    <w:rsid w:val="00536DE6"/>
    <w:rsid w:val="00537241"/>
    <w:rsid w:val="0053737E"/>
    <w:rsid w:val="00540ABB"/>
    <w:rsid w:val="00540F40"/>
    <w:rsid w:val="0054114F"/>
    <w:rsid w:val="00541599"/>
    <w:rsid w:val="00542487"/>
    <w:rsid w:val="00542B11"/>
    <w:rsid w:val="00542EC0"/>
    <w:rsid w:val="00543768"/>
    <w:rsid w:val="0054384D"/>
    <w:rsid w:val="00543BFB"/>
    <w:rsid w:val="005440F0"/>
    <w:rsid w:val="0054412C"/>
    <w:rsid w:val="005449A0"/>
    <w:rsid w:val="00544A29"/>
    <w:rsid w:val="00544AB1"/>
    <w:rsid w:val="0054543A"/>
    <w:rsid w:val="005467FF"/>
    <w:rsid w:val="00547171"/>
    <w:rsid w:val="00547AB1"/>
    <w:rsid w:val="00550369"/>
    <w:rsid w:val="00550F7C"/>
    <w:rsid w:val="0055131D"/>
    <w:rsid w:val="0055166F"/>
    <w:rsid w:val="00553788"/>
    <w:rsid w:val="00553860"/>
    <w:rsid w:val="00553896"/>
    <w:rsid w:val="00554898"/>
    <w:rsid w:val="005557DB"/>
    <w:rsid w:val="0055683B"/>
    <w:rsid w:val="00557157"/>
    <w:rsid w:val="00557A8D"/>
    <w:rsid w:val="00557C00"/>
    <w:rsid w:val="00557D39"/>
    <w:rsid w:val="0056012E"/>
    <w:rsid w:val="00560141"/>
    <w:rsid w:val="00560F22"/>
    <w:rsid w:val="00561254"/>
    <w:rsid w:val="00562003"/>
    <w:rsid w:val="00562453"/>
    <w:rsid w:val="00562541"/>
    <w:rsid w:val="00562C46"/>
    <w:rsid w:val="00562C8E"/>
    <w:rsid w:val="00562EE2"/>
    <w:rsid w:val="00563121"/>
    <w:rsid w:val="005635C1"/>
    <w:rsid w:val="00563A99"/>
    <w:rsid w:val="00563F29"/>
    <w:rsid w:val="00564A0A"/>
    <w:rsid w:val="0056551E"/>
    <w:rsid w:val="00565EC6"/>
    <w:rsid w:val="00566803"/>
    <w:rsid w:val="0056687C"/>
    <w:rsid w:val="00566965"/>
    <w:rsid w:val="00566982"/>
    <w:rsid w:val="005676E3"/>
    <w:rsid w:val="00567A4C"/>
    <w:rsid w:val="0057056D"/>
    <w:rsid w:val="00571058"/>
    <w:rsid w:val="0057153C"/>
    <w:rsid w:val="00572342"/>
    <w:rsid w:val="0057253E"/>
    <w:rsid w:val="005730A4"/>
    <w:rsid w:val="00573AF9"/>
    <w:rsid w:val="00573EEB"/>
    <w:rsid w:val="005745E8"/>
    <w:rsid w:val="005746A0"/>
    <w:rsid w:val="0057556E"/>
    <w:rsid w:val="005756FB"/>
    <w:rsid w:val="00575AE2"/>
    <w:rsid w:val="00575C5E"/>
    <w:rsid w:val="005761D1"/>
    <w:rsid w:val="00576449"/>
    <w:rsid w:val="00576495"/>
    <w:rsid w:val="00576B9D"/>
    <w:rsid w:val="00576E77"/>
    <w:rsid w:val="00577018"/>
    <w:rsid w:val="00580172"/>
    <w:rsid w:val="00580A58"/>
    <w:rsid w:val="00581890"/>
    <w:rsid w:val="00581E18"/>
    <w:rsid w:val="00582419"/>
    <w:rsid w:val="00582573"/>
    <w:rsid w:val="0058277E"/>
    <w:rsid w:val="00582810"/>
    <w:rsid w:val="00582BB7"/>
    <w:rsid w:val="00583816"/>
    <w:rsid w:val="0058441B"/>
    <w:rsid w:val="00584726"/>
    <w:rsid w:val="005848B3"/>
    <w:rsid w:val="00584924"/>
    <w:rsid w:val="005849E8"/>
    <w:rsid w:val="00585205"/>
    <w:rsid w:val="005852C3"/>
    <w:rsid w:val="005853E0"/>
    <w:rsid w:val="005853E9"/>
    <w:rsid w:val="00585E2F"/>
    <w:rsid w:val="00586826"/>
    <w:rsid w:val="00587167"/>
    <w:rsid w:val="00590F84"/>
    <w:rsid w:val="00591B89"/>
    <w:rsid w:val="005928F1"/>
    <w:rsid w:val="00593878"/>
    <w:rsid w:val="005952B4"/>
    <w:rsid w:val="00595540"/>
    <w:rsid w:val="0059599D"/>
    <w:rsid w:val="00595BE8"/>
    <w:rsid w:val="00595BFA"/>
    <w:rsid w:val="00596CD8"/>
    <w:rsid w:val="00597AEE"/>
    <w:rsid w:val="00597FB4"/>
    <w:rsid w:val="005A1616"/>
    <w:rsid w:val="005A18B0"/>
    <w:rsid w:val="005A1C0B"/>
    <w:rsid w:val="005A212E"/>
    <w:rsid w:val="005A264A"/>
    <w:rsid w:val="005A2AFA"/>
    <w:rsid w:val="005A2B58"/>
    <w:rsid w:val="005A2CA0"/>
    <w:rsid w:val="005A2D8A"/>
    <w:rsid w:val="005A30C2"/>
    <w:rsid w:val="005A34C2"/>
    <w:rsid w:val="005A3723"/>
    <w:rsid w:val="005A3DEF"/>
    <w:rsid w:val="005A41C6"/>
    <w:rsid w:val="005A4205"/>
    <w:rsid w:val="005A4EDB"/>
    <w:rsid w:val="005A5381"/>
    <w:rsid w:val="005A6769"/>
    <w:rsid w:val="005A6C7F"/>
    <w:rsid w:val="005A6F28"/>
    <w:rsid w:val="005A7B86"/>
    <w:rsid w:val="005B0BD3"/>
    <w:rsid w:val="005B0CB4"/>
    <w:rsid w:val="005B0F3E"/>
    <w:rsid w:val="005B18D6"/>
    <w:rsid w:val="005B192F"/>
    <w:rsid w:val="005B1F05"/>
    <w:rsid w:val="005B1FF0"/>
    <w:rsid w:val="005B2DED"/>
    <w:rsid w:val="005B3137"/>
    <w:rsid w:val="005B344B"/>
    <w:rsid w:val="005B3748"/>
    <w:rsid w:val="005B396E"/>
    <w:rsid w:val="005B4725"/>
    <w:rsid w:val="005B4AD9"/>
    <w:rsid w:val="005B4F81"/>
    <w:rsid w:val="005B505C"/>
    <w:rsid w:val="005B5FA6"/>
    <w:rsid w:val="005B5FB4"/>
    <w:rsid w:val="005B61E9"/>
    <w:rsid w:val="005B63B8"/>
    <w:rsid w:val="005B77EA"/>
    <w:rsid w:val="005B7D5C"/>
    <w:rsid w:val="005B7F74"/>
    <w:rsid w:val="005C03AB"/>
    <w:rsid w:val="005C0409"/>
    <w:rsid w:val="005C40CB"/>
    <w:rsid w:val="005C653A"/>
    <w:rsid w:val="005C711A"/>
    <w:rsid w:val="005C7432"/>
    <w:rsid w:val="005C76FA"/>
    <w:rsid w:val="005D00E8"/>
    <w:rsid w:val="005D06A9"/>
    <w:rsid w:val="005D088D"/>
    <w:rsid w:val="005D099B"/>
    <w:rsid w:val="005D0D6A"/>
    <w:rsid w:val="005D0E42"/>
    <w:rsid w:val="005D1485"/>
    <w:rsid w:val="005D1766"/>
    <w:rsid w:val="005D2AE2"/>
    <w:rsid w:val="005D429A"/>
    <w:rsid w:val="005D4E68"/>
    <w:rsid w:val="005D600B"/>
    <w:rsid w:val="005D665A"/>
    <w:rsid w:val="005D6E18"/>
    <w:rsid w:val="005D7361"/>
    <w:rsid w:val="005D7DFE"/>
    <w:rsid w:val="005E0013"/>
    <w:rsid w:val="005E0529"/>
    <w:rsid w:val="005E0D3C"/>
    <w:rsid w:val="005E0D51"/>
    <w:rsid w:val="005E153E"/>
    <w:rsid w:val="005E2691"/>
    <w:rsid w:val="005E2782"/>
    <w:rsid w:val="005E32A9"/>
    <w:rsid w:val="005E4834"/>
    <w:rsid w:val="005E4982"/>
    <w:rsid w:val="005E4A7B"/>
    <w:rsid w:val="005E590B"/>
    <w:rsid w:val="005E684F"/>
    <w:rsid w:val="005E69D7"/>
    <w:rsid w:val="005E7A54"/>
    <w:rsid w:val="005E7B7E"/>
    <w:rsid w:val="005F021E"/>
    <w:rsid w:val="005F0AA8"/>
    <w:rsid w:val="005F0D06"/>
    <w:rsid w:val="005F174C"/>
    <w:rsid w:val="005F1DF0"/>
    <w:rsid w:val="005F289E"/>
    <w:rsid w:val="005F2A0B"/>
    <w:rsid w:val="005F2D3A"/>
    <w:rsid w:val="005F371D"/>
    <w:rsid w:val="005F43E5"/>
    <w:rsid w:val="005F477A"/>
    <w:rsid w:val="005F4D3B"/>
    <w:rsid w:val="005F56B3"/>
    <w:rsid w:val="005F5BBC"/>
    <w:rsid w:val="005F5DF5"/>
    <w:rsid w:val="005F6760"/>
    <w:rsid w:val="005F7D08"/>
    <w:rsid w:val="005F7F83"/>
    <w:rsid w:val="0060066F"/>
    <w:rsid w:val="006006AA"/>
    <w:rsid w:val="00601988"/>
    <w:rsid w:val="00601ACB"/>
    <w:rsid w:val="00601BB3"/>
    <w:rsid w:val="00602F84"/>
    <w:rsid w:val="00603013"/>
    <w:rsid w:val="006031B6"/>
    <w:rsid w:val="00603833"/>
    <w:rsid w:val="00603EFA"/>
    <w:rsid w:val="00603FC3"/>
    <w:rsid w:val="00604484"/>
    <w:rsid w:val="006045B2"/>
    <w:rsid w:val="00604CF8"/>
    <w:rsid w:val="00605381"/>
    <w:rsid w:val="00605666"/>
    <w:rsid w:val="00605B3D"/>
    <w:rsid w:val="00605D72"/>
    <w:rsid w:val="00605ED9"/>
    <w:rsid w:val="006064F8"/>
    <w:rsid w:val="006064FE"/>
    <w:rsid w:val="006065C1"/>
    <w:rsid w:val="006065E5"/>
    <w:rsid w:val="00606D6A"/>
    <w:rsid w:val="00606EBC"/>
    <w:rsid w:val="0060703D"/>
    <w:rsid w:val="006075D5"/>
    <w:rsid w:val="00607ACD"/>
    <w:rsid w:val="00607DFE"/>
    <w:rsid w:val="00607E37"/>
    <w:rsid w:val="006102C8"/>
    <w:rsid w:val="00610B09"/>
    <w:rsid w:val="00611836"/>
    <w:rsid w:val="00611BA3"/>
    <w:rsid w:val="00612090"/>
    <w:rsid w:val="00612505"/>
    <w:rsid w:val="006131E1"/>
    <w:rsid w:val="0061376E"/>
    <w:rsid w:val="0061387A"/>
    <w:rsid w:val="00613CC8"/>
    <w:rsid w:val="006143E0"/>
    <w:rsid w:val="006147BA"/>
    <w:rsid w:val="0061589F"/>
    <w:rsid w:val="00616680"/>
    <w:rsid w:val="0061677A"/>
    <w:rsid w:val="006173AE"/>
    <w:rsid w:val="00617F38"/>
    <w:rsid w:val="00620298"/>
    <w:rsid w:val="006206C9"/>
    <w:rsid w:val="00620C24"/>
    <w:rsid w:val="00621754"/>
    <w:rsid w:val="006218FC"/>
    <w:rsid w:val="00623204"/>
    <w:rsid w:val="006238FF"/>
    <w:rsid w:val="00623E8E"/>
    <w:rsid w:val="006245D9"/>
    <w:rsid w:val="0062573C"/>
    <w:rsid w:val="006257DA"/>
    <w:rsid w:val="0062594D"/>
    <w:rsid w:val="00625986"/>
    <w:rsid w:val="006259E9"/>
    <w:rsid w:val="00625D7F"/>
    <w:rsid w:val="006261ED"/>
    <w:rsid w:val="00626506"/>
    <w:rsid w:val="00626563"/>
    <w:rsid w:val="00626820"/>
    <w:rsid w:val="006268D8"/>
    <w:rsid w:val="006269A0"/>
    <w:rsid w:val="00627036"/>
    <w:rsid w:val="00627084"/>
    <w:rsid w:val="0062730B"/>
    <w:rsid w:val="00627C9E"/>
    <w:rsid w:val="00627CB7"/>
    <w:rsid w:val="00630470"/>
    <w:rsid w:val="00630A01"/>
    <w:rsid w:val="00631937"/>
    <w:rsid w:val="00632B9D"/>
    <w:rsid w:val="00633024"/>
    <w:rsid w:val="006339D7"/>
    <w:rsid w:val="00634D32"/>
    <w:rsid w:val="00634E8E"/>
    <w:rsid w:val="00634ED7"/>
    <w:rsid w:val="00635117"/>
    <w:rsid w:val="0063592A"/>
    <w:rsid w:val="00635E01"/>
    <w:rsid w:val="00636131"/>
    <w:rsid w:val="00636741"/>
    <w:rsid w:val="00636878"/>
    <w:rsid w:val="006368A9"/>
    <w:rsid w:val="00636E31"/>
    <w:rsid w:val="0063765B"/>
    <w:rsid w:val="0064065E"/>
    <w:rsid w:val="00640915"/>
    <w:rsid w:val="00640A70"/>
    <w:rsid w:val="006410DD"/>
    <w:rsid w:val="006416E3"/>
    <w:rsid w:val="00641734"/>
    <w:rsid w:val="00641753"/>
    <w:rsid w:val="00642209"/>
    <w:rsid w:val="006426CD"/>
    <w:rsid w:val="006426E5"/>
    <w:rsid w:val="00642C37"/>
    <w:rsid w:val="006432BC"/>
    <w:rsid w:val="006444E7"/>
    <w:rsid w:val="0064673E"/>
    <w:rsid w:val="0064766A"/>
    <w:rsid w:val="0065035E"/>
    <w:rsid w:val="00651045"/>
    <w:rsid w:val="00651440"/>
    <w:rsid w:val="00651805"/>
    <w:rsid w:val="006518D6"/>
    <w:rsid w:val="00651A16"/>
    <w:rsid w:val="006521CB"/>
    <w:rsid w:val="006527BD"/>
    <w:rsid w:val="0065294F"/>
    <w:rsid w:val="00652F9D"/>
    <w:rsid w:val="00653898"/>
    <w:rsid w:val="006545EC"/>
    <w:rsid w:val="0065489A"/>
    <w:rsid w:val="00655144"/>
    <w:rsid w:val="006551B8"/>
    <w:rsid w:val="00655A68"/>
    <w:rsid w:val="006565F2"/>
    <w:rsid w:val="00657E15"/>
    <w:rsid w:val="00657E4C"/>
    <w:rsid w:val="006606E4"/>
    <w:rsid w:val="00660C14"/>
    <w:rsid w:val="00662D41"/>
    <w:rsid w:val="006640E9"/>
    <w:rsid w:val="00664363"/>
    <w:rsid w:val="00664366"/>
    <w:rsid w:val="00664BE1"/>
    <w:rsid w:val="006654AB"/>
    <w:rsid w:val="006664D1"/>
    <w:rsid w:val="00666B44"/>
    <w:rsid w:val="006707CF"/>
    <w:rsid w:val="00670F28"/>
    <w:rsid w:val="00671A24"/>
    <w:rsid w:val="00671E93"/>
    <w:rsid w:val="00672A15"/>
    <w:rsid w:val="00672BAC"/>
    <w:rsid w:val="00672E33"/>
    <w:rsid w:val="00673B94"/>
    <w:rsid w:val="00673BA8"/>
    <w:rsid w:val="006741EE"/>
    <w:rsid w:val="006747EE"/>
    <w:rsid w:val="00674E7A"/>
    <w:rsid w:val="00674EB9"/>
    <w:rsid w:val="00675484"/>
    <w:rsid w:val="006759ED"/>
    <w:rsid w:val="00675A33"/>
    <w:rsid w:val="00675C16"/>
    <w:rsid w:val="00675DAF"/>
    <w:rsid w:val="00675F38"/>
    <w:rsid w:val="00676BB5"/>
    <w:rsid w:val="00676D67"/>
    <w:rsid w:val="00676E90"/>
    <w:rsid w:val="00677517"/>
    <w:rsid w:val="006777CD"/>
    <w:rsid w:val="00677FA3"/>
    <w:rsid w:val="00681A55"/>
    <w:rsid w:val="006820B0"/>
    <w:rsid w:val="00682574"/>
    <w:rsid w:val="00682601"/>
    <w:rsid w:val="00682664"/>
    <w:rsid w:val="006826AD"/>
    <w:rsid w:val="00682780"/>
    <w:rsid w:val="006829B9"/>
    <w:rsid w:val="0068369A"/>
    <w:rsid w:val="0068377D"/>
    <w:rsid w:val="00683A86"/>
    <w:rsid w:val="00683E6F"/>
    <w:rsid w:val="00684083"/>
    <w:rsid w:val="00684668"/>
    <w:rsid w:val="0068530A"/>
    <w:rsid w:val="00686DAD"/>
    <w:rsid w:val="00690484"/>
    <w:rsid w:val="006910CC"/>
    <w:rsid w:val="0069152E"/>
    <w:rsid w:val="006929B8"/>
    <w:rsid w:val="00692A24"/>
    <w:rsid w:val="0069451A"/>
    <w:rsid w:val="00694C47"/>
    <w:rsid w:val="00695824"/>
    <w:rsid w:val="00695DF0"/>
    <w:rsid w:val="006966AD"/>
    <w:rsid w:val="006968D7"/>
    <w:rsid w:val="00696B78"/>
    <w:rsid w:val="00696D19"/>
    <w:rsid w:val="006A0BBE"/>
    <w:rsid w:val="006A11EF"/>
    <w:rsid w:val="006A16E6"/>
    <w:rsid w:val="006A19A5"/>
    <w:rsid w:val="006A1F2E"/>
    <w:rsid w:val="006A203E"/>
    <w:rsid w:val="006A208E"/>
    <w:rsid w:val="006A3451"/>
    <w:rsid w:val="006A38DF"/>
    <w:rsid w:val="006A39BB"/>
    <w:rsid w:val="006A45AA"/>
    <w:rsid w:val="006A5F40"/>
    <w:rsid w:val="006A6530"/>
    <w:rsid w:val="006A6DAB"/>
    <w:rsid w:val="006A6F83"/>
    <w:rsid w:val="006A6FE0"/>
    <w:rsid w:val="006A71B0"/>
    <w:rsid w:val="006A777D"/>
    <w:rsid w:val="006B055E"/>
    <w:rsid w:val="006B0A7F"/>
    <w:rsid w:val="006B0F37"/>
    <w:rsid w:val="006B13A7"/>
    <w:rsid w:val="006B1CF4"/>
    <w:rsid w:val="006B2056"/>
    <w:rsid w:val="006B291F"/>
    <w:rsid w:val="006B396F"/>
    <w:rsid w:val="006B3F2E"/>
    <w:rsid w:val="006B408C"/>
    <w:rsid w:val="006B4979"/>
    <w:rsid w:val="006B4D1A"/>
    <w:rsid w:val="006B5A8D"/>
    <w:rsid w:val="006B5A99"/>
    <w:rsid w:val="006B5C21"/>
    <w:rsid w:val="006B6803"/>
    <w:rsid w:val="006B6A14"/>
    <w:rsid w:val="006B6A54"/>
    <w:rsid w:val="006B6CB7"/>
    <w:rsid w:val="006B77EC"/>
    <w:rsid w:val="006C0028"/>
    <w:rsid w:val="006C0103"/>
    <w:rsid w:val="006C01F4"/>
    <w:rsid w:val="006C05A1"/>
    <w:rsid w:val="006C12FA"/>
    <w:rsid w:val="006C1686"/>
    <w:rsid w:val="006C1687"/>
    <w:rsid w:val="006C1E28"/>
    <w:rsid w:val="006C1EEB"/>
    <w:rsid w:val="006C2060"/>
    <w:rsid w:val="006C20D8"/>
    <w:rsid w:val="006C288D"/>
    <w:rsid w:val="006C31E6"/>
    <w:rsid w:val="006C33A1"/>
    <w:rsid w:val="006C3FC6"/>
    <w:rsid w:val="006C43EF"/>
    <w:rsid w:val="006C4C96"/>
    <w:rsid w:val="006C5DEA"/>
    <w:rsid w:val="006C6053"/>
    <w:rsid w:val="006C6163"/>
    <w:rsid w:val="006C6427"/>
    <w:rsid w:val="006C6C34"/>
    <w:rsid w:val="006C7BC6"/>
    <w:rsid w:val="006C7C24"/>
    <w:rsid w:val="006D0851"/>
    <w:rsid w:val="006D0F60"/>
    <w:rsid w:val="006D1006"/>
    <w:rsid w:val="006D15DF"/>
    <w:rsid w:val="006D1A39"/>
    <w:rsid w:val="006D1BC8"/>
    <w:rsid w:val="006D1C3A"/>
    <w:rsid w:val="006D2A2B"/>
    <w:rsid w:val="006D3DCC"/>
    <w:rsid w:val="006D50DB"/>
    <w:rsid w:val="006D538F"/>
    <w:rsid w:val="006D65F0"/>
    <w:rsid w:val="006D7A18"/>
    <w:rsid w:val="006D7ECC"/>
    <w:rsid w:val="006E00BC"/>
    <w:rsid w:val="006E0114"/>
    <w:rsid w:val="006E01E1"/>
    <w:rsid w:val="006E0344"/>
    <w:rsid w:val="006E0CF5"/>
    <w:rsid w:val="006E1A7F"/>
    <w:rsid w:val="006E1FF5"/>
    <w:rsid w:val="006E2117"/>
    <w:rsid w:val="006E2240"/>
    <w:rsid w:val="006E2CB8"/>
    <w:rsid w:val="006E2F1C"/>
    <w:rsid w:val="006E2F3A"/>
    <w:rsid w:val="006E340E"/>
    <w:rsid w:val="006E37BA"/>
    <w:rsid w:val="006E6627"/>
    <w:rsid w:val="006E666F"/>
    <w:rsid w:val="006E673B"/>
    <w:rsid w:val="006E7D8F"/>
    <w:rsid w:val="006F0731"/>
    <w:rsid w:val="006F0C10"/>
    <w:rsid w:val="006F0FD3"/>
    <w:rsid w:val="006F1542"/>
    <w:rsid w:val="006F2AF5"/>
    <w:rsid w:val="006F2FDF"/>
    <w:rsid w:val="006F3580"/>
    <w:rsid w:val="006F4355"/>
    <w:rsid w:val="006F4C5D"/>
    <w:rsid w:val="006F5F4C"/>
    <w:rsid w:val="006F61FB"/>
    <w:rsid w:val="006F6668"/>
    <w:rsid w:val="006F7544"/>
    <w:rsid w:val="006F7AAE"/>
    <w:rsid w:val="006F7EFE"/>
    <w:rsid w:val="00700EAA"/>
    <w:rsid w:val="00701442"/>
    <w:rsid w:val="00701852"/>
    <w:rsid w:val="00701C32"/>
    <w:rsid w:val="00701D7D"/>
    <w:rsid w:val="00704195"/>
    <w:rsid w:val="0070424D"/>
    <w:rsid w:val="007042D9"/>
    <w:rsid w:val="007050F3"/>
    <w:rsid w:val="007055CB"/>
    <w:rsid w:val="007063AB"/>
    <w:rsid w:val="00706DF0"/>
    <w:rsid w:val="0070703A"/>
    <w:rsid w:val="007077CF"/>
    <w:rsid w:val="007120F4"/>
    <w:rsid w:val="007125FE"/>
    <w:rsid w:val="00712654"/>
    <w:rsid w:val="00712E2A"/>
    <w:rsid w:val="00712FEA"/>
    <w:rsid w:val="0071319C"/>
    <w:rsid w:val="0071335C"/>
    <w:rsid w:val="0071358C"/>
    <w:rsid w:val="00713BB9"/>
    <w:rsid w:val="007141AC"/>
    <w:rsid w:val="0071479C"/>
    <w:rsid w:val="00714EC3"/>
    <w:rsid w:val="00714EEC"/>
    <w:rsid w:val="007150EF"/>
    <w:rsid w:val="00715947"/>
    <w:rsid w:val="00716AC1"/>
    <w:rsid w:val="00716E8A"/>
    <w:rsid w:val="00720867"/>
    <w:rsid w:val="00720AE8"/>
    <w:rsid w:val="00721912"/>
    <w:rsid w:val="00721CB6"/>
    <w:rsid w:val="00722073"/>
    <w:rsid w:val="00722AEB"/>
    <w:rsid w:val="00722DC8"/>
    <w:rsid w:val="0072395F"/>
    <w:rsid w:val="00724C03"/>
    <w:rsid w:val="00725DC9"/>
    <w:rsid w:val="0072696E"/>
    <w:rsid w:val="0072ABC8"/>
    <w:rsid w:val="0073039C"/>
    <w:rsid w:val="00730995"/>
    <w:rsid w:val="00730FAD"/>
    <w:rsid w:val="00731062"/>
    <w:rsid w:val="00731D87"/>
    <w:rsid w:val="007320CD"/>
    <w:rsid w:val="007321E6"/>
    <w:rsid w:val="00732380"/>
    <w:rsid w:val="007326AA"/>
    <w:rsid w:val="00732888"/>
    <w:rsid w:val="00733A3E"/>
    <w:rsid w:val="00734598"/>
    <w:rsid w:val="00734979"/>
    <w:rsid w:val="00734EFA"/>
    <w:rsid w:val="007352FF"/>
    <w:rsid w:val="00735624"/>
    <w:rsid w:val="007356D0"/>
    <w:rsid w:val="007361C0"/>
    <w:rsid w:val="007362F1"/>
    <w:rsid w:val="00736E33"/>
    <w:rsid w:val="00737077"/>
    <w:rsid w:val="00737873"/>
    <w:rsid w:val="00737AC2"/>
    <w:rsid w:val="00740580"/>
    <w:rsid w:val="007405A9"/>
    <w:rsid w:val="00740C03"/>
    <w:rsid w:val="00742437"/>
    <w:rsid w:val="0074260D"/>
    <w:rsid w:val="007426EB"/>
    <w:rsid w:val="007426FC"/>
    <w:rsid w:val="00743567"/>
    <w:rsid w:val="00743C8C"/>
    <w:rsid w:val="00743CF2"/>
    <w:rsid w:val="00744324"/>
    <w:rsid w:val="00744400"/>
    <w:rsid w:val="0074524D"/>
    <w:rsid w:val="0074560A"/>
    <w:rsid w:val="00745A1B"/>
    <w:rsid w:val="007460AB"/>
    <w:rsid w:val="0074612A"/>
    <w:rsid w:val="0074628C"/>
    <w:rsid w:val="0074638B"/>
    <w:rsid w:val="00746A57"/>
    <w:rsid w:val="00746B7B"/>
    <w:rsid w:val="00746F21"/>
    <w:rsid w:val="007477DD"/>
    <w:rsid w:val="00747D0E"/>
    <w:rsid w:val="007505FB"/>
    <w:rsid w:val="00751044"/>
    <w:rsid w:val="00751C65"/>
    <w:rsid w:val="00751D2C"/>
    <w:rsid w:val="007523BB"/>
    <w:rsid w:val="00752BF0"/>
    <w:rsid w:val="007531CE"/>
    <w:rsid w:val="00753613"/>
    <w:rsid w:val="0075385B"/>
    <w:rsid w:val="007543E9"/>
    <w:rsid w:val="0075471A"/>
    <w:rsid w:val="0075484F"/>
    <w:rsid w:val="0075700D"/>
    <w:rsid w:val="00757053"/>
    <w:rsid w:val="00757243"/>
    <w:rsid w:val="007574F2"/>
    <w:rsid w:val="007577D8"/>
    <w:rsid w:val="00757BFF"/>
    <w:rsid w:val="00757CED"/>
    <w:rsid w:val="007607B9"/>
    <w:rsid w:val="0076100C"/>
    <w:rsid w:val="007619B0"/>
    <w:rsid w:val="00762DA2"/>
    <w:rsid w:val="00763DC7"/>
    <w:rsid w:val="00764225"/>
    <w:rsid w:val="00764546"/>
    <w:rsid w:val="00764B17"/>
    <w:rsid w:val="00764DB4"/>
    <w:rsid w:val="007653EA"/>
    <w:rsid w:val="00765C47"/>
    <w:rsid w:val="00765F9F"/>
    <w:rsid w:val="00766420"/>
    <w:rsid w:val="0076646E"/>
    <w:rsid w:val="00766604"/>
    <w:rsid w:val="00767327"/>
    <w:rsid w:val="007675EE"/>
    <w:rsid w:val="00767849"/>
    <w:rsid w:val="00767C77"/>
    <w:rsid w:val="00767D9B"/>
    <w:rsid w:val="00770684"/>
    <w:rsid w:val="007708FE"/>
    <w:rsid w:val="007709BA"/>
    <w:rsid w:val="00770B3F"/>
    <w:rsid w:val="00770C17"/>
    <w:rsid w:val="007717DC"/>
    <w:rsid w:val="00772012"/>
    <w:rsid w:val="007721EE"/>
    <w:rsid w:val="0077247F"/>
    <w:rsid w:val="0077292E"/>
    <w:rsid w:val="00773AEA"/>
    <w:rsid w:val="007742C4"/>
    <w:rsid w:val="0077433C"/>
    <w:rsid w:val="007743AE"/>
    <w:rsid w:val="00774A3E"/>
    <w:rsid w:val="00774A60"/>
    <w:rsid w:val="0077542C"/>
    <w:rsid w:val="0077563C"/>
    <w:rsid w:val="00775CEA"/>
    <w:rsid w:val="00776124"/>
    <w:rsid w:val="00776A7F"/>
    <w:rsid w:val="00777838"/>
    <w:rsid w:val="00780295"/>
    <w:rsid w:val="0078045D"/>
    <w:rsid w:val="00781CAD"/>
    <w:rsid w:val="007824C6"/>
    <w:rsid w:val="0078258E"/>
    <w:rsid w:val="00782A02"/>
    <w:rsid w:val="00782A3A"/>
    <w:rsid w:val="00782C6A"/>
    <w:rsid w:val="00783A24"/>
    <w:rsid w:val="007840BA"/>
    <w:rsid w:val="00784698"/>
    <w:rsid w:val="0078502E"/>
    <w:rsid w:val="00785EED"/>
    <w:rsid w:val="0078657F"/>
    <w:rsid w:val="00786709"/>
    <w:rsid w:val="00786CC3"/>
    <w:rsid w:val="00786FA8"/>
    <w:rsid w:val="007873EA"/>
    <w:rsid w:val="0079066E"/>
    <w:rsid w:val="007912FC"/>
    <w:rsid w:val="00791D50"/>
    <w:rsid w:val="007922E7"/>
    <w:rsid w:val="00792330"/>
    <w:rsid w:val="007937E7"/>
    <w:rsid w:val="00794650"/>
    <w:rsid w:val="00794EB9"/>
    <w:rsid w:val="00795256"/>
    <w:rsid w:val="0079570E"/>
    <w:rsid w:val="00796033"/>
    <w:rsid w:val="0079627C"/>
    <w:rsid w:val="0079721D"/>
    <w:rsid w:val="007A2677"/>
    <w:rsid w:val="007A2B1A"/>
    <w:rsid w:val="007A3193"/>
    <w:rsid w:val="007A36D5"/>
    <w:rsid w:val="007A3BC8"/>
    <w:rsid w:val="007A4148"/>
    <w:rsid w:val="007A414C"/>
    <w:rsid w:val="007A4EB1"/>
    <w:rsid w:val="007A4F4C"/>
    <w:rsid w:val="007A5090"/>
    <w:rsid w:val="007A639E"/>
    <w:rsid w:val="007A6872"/>
    <w:rsid w:val="007A6890"/>
    <w:rsid w:val="007A6D56"/>
    <w:rsid w:val="007A6F48"/>
    <w:rsid w:val="007A7335"/>
    <w:rsid w:val="007B016A"/>
    <w:rsid w:val="007B0953"/>
    <w:rsid w:val="007B1216"/>
    <w:rsid w:val="007B1524"/>
    <w:rsid w:val="007B17C4"/>
    <w:rsid w:val="007B2ACE"/>
    <w:rsid w:val="007B33BA"/>
    <w:rsid w:val="007B3C9B"/>
    <w:rsid w:val="007B56B4"/>
    <w:rsid w:val="007B58AB"/>
    <w:rsid w:val="007B5C88"/>
    <w:rsid w:val="007B627B"/>
    <w:rsid w:val="007B643A"/>
    <w:rsid w:val="007B78CA"/>
    <w:rsid w:val="007B791A"/>
    <w:rsid w:val="007C0828"/>
    <w:rsid w:val="007C130A"/>
    <w:rsid w:val="007C13A0"/>
    <w:rsid w:val="007C13D7"/>
    <w:rsid w:val="007C1448"/>
    <w:rsid w:val="007C14C7"/>
    <w:rsid w:val="007C15D6"/>
    <w:rsid w:val="007C1994"/>
    <w:rsid w:val="007C252A"/>
    <w:rsid w:val="007C2706"/>
    <w:rsid w:val="007C285E"/>
    <w:rsid w:val="007C28A8"/>
    <w:rsid w:val="007C3C3E"/>
    <w:rsid w:val="007C42F5"/>
    <w:rsid w:val="007C462C"/>
    <w:rsid w:val="007C4D01"/>
    <w:rsid w:val="007C538E"/>
    <w:rsid w:val="007C5924"/>
    <w:rsid w:val="007C5926"/>
    <w:rsid w:val="007C645B"/>
    <w:rsid w:val="007C6536"/>
    <w:rsid w:val="007C6AF6"/>
    <w:rsid w:val="007C6D3A"/>
    <w:rsid w:val="007C7841"/>
    <w:rsid w:val="007D0274"/>
    <w:rsid w:val="007D038F"/>
    <w:rsid w:val="007D0861"/>
    <w:rsid w:val="007D0EF3"/>
    <w:rsid w:val="007D26C2"/>
    <w:rsid w:val="007D2D97"/>
    <w:rsid w:val="007D34C3"/>
    <w:rsid w:val="007D367E"/>
    <w:rsid w:val="007D3EEB"/>
    <w:rsid w:val="007D5AB2"/>
    <w:rsid w:val="007D5DAE"/>
    <w:rsid w:val="007D5DCF"/>
    <w:rsid w:val="007D62F0"/>
    <w:rsid w:val="007D6417"/>
    <w:rsid w:val="007D6711"/>
    <w:rsid w:val="007D721F"/>
    <w:rsid w:val="007E010B"/>
    <w:rsid w:val="007E082B"/>
    <w:rsid w:val="007E104E"/>
    <w:rsid w:val="007E10CC"/>
    <w:rsid w:val="007E136B"/>
    <w:rsid w:val="007E139A"/>
    <w:rsid w:val="007E1A68"/>
    <w:rsid w:val="007E1E78"/>
    <w:rsid w:val="007E227E"/>
    <w:rsid w:val="007E267F"/>
    <w:rsid w:val="007E2BB2"/>
    <w:rsid w:val="007E3041"/>
    <w:rsid w:val="007E3060"/>
    <w:rsid w:val="007E357A"/>
    <w:rsid w:val="007E393B"/>
    <w:rsid w:val="007E4130"/>
    <w:rsid w:val="007E48E8"/>
    <w:rsid w:val="007E4906"/>
    <w:rsid w:val="007E499A"/>
    <w:rsid w:val="007E4C04"/>
    <w:rsid w:val="007E4E06"/>
    <w:rsid w:val="007E5489"/>
    <w:rsid w:val="007E57C5"/>
    <w:rsid w:val="007E5C0A"/>
    <w:rsid w:val="007E5C99"/>
    <w:rsid w:val="007E65DC"/>
    <w:rsid w:val="007E67D4"/>
    <w:rsid w:val="007E70EC"/>
    <w:rsid w:val="007E7B3A"/>
    <w:rsid w:val="007E7F33"/>
    <w:rsid w:val="007F093E"/>
    <w:rsid w:val="007F0EC6"/>
    <w:rsid w:val="007F1582"/>
    <w:rsid w:val="007F18C0"/>
    <w:rsid w:val="007F1C3B"/>
    <w:rsid w:val="007F1DC4"/>
    <w:rsid w:val="007F21AA"/>
    <w:rsid w:val="007F22E7"/>
    <w:rsid w:val="007F22FD"/>
    <w:rsid w:val="007F245D"/>
    <w:rsid w:val="007F35D5"/>
    <w:rsid w:val="007F39F1"/>
    <w:rsid w:val="007F5CA4"/>
    <w:rsid w:val="007F5F25"/>
    <w:rsid w:val="007F6A9B"/>
    <w:rsid w:val="007F6BF6"/>
    <w:rsid w:val="007F6C42"/>
    <w:rsid w:val="007F7021"/>
    <w:rsid w:val="007F723E"/>
    <w:rsid w:val="007F7384"/>
    <w:rsid w:val="007F7EE1"/>
    <w:rsid w:val="0080270F"/>
    <w:rsid w:val="0080280B"/>
    <w:rsid w:val="00802A5C"/>
    <w:rsid w:val="00802FC2"/>
    <w:rsid w:val="008030DC"/>
    <w:rsid w:val="00804295"/>
    <w:rsid w:val="00804C97"/>
    <w:rsid w:val="00805B42"/>
    <w:rsid w:val="00805D32"/>
    <w:rsid w:val="00806C05"/>
    <w:rsid w:val="008072FB"/>
    <w:rsid w:val="008074E8"/>
    <w:rsid w:val="0080787A"/>
    <w:rsid w:val="00807A6D"/>
    <w:rsid w:val="00807D20"/>
    <w:rsid w:val="0081057D"/>
    <w:rsid w:val="00810B73"/>
    <w:rsid w:val="00810C4E"/>
    <w:rsid w:val="0081165F"/>
    <w:rsid w:val="00812052"/>
    <w:rsid w:val="008120D7"/>
    <w:rsid w:val="00813104"/>
    <w:rsid w:val="00813B32"/>
    <w:rsid w:val="00814A10"/>
    <w:rsid w:val="00815565"/>
    <w:rsid w:val="00815AF3"/>
    <w:rsid w:val="00815B83"/>
    <w:rsid w:val="008160C3"/>
    <w:rsid w:val="00816503"/>
    <w:rsid w:val="008168DE"/>
    <w:rsid w:val="00816C27"/>
    <w:rsid w:val="008177B0"/>
    <w:rsid w:val="00820669"/>
    <w:rsid w:val="008207AB"/>
    <w:rsid w:val="00821458"/>
    <w:rsid w:val="00821AD0"/>
    <w:rsid w:val="00821E7B"/>
    <w:rsid w:val="0082257C"/>
    <w:rsid w:val="008225E5"/>
    <w:rsid w:val="00822A0C"/>
    <w:rsid w:val="00822C17"/>
    <w:rsid w:val="00822C93"/>
    <w:rsid w:val="00822F43"/>
    <w:rsid w:val="00823282"/>
    <w:rsid w:val="00823930"/>
    <w:rsid w:val="00824253"/>
    <w:rsid w:val="00824360"/>
    <w:rsid w:val="008245B4"/>
    <w:rsid w:val="00824801"/>
    <w:rsid w:val="00824871"/>
    <w:rsid w:val="00825206"/>
    <w:rsid w:val="00825210"/>
    <w:rsid w:val="008263D6"/>
    <w:rsid w:val="00826599"/>
    <w:rsid w:val="00826D60"/>
    <w:rsid w:val="0082724D"/>
    <w:rsid w:val="00827942"/>
    <w:rsid w:val="008300A1"/>
    <w:rsid w:val="008302A5"/>
    <w:rsid w:val="00830A45"/>
    <w:rsid w:val="00831D4E"/>
    <w:rsid w:val="00832138"/>
    <w:rsid w:val="00832629"/>
    <w:rsid w:val="00832C16"/>
    <w:rsid w:val="008332A9"/>
    <w:rsid w:val="00834E64"/>
    <w:rsid w:val="008368B0"/>
    <w:rsid w:val="00836E9C"/>
    <w:rsid w:val="00836F33"/>
    <w:rsid w:val="0083704B"/>
    <w:rsid w:val="00837466"/>
    <w:rsid w:val="008379A9"/>
    <w:rsid w:val="00840B87"/>
    <w:rsid w:val="008411AA"/>
    <w:rsid w:val="008413F0"/>
    <w:rsid w:val="00841886"/>
    <w:rsid w:val="0084193B"/>
    <w:rsid w:val="00842C2A"/>
    <w:rsid w:val="008430AE"/>
    <w:rsid w:val="00843D53"/>
    <w:rsid w:val="00843D69"/>
    <w:rsid w:val="00843EB6"/>
    <w:rsid w:val="00844387"/>
    <w:rsid w:val="00845895"/>
    <w:rsid w:val="00847183"/>
    <w:rsid w:val="0084728B"/>
    <w:rsid w:val="00847C20"/>
    <w:rsid w:val="008503BB"/>
    <w:rsid w:val="008503BD"/>
    <w:rsid w:val="0085056E"/>
    <w:rsid w:val="00850DBB"/>
    <w:rsid w:val="00851292"/>
    <w:rsid w:val="008515AE"/>
    <w:rsid w:val="008519EA"/>
    <w:rsid w:val="00854F58"/>
    <w:rsid w:val="00855BC9"/>
    <w:rsid w:val="00856648"/>
    <w:rsid w:val="00857337"/>
    <w:rsid w:val="008579E8"/>
    <w:rsid w:val="00860052"/>
    <w:rsid w:val="00860600"/>
    <w:rsid w:val="008607C2"/>
    <w:rsid w:val="00860D9D"/>
    <w:rsid w:val="00861034"/>
    <w:rsid w:val="00861559"/>
    <w:rsid w:val="00861E5C"/>
    <w:rsid w:val="00861F14"/>
    <w:rsid w:val="00861FBD"/>
    <w:rsid w:val="00862008"/>
    <w:rsid w:val="00862065"/>
    <w:rsid w:val="008622F2"/>
    <w:rsid w:val="008624FD"/>
    <w:rsid w:val="0086399E"/>
    <w:rsid w:val="00864443"/>
    <w:rsid w:val="00864D11"/>
    <w:rsid w:val="0086558D"/>
    <w:rsid w:val="00865B31"/>
    <w:rsid w:val="00865D5B"/>
    <w:rsid w:val="00866263"/>
    <w:rsid w:val="00866293"/>
    <w:rsid w:val="00866DB6"/>
    <w:rsid w:val="0086753F"/>
    <w:rsid w:val="00867549"/>
    <w:rsid w:val="00867D09"/>
    <w:rsid w:val="0087001B"/>
    <w:rsid w:val="0087037B"/>
    <w:rsid w:val="00870D89"/>
    <w:rsid w:val="00871780"/>
    <w:rsid w:val="00871BB0"/>
    <w:rsid w:val="00871F89"/>
    <w:rsid w:val="0087276D"/>
    <w:rsid w:val="00873011"/>
    <w:rsid w:val="008730DD"/>
    <w:rsid w:val="008730E1"/>
    <w:rsid w:val="008737B5"/>
    <w:rsid w:val="00873D98"/>
    <w:rsid w:val="00873DDE"/>
    <w:rsid w:val="00874AD3"/>
    <w:rsid w:val="00874F4C"/>
    <w:rsid w:val="00875F53"/>
    <w:rsid w:val="0087616D"/>
    <w:rsid w:val="00876AB7"/>
    <w:rsid w:val="00876E2D"/>
    <w:rsid w:val="008770E6"/>
    <w:rsid w:val="00877287"/>
    <w:rsid w:val="00877832"/>
    <w:rsid w:val="0088265F"/>
    <w:rsid w:val="0088278A"/>
    <w:rsid w:val="00882E41"/>
    <w:rsid w:val="00882FA1"/>
    <w:rsid w:val="008835BC"/>
    <w:rsid w:val="008839C1"/>
    <w:rsid w:val="00884D0D"/>
    <w:rsid w:val="00884EF6"/>
    <w:rsid w:val="008852C6"/>
    <w:rsid w:val="00886DFB"/>
    <w:rsid w:val="0088744D"/>
    <w:rsid w:val="008874BF"/>
    <w:rsid w:val="00887941"/>
    <w:rsid w:val="00887A29"/>
    <w:rsid w:val="00887A7A"/>
    <w:rsid w:val="00887C85"/>
    <w:rsid w:val="00887EFB"/>
    <w:rsid w:val="008905AB"/>
    <w:rsid w:val="00892CEC"/>
    <w:rsid w:val="008947FF"/>
    <w:rsid w:val="00894A24"/>
    <w:rsid w:val="0089516B"/>
    <w:rsid w:val="00895855"/>
    <w:rsid w:val="00896688"/>
    <w:rsid w:val="008967DC"/>
    <w:rsid w:val="008972E2"/>
    <w:rsid w:val="00897662"/>
    <w:rsid w:val="008A0A45"/>
    <w:rsid w:val="008A11FA"/>
    <w:rsid w:val="008A1713"/>
    <w:rsid w:val="008A1B18"/>
    <w:rsid w:val="008A3748"/>
    <w:rsid w:val="008A3B34"/>
    <w:rsid w:val="008A3F5F"/>
    <w:rsid w:val="008A3FE0"/>
    <w:rsid w:val="008A41C6"/>
    <w:rsid w:val="008A4205"/>
    <w:rsid w:val="008A4A2E"/>
    <w:rsid w:val="008A51EA"/>
    <w:rsid w:val="008A5366"/>
    <w:rsid w:val="008A5C87"/>
    <w:rsid w:val="008A5CFD"/>
    <w:rsid w:val="008A5F24"/>
    <w:rsid w:val="008A768B"/>
    <w:rsid w:val="008A7837"/>
    <w:rsid w:val="008A7C5B"/>
    <w:rsid w:val="008B01BA"/>
    <w:rsid w:val="008B0D77"/>
    <w:rsid w:val="008B10D9"/>
    <w:rsid w:val="008B112D"/>
    <w:rsid w:val="008B1733"/>
    <w:rsid w:val="008B23AF"/>
    <w:rsid w:val="008B23F0"/>
    <w:rsid w:val="008B2402"/>
    <w:rsid w:val="008B2427"/>
    <w:rsid w:val="008B2A13"/>
    <w:rsid w:val="008B2C08"/>
    <w:rsid w:val="008B2EC6"/>
    <w:rsid w:val="008B2FAE"/>
    <w:rsid w:val="008B35CA"/>
    <w:rsid w:val="008B3C79"/>
    <w:rsid w:val="008B481C"/>
    <w:rsid w:val="008B53DC"/>
    <w:rsid w:val="008B5720"/>
    <w:rsid w:val="008B5DE9"/>
    <w:rsid w:val="008B6A15"/>
    <w:rsid w:val="008B6CF3"/>
    <w:rsid w:val="008B6E5C"/>
    <w:rsid w:val="008B6F13"/>
    <w:rsid w:val="008B70AB"/>
    <w:rsid w:val="008B767A"/>
    <w:rsid w:val="008B777B"/>
    <w:rsid w:val="008B7AEA"/>
    <w:rsid w:val="008B7F6D"/>
    <w:rsid w:val="008C0B44"/>
    <w:rsid w:val="008C0FC0"/>
    <w:rsid w:val="008C1206"/>
    <w:rsid w:val="008C12D4"/>
    <w:rsid w:val="008C1358"/>
    <w:rsid w:val="008C1525"/>
    <w:rsid w:val="008C1839"/>
    <w:rsid w:val="008C1AFC"/>
    <w:rsid w:val="008C1C25"/>
    <w:rsid w:val="008C2360"/>
    <w:rsid w:val="008C307C"/>
    <w:rsid w:val="008C33A3"/>
    <w:rsid w:val="008C3559"/>
    <w:rsid w:val="008C3DB1"/>
    <w:rsid w:val="008C3F9C"/>
    <w:rsid w:val="008C4215"/>
    <w:rsid w:val="008C4CFF"/>
    <w:rsid w:val="008C5146"/>
    <w:rsid w:val="008C56CE"/>
    <w:rsid w:val="008C5949"/>
    <w:rsid w:val="008C5FAF"/>
    <w:rsid w:val="008C6101"/>
    <w:rsid w:val="008C6503"/>
    <w:rsid w:val="008C67B0"/>
    <w:rsid w:val="008C6911"/>
    <w:rsid w:val="008C6AB8"/>
    <w:rsid w:val="008C6EC0"/>
    <w:rsid w:val="008C712B"/>
    <w:rsid w:val="008C7563"/>
    <w:rsid w:val="008C7A61"/>
    <w:rsid w:val="008C7E54"/>
    <w:rsid w:val="008D014D"/>
    <w:rsid w:val="008D1F22"/>
    <w:rsid w:val="008D2563"/>
    <w:rsid w:val="008D27AD"/>
    <w:rsid w:val="008D2CE1"/>
    <w:rsid w:val="008D34E1"/>
    <w:rsid w:val="008D38C1"/>
    <w:rsid w:val="008D4C15"/>
    <w:rsid w:val="008D612C"/>
    <w:rsid w:val="008D69D4"/>
    <w:rsid w:val="008D7B8B"/>
    <w:rsid w:val="008D7C65"/>
    <w:rsid w:val="008E0208"/>
    <w:rsid w:val="008E0375"/>
    <w:rsid w:val="008E04C5"/>
    <w:rsid w:val="008E09CC"/>
    <w:rsid w:val="008E0CE2"/>
    <w:rsid w:val="008E0EF4"/>
    <w:rsid w:val="008E1143"/>
    <w:rsid w:val="008E1954"/>
    <w:rsid w:val="008E1A66"/>
    <w:rsid w:val="008E249D"/>
    <w:rsid w:val="008E2694"/>
    <w:rsid w:val="008E33BC"/>
    <w:rsid w:val="008E43A0"/>
    <w:rsid w:val="008E4B1A"/>
    <w:rsid w:val="008E514D"/>
    <w:rsid w:val="008E5D2E"/>
    <w:rsid w:val="008E5E32"/>
    <w:rsid w:val="008E63C3"/>
    <w:rsid w:val="008E6C77"/>
    <w:rsid w:val="008E7B38"/>
    <w:rsid w:val="008F20BB"/>
    <w:rsid w:val="008F3091"/>
    <w:rsid w:val="008F33C3"/>
    <w:rsid w:val="008F3729"/>
    <w:rsid w:val="008F3CA1"/>
    <w:rsid w:val="008F3E11"/>
    <w:rsid w:val="008F460B"/>
    <w:rsid w:val="008F4725"/>
    <w:rsid w:val="008F505A"/>
    <w:rsid w:val="008F5801"/>
    <w:rsid w:val="008F5D2A"/>
    <w:rsid w:val="008F6CBE"/>
    <w:rsid w:val="008F6F1A"/>
    <w:rsid w:val="008F76C3"/>
    <w:rsid w:val="008F7DBA"/>
    <w:rsid w:val="00900656"/>
    <w:rsid w:val="00900C5A"/>
    <w:rsid w:val="00900E46"/>
    <w:rsid w:val="00901991"/>
    <w:rsid w:val="00901C7B"/>
    <w:rsid w:val="00902461"/>
    <w:rsid w:val="0090256E"/>
    <w:rsid w:val="009026C1"/>
    <w:rsid w:val="009029D8"/>
    <w:rsid w:val="0090391B"/>
    <w:rsid w:val="009045DF"/>
    <w:rsid w:val="009049E2"/>
    <w:rsid w:val="00904CD4"/>
    <w:rsid w:val="0090527B"/>
    <w:rsid w:val="00906651"/>
    <w:rsid w:val="00907423"/>
    <w:rsid w:val="0090764C"/>
    <w:rsid w:val="0091028D"/>
    <w:rsid w:val="00910D08"/>
    <w:rsid w:val="00910F9E"/>
    <w:rsid w:val="00911972"/>
    <w:rsid w:val="00912042"/>
    <w:rsid w:val="009121FE"/>
    <w:rsid w:val="00912237"/>
    <w:rsid w:val="0091232F"/>
    <w:rsid w:val="00914998"/>
    <w:rsid w:val="009162D0"/>
    <w:rsid w:val="00916398"/>
    <w:rsid w:val="00916B41"/>
    <w:rsid w:val="00916BC6"/>
    <w:rsid w:val="00917F6F"/>
    <w:rsid w:val="00920675"/>
    <w:rsid w:val="009206BB"/>
    <w:rsid w:val="009216EF"/>
    <w:rsid w:val="00922C95"/>
    <w:rsid w:val="00922FF4"/>
    <w:rsid w:val="0092383E"/>
    <w:rsid w:val="0092500A"/>
    <w:rsid w:val="009251F6"/>
    <w:rsid w:val="009256D1"/>
    <w:rsid w:val="0092682D"/>
    <w:rsid w:val="00926E69"/>
    <w:rsid w:val="009272BA"/>
    <w:rsid w:val="0092748F"/>
    <w:rsid w:val="00927EC9"/>
    <w:rsid w:val="0093025B"/>
    <w:rsid w:val="009304ED"/>
    <w:rsid w:val="00930E34"/>
    <w:rsid w:val="00930FA7"/>
    <w:rsid w:val="00931260"/>
    <w:rsid w:val="0093236D"/>
    <w:rsid w:val="0093256F"/>
    <w:rsid w:val="00932EE1"/>
    <w:rsid w:val="0093300B"/>
    <w:rsid w:val="00933255"/>
    <w:rsid w:val="00933D37"/>
    <w:rsid w:val="00934275"/>
    <w:rsid w:val="009343C8"/>
    <w:rsid w:val="00934431"/>
    <w:rsid w:val="00934648"/>
    <w:rsid w:val="00934A58"/>
    <w:rsid w:val="00934D89"/>
    <w:rsid w:val="00936222"/>
    <w:rsid w:val="00936881"/>
    <w:rsid w:val="00936C9F"/>
    <w:rsid w:val="00937984"/>
    <w:rsid w:val="00940011"/>
    <w:rsid w:val="009402D6"/>
    <w:rsid w:val="00940731"/>
    <w:rsid w:val="009409C9"/>
    <w:rsid w:val="0094105A"/>
    <w:rsid w:val="00942047"/>
    <w:rsid w:val="00942171"/>
    <w:rsid w:val="009424B5"/>
    <w:rsid w:val="00943E9C"/>
    <w:rsid w:val="0094458E"/>
    <w:rsid w:val="00944631"/>
    <w:rsid w:val="00944FCA"/>
    <w:rsid w:val="009459EC"/>
    <w:rsid w:val="00945C38"/>
    <w:rsid w:val="00946213"/>
    <w:rsid w:val="00946F0F"/>
    <w:rsid w:val="0094735B"/>
    <w:rsid w:val="00947370"/>
    <w:rsid w:val="00947B6B"/>
    <w:rsid w:val="00950C28"/>
    <w:rsid w:val="00950C7E"/>
    <w:rsid w:val="00951FA5"/>
    <w:rsid w:val="009524FA"/>
    <w:rsid w:val="00953029"/>
    <w:rsid w:val="00953E71"/>
    <w:rsid w:val="009542C9"/>
    <w:rsid w:val="009546D8"/>
    <w:rsid w:val="00954A53"/>
    <w:rsid w:val="00954BAB"/>
    <w:rsid w:val="0095544D"/>
    <w:rsid w:val="00955B8F"/>
    <w:rsid w:val="00955DEF"/>
    <w:rsid w:val="00956022"/>
    <w:rsid w:val="00956155"/>
    <w:rsid w:val="00956674"/>
    <w:rsid w:val="00956D98"/>
    <w:rsid w:val="0095700A"/>
    <w:rsid w:val="009579C7"/>
    <w:rsid w:val="0096009F"/>
    <w:rsid w:val="00960B47"/>
    <w:rsid w:val="00960B5A"/>
    <w:rsid w:val="00960F02"/>
    <w:rsid w:val="0096155D"/>
    <w:rsid w:val="009624B0"/>
    <w:rsid w:val="009632FD"/>
    <w:rsid w:val="009633E2"/>
    <w:rsid w:val="00963692"/>
    <w:rsid w:val="009639D2"/>
    <w:rsid w:val="00963DF9"/>
    <w:rsid w:val="00964562"/>
    <w:rsid w:val="0096488C"/>
    <w:rsid w:val="00964A2C"/>
    <w:rsid w:val="00964D3D"/>
    <w:rsid w:val="009652A6"/>
    <w:rsid w:val="00965C2C"/>
    <w:rsid w:val="00965E20"/>
    <w:rsid w:val="00965E6E"/>
    <w:rsid w:val="0096637A"/>
    <w:rsid w:val="009663FF"/>
    <w:rsid w:val="0096656D"/>
    <w:rsid w:val="00966CDE"/>
    <w:rsid w:val="0096790C"/>
    <w:rsid w:val="00970724"/>
    <w:rsid w:val="0097094F"/>
    <w:rsid w:val="00970D32"/>
    <w:rsid w:val="00971821"/>
    <w:rsid w:val="00971F2E"/>
    <w:rsid w:val="00972DB3"/>
    <w:rsid w:val="00972E92"/>
    <w:rsid w:val="00972F6E"/>
    <w:rsid w:val="00974B1E"/>
    <w:rsid w:val="009752CC"/>
    <w:rsid w:val="009752F3"/>
    <w:rsid w:val="00975D40"/>
    <w:rsid w:val="00975F25"/>
    <w:rsid w:val="009763B3"/>
    <w:rsid w:val="009763FD"/>
    <w:rsid w:val="00976675"/>
    <w:rsid w:val="009766C5"/>
    <w:rsid w:val="0097768B"/>
    <w:rsid w:val="0098022D"/>
    <w:rsid w:val="00980796"/>
    <w:rsid w:val="00980952"/>
    <w:rsid w:val="00980EF5"/>
    <w:rsid w:val="0098278F"/>
    <w:rsid w:val="00982880"/>
    <w:rsid w:val="00982B69"/>
    <w:rsid w:val="0098322C"/>
    <w:rsid w:val="009838DA"/>
    <w:rsid w:val="00984FE9"/>
    <w:rsid w:val="009854B4"/>
    <w:rsid w:val="00985B8B"/>
    <w:rsid w:val="00986376"/>
    <w:rsid w:val="00986792"/>
    <w:rsid w:val="00986D1D"/>
    <w:rsid w:val="00986E26"/>
    <w:rsid w:val="00987803"/>
    <w:rsid w:val="00987A55"/>
    <w:rsid w:val="00987D35"/>
    <w:rsid w:val="00990481"/>
    <w:rsid w:val="00990B79"/>
    <w:rsid w:val="00992061"/>
    <w:rsid w:val="00992F53"/>
    <w:rsid w:val="00993896"/>
    <w:rsid w:val="00994135"/>
    <w:rsid w:val="00995046"/>
    <w:rsid w:val="009957C5"/>
    <w:rsid w:val="009958E3"/>
    <w:rsid w:val="00995A7C"/>
    <w:rsid w:val="00995E92"/>
    <w:rsid w:val="009965F5"/>
    <w:rsid w:val="0099687A"/>
    <w:rsid w:val="009968C6"/>
    <w:rsid w:val="009968CF"/>
    <w:rsid w:val="00996DC3"/>
    <w:rsid w:val="00997698"/>
    <w:rsid w:val="00997F1F"/>
    <w:rsid w:val="009A0BE5"/>
    <w:rsid w:val="009A0DDF"/>
    <w:rsid w:val="009A105F"/>
    <w:rsid w:val="009A16EB"/>
    <w:rsid w:val="009A16F0"/>
    <w:rsid w:val="009A173A"/>
    <w:rsid w:val="009A1A88"/>
    <w:rsid w:val="009A1B91"/>
    <w:rsid w:val="009A25D2"/>
    <w:rsid w:val="009A289F"/>
    <w:rsid w:val="009A33F8"/>
    <w:rsid w:val="009A4632"/>
    <w:rsid w:val="009A4B05"/>
    <w:rsid w:val="009A5AA4"/>
    <w:rsid w:val="009A5CEB"/>
    <w:rsid w:val="009A6462"/>
    <w:rsid w:val="009A64DA"/>
    <w:rsid w:val="009A6617"/>
    <w:rsid w:val="009A6DB3"/>
    <w:rsid w:val="009A7A58"/>
    <w:rsid w:val="009B042F"/>
    <w:rsid w:val="009B063C"/>
    <w:rsid w:val="009B0F4D"/>
    <w:rsid w:val="009B166D"/>
    <w:rsid w:val="009B1B22"/>
    <w:rsid w:val="009B2296"/>
    <w:rsid w:val="009B3705"/>
    <w:rsid w:val="009B3AE1"/>
    <w:rsid w:val="009B40E1"/>
    <w:rsid w:val="009B594B"/>
    <w:rsid w:val="009B6C79"/>
    <w:rsid w:val="009B710B"/>
    <w:rsid w:val="009B75E1"/>
    <w:rsid w:val="009B794A"/>
    <w:rsid w:val="009C0B4B"/>
    <w:rsid w:val="009C0FB2"/>
    <w:rsid w:val="009C1CDA"/>
    <w:rsid w:val="009C21D3"/>
    <w:rsid w:val="009C2E3C"/>
    <w:rsid w:val="009C34F8"/>
    <w:rsid w:val="009C3A79"/>
    <w:rsid w:val="009C426C"/>
    <w:rsid w:val="009C4355"/>
    <w:rsid w:val="009C48D5"/>
    <w:rsid w:val="009C4EDD"/>
    <w:rsid w:val="009C58CE"/>
    <w:rsid w:val="009C6084"/>
    <w:rsid w:val="009C639E"/>
    <w:rsid w:val="009C6642"/>
    <w:rsid w:val="009C6FD4"/>
    <w:rsid w:val="009C7463"/>
    <w:rsid w:val="009C7578"/>
    <w:rsid w:val="009D0D7E"/>
    <w:rsid w:val="009D12C2"/>
    <w:rsid w:val="009D211F"/>
    <w:rsid w:val="009D214D"/>
    <w:rsid w:val="009D2D09"/>
    <w:rsid w:val="009D2F7D"/>
    <w:rsid w:val="009D4108"/>
    <w:rsid w:val="009D43DC"/>
    <w:rsid w:val="009D5D3D"/>
    <w:rsid w:val="009D6130"/>
    <w:rsid w:val="009D6DDD"/>
    <w:rsid w:val="009D6E70"/>
    <w:rsid w:val="009D747C"/>
    <w:rsid w:val="009D791C"/>
    <w:rsid w:val="009E0945"/>
    <w:rsid w:val="009E0DF6"/>
    <w:rsid w:val="009E1E79"/>
    <w:rsid w:val="009E27C0"/>
    <w:rsid w:val="009E2BD1"/>
    <w:rsid w:val="009E2D2B"/>
    <w:rsid w:val="009E3212"/>
    <w:rsid w:val="009E3322"/>
    <w:rsid w:val="009E3408"/>
    <w:rsid w:val="009E34D2"/>
    <w:rsid w:val="009E37CF"/>
    <w:rsid w:val="009E3E73"/>
    <w:rsid w:val="009E4259"/>
    <w:rsid w:val="009E450A"/>
    <w:rsid w:val="009E46B0"/>
    <w:rsid w:val="009E473C"/>
    <w:rsid w:val="009E4A81"/>
    <w:rsid w:val="009E4C19"/>
    <w:rsid w:val="009E58E0"/>
    <w:rsid w:val="009E594D"/>
    <w:rsid w:val="009E5F3C"/>
    <w:rsid w:val="009E6169"/>
    <w:rsid w:val="009E656A"/>
    <w:rsid w:val="009E7CAB"/>
    <w:rsid w:val="009F02E2"/>
    <w:rsid w:val="009F1174"/>
    <w:rsid w:val="009F2C13"/>
    <w:rsid w:val="009F2CC8"/>
    <w:rsid w:val="009F2CDA"/>
    <w:rsid w:val="009F2DA2"/>
    <w:rsid w:val="009F2E7C"/>
    <w:rsid w:val="009F37EA"/>
    <w:rsid w:val="009F3D6D"/>
    <w:rsid w:val="009F409B"/>
    <w:rsid w:val="009F4129"/>
    <w:rsid w:val="009F47B4"/>
    <w:rsid w:val="009F4AE3"/>
    <w:rsid w:val="009F5050"/>
    <w:rsid w:val="009F50E4"/>
    <w:rsid w:val="009F55D8"/>
    <w:rsid w:val="009F56FF"/>
    <w:rsid w:val="009F6106"/>
    <w:rsid w:val="009F6771"/>
    <w:rsid w:val="009F6ABC"/>
    <w:rsid w:val="009F748B"/>
    <w:rsid w:val="009F7AFF"/>
    <w:rsid w:val="009F7F11"/>
    <w:rsid w:val="00A0003E"/>
    <w:rsid w:val="00A005A0"/>
    <w:rsid w:val="00A00EED"/>
    <w:rsid w:val="00A0223F"/>
    <w:rsid w:val="00A02ADD"/>
    <w:rsid w:val="00A03163"/>
    <w:rsid w:val="00A03BB0"/>
    <w:rsid w:val="00A04436"/>
    <w:rsid w:val="00A04512"/>
    <w:rsid w:val="00A05850"/>
    <w:rsid w:val="00A05AFF"/>
    <w:rsid w:val="00A05E47"/>
    <w:rsid w:val="00A06099"/>
    <w:rsid w:val="00A061E3"/>
    <w:rsid w:val="00A063E5"/>
    <w:rsid w:val="00A066BE"/>
    <w:rsid w:val="00A071C7"/>
    <w:rsid w:val="00A0746F"/>
    <w:rsid w:val="00A0766F"/>
    <w:rsid w:val="00A0784E"/>
    <w:rsid w:val="00A078D5"/>
    <w:rsid w:val="00A106E0"/>
    <w:rsid w:val="00A1078B"/>
    <w:rsid w:val="00A10CC5"/>
    <w:rsid w:val="00A11292"/>
    <w:rsid w:val="00A11931"/>
    <w:rsid w:val="00A120A0"/>
    <w:rsid w:val="00A12ACE"/>
    <w:rsid w:val="00A13F4C"/>
    <w:rsid w:val="00A14A96"/>
    <w:rsid w:val="00A15F79"/>
    <w:rsid w:val="00A1694F"/>
    <w:rsid w:val="00A16A84"/>
    <w:rsid w:val="00A1701C"/>
    <w:rsid w:val="00A17E3F"/>
    <w:rsid w:val="00A208A8"/>
    <w:rsid w:val="00A20BFB"/>
    <w:rsid w:val="00A20E41"/>
    <w:rsid w:val="00A20F05"/>
    <w:rsid w:val="00A214B8"/>
    <w:rsid w:val="00A2177E"/>
    <w:rsid w:val="00A22114"/>
    <w:rsid w:val="00A224E0"/>
    <w:rsid w:val="00A22F41"/>
    <w:rsid w:val="00A23620"/>
    <w:rsid w:val="00A23774"/>
    <w:rsid w:val="00A23B81"/>
    <w:rsid w:val="00A2436F"/>
    <w:rsid w:val="00A24EA7"/>
    <w:rsid w:val="00A25297"/>
    <w:rsid w:val="00A252C4"/>
    <w:rsid w:val="00A264D3"/>
    <w:rsid w:val="00A26785"/>
    <w:rsid w:val="00A2727D"/>
    <w:rsid w:val="00A272D0"/>
    <w:rsid w:val="00A2748C"/>
    <w:rsid w:val="00A275F5"/>
    <w:rsid w:val="00A278B5"/>
    <w:rsid w:val="00A27AAC"/>
    <w:rsid w:val="00A316F7"/>
    <w:rsid w:val="00A320C8"/>
    <w:rsid w:val="00A3251C"/>
    <w:rsid w:val="00A32AD8"/>
    <w:rsid w:val="00A33A7C"/>
    <w:rsid w:val="00A35375"/>
    <w:rsid w:val="00A35771"/>
    <w:rsid w:val="00A35FCA"/>
    <w:rsid w:val="00A36A28"/>
    <w:rsid w:val="00A36D0C"/>
    <w:rsid w:val="00A37844"/>
    <w:rsid w:val="00A37918"/>
    <w:rsid w:val="00A37945"/>
    <w:rsid w:val="00A37D1E"/>
    <w:rsid w:val="00A401B1"/>
    <w:rsid w:val="00A4051A"/>
    <w:rsid w:val="00A40AC3"/>
    <w:rsid w:val="00A40E33"/>
    <w:rsid w:val="00A425AC"/>
    <w:rsid w:val="00A4288E"/>
    <w:rsid w:val="00A4306F"/>
    <w:rsid w:val="00A433F6"/>
    <w:rsid w:val="00A43EA0"/>
    <w:rsid w:val="00A44821"/>
    <w:rsid w:val="00A44E6E"/>
    <w:rsid w:val="00A46A48"/>
    <w:rsid w:val="00A46A6C"/>
    <w:rsid w:val="00A46C43"/>
    <w:rsid w:val="00A47A51"/>
    <w:rsid w:val="00A47B08"/>
    <w:rsid w:val="00A47C56"/>
    <w:rsid w:val="00A47C62"/>
    <w:rsid w:val="00A47CBE"/>
    <w:rsid w:val="00A50EE5"/>
    <w:rsid w:val="00A51E23"/>
    <w:rsid w:val="00A528A6"/>
    <w:rsid w:val="00A52902"/>
    <w:rsid w:val="00A52E1D"/>
    <w:rsid w:val="00A53686"/>
    <w:rsid w:val="00A53AEC"/>
    <w:rsid w:val="00A53B2E"/>
    <w:rsid w:val="00A540E6"/>
    <w:rsid w:val="00A541BE"/>
    <w:rsid w:val="00A550AC"/>
    <w:rsid w:val="00A55220"/>
    <w:rsid w:val="00A559E2"/>
    <w:rsid w:val="00A5653F"/>
    <w:rsid w:val="00A565C7"/>
    <w:rsid w:val="00A566CE"/>
    <w:rsid w:val="00A56752"/>
    <w:rsid w:val="00A569D4"/>
    <w:rsid w:val="00A56D7D"/>
    <w:rsid w:val="00A5743E"/>
    <w:rsid w:val="00A60311"/>
    <w:rsid w:val="00A60AB1"/>
    <w:rsid w:val="00A60B10"/>
    <w:rsid w:val="00A60EBF"/>
    <w:rsid w:val="00A60F0C"/>
    <w:rsid w:val="00A60FA7"/>
    <w:rsid w:val="00A61064"/>
    <w:rsid w:val="00A6252A"/>
    <w:rsid w:val="00A639B7"/>
    <w:rsid w:val="00A63B51"/>
    <w:rsid w:val="00A63BBC"/>
    <w:rsid w:val="00A63CF4"/>
    <w:rsid w:val="00A63DF6"/>
    <w:rsid w:val="00A644B4"/>
    <w:rsid w:val="00A661F1"/>
    <w:rsid w:val="00A66456"/>
    <w:rsid w:val="00A666C8"/>
    <w:rsid w:val="00A66D55"/>
    <w:rsid w:val="00A67440"/>
    <w:rsid w:val="00A67D94"/>
    <w:rsid w:val="00A705E4"/>
    <w:rsid w:val="00A710BB"/>
    <w:rsid w:val="00A710EE"/>
    <w:rsid w:val="00A712FC"/>
    <w:rsid w:val="00A71A26"/>
    <w:rsid w:val="00A722C2"/>
    <w:rsid w:val="00A7316D"/>
    <w:rsid w:val="00A7337A"/>
    <w:rsid w:val="00A7365F"/>
    <w:rsid w:val="00A73A62"/>
    <w:rsid w:val="00A741F5"/>
    <w:rsid w:val="00A742D4"/>
    <w:rsid w:val="00A74786"/>
    <w:rsid w:val="00A75BCC"/>
    <w:rsid w:val="00A75FA2"/>
    <w:rsid w:val="00A767DC"/>
    <w:rsid w:val="00A77B63"/>
    <w:rsid w:val="00A80754"/>
    <w:rsid w:val="00A81251"/>
    <w:rsid w:val="00A81710"/>
    <w:rsid w:val="00A817A5"/>
    <w:rsid w:val="00A81D22"/>
    <w:rsid w:val="00A82322"/>
    <w:rsid w:val="00A827EB"/>
    <w:rsid w:val="00A82A0F"/>
    <w:rsid w:val="00A82E5D"/>
    <w:rsid w:val="00A837D1"/>
    <w:rsid w:val="00A8397E"/>
    <w:rsid w:val="00A83B2E"/>
    <w:rsid w:val="00A843E1"/>
    <w:rsid w:val="00A84E0C"/>
    <w:rsid w:val="00A84EA1"/>
    <w:rsid w:val="00A858E0"/>
    <w:rsid w:val="00A85990"/>
    <w:rsid w:val="00A85F2C"/>
    <w:rsid w:val="00A86475"/>
    <w:rsid w:val="00A86A0D"/>
    <w:rsid w:val="00A8705F"/>
    <w:rsid w:val="00A87117"/>
    <w:rsid w:val="00A8745F"/>
    <w:rsid w:val="00A91193"/>
    <w:rsid w:val="00A92531"/>
    <w:rsid w:val="00A931D3"/>
    <w:rsid w:val="00A93C97"/>
    <w:rsid w:val="00A93EA5"/>
    <w:rsid w:val="00A9499A"/>
    <w:rsid w:val="00A94F25"/>
    <w:rsid w:val="00A95F51"/>
    <w:rsid w:val="00A963F9"/>
    <w:rsid w:val="00A96541"/>
    <w:rsid w:val="00A965FF"/>
    <w:rsid w:val="00A97437"/>
    <w:rsid w:val="00A97A8E"/>
    <w:rsid w:val="00A97D15"/>
    <w:rsid w:val="00AA0144"/>
    <w:rsid w:val="00AA06D7"/>
    <w:rsid w:val="00AA0C24"/>
    <w:rsid w:val="00AA0FBD"/>
    <w:rsid w:val="00AA1194"/>
    <w:rsid w:val="00AA131E"/>
    <w:rsid w:val="00AA15D3"/>
    <w:rsid w:val="00AA169C"/>
    <w:rsid w:val="00AA17CA"/>
    <w:rsid w:val="00AA1A80"/>
    <w:rsid w:val="00AA227F"/>
    <w:rsid w:val="00AA2D49"/>
    <w:rsid w:val="00AA369D"/>
    <w:rsid w:val="00AA4BAB"/>
    <w:rsid w:val="00AA5276"/>
    <w:rsid w:val="00AA52C8"/>
    <w:rsid w:val="00AA57B6"/>
    <w:rsid w:val="00AA6EE8"/>
    <w:rsid w:val="00AB031D"/>
    <w:rsid w:val="00AB0B84"/>
    <w:rsid w:val="00AB0D70"/>
    <w:rsid w:val="00AB10CE"/>
    <w:rsid w:val="00AB11A5"/>
    <w:rsid w:val="00AB185A"/>
    <w:rsid w:val="00AB1941"/>
    <w:rsid w:val="00AB1B07"/>
    <w:rsid w:val="00AB1D3B"/>
    <w:rsid w:val="00AB1DBF"/>
    <w:rsid w:val="00AB23C4"/>
    <w:rsid w:val="00AB24DD"/>
    <w:rsid w:val="00AB24F3"/>
    <w:rsid w:val="00AB2617"/>
    <w:rsid w:val="00AB261D"/>
    <w:rsid w:val="00AB2638"/>
    <w:rsid w:val="00AB2B94"/>
    <w:rsid w:val="00AB2EDA"/>
    <w:rsid w:val="00AB39E5"/>
    <w:rsid w:val="00AB3A8E"/>
    <w:rsid w:val="00AB3CCA"/>
    <w:rsid w:val="00AB40E6"/>
    <w:rsid w:val="00AB45B1"/>
    <w:rsid w:val="00AB46A2"/>
    <w:rsid w:val="00AB4AE4"/>
    <w:rsid w:val="00AB5283"/>
    <w:rsid w:val="00AB59B0"/>
    <w:rsid w:val="00AB6615"/>
    <w:rsid w:val="00AB6795"/>
    <w:rsid w:val="00AB7807"/>
    <w:rsid w:val="00AC08D2"/>
    <w:rsid w:val="00AC13FA"/>
    <w:rsid w:val="00AC1670"/>
    <w:rsid w:val="00AC2F81"/>
    <w:rsid w:val="00AC2FE3"/>
    <w:rsid w:val="00AC3089"/>
    <w:rsid w:val="00AC3153"/>
    <w:rsid w:val="00AC3217"/>
    <w:rsid w:val="00AC34F3"/>
    <w:rsid w:val="00AC35F6"/>
    <w:rsid w:val="00AC438E"/>
    <w:rsid w:val="00AC455A"/>
    <w:rsid w:val="00AC4A3A"/>
    <w:rsid w:val="00AC5083"/>
    <w:rsid w:val="00AC5525"/>
    <w:rsid w:val="00AC5B6F"/>
    <w:rsid w:val="00AC5B96"/>
    <w:rsid w:val="00AC6010"/>
    <w:rsid w:val="00AC7852"/>
    <w:rsid w:val="00AC7A15"/>
    <w:rsid w:val="00AC7B94"/>
    <w:rsid w:val="00AC7BE8"/>
    <w:rsid w:val="00AD0236"/>
    <w:rsid w:val="00AD11E1"/>
    <w:rsid w:val="00AD1267"/>
    <w:rsid w:val="00AD1447"/>
    <w:rsid w:val="00AD1576"/>
    <w:rsid w:val="00AD1764"/>
    <w:rsid w:val="00AD28B8"/>
    <w:rsid w:val="00AD2BA9"/>
    <w:rsid w:val="00AD33D6"/>
    <w:rsid w:val="00AD366C"/>
    <w:rsid w:val="00AD44DB"/>
    <w:rsid w:val="00AD4915"/>
    <w:rsid w:val="00AD4E07"/>
    <w:rsid w:val="00AD4EFC"/>
    <w:rsid w:val="00AD56D4"/>
    <w:rsid w:val="00AD56EA"/>
    <w:rsid w:val="00AD599A"/>
    <w:rsid w:val="00AD59D2"/>
    <w:rsid w:val="00AD673B"/>
    <w:rsid w:val="00AD7DB3"/>
    <w:rsid w:val="00AE01DA"/>
    <w:rsid w:val="00AE089B"/>
    <w:rsid w:val="00AE0AFA"/>
    <w:rsid w:val="00AE1A14"/>
    <w:rsid w:val="00AE1BF3"/>
    <w:rsid w:val="00AE1D47"/>
    <w:rsid w:val="00AE2422"/>
    <w:rsid w:val="00AE26F3"/>
    <w:rsid w:val="00AE3920"/>
    <w:rsid w:val="00AE46A6"/>
    <w:rsid w:val="00AE4B99"/>
    <w:rsid w:val="00AE4BF4"/>
    <w:rsid w:val="00AE5540"/>
    <w:rsid w:val="00AE5A20"/>
    <w:rsid w:val="00AE5A3F"/>
    <w:rsid w:val="00AE5D4C"/>
    <w:rsid w:val="00AE677C"/>
    <w:rsid w:val="00AE7112"/>
    <w:rsid w:val="00AE73DD"/>
    <w:rsid w:val="00AE7A7C"/>
    <w:rsid w:val="00AF0120"/>
    <w:rsid w:val="00AF022A"/>
    <w:rsid w:val="00AF02AF"/>
    <w:rsid w:val="00AF185F"/>
    <w:rsid w:val="00AF1C78"/>
    <w:rsid w:val="00AF2356"/>
    <w:rsid w:val="00AF2967"/>
    <w:rsid w:val="00AF29DC"/>
    <w:rsid w:val="00AF2E37"/>
    <w:rsid w:val="00AF3EA8"/>
    <w:rsid w:val="00AF3EB2"/>
    <w:rsid w:val="00AF3F96"/>
    <w:rsid w:val="00AF5D6C"/>
    <w:rsid w:val="00AF60BF"/>
    <w:rsid w:val="00AF6A05"/>
    <w:rsid w:val="00B00284"/>
    <w:rsid w:val="00B005D6"/>
    <w:rsid w:val="00B00E07"/>
    <w:rsid w:val="00B01AF9"/>
    <w:rsid w:val="00B01C77"/>
    <w:rsid w:val="00B0236E"/>
    <w:rsid w:val="00B028EF"/>
    <w:rsid w:val="00B02AE1"/>
    <w:rsid w:val="00B02CC2"/>
    <w:rsid w:val="00B032D3"/>
    <w:rsid w:val="00B03A6C"/>
    <w:rsid w:val="00B03B13"/>
    <w:rsid w:val="00B04EC7"/>
    <w:rsid w:val="00B04FB4"/>
    <w:rsid w:val="00B05481"/>
    <w:rsid w:val="00B05763"/>
    <w:rsid w:val="00B05ABB"/>
    <w:rsid w:val="00B05AF4"/>
    <w:rsid w:val="00B06369"/>
    <w:rsid w:val="00B06EFB"/>
    <w:rsid w:val="00B11606"/>
    <w:rsid w:val="00B11E32"/>
    <w:rsid w:val="00B1240A"/>
    <w:rsid w:val="00B12BFE"/>
    <w:rsid w:val="00B13450"/>
    <w:rsid w:val="00B13D78"/>
    <w:rsid w:val="00B14B33"/>
    <w:rsid w:val="00B15B6F"/>
    <w:rsid w:val="00B167CE"/>
    <w:rsid w:val="00B16A16"/>
    <w:rsid w:val="00B17034"/>
    <w:rsid w:val="00B17855"/>
    <w:rsid w:val="00B178D4"/>
    <w:rsid w:val="00B20107"/>
    <w:rsid w:val="00B20315"/>
    <w:rsid w:val="00B2064C"/>
    <w:rsid w:val="00B20E04"/>
    <w:rsid w:val="00B20E7A"/>
    <w:rsid w:val="00B21945"/>
    <w:rsid w:val="00B23CF7"/>
    <w:rsid w:val="00B24405"/>
    <w:rsid w:val="00B24E21"/>
    <w:rsid w:val="00B25C9A"/>
    <w:rsid w:val="00B25DA9"/>
    <w:rsid w:val="00B25E3D"/>
    <w:rsid w:val="00B25F6A"/>
    <w:rsid w:val="00B26709"/>
    <w:rsid w:val="00B27722"/>
    <w:rsid w:val="00B301CC"/>
    <w:rsid w:val="00B3099B"/>
    <w:rsid w:val="00B30C45"/>
    <w:rsid w:val="00B30DB3"/>
    <w:rsid w:val="00B317A4"/>
    <w:rsid w:val="00B31926"/>
    <w:rsid w:val="00B326A1"/>
    <w:rsid w:val="00B32923"/>
    <w:rsid w:val="00B32D3E"/>
    <w:rsid w:val="00B33303"/>
    <w:rsid w:val="00B33C48"/>
    <w:rsid w:val="00B34D42"/>
    <w:rsid w:val="00B3566E"/>
    <w:rsid w:val="00B35F8C"/>
    <w:rsid w:val="00B361FA"/>
    <w:rsid w:val="00B36547"/>
    <w:rsid w:val="00B40AAC"/>
    <w:rsid w:val="00B40C82"/>
    <w:rsid w:val="00B40F05"/>
    <w:rsid w:val="00B4136C"/>
    <w:rsid w:val="00B41406"/>
    <w:rsid w:val="00B414B7"/>
    <w:rsid w:val="00B41A57"/>
    <w:rsid w:val="00B423B7"/>
    <w:rsid w:val="00B42D22"/>
    <w:rsid w:val="00B44005"/>
    <w:rsid w:val="00B445FC"/>
    <w:rsid w:val="00B44707"/>
    <w:rsid w:val="00B45432"/>
    <w:rsid w:val="00B4677C"/>
    <w:rsid w:val="00B46C50"/>
    <w:rsid w:val="00B47117"/>
    <w:rsid w:val="00B4752E"/>
    <w:rsid w:val="00B47540"/>
    <w:rsid w:val="00B477B3"/>
    <w:rsid w:val="00B47A33"/>
    <w:rsid w:val="00B508EA"/>
    <w:rsid w:val="00B50BE7"/>
    <w:rsid w:val="00B513B4"/>
    <w:rsid w:val="00B51652"/>
    <w:rsid w:val="00B51A54"/>
    <w:rsid w:val="00B5353F"/>
    <w:rsid w:val="00B53728"/>
    <w:rsid w:val="00B53731"/>
    <w:rsid w:val="00B54932"/>
    <w:rsid w:val="00B56421"/>
    <w:rsid w:val="00B5655D"/>
    <w:rsid w:val="00B56673"/>
    <w:rsid w:val="00B567F8"/>
    <w:rsid w:val="00B568DF"/>
    <w:rsid w:val="00B5724F"/>
    <w:rsid w:val="00B57CCA"/>
    <w:rsid w:val="00B60409"/>
    <w:rsid w:val="00B60B8A"/>
    <w:rsid w:val="00B614F4"/>
    <w:rsid w:val="00B617A4"/>
    <w:rsid w:val="00B61A72"/>
    <w:rsid w:val="00B61DE7"/>
    <w:rsid w:val="00B623DB"/>
    <w:rsid w:val="00B6307A"/>
    <w:rsid w:val="00B630C8"/>
    <w:rsid w:val="00B633CE"/>
    <w:rsid w:val="00B63577"/>
    <w:rsid w:val="00B644E3"/>
    <w:rsid w:val="00B651EF"/>
    <w:rsid w:val="00B65B2D"/>
    <w:rsid w:val="00B6615A"/>
    <w:rsid w:val="00B66465"/>
    <w:rsid w:val="00B66728"/>
    <w:rsid w:val="00B66F40"/>
    <w:rsid w:val="00B67CEB"/>
    <w:rsid w:val="00B67FCE"/>
    <w:rsid w:val="00B70962"/>
    <w:rsid w:val="00B70977"/>
    <w:rsid w:val="00B70B1D"/>
    <w:rsid w:val="00B7166A"/>
    <w:rsid w:val="00B71B90"/>
    <w:rsid w:val="00B72758"/>
    <w:rsid w:val="00B728A9"/>
    <w:rsid w:val="00B7294E"/>
    <w:rsid w:val="00B7298F"/>
    <w:rsid w:val="00B73A29"/>
    <w:rsid w:val="00B73B86"/>
    <w:rsid w:val="00B749DE"/>
    <w:rsid w:val="00B752DC"/>
    <w:rsid w:val="00B75C89"/>
    <w:rsid w:val="00B76436"/>
    <w:rsid w:val="00B768B0"/>
    <w:rsid w:val="00B76F1E"/>
    <w:rsid w:val="00B77E1E"/>
    <w:rsid w:val="00B80175"/>
    <w:rsid w:val="00B8055F"/>
    <w:rsid w:val="00B805C8"/>
    <w:rsid w:val="00B8093A"/>
    <w:rsid w:val="00B81049"/>
    <w:rsid w:val="00B82049"/>
    <w:rsid w:val="00B82A82"/>
    <w:rsid w:val="00B83186"/>
    <w:rsid w:val="00B833BA"/>
    <w:rsid w:val="00B833DD"/>
    <w:rsid w:val="00B835A7"/>
    <w:rsid w:val="00B83943"/>
    <w:rsid w:val="00B839C1"/>
    <w:rsid w:val="00B83EFF"/>
    <w:rsid w:val="00B849B7"/>
    <w:rsid w:val="00B84DCA"/>
    <w:rsid w:val="00B85298"/>
    <w:rsid w:val="00B86457"/>
    <w:rsid w:val="00B8741B"/>
    <w:rsid w:val="00B878B3"/>
    <w:rsid w:val="00B87E09"/>
    <w:rsid w:val="00B87F95"/>
    <w:rsid w:val="00B90705"/>
    <w:rsid w:val="00B90ACB"/>
    <w:rsid w:val="00B91D60"/>
    <w:rsid w:val="00B91FF3"/>
    <w:rsid w:val="00B92358"/>
    <w:rsid w:val="00B92BBA"/>
    <w:rsid w:val="00B938AD"/>
    <w:rsid w:val="00B93E52"/>
    <w:rsid w:val="00B9403C"/>
    <w:rsid w:val="00B941E1"/>
    <w:rsid w:val="00B94278"/>
    <w:rsid w:val="00B94C71"/>
    <w:rsid w:val="00B94E35"/>
    <w:rsid w:val="00B954FD"/>
    <w:rsid w:val="00B95A37"/>
    <w:rsid w:val="00B95BDE"/>
    <w:rsid w:val="00B95D02"/>
    <w:rsid w:val="00B96CA0"/>
    <w:rsid w:val="00B96DFE"/>
    <w:rsid w:val="00B971BF"/>
    <w:rsid w:val="00B977D1"/>
    <w:rsid w:val="00B97E65"/>
    <w:rsid w:val="00BA0985"/>
    <w:rsid w:val="00BA0FF1"/>
    <w:rsid w:val="00BA228D"/>
    <w:rsid w:val="00BA3786"/>
    <w:rsid w:val="00BA3913"/>
    <w:rsid w:val="00BA4B37"/>
    <w:rsid w:val="00BA4EF3"/>
    <w:rsid w:val="00BA5043"/>
    <w:rsid w:val="00BA56A7"/>
    <w:rsid w:val="00BA5BEB"/>
    <w:rsid w:val="00BA63E7"/>
    <w:rsid w:val="00BA6475"/>
    <w:rsid w:val="00BA678F"/>
    <w:rsid w:val="00BA6D74"/>
    <w:rsid w:val="00BA71CF"/>
    <w:rsid w:val="00BA7603"/>
    <w:rsid w:val="00BA76C0"/>
    <w:rsid w:val="00BA7CCD"/>
    <w:rsid w:val="00BA7E8C"/>
    <w:rsid w:val="00BA7F7E"/>
    <w:rsid w:val="00BB007C"/>
    <w:rsid w:val="00BB050D"/>
    <w:rsid w:val="00BB0704"/>
    <w:rsid w:val="00BB0745"/>
    <w:rsid w:val="00BB1302"/>
    <w:rsid w:val="00BB14F1"/>
    <w:rsid w:val="00BB3030"/>
    <w:rsid w:val="00BB33AE"/>
    <w:rsid w:val="00BB36C3"/>
    <w:rsid w:val="00BB418C"/>
    <w:rsid w:val="00BB4C02"/>
    <w:rsid w:val="00BB5562"/>
    <w:rsid w:val="00BB55AC"/>
    <w:rsid w:val="00BB606F"/>
    <w:rsid w:val="00BB752E"/>
    <w:rsid w:val="00BB7E5D"/>
    <w:rsid w:val="00BC014C"/>
    <w:rsid w:val="00BC0DE1"/>
    <w:rsid w:val="00BC0F7D"/>
    <w:rsid w:val="00BC247C"/>
    <w:rsid w:val="00BC4245"/>
    <w:rsid w:val="00BC430A"/>
    <w:rsid w:val="00BC4451"/>
    <w:rsid w:val="00BC4B26"/>
    <w:rsid w:val="00BC4C47"/>
    <w:rsid w:val="00BC5539"/>
    <w:rsid w:val="00BC5B8E"/>
    <w:rsid w:val="00BC5DDE"/>
    <w:rsid w:val="00BC68D4"/>
    <w:rsid w:val="00BC6A02"/>
    <w:rsid w:val="00BC7311"/>
    <w:rsid w:val="00BC76FB"/>
    <w:rsid w:val="00BC792F"/>
    <w:rsid w:val="00BC7AFE"/>
    <w:rsid w:val="00BD2716"/>
    <w:rsid w:val="00BD3529"/>
    <w:rsid w:val="00BD3680"/>
    <w:rsid w:val="00BD3A78"/>
    <w:rsid w:val="00BD455F"/>
    <w:rsid w:val="00BD52EA"/>
    <w:rsid w:val="00BD570D"/>
    <w:rsid w:val="00BD6013"/>
    <w:rsid w:val="00BD63C5"/>
    <w:rsid w:val="00BD6585"/>
    <w:rsid w:val="00BD65BE"/>
    <w:rsid w:val="00BD66AD"/>
    <w:rsid w:val="00BD68BB"/>
    <w:rsid w:val="00BD7A77"/>
    <w:rsid w:val="00BE0009"/>
    <w:rsid w:val="00BE0285"/>
    <w:rsid w:val="00BE0659"/>
    <w:rsid w:val="00BE0C8C"/>
    <w:rsid w:val="00BE1D7B"/>
    <w:rsid w:val="00BE218A"/>
    <w:rsid w:val="00BE2BB4"/>
    <w:rsid w:val="00BE2CE7"/>
    <w:rsid w:val="00BE36A6"/>
    <w:rsid w:val="00BE3DA9"/>
    <w:rsid w:val="00BE40DD"/>
    <w:rsid w:val="00BE5407"/>
    <w:rsid w:val="00BE54E2"/>
    <w:rsid w:val="00BE56C8"/>
    <w:rsid w:val="00BE5E72"/>
    <w:rsid w:val="00BE6778"/>
    <w:rsid w:val="00BE67D8"/>
    <w:rsid w:val="00BE6BBD"/>
    <w:rsid w:val="00BE7276"/>
    <w:rsid w:val="00BE750D"/>
    <w:rsid w:val="00BE77DD"/>
    <w:rsid w:val="00BF1B84"/>
    <w:rsid w:val="00BF1D4A"/>
    <w:rsid w:val="00BF2328"/>
    <w:rsid w:val="00BF282E"/>
    <w:rsid w:val="00BF366C"/>
    <w:rsid w:val="00BF37D6"/>
    <w:rsid w:val="00BF40C2"/>
    <w:rsid w:val="00BF418A"/>
    <w:rsid w:val="00BF419F"/>
    <w:rsid w:val="00BF4973"/>
    <w:rsid w:val="00BF4A4C"/>
    <w:rsid w:val="00BF4BFC"/>
    <w:rsid w:val="00BF68CD"/>
    <w:rsid w:val="00BF6A48"/>
    <w:rsid w:val="00BF7416"/>
    <w:rsid w:val="00C0217F"/>
    <w:rsid w:val="00C02672"/>
    <w:rsid w:val="00C03617"/>
    <w:rsid w:val="00C03E95"/>
    <w:rsid w:val="00C04130"/>
    <w:rsid w:val="00C0417B"/>
    <w:rsid w:val="00C04A33"/>
    <w:rsid w:val="00C04A6B"/>
    <w:rsid w:val="00C04E27"/>
    <w:rsid w:val="00C04FD9"/>
    <w:rsid w:val="00C0529E"/>
    <w:rsid w:val="00C0570C"/>
    <w:rsid w:val="00C05D04"/>
    <w:rsid w:val="00C05FAD"/>
    <w:rsid w:val="00C06333"/>
    <w:rsid w:val="00C06FF5"/>
    <w:rsid w:val="00C074DA"/>
    <w:rsid w:val="00C0752B"/>
    <w:rsid w:val="00C0778A"/>
    <w:rsid w:val="00C10423"/>
    <w:rsid w:val="00C10634"/>
    <w:rsid w:val="00C10969"/>
    <w:rsid w:val="00C10A1F"/>
    <w:rsid w:val="00C11B7C"/>
    <w:rsid w:val="00C11EFE"/>
    <w:rsid w:val="00C1274D"/>
    <w:rsid w:val="00C138F3"/>
    <w:rsid w:val="00C15D83"/>
    <w:rsid w:val="00C15FA8"/>
    <w:rsid w:val="00C165F4"/>
    <w:rsid w:val="00C176D7"/>
    <w:rsid w:val="00C17C30"/>
    <w:rsid w:val="00C17F75"/>
    <w:rsid w:val="00C20909"/>
    <w:rsid w:val="00C2120C"/>
    <w:rsid w:val="00C21A4B"/>
    <w:rsid w:val="00C226AC"/>
    <w:rsid w:val="00C22CC7"/>
    <w:rsid w:val="00C235E4"/>
    <w:rsid w:val="00C23A15"/>
    <w:rsid w:val="00C24694"/>
    <w:rsid w:val="00C2477C"/>
    <w:rsid w:val="00C24F1B"/>
    <w:rsid w:val="00C252C9"/>
    <w:rsid w:val="00C255BA"/>
    <w:rsid w:val="00C25F3D"/>
    <w:rsid w:val="00C2637D"/>
    <w:rsid w:val="00C2693E"/>
    <w:rsid w:val="00C2716F"/>
    <w:rsid w:val="00C31D7E"/>
    <w:rsid w:val="00C320F0"/>
    <w:rsid w:val="00C3228A"/>
    <w:rsid w:val="00C3256A"/>
    <w:rsid w:val="00C32946"/>
    <w:rsid w:val="00C32A05"/>
    <w:rsid w:val="00C33006"/>
    <w:rsid w:val="00C33182"/>
    <w:rsid w:val="00C33287"/>
    <w:rsid w:val="00C3370A"/>
    <w:rsid w:val="00C33D95"/>
    <w:rsid w:val="00C33EA0"/>
    <w:rsid w:val="00C345C5"/>
    <w:rsid w:val="00C346EF"/>
    <w:rsid w:val="00C3545E"/>
    <w:rsid w:val="00C363FA"/>
    <w:rsid w:val="00C36E67"/>
    <w:rsid w:val="00C3731F"/>
    <w:rsid w:val="00C373C2"/>
    <w:rsid w:val="00C4040E"/>
    <w:rsid w:val="00C40793"/>
    <w:rsid w:val="00C408B9"/>
    <w:rsid w:val="00C40CDE"/>
    <w:rsid w:val="00C42BC4"/>
    <w:rsid w:val="00C42CFC"/>
    <w:rsid w:val="00C42DE8"/>
    <w:rsid w:val="00C4303E"/>
    <w:rsid w:val="00C44376"/>
    <w:rsid w:val="00C45212"/>
    <w:rsid w:val="00C452E1"/>
    <w:rsid w:val="00C455FC"/>
    <w:rsid w:val="00C45968"/>
    <w:rsid w:val="00C4610A"/>
    <w:rsid w:val="00C461B5"/>
    <w:rsid w:val="00C46E52"/>
    <w:rsid w:val="00C47E49"/>
    <w:rsid w:val="00C51158"/>
    <w:rsid w:val="00C519A6"/>
    <w:rsid w:val="00C51E6D"/>
    <w:rsid w:val="00C52287"/>
    <w:rsid w:val="00C52D0F"/>
    <w:rsid w:val="00C53213"/>
    <w:rsid w:val="00C537C7"/>
    <w:rsid w:val="00C5384F"/>
    <w:rsid w:val="00C540A1"/>
    <w:rsid w:val="00C54496"/>
    <w:rsid w:val="00C55561"/>
    <w:rsid w:val="00C56A30"/>
    <w:rsid w:val="00C57280"/>
    <w:rsid w:val="00C57998"/>
    <w:rsid w:val="00C57E1D"/>
    <w:rsid w:val="00C61A8D"/>
    <w:rsid w:val="00C61B8C"/>
    <w:rsid w:val="00C62026"/>
    <w:rsid w:val="00C62768"/>
    <w:rsid w:val="00C62E17"/>
    <w:rsid w:val="00C62E7C"/>
    <w:rsid w:val="00C63335"/>
    <w:rsid w:val="00C63A1D"/>
    <w:rsid w:val="00C64947"/>
    <w:rsid w:val="00C64961"/>
    <w:rsid w:val="00C64CAC"/>
    <w:rsid w:val="00C651B8"/>
    <w:rsid w:val="00C654CE"/>
    <w:rsid w:val="00C65C4C"/>
    <w:rsid w:val="00C65E42"/>
    <w:rsid w:val="00C66085"/>
    <w:rsid w:val="00C661C0"/>
    <w:rsid w:val="00C67446"/>
    <w:rsid w:val="00C67BD4"/>
    <w:rsid w:val="00C67E63"/>
    <w:rsid w:val="00C713EE"/>
    <w:rsid w:val="00C719A2"/>
    <w:rsid w:val="00C72168"/>
    <w:rsid w:val="00C7236F"/>
    <w:rsid w:val="00C72929"/>
    <w:rsid w:val="00C7337C"/>
    <w:rsid w:val="00C73B42"/>
    <w:rsid w:val="00C74216"/>
    <w:rsid w:val="00C7427D"/>
    <w:rsid w:val="00C747BE"/>
    <w:rsid w:val="00C757AC"/>
    <w:rsid w:val="00C75A5D"/>
    <w:rsid w:val="00C75CF1"/>
    <w:rsid w:val="00C75E79"/>
    <w:rsid w:val="00C75EC5"/>
    <w:rsid w:val="00C7623F"/>
    <w:rsid w:val="00C7660B"/>
    <w:rsid w:val="00C76E77"/>
    <w:rsid w:val="00C77112"/>
    <w:rsid w:val="00C77C65"/>
    <w:rsid w:val="00C807E0"/>
    <w:rsid w:val="00C80AD1"/>
    <w:rsid w:val="00C81217"/>
    <w:rsid w:val="00C81D9C"/>
    <w:rsid w:val="00C8215C"/>
    <w:rsid w:val="00C821DB"/>
    <w:rsid w:val="00C8235E"/>
    <w:rsid w:val="00C82523"/>
    <w:rsid w:val="00C82ADA"/>
    <w:rsid w:val="00C82FB6"/>
    <w:rsid w:val="00C8347C"/>
    <w:rsid w:val="00C83873"/>
    <w:rsid w:val="00C83AFC"/>
    <w:rsid w:val="00C83F7D"/>
    <w:rsid w:val="00C8431C"/>
    <w:rsid w:val="00C84D5D"/>
    <w:rsid w:val="00C852C4"/>
    <w:rsid w:val="00C853DE"/>
    <w:rsid w:val="00C859C2"/>
    <w:rsid w:val="00C85DC7"/>
    <w:rsid w:val="00C85F92"/>
    <w:rsid w:val="00C85FF2"/>
    <w:rsid w:val="00C863C6"/>
    <w:rsid w:val="00C86A79"/>
    <w:rsid w:val="00C87265"/>
    <w:rsid w:val="00C8741F"/>
    <w:rsid w:val="00C8752B"/>
    <w:rsid w:val="00C87A8C"/>
    <w:rsid w:val="00C87EFF"/>
    <w:rsid w:val="00C90080"/>
    <w:rsid w:val="00C901AB"/>
    <w:rsid w:val="00C9077C"/>
    <w:rsid w:val="00C92149"/>
    <w:rsid w:val="00C9279F"/>
    <w:rsid w:val="00C9315C"/>
    <w:rsid w:val="00C931DC"/>
    <w:rsid w:val="00C93A49"/>
    <w:rsid w:val="00C93B28"/>
    <w:rsid w:val="00C94258"/>
    <w:rsid w:val="00C957F9"/>
    <w:rsid w:val="00C959CF"/>
    <w:rsid w:val="00C95B7A"/>
    <w:rsid w:val="00C96312"/>
    <w:rsid w:val="00C97342"/>
    <w:rsid w:val="00C97940"/>
    <w:rsid w:val="00CA02B3"/>
    <w:rsid w:val="00CA0987"/>
    <w:rsid w:val="00CA1327"/>
    <w:rsid w:val="00CA1CCB"/>
    <w:rsid w:val="00CA1ECC"/>
    <w:rsid w:val="00CA2033"/>
    <w:rsid w:val="00CA2738"/>
    <w:rsid w:val="00CA2C63"/>
    <w:rsid w:val="00CA2C65"/>
    <w:rsid w:val="00CA3BC8"/>
    <w:rsid w:val="00CA3CEC"/>
    <w:rsid w:val="00CA3DC7"/>
    <w:rsid w:val="00CA4CD8"/>
    <w:rsid w:val="00CA50AA"/>
    <w:rsid w:val="00CA51C0"/>
    <w:rsid w:val="00CA5F16"/>
    <w:rsid w:val="00CA61B9"/>
    <w:rsid w:val="00CA6321"/>
    <w:rsid w:val="00CA6398"/>
    <w:rsid w:val="00CA6594"/>
    <w:rsid w:val="00CA716D"/>
    <w:rsid w:val="00CA73CA"/>
    <w:rsid w:val="00CA755D"/>
    <w:rsid w:val="00CA7E36"/>
    <w:rsid w:val="00CB0ECB"/>
    <w:rsid w:val="00CB10C9"/>
    <w:rsid w:val="00CB1D4F"/>
    <w:rsid w:val="00CB21E8"/>
    <w:rsid w:val="00CB2A22"/>
    <w:rsid w:val="00CB301D"/>
    <w:rsid w:val="00CB3357"/>
    <w:rsid w:val="00CB35A0"/>
    <w:rsid w:val="00CB3FDC"/>
    <w:rsid w:val="00CB5679"/>
    <w:rsid w:val="00CB57E8"/>
    <w:rsid w:val="00CB5F14"/>
    <w:rsid w:val="00CB6368"/>
    <w:rsid w:val="00CB66B4"/>
    <w:rsid w:val="00CB6EEF"/>
    <w:rsid w:val="00CC0309"/>
    <w:rsid w:val="00CC073C"/>
    <w:rsid w:val="00CC0F84"/>
    <w:rsid w:val="00CC1340"/>
    <w:rsid w:val="00CC14E3"/>
    <w:rsid w:val="00CC1769"/>
    <w:rsid w:val="00CC1F29"/>
    <w:rsid w:val="00CC20C3"/>
    <w:rsid w:val="00CC235D"/>
    <w:rsid w:val="00CC29DB"/>
    <w:rsid w:val="00CC3057"/>
    <w:rsid w:val="00CC30DC"/>
    <w:rsid w:val="00CC31FB"/>
    <w:rsid w:val="00CC3505"/>
    <w:rsid w:val="00CC3547"/>
    <w:rsid w:val="00CC364B"/>
    <w:rsid w:val="00CC38CB"/>
    <w:rsid w:val="00CC3AC2"/>
    <w:rsid w:val="00CC3C82"/>
    <w:rsid w:val="00CC466F"/>
    <w:rsid w:val="00CC491D"/>
    <w:rsid w:val="00CC4B98"/>
    <w:rsid w:val="00CC4D74"/>
    <w:rsid w:val="00CC4E51"/>
    <w:rsid w:val="00CC4F0F"/>
    <w:rsid w:val="00CC5DA3"/>
    <w:rsid w:val="00CC646B"/>
    <w:rsid w:val="00CD08BE"/>
    <w:rsid w:val="00CD0AD3"/>
    <w:rsid w:val="00CD1D40"/>
    <w:rsid w:val="00CD264E"/>
    <w:rsid w:val="00CD2A5D"/>
    <w:rsid w:val="00CD324C"/>
    <w:rsid w:val="00CD32D3"/>
    <w:rsid w:val="00CD4CBD"/>
    <w:rsid w:val="00CD532B"/>
    <w:rsid w:val="00CD55FD"/>
    <w:rsid w:val="00CD565F"/>
    <w:rsid w:val="00CD7353"/>
    <w:rsid w:val="00CD7AF6"/>
    <w:rsid w:val="00CE0303"/>
    <w:rsid w:val="00CE0A45"/>
    <w:rsid w:val="00CE16CB"/>
    <w:rsid w:val="00CE1FE1"/>
    <w:rsid w:val="00CE3DC6"/>
    <w:rsid w:val="00CE4036"/>
    <w:rsid w:val="00CE4951"/>
    <w:rsid w:val="00CE4D76"/>
    <w:rsid w:val="00CE5EBB"/>
    <w:rsid w:val="00CE62C8"/>
    <w:rsid w:val="00CE74DF"/>
    <w:rsid w:val="00CE76C4"/>
    <w:rsid w:val="00CE7B3B"/>
    <w:rsid w:val="00CE7DC5"/>
    <w:rsid w:val="00CF051B"/>
    <w:rsid w:val="00CF052C"/>
    <w:rsid w:val="00CF07E1"/>
    <w:rsid w:val="00CF0900"/>
    <w:rsid w:val="00CF0D82"/>
    <w:rsid w:val="00CF171C"/>
    <w:rsid w:val="00CF1DC7"/>
    <w:rsid w:val="00CF1FD0"/>
    <w:rsid w:val="00CF210D"/>
    <w:rsid w:val="00CF24EC"/>
    <w:rsid w:val="00CF28C9"/>
    <w:rsid w:val="00CF29C2"/>
    <w:rsid w:val="00CF2DB5"/>
    <w:rsid w:val="00CF322C"/>
    <w:rsid w:val="00CF325F"/>
    <w:rsid w:val="00CF396A"/>
    <w:rsid w:val="00CF3E13"/>
    <w:rsid w:val="00CF4475"/>
    <w:rsid w:val="00CF44DB"/>
    <w:rsid w:val="00CF47BE"/>
    <w:rsid w:val="00CF4896"/>
    <w:rsid w:val="00CF5A99"/>
    <w:rsid w:val="00CF5DCA"/>
    <w:rsid w:val="00CF6171"/>
    <w:rsid w:val="00CF6A5A"/>
    <w:rsid w:val="00CF72F5"/>
    <w:rsid w:val="00CF7756"/>
    <w:rsid w:val="00D00226"/>
    <w:rsid w:val="00D0072D"/>
    <w:rsid w:val="00D009E2"/>
    <w:rsid w:val="00D010D2"/>
    <w:rsid w:val="00D023CA"/>
    <w:rsid w:val="00D02460"/>
    <w:rsid w:val="00D02EB0"/>
    <w:rsid w:val="00D02FA9"/>
    <w:rsid w:val="00D03B5D"/>
    <w:rsid w:val="00D05213"/>
    <w:rsid w:val="00D05523"/>
    <w:rsid w:val="00D055B1"/>
    <w:rsid w:val="00D05BB0"/>
    <w:rsid w:val="00D06E4B"/>
    <w:rsid w:val="00D071CC"/>
    <w:rsid w:val="00D072F3"/>
    <w:rsid w:val="00D1084D"/>
    <w:rsid w:val="00D10D81"/>
    <w:rsid w:val="00D10FFA"/>
    <w:rsid w:val="00D113A6"/>
    <w:rsid w:val="00D114B8"/>
    <w:rsid w:val="00D12B25"/>
    <w:rsid w:val="00D1376D"/>
    <w:rsid w:val="00D13C75"/>
    <w:rsid w:val="00D13E2C"/>
    <w:rsid w:val="00D150D5"/>
    <w:rsid w:val="00D15359"/>
    <w:rsid w:val="00D16A5B"/>
    <w:rsid w:val="00D16AE2"/>
    <w:rsid w:val="00D1737F"/>
    <w:rsid w:val="00D174CE"/>
    <w:rsid w:val="00D179BD"/>
    <w:rsid w:val="00D1ACEB"/>
    <w:rsid w:val="00D2144A"/>
    <w:rsid w:val="00D218DB"/>
    <w:rsid w:val="00D21FD2"/>
    <w:rsid w:val="00D2284B"/>
    <w:rsid w:val="00D22BD0"/>
    <w:rsid w:val="00D233F3"/>
    <w:rsid w:val="00D24693"/>
    <w:rsid w:val="00D25A22"/>
    <w:rsid w:val="00D26074"/>
    <w:rsid w:val="00D26933"/>
    <w:rsid w:val="00D30117"/>
    <w:rsid w:val="00D30274"/>
    <w:rsid w:val="00D30538"/>
    <w:rsid w:val="00D30AEE"/>
    <w:rsid w:val="00D31839"/>
    <w:rsid w:val="00D32308"/>
    <w:rsid w:val="00D32AD6"/>
    <w:rsid w:val="00D33111"/>
    <w:rsid w:val="00D33216"/>
    <w:rsid w:val="00D33E8A"/>
    <w:rsid w:val="00D34644"/>
    <w:rsid w:val="00D359A7"/>
    <w:rsid w:val="00D3604A"/>
    <w:rsid w:val="00D36BA4"/>
    <w:rsid w:val="00D3748E"/>
    <w:rsid w:val="00D37A3F"/>
    <w:rsid w:val="00D37AB4"/>
    <w:rsid w:val="00D37C33"/>
    <w:rsid w:val="00D412E3"/>
    <w:rsid w:val="00D41ACE"/>
    <w:rsid w:val="00D42376"/>
    <w:rsid w:val="00D424EF"/>
    <w:rsid w:val="00D428E9"/>
    <w:rsid w:val="00D42A36"/>
    <w:rsid w:val="00D43699"/>
    <w:rsid w:val="00D43F8C"/>
    <w:rsid w:val="00D44DA8"/>
    <w:rsid w:val="00D45552"/>
    <w:rsid w:val="00D45561"/>
    <w:rsid w:val="00D46E4F"/>
    <w:rsid w:val="00D500C8"/>
    <w:rsid w:val="00D500CE"/>
    <w:rsid w:val="00D506A9"/>
    <w:rsid w:val="00D5098C"/>
    <w:rsid w:val="00D51A5B"/>
    <w:rsid w:val="00D53273"/>
    <w:rsid w:val="00D534B2"/>
    <w:rsid w:val="00D536BD"/>
    <w:rsid w:val="00D53C33"/>
    <w:rsid w:val="00D544F1"/>
    <w:rsid w:val="00D54E2C"/>
    <w:rsid w:val="00D5503F"/>
    <w:rsid w:val="00D55CAB"/>
    <w:rsid w:val="00D564BF"/>
    <w:rsid w:val="00D569C9"/>
    <w:rsid w:val="00D56E6A"/>
    <w:rsid w:val="00D5713B"/>
    <w:rsid w:val="00D574E0"/>
    <w:rsid w:val="00D57BFB"/>
    <w:rsid w:val="00D57F4D"/>
    <w:rsid w:val="00D60480"/>
    <w:rsid w:val="00D6109E"/>
    <w:rsid w:val="00D61B65"/>
    <w:rsid w:val="00D622ED"/>
    <w:rsid w:val="00D62C16"/>
    <w:rsid w:val="00D631C3"/>
    <w:rsid w:val="00D63DD3"/>
    <w:rsid w:val="00D64BDF"/>
    <w:rsid w:val="00D65114"/>
    <w:rsid w:val="00D65169"/>
    <w:rsid w:val="00D659F8"/>
    <w:rsid w:val="00D65F3D"/>
    <w:rsid w:val="00D67573"/>
    <w:rsid w:val="00D67A6D"/>
    <w:rsid w:val="00D67B38"/>
    <w:rsid w:val="00D71122"/>
    <w:rsid w:val="00D7136D"/>
    <w:rsid w:val="00D71FB8"/>
    <w:rsid w:val="00D7275B"/>
    <w:rsid w:val="00D728F5"/>
    <w:rsid w:val="00D72942"/>
    <w:rsid w:val="00D72EF1"/>
    <w:rsid w:val="00D7319C"/>
    <w:rsid w:val="00D737BB"/>
    <w:rsid w:val="00D739AA"/>
    <w:rsid w:val="00D73BEB"/>
    <w:rsid w:val="00D73FC1"/>
    <w:rsid w:val="00D75BC2"/>
    <w:rsid w:val="00D76E91"/>
    <w:rsid w:val="00D76FB7"/>
    <w:rsid w:val="00D77FA7"/>
    <w:rsid w:val="00D80A3A"/>
    <w:rsid w:val="00D80B77"/>
    <w:rsid w:val="00D80D47"/>
    <w:rsid w:val="00D80FF8"/>
    <w:rsid w:val="00D8104E"/>
    <w:rsid w:val="00D810E4"/>
    <w:rsid w:val="00D8270E"/>
    <w:rsid w:val="00D82C70"/>
    <w:rsid w:val="00D830B7"/>
    <w:rsid w:val="00D832C9"/>
    <w:rsid w:val="00D83A07"/>
    <w:rsid w:val="00D84072"/>
    <w:rsid w:val="00D841E5"/>
    <w:rsid w:val="00D84806"/>
    <w:rsid w:val="00D856EC"/>
    <w:rsid w:val="00D8618D"/>
    <w:rsid w:val="00D90575"/>
    <w:rsid w:val="00D90DD3"/>
    <w:rsid w:val="00D9112D"/>
    <w:rsid w:val="00D9175C"/>
    <w:rsid w:val="00D923FB"/>
    <w:rsid w:val="00D9264D"/>
    <w:rsid w:val="00D93DF3"/>
    <w:rsid w:val="00D941DC"/>
    <w:rsid w:val="00D9466C"/>
    <w:rsid w:val="00D960B5"/>
    <w:rsid w:val="00D97567"/>
    <w:rsid w:val="00D97EF5"/>
    <w:rsid w:val="00DA02DF"/>
    <w:rsid w:val="00DA084B"/>
    <w:rsid w:val="00DA1316"/>
    <w:rsid w:val="00DA1350"/>
    <w:rsid w:val="00DA1BF1"/>
    <w:rsid w:val="00DA2920"/>
    <w:rsid w:val="00DA2BEF"/>
    <w:rsid w:val="00DA30B0"/>
    <w:rsid w:val="00DA3DE5"/>
    <w:rsid w:val="00DA45A0"/>
    <w:rsid w:val="00DA4C73"/>
    <w:rsid w:val="00DA6FD7"/>
    <w:rsid w:val="00DA7A39"/>
    <w:rsid w:val="00DA7F7A"/>
    <w:rsid w:val="00DA7FC8"/>
    <w:rsid w:val="00DB0569"/>
    <w:rsid w:val="00DB0844"/>
    <w:rsid w:val="00DB10FE"/>
    <w:rsid w:val="00DB1558"/>
    <w:rsid w:val="00DB1AD5"/>
    <w:rsid w:val="00DB2364"/>
    <w:rsid w:val="00DB2388"/>
    <w:rsid w:val="00DB29F9"/>
    <w:rsid w:val="00DB2B1C"/>
    <w:rsid w:val="00DB2EE4"/>
    <w:rsid w:val="00DB4759"/>
    <w:rsid w:val="00DB4B20"/>
    <w:rsid w:val="00DB6D62"/>
    <w:rsid w:val="00DB6E7E"/>
    <w:rsid w:val="00DB7898"/>
    <w:rsid w:val="00DC01DA"/>
    <w:rsid w:val="00DC030C"/>
    <w:rsid w:val="00DC09A6"/>
    <w:rsid w:val="00DC0FAF"/>
    <w:rsid w:val="00DC137D"/>
    <w:rsid w:val="00DC1D75"/>
    <w:rsid w:val="00DC2171"/>
    <w:rsid w:val="00DC22CE"/>
    <w:rsid w:val="00DC27D8"/>
    <w:rsid w:val="00DC2B45"/>
    <w:rsid w:val="00DC2B81"/>
    <w:rsid w:val="00DC3AE4"/>
    <w:rsid w:val="00DC438B"/>
    <w:rsid w:val="00DC4402"/>
    <w:rsid w:val="00DC486A"/>
    <w:rsid w:val="00DC4973"/>
    <w:rsid w:val="00DC59B9"/>
    <w:rsid w:val="00DC5D84"/>
    <w:rsid w:val="00DC63D1"/>
    <w:rsid w:val="00DC696D"/>
    <w:rsid w:val="00DC6DFA"/>
    <w:rsid w:val="00DC79C4"/>
    <w:rsid w:val="00DC7EFF"/>
    <w:rsid w:val="00DD09AD"/>
    <w:rsid w:val="00DD1842"/>
    <w:rsid w:val="00DD277D"/>
    <w:rsid w:val="00DD2F1E"/>
    <w:rsid w:val="00DD3102"/>
    <w:rsid w:val="00DD3301"/>
    <w:rsid w:val="00DD3FE7"/>
    <w:rsid w:val="00DD40A7"/>
    <w:rsid w:val="00DD461D"/>
    <w:rsid w:val="00DD471A"/>
    <w:rsid w:val="00DD4CAC"/>
    <w:rsid w:val="00DD5585"/>
    <w:rsid w:val="00DD56C0"/>
    <w:rsid w:val="00DD69A9"/>
    <w:rsid w:val="00DD7329"/>
    <w:rsid w:val="00DD744E"/>
    <w:rsid w:val="00DD7972"/>
    <w:rsid w:val="00DD7E4E"/>
    <w:rsid w:val="00DE10EE"/>
    <w:rsid w:val="00DE174B"/>
    <w:rsid w:val="00DE2378"/>
    <w:rsid w:val="00DE2727"/>
    <w:rsid w:val="00DE2826"/>
    <w:rsid w:val="00DE2BDC"/>
    <w:rsid w:val="00DE3ADA"/>
    <w:rsid w:val="00DE4899"/>
    <w:rsid w:val="00DE5244"/>
    <w:rsid w:val="00DE5852"/>
    <w:rsid w:val="00DE5F33"/>
    <w:rsid w:val="00DE6A43"/>
    <w:rsid w:val="00DE797D"/>
    <w:rsid w:val="00DF00F6"/>
    <w:rsid w:val="00DF011D"/>
    <w:rsid w:val="00DF0666"/>
    <w:rsid w:val="00DF07AC"/>
    <w:rsid w:val="00DF0CDD"/>
    <w:rsid w:val="00DF0D6C"/>
    <w:rsid w:val="00DF122C"/>
    <w:rsid w:val="00DF17D5"/>
    <w:rsid w:val="00DF1E2F"/>
    <w:rsid w:val="00DF237F"/>
    <w:rsid w:val="00DF28AC"/>
    <w:rsid w:val="00DF2AD8"/>
    <w:rsid w:val="00DF2D84"/>
    <w:rsid w:val="00DF3A08"/>
    <w:rsid w:val="00DF3D35"/>
    <w:rsid w:val="00DF571B"/>
    <w:rsid w:val="00DF59EE"/>
    <w:rsid w:val="00DF5E90"/>
    <w:rsid w:val="00DF6E5A"/>
    <w:rsid w:val="00DF7067"/>
    <w:rsid w:val="00DF7ED7"/>
    <w:rsid w:val="00E00C99"/>
    <w:rsid w:val="00E01789"/>
    <w:rsid w:val="00E01A5F"/>
    <w:rsid w:val="00E01DAE"/>
    <w:rsid w:val="00E022BC"/>
    <w:rsid w:val="00E02A0A"/>
    <w:rsid w:val="00E02B45"/>
    <w:rsid w:val="00E03579"/>
    <w:rsid w:val="00E04ED0"/>
    <w:rsid w:val="00E05222"/>
    <w:rsid w:val="00E05D39"/>
    <w:rsid w:val="00E0636E"/>
    <w:rsid w:val="00E063CF"/>
    <w:rsid w:val="00E067C8"/>
    <w:rsid w:val="00E0684C"/>
    <w:rsid w:val="00E07235"/>
    <w:rsid w:val="00E07462"/>
    <w:rsid w:val="00E10174"/>
    <w:rsid w:val="00E10D80"/>
    <w:rsid w:val="00E113E3"/>
    <w:rsid w:val="00E11834"/>
    <w:rsid w:val="00E11B1D"/>
    <w:rsid w:val="00E12042"/>
    <w:rsid w:val="00E12C3B"/>
    <w:rsid w:val="00E13655"/>
    <w:rsid w:val="00E1367E"/>
    <w:rsid w:val="00E138E0"/>
    <w:rsid w:val="00E13979"/>
    <w:rsid w:val="00E13DBC"/>
    <w:rsid w:val="00E14C88"/>
    <w:rsid w:val="00E16889"/>
    <w:rsid w:val="00E16E3A"/>
    <w:rsid w:val="00E17129"/>
    <w:rsid w:val="00E1762A"/>
    <w:rsid w:val="00E179A4"/>
    <w:rsid w:val="00E20515"/>
    <w:rsid w:val="00E20CAC"/>
    <w:rsid w:val="00E20FAD"/>
    <w:rsid w:val="00E21224"/>
    <w:rsid w:val="00E21B28"/>
    <w:rsid w:val="00E23161"/>
    <w:rsid w:val="00E2330B"/>
    <w:rsid w:val="00E23F10"/>
    <w:rsid w:val="00E25499"/>
    <w:rsid w:val="00E25AF4"/>
    <w:rsid w:val="00E2653B"/>
    <w:rsid w:val="00E268A5"/>
    <w:rsid w:val="00E26B95"/>
    <w:rsid w:val="00E27090"/>
    <w:rsid w:val="00E27670"/>
    <w:rsid w:val="00E27BEE"/>
    <w:rsid w:val="00E27FDD"/>
    <w:rsid w:val="00E30697"/>
    <w:rsid w:val="00E3118B"/>
    <w:rsid w:val="00E31A68"/>
    <w:rsid w:val="00E32217"/>
    <w:rsid w:val="00E32D2C"/>
    <w:rsid w:val="00E33601"/>
    <w:rsid w:val="00E33B03"/>
    <w:rsid w:val="00E33C9F"/>
    <w:rsid w:val="00E33EE6"/>
    <w:rsid w:val="00E342C9"/>
    <w:rsid w:val="00E34FA0"/>
    <w:rsid w:val="00E35F1A"/>
    <w:rsid w:val="00E35FD4"/>
    <w:rsid w:val="00E362CF"/>
    <w:rsid w:val="00E370C6"/>
    <w:rsid w:val="00E371AE"/>
    <w:rsid w:val="00E37AF4"/>
    <w:rsid w:val="00E37B39"/>
    <w:rsid w:val="00E40BB5"/>
    <w:rsid w:val="00E40BC7"/>
    <w:rsid w:val="00E41499"/>
    <w:rsid w:val="00E4183B"/>
    <w:rsid w:val="00E42B23"/>
    <w:rsid w:val="00E42BEE"/>
    <w:rsid w:val="00E43862"/>
    <w:rsid w:val="00E444E5"/>
    <w:rsid w:val="00E44B7F"/>
    <w:rsid w:val="00E44C07"/>
    <w:rsid w:val="00E44DC9"/>
    <w:rsid w:val="00E44FA6"/>
    <w:rsid w:val="00E46178"/>
    <w:rsid w:val="00E471C2"/>
    <w:rsid w:val="00E50ECC"/>
    <w:rsid w:val="00E5137A"/>
    <w:rsid w:val="00E51FC8"/>
    <w:rsid w:val="00E52A95"/>
    <w:rsid w:val="00E53868"/>
    <w:rsid w:val="00E54903"/>
    <w:rsid w:val="00E55F48"/>
    <w:rsid w:val="00E560B5"/>
    <w:rsid w:val="00E561CA"/>
    <w:rsid w:val="00E5634C"/>
    <w:rsid w:val="00E569C1"/>
    <w:rsid w:val="00E572C3"/>
    <w:rsid w:val="00E57AEC"/>
    <w:rsid w:val="00E57D5F"/>
    <w:rsid w:val="00E57EBA"/>
    <w:rsid w:val="00E6074E"/>
    <w:rsid w:val="00E60A19"/>
    <w:rsid w:val="00E610D7"/>
    <w:rsid w:val="00E615D3"/>
    <w:rsid w:val="00E62186"/>
    <w:rsid w:val="00E621BF"/>
    <w:rsid w:val="00E621F2"/>
    <w:rsid w:val="00E631DF"/>
    <w:rsid w:val="00E6353C"/>
    <w:rsid w:val="00E638C7"/>
    <w:rsid w:val="00E63BE9"/>
    <w:rsid w:val="00E64722"/>
    <w:rsid w:val="00E64A1B"/>
    <w:rsid w:val="00E65BDB"/>
    <w:rsid w:val="00E66482"/>
    <w:rsid w:val="00E6652A"/>
    <w:rsid w:val="00E67A4A"/>
    <w:rsid w:val="00E67D90"/>
    <w:rsid w:val="00E70C86"/>
    <w:rsid w:val="00E70CA1"/>
    <w:rsid w:val="00E70E20"/>
    <w:rsid w:val="00E70FAB"/>
    <w:rsid w:val="00E712CA"/>
    <w:rsid w:val="00E71C11"/>
    <w:rsid w:val="00E72772"/>
    <w:rsid w:val="00E72C1E"/>
    <w:rsid w:val="00E756F1"/>
    <w:rsid w:val="00E7583B"/>
    <w:rsid w:val="00E7661A"/>
    <w:rsid w:val="00E76A2C"/>
    <w:rsid w:val="00E77045"/>
    <w:rsid w:val="00E7721F"/>
    <w:rsid w:val="00E77898"/>
    <w:rsid w:val="00E80326"/>
    <w:rsid w:val="00E806D7"/>
    <w:rsid w:val="00E807A3"/>
    <w:rsid w:val="00E80A19"/>
    <w:rsid w:val="00E82F4C"/>
    <w:rsid w:val="00E83364"/>
    <w:rsid w:val="00E84843"/>
    <w:rsid w:val="00E84DB0"/>
    <w:rsid w:val="00E8535A"/>
    <w:rsid w:val="00E85FF5"/>
    <w:rsid w:val="00E867AE"/>
    <w:rsid w:val="00E869EF"/>
    <w:rsid w:val="00E8756C"/>
    <w:rsid w:val="00E87708"/>
    <w:rsid w:val="00E87730"/>
    <w:rsid w:val="00E8797C"/>
    <w:rsid w:val="00E879A9"/>
    <w:rsid w:val="00E87C59"/>
    <w:rsid w:val="00E87CE0"/>
    <w:rsid w:val="00E87D7D"/>
    <w:rsid w:val="00E9033C"/>
    <w:rsid w:val="00E9074F"/>
    <w:rsid w:val="00E9076B"/>
    <w:rsid w:val="00E90FF3"/>
    <w:rsid w:val="00E91468"/>
    <w:rsid w:val="00E914D4"/>
    <w:rsid w:val="00E91B54"/>
    <w:rsid w:val="00E924DE"/>
    <w:rsid w:val="00E92CA6"/>
    <w:rsid w:val="00E92CFE"/>
    <w:rsid w:val="00E93D02"/>
    <w:rsid w:val="00E9459C"/>
    <w:rsid w:val="00E9480A"/>
    <w:rsid w:val="00E94F6F"/>
    <w:rsid w:val="00E9557E"/>
    <w:rsid w:val="00E9558B"/>
    <w:rsid w:val="00E95A2F"/>
    <w:rsid w:val="00E95E19"/>
    <w:rsid w:val="00E96648"/>
    <w:rsid w:val="00E96A24"/>
    <w:rsid w:val="00E96C92"/>
    <w:rsid w:val="00E979AB"/>
    <w:rsid w:val="00E97FC5"/>
    <w:rsid w:val="00EA031A"/>
    <w:rsid w:val="00EA06C9"/>
    <w:rsid w:val="00EA0921"/>
    <w:rsid w:val="00EA0EB7"/>
    <w:rsid w:val="00EA0ED7"/>
    <w:rsid w:val="00EA1219"/>
    <w:rsid w:val="00EA1519"/>
    <w:rsid w:val="00EA1671"/>
    <w:rsid w:val="00EA16B9"/>
    <w:rsid w:val="00EA19D6"/>
    <w:rsid w:val="00EA1EB9"/>
    <w:rsid w:val="00EA20AC"/>
    <w:rsid w:val="00EA36CF"/>
    <w:rsid w:val="00EA3C90"/>
    <w:rsid w:val="00EA4684"/>
    <w:rsid w:val="00EA4E4F"/>
    <w:rsid w:val="00EA4E6A"/>
    <w:rsid w:val="00EA4F6B"/>
    <w:rsid w:val="00EA50E5"/>
    <w:rsid w:val="00EA5837"/>
    <w:rsid w:val="00EA5B8E"/>
    <w:rsid w:val="00EA5EC1"/>
    <w:rsid w:val="00EA62B9"/>
    <w:rsid w:val="00EA6C27"/>
    <w:rsid w:val="00EA7839"/>
    <w:rsid w:val="00EA78CF"/>
    <w:rsid w:val="00EB00BF"/>
    <w:rsid w:val="00EB296B"/>
    <w:rsid w:val="00EB2BFE"/>
    <w:rsid w:val="00EB2C81"/>
    <w:rsid w:val="00EB3219"/>
    <w:rsid w:val="00EB35DF"/>
    <w:rsid w:val="00EB3EB4"/>
    <w:rsid w:val="00EB502E"/>
    <w:rsid w:val="00EB55D3"/>
    <w:rsid w:val="00EB60CB"/>
    <w:rsid w:val="00EB652E"/>
    <w:rsid w:val="00EB6C64"/>
    <w:rsid w:val="00EB723C"/>
    <w:rsid w:val="00EC1B9A"/>
    <w:rsid w:val="00EC2140"/>
    <w:rsid w:val="00EC2C1B"/>
    <w:rsid w:val="00EC2DE4"/>
    <w:rsid w:val="00EC3151"/>
    <w:rsid w:val="00EC34BA"/>
    <w:rsid w:val="00EC39BC"/>
    <w:rsid w:val="00EC40FE"/>
    <w:rsid w:val="00EC435D"/>
    <w:rsid w:val="00EC48D0"/>
    <w:rsid w:val="00EC4ADA"/>
    <w:rsid w:val="00EC4F34"/>
    <w:rsid w:val="00EC4F88"/>
    <w:rsid w:val="00EC4F9E"/>
    <w:rsid w:val="00EC55C6"/>
    <w:rsid w:val="00EC63DC"/>
    <w:rsid w:val="00EC68A8"/>
    <w:rsid w:val="00EC7841"/>
    <w:rsid w:val="00EC7BC1"/>
    <w:rsid w:val="00ED0F1B"/>
    <w:rsid w:val="00ED1A17"/>
    <w:rsid w:val="00ED1F31"/>
    <w:rsid w:val="00ED2797"/>
    <w:rsid w:val="00ED27BB"/>
    <w:rsid w:val="00ED3273"/>
    <w:rsid w:val="00ED357F"/>
    <w:rsid w:val="00ED39BE"/>
    <w:rsid w:val="00ED3EC3"/>
    <w:rsid w:val="00ED41F1"/>
    <w:rsid w:val="00ED4E5B"/>
    <w:rsid w:val="00ED53E7"/>
    <w:rsid w:val="00ED58BE"/>
    <w:rsid w:val="00ED5F57"/>
    <w:rsid w:val="00ED5F83"/>
    <w:rsid w:val="00ED6D0D"/>
    <w:rsid w:val="00ED6EDB"/>
    <w:rsid w:val="00ED7659"/>
    <w:rsid w:val="00ED78D6"/>
    <w:rsid w:val="00ED791B"/>
    <w:rsid w:val="00ED79D4"/>
    <w:rsid w:val="00EE0C58"/>
    <w:rsid w:val="00EE0D63"/>
    <w:rsid w:val="00EE0F65"/>
    <w:rsid w:val="00EE140B"/>
    <w:rsid w:val="00EE1438"/>
    <w:rsid w:val="00EE17FC"/>
    <w:rsid w:val="00EE1BB6"/>
    <w:rsid w:val="00EE1ED2"/>
    <w:rsid w:val="00EE2824"/>
    <w:rsid w:val="00EE2F0D"/>
    <w:rsid w:val="00EE40F3"/>
    <w:rsid w:val="00EE464F"/>
    <w:rsid w:val="00EE4704"/>
    <w:rsid w:val="00EE53BE"/>
    <w:rsid w:val="00EE6806"/>
    <w:rsid w:val="00EE698A"/>
    <w:rsid w:val="00EE6D01"/>
    <w:rsid w:val="00EE6F29"/>
    <w:rsid w:val="00EE7183"/>
    <w:rsid w:val="00EF02AB"/>
    <w:rsid w:val="00EF1A1F"/>
    <w:rsid w:val="00EF3005"/>
    <w:rsid w:val="00EF30B2"/>
    <w:rsid w:val="00EF3164"/>
    <w:rsid w:val="00EF32B8"/>
    <w:rsid w:val="00EF40AF"/>
    <w:rsid w:val="00EF4684"/>
    <w:rsid w:val="00EF4C8F"/>
    <w:rsid w:val="00EF567E"/>
    <w:rsid w:val="00EF63E1"/>
    <w:rsid w:val="00EF6538"/>
    <w:rsid w:val="00EF65E5"/>
    <w:rsid w:val="00EF74EA"/>
    <w:rsid w:val="00F00762"/>
    <w:rsid w:val="00F019DC"/>
    <w:rsid w:val="00F0228C"/>
    <w:rsid w:val="00F03D55"/>
    <w:rsid w:val="00F0403B"/>
    <w:rsid w:val="00F049DA"/>
    <w:rsid w:val="00F04B52"/>
    <w:rsid w:val="00F04FEF"/>
    <w:rsid w:val="00F05853"/>
    <w:rsid w:val="00F05A37"/>
    <w:rsid w:val="00F0657F"/>
    <w:rsid w:val="00F067A9"/>
    <w:rsid w:val="00F0685C"/>
    <w:rsid w:val="00F06929"/>
    <w:rsid w:val="00F06972"/>
    <w:rsid w:val="00F06F8E"/>
    <w:rsid w:val="00F07B42"/>
    <w:rsid w:val="00F07C4F"/>
    <w:rsid w:val="00F07E23"/>
    <w:rsid w:val="00F07E31"/>
    <w:rsid w:val="00F1086E"/>
    <w:rsid w:val="00F10FEF"/>
    <w:rsid w:val="00F111D0"/>
    <w:rsid w:val="00F116EB"/>
    <w:rsid w:val="00F11D8E"/>
    <w:rsid w:val="00F120FD"/>
    <w:rsid w:val="00F12244"/>
    <w:rsid w:val="00F12406"/>
    <w:rsid w:val="00F1303C"/>
    <w:rsid w:val="00F131D6"/>
    <w:rsid w:val="00F134F7"/>
    <w:rsid w:val="00F135C1"/>
    <w:rsid w:val="00F14AC1"/>
    <w:rsid w:val="00F15E68"/>
    <w:rsid w:val="00F15EF7"/>
    <w:rsid w:val="00F16357"/>
    <w:rsid w:val="00F164EF"/>
    <w:rsid w:val="00F168D9"/>
    <w:rsid w:val="00F1795C"/>
    <w:rsid w:val="00F17F7C"/>
    <w:rsid w:val="00F205C2"/>
    <w:rsid w:val="00F20AC0"/>
    <w:rsid w:val="00F20B3F"/>
    <w:rsid w:val="00F21125"/>
    <w:rsid w:val="00F214ED"/>
    <w:rsid w:val="00F217BD"/>
    <w:rsid w:val="00F22323"/>
    <w:rsid w:val="00F22C41"/>
    <w:rsid w:val="00F23246"/>
    <w:rsid w:val="00F239C8"/>
    <w:rsid w:val="00F23D23"/>
    <w:rsid w:val="00F23E6C"/>
    <w:rsid w:val="00F2403C"/>
    <w:rsid w:val="00F2436A"/>
    <w:rsid w:val="00F2466C"/>
    <w:rsid w:val="00F24846"/>
    <w:rsid w:val="00F24BA2"/>
    <w:rsid w:val="00F24C3E"/>
    <w:rsid w:val="00F2505E"/>
    <w:rsid w:val="00F250BA"/>
    <w:rsid w:val="00F25157"/>
    <w:rsid w:val="00F2535A"/>
    <w:rsid w:val="00F25509"/>
    <w:rsid w:val="00F25538"/>
    <w:rsid w:val="00F27CEA"/>
    <w:rsid w:val="00F3065E"/>
    <w:rsid w:val="00F31132"/>
    <w:rsid w:val="00F320E2"/>
    <w:rsid w:val="00F323D0"/>
    <w:rsid w:val="00F328C8"/>
    <w:rsid w:val="00F3390F"/>
    <w:rsid w:val="00F33AB6"/>
    <w:rsid w:val="00F33BAF"/>
    <w:rsid w:val="00F345DC"/>
    <w:rsid w:val="00F3549F"/>
    <w:rsid w:val="00F35E0F"/>
    <w:rsid w:val="00F36387"/>
    <w:rsid w:val="00F37097"/>
    <w:rsid w:val="00F373CF"/>
    <w:rsid w:val="00F4026F"/>
    <w:rsid w:val="00F402A8"/>
    <w:rsid w:val="00F402D1"/>
    <w:rsid w:val="00F40E4D"/>
    <w:rsid w:val="00F40F20"/>
    <w:rsid w:val="00F41130"/>
    <w:rsid w:val="00F4199E"/>
    <w:rsid w:val="00F420F2"/>
    <w:rsid w:val="00F4262C"/>
    <w:rsid w:val="00F42C2D"/>
    <w:rsid w:val="00F434E8"/>
    <w:rsid w:val="00F44686"/>
    <w:rsid w:val="00F447C4"/>
    <w:rsid w:val="00F44906"/>
    <w:rsid w:val="00F44AA6"/>
    <w:rsid w:val="00F46DDD"/>
    <w:rsid w:val="00F471BF"/>
    <w:rsid w:val="00F50404"/>
    <w:rsid w:val="00F509C0"/>
    <w:rsid w:val="00F50FF5"/>
    <w:rsid w:val="00F511C8"/>
    <w:rsid w:val="00F53071"/>
    <w:rsid w:val="00F5419C"/>
    <w:rsid w:val="00F54B9E"/>
    <w:rsid w:val="00F54EA7"/>
    <w:rsid w:val="00F552FD"/>
    <w:rsid w:val="00F55426"/>
    <w:rsid w:val="00F5550D"/>
    <w:rsid w:val="00F555ED"/>
    <w:rsid w:val="00F56172"/>
    <w:rsid w:val="00F56437"/>
    <w:rsid w:val="00F56FD7"/>
    <w:rsid w:val="00F57ABC"/>
    <w:rsid w:val="00F57C96"/>
    <w:rsid w:val="00F60843"/>
    <w:rsid w:val="00F60A47"/>
    <w:rsid w:val="00F60A71"/>
    <w:rsid w:val="00F6137B"/>
    <w:rsid w:val="00F616D9"/>
    <w:rsid w:val="00F61DB0"/>
    <w:rsid w:val="00F62593"/>
    <w:rsid w:val="00F62641"/>
    <w:rsid w:val="00F62937"/>
    <w:rsid w:val="00F63657"/>
    <w:rsid w:val="00F643D2"/>
    <w:rsid w:val="00F651A6"/>
    <w:rsid w:val="00F65D0C"/>
    <w:rsid w:val="00F665BA"/>
    <w:rsid w:val="00F675F1"/>
    <w:rsid w:val="00F70160"/>
    <w:rsid w:val="00F70AF3"/>
    <w:rsid w:val="00F70B0A"/>
    <w:rsid w:val="00F72335"/>
    <w:rsid w:val="00F72358"/>
    <w:rsid w:val="00F7341E"/>
    <w:rsid w:val="00F739DE"/>
    <w:rsid w:val="00F73EB1"/>
    <w:rsid w:val="00F7495B"/>
    <w:rsid w:val="00F74AF1"/>
    <w:rsid w:val="00F756E9"/>
    <w:rsid w:val="00F75780"/>
    <w:rsid w:val="00F75F65"/>
    <w:rsid w:val="00F76337"/>
    <w:rsid w:val="00F765B5"/>
    <w:rsid w:val="00F76B25"/>
    <w:rsid w:val="00F774F2"/>
    <w:rsid w:val="00F77A7C"/>
    <w:rsid w:val="00F77B11"/>
    <w:rsid w:val="00F77ECA"/>
    <w:rsid w:val="00F80455"/>
    <w:rsid w:val="00F810D6"/>
    <w:rsid w:val="00F824FE"/>
    <w:rsid w:val="00F82BDD"/>
    <w:rsid w:val="00F82DE0"/>
    <w:rsid w:val="00F82EF0"/>
    <w:rsid w:val="00F83819"/>
    <w:rsid w:val="00F83C9D"/>
    <w:rsid w:val="00F849F4"/>
    <w:rsid w:val="00F84BAF"/>
    <w:rsid w:val="00F85069"/>
    <w:rsid w:val="00F85475"/>
    <w:rsid w:val="00F857FA"/>
    <w:rsid w:val="00F85841"/>
    <w:rsid w:val="00F86FDC"/>
    <w:rsid w:val="00F8700C"/>
    <w:rsid w:val="00F87A92"/>
    <w:rsid w:val="00F87CD1"/>
    <w:rsid w:val="00F9181C"/>
    <w:rsid w:val="00F91D99"/>
    <w:rsid w:val="00F91E8B"/>
    <w:rsid w:val="00F91F22"/>
    <w:rsid w:val="00F9378B"/>
    <w:rsid w:val="00F93DB3"/>
    <w:rsid w:val="00F9417F"/>
    <w:rsid w:val="00F94AD6"/>
    <w:rsid w:val="00F94B5B"/>
    <w:rsid w:val="00F96B4A"/>
    <w:rsid w:val="00FA1843"/>
    <w:rsid w:val="00FA23A5"/>
    <w:rsid w:val="00FA2A4A"/>
    <w:rsid w:val="00FA3168"/>
    <w:rsid w:val="00FA3487"/>
    <w:rsid w:val="00FA3758"/>
    <w:rsid w:val="00FA450D"/>
    <w:rsid w:val="00FA51FA"/>
    <w:rsid w:val="00FA585F"/>
    <w:rsid w:val="00FA5F68"/>
    <w:rsid w:val="00FA64ED"/>
    <w:rsid w:val="00FA73C7"/>
    <w:rsid w:val="00FA7EC7"/>
    <w:rsid w:val="00FB0368"/>
    <w:rsid w:val="00FB178F"/>
    <w:rsid w:val="00FB1792"/>
    <w:rsid w:val="00FB188E"/>
    <w:rsid w:val="00FB1E50"/>
    <w:rsid w:val="00FB21BD"/>
    <w:rsid w:val="00FB26E8"/>
    <w:rsid w:val="00FB2C63"/>
    <w:rsid w:val="00FB2F8D"/>
    <w:rsid w:val="00FB45E2"/>
    <w:rsid w:val="00FB4CB0"/>
    <w:rsid w:val="00FB54CE"/>
    <w:rsid w:val="00FB58FD"/>
    <w:rsid w:val="00FB5E6E"/>
    <w:rsid w:val="00FB5E7B"/>
    <w:rsid w:val="00FB6618"/>
    <w:rsid w:val="00FB67B3"/>
    <w:rsid w:val="00FB78A2"/>
    <w:rsid w:val="00FB7C48"/>
    <w:rsid w:val="00FB7DC3"/>
    <w:rsid w:val="00FC09AE"/>
    <w:rsid w:val="00FC1089"/>
    <w:rsid w:val="00FC1446"/>
    <w:rsid w:val="00FC16E5"/>
    <w:rsid w:val="00FC233B"/>
    <w:rsid w:val="00FC2396"/>
    <w:rsid w:val="00FC30C3"/>
    <w:rsid w:val="00FC336C"/>
    <w:rsid w:val="00FC3AAC"/>
    <w:rsid w:val="00FC43B4"/>
    <w:rsid w:val="00FC464E"/>
    <w:rsid w:val="00FC474B"/>
    <w:rsid w:val="00FC4AF3"/>
    <w:rsid w:val="00FC58C9"/>
    <w:rsid w:val="00FC59F9"/>
    <w:rsid w:val="00FC5A23"/>
    <w:rsid w:val="00FC643A"/>
    <w:rsid w:val="00FC6835"/>
    <w:rsid w:val="00FC688A"/>
    <w:rsid w:val="00FC69BB"/>
    <w:rsid w:val="00FC6C3D"/>
    <w:rsid w:val="00FC79D2"/>
    <w:rsid w:val="00FC7AA5"/>
    <w:rsid w:val="00FD0730"/>
    <w:rsid w:val="00FD0CE7"/>
    <w:rsid w:val="00FD0D1D"/>
    <w:rsid w:val="00FD0D1E"/>
    <w:rsid w:val="00FD0ED6"/>
    <w:rsid w:val="00FD0F78"/>
    <w:rsid w:val="00FD152C"/>
    <w:rsid w:val="00FD1649"/>
    <w:rsid w:val="00FD1C97"/>
    <w:rsid w:val="00FD1D8A"/>
    <w:rsid w:val="00FD208C"/>
    <w:rsid w:val="00FD611B"/>
    <w:rsid w:val="00FD65E1"/>
    <w:rsid w:val="00FD679D"/>
    <w:rsid w:val="00FD6F34"/>
    <w:rsid w:val="00FD6FD9"/>
    <w:rsid w:val="00FD7335"/>
    <w:rsid w:val="00FD7661"/>
    <w:rsid w:val="00FE0543"/>
    <w:rsid w:val="00FE0E0F"/>
    <w:rsid w:val="00FE1058"/>
    <w:rsid w:val="00FE1953"/>
    <w:rsid w:val="00FE234E"/>
    <w:rsid w:val="00FE2950"/>
    <w:rsid w:val="00FE2B6B"/>
    <w:rsid w:val="00FE2FC3"/>
    <w:rsid w:val="00FE32C9"/>
    <w:rsid w:val="00FE35AD"/>
    <w:rsid w:val="00FE397D"/>
    <w:rsid w:val="00FE3D20"/>
    <w:rsid w:val="00FE448B"/>
    <w:rsid w:val="00FE4739"/>
    <w:rsid w:val="00FE555F"/>
    <w:rsid w:val="00FE5CC3"/>
    <w:rsid w:val="00FE6944"/>
    <w:rsid w:val="00FF1103"/>
    <w:rsid w:val="00FF24EC"/>
    <w:rsid w:val="00FF25EE"/>
    <w:rsid w:val="00FF275A"/>
    <w:rsid w:val="00FF2A65"/>
    <w:rsid w:val="00FF320D"/>
    <w:rsid w:val="00FF397E"/>
    <w:rsid w:val="00FF3A66"/>
    <w:rsid w:val="00FF3BD3"/>
    <w:rsid w:val="00FF41D6"/>
    <w:rsid w:val="00FF45C1"/>
    <w:rsid w:val="00FF5F4A"/>
    <w:rsid w:val="00FF61A8"/>
    <w:rsid w:val="00FF675B"/>
    <w:rsid w:val="00FF7A0F"/>
    <w:rsid w:val="011ED1A7"/>
    <w:rsid w:val="01275947"/>
    <w:rsid w:val="0137B01D"/>
    <w:rsid w:val="013A92BE"/>
    <w:rsid w:val="0148B128"/>
    <w:rsid w:val="0149E1C7"/>
    <w:rsid w:val="018660C8"/>
    <w:rsid w:val="018B49EE"/>
    <w:rsid w:val="01A9F472"/>
    <w:rsid w:val="01B3E285"/>
    <w:rsid w:val="01BBE8C0"/>
    <w:rsid w:val="01C4B36D"/>
    <w:rsid w:val="01CABDF2"/>
    <w:rsid w:val="01D18363"/>
    <w:rsid w:val="01EB2DFC"/>
    <w:rsid w:val="01F1B0EF"/>
    <w:rsid w:val="0274304F"/>
    <w:rsid w:val="028AC534"/>
    <w:rsid w:val="0297C1A7"/>
    <w:rsid w:val="02DE8EEB"/>
    <w:rsid w:val="02EDACA4"/>
    <w:rsid w:val="030338D6"/>
    <w:rsid w:val="030AF5F0"/>
    <w:rsid w:val="03115B58"/>
    <w:rsid w:val="0321031A"/>
    <w:rsid w:val="03227A64"/>
    <w:rsid w:val="03289946"/>
    <w:rsid w:val="032E4E93"/>
    <w:rsid w:val="0330EF61"/>
    <w:rsid w:val="03527102"/>
    <w:rsid w:val="035689D8"/>
    <w:rsid w:val="035BFDB7"/>
    <w:rsid w:val="03617E35"/>
    <w:rsid w:val="0365DD32"/>
    <w:rsid w:val="0379AE73"/>
    <w:rsid w:val="037F015B"/>
    <w:rsid w:val="03A5DF64"/>
    <w:rsid w:val="03DCD7B1"/>
    <w:rsid w:val="03E3F5A7"/>
    <w:rsid w:val="03F85284"/>
    <w:rsid w:val="040116A6"/>
    <w:rsid w:val="0401B719"/>
    <w:rsid w:val="04080A87"/>
    <w:rsid w:val="040D95DA"/>
    <w:rsid w:val="0421A67C"/>
    <w:rsid w:val="045831BE"/>
    <w:rsid w:val="04A085A4"/>
    <w:rsid w:val="04AD7954"/>
    <w:rsid w:val="04B58E18"/>
    <w:rsid w:val="04B6C5C8"/>
    <w:rsid w:val="04C4A0A7"/>
    <w:rsid w:val="04CDE714"/>
    <w:rsid w:val="04D558EF"/>
    <w:rsid w:val="04E3C34A"/>
    <w:rsid w:val="04E48D8E"/>
    <w:rsid w:val="05195F30"/>
    <w:rsid w:val="0522E96E"/>
    <w:rsid w:val="05327A6C"/>
    <w:rsid w:val="05349940"/>
    <w:rsid w:val="05350952"/>
    <w:rsid w:val="05380CB5"/>
    <w:rsid w:val="0540D0F9"/>
    <w:rsid w:val="054C7D89"/>
    <w:rsid w:val="0565AB73"/>
    <w:rsid w:val="056EE80D"/>
    <w:rsid w:val="056F512F"/>
    <w:rsid w:val="057BCA87"/>
    <w:rsid w:val="05881FBC"/>
    <w:rsid w:val="05908BFF"/>
    <w:rsid w:val="059A9E8D"/>
    <w:rsid w:val="05B8CAA9"/>
    <w:rsid w:val="05C0A350"/>
    <w:rsid w:val="05DAA370"/>
    <w:rsid w:val="05E64EDE"/>
    <w:rsid w:val="05F7B071"/>
    <w:rsid w:val="05FCBF1F"/>
    <w:rsid w:val="05FEE4B4"/>
    <w:rsid w:val="0630182D"/>
    <w:rsid w:val="0643031B"/>
    <w:rsid w:val="065C57B3"/>
    <w:rsid w:val="065EB550"/>
    <w:rsid w:val="066CDDD9"/>
    <w:rsid w:val="067A8054"/>
    <w:rsid w:val="067E14ED"/>
    <w:rsid w:val="0680887D"/>
    <w:rsid w:val="069B73A9"/>
    <w:rsid w:val="069FB8E4"/>
    <w:rsid w:val="06BAF4FA"/>
    <w:rsid w:val="06D8BBA6"/>
    <w:rsid w:val="06E07898"/>
    <w:rsid w:val="06E1186B"/>
    <w:rsid w:val="0702DFC6"/>
    <w:rsid w:val="07036784"/>
    <w:rsid w:val="071EEA45"/>
    <w:rsid w:val="07521BF0"/>
    <w:rsid w:val="07552CA7"/>
    <w:rsid w:val="078C1C18"/>
    <w:rsid w:val="0795A6E6"/>
    <w:rsid w:val="079F8BAF"/>
    <w:rsid w:val="07C44E4C"/>
    <w:rsid w:val="07D3FF6D"/>
    <w:rsid w:val="07D98673"/>
    <w:rsid w:val="08071419"/>
    <w:rsid w:val="082AF07E"/>
    <w:rsid w:val="0835A580"/>
    <w:rsid w:val="086D378E"/>
    <w:rsid w:val="08759A2D"/>
    <w:rsid w:val="088B015A"/>
    <w:rsid w:val="08C4ECA1"/>
    <w:rsid w:val="08E4AB9E"/>
    <w:rsid w:val="08EC7964"/>
    <w:rsid w:val="09154891"/>
    <w:rsid w:val="0918E89E"/>
    <w:rsid w:val="0931C1E9"/>
    <w:rsid w:val="0945871B"/>
    <w:rsid w:val="0954E4BA"/>
    <w:rsid w:val="0965A8E9"/>
    <w:rsid w:val="098454C7"/>
    <w:rsid w:val="098D74E1"/>
    <w:rsid w:val="09BEC575"/>
    <w:rsid w:val="09D2C61F"/>
    <w:rsid w:val="09EDE3F6"/>
    <w:rsid w:val="09EE068B"/>
    <w:rsid w:val="09F96888"/>
    <w:rsid w:val="0A06CCD9"/>
    <w:rsid w:val="0A0B037A"/>
    <w:rsid w:val="0A2A3F5E"/>
    <w:rsid w:val="0A34F25D"/>
    <w:rsid w:val="0A49BE16"/>
    <w:rsid w:val="0A580A1B"/>
    <w:rsid w:val="0A7A82F3"/>
    <w:rsid w:val="0A90BAB7"/>
    <w:rsid w:val="0AA18B1C"/>
    <w:rsid w:val="0AEAE2F6"/>
    <w:rsid w:val="0B3BA259"/>
    <w:rsid w:val="0B3E27B6"/>
    <w:rsid w:val="0B4B47FA"/>
    <w:rsid w:val="0B5FADF6"/>
    <w:rsid w:val="0B865B44"/>
    <w:rsid w:val="0BA86169"/>
    <w:rsid w:val="0BAB2154"/>
    <w:rsid w:val="0BB3ABD1"/>
    <w:rsid w:val="0BC38EBE"/>
    <w:rsid w:val="0BD1CF68"/>
    <w:rsid w:val="0BD3CEED"/>
    <w:rsid w:val="0BD511CA"/>
    <w:rsid w:val="0C33496B"/>
    <w:rsid w:val="0C4101BB"/>
    <w:rsid w:val="0C4EFFB7"/>
    <w:rsid w:val="0C5D8874"/>
    <w:rsid w:val="0C6570F1"/>
    <w:rsid w:val="0C77393C"/>
    <w:rsid w:val="0C87752B"/>
    <w:rsid w:val="0CA4C804"/>
    <w:rsid w:val="0CD0D99D"/>
    <w:rsid w:val="0CD2431C"/>
    <w:rsid w:val="0CE8945C"/>
    <w:rsid w:val="0CF21242"/>
    <w:rsid w:val="0D283E40"/>
    <w:rsid w:val="0D304F8E"/>
    <w:rsid w:val="0D3AD6EB"/>
    <w:rsid w:val="0D46F15B"/>
    <w:rsid w:val="0D5FD4B7"/>
    <w:rsid w:val="0D6BADDA"/>
    <w:rsid w:val="0D9D1DB7"/>
    <w:rsid w:val="0D9FC257"/>
    <w:rsid w:val="0DC8757E"/>
    <w:rsid w:val="0DCF1269"/>
    <w:rsid w:val="0DFF863C"/>
    <w:rsid w:val="0E27A877"/>
    <w:rsid w:val="0E2D3ACA"/>
    <w:rsid w:val="0E33CB89"/>
    <w:rsid w:val="0E36745B"/>
    <w:rsid w:val="0E4B6D78"/>
    <w:rsid w:val="0E5DAAA5"/>
    <w:rsid w:val="0E92526D"/>
    <w:rsid w:val="0EDCB430"/>
    <w:rsid w:val="0EF63EEE"/>
    <w:rsid w:val="0F1C0465"/>
    <w:rsid w:val="0F411779"/>
    <w:rsid w:val="0F5CE9DE"/>
    <w:rsid w:val="0F61B942"/>
    <w:rsid w:val="0F66EA12"/>
    <w:rsid w:val="0F7E5E87"/>
    <w:rsid w:val="0F879861"/>
    <w:rsid w:val="0FA55948"/>
    <w:rsid w:val="0FBA1E4C"/>
    <w:rsid w:val="1009535D"/>
    <w:rsid w:val="10128D49"/>
    <w:rsid w:val="101F91F5"/>
    <w:rsid w:val="101FE339"/>
    <w:rsid w:val="106D5D59"/>
    <w:rsid w:val="1079CCC0"/>
    <w:rsid w:val="108DEA91"/>
    <w:rsid w:val="10973B72"/>
    <w:rsid w:val="10D5F2D3"/>
    <w:rsid w:val="10D7FACC"/>
    <w:rsid w:val="1102C4E6"/>
    <w:rsid w:val="11120CAA"/>
    <w:rsid w:val="1118BA26"/>
    <w:rsid w:val="11417463"/>
    <w:rsid w:val="115BCC19"/>
    <w:rsid w:val="116F482A"/>
    <w:rsid w:val="117FB9B3"/>
    <w:rsid w:val="1180F8A2"/>
    <w:rsid w:val="118DE71B"/>
    <w:rsid w:val="11A522E1"/>
    <w:rsid w:val="11CA969C"/>
    <w:rsid w:val="11D56CCD"/>
    <w:rsid w:val="11D87097"/>
    <w:rsid w:val="11DF1543"/>
    <w:rsid w:val="1249D4AB"/>
    <w:rsid w:val="12626738"/>
    <w:rsid w:val="127DAE75"/>
    <w:rsid w:val="128C10AD"/>
    <w:rsid w:val="128E1E83"/>
    <w:rsid w:val="12AE3704"/>
    <w:rsid w:val="12B7281B"/>
    <w:rsid w:val="12DA78DC"/>
    <w:rsid w:val="12DC641E"/>
    <w:rsid w:val="12F4C0A6"/>
    <w:rsid w:val="12F910F4"/>
    <w:rsid w:val="13177253"/>
    <w:rsid w:val="13434CC7"/>
    <w:rsid w:val="134FB34D"/>
    <w:rsid w:val="1356DBA0"/>
    <w:rsid w:val="1356DEF3"/>
    <w:rsid w:val="135AB3C9"/>
    <w:rsid w:val="13664846"/>
    <w:rsid w:val="136D0E0B"/>
    <w:rsid w:val="1373AC3F"/>
    <w:rsid w:val="13E0168F"/>
    <w:rsid w:val="13E049DC"/>
    <w:rsid w:val="13E7D9FB"/>
    <w:rsid w:val="13EA8A5C"/>
    <w:rsid w:val="13F30E21"/>
    <w:rsid w:val="142A08E2"/>
    <w:rsid w:val="143442E3"/>
    <w:rsid w:val="146DCA79"/>
    <w:rsid w:val="14776495"/>
    <w:rsid w:val="14A3F664"/>
    <w:rsid w:val="14AFB921"/>
    <w:rsid w:val="14C46BFC"/>
    <w:rsid w:val="15042794"/>
    <w:rsid w:val="1526453B"/>
    <w:rsid w:val="15419B1C"/>
    <w:rsid w:val="1554B163"/>
    <w:rsid w:val="156B96A1"/>
    <w:rsid w:val="1590B80E"/>
    <w:rsid w:val="15925F2E"/>
    <w:rsid w:val="1598C097"/>
    <w:rsid w:val="15A30B02"/>
    <w:rsid w:val="15B0C441"/>
    <w:rsid w:val="15B28EB6"/>
    <w:rsid w:val="15CFCBFE"/>
    <w:rsid w:val="15D0C179"/>
    <w:rsid w:val="160AFD05"/>
    <w:rsid w:val="16377FB9"/>
    <w:rsid w:val="163D7544"/>
    <w:rsid w:val="16805B29"/>
    <w:rsid w:val="168AE881"/>
    <w:rsid w:val="16926452"/>
    <w:rsid w:val="16C43607"/>
    <w:rsid w:val="16D50A3B"/>
    <w:rsid w:val="16F1CCF5"/>
    <w:rsid w:val="170A6476"/>
    <w:rsid w:val="170B9E3A"/>
    <w:rsid w:val="170DC509"/>
    <w:rsid w:val="174E294A"/>
    <w:rsid w:val="17543A3E"/>
    <w:rsid w:val="1763AA33"/>
    <w:rsid w:val="1769B86E"/>
    <w:rsid w:val="1778E0A3"/>
    <w:rsid w:val="177B9B4C"/>
    <w:rsid w:val="177C91A7"/>
    <w:rsid w:val="178D0461"/>
    <w:rsid w:val="179F8182"/>
    <w:rsid w:val="17CA7ABB"/>
    <w:rsid w:val="17E7A9F7"/>
    <w:rsid w:val="17F227C7"/>
    <w:rsid w:val="17F866BA"/>
    <w:rsid w:val="18007E0F"/>
    <w:rsid w:val="180C7856"/>
    <w:rsid w:val="182D7E4C"/>
    <w:rsid w:val="183DD88F"/>
    <w:rsid w:val="185B10D1"/>
    <w:rsid w:val="185C7EDA"/>
    <w:rsid w:val="186CF3B2"/>
    <w:rsid w:val="18934B71"/>
    <w:rsid w:val="1894ABC0"/>
    <w:rsid w:val="189C1E1F"/>
    <w:rsid w:val="18CB514B"/>
    <w:rsid w:val="18D9309D"/>
    <w:rsid w:val="18DE6B64"/>
    <w:rsid w:val="18E5BE02"/>
    <w:rsid w:val="18FB80E5"/>
    <w:rsid w:val="190BE587"/>
    <w:rsid w:val="19389CB0"/>
    <w:rsid w:val="195C6D06"/>
    <w:rsid w:val="19726D84"/>
    <w:rsid w:val="197BA188"/>
    <w:rsid w:val="197BD4EF"/>
    <w:rsid w:val="1994A5C9"/>
    <w:rsid w:val="199E7BDD"/>
    <w:rsid w:val="199F67F4"/>
    <w:rsid w:val="19A5A9F7"/>
    <w:rsid w:val="19B3520B"/>
    <w:rsid w:val="19D4CA44"/>
    <w:rsid w:val="19E0C23E"/>
    <w:rsid w:val="19F125BB"/>
    <w:rsid w:val="1A0BD4E7"/>
    <w:rsid w:val="1A1A3460"/>
    <w:rsid w:val="1A1D31E6"/>
    <w:rsid w:val="1A539FDD"/>
    <w:rsid w:val="1A6B125E"/>
    <w:rsid w:val="1A6CD2FB"/>
    <w:rsid w:val="1A72796B"/>
    <w:rsid w:val="1A93A620"/>
    <w:rsid w:val="1A9F8C1D"/>
    <w:rsid w:val="1AA836C1"/>
    <w:rsid w:val="1AB71000"/>
    <w:rsid w:val="1AB8E35E"/>
    <w:rsid w:val="1AF312B2"/>
    <w:rsid w:val="1AF951A1"/>
    <w:rsid w:val="1B153A36"/>
    <w:rsid w:val="1B1DB9A6"/>
    <w:rsid w:val="1B24A0AF"/>
    <w:rsid w:val="1B34182A"/>
    <w:rsid w:val="1B366ED7"/>
    <w:rsid w:val="1B392CF8"/>
    <w:rsid w:val="1B485FE7"/>
    <w:rsid w:val="1B6DE1B9"/>
    <w:rsid w:val="1B7DBA2E"/>
    <w:rsid w:val="1B972825"/>
    <w:rsid w:val="1B9D9826"/>
    <w:rsid w:val="1BE65775"/>
    <w:rsid w:val="1C09CA25"/>
    <w:rsid w:val="1C09CD67"/>
    <w:rsid w:val="1C0BC095"/>
    <w:rsid w:val="1C0EAD5A"/>
    <w:rsid w:val="1C0FEEA6"/>
    <w:rsid w:val="1C15FD96"/>
    <w:rsid w:val="1C18E553"/>
    <w:rsid w:val="1C1F88F0"/>
    <w:rsid w:val="1C32AFF0"/>
    <w:rsid w:val="1C42C8E7"/>
    <w:rsid w:val="1C42FF9B"/>
    <w:rsid w:val="1C53E982"/>
    <w:rsid w:val="1C61CF36"/>
    <w:rsid w:val="1C79CD3C"/>
    <w:rsid w:val="1C7E6251"/>
    <w:rsid w:val="1CA17171"/>
    <w:rsid w:val="1CC5B6D6"/>
    <w:rsid w:val="1D17D3D7"/>
    <w:rsid w:val="1D1C3D7B"/>
    <w:rsid w:val="1D2788ED"/>
    <w:rsid w:val="1D35FC05"/>
    <w:rsid w:val="1D3C69CC"/>
    <w:rsid w:val="1D4855B9"/>
    <w:rsid w:val="1D48B6FC"/>
    <w:rsid w:val="1D9F83C6"/>
    <w:rsid w:val="1DA2B320"/>
    <w:rsid w:val="1DA9225B"/>
    <w:rsid w:val="1DADBC2D"/>
    <w:rsid w:val="1DC9481A"/>
    <w:rsid w:val="1DE0327B"/>
    <w:rsid w:val="1E05ECDC"/>
    <w:rsid w:val="1E167B99"/>
    <w:rsid w:val="1E49665F"/>
    <w:rsid w:val="1E5EA711"/>
    <w:rsid w:val="1E72828D"/>
    <w:rsid w:val="1E72F4B2"/>
    <w:rsid w:val="1E8902BE"/>
    <w:rsid w:val="1EBC3D68"/>
    <w:rsid w:val="1EBC5074"/>
    <w:rsid w:val="1EBE30C0"/>
    <w:rsid w:val="1EBF4856"/>
    <w:rsid w:val="1ECEE68A"/>
    <w:rsid w:val="1ED77560"/>
    <w:rsid w:val="1ED81DB7"/>
    <w:rsid w:val="1EDBFF7E"/>
    <w:rsid w:val="1EE48C33"/>
    <w:rsid w:val="1EF24D7F"/>
    <w:rsid w:val="1F11B3D4"/>
    <w:rsid w:val="1F3765B2"/>
    <w:rsid w:val="1F4BEBFB"/>
    <w:rsid w:val="1F519DAF"/>
    <w:rsid w:val="1F5F3A15"/>
    <w:rsid w:val="1F72F53E"/>
    <w:rsid w:val="1F95C8C0"/>
    <w:rsid w:val="1F98B408"/>
    <w:rsid w:val="1FBC8F0D"/>
    <w:rsid w:val="1FC64773"/>
    <w:rsid w:val="1FCF8E32"/>
    <w:rsid w:val="1FDE3029"/>
    <w:rsid w:val="1FDF6EAD"/>
    <w:rsid w:val="2006A415"/>
    <w:rsid w:val="201C2A55"/>
    <w:rsid w:val="2025D5B9"/>
    <w:rsid w:val="2061B7BF"/>
    <w:rsid w:val="209263C2"/>
    <w:rsid w:val="20FA5D17"/>
    <w:rsid w:val="210741D0"/>
    <w:rsid w:val="210920A8"/>
    <w:rsid w:val="21168469"/>
    <w:rsid w:val="211C17FC"/>
    <w:rsid w:val="212549D2"/>
    <w:rsid w:val="2128C702"/>
    <w:rsid w:val="2145F5A7"/>
    <w:rsid w:val="215FD370"/>
    <w:rsid w:val="217B892F"/>
    <w:rsid w:val="2183320E"/>
    <w:rsid w:val="21891ED7"/>
    <w:rsid w:val="21BF9BB0"/>
    <w:rsid w:val="21DA106E"/>
    <w:rsid w:val="21DFE66A"/>
    <w:rsid w:val="21E9E889"/>
    <w:rsid w:val="21FF1B1A"/>
    <w:rsid w:val="2241596B"/>
    <w:rsid w:val="22488A78"/>
    <w:rsid w:val="22644339"/>
    <w:rsid w:val="22797989"/>
    <w:rsid w:val="22939DE9"/>
    <w:rsid w:val="22B10DBD"/>
    <w:rsid w:val="22B11E12"/>
    <w:rsid w:val="22B97C60"/>
    <w:rsid w:val="22D6C264"/>
    <w:rsid w:val="22DC842D"/>
    <w:rsid w:val="22EF911B"/>
    <w:rsid w:val="22F19C96"/>
    <w:rsid w:val="23213385"/>
    <w:rsid w:val="23331FA7"/>
    <w:rsid w:val="233C5836"/>
    <w:rsid w:val="233F4F62"/>
    <w:rsid w:val="234C99D0"/>
    <w:rsid w:val="2354C2E2"/>
    <w:rsid w:val="236DC029"/>
    <w:rsid w:val="237F7BF3"/>
    <w:rsid w:val="23854F3E"/>
    <w:rsid w:val="238F1A6F"/>
    <w:rsid w:val="23A77883"/>
    <w:rsid w:val="23C28459"/>
    <w:rsid w:val="23C542EC"/>
    <w:rsid w:val="23C9400A"/>
    <w:rsid w:val="23CE1BB3"/>
    <w:rsid w:val="23DA299A"/>
    <w:rsid w:val="23DA6B90"/>
    <w:rsid w:val="23EB4DDD"/>
    <w:rsid w:val="23FC1040"/>
    <w:rsid w:val="23FC949E"/>
    <w:rsid w:val="24039E96"/>
    <w:rsid w:val="243DAEE0"/>
    <w:rsid w:val="24467263"/>
    <w:rsid w:val="2462FF5B"/>
    <w:rsid w:val="246AFE72"/>
    <w:rsid w:val="247C073E"/>
    <w:rsid w:val="249C8218"/>
    <w:rsid w:val="24B290C6"/>
    <w:rsid w:val="24D0EB68"/>
    <w:rsid w:val="24E883D1"/>
    <w:rsid w:val="24FB2EA8"/>
    <w:rsid w:val="2542F7A3"/>
    <w:rsid w:val="2543C6F6"/>
    <w:rsid w:val="255E81B2"/>
    <w:rsid w:val="257962DC"/>
    <w:rsid w:val="25A84CAD"/>
    <w:rsid w:val="25C02618"/>
    <w:rsid w:val="25EDE703"/>
    <w:rsid w:val="26028642"/>
    <w:rsid w:val="260A802B"/>
    <w:rsid w:val="260C61E9"/>
    <w:rsid w:val="26226C69"/>
    <w:rsid w:val="2630A4F2"/>
    <w:rsid w:val="263D8AA6"/>
    <w:rsid w:val="265BE9FD"/>
    <w:rsid w:val="265DDF7A"/>
    <w:rsid w:val="26715FEB"/>
    <w:rsid w:val="268C7FB4"/>
    <w:rsid w:val="26A187F8"/>
    <w:rsid w:val="26A29963"/>
    <w:rsid w:val="26CAF9E4"/>
    <w:rsid w:val="26EFAC61"/>
    <w:rsid w:val="26F7F56B"/>
    <w:rsid w:val="2700E0CC"/>
    <w:rsid w:val="2706AAB8"/>
    <w:rsid w:val="27247F2B"/>
    <w:rsid w:val="273E3E09"/>
    <w:rsid w:val="275CD596"/>
    <w:rsid w:val="276E1999"/>
    <w:rsid w:val="27913252"/>
    <w:rsid w:val="279527E1"/>
    <w:rsid w:val="27B0F338"/>
    <w:rsid w:val="27D77002"/>
    <w:rsid w:val="27DDAF17"/>
    <w:rsid w:val="27E35993"/>
    <w:rsid w:val="27EC3BB6"/>
    <w:rsid w:val="27F0FCC3"/>
    <w:rsid w:val="27F98B5E"/>
    <w:rsid w:val="27FF7780"/>
    <w:rsid w:val="2813D40B"/>
    <w:rsid w:val="2814F5EE"/>
    <w:rsid w:val="2818BECF"/>
    <w:rsid w:val="2821C524"/>
    <w:rsid w:val="2822D9F1"/>
    <w:rsid w:val="28629B42"/>
    <w:rsid w:val="286D5C62"/>
    <w:rsid w:val="287123EE"/>
    <w:rsid w:val="28822553"/>
    <w:rsid w:val="28C0C284"/>
    <w:rsid w:val="28D42CE1"/>
    <w:rsid w:val="28D5AEF3"/>
    <w:rsid w:val="2911C1FA"/>
    <w:rsid w:val="29140D27"/>
    <w:rsid w:val="291CF278"/>
    <w:rsid w:val="29308614"/>
    <w:rsid w:val="29590416"/>
    <w:rsid w:val="29597C9E"/>
    <w:rsid w:val="297AE24C"/>
    <w:rsid w:val="29858F86"/>
    <w:rsid w:val="29A07F66"/>
    <w:rsid w:val="29A96353"/>
    <w:rsid w:val="29BB9F93"/>
    <w:rsid w:val="29D36242"/>
    <w:rsid w:val="2A0BD962"/>
    <w:rsid w:val="2A1EDD57"/>
    <w:rsid w:val="2A24E582"/>
    <w:rsid w:val="2A28EA52"/>
    <w:rsid w:val="2A2EC013"/>
    <w:rsid w:val="2A397206"/>
    <w:rsid w:val="2A422B86"/>
    <w:rsid w:val="2A5A3191"/>
    <w:rsid w:val="2A66107D"/>
    <w:rsid w:val="2A69B2CF"/>
    <w:rsid w:val="2A6E1EC7"/>
    <w:rsid w:val="2A71004C"/>
    <w:rsid w:val="2A722164"/>
    <w:rsid w:val="2A7BB795"/>
    <w:rsid w:val="2A7F4FB9"/>
    <w:rsid w:val="2A80350D"/>
    <w:rsid w:val="2A825301"/>
    <w:rsid w:val="2A9675EA"/>
    <w:rsid w:val="2AB1FD04"/>
    <w:rsid w:val="2ACA09A8"/>
    <w:rsid w:val="2AD6DAFA"/>
    <w:rsid w:val="2AD8D3F1"/>
    <w:rsid w:val="2AE14E96"/>
    <w:rsid w:val="2AE9F5E0"/>
    <w:rsid w:val="2B035FE4"/>
    <w:rsid w:val="2B0CB278"/>
    <w:rsid w:val="2B0F8F70"/>
    <w:rsid w:val="2B1B17B4"/>
    <w:rsid w:val="2B27EBAC"/>
    <w:rsid w:val="2B56B854"/>
    <w:rsid w:val="2B6060F6"/>
    <w:rsid w:val="2B70FC71"/>
    <w:rsid w:val="2B96075B"/>
    <w:rsid w:val="2BA36434"/>
    <w:rsid w:val="2BAE8EE5"/>
    <w:rsid w:val="2BB4EE1E"/>
    <w:rsid w:val="2BC7639E"/>
    <w:rsid w:val="2BC7C14E"/>
    <w:rsid w:val="2BF694D8"/>
    <w:rsid w:val="2C0D1F2B"/>
    <w:rsid w:val="2C11E37F"/>
    <w:rsid w:val="2C2EF9A4"/>
    <w:rsid w:val="2C3695C4"/>
    <w:rsid w:val="2C6D023B"/>
    <w:rsid w:val="2C77A1E1"/>
    <w:rsid w:val="2C8243D5"/>
    <w:rsid w:val="2C94986C"/>
    <w:rsid w:val="2CA5F681"/>
    <w:rsid w:val="2CBB7558"/>
    <w:rsid w:val="2CBCCBA1"/>
    <w:rsid w:val="2CC80642"/>
    <w:rsid w:val="2CDB5B53"/>
    <w:rsid w:val="2D03D0BA"/>
    <w:rsid w:val="2D3E5797"/>
    <w:rsid w:val="2D5215EE"/>
    <w:rsid w:val="2D59D472"/>
    <w:rsid w:val="2D61DAF7"/>
    <w:rsid w:val="2D62A3C7"/>
    <w:rsid w:val="2D6562AF"/>
    <w:rsid w:val="2D807CA6"/>
    <w:rsid w:val="2D86BFFC"/>
    <w:rsid w:val="2D90EDC3"/>
    <w:rsid w:val="2DBB6B3F"/>
    <w:rsid w:val="2DCEEA3B"/>
    <w:rsid w:val="2DD837DC"/>
    <w:rsid w:val="2DE26B6F"/>
    <w:rsid w:val="2DEE7F99"/>
    <w:rsid w:val="2DF5EB55"/>
    <w:rsid w:val="2E0758D1"/>
    <w:rsid w:val="2E1EC637"/>
    <w:rsid w:val="2E2B735F"/>
    <w:rsid w:val="2E5178C5"/>
    <w:rsid w:val="2E51F7CD"/>
    <w:rsid w:val="2E56C9C2"/>
    <w:rsid w:val="2E66ED21"/>
    <w:rsid w:val="2E75E859"/>
    <w:rsid w:val="2E95532A"/>
    <w:rsid w:val="2E9FF1AE"/>
    <w:rsid w:val="2EAE1DE0"/>
    <w:rsid w:val="2EB19808"/>
    <w:rsid w:val="2EB1C3FD"/>
    <w:rsid w:val="2EC89387"/>
    <w:rsid w:val="2ED80755"/>
    <w:rsid w:val="2EDD474E"/>
    <w:rsid w:val="2EE305AF"/>
    <w:rsid w:val="2EE44270"/>
    <w:rsid w:val="2EEA5488"/>
    <w:rsid w:val="2EEF3308"/>
    <w:rsid w:val="2EF0B6EF"/>
    <w:rsid w:val="2F1CEE48"/>
    <w:rsid w:val="2F1EB4F9"/>
    <w:rsid w:val="2F344103"/>
    <w:rsid w:val="2F3BDED7"/>
    <w:rsid w:val="2F43BB06"/>
    <w:rsid w:val="2F49CEC3"/>
    <w:rsid w:val="2F56D1D7"/>
    <w:rsid w:val="2F6D7E3B"/>
    <w:rsid w:val="2F81E07A"/>
    <w:rsid w:val="2F81F08B"/>
    <w:rsid w:val="2F9BC83A"/>
    <w:rsid w:val="2FA1D15F"/>
    <w:rsid w:val="2FA82291"/>
    <w:rsid w:val="2FD48AA1"/>
    <w:rsid w:val="2FD7E738"/>
    <w:rsid w:val="30104874"/>
    <w:rsid w:val="301E9D0A"/>
    <w:rsid w:val="301FF2C9"/>
    <w:rsid w:val="302B4FA9"/>
    <w:rsid w:val="302E1B93"/>
    <w:rsid w:val="30309278"/>
    <w:rsid w:val="30330ED0"/>
    <w:rsid w:val="303370F5"/>
    <w:rsid w:val="304BC32E"/>
    <w:rsid w:val="306DE4C8"/>
    <w:rsid w:val="30A41C16"/>
    <w:rsid w:val="30A8EA9A"/>
    <w:rsid w:val="30AA036F"/>
    <w:rsid w:val="30B47E87"/>
    <w:rsid w:val="30C0EEB3"/>
    <w:rsid w:val="30D51295"/>
    <w:rsid w:val="30DED810"/>
    <w:rsid w:val="30E567D8"/>
    <w:rsid w:val="31132EBD"/>
    <w:rsid w:val="312154F2"/>
    <w:rsid w:val="31287033"/>
    <w:rsid w:val="313DD614"/>
    <w:rsid w:val="3142DB38"/>
    <w:rsid w:val="3146642A"/>
    <w:rsid w:val="314B2427"/>
    <w:rsid w:val="316C1CE1"/>
    <w:rsid w:val="31774365"/>
    <w:rsid w:val="31788F8E"/>
    <w:rsid w:val="3188DDF6"/>
    <w:rsid w:val="3190D43C"/>
    <w:rsid w:val="319F5F9E"/>
    <w:rsid w:val="31AEF225"/>
    <w:rsid w:val="31BA6BE3"/>
    <w:rsid w:val="31CE0E40"/>
    <w:rsid w:val="31FAA951"/>
    <w:rsid w:val="321A2AA2"/>
    <w:rsid w:val="3229E8AF"/>
    <w:rsid w:val="3237DB88"/>
    <w:rsid w:val="324475B7"/>
    <w:rsid w:val="325F2191"/>
    <w:rsid w:val="325FE0F4"/>
    <w:rsid w:val="32602ABB"/>
    <w:rsid w:val="32680F85"/>
    <w:rsid w:val="327F6991"/>
    <w:rsid w:val="3286D8FA"/>
    <w:rsid w:val="328CAA8A"/>
    <w:rsid w:val="32BF39F8"/>
    <w:rsid w:val="32CBF716"/>
    <w:rsid w:val="32D55E8B"/>
    <w:rsid w:val="3304B5BD"/>
    <w:rsid w:val="33096494"/>
    <w:rsid w:val="3321C492"/>
    <w:rsid w:val="332412AF"/>
    <w:rsid w:val="3329CBE3"/>
    <w:rsid w:val="33786316"/>
    <w:rsid w:val="337A0031"/>
    <w:rsid w:val="33B9290D"/>
    <w:rsid w:val="33BCB454"/>
    <w:rsid w:val="33BDE9D7"/>
    <w:rsid w:val="33C5826D"/>
    <w:rsid w:val="33E93909"/>
    <w:rsid w:val="33FBD154"/>
    <w:rsid w:val="340BF135"/>
    <w:rsid w:val="340F9DB2"/>
    <w:rsid w:val="3410AC11"/>
    <w:rsid w:val="341383B4"/>
    <w:rsid w:val="341DCAE4"/>
    <w:rsid w:val="342CC9E6"/>
    <w:rsid w:val="34481095"/>
    <w:rsid w:val="347AC73B"/>
    <w:rsid w:val="3492C0A8"/>
    <w:rsid w:val="3498FE23"/>
    <w:rsid w:val="34A24709"/>
    <w:rsid w:val="34BA46B8"/>
    <w:rsid w:val="34BBF214"/>
    <w:rsid w:val="34D06440"/>
    <w:rsid w:val="34E3EA0A"/>
    <w:rsid w:val="34F738E8"/>
    <w:rsid w:val="3500795C"/>
    <w:rsid w:val="3505FE60"/>
    <w:rsid w:val="35074E8D"/>
    <w:rsid w:val="3508AF0F"/>
    <w:rsid w:val="352C7E3C"/>
    <w:rsid w:val="354BA0BA"/>
    <w:rsid w:val="35544697"/>
    <w:rsid w:val="35585DCE"/>
    <w:rsid w:val="35662848"/>
    <w:rsid w:val="357CC6ED"/>
    <w:rsid w:val="359F8E11"/>
    <w:rsid w:val="35ACE423"/>
    <w:rsid w:val="35BA94CC"/>
    <w:rsid w:val="35F32003"/>
    <w:rsid w:val="35FFD5A0"/>
    <w:rsid w:val="3609BF53"/>
    <w:rsid w:val="362F1E96"/>
    <w:rsid w:val="363BFBDC"/>
    <w:rsid w:val="36549E1F"/>
    <w:rsid w:val="366C34A1"/>
    <w:rsid w:val="366D486A"/>
    <w:rsid w:val="366FB125"/>
    <w:rsid w:val="368EE900"/>
    <w:rsid w:val="36A33517"/>
    <w:rsid w:val="36C867AA"/>
    <w:rsid w:val="36CD37BB"/>
    <w:rsid w:val="36E9F3F1"/>
    <w:rsid w:val="36F698BC"/>
    <w:rsid w:val="37048B3B"/>
    <w:rsid w:val="37131163"/>
    <w:rsid w:val="3715112D"/>
    <w:rsid w:val="372BDAF9"/>
    <w:rsid w:val="374CB3D8"/>
    <w:rsid w:val="37580852"/>
    <w:rsid w:val="375A77F2"/>
    <w:rsid w:val="37921F36"/>
    <w:rsid w:val="37ADD72D"/>
    <w:rsid w:val="37D1D883"/>
    <w:rsid w:val="37DE5BFE"/>
    <w:rsid w:val="37EC97AD"/>
    <w:rsid w:val="3831CF0B"/>
    <w:rsid w:val="38384FE1"/>
    <w:rsid w:val="38576117"/>
    <w:rsid w:val="3859D503"/>
    <w:rsid w:val="38636E06"/>
    <w:rsid w:val="3868E2CB"/>
    <w:rsid w:val="387AC105"/>
    <w:rsid w:val="388839EA"/>
    <w:rsid w:val="388F4A8D"/>
    <w:rsid w:val="38AAC9A8"/>
    <w:rsid w:val="38B6DABF"/>
    <w:rsid w:val="38C09BA3"/>
    <w:rsid w:val="3914C2D5"/>
    <w:rsid w:val="39323B11"/>
    <w:rsid w:val="3938E908"/>
    <w:rsid w:val="39460F17"/>
    <w:rsid w:val="3946B07A"/>
    <w:rsid w:val="394BA7AD"/>
    <w:rsid w:val="394E058D"/>
    <w:rsid w:val="39509954"/>
    <w:rsid w:val="39590A6F"/>
    <w:rsid w:val="39720023"/>
    <w:rsid w:val="398995C0"/>
    <w:rsid w:val="3994E3AD"/>
    <w:rsid w:val="39A427C3"/>
    <w:rsid w:val="39BF4A16"/>
    <w:rsid w:val="39CEDA21"/>
    <w:rsid w:val="3A05257A"/>
    <w:rsid w:val="3A28CC50"/>
    <w:rsid w:val="3A6E0F10"/>
    <w:rsid w:val="3A718012"/>
    <w:rsid w:val="3A7A3617"/>
    <w:rsid w:val="3A961B6E"/>
    <w:rsid w:val="3A9A60EC"/>
    <w:rsid w:val="3AA2AB30"/>
    <w:rsid w:val="3AA3E1B4"/>
    <w:rsid w:val="3ABDBE69"/>
    <w:rsid w:val="3AC92880"/>
    <w:rsid w:val="3ADC2CB9"/>
    <w:rsid w:val="3B23DFFB"/>
    <w:rsid w:val="3B267D67"/>
    <w:rsid w:val="3B3A9FB9"/>
    <w:rsid w:val="3B451718"/>
    <w:rsid w:val="3B5E1A67"/>
    <w:rsid w:val="3B63D538"/>
    <w:rsid w:val="3B6A3525"/>
    <w:rsid w:val="3B6FB751"/>
    <w:rsid w:val="3BA2D4FE"/>
    <w:rsid w:val="3BCED550"/>
    <w:rsid w:val="3BE4DB65"/>
    <w:rsid w:val="3BE72EE8"/>
    <w:rsid w:val="3C06AEB7"/>
    <w:rsid w:val="3C0F6DF4"/>
    <w:rsid w:val="3C439669"/>
    <w:rsid w:val="3C66BD78"/>
    <w:rsid w:val="3C890CBE"/>
    <w:rsid w:val="3C9D0BA3"/>
    <w:rsid w:val="3CC24DC8"/>
    <w:rsid w:val="3D3EC498"/>
    <w:rsid w:val="3D44D604"/>
    <w:rsid w:val="3D4A1635"/>
    <w:rsid w:val="3D6096CF"/>
    <w:rsid w:val="3DA7765C"/>
    <w:rsid w:val="3DBD0143"/>
    <w:rsid w:val="3DE494A8"/>
    <w:rsid w:val="3DF5C49D"/>
    <w:rsid w:val="3E0FDEE9"/>
    <w:rsid w:val="3E116209"/>
    <w:rsid w:val="3E15AB07"/>
    <w:rsid w:val="3E45BD89"/>
    <w:rsid w:val="3E5B14DF"/>
    <w:rsid w:val="3E5D4839"/>
    <w:rsid w:val="3E72F240"/>
    <w:rsid w:val="3E74B071"/>
    <w:rsid w:val="3E761EF7"/>
    <w:rsid w:val="3E993061"/>
    <w:rsid w:val="3EA4BBDD"/>
    <w:rsid w:val="3EA57DD9"/>
    <w:rsid w:val="3EACEE3A"/>
    <w:rsid w:val="3EB19609"/>
    <w:rsid w:val="3EC0E2F9"/>
    <w:rsid w:val="3ECA7239"/>
    <w:rsid w:val="3EE4A691"/>
    <w:rsid w:val="3EF201CF"/>
    <w:rsid w:val="3F0666C1"/>
    <w:rsid w:val="3F0CB778"/>
    <w:rsid w:val="3F1AF145"/>
    <w:rsid w:val="3F3B92F0"/>
    <w:rsid w:val="3F71B7FB"/>
    <w:rsid w:val="3F89C45E"/>
    <w:rsid w:val="3F8C9315"/>
    <w:rsid w:val="3FA959F2"/>
    <w:rsid w:val="3FCD9A6B"/>
    <w:rsid w:val="3FD94E35"/>
    <w:rsid w:val="3FDC403E"/>
    <w:rsid w:val="3FF10F99"/>
    <w:rsid w:val="4037A4F0"/>
    <w:rsid w:val="40462AF8"/>
    <w:rsid w:val="4065BA21"/>
    <w:rsid w:val="4069ECC2"/>
    <w:rsid w:val="409450DF"/>
    <w:rsid w:val="409907D7"/>
    <w:rsid w:val="40A37FFB"/>
    <w:rsid w:val="40AA655B"/>
    <w:rsid w:val="40C7D271"/>
    <w:rsid w:val="40EB6114"/>
    <w:rsid w:val="40F72FE3"/>
    <w:rsid w:val="40FCC8A8"/>
    <w:rsid w:val="41237D7D"/>
    <w:rsid w:val="413AB4A5"/>
    <w:rsid w:val="41409C64"/>
    <w:rsid w:val="4147D328"/>
    <w:rsid w:val="418DB2AC"/>
    <w:rsid w:val="4196F76C"/>
    <w:rsid w:val="41C23C9F"/>
    <w:rsid w:val="41C738B0"/>
    <w:rsid w:val="41DFD2F9"/>
    <w:rsid w:val="42154737"/>
    <w:rsid w:val="422A33BE"/>
    <w:rsid w:val="422DA54B"/>
    <w:rsid w:val="424A30C4"/>
    <w:rsid w:val="424EF723"/>
    <w:rsid w:val="426C9282"/>
    <w:rsid w:val="426DB15A"/>
    <w:rsid w:val="4293A42C"/>
    <w:rsid w:val="42A0E11C"/>
    <w:rsid w:val="42AE1AEC"/>
    <w:rsid w:val="42C28F54"/>
    <w:rsid w:val="42D241B1"/>
    <w:rsid w:val="4305CB6E"/>
    <w:rsid w:val="4311CF72"/>
    <w:rsid w:val="435FB413"/>
    <w:rsid w:val="436B815B"/>
    <w:rsid w:val="4376CF09"/>
    <w:rsid w:val="4399F6CD"/>
    <w:rsid w:val="43A4EBB8"/>
    <w:rsid w:val="43A57C87"/>
    <w:rsid w:val="43AC850C"/>
    <w:rsid w:val="43B3032D"/>
    <w:rsid w:val="43BF4C1F"/>
    <w:rsid w:val="43C59A1F"/>
    <w:rsid w:val="43E2C131"/>
    <w:rsid w:val="43F586BF"/>
    <w:rsid w:val="440EEAAD"/>
    <w:rsid w:val="442AF045"/>
    <w:rsid w:val="442BB241"/>
    <w:rsid w:val="443D8836"/>
    <w:rsid w:val="444BADF5"/>
    <w:rsid w:val="44689A70"/>
    <w:rsid w:val="447472BF"/>
    <w:rsid w:val="449A6C9E"/>
    <w:rsid w:val="44B347A3"/>
    <w:rsid w:val="44B49FBF"/>
    <w:rsid w:val="44B78513"/>
    <w:rsid w:val="44C88AEE"/>
    <w:rsid w:val="44D19C70"/>
    <w:rsid w:val="44DFD8AF"/>
    <w:rsid w:val="44EF9CDB"/>
    <w:rsid w:val="44FD3854"/>
    <w:rsid w:val="450058F0"/>
    <w:rsid w:val="450192D8"/>
    <w:rsid w:val="4522211D"/>
    <w:rsid w:val="453A67B0"/>
    <w:rsid w:val="456D971F"/>
    <w:rsid w:val="456F477F"/>
    <w:rsid w:val="456FAAC0"/>
    <w:rsid w:val="45714BA7"/>
    <w:rsid w:val="457A92DD"/>
    <w:rsid w:val="45A8E374"/>
    <w:rsid w:val="45C6CDDD"/>
    <w:rsid w:val="45D6E587"/>
    <w:rsid w:val="45EB493E"/>
    <w:rsid w:val="462FAE19"/>
    <w:rsid w:val="46348354"/>
    <w:rsid w:val="463B9B14"/>
    <w:rsid w:val="464180CB"/>
    <w:rsid w:val="4662DC69"/>
    <w:rsid w:val="4665A35A"/>
    <w:rsid w:val="4675664E"/>
    <w:rsid w:val="4691638E"/>
    <w:rsid w:val="46937000"/>
    <w:rsid w:val="46ACAB10"/>
    <w:rsid w:val="46ADB7FD"/>
    <w:rsid w:val="46B5C2A1"/>
    <w:rsid w:val="46CAB312"/>
    <w:rsid w:val="46F8910F"/>
    <w:rsid w:val="47136FE3"/>
    <w:rsid w:val="47212F37"/>
    <w:rsid w:val="472D2596"/>
    <w:rsid w:val="474C3F13"/>
    <w:rsid w:val="47629E3E"/>
    <w:rsid w:val="476CCA5B"/>
    <w:rsid w:val="4775D8F9"/>
    <w:rsid w:val="47929BE0"/>
    <w:rsid w:val="47960077"/>
    <w:rsid w:val="47B609E4"/>
    <w:rsid w:val="47BFAF8D"/>
    <w:rsid w:val="47D06DE1"/>
    <w:rsid w:val="47EE0DD5"/>
    <w:rsid w:val="47F7B711"/>
    <w:rsid w:val="47FF2C9B"/>
    <w:rsid w:val="4806CA15"/>
    <w:rsid w:val="4806CACF"/>
    <w:rsid w:val="480798CD"/>
    <w:rsid w:val="481B28BC"/>
    <w:rsid w:val="484CEBD7"/>
    <w:rsid w:val="48598F0A"/>
    <w:rsid w:val="4893F949"/>
    <w:rsid w:val="48BA4421"/>
    <w:rsid w:val="48D87D74"/>
    <w:rsid w:val="48E228FF"/>
    <w:rsid w:val="48E7F125"/>
    <w:rsid w:val="48E9F024"/>
    <w:rsid w:val="48F738E0"/>
    <w:rsid w:val="48F97A30"/>
    <w:rsid w:val="49007C79"/>
    <w:rsid w:val="4923EE45"/>
    <w:rsid w:val="493A63A7"/>
    <w:rsid w:val="493B93A7"/>
    <w:rsid w:val="49519E59"/>
    <w:rsid w:val="49568291"/>
    <w:rsid w:val="49578CC2"/>
    <w:rsid w:val="4969BAFA"/>
    <w:rsid w:val="4978288D"/>
    <w:rsid w:val="49793CDB"/>
    <w:rsid w:val="4982BAF9"/>
    <w:rsid w:val="498E6725"/>
    <w:rsid w:val="499EDE1C"/>
    <w:rsid w:val="49C9AF5A"/>
    <w:rsid w:val="49D740F3"/>
    <w:rsid w:val="49EFD008"/>
    <w:rsid w:val="49F2F644"/>
    <w:rsid w:val="49F43577"/>
    <w:rsid w:val="4A01E36A"/>
    <w:rsid w:val="4A4A96D1"/>
    <w:rsid w:val="4A4EBA69"/>
    <w:rsid w:val="4A558099"/>
    <w:rsid w:val="4A6E5EFB"/>
    <w:rsid w:val="4A89505B"/>
    <w:rsid w:val="4A93321E"/>
    <w:rsid w:val="4ABB915E"/>
    <w:rsid w:val="4AC75D75"/>
    <w:rsid w:val="4AC84288"/>
    <w:rsid w:val="4AE34859"/>
    <w:rsid w:val="4AE6BECC"/>
    <w:rsid w:val="4AEC53D0"/>
    <w:rsid w:val="4AFBB440"/>
    <w:rsid w:val="4AFEB839"/>
    <w:rsid w:val="4B06AA76"/>
    <w:rsid w:val="4B0895E9"/>
    <w:rsid w:val="4B0BCE28"/>
    <w:rsid w:val="4B408AA3"/>
    <w:rsid w:val="4B502A97"/>
    <w:rsid w:val="4B6246E9"/>
    <w:rsid w:val="4B7F4E50"/>
    <w:rsid w:val="4B99D172"/>
    <w:rsid w:val="4BC2C2FC"/>
    <w:rsid w:val="4BDC1070"/>
    <w:rsid w:val="4BDEC93B"/>
    <w:rsid w:val="4BE54B29"/>
    <w:rsid w:val="4C27C4FA"/>
    <w:rsid w:val="4C320AE9"/>
    <w:rsid w:val="4C5CDD4B"/>
    <w:rsid w:val="4C7C698C"/>
    <w:rsid w:val="4C8332A5"/>
    <w:rsid w:val="4CB562E7"/>
    <w:rsid w:val="4CDDFCE6"/>
    <w:rsid w:val="4CF248A0"/>
    <w:rsid w:val="4D039366"/>
    <w:rsid w:val="4D09FB19"/>
    <w:rsid w:val="4D1D434A"/>
    <w:rsid w:val="4D26C31D"/>
    <w:rsid w:val="4D2B98CD"/>
    <w:rsid w:val="4D3DEED5"/>
    <w:rsid w:val="4D4A9EF3"/>
    <w:rsid w:val="4D784965"/>
    <w:rsid w:val="4DA8CFCC"/>
    <w:rsid w:val="4DB0C730"/>
    <w:rsid w:val="4DB32051"/>
    <w:rsid w:val="4DBBB785"/>
    <w:rsid w:val="4DBD2967"/>
    <w:rsid w:val="4DC5665B"/>
    <w:rsid w:val="4DCFB85B"/>
    <w:rsid w:val="4DD24B14"/>
    <w:rsid w:val="4DE8CB32"/>
    <w:rsid w:val="4DF0CA94"/>
    <w:rsid w:val="4E00F7FC"/>
    <w:rsid w:val="4E1A51A3"/>
    <w:rsid w:val="4E2A8F36"/>
    <w:rsid w:val="4E4402F0"/>
    <w:rsid w:val="4E4A45E0"/>
    <w:rsid w:val="4E62D494"/>
    <w:rsid w:val="4E65546D"/>
    <w:rsid w:val="4E831776"/>
    <w:rsid w:val="4E90C370"/>
    <w:rsid w:val="4E98B864"/>
    <w:rsid w:val="4EAEEFA3"/>
    <w:rsid w:val="4EC7F3B7"/>
    <w:rsid w:val="4ECA3197"/>
    <w:rsid w:val="4ED0B589"/>
    <w:rsid w:val="4ED2524F"/>
    <w:rsid w:val="4EE5049E"/>
    <w:rsid w:val="4EE53D60"/>
    <w:rsid w:val="4EED57A2"/>
    <w:rsid w:val="4F0B7775"/>
    <w:rsid w:val="4F57C377"/>
    <w:rsid w:val="4F691433"/>
    <w:rsid w:val="4F7334C4"/>
    <w:rsid w:val="4F75FD68"/>
    <w:rsid w:val="4F94E35E"/>
    <w:rsid w:val="4FA43B33"/>
    <w:rsid w:val="4FAED9A6"/>
    <w:rsid w:val="4FC9C03B"/>
    <w:rsid w:val="4FDCEFA3"/>
    <w:rsid w:val="500382F1"/>
    <w:rsid w:val="501F1A54"/>
    <w:rsid w:val="503BAC59"/>
    <w:rsid w:val="50415B3E"/>
    <w:rsid w:val="504AC48B"/>
    <w:rsid w:val="50520783"/>
    <w:rsid w:val="5060DA0E"/>
    <w:rsid w:val="5067722B"/>
    <w:rsid w:val="50842240"/>
    <w:rsid w:val="5093534D"/>
    <w:rsid w:val="50985EBA"/>
    <w:rsid w:val="50C1D6EE"/>
    <w:rsid w:val="50D2E66A"/>
    <w:rsid w:val="50E70467"/>
    <w:rsid w:val="50F74810"/>
    <w:rsid w:val="50FAD365"/>
    <w:rsid w:val="50FF1400"/>
    <w:rsid w:val="51041FC2"/>
    <w:rsid w:val="5122E162"/>
    <w:rsid w:val="512706BB"/>
    <w:rsid w:val="5144CF48"/>
    <w:rsid w:val="5152322C"/>
    <w:rsid w:val="51696DC6"/>
    <w:rsid w:val="5170DC3E"/>
    <w:rsid w:val="517980BA"/>
    <w:rsid w:val="518ACF06"/>
    <w:rsid w:val="51966D57"/>
    <w:rsid w:val="51996392"/>
    <w:rsid w:val="519F0A13"/>
    <w:rsid w:val="51A3971F"/>
    <w:rsid w:val="51B2312D"/>
    <w:rsid w:val="51CD851F"/>
    <w:rsid w:val="51EAEA76"/>
    <w:rsid w:val="51F1280C"/>
    <w:rsid w:val="51FD89D0"/>
    <w:rsid w:val="520C7F63"/>
    <w:rsid w:val="52167C1E"/>
    <w:rsid w:val="521E0918"/>
    <w:rsid w:val="523018D0"/>
    <w:rsid w:val="5233024F"/>
    <w:rsid w:val="5242CCF6"/>
    <w:rsid w:val="529DCBD7"/>
    <w:rsid w:val="52AAF35C"/>
    <w:rsid w:val="52CDB07D"/>
    <w:rsid w:val="52D24C02"/>
    <w:rsid w:val="52F5BE79"/>
    <w:rsid w:val="53178FD7"/>
    <w:rsid w:val="531D9E4A"/>
    <w:rsid w:val="5347B6A6"/>
    <w:rsid w:val="534FA09C"/>
    <w:rsid w:val="5358538B"/>
    <w:rsid w:val="53646639"/>
    <w:rsid w:val="5369159C"/>
    <w:rsid w:val="539EB6A6"/>
    <w:rsid w:val="53C152A8"/>
    <w:rsid w:val="53DF3D01"/>
    <w:rsid w:val="53FDAD7C"/>
    <w:rsid w:val="541B1FF3"/>
    <w:rsid w:val="541F85E8"/>
    <w:rsid w:val="5427F8E9"/>
    <w:rsid w:val="542FCB18"/>
    <w:rsid w:val="54538720"/>
    <w:rsid w:val="54679EC6"/>
    <w:rsid w:val="5472E848"/>
    <w:rsid w:val="5495A127"/>
    <w:rsid w:val="54B3C367"/>
    <w:rsid w:val="54B7B055"/>
    <w:rsid w:val="54C57B80"/>
    <w:rsid w:val="54C61D93"/>
    <w:rsid w:val="54CB5284"/>
    <w:rsid w:val="54CCAFB8"/>
    <w:rsid w:val="54DB6BB7"/>
    <w:rsid w:val="54DF07D0"/>
    <w:rsid w:val="54E2E050"/>
    <w:rsid w:val="54E303A9"/>
    <w:rsid w:val="54F5EC5F"/>
    <w:rsid w:val="551B41B7"/>
    <w:rsid w:val="55263C98"/>
    <w:rsid w:val="55610DDA"/>
    <w:rsid w:val="556658CC"/>
    <w:rsid w:val="556C40A9"/>
    <w:rsid w:val="5579F53A"/>
    <w:rsid w:val="557B9996"/>
    <w:rsid w:val="5587C14A"/>
    <w:rsid w:val="5591B647"/>
    <w:rsid w:val="5592485E"/>
    <w:rsid w:val="55D64F81"/>
    <w:rsid w:val="55DE351A"/>
    <w:rsid w:val="55E78650"/>
    <w:rsid w:val="55F5AE20"/>
    <w:rsid w:val="561864B9"/>
    <w:rsid w:val="568EC175"/>
    <w:rsid w:val="56A32A5A"/>
    <w:rsid w:val="56AD7F6B"/>
    <w:rsid w:val="56D0FA58"/>
    <w:rsid w:val="56D55C04"/>
    <w:rsid w:val="56D64564"/>
    <w:rsid w:val="570C3150"/>
    <w:rsid w:val="5727B69C"/>
    <w:rsid w:val="57399DAA"/>
    <w:rsid w:val="573CE694"/>
    <w:rsid w:val="57421424"/>
    <w:rsid w:val="575A7B4E"/>
    <w:rsid w:val="5762F4CF"/>
    <w:rsid w:val="57701187"/>
    <w:rsid w:val="57728F8D"/>
    <w:rsid w:val="57783A63"/>
    <w:rsid w:val="577F8154"/>
    <w:rsid w:val="578E17C5"/>
    <w:rsid w:val="5790C1DE"/>
    <w:rsid w:val="579CB6FA"/>
    <w:rsid w:val="57AFE3F3"/>
    <w:rsid w:val="57B31B10"/>
    <w:rsid w:val="57B5909B"/>
    <w:rsid w:val="57B94CAE"/>
    <w:rsid w:val="57C7C351"/>
    <w:rsid w:val="57E67B29"/>
    <w:rsid w:val="57F5E08D"/>
    <w:rsid w:val="5807663A"/>
    <w:rsid w:val="581CDB0D"/>
    <w:rsid w:val="582A93A7"/>
    <w:rsid w:val="58326E8F"/>
    <w:rsid w:val="5835C53E"/>
    <w:rsid w:val="583D965E"/>
    <w:rsid w:val="588375FE"/>
    <w:rsid w:val="588AA3C7"/>
    <w:rsid w:val="5890FA96"/>
    <w:rsid w:val="58980568"/>
    <w:rsid w:val="58AF20DC"/>
    <w:rsid w:val="591B56C8"/>
    <w:rsid w:val="591C57B6"/>
    <w:rsid w:val="592D4441"/>
    <w:rsid w:val="592ED7D8"/>
    <w:rsid w:val="59324E6F"/>
    <w:rsid w:val="5932F41D"/>
    <w:rsid w:val="5939656E"/>
    <w:rsid w:val="594ADA4A"/>
    <w:rsid w:val="595BD55A"/>
    <w:rsid w:val="596F3EE0"/>
    <w:rsid w:val="599D85FA"/>
    <w:rsid w:val="59A6B426"/>
    <w:rsid w:val="59AD0E47"/>
    <w:rsid w:val="59BD0A9B"/>
    <w:rsid w:val="59CC844F"/>
    <w:rsid w:val="59E6E1E5"/>
    <w:rsid w:val="59E9996C"/>
    <w:rsid w:val="59F37927"/>
    <w:rsid w:val="59FFE1F6"/>
    <w:rsid w:val="5A15D060"/>
    <w:rsid w:val="5A1C5FF8"/>
    <w:rsid w:val="5A2287EF"/>
    <w:rsid w:val="5A2B1CE8"/>
    <w:rsid w:val="5A546C64"/>
    <w:rsid w:val="5A8DF2B7"/>
    <w:rsid w:val="5A984A26"/>
    <w:rsid w:val="5A9F1E8F"/>
    <w:rsid w:val="5AA0107B"/>
    <w:rsid w:val="5AAC2F1B"/>
    <w:rsid w:val="5AC2D6E5"/>
    <w:rsid w:val="5AC76AB0"/>
    <w:rsid w:val="5AC849F8"/>
    <w:rsid w:val="5ADEE2E7"/>
    <w:rsid w:val="5AE47280"/>
    <w:rsid w:val="5AEAA6BF"/>
    <w:rsid w:val="5B3471BB"/>
    <w:rsid w:val="5B5DE291"/>
    <w:rsid w:val="5B637BC1"/>
    <w:rsid w:val="5B6F73DE"/>
    <w:rsid w:val="5B860BDD"/>
    <w:rsid w:val="5B8BCAB5"/>
    <w:rsid w:val="5B9AAD24"/>
    <w:rsid w:val="5BB2282C"/>
    <w:rsid w:val="5BE4B063"/>
    <w:rsid w:val="5BF3A7D5"/>
    <w:rsid w:val="5BF8CA97"/>
    <w:rsid w:val="5C04DA6F"/>
    <w:rsid w:val="5C17A9D8"/>
    <w:rsid w:val="5C299CFF"/>
    <w:rsid w:val="5C2ED8FC"/>
    <w:rsid w:val="5C504EDF"/>
    <w:rsid w:val="5C70C394"/>
    <w:rsid w:val="5C76C5C8"/>
    <w:rsid w:val="5C7AE537"/>
    <w:rsid w:val="5CA5A219"/>
    <w:rsid w:val="5CA72661"/>
    <w:rsid w:val="5CB05AA6"/>
    <w:rsid w:val="5CB2BF46"/>
    <w:rsid w:val="5CBBBDDF"/>
    <w:rsid w:val="5CF073A1"/>
    <w:rsid w:val="5D077B23"/>
    <w:rsid w:val="5D2E2025"/>
    <w:rsid w:val="5D34E32A"/>
    <w:rsid w:val="5D4E5586"/>
    <w:rsid w:val="5D8242C3"/>
    <w:rsid w:val="5D9E7FF0"/>
    <w:rsid w:val="5DA4D9B0"/>
    <w:rsid w:val="5DA900EA"/>
    <w:rsid w:val="5DC53A68"/>
    <w:rsid w:val="5E07277D"/>
    <w:rsid w:val="5E0AF6BA"/>
    <w:rsid w:val="5E46F9C9"/>
    <w:rsid w:val="5E5E54C6"/>
    <w:rsid w:val="5E63E7EF"/>
    <w:rsid w:val="5E7D6DD2"/>
    <w:rsid w:val="5E84D633"/>
    <w:rsid w:val="5E922640"/>
    <w:rsid w:val="5E94BADC"/>
    <w:rsid w:val="5EAC64DD"/>
    <w:rsid w:val="5EC7E6E9"/>
    <w:rsid w:val="5ECDCC3F"/>
    <w:rsid w:val="5EDC3F75"/>
    <w:rsid w:val="5F09C6E7"/>
    <w:rsid w:val="5F18FECC"/>
    <w:rsid w:val="5F2FD3E1"/>
    <w:rsid w:val="5F4AAAB9"/>
    <w:rsid w:val="5F4FBEF0"/>
    <w:rsid w:val="5F553C98"/>
    <w:rsid w:val="5F63567D"/>
    <w:rsid w:val="5F64B356"/>
    <w:rsid w:val="5F708FFF"/>
    <w:rsid w:val="5F818C68"/>
    <w:rsid w:val="5F88AFA5"/>
    <w:rsid w:val="5FABEA22"/>
    <w:rsid w:val="5FAF3B58"/>
    <w:rsid w:val="5FBB640B"/>
    <w:rsid w:val="5FBFA7ED"/>
    <w:rsid w:val="5FC76D68"/>
    <w:rsid w:val="5FDFC8B6"/>
    <w:rsid w:val="5FE78CB2"/>
    <w:rsid w:val="5FE817A6"/>
    <w:rsid w:val="5FFAB5E0"/>
    <w:rsid w:val="60040B12"/>
    <w:rsid w:val="601D726A"/>
    <w:rsid w:val="602E9441"/>
    <w:rsid w:val="60331AB3"/>
    <w:rsid w:val="6033FFEC"/>
    <w:rsid w:val="60498F85"/>
    <w:rsid w:val="604A9BF8"/>
    <w:rsid w:val="60617C90"/>
    <w:rsid w:val="6067DC32"/>
    <w:rsid w:val="606E5D02"/>
    <w:rsid w:val="6071DEAF"/>
    <w:rsid w:val="60817B8B"/>
    <w:rsid w:val="6098C04B"/>
    <w:rsid w:val="60A36056"/>
    <w:rsid w:val="60B4502A"/>
    <w:rsid w:val="60BDF4B0"/>
    <w:rsid w:val="60CE100C"/>
    <w:rsid w:val="60FDF61F"/>
    <w:rsid w:val="610D60AE"/>
    <w:rsid w:val="611A92A4"/>
    <w:rsid w:val="611FB8D1"/>
    <w:rsid w:val="61484BB2"/>
    <w:rsid w:val="614B194F"/>
    <w:rsid w:val="615B3C0E"/>
    <w:rsid w:val="615EFAB4"/>
    <w:rsid w:val="61747737"/>
    <w:rsid w:val="618AE2B7"/>
    <w:rsid w:val="619C6206"/>
    <w:rsid w:val="61BB0202"/>
    <w:rsid w:val="61C74928"/>
    <w:rsid w:val="61F26E33"/>
    <w:rsid w:val="6203A1B3"/>
    <w:rsid w:val="620E0A5D"/>
    <w:rsid w:val="6237A47A"/>
    <w:rsid w:val="625C4835"/>
    <w:rsid w:val="6262191D"/>
    <w:rsid w:val="627BB387"/>
    <w:rsid w:val="627E9475"/>
    <w:rsid w:val="6291FF4B"/>
    <w:rsid w:val="6298496B"/>
    <w:rsid w:val="62A3D16A"/>
    <w:rsid w:val="62A9D049"/>
    <w:rsid w:val="62B43ACA"/>
    <w:rsid w:val="6310A5E6"/>
    <w:rsid w:val="632B6953"/>
    <w:rsid w:val="63351452"/>
    <w:rsid w:val="633AC143"/>
    <w:rsid w:val="635A51BE"/>
    <w:rsid w:val="635C807C"/>
    <w:rsid w:val="63884B80"/>
    <w:rsid w:val="63901877"/>
    <w:rsid w:val="639C24AE"/>
    <w:rsid w:val="63AD922D"/>
    <w:rsid w:val="63CF3116"/>
    <w:rsid w:val="64113286"/>
    <w:rsid w:val="6415EEA8"/>
    <w:rsid w:val="64239359"/>
    <w:rsid w:val="6429C769"/>
    <w:rsid w:val="643EA9BC"/>
    <w:rsid w:val="64410E1E"/>
    <w:rsid w:val="644390DE"/>
    <w:rsid w:val="646D0D23"/>
    <w:rsid w:val="6486987C"/>
    <w:rsid w:val="64B9DC70"/>
    <w:rsid w:val="64C3EE4E"/>
    <w:rsid w:val="64C78B94"/>
    <w:rsid w:val="64CA5693"/>
    <w:rsid w:val="64D73C47"/>
    <w:rsid w:val="64E2B5C5"/>
    <w:rsid w:val="6515355F"/>
    <w:rsid w:val="65224D6A"/>
    <w:rsid w:val="654C0EBA"/>
    <w:rsid w:val="654CF5FA"/>
    <w:rsid w:val="6558F18D"/>
    <w:rsid w:val="65626510"/>
    <w:rsid w:val="6574FF31"/>
    <w:rsid w:val="657E376B"/>
    <w:rsid w:val="6581A41A"/>
    <w:rsid w:val="6591A70C"/>
    <w:rsid w:val="659C7C74"/>
    <w:rsid w:val="65B70ED2"/>
    <w:rsid w:val="65C8C898"/>
    <w:rsid w:val="65CFAE6C"/>
    <w:rsid w:val="65D85699"/>
    <w:rsid w:val="65E0FD80"/>
    <w:rsid w:val="65EA404F"/>
    <w:rsid w:val="65F51DDC"/>
    <w:rsid w:val="660DF0A8"/>
    <w:rsid w:val="66456A43"/>
    <w:rsid w:val="664661B9"/>
    <w:rsid w:val="664B5616"/>
    <w:rsid w:val="66B03F75"/>
    <w:rsid w:val="670CAEBC"/>
    <w:rsid w:val="67479CC6"/>
    <w:rsid w:val="675F508C"/>
    <w:rsid w:val="6762D5B0"/>
    <w:rsid w:val="67701CEC"/>
    <w:rsid w:val="67740E1E"/>
    <w:rsid w:val="678132E3"/>
    <w:rsid w:val="67833A44"/>
    <w:rsid w:val="67A46097"/>
    <w:rsid w:val="67BAB077"/>
    <w:rsid w:val="67C3612C"/>
    <w:rsid w:val="67C8D26A"/>
    <w:rsid w:val="67DF66F3"/>
    <w:rsid w:val="67F2589A"/>
    <w:rsid w:val="67F98048"/>
    <w:rsid w:val="68007003"/>
    <w:rsid w:val="680D97EE"/>
    <w:rsid w:val="6829A6D5"/>
    <w:rsid w:val="682EF5BB"/>
    <w:rsid w:val="682F7C6E"/>
    <w:rsid w:val="6832FF1A"/>
    <w:rsid w:val="6853E0EE"/>
    <w:rsid w:val="6876D65A"/>
    <w:rsid w:val="68AA0B0E"/>
    <w:rsid w:val="68C5BAFE"/>
    <w:rsid w:val="68EB009E"/>
    <w:rsid w:val="68EC0728"/>
    <w:rsid w:val="68EEBE49"/>
    <w:rsid w:val="69135AE9"/>
    <w:rsid w:val="6934D865"/>
    <w:rsid w:val="694CD620"/>
    <w:rsid w:val="695C66A5"/>
    <w:rsid w:val="6967BE7B"/>
    <w:rsid w:val="69A2765E"/>
    <w:rsid w:val="69BF4BB0"/>
    <w:rsid w:val="69DDF561"/>
    <w:rsid w:val="69E4D359"/>
    <w:rsid w:val="69E873B1"/>
    <w:rsid w:val="69EAEA22"/>
    <w:rsid w:val="6A03A31A"/>
    <w:rsid w:val="6A0517DB"/>
    <w:rsid w:val="6A16411E"/>
    <w:rsid w:val="6A1BC84B"/>
    <w:rsid w:val="6A1CC919"/>
    <w:rsid w:val="6A27B594"/>
    <w:rsid w:val="6A2A921F"/>
    <w:rsid w:val="6A38D04B"/>
    <w:rsid w:val="6A459F31"/>
    <w:rsid w:val="6A502F25"/>
    <w:rsid w:val="6A52F959"/>
    <w:rsid w:val="6A5A54E7"/>
    <w:rsid w:val="6A620456"/>
    <w:rsid w:val="6A62DD2D"/>
    <w:rsid w:val="6A6B58B3"/>
    <w:rsid w:val="6A6CDF54"/>
    <w:rsid w:val="6A96B18D"/>
    <w:rsid w:val="6A96DF0C"/>
    <w:rsid w:val="6A98F1A6"/>
    <w:rsid w:val="6A9E551A"/>
    <w:rsid w:val="6AAF99D0"/>
    <w:rsid w:val="6ABBE202"/>
    <w:rsid w:val="6AD09DA5"/>
    <w:rsid w:val="6AD3299D"/>
    <w:rsid w:val="6ADF93EA"/>
    <w:rsid w:val="6B20FD79"/>
    <w:rsid w:val="6B25FFAA"/>
    <w:rsid w:val="6B27AC8C"/>
    <w:rsid w:val="6B30D4D3"/>
    <w:rsid w:val="6B3648F8"/>
    <w:rsid w:val="6B416F42"/>
    <w:rsid w:val="6B71E344"/>
    <w:rsid w:val="6B7B973D"/>
    <w:rsid w:val="6B8D91DE"/>
    <w:rsid w:val="6B935AE0"/>
    <w:rsid w:val="6B9BE107"/>
    <w:rsid w:val="6BABA511"/>
    <w:rsid w:val="6BC9DEE9"/>
    <w:rsid w:val="6BCA11BA"/>
    <w:rsid w:val="6BDDFBCD"/>
    <w:rsid w:val="6BE28CA0"/>
    <w:rsid w:val="6C12F100"/>
    <w:rsid w:val="6C1AA6FD"/>
    <w:rsid w:val="6C1B346F"/>
    <w:rsid w:val="6C343F06"/>
    <w:rsid w:val="6C44D151"/>
    <w:rsid w:val="6C534340"/>
    <w:rsid w:val="6C62407B"/>
    <w:rsid w:val="6C71C941"/>
    <w:rsid w:val="6C84972F"/>
    <w:rsid w:val="6C8E0177"/>
    <w:rsid w:val="6C9122B9"/>
    <w:rsid w:val="6C9389D7"/>
    <w:rsid w:val="6CC693FB"/>
    <w:rsid w:val="6CCCBF95"/>
    <w:rsid w:val="6CCE2D44"/>
    <w:rsid w:val="6CE74522"/>
    <w:rsid w:val="6CE8CC85"/>
    <w:rsid w:val="6CF1A853"/>
    <w:rsid w:val="6CFF5926"/>
    <w:rsid w:val="6D0AABB7"/>
    <w:rsid w:val="6D0DD6D9"/>
    <w:rsid w:val="6D17DCA7"/>
    <w:rsid w:val="6D1ACE18"/>
    <w:rsid w:val="6D1D116D"/>
    <w:rsid w:val="6D1EAAD1"/>
    <w:rsid w:val="6D1F05F2"/>
    <w:rsid w:val="6D2687C8"/>
    <w:rsid w:val="6D4F5E02"/>
    <w:rsid w:val="6D57070A"/>
    <w:rsid w:val="6D5FB682"/>
    <w:rsid w:val="6D691FA8"/>
    <w:rsid w:val="6D6E316E"/>
    <w:rsid w:val="6D71FAB4"/>
    <w:rsid w:val="6D7CDF69"/>
    <w:rsid w:val="6D842CD6"/>
    <w:rsid w:val="6D857BF5"/>
    <w:rsid w:val="6DD409A7"/>
    <w:rsid w:val="6DD45B22"/>
    <w:rsid w:val="6DE0C611"/>
    <w:rsid w:val="6DEE9499"/>
    <w:rsid w:val="6DFA0B9B"/>
    <w:rsid w:val="6E1BBB31"/>
    <w:rsid w:val="6E1D3222"/>
    <w:rsid w:val="6E24E43E"/>
    <w:rsid w:val="6E2698F7"/>
    <w:rsid w:val="6E324EC0"/>
    <w:rsid w:val="6E3D4E9B"/>
    <w:rsid w:val="6E40AD76"/>
    <w:rsid w:val="6E469F82"/>
    <w:rsid w:val="6E5D7907"/>
    <w:rsid w:val="6E68502F"/>
    <w:rsid w:val="6E706A17"/>
    <w:rsid w:val="6E8A7C97"/>
    <w:rsid w:val="6E91D653"/>
    <w:rsid w:val="6E99C586"/>
    <w:rsid w:val="6EA9AAD1"/>
    <w:rsid w:val="6EB0DC68"/>
    <w:rsid w:val="6EBA7B32"/>
    <w:rsid w:val="6EBCF8A8"/>
    <w:rsid w:val="6EE8F2D0"/>
    <w:rsid w:val="6EFA36B5"/>
    <w:rsid w:val="6F02EA32"/>
    <w:rsid w:val="6F260F01"/>
    <w:rsid w:val="6F2E2677"/>
    <w:rsid w:val="6F82ABF1"/>
    <w:rsid w:val="6F91D1A1"/>
    <w:rsid w:val="6FAB9BC8"/>
    <w:rsid w:val="6FBDA828"/>
    <w:rsid w:val="6FC208F1"/>
    <w:rsid w:val="6FD45023"/>
    <w:rsid w:val="6FED3266"/>
    <w:rsid w:val="7000EDCF"/>
    <w:rsid w:val="70071ADA"/>
    <w:rsid w:val="7037DE6C"/>
    <w:rsid w:val="703A17F9"/>
    <w:rsid w:val="704308EA"/>
    <w:rsid w:val="70635776"/>
    <w:rsid w:val="70687FBE"/>
    <w:rsid w:val="706A939E"/>
    <w:rsid w:val="706AEB1D"/>
    <w:rsid w:val="707FE95C"/>
    <w:rsid w:val="708506D0"/>
    <w:rsid w:val="708B7DBD"/>
    <w:rsid w:val="70B46B36"/>
    <w:rsid w:val="70CA2F25"/>
    <w:rsid w:val="70F4A6EE"/>
    <w:rsid w:val="70F6C576"/>
    <w:rsid w:val="7107AEC3"/>
    <w:rsid w:val="71177C62"/>
    <w:rsid w:val="7117874D"/>
    <w:rsid w:val="711EE204"/>
    <w:rsid w:val="71231161"/>
    <w:rsid w:val="7133F60C"/>
    <w:rsid w:val="713E2FA5"/>
    <w:rsid w:val="714EC749"/>
    <w:rsid w:val="715FF8A7"/>
    <w:rsid w:val="71717A63"/>
    <w:rsid w:val="71739895"/>
    <w:rsid w:val="717CA2CC"/>
    <w:rsid w:val="7196694F"/>
    <w:rsid w:val="719B879A"/>
    <w:rsid w:val="71C2BCF2"/>
    <w:rsid w:val="71C47B53"/>
    <w:rsid w:val="71C49C16"/>
    <w:rsid w:val="71DD4D11"/>
    <w:rsid w:val="7208EE3C"/>
    <w:rsid w:val="721EE6A2"/>
    <w:rsid w:val="7251805E"/>
    <w:rsid w:val="728793C4"/>
    <w:rsid w:val="7296FACD"/>
    <w:rsid w:val="72A8D49F"/>
    <w:rsid w:val="72B91E17"/>
    <w:rsid w:val="72BBC4F9"/>
    <w:rsid w:val="72D3594B"/>
    <w:rsid w:val="730D4BE2"/>
    <w:rsid w:val="73125B31"/>
    <w:rsid w:val="73229F60"/>
    <w:rsid w:val="7360F7AF"/>
    <w:rsid w:val="7368A7A0"/>
    <w:rsid w:val="73A083F1"/>
    <w:rsid w:val="73A617B4"/>
    <w:rsid w:val="73BA1138"/>
    <w:rsid w:val="73C00789"/>
    <w:rsid w:val="73E1F9AF"/>
    <w:rsid w:val="73F1E421"/>
    <w:rsid w:val="73F28972"/>
    <w:rsid w:val="73FD3054"/>
    <w:rsid w:val="7404B7AA"/>
    <w:rsid w:val="740A8B1F"/>
    <w:rsid w:val="740EDA9D"/>
    <w:rsid w:val="7418E40A"/>
    <w:rsid w:val="741AE54D"/>
    <w:rsid w:val="742EDB2B"/>
    <w:rsid w:val="745BA75C"/>
    <w:rsid w:val="7483B062"/>
    <w:rsid w:val="74A44833"/>
    <w:rsid w:val="74A80915"/>
    <w:rsid w:val="74AAE76D"/>
    <w:rsid w:val="74C06F85"/>
    <w:rsid w:val="74C2F245"/>
    <w:rsid w:val="74CF0EDE"/>
    <w:rsid w:val="74E6E142"/>
    <w:rsid w:val="74E8A663"/>
    <w:rsid w:val="74EF3AF7"/>
    <w:rsid w:val="74FED7AC"/>
    <w:rsid w:val="75178A6B"/>
    <w:rsid w:val="7523C954"/>
    <w:rsid w:val="7533F6EC"/>
    <w:rsid w:val="753ACE93"/>
    <w:rsid w:val="7556245A"/>
    <w:rsid w:val="75680B56"/>
    <w:rsid w:val="756D4250"/>
    <w:rsid w:val="75B72F9A"/>
    <w:rsid w:val="75DB28D2"/>
    <w:rsid w:val="75E740ED"/>
    <w:rsid w:val="75FB35E8"/>
    <w:rsid w:val="7617855D"/>
    <w:rsid w:val="7621D734"/>
    <w:rsid w:val="7623459D"/>
    <w:rsid w:val="762C8A4D"/>
    <w:rsid w:val="764D07BE"/>
    <w:rsid w:val="765DC9AC"/>
    <w:rsid w:val="7663C7CA"/>
    <w:rsid w:val="76704BC9"/>
    <w:rsid w:val="7670FFA9"/>
    <w:rsid w:val="767F23C9"/>
    <w:rsid w:val="76924BED"/>
    <w:rsid w:val="76942F9E"/>
    <w:rsid w:val="76996482"/>
    <w:rsid w:val="76A7F8E4"/>
    <w:rsid w:val="76AC42AE"/>
    <w:rsid w:val="76D4FEC1"/>
    <w:rsid w:val="76D766BD"/>
    <w:rsid w:val="76ED3AE2"/>
    <w:rsid w:val="76EF63C8"/>
    <w:rsid w:val="76EFB29D"/>
    <w:rsid w:val="770181A2"/>
    <w:rsid w:val="771BC154"/>
    <w:rsid w:val="774CB288"/>
    <w:rsid w:val="774CB61D"/>
    <w:rsid w:val="7755F739"/>
    <w:rsid w:val="7761D528"/>
    <w:rsid w:val="77693D74"/>
    <w:rsid w:val="77772B50"/>
    <w:rsid w:val="77898958"/>
    <w:rsid w:val="77AA1825"/>
    <w:rsid w:val="77E7B72E"/>
    <w:rsid w:val="782CE0EE"/>
    <w:rsid w:val="7838E42C"/>
    <w:rsid w:val="783B6F4E"/>
    <w:rsid w:val="783E8AF8"/>
    <w:rsid w:val="78621D13"/>
    <w:rsid w:val="7863E92C"/>
    <w:rsid w:val="7872E3A8"/>
    <w:rsid w:val="7885E959"/>
    <w:rsid w:val="788657B6"/>
    <w:rsid w:val="78882448"/>
    <w:rsid w:val="7893AC28"/>
    <w:rsid w:val="78B9168E"/>
    <w:rsid w:val="78C3C3D2"/>
    <w:rsid w:val="78D0CB8E"/>
    <w:rsid w:val="78D80055"/>
    <w:rsid w:val="78EC7A27"/>
    <w:rsid w:val="78EF2C16"/>
    <w:rsid w:val="78F4E877"/>
    <w:rsid w:val="78FD93A5"/>
    <w:rsid w:val="790C5156"/>
    <w:rsid w:val="791B4607"/>
    <w:rsid w:val="791ED38E"/>
    <w:rsid w:val="7921611D"/>
    <w:rsid w:val="7931C18A"/>
    <w:rsid w:val="79404807"/>
    <w:rsid w:val="7942132D"/>
    <w:rsid w:val="794F7B34"/>
    <w:rsid w:val="795D59BC"/>
    <w:rsid w:val="795F65DA"/>
    <w:rsid w:val="7976A4A9"/>
    <w:rsid w:val="797D6D6E"/>
    <w:rsid w:val="7991C953"/>
    <w:rsid w:val="79C18E12"/>
    <w:rsid w:val="79D69227"/>
    <w:rsid w:val="79E56AAA"/>
    <w:rsid w:val="7A074FC7"/>
    <w:rsid w:val="7A395717"/>
    <w:rsid w:val="7A3B49A8"/>
    <w:rsid w:val="7A5303D4"/>
    <w:rsid w:val="7A5F4855"/>
    <w:rsid w:val="7AA68BB4"/>
    <w:rsid w:val="7ABD85B1"/>
    <w:rsid w:val="7AC4F845"/>
    <w:rsid w:val="7AD4D3D6"/>
    <w:rsid w:val="7ADB8427"/>
    <w:rsid w:val="7ADD33E0"/>
    <w:rsid w:val="7AE849A7"/>
    <w:rsid w:val="7AF9FCB3"/>
    <w:rsid w:val="7AFE4E46"/>
    <w:rsid w:val="7B1A2057"/>
    <w:rsid w:val="7B3D9D37"/>
    <w:rsid w:val="7B48B768"/>
    <w:rsid w:val="7B4D44EA"/>
    <w:rsid w:val="7B4FE4AF"/>
    <w:rsid w:val="7B5622C6"/>
    <w:rsid w:val="7B8B81C4"/>
    <w:rsid w:val="7B98BBCB"/>
    <w:rsid w:val="7B9F94B3"/>
    <w:rsid w:val="7BA3AEB8"/>
    <w:rsid w:val="7BB59E1E"/>
    <w:rsid w:val="7BEC128F"/>
    <w:rsid w:val="7BFA7AB9"/>
    <w:rsid w:val="7BFCB50D"/>
    <w:rsid w:val="7C2441F4"/>
    <w:rsid w:val="7C364EB3"/>
    <w:rsid w:val="7C38F658"/>
    <w:rsid w:val="7C759727"/>
    <w:rsid w:val="7CA77823"/>
    <w:rsid w:val="7CC55020"/>
    <w:rsid w:val="7CC5E4CE"/>
    <w:rsid w:val="7CD48BFD"/>
    <w:rsid w:val="7CE7A87A"/>
    <w:rsid w:val="7CED5A75"/>
    <w:rsid w:val="7CF59F7E"/>
    <w:rsid w:val="7CFEE546"/>
    <w:rsid w:val="7D102FF9"/>
    <w:rsid w:val="7D4B9CA6"/>
    <w:rsid w:val="7D7163C9"/>
    <w:rsid w:val="7D91AD25"/>
    <w:rsid w:val="7DBF0C6B"/>
    <w:rsid w:val="7DDEBCFD"/>
    <w:rsid w:val="7DDFCC01"/>
    <w:rsid w:val="7DEA3138"/>
    <w:rsid w:val="7E0E73CA"/>
    <w:rsid w:val="7E3E0326"/>
    <w:rsid w:val="7E5AC834"/>
    <w:rsid w:val="7E622CAA"/>
    <w:rsid w:val="7E69DB06"/>
    <w:rsid w:val="7E71286A"/>
    <w:rsid w:val="7E76BC2E"/>
    <w:rsid w:val="7EB0A9AE"/>
    <w:rsid w:val="7EB1A4A2"/>
    <w:rsid w:val="7EBC8100"/>
    <w:rsid w:val="7EC44B37"/>
    <w:rsid w:val="7ECC7ED4"/>
    <w:rsid w:val="7ED8E60C"/>
    <w:rsid w:val="7EE7E2BD"/>
    <w:rsid w:val="7F07F19D"/>
    <w:rsid w:val="7F29AAF3"/>
    <w:rsid w:val="7F33E817"/>
    <w:rsid w:val="7F672A80"/>
    <w:rsid w:val="7F89B06F"/>
    <w:rsid w:val="7FCF8AF4"/>
    <w:rsid w:val="7FEDD1C7"/>
    <w:rsid w:val="7FF12CBC"/>
    <w:rsid w:val="7FF27B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73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rticle-norm">
    <w:name w:val="title-article-norm"/>
    <w:basedOn w:val="Normal"/>
    <w:rsid w:val="00587167"/>
    <w:pPr>
      <w:spacing w:before="100" w:beforeAutospacing="1" w:after="100" w:afterAutospacing="1"/>
      <w:jc w:val="left"/>
    </w:pPr>
    <w:rPr>
      <w:rFonts w:eastAsia="Times New Roman"/>
      <w:szCs w:val="24"/>
      <w:lang w:val="en-IE" w:eastAsia="en-IE"/>
    </w:rPr>
  </w:style>
  <w:style w:type="paragraph" w:customStyle="1" w:styleId="stitle-article-norm">
    <w:name w:val="stitle-article-norm"/>
    <w:basedOn w:val="Normal"/>
    <w:rsid w:val="00587167"/>
    <w:pPr>
      <w:spacing w:before="100" w:beforeAutospacing="1" w:after="100" w:afterAutospacing="1"/>
      <w:jc w:val="left"/>
    </w:pPr>
    <w:rPr>
      <w:rFonts w:eastAsia="Times New Roman"/>
      <w:szCs w:val="24"/>
      <w:lang w:val="en-IE" w:eastAsia="en-IE"/>
    </w:rPr>
  </w:style>
  <w:style w:type="paragraph" w:customStyle="1" w:styleId="title-division-2">
    <w:name w:val="title-division-2"/>
    <w:basedOn w:val="Normal"/>
    <w:rsid w:val="00587167"/>
    <w:pPr>
      <w:spacing w:before="100" w:beforeAutospacing="1" w:after="100" w:afterAutospacing="1"/>
      <w:jc w:val="left"/>
    </w:pPr>
    <w:rPr>
      <w:rFonts w:eastAsia="Times New Roman"/>
      <w:szCs w:val="24"/>
      <w:lang w:val="en-IE" w:eastAsia="en-IE"/>
    </w:rPr>
  </w:style>
  <w:style w:type="character" w:customStyle="1" w:styleId="boldface">
    <w:name w:val="boldface"/>
    <w:basedOn w:val="DefaultParagraphFont"/>
    <w:rsid w:val="00587167"/>
  </w:style>
  <w:style w:type="paragraph" w:styleId="Title">
    <w:name w:val="Title"/>
    <w:basedOn w:val="Normal"/>
    <w:next w:val="Normal"/>
    <w:link w:val="TitleChar"/>
    <w:uiPriority w:val="10"/>
    <w:qFormat/>
    <w:rsid w:val="005871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167"/>
    <w:rPr>
      <w:rFonts w:asciiTheme="majorHAnsi" w:eastAsiaTheme="majorEastAsia" w:hAnsiTheme="majorHAnsi" w:cstheme="majorBidi"/>
      <w:spacing w:val="-10"/>
      <w:kern w:val="28"/>
      <w:sz w:val="56"/>
      <w:szCs w:val="56"/>
      <w:lang w:val="en-GB"/>
    </w:rPr>
  </w:style>
  <w:style w:type="paragraph" w:customStyle="1" w:styleId="title-division-1">
    <w:name w:val="title-division-1"/>
    <w:basedOn w:val="Normal"/>
    <w:rsid w:val="00587167"/>
    <w:pPr>
      <w:spacing w:before="100" w:beforeAutospacing="1" w:after="100" w:afterAutospacing="1"/>
      <w:jc w:val="left"/>
    </w:pPr>
    <w:rPr>
      <w:rFonts w:eastAsia="Times New Roman"/>
      <w:szCs w:val="24"/>
      <w:lang w:val="en-IE" w:eastAsia="en-IE"/>
    </w:rPr>
  </w:style>
  <w:style w:type="character" w:customStyle="1" w:styleId="italics">
    <w:name w:val="italics"/>
    <w:basedOn w:val="DefaultParagraphFont"/>
    <w:rsid w:val="00587167"/>
  </w:style>
  <w:style w:type="paragraph" w:styleId="NormalWeb">
    <w:name w:val="Normal (Web)"/>
    <w:basedOn w:val="Normal"/>
    <w:uiPriority w:val="99"/>
    <w:unhideWhenUsed/>
    <w:rsid w:val="00587167"/>
    <w:pPr>
      <w:spacing w:before="100" w:beforeAutospacing="1" w:after="100" w:afterAutospacing="1"/>
      <w:jc w:val="left"/>
    </w:pPr>
    <w:rPr>
      <w:rFonts w:eastAsia="Times New Roman"/>
      <w:szCs w:val="24"/>
      <w:lang w:val="en-IE" w:eastAsia="en-IE"/>
    </w:rPr>
  </w:style>
  <w:style w:type="character" w:customStyle="1" w:styleId="expanded">
    <w:name w:val="expanded"/>
    <w:basedOn w:val="DefaultParagraphFont"/>
    <w:rsid w:val="00587167"/>
  </w:style>
  <w:style w:type="character" w:customStyle="1" w:styleId="num">
    <w:name w:val="num"/>
    <w:basedOn w:val="DefaultParagraphFont"/>
    <w:rsid w:val="00587167"/>
  </w:style>
  <w:style w:type="character" w:styleId="Hyperlink">
    <w:name w:val="Hyperlink"/>
    <w:basedOn w:val="DefaultParagraphFont"/>
    <w:uiPriority w:val="99"/>
    <w:unhideWhenUsed/>
    <w:rsid w:val="00587167"/>
    <w:rPr>
      <w:color w:val="0000FF" w:themeColor="hyperlink"/>
      <w:u w:val="single"/>
    </w:rPr>
  </w:style>
  <w:style w:type="character" w:customStyle="1" w:styleId="UnresolvedMention1">
    <w:name w:val="Unresolved Mention1"/>
    <w:basedOn w:val="DefaultParagraphFont"/>
    <w:uiPriority w:val="99"/>
    <w:semiHidden/>
    <w:unhideWhenUsed/>
    <w:rsid w:val="00587167"/>
    <w:rPr>
      <w:color w:val="605E5C"/>
      <w:shd w:val="clear" w:color="auto" w:fill="E1DFDD"/>
    </w:rPr>
  </w:style>
  <w:style w:type="paragraph" w:styleId="ListBullet">
    <w:name w:val="List Bullet"/>
    <w:basedOn w:val="Normal"/>
    <w:unhideWhenUsed/>
    <w:rsid w:val="007B33BA"/>
    <w:pPr>
      <w:numPr>
        <w:numId w:val="1"/>
      </w:numPr>
      <w:contextualSpacing/>
    </w:pPr>
  </w:style>
  <w:style w:type="paragraph" w:styleId="ListBullet2">
    <w:name w:val="List Bullet 2"/>
    <w:basedOn w:val="Normal"/>
    <w:unhideWhenUsed/>
    <w:rsid w:val="007B33BA"/>
    <w:pPr>
      <w:numPr>
        <w:numId w:val="2"/>
      </w:numPr>
      <w:contextualSpacing/>
    </w:pPr>
  </w:style>
  <w:style w:type="paragraph" w:styleId="ListBullet3">
    <w:name w:val="List Bullet 3"/>
    <w:basedOn w:val="Normal"/>
    <w:unhideWhenUsed/>
    <w:rsid w:val="007B33BA"/>
    <w:pPr>
      <w:numPr>
        <w:numId w:val="3"/>
      </w:numPr>
      <w:contextualSpacing/>
    </w:pPr>
  </w:style>
  <w:style w:type="paragraph" w:styleId="ListBullet4">
    <w:name w:val="List Bullet 4"/>
    <w:basedOn w:val="Normal"/>
    <w:unhideWhenUsed/>
    <w:rsid w:val="007B33BA"/>
    <w:pPr>
      <w:numPr>
        <w:numId w:val="4"/>
      </w:numPr>
      <w:contextualSpacing/>
    </w:pPr>
  </w:style>
  <w:style w:type="paragraph" w:customStyle="1" w:styleId="norm">
    <w:name w:val="norm"/>
    <w:basedOn w:val="Normal"/>
    <w:rsid w:val="0055166F"/>
    <w:pPr>
      <w:spacing w:before="100" w:beforeAutospacing="1" w:after="100" w:afterAutospacing="1"/>
      <w:jc w:val="left"/>
    </w:pPr>
    <w:rPr>
      <w:rFonts w:eastAsia="Times New Roman"/>
      <w:szCs w:val="24"/>
      <w:lang w:val="en-IE" w:eastAsia="en-IE"/>
    </w:rPr>
  </w:style>
  <w:style w:type="paragraph" w:customStyle="1" w:styleId="modref">
    <w:name w:val="modref"/>
    <w:basedOn w:val="Normal"/>
    <w:rsid w:val="0055166F"/>
    <w:pPr>
      <w:spacing w:before="100" w:beforeAutospacing="1" w:after="100" w:afterAutospacing="1"/>
      <w:jc w:val="left"/>
    </w:pPr>
    <w:rPr>
      <w:rFonts w:eastAsia="Times New Roman"/>
      <w:szCs w:val="24"/>
      <w:lang w:val="en-IE" w:eastAsia="en-IE"/>
    </w:rPr>
  </w:style>
  <w:style w:type="character" w:styleId="CommentReference">
    <w:name w:val="annotation reference"/>
    <w:basedOn w:val="DefaultParagraphFont"/>
    <w:unhideWhenUsed/>
    <w:rsid w:val="009F55D8"/>
    <w:rPr>
      <w:sz w:val="16"/>
      <w:szCs w:val="16"/>
    </w:rPr>
  </w:style>
  <w:style w:type="paragraph" w:styleId="CommentText">
    <w:name w:val="annotation text"/>
    <w:basedOn w:val="Normal"/>
    <w:link w:val="CommentTextChar"/>
    <w:unhideWhenUsed/>
    <w:rsid w:val="009F55D8"/>
    <w:rPr>
      <w:sz w:val="20"/>
      <w:szCs w:val="20"/>
    </w:rPr>
  </w:style>
  <w:style w:type="character" w:customStyle="1" w:styleId="CommentTextChar">
    <w:name w:val="Comment Text Char"/>
    <w:basedOn w:val="DefaultParagraphFont"/>
    <w:link w:val="CommentText"/>
    <w:rsid w:val="009F55D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9F55D8"/>
    <w:rPr>
      <w:b/>
      <w:bCs/>
    </w:rPr>
  </w:style>
  <w:style w:type="character" w:customStyle="1" w:styleId="CommentSubjectChar">
    <w:name w:val="Comment Subject Char"/>
    <w:basedOn w:val="CommentTextChar"/>
    <w:link w:val="CommentSubject"/>
    <w:rsid w:val="009F55D8"/>
    <w:rPr>
      <w:rFonts w:ascii="Times New Roman" w:hAnsi="Times New Roman" w:cs="Times New Roman"/>
      <w:b/>
      <w:bCs/>
      <w:sz w:val="20"/>
      <w:szCs w:val="20"/>
      <w:lang w:val="en-GB"/>
    </w:rPr>
  </w:style>
  <w:style w:type="paragraph" w:styleId="BalloonText">
    <w:name w:val="Balloon Text"/>
    <w:basedOn w:val="Normal"/>
    <w:link w:val="BalloonTextChar"/>
    <w:unhideWhenUsed/>
    <w:rsid w:val="009F55D8"/>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9F55D8"/>
    <w:rPr>
      <w:rFonts w:ascii="Segoe UI" w:hAnsi="Segoe UI" w:cs="Segoe UI"/>
      <w:sz w:val="18"/>
      <w:szCs w:val="18"/>
      <w:lang w:val="en-GB"/>
    </w:rPr>
  </w:style>
  <w:style w:type="paragraph" w:styleId="Revision">
    <w:name w:val="Revision"/>
    <w:hidden/>
    <w:uiPriority w:val="99"/>
    <w:semiHidden/>
    <w:rsid w:val="0002611C"/>
    <w:pPr>
      <w:spacing w:after="0" w:line="240" w:lineRule="auto"/>
    </w:pPr>
    <w:rPr>
      <w:rFonts w:ascii="Times New Roman" w:hAnsi="Times New Roman" w:cs="Times New Roman"/>
      <w:sz w:val="24"/>
      <w:lang w:val="en-GB"/>
    </w:rPr>
  </w:style>
  <w:style w:type="character" w:customStyle="1" w:styleId="no-parag">
    <w:name w:val="no-parag"/>
    <w:basedOn w:val="DefaultParagraphFont"/>
    <w:rsid w:val="00507666"/>
  </w:style>
  <w:style w:type="paragraph" w:styleId="ListParagraph">
    <w:name w:val="List Paragraph"/>
    <w:aliases w:val="Paragraphe EI,Paragraphe de liste1,EC,Paragraphe de liste,Dot pt,List Paragraph1,Colorful List - Accent 11,No Spacing1,List Paragraph Char Char Char,Indicator Text,Numbered Para 1,F5 List Paragraph,Bullet Points,List Paragraph2,3"/>
    <w:basedOn w:val="Normal"/>
    <w:link w:val="ListParagraphChar"/>
    <w:uiPriority w:val="34"/>
    <w:qFormat/>
    <w:rsid w:val="009E34D2"/>
    <w:pPr>
      <w:ind w:left="720"/>
      <w:contextualSpacing/>
    </w:pPr>
  </w:style>
  <w:style w:type="character" w:customStyle="1" w:styleId="ListParagraphChar">
    <w:name w:val="List Paragraph Char"/>
    <w:aliases w:val="Paragraphe EI Char,Paragraphe de liste1 Char,EC Char,Paragraphe de liste Char,Dot pt Char,List Paragraph1 Char,Colorful List - Accent 11 Char,No Spacing1 Char,List Paragraph Char Char Char Char,Indicator Text Char,Bullet Points Char"/>
    <w:link w:val="ListParagraph"/>
    <w:uiPriority w:val="34"/>
    <w:qFormat/>
    <w:locked/>
    <w:rsid w:val="00F50404"/>
    <w:rPr>
      <w:rFonts w:ascii="Times New Roman" w:hAnsi="Times New Roman" w:cs="Times New Roman"/>
      <w:sz w:val="24"/>
      <w:lang w:val="en-GB"/>
    </w:rPr>
  </w:style>
  <w:style w:type="paragraph" w:styleId="BodyText">
    <w:name w:val="Body Text"/>
    <w:basedOn w:val="Normal"/>
    <w:link w:val="BodyTextChar"/>
    <w:uiPriority w:val="1"/>
    <w:qFormat/>
    <w:rsid w:val="00A85990"/>
    <w:pPr>
      <w:widowControl w:val="0"/>
      <w:autoSpaceDE w:val="0"/>
      <w:autoSpaceDN w:val="0"/>
      <w:spacing w:before="0" w:after="0"/>
      <w:jc w:val="left"/>
    </w:pPr>
    <w:rPr>
      <w:rFonts w:eastAsia="Times New Roman"/>
      <w:sz w:val="19"/>
      <w:szCs w:val="19"/>
      <w:lang w:val="en-US"/>
    </w:rPr>
  </w:style>
  <w:style w:type="character" w:customStyle="1" w:styleId="BodyTextChar">
    <w:name w:val="Body Text Char"/>
    <w:basedOn w:val="DefaultParagraphFont"/>
    <w:link w:val="BodyText"/>
    <w:uiPriority w:val="1"/>
    <w:rsid w:val="00A85990"/>
    <w:rPr>
      <w:rFonts w:ascii="Times New Roman" w:eastAsia="Times New Roman" w:hAnsi="Times New Roman" w:cs="Times New Roman"/>
      <w:sz w:val="19"/>
      <w:szCs w:val="19"/>
    </w:rPr>
  </w:style>
  <w:style w:type="character" w:customStyle="1" w:styleId="UnresolvedMention120">
    <w:name w:val="Unresolved Mention120"/>
    <w:basedOn w:val="DefaultParagraphFont"/>
    <w:uiPriority w:val="99"/>
    <w:semiHidden/>
    <w:unhideWhenUsed/>
    <w:rsid w:val="001F481F"/>
    <w:rPr>
      <w:color w:val="605E5C"/>
      <w:shd w:val="clear" w:color="auto" w:fill="E1DFDD"/>
    </w:rPr>
  </w:style>
  <w:style w:type="paragraph" w:customStyle="1" w:styleId="CharCharChar1">
    <w:name w:val="Char Char Char1"/>
    <w:basedOn w:val="Normal"/>
    <w:link w:val="FootnoteReference"/>
    <w:uiPriority w:val="99"/>
    <w:rsid w:val="001F481F"/>
    <w:pPr>
      <w:spacing w:before="0" w:after="160" w:line="240" w:lineRule="exact"/>
    </w:pPr>
    <w:rPr>
      <w:rFonts w:asciiTheme="minorHAnsi" w:hAnsiTheme="minorHAnsi" w:cstheme="minorBidi"/>
      <w:sz w:val="22"/>
      <w:vertAlign w:val="superscript"/>
      <w:lang w:val="en-US"/>
    </w:rPr>
  </w:style>
  <w:style w:type="paragraph" w:customStyle="1" w:styleId="16Point">
    <w:name w:val="16 Point"/>
    <w:aliases w:val="Superscript 6 Point,Odwołanie przypisu,2001+ Fußnotenzeichen,Exposant 3 Point,footnote ref,BVI fnr Знак Знак,BVI fnr Car Car Знак Знак,BVI fnr Car Знак Знак,R,Times 10 Point,number,Footnote number,EN Footnote Reference,Voetnootverwijzing,FR,FR1"/>
    <w:basedOn w:val="Normal"/>
    <w:uiPriority w:val="99"/>
    <w:qFormat/>
    <w:rsid w:val="001F481F"/>
    <w:pPr>
      <w:spacing w:before="0" w:after="160" w:line="240" w:lineRule="exact"/>
      <w:jc w:val="left"/>
    </w:pPr>
    <w:rPr>
      <w:rFonts w:asciiTheme="minorHAnsi" w:hAnsiTheme="minorHAnsi" w:cstheme="minorBidi"/>
      <w:sz w:val="22"/>
      <w:vertAlign w:val="superscript"/>
      <w:lang w:val="en-US"/>
    </w:rPr>
  </w:style>
  <w:style w:type="paragraph" w:customStyle="1" w:styleId="Proportionality">
    <w:name w:val="Proportionality"/>
    <w:basedOn w:val="ListBullet"/>
    <w:rsid w:val="008E6C77"/>
    <w:pPr>
      <w:numPr>
        <w:numId w:val="0"/>
      </w:numPr>
      <w:spacing w:before="0" w:after="240"/>
      <w:contextualSpacing w:val="0"/>
    </w:pPr>
    <w:rPr>
      <w:rFonts w:eastAsia="Times New Roman"/>
      <w:szCs w:val="20"/>
    </w:rPr>
  </w:style>
  <w:style w:type="paragraph" w:styleId="ListNumber">
    <w:name w:val="List Number"/>
    <w:basedOn w:val="Normal"/>
    <w:qFormat/>
    <w:rsid w:val="00394922"/>
    <w:pPr>
      <w:tabs>
        <w:tab w:val="num" w:pos="360"/>
      </w:tabs>
      <w:spacing w:before="0" w:line="259" w:lineRule="auto"/>
      <w:ind w:left="360" w:hanging="360"/>
      <w:jc w:val="left"/>
    </w:pPr>
    <w:rPr>
      <w:rFonts w:asciiTheme="minorHAnsi" w:hAnsiTheme="minorHAnsi" w:cstheme="minorBidi"/>
      <w:color w:val="595959" w:themeColor="text1" w:themeTint="A6"/>
      <w:sz w:val="30"/>
      <w:szCs w:val="30"/>
      <w:lang w:val="en-US"/>
    </w:rPr>
  </w:style>
  <w:style w:type="paragraph" w:customStyle="1" w:styleId="paragraph">
    <w:name w:val="paragraph"/>
    <w:basedOn w:val="Normal"/>
    <w:rsid w:val="00980952"/>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980952"/>
  </w:style>
  <w:style w:type="character" w:customStyle="1" w:styleId="eop">
    <w:name w:val="eop"/>
    <w:basedOn w:val="DefaultParagraphFont"/>
    <w:rsid w:val="00980952"/>
  </w:style>
  <w:style w:type="paragraph" w:customStyle="1" w:styleId="title-annex-1">
    <w:name w:val="title-annex-1"/>
    <w:basedOn w:val="Normal"/>
    <w:rsid w:val="003162D3"/>
    <w:pPr>
      <w:spacing w:before="100" w:beforeAutospacing="1" w:after="100" w:afterAutospacing="1"/>
      <w:jc w:val="left"/>
    </w:pPr>
    <w:rPr>
      <w:rFonts w:eastAsia="Times New Roman"/>
      <w:szCs w:val="24"/>
      <w:lang w:val="en-IE" w:eastAsia="en-IE"/>
    </w:rPr>
  </w:style>
  <w:style w:type="paragraph" w:customStyle="1" w:styleId="title-gr-seq-level-1">
    <w:name w:val="title-gr-seq-level-1"/>
    <w:basedOn w:val="Normal"/>
    <w:rsid w:val="003162D3"/>
    <w:pPr>
      <w:spacing w:before="100" w:beforeAutospacing="1" w:after="100" w:afterAutospacing="1"/>
      <w:jc w:val="left"/>
    </w:pPr>
    <w:rPr>
      <w:rFonts w:eastAsia="Times New Roman"/>
      <w:szCs w:val="24"/>
      <w:lang w:val="en-IE" w:eastAsia="en-IE"/>
    </w:rPr>
  </w:style>
  <w:style w:type="character" w:customStyle="1" w:styleId="superscript">
    <w:name w:val="superscript"/>
    <w:basedOn w:val="DefaultParagraphFont"/>
    <w:rsid w:val="007C28A8"/>
  </w:style>
  <w:style w:type="character" w:customStyle="1" w:styleId="None">
    <w:name w:val="None"/>
    <w:rsid w:val="00CC31FB"/>
  </w:style>
  <w:style w:type="character" w:customStyle="1" w:styleId="UnresolvedMention2">
    <w:name w:val="Unresolved Mention2"/>
    <w:basedOn w:val="DefaultParagraphFont"/>
    <w:uiPriority w:val="99"/>
    <w:semiHidden/>
    <w:unhideWhenUsed/>
    <w:rsid w:val="00CC5DA3"/>
    <w:rPr>
      <w:color w:val="605E5C"/>
      <w:shd w:val="clear" w:color="auto" w:fill="E1DFDD"/>
    </w:rPr>
  </w:style>
  <w:style w:type="paragraph" w:customStyle="1" w:styleId="li">
    <w:name w:val="li"/>
    <w:basedOn w:val="Normal"/>
    <w:rsid w:val="00220356"/>
    <w:pPr>
      <w:spacing w:before="100" w:beforeAutospacing="1" w:after="100" w:afterAutospacing="1"/>
      <w:jc w:val="left"/>
    </w:pPr>
    <w:rPr>
      <w:rFonts w:eastAsia="Times New Roman"/>
      <w:szCs w:val="24"/>
      <w:lang w:val="en-IE" w:eastAsia="en-IE"/>
    </w:rPr>
  </w:style>
  <w:style w:type="character" w:customStyle="1" w:styleId="footnotereference0">
    <w:name w:val="footnotereference"/>
    <w:basedOn w:val="DefaultParagraphFont"/>
    <w:rsid w:val="00220356"/>
  </w:style>
  <w:style w:type="character" w:customStyle="1" w:styleId="ui-provider">
    <w:name w:val="ui-provider"/>
    <w:basedOn w:val="DefaultParagraphFont"/>
    <w:rsid w:val="00114E4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annex-2">
    <w:name w:val="title-annex-2"/>
    <w:basedOn w:val="Normal"/>
    <w:rsid w:val="00A33A7C"/>
    <w:pPr>
      <w:spacing w:before="100" w:beforeAutospacing="1" w:after="100" w:afterAutospacing="1"/>
      <w:jc w:val="left"/>
    </w:pPr>
    <w:rPr>
      <w:rFonts w:eastAsia="Times New Roman"/>
      <w:szCs w:val="24"/>
      <w:lang w:val="en-IE" w:eastAsia="en-IE"/>
    </w:rPr>
  </w:style>
  <w:style w:type="character" w:customStyle="1" w:styleId="UnresolvedMention3">
    <w:name w:val="Unresolved Mention3"/>
    <w:basedOn w:val="DefaultParagraphFont"/>
    <w:uiPriority w:val="99"/>
    <w:semiHidden/>
    <w:unhideWhenUsed/>
    <w:rsid w:val="009C34F8"/>
    <w:rPr>
      <w:color w:val="605E5C"/>
      <w:shd w:val="clear" w:color="auto" w:fill="E1DFDD"/>
    </w:rPr>
  </w:style>
  <w:style w:type="paragraph" w:customStyle="1" w:styleId="Subpara">
    <w:name w:val="Subpara"/>
    <w:basedOn w:val="Normal"/>
    <w:rsid w:val="00782A3A"/>
  </w:style>
  <w:style w:type="character" w:customStyle="1" w:styleId="filetitle">
    <w:name w:val="file__title"/>
    <w:basedOn w:val="DefaultParagraphFont"/>
    <w:rsid w:val="00FA1843"/>
  </w:style>
  <w:style w:type="paragraph" w:customStyle="1" w:styleId="ListBullet1">
    <w:name w:val="List Bullet 1"/>
    <w:basedOn w:val="Normal"/>
    <w:rsid w:val="009F50E4"/>
    <w:pPr>
      <w:numPr>
        <w:numId w:val="12"/>
      </w:numPr>
      <w:tabs>
        <w:tab w:val="clear" w:pos="709"/>
        <w:tab w:val="num" w:pos="1134"/>
      </w:tabs>
      <w:ind w:left="1134" w:hanging="283"/>
    </w:pPr>
    <w:rPr>
      <w:rFonts w:eastAsia="Times New Roman"/>
      <w:lang w:eastAsia="de-DE"/>
    </w:rPr>
  </w:style>
  <w:style w:type="paragraph" w:customStyle="1" w:styleId="ListDash">
    <w:name w:val="List Dash"/>
    <w:basedOn w:val="Normal"/>
    <w:rsid w:val="009F50E4"/>
    <w:pPr>
      <w:numPr>
        <w:numId w:val="8"/>
      </w:numPr>
    </w:pPr>
    <w:rPr>
      <w:rFonts w:eastAsia="Times New Roman"/>
      <w:lang w:eastAsia="de-DE"/>
    </w:rPr>
  </w:style>
  <w:style w:type="paragraph" w:customStyle="1" w:styleId="ListDash1">
    <w:name w:val="List Dash 1"/>
    <w:basedOn w:val="Normal"/>
    <w:rsid w:val="009F50E4"/>
    <w:pPr>
      <w:numPr>
        <w:numId w:val="9"/>
      </w:numPr>
      <w:tabs>
        <w:tab w:val="clear" w:pos="283"/>
        <w:tab w:val="num" w:pos="1134"/>
      </w:tabs>
      <w:ind w:left="1134"/>
    </w:pPr>
    <w:rPr>
      <w:rFonts w:eastAsia="Times New Roman"/>
      <w:lang w:eastAsia="de-DE"/>
    </w:rPr>
  </w:style>
  <w:style w:type="paragraph" w:customStyle="1" w:styleId="ListDash2">
    <w:name w:val="List Dash 2"/>
    <w:basedOn w:val="Normal"/>
    <w:rsid w:val="009F50E4"/>
    <w:pPr>
      <w:numPr>
        <w:numId w:val="10"/>
      </w:numPr>
    </w:pPr>
    <w:rPr>
      <w:rFonts w:eastAsia="Times New Roman"/>
      <w:lang w:eastAsia="de-DE"/>
    </w:rPr>
  </w:style>
  <w:style w:type="paragraph" w:customStyle="1" w:styleId="ListNumberLevel2">
    <w:name w:val="List Number (Level 2)"/>
    <w:basedOn w:val="Normal"/>
    <w:rsid w:val="009F50E4"/>
    <w:pPr>
      <w:numPr>
        <w:numId w:val="11"/>
      </w:numPr>
      <w:tabs>
        <w:tab w:val="clear" w:pos="1134"/>
        <w:tab w:val="num" w:pos="1417"/>
      </w:tabs>
      <w:ind w:left="1417" w:hanging="708"/>
    </w:pPr>
    <w:rPr>
      <w:rFonts w:eastAsia="Times New Roman"/>
      <w:lang w:eastAsia="de-DE"/>
    </w:rPr>
  </w:style>
  <w:style w:type="paragraph" w:customStyle="1" w:styleId="ListNumberLevel3">
    <w:name w:val="List Number (Level 3)"/>
    <w:basedOn w:val="Normal"/>
    <w:rsid w:val="009F50E4"/>
    <w:pPr>
      <w:numPr>
        <w:ilvl w:val="1"/>
        <w:numId w:val="12"/>
      </w:numPr>
      <w:tabs>
        <w:tab w:val="clear" w:pos="1417"/>
        <w:tab w:val="num" w:pos="2126"/>
      </w:tabs>
      <w:ind w:left="2126" w:hanging="709"/>
    </w:pPr>
    <w:rPr>
      <w:rFonts w:eastAsia="Times New Roman"/>
      <w:lang w:eastAsia="de-DE"/>
    </w:rPr>
  </w:style>
  <w:style w:type="paragraph" w:customStyle="1" w:styleId="ListNumberLevel4">
    <w:name w:val="List Number (Level 4)"/>
    <w:basedOn w:val="Normal"/>
    <w:rsid w:val="009F50E4"/>
    <w:pPr>
      <w:numPr>
        <w:ilvl w:val="2"/>
        <w:numId w:val="12"/>
      </w:numPr>
      <w:tabs>
        <w:tab w:val="clear" w:pos="2126"/>
        <w:tab w:val="num" w:pos="2835"/>
      </w:tabs>
      <w:ind w:left="2835"/>
    </w:pPr>
    <w:rPr>
      <w:rFonts w:eastAsia="Times New Roman"/>
      <w:lang w:eastAsia="de-DE"/>
    </w:rPr>
  </w:style>
  <w:style w:type="table" w:customStyle="1" w:styleId="TableGrid1">
    <w:name w:val="Table Grid1"/>
    <w:basedOn w:val="TableNormal"/>
    <w:next w:val="TableGrid"/>
    <w:rsid w:val="009F50E4"/>
    <w:pPr>
      <w:numPr>
        <w:ilvl w:val="3"/>
        <w:numId w:val="40"/>
      </w:numPr>
      <w:tabs>
        <w:tab w:val="num" w:pos="850"/>
        <w:tab w:val="num" w:pos="1984"/>
      </w:tabs>
      <w:spacing w:before="120" w:after="120" w:line="240" w:lineRule="auto"/>
      <w:ind w:left="1984" w:hanging="850"/>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9F50E4"/>
    <w:pPr>
      <w:numPr>
        <w:numId w:val="16"/>
      </w:numPr>
    </w:pPr>
    <w:rPr>
      <w:rFonts w:eastAsia="Times New Roman"/>
      <w:lang w:val="fr-FR" w:eastAsia="en-GB"/>
    </w:rPr>
  </w:style>
  <w:style w:type="paragraph" w:styleId="ListNumber3">
    <w:name w:val="List Number 3"/>
    <w:basedOn w:val="Normal"/>
    <w:rsid w:val="009F50E4"/>
    <w:pPr>
      <w:numPr>
        <w:numId w:val="17"/>
      </w:numPr>
    </w:pPr>
    <w:rPr>
      <w:rFonts w:eastAsia="Times New Roman"/>
      <w:lang w:val="fr-FR" w:eastAsia="en-GB"/>
    </w:rPr>
  </w:style>
  <w:style w:type="paragraph" w:styleId="ListNumber4">
    <w:name w:val="List Number 4"/>
    <w:basedOn w:val="Normal"/>
    <w:rsid w:val="009F50E4"/>
    <w:pPr>
      <w:numPr>
        <w:numId w:val="18"/>
      </w:numPr>
    </w:pPr>
    <w:rPr>
      <w:rFonts w:eastAsia="Times New Roman"/>
      <w:lang w:val="fr-FR" w:eastAsia="en-GB"/>
    </w:rPr>
  </w:style>
  <w:style w:type="paragraph" w:customStyle="1" w:styleId="ListDash3">
    <w:name w:val="List Dash 3"/>
    <w:basedOn w:val="Normal"/>
    <w:rsid w:val="009F50E4"/>
    <w:pPr>
      <w:numPr>
        <w:numId w:val="13"/>
      </w:numPr>
    </w:pPr>
    <w:rPr>
      <w:rFonts w:eastAsia="Times New Roman"/>
      <w:lang w:val="fr-FR" w:eastAsia="en-GB"/>
    </w:rPr>
  </w:style>
  <w:style w:type="paragraph" w:customStyle="1" w:styleId="ListDash4">
    <w:name w:val="List Dash 4"/>
    <w:basedOn w:val="Normal"/>
    <w:rsid w:val="009F50E4"/>
    <w:pPr>
      <w:numPr>
        <w:numId w:val="14"/>
      </w:numPr>
    </w:pPr>
    <w:rPr>
      <w:rFonts w:eastAsia="Times New Roman"/>
      <w:lang w:val="fr-FR" w:eastAsia="en-GB"/>
    </w:rPr>
  </w:style>
  <w:style w:type="paragraph" w:customStyle="1" w:styleId="ListNumber1">
    <w:name w:val="List Number 1"/>
    <w:basedOn w:val="Text1"/>
    <w:rsid w:val="009F50E4"/>
    <w:pPr>
      <w:numPr>
        <w:numId w:val="15"/>
      </w:numPr>
    </w:pPr>
    <w:rPr>
      <w:rFonts w:eastAsia="Times New Roman"/>
      <w:lang w:val="fr-FR" w:eastAsia="en-GB"/>
    </w:rPr>
  </w:style>
  <w:style w:type="paragraph" w:customStyle="1" w:styleId="ListNumber1Level2">
    <w:name w:val="List Number 1 (Level 2)"/>
    <w:basedOn w:val="Text1"/>
    <w:rsid w:val="009F50E4"/>
    <w:pPr>
      <w:numPr>
        <w:ilvl w:val="1"/>
        <w:numId w:val="15"/>
      </w:numPr>
    </w:pPr>
    <w:rPr>
      <w:rFonts w:eastAsia="Times New Roman"/>
      <w:lang w:val="fr-FR" w:eastAsia="en-GB"/>
    </w:rPr>
  </w:style>
  <w:style w:type="paragraph" w:customStyle="1" w:styleId="ListNumber2Level2">
    <w:name w:val="List Number 2 (Level 2)"/>
    <w:basedOn w:val="Text2"/>
    <w:rsid w:val="009F50E4"/>
    <w:pPr>
      <w:numPr>
        <w:ilvl w:val="1"/>
        <w:numId w:val="16"/>
      </w:numPr>
    </w:pPr>
    <w:rPr>
      <w:rFonts w:eastAsia="Times New Roman"/>
      <w:lang w:val="fr-FR" w:eastAsia="en-GB"/>
    </w:rPr>
  </w:style>
  <w:style w:type="paragraph" w:customStyle="1" w:styleId="ListNumber3Level2">
    <w:name w:val="List Number 3 (Level 2)"/>
    <w:basedOn w:val="Text3"/>
    <w:rsid w:val="009F50E4"/>
    <w:pPr>
      <w:numPr>
        <w:ilvl w:val="1"/>
        <w:numId w:val="17"/>
      </w:numPr>
    </w:pPr>
    <w:rPr>
      <w:rFonts w:eastAsia="Times New Roman"/>
      <w:lang w:val="fr-FR" w:eastAsia="en-GB"/>
    </w:rPr>
  </w:style>
  <w:style w:type="paragraph" w:customStyle="1" w:styleId="ListNumber4Level2">
    <w:name w:val="List Number 4 (Level 2)"/>
    <w:basedOn w:val="Text4"/>
    <w:rsid w:val="009F50E4"/>
    <w:pPr>
      <w:numPr>
        <w:ilvl w:val="1"/>
        <w:numId w:val="18"/>
      </w:numPr>
    </w:pPr>
    <w:rPr>
      <w:rFonts w:eastAsia="Times New Roman"/>
      <w:lang w:val="fr-FR" w:eastAsia="en-GB"/>
    </w:rPr>
  </w:style>
  <w:style w:type="paragraph" w:customStyle="1" w:styleId="ListNumber1Level3">
    <w:name w:val="List Number 1 (Level 3)"/>
    <w:basedOn w:val="Text1"/>
    <w:rsid w:val="009F50E4"/>
    <w:pPr>
      <w:numPr>
        <w:ilvl w:val="2"/>
        <w:numId w:val="15"/>
      </w:numPr>
    </w:pPr>
    <w:rPr>
      <w:rFonts w:eastAsia="Times New Roman"/>
      <w:lang w:val="fr-FR" w:eastAsia="en-GB"/>
    </w:rPr>
  </w:style>
  <w:style w:type="paragraph" w:customStyle="1" w:styleId="ListNumber2Level3">
    <w:name w:val="List Number 2 (Level 3)"/>
    <w:basedOn w:val="Text2"/>
    <w:rsid w:val="009F50E4"/>
    <w:pPr>
      <w:numPr>
        <w:ilvl w:val="2"/>
        <w:numId w:val="16"/>
      </w:numPr>
    </w:pPr>
    <w:rPr>
      <w:rFonts w:eastAsia="Times New Roman"/>
      <w:lang w:val="fr-FR" w:eastAsia="en-GB"/>
    </w:rPr>
  </w:style>
  <w:style w:type="paragraph" w:customStyle="1" w:styleId="ListNumber3Level3">
    <w:name w:val="List Number 3 (Level 3)"/>
    <w:basedOn w:val="Text3"/>
    <w:rsid w:val="009F50E4"/>
    <w:pPr>
      <w:numPr>
        <w:ilvl w:val="2"/>
        <w:numId w:val="17"/>
      </w:numPr>
    </w:pPr>
    <w:rPr>
      <w:rFonts w:eastAsia="Times New Roman"/>
      <w:lang w:val="fr-FR" w:eastAsia="en-GB"/>
    </w:rPr>
  </w:style>
  <w:style w:type="paragraph" w:customStyle="1" w:styleId="ListNumber4Level3">
    <w:name w:val="List Number 4 (Level 3)"/>
    <w:basedOn w:val="Text4"/>
    <w:rsid w:val="009F50E4"/>
    <w:pPr>
      <w:numPr>
        <w:ilvl w:val="2"/>
        <w:numId w:val="18"/>
      </w:numPr>
    </w:pPr>
    <w:rPr>
      <w:rFonts w:eastAsia="Times New Roman"/>
      <w:lang w:val="fr-FR" w:eastAsia="en-GB"/>
    </w:rPr>
  </w:style>
  <w:style w:type="paragraph" w:customStyle="1" w:styleId="ListNumber1Level4">
    <w:name w:val="List Number 1 (Level 4)"/>
    <w:basedOn w:val="Text1"/>
    <w:rsid w:val="009F50E4"/>
    <w:pPr>
      <w:numPr>
        <w:ilvl w:val="3"/>
        <w:numId w:val="15"/>
      </w:numPr>
    </w:pPr>
    <w:rPr>
      <w:rFonts w:eastAsia="Times New Roman"/>
      <w:lang w:val="fr-FR" w:eastAsia="en-GB"/>
    </w:rPr>
  </w:style>
  <w:style w:type="paragraph" w:customStyle="1" w:styleId="ListNumber2Level4">
    <w:name w:val="List Number 2 (Level 4)"/>
    <w:basedOn w:val="Text2"/>
    <w:rsid w:val="009F50E4"/>
    <w:pPr>
      <w:numPr>
        <w:ilvl w:val="3"/>
        <w:numId w:val="16"/>
      </w:numPr>
    </w:pPr>
    <w:rPr>
      <w:rFonts w:eastAsia="Times New Roman"/>
      <w:lang w:val="fr-FR" w:eastAsia="en-GB"/>
    </w:rPr>
  </w:style>
  <w:style w:type="paragraph" w:customStyle="1" w:styleId="ListNumber3Level4">
    <w:name w:val="List Number 3 (Level 4)"/>
    <w:basedOn w:val="Text3"/>
    <w:rsid w:val="009F50E4"/>
    <w:pPr>
      <w:numPr>
        <w:ilvl w:val="3"/>
        <w:numId w:val="17"/>
      </w:numPr>
    </w:pPr>
    <w:rPr>
      <w:rFonts w:eastAsia="Times New Roman"/>
      <w:lang w:val="fr-FR" w:eastAsia="en-GB"/>
    </w:rPr>
  </w:style>
  <w:style w:type="paragraph" w:customStyle="1" w:styleId="ListNumber4Level4">
    <w:name w:val="List Number 4 (Level 4)"/>
    <w:basedOn w:val="Text4"/>
    <w:rsid w:val="009F50E4"/>
    <w:pPr>
      <w:numPr>
        <w:ilvl w:val="3"/>
        <w:numId w:val="18"/>
      </w:numPr>
    </w:pPr>
    <w:rPr>
      <w:rFonts w:eastAsia="Times New Roman"/>
      <w:lang w:val="fr-FR" w:eastAsia="en-GB"/>
    </w:rPr>
  </w:style>
  <w:style w:type="paragraph" w:customStyle="1" w:styleId="Annexetitreacte">
    <w:name w:val="Annexe titre (acte)"/>
    <w:basedOn w:val="Normal"/>
    <w:next w:val="Normal"/>
    <w:rsid w:val="009F50E4"/>
    <w:pPr>
      <w:jc w:val="center"/>
    </w:pPr>
    <w:rPr>
      <w:rFonts w:eastAsia="Times New Roman"/>
      <w:b/>
      <w:u w:val="single"/>
      <w:lang w:val="fr-FR" w:eastAsia="en-GB"/>
    </w:rPr>
  </w:style>
  <w:style w:type="paragraph" w:customStyle="1" w:styleId="Annexetitreexposglobal">
    <w:name w:val="Annexe titre (exposé global)"/>
    <w:basedOn w:val="Normal"/>
    <w:next w:val="Normal"/>
    <w:rsid w:val="009F50E4"/>
    <w:pPr>
      <w:jc w:val="center"/>
    </w:pPr>
    <w:rPr>
      <w:rFonts w:eastAsia="Times New Roman"/>
      <w:b/>
      <w:u w:val="single"/>
      <w:lang w:val="fr-FR" w:eastAsia="en-GB"/>
    </w:rPr>
  </w:style>
  <w:style w:type="paragraph" w:customStyle="1" w:styleId="Annexetitrefichefinacte">
    <w:name w:val="Annexe titre (fiche fin. acte)"/>
    <w:basedOn w:val="Normal"/>
    <w:next w:val="Normal"/>
    <w:rsid w:val="009F50E4"/>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9F50E4"/>
    <w:pPr>
      <w:jc w:val="center"/>
    </w:pPr>
    <w:rPr>
      <w:rFonts w:eastAsia="Times New Roman"/>
      <w:b/>
      <w:u w:val="single"/>
      <w:lang w:val="fr-FR" w:eastAsia="en-GB"/>
    </w:rPr>
  </w:style>
  <w:style w:type="paragraph" w:customStyle="1" w:styleId="Annexetitreglobale">
    <w:name w:val="Annexe titre (globale)"/>
    <w:basedOn w:val="Normal"/>
    <w:next w:val="Normal"/>
    <w:rsid w:val="009F50E4"/>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9F50E4"/>
    <w:pPr>
      <w:jc w:val="center"/>
    </w:pPr>
    <w:rPr>
      <w:rFonts w:eastAsia="Times New Roman"/>
      <w:b/>
      <w:u w:val="single"/>
      <w:lang w:val="fr-FR" w:eastAsia="en-GB"/>
    </w:rPr>
  </w:style>
  <w:style w:type="paragraph" w:customStyle="1" w:styleId="Langueoriginale">
    <w:name w:val="Langue originale"/>
    <w:basedOn w:val="Normal"/>
    <w:rsid w:val="009F50E4"/>
    <w:pPr>
      <w:spacing w:before="360"/>
      <w:jc w:val="center"/>
    </w:pPr>
    <w:rPr>
      <w:rFonts w:eastAsia="Times New Roman"/>
      <w:caps/>
      <w:lang w:val="fr-FR" w:eastAsia="en-GB"/>
    </w:rPr>
  </w:style>
  <w:style w:type="paragraph" w:customStyle="1" w:styleId="Phrasefinale">
    <w:name w:val="Phrase finale"/>
    <w:basedOn w:val="Normal"/>
    <w:next w:val="Normal"/>
    <w:rsid w:val="009F50E4"/>
    <w:pPr>
      <w:spacing w:before="360" w:after="0"/>
      <w:jc w:val="center"/>
    </w:pPr>
    <w:rPr>
      <w:rFonts w:eastAsia="Times New Roman"/>
      <w:lang w:val="fr-FR" w:eastAsia="en-GB"/>
    </w:rPr>
  </w:style>
  <w:style w:type="paragraph" w:customStyle="1" w:styleId="Prliminairetitre">
    <w:name w:val="Préliminaire titre"/>
    <w:basedOn w:val="Normal"/>
    <w:next w:val="Normal"/>
    <w:rsid w:val="009F50E4"/>
    <w:pPr>
      <w:spacing w:before="360" w:after="360"/>
      <w:jc w:val="center"/>
    </w:pPr>
    <w:rPr>
      <w:rFonts w:eastAsia="Times New Roman"/>
      <w:b/>
      <w:lang w:val="fr-FR" w:eastAsia="en-GB"/>
    </w:rPr>
  </w:style>
  <w:style w:type="paragraph" w:customStyle="1" w:styleId="Prliminairetype">
    <w:name w:val="Préliminaire type"/>
    <w:basedOn w:val="Normal"/>
    <w:next w:val="Normal"/>
    <w:rsid w:val="009F50E4"/>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9F50E4"/>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9F50E4"/>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9F50E4"/>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9F50E4"/>
    <w:pPr>
      <w:spacing w:before="0" w:after="0"/>
      <w:jc w:val="center"/>
    </w:pPr>
    <w:rPr>
      <w:rFonts w:eastAsia="Times New Roman"/>
      <w:b/>
      <w:lang w:val="fr-FR" w:eastAsia="en-GB"/>
    </w:rPr>
  </w:style>
  <w:style w:type="paragraph" w:customStyle="1" w:styleId="Statutprliminaire">
    <w:name w:val="Statut (préliminaire)"/>
    <w:basedOn w:val="Normal"/>
    <w:next w:val="Normal"/>
    <w:rsid w:val="009F50E4"/>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9F50E4"/>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9F50E4"/>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9F50E4"/>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9F50E4"/>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9F50E4"/>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9F50E4"/>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9F50E4"/>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9F50E4"/>
    <w:pPr>
      <w:jc w:val="center"/>
    </w:pPr>
    <w:rPr>
      <w:rFonts w:eastAsia="Times New Roman"/>
      <w:b/>
      <w:u w:val="single"/>
      <w:lang w:val="fr-FR" w:eastAsia="en-GB"/>
    </w:rPr>
  </w:style>
  <w:style w:type="paragraph" w:styleId="Caption">
    <w:name w:val="caption"/>
    <w:basedOn w:val="Normal"/>
    <w:next w:val="Normal"/>
    <w:qFormat/>
    <w:rsid w:val="009F50E4"/>
    <w:rPr>
      <w:rFonts w:eastAsia="Times New Roman"/>
      <w:b/>
      <w:bCs/>
      <w:sz w:val="20"/>
      <w:szCs w:val="20"/>
      <w:lang w:val="fr-FR" w:eastAsia="en-GB"/>
    </w:rPr>
  </w:style>
  <w:style w:type="paragraph" w:styleId="TableofFigures">
    <w:name w:val="table of figures"/>
    <w:basedOn w:val="Normal"/>
    <w:next w:val="Normal"/>
    <w:rsid w:val="009F50E4"/>
    <w:rPr>
      <w:rFonts w:eastAsia="Times New Roman"/>
      <w:lang w:val="fr-FR" w:eastAsia="en-GB"/>
    </w:rPr>
  </w:style>
  <w:style w:type="character" w:styleId="PageNumber">
    <w:name w:val="page number"/>
    <w:rsid w:val="009F50E4"/>
  </w:style>
  <w:style w:type="character" w:customStyle="1" w:styleId="tw4winMark">
    <w:name w:val="tw4winMark"/>
    <w:rsid w:val="009F50E4"/>
    <w:rPr>
      <w:vanish/>
      <w:color w:val="800080"/>
      <w:vertAlign w:val="subscript"/>
    </w:rPr>
  </w:style>
  <w:style w:type="character" w:styleId="FollowedHyperlink">
    <w:name w:val="FollowedHyperlink"/>
    <w:rsid w:val="009F50E4"/>
    <w:rPr>
      <w:color w:val="800080"/>
      <w:u w:val="single"/>
    </w:rPr>
  </w:style>
  <w:style w:type="paragraph" w:customStyle="1" w:styleId="Sous-titreobjet">
    <w:name w:val="Sous-titre objet"/>
    <w:basedOn w:val="Normal"/>
    <w:rsid w:val="009F50E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F50E4"/>
  </w:style>
  <w:style w:type="paragraph" w:customStyle="1" w:styleId="FooterCoverPage">
    <w:name w:val="Footer Cover Page"/>
    <w:basedOn w:val="Normal"/>
    <w:link w:val="FooterCoverPageChar"/>
    <w:rsid w:val="009F50E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9F50E4"/>
    <w:rPr>
      <w:rFonts w:ascii="Times New Roman" w:hAnsi="Times New Roman" w:cs="Times New Roman"/>
      <w:b/>
      <w:sz w:val="28"/>
      <w:lang w:val="en-GB"/>
    </w:rPr>
  </w:style>
  <w:style w:type="character" w:customStyle="1" w:styleId="FooterCoverPageChar">
    <w:name w:val="Footer Cover Page Char"/>
    <w:link w:val="FooterCoverPage"/>
    <w:rsid w:val="009F50E4"/>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9F50E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9F50E4"/>
    <w:rPr>
      <w:rFonts w:ascii="Times New Roman" w:eastAsia="Calibri" w:hAnsi="Times New Roman" w:cs="Times New Roman"/>
      <w:sz w:val="24"/>
      <w:lang w:val="en-GB" w:eastAsia="en-GB"/>
    </w:rPr>
  </w:style>
  <w:style w:type="character" w:customStyle="1" w:styleId="FooterSensitivityChar">
    <w:name w:val="Footer Sensitivity Char"/>
    <w:rsid w:val="009F50E4"/>
    <w:rPr>
      <w:rFonts w:ascii="Times New Roman" w:hAnsi="Times New Roman" w:cs="Times New Roman"/>
      <w:b/>
      <w:sz w:val="32"/>
      <w:lang w:val="en-GB"/>
    </w:rPr>
  </w:style>
  <w:style w:type="character" w:customStyle="1" w:styleId="HeaderSensitivityChar">
    <w:name w:val="Header Sensitivity Char"/>
    <w:rsid w:val="009F50E4"/>
    <w:rPr>
      <w:rFonts w:ascii="Times New Roman" w:hAnsi="Times New Roman" w:cs="Times New Roman"/>
      <w:b/>
      <w:sz w:val="32"/>
      <w:lang w:val="en-GB"/>
    </w:rPr>
  </w:style>
  <w:style w:type="character" w:customStyle="1" w:styleId="HeaderSensitivityRightChar">
    <w:name w:val="Header Sensitivity Right Char"/>
    <w:rsid w:val="009F50E4"/>
    <w:rPr>
      <w:rFonts w:ascii="Times New Roman" w:hAnsi="Times New Roman" w:cs="Times New Roman"/>
      <w:sz w:val="28"/>
      <w:lang w:val="en-GB"/>
    </w:rPr>
  </w:style>
  <w:style w:type="paragraph" w:customStyle="1" w:styleId="Default">
    <w:name w:val="Default"/>
    <w:rsid w:val="00FA1843"/>
    <w:pPr>
      <w:autoSpaceDE w:val="0"/>
      <w:autoSpaceDN w:val="0"/>
      <w:adjustRightInd w:val="0"/>
      <w:spacing w:after="0" w:line="240" w:lineRule="auto"/>
    </w:pPr>
    <w:rPr>
      <w:rFonts w:ascii="EUAlbertina" w:hAnsi="EUAlbertina" w:cs="EUAlbertina"/>
      <w:color w:val="000000"/>
      <w:sz w:val="24"/>
      <w:szCs w:val="24"/>
      <w:lang w:val="en-IE"/>
    </w:rPr>
  </w:style>
  <w:style w:type="character" w:customStyle="1" w:styleId="markedcontent">
    <w:name w:val="markedcontent"/>
    <w:basedOn w:val="DefaultParagraphFont"/>
    <w:rsid w:val="00FA1843"/>
  </w:style>
  <w:style w:type="character" w:customStyle="1" w:styleId="UnresolvedMention4">
    <w:name w:val="Unresolved Mention4"/>
    <w:basedOn w:val="DefaultParagraphFont"/>
    <w:uiPriority w:val="99"/>
    <w:semiHidden/>
    <w:unhideWhenUsed/>
    <w:rsid w:val="00EA1519"/>
    <w:rPr>
      <w:color w:val="605E5C"/>
      <w:shd w:val="clear" w:color="auto" w:fill="E1DFDD"/>
    </w:rPr>
  </w:style>
  <w:style w:type="paragraph" w:styleId="Header">
    <w:name w:val="header"/>
    <w:basedOn w:val="Normal"/>
    <w:link w:val="HeaderChar"/>
    <w:uiPriority w:val="99"/>
    <w:unhideWhenUsed/>
    <w:rsid w:val="00783A24"/>
    <w:pPr>
      <w:tabs>
        <w:tab w:val="center" w:pos="4535"/>
        <w:tab w:val="right" w:pos="9071"/>
      </w:tabs>
      <w:spacing w:before="0"/>
    </w:pPr>
  </w:style>
  <w:style w:type="character" w:customStyle="1" w:styleId="HeaderChar">
    <w:name w:val="Header Char"/>
    <w:basedOn w:val="DefaultParagraphFont"/>
    <w:link w:val="Header"/>
    <w:uiPriority w:val="99"/>
    <w:rsid w:val="00783A24"/>
    <w:rPr>
      <w:rFonts w:ascii="Times New Roman" w:hAnsi="Times New Roman" w:cs="Times New Roman"/>
      <w:sz w:val="24"/>
      <w:lang w:val="en-GB"/>
    </w:rPr>
  </w:style>
  <w:style w:type="paragraph" w:styleId="Footer">
    <w:name w:val="footer"/>
    <w:basedOn w:val="Normal"/>
    <w:link w:val="FooterChar"/>
    <w:uiPriority w:val="99"/>
    <w:unhideWhenUsed/>
    <w:rsid w:val="00783A2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83A2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83A24"/>
    <w:pPr>
      <w:tabs>
        <w:tab w:val="center" w:pos="7285"/>
        <w:tab w:val="right" w:pos="14003"/>
      </w:tabs>
      <w:spacing w:before="0"/>
    </w:pPr>
  </w:style>
  <w:style w:type="paragraph" w:customStyle="1" w:styleId="FooterLandscape">
    <w:name w:val="FooterLandscape"/>
    <w:basedOn w:val="Normal"/>
    <w:rsid w:val="00783A2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783A2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83A24"/>
    <w:pPr>
      <w:spacing w:before="0"/>
      <w:jc w:val="right"/>
    </w:pPr>
    <w:rPr>
      <w:sz w:val="28"/>
    </w:rPr>
  </w:style>
  <w:style w:type="paragraph" w:customStyle="1" w:styleId="FooterSensitivity">
    <w:name w:val="Footer Sensitivity"/>
    <w:basedOn w:val="Normal"/>
    <w:rsid w:val="00783A2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255">
      <w:bodyDiv w:val="1"/>
      <w:marLeft w:val="0"/>
      <w:marRight w:val="0"/>
      <w:marTop w:val="0"/>
      <w:marBottom w:val="0"/>
      <w:divBdr>
        <w:top w:val="none" w:sz="0" w:space="0" w:color="auto"/>
        <w:left w:val="none" w:sz="0" w:space="0" w:color="auto"/>
        <w:bottom w:val="none" w:sz="0" w:space="0" w:color="auto"/>
        <w:right w:val="none" w:sz="0" w:space="0" w:color="auto"/>
      </w:divBdr>
    </w:div>
    <w:div w:id="12146302">
      <w:bodyDiv w:val="1"/>
      <w:marLeft w:val="0"/>
      <w:marRight w:val="0"/>
      <w:marTop w:val="0"/>
      <w:marBottom w:val="0"/>
      <w:divBdr>
        <w:top w:val="none" w:sz="0" w:space="0" w:color="auto"/>
        <w:left w:val="none" w:sz="0" w:space="0" w:color="auto"/>
        <w:bottom w:val="none" w:sz="0" w:space="0" w:color="auto"/>
        <w:right w:val="none" w:sz="0" w:space="0" w:color="auto"/>
      </w:divBdr>
      <w:divsChild>
        <w:div w:id="883559682">
          <w:marLeft w:val="0"/>
          <w:marRight w:val="0"/>
          <w:marTop w:val="0"/>
          <w:marBottom w:val="0"/>
          <w:divBdr>
            <w:top w:val="none" w:sz="0" w:space="0" w:color="auto"/>
            <w:left w:val="none" w:sz="0" w:space="0" w:color="auto"/>
            <w:bottom w:val="none" w:sz="0" w:space="0" w:color="auto"/>
            <w:right w:val="none" w:sz="0" w:space="0" w:color="auto"/>
          </w:divBdr>
        </w:div>
        <w:div w:id="989552121">
          <w:marLeft w:val="0"/>
          <w:marRight w:val="0"/>
          <w:marTop w:val="0"/>
          <w:marBottom w:val="0"/>
          <w:divBdr>
            <w:top w:val="none" w:sz="0" w:space="0" w:color="auto"/>
            <w:left w:val="none" w:sz="0" w:space="0" w:color="auto"/>
            <w:bottom w:val="none" w:sz="0" w:space="0" w:color="auto"/>
            <w:right w:val="none" w:sz="0" w:space="0" w:color="auto"/>
          </w:divBdr>
        </w:div>
      </w:divsChild>
    </w:div>
    <w:div w:id="51118698">
      <w:bodyDiv w:val="1"/>
      <w:marLeft w:val="0"/>
      <w:marRight w:val="0"/>
      <w:marTop w:val="0"/>
      <w:marBottom w:val="0"/>
      <w:divBdr>
        <w:top w:val="none" w:sz="0" w:space="0" w:color="auto"/>
        <w:left w:val="none" w:sz="0" w:space="0" w:color="auto"/>
        <w:bottom w:val="none" w:sz="0" w:space="0" w:color="auto"/>
        <w:right w:val="none" w:sz="0" w:space="0" w:color="auto"/>
      </w:divBdr>
    </w:div>
    <w:div w:id="106584718">
      <w:bodyDiv w:val="1"/>
      <w:marLeft w:val="0"/>
      <w:marRight w:val="0"/>
      <w:marTop w:val="0"/>
      <w:marBottom w:val="0"/>
      <w:divBdr>
        <w:top w:val="none" w:sz="0" w:space="0" w:color="auto"/>
        <w:left w:val="none" w:sz="0" w:space="0" w:color="auto"/>
        <w:bottom w:val="none" w:sz="0" w:space="0" w:color="auto"/>
        <w:right w:val="none" w:sz="0" w:space="0" w:color="auto"/>
      </w:divBdr>
    </w:div>
    <w:div w:id="108134621">
      <w:bodyDiv w:val="1"/>
      <w:marLeft w:val="0"/>
      <w:marRight w:val="0"/>
      <w:marTop w:val="0"/>
      <w:marBottom w:val="0"/>
      <w:divBdr>
        <w:top w:val="none" w:sz="0" w:space="0" w:color="auto"/>
        <w:left w:val="none" w:sz="0" w:space="0" w:color="auto"/>
        <w:bottom w:val="none" w:sz="0" w:space="0" w:color="auto"/>
        <w:right w:val="none" w:sz="0" w:space="0" w:color="auto"/>
      </w:divBdr>
      <w:divsChild>
        <w:div w:id="113864241">
          <w:marLeft w:val="0"/>
          <w:marRight w:val="0"/>
          <w:marTop w:val="0"/>
          <w:marBottom w:val="0"/>
          <w:divBdr>
            <w:top w:val="none" w:sz="0" w:space="0" w:color="auto"/>
            <w:left w:val="none" w:sz="0" w:space="0" w:color="auto"/>
            <w:bottom w:val="none" w:sz="0" w:space="0" w:color="auto"/>
            <w:right w:val="none" w:sz="0" w:space="0" w:color="auto"/>
          </w:divBdr>
          <w:divsChild>
            <w:div w:id="578632775">
              <w:marLeft w:val="0"/>
              <w:marRight w:val="0"/>
              <w:marTop w:val="0"/>
              <w:marBottom w:val="0"/>
              <w:divBdr>
                <w:top w:val="none" w:sz="0" w:space="0" w:color="auto"/>
                <w:left w:val="none" w:sz="0" w:space="0" w:color="auto"/>
                <w:bottom w:val="none" w:sz="0" w:space="0" w:color="auto"/>
                <w:right w:val="none" w:sz="0" w:space="0" w:color="auto"/>
              </w:divBdr>
            </w:div>
          </w:divsChild>
        </w:div>
        <w:div w:id="638001928">
          <w:marLeft w:val="0"/>
          <w:marRight w:val="0"/>
          <w:marTop w:val="0"/>
          <w:marBottom w:val="0"/>
          <w:divBdr>
            <w:top w:val="none" w:sz="0" w:space="0" w:color="auto"/>
            <w:left w:val="none" w:sz="0" w:space="0" w:color="auto"/>
            <w:bottom w:val="none" w:sz="0" w:space="0" w:color="auto"/>
            <w:right w:val="none" w:sz="0" w:space="0" w:color="auto"/>
          </w:divBdr>
          <w:divsChild>
            <w:div w:id="1046953662">
              <w:marLeft w:val="0"/>
              <w:marRight w:val="0"/>
              <w:marTop w:val="0"/>
              <w:marBottom w:val="0"/>
              <w:divBdr>
                <w:top w:val="none" w:sz="0" w:space="0" w:color="auto"/>
                <w:left w:val="none" w:sz="0" w:space="0" w:color="auto"/>
                <w:bottom w:val="none" w:sz="0" w:space="0" w:color="auto"/>
                <w:right w:val="none" w:sz="0" w:space="0" w:color="auto"/>
              </w:divBdr>
              <w:divsChild>
                <w:div w:id="571426512">
                  <w:marLeft w:val="0"/>
                  <w:marRight w:val="0"/>
                  <w:marTop w:val="0"/>
                  <w:marBottom w:val="0"/>
                  <w:divBdr>
                    <w:top w:val="none" w:sz="0" w:space="0" w:color="auto"/>
                    <w:left w:val="none" w:sz="0" w:space="0" w:color="auto"/>
                    <w:bottom w:val="none" w:sz="0" w:space="0" w:color="auto"/>
                    <w:right w:val="none" w:sz="0" w:space="0" w:color="auto"/>
                  </w:divBdr>
                  <w:divsChild>
                    <w:div w:id="502277772">
                      <w:marLeft w:val="0"/>
                      <w:marRight w:val="0"/>
                      <w:marTop w:val="120"/>
                      <w:marBottom w:val="0"/>
                      <w:divBdr>
                        <w:top w:val="none" w:sz="0" w:space="0" w:color="auto"/>
                        <w:left w:val="none" w:sz="0" w:space="0" w:color="auto"/>
                        <w:bottom w:val="none" w:sz="0" w:space="0" w:color="auto"/>
                        <w:right w:val="none" w:sz="0" w:space="0" w:color="auto"/>
                      </w:divBdr>
                    </w:div>
                    <w:div w:id="1757633210">
                      <w:marLeft w:val="0"/>
                      <w:marRight w:val="0"/>
                      <w:marTop w:val="0"/>
                      <w:marBottom w:val="0"/>
                      <w:divBdr>
                        <w:top w:val="none" w:sz="0" w:space="0" w:color="auto"/>
                        <w:left w:val="none" w:sz="0" w:space="0" w:color="auto"/>
                        <w:bottom w:val="none" w:sz="0" w:space="0" w:color="auto"/>
                        <w:right w:val="none" w:sz="0" w:space="0" w:color="auto"/>
                      </w:divBdr>
                    </w:div>
                  </w:divsChild>
                </w:div>
                <w:div w:id="784277847">
                  <w:marLeft w:val="0"/>
                  <w:marRight w:val="0"/>
                  <w:marTop w:val="0"/>
                  <w:marBottom w:val="0"/>
                  <w:divBdr>
                    <w:top w:val="none" w:sz="0" w:space="0" w:color="auto"/>
                    <w:left w:val="none" w:sz="0" w:space="0" w:color="auto"/>
                    <w:bottom w:val="none" w:sz="0" w:space="0" w:color="auto"/>
                    <w:right w:val="none" w:sz="0" w:space="0" w:color="auto"/>
                  </w:divBdr>
                  <w:divsChild>
                    <w:div w:id="42827766">
                      <w:marLeft w:val="0"/>
                      <w:marRight w:val="0"/>
                      <w:marTop w:val="0"/>
                      <w:marBottom w:val="0"/>
                      <w:divBdr>
                        <w:top w:val="none" w:sz="0" w:space="0" w:color="auto"/>
                        <w:left w:val="none" w:sz="0" w:space="0" w:color="auto"/>
                        <w:bottom w:val="none" w:sz="0" w:space="0" w:color="auto"/>
                        <w:right w:val="none" w:sz="0" w:space="0" w:color="auto"/>
                      </w:divBdr>
                    </w:div>
                    <w:div w:id="1432622932">
                      <w:marLeft w:val="0"/>
                      <w:marRight w:val="0"/>
                      <w:marTop w:val="120"/>
                      <w:marBottom w:val="0"/>
                      <w:divBdr>
                        <w:top w:val="none" w:sz="0" w:space="0" w:color="auto"/>
                        <w:left w:val="none" w:sz="0" w:space="0" w:color="auto"/>
                        <w:bottom w:val="none" w:sz="0" w:space="0" w:color="auto"/>
                        <w:right w:val="none" w:sz="0" w:space="0" w:color="auto"/>
                      </w:divBdr>
                    </w:div>
                  </w:divsChild>
                </w:div>
                <w:div w:id="1790513669">
                  <w:marLeft w:val="0"/>
                  <w:marRight w:val="0"/>
                  <w:marTop w:val="0"/>
                  <w:marBottom w:val="0"/>
                  <w:divBdr>
                    <w:top w:val="none" w:sz="0" w:space="0" w:color="auto"/>
                    <w:left w:val="none" w:sz="0" w:space="0" w:color="auto"/>
                    <w:bottom w:val="none" w:sz="0" w:space="0" w:color="auto"/>
                    <w:right w:val="none" w:sz="0" w:space="0" w:color="auto"/>
                  </w:divBdr>
                  <w:divsChild>
                    <w:div w:id="314527649">
                      <w:marLeft w:val="0"/>
                      <w:marRight w:val="0"/>
                      <w:marTop w:val="0"/>
                      <w:marBottom w:val="0"/>
                      <w:divBdr>
                        <w:top w:val="none" w:sz="0" w:space="0" w:color="auto"/>
                        <w:left w:val="none" w:sz="0" w:space="0" w:color="auto"/>
                        <w:bottom w:val="none" w:sz="0" w:space="0" w:color="auto"/>
                        <w:right w:val="none" w:sz="0" w:space="0" w:color="auto"/>
                      </w:divBdr>
                    </w:div>
                    <w:div w:id="8194258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92701084">
          <w:marLeft w:val="0"/>
          <w:marRight w:val="0"/>
          <w:marTop w:val="0"/>
          <w:marBottom w:val="0"/>
          <w:divBdr>
            <w:top w:val="none" w:sz="0" w:space="0" w:color="auto"/>
            <w:left w:val="none" w:sz="0" w:space="0" w:color="auto"/>
            <w:bottom w:val="none" w:sz="0" w:space="0" w:color="auto"/>
            <w:right w:val="none" w:sz="0" w:space="0" w:color="auto"/>
          </w:divBdr>
          <w:divsChild>
            <w:div w:id="1007826559">
              <w:marLeft w:val="0"/>
              <w:marRight w:val="0"/>
              <w:marTop w:val="0"/>
              <w:marBottom w:val="0"/>
              <w:divBdr>
                <w:top w:val="none" w:sz="0" w:space="0" w:color="auto"/>
                <w:left w:val="none" w:sz="0" w:space="0" w:color="auto"/>
                <w:bottom w:val="none" w:sz="0" w:space="0" w:color="auto"/>
                <w:right w:val="none" w:sz="0" w:space="0" w:color="auto"/>
              </w:divBdr>
            </w:div>
          </w:divsChild>
        </w:div>
        <w:div w:id="1309937493">
          <w:marLeft w:val="0"/>
          <w:marRight w:val="0"/>
          <w:marTop w:val="0"/>
          <w:marBottom w:val="0"/>
          <w:divBdr>
            <w:top w:val="none" w:sz="0" w:space="0" w:color="auto"/>
            <w:left w:val="none" w:sz="0" w:space="0" w:color="auto"/>
            <w:bottom w:val="none" w:sz="0" w:space="0" w:color="auto"/>
            <w:right w:val="none" w:sz="0" w:space="0" w:color="auto"/>
          </w:divBdr>
          <w:divsChild>
            <w:div w:id="286548113">
              <w:marLeft w:val="0"/>
              <w:marRight w:val="0"/>
              <w:marTop w:val="0"/>
              <w:marBottom w:val="0"/>
              <w:divBdr>
                <w:top w:val="none" w:sz="0" w:space="0" w:color="auto"/>
                <w:left w:val="none" w:sz="0" w:space="0" w:color="auto"/>
                <w:bottom w:val="none" w:sz="0" w:space="0" w:color="auto"/>
                <w:right w:val="none" w:sz="0" w:space="0" w:color="auto"/>
              </w:divBdr>
            </w:div>
          </w:divsChild>
        </w:div>
        <w:div w:id="1946647448">
          <w:marLeft w:val="0"/>
          <w:marRight w:val="0"/>
          <w:marTop w:val="0"/>
          <w:marBottom w:val="0"/>
          <w:divBdr>
            <w:top w:val="none" w:sz="0" w:space="0" w:color="auto"/>
            <w:left w:val="none" w:sz="0" w:space="0" w:color="auto"/>
            <w:bottom w:val="none" w:sz="0" w:space="0" w:color="auto"/>
            <w:right w:val="none" w:sz="0" w:space="0" w:color="auto"/>
          </w:divBdr>
          <w:divsChild>
            <w:div w:id="928808521">
              <w:marLeft w:val="0"/>
              <w:marRight w:val="0"/>
              <w:marTop w:val="0"/>
              <w:marBottom w:val="0"/>
              <w:divBdr>
                <w:top w:val="none" w:sz="0" w:space="0" w:color="auto"/>
                <w:left w:val="none" w:sz="0" w:space="0" w:color="auto"/>
                <w:bottom w:val="none" w:sz="0" w:space="0" w:color="auto"/>
                <w:right w:val="none" w:sz="0" w:space="0" w:color="auto"/>
              </w:divBdr>
              <w:divsChild>
                <w:div w:id="173153834">
                  <w:marLeft w:val="0"/>
                  <w:marRight w:val="0"/>
                  <w:marTop w:val="0"/>
                  <w:marBottom w:val="0"/>
                  <w:divBdr>
                    <w:top w:val="none" w:sz="0" w:space="0" w:color="auto"/>
                    <w:left w:val="none" w:sz="0" w:space="0" w:color="auto"/>
                    <w:bottom w:val="none" w:sz="0" w:space="0" w:color="auto"/>
                    <w:right w:val="none" w:sz="0" w:space="0" w:color="auto"/>
                  </w:divBdr>
                  <w:divsChild>
                    <w:div w:id="17505917">
                      <w:marLeft w:val="0"/>
                      <w:marRight w:val="0"/>
                      <w:marTop w:val="120"/>
                      <w:marBottom w:val="0"/>
                      <w:divBdr>
                        <w:top w:val="none" w:sz="0" w:space="0" w:color="auto"/>
                        <w:left w:val="none" w:sz="0" w:space="0" w:color="auto"/>
                        <w:bottom w:val="none" w:sz="0" w:space="0" w:color="auto"/>
                        <w:right w:val="none" w:sz="0" w:space="0" w:color="auto"/>
                      </w:divBdr>
                    </w:div>
                    <w:div w:id="798958708">
                      <w:marLeft w:val="0"/>
                      <w:marRight w:val="0"/>
                      <w:marTop w:val="0"/>
                      <w:marBottom w:val="0"/>
                      <w:divBdr>
                        <w:top w:val="none" w:sz="0" w:space="0" w:color="auto"/>
                        <w:left w:val="none" w:sz="0" w:space="0" w:color="auto"/>
                        <w:bottom w:val="none" w:sz="0" w:space="0" w:color="auto"/>
                        <w:right w:val="none" w:sz="0" w:space="0" w:color="auto"/>
                      </w:divBdr>
                    </w:div>
                  </w:divsChild>
                </w:div>
                <w:div w:id="1458766346">
                  <w:marLeft w:val="0"/>
                  <w:marRight w:val="0"/>
                  <w:marTop w:val="0"/>
                  <w:marBottom w:val="0"/>
                  <w:divBdr>
                    <w:top w:val="none" w:sz="0" w:space="0" w:color="auto"/>
                    <w:left w:val="none" w:sz="0" w:space="0" w:color="auto"/>
                    <w:bottom w:val="none" w:sz="0" w:space="0" w:color="auto"/>
                    <w:right w:val="none" w:sz="0" w:space="0" w:color="auto"/>
                  </w:divBdr>
                  <w:divsChild>
                    <w:div w:id="1136531177">
                      <w:marLeft w:val="0"/>
                      <w:marRight w:val="0"/>
                      <w:marTop w:val="120"/>
                      <w:marBottom w:val="0"/>
                      <w:divBdr>
                        <w:top w:val="none" w:sz="0" w:space="0" w:color="auto"/>
                        <w:left w:val="none" w:sz="0" w:space="0" w:color="auto"/>
                        <w:bottom w:val="none" w:sz="0" w:space="0" w:color="auto"/>
                        <w:right w:val="none" w:sz="0" w:space="0" w:color="auto"/>
                      </w:divBdr>
                    </w:div>
                    <w:div w:id="1685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2306">
      <w:bodyDiv w:val="1"/>
      <w:marLeft w:val="0"/>
      <w:marRight w:val="0"/>
      <w:marTop w:val="0"/>
      <w:marBottom w:val="0"/>
      <w:divBdr>
        <w:top w:val="none" w:sz="0" w:space="0" w:color="auto"/>
        <w:left w:val="none" w:sz="0" w:space="0" w:color="auto"/>
        <w:bottom w:val="none" w:sz="0" w:space="0" w:color="auto"/>
        <w:right w:val="none" w:sz="0" w:space="0" w:color="auto"/>
      </w:divBdr>
      <w:divsChild>
        <w:div w:id="10955465">
          <w:marLeft w:val="0"/>
          <w:marRight w:val="0"/>
          <w:marTop w:val="0"/>
          <w:marBottom w:val="0"/>
          <w:divBdr>
            <w:top w:val="none" w:sz="0" w:space="0" w:color="auto"/>
            <w:left w:val="none" w:sz="0" w:space="0" w:color="auto"/>
            <w:bottom w:val="none" w:sz="0" w:space="0" w:color="auto"/>
            <w:right w:val="none" w:sz="0" w:space="0" w:color="auto"/>
          </w:divBdr>
          <w:divsChild>
            <w:div w:id="355934237">
              <w:marLeft w:val="0"/>
              <w:marRight w:val="0"/>
              <w:marTop w:val="0"/>
              <w:marBottom w:val="0"/>
              <w:divBdr>
                <w:top w:val="none" w:sz="0" w:space="0" w:color="auto"/>
                <w:left w:val="none" w:sz="0" w:space="0" w:color="auto"/>
                <w:bottom w:val="none" w:sz="0" w:space="0" w:color="auto"/>
                <w:right w:val="none" w:sz="0" w:space="0" w:color="auto"/>
              </w:divBdr>
            </w:div>
          </w:divsChild>
        </w:div>
        <w:div w:id="95444770">
          <w:marLeft w:val="0"/>
          <w:marRight w:val="0"/>
          <w:marTop w:val="0"/>
          <w:marBottom w:val="0"/>
          <w:divBdr>
            <w:top w:val="none" w:sz="0" w:space="0" w:color="auto"/>
            <w:left w:val="none" w:sz="0" w:space="0" w:color="auto"/>
            <w:bottom w:val="none" w:sz="0" w:space="0" w:color="auto"/>
            <w:right w:val="none" w:sz="0" w:space="0" w:color="auto"/>
          </w:divBdr>
          <w:divsChild>
            <w:div w:id="273948117">
              <w:marLeft w:val="0"/>
              <w:marRight w:val="0"/>
              <w:marTop w:val="0"/>
              <w:marBottom w:val="0"/>
              <w:divBdr>
                <w:top w:val="none" w:sz="0" w:space="0" w:color="auto"/>
                <w:left w:val="none" w:sz="0" w:space="0" w:color="auto"/>
                <w:bottom w:val="none" w:sz="0" w:space="0" w:color="auto"/>
                <w:right w:val="none" w:sz="0" w:space="0" w:color="auto"/>
              </w:divBdr>
            </w:div>
          </w:divsChild>
        </w:div>
        <w:div w:id="116804760">
          <w:marLeft w:val="0"/>
          <w:marRight w:val="0"/>
          <w:marTop w:val="0"/>
          <w:marBottom w:val="0"/>
          <w:divBdr>
            <w:top w:val="none" w:sz="0" w:space="0" w:color="auto"/>
            <w:left w:val="none" w:sz="0" w:space="0" w:color="auto"/>
            <w:bottom w:val="none" w:sz="0" w:space="0" w:color="auto"/>
            <w:right w:val="none" w:sz="0" w:space="0" w:color="auto"/>
          </w:divBdr>
          <w:divsChild>
            <w:div w:id="278416439">
              <w:marLeft w:val="0"/>
              <w:marRight w:val="0"/>
              <w:marTop w:val="0"/>
              <w:marBottom w:val="0"/>
              <w:divBdr>
                <w:top w:val="none" w:sz="0" w:space="0" w:color="auto"/>
                <w:left w:val="none" w:sz="0" w:space="0" w:color="auto"/>
                <w:bottom w:val="none" w:sz="0" w:space="0" w:color="auto"/>
                <w:right w:val="none" w:sz="0" w:space="0" w:color="auto"/>
              </w:divBdr>
            </w:div>
          </w:divsChild>
        </w:div>
        <w:div w:id="165438231">
          <w:marLeft w:val="0"/>
          <w:marRight w:val="0"/>
          <w:marTop w:val="0"/>
          <w:marBottom w:val="0"/>
          <w:divBdr>
            <w:top w:val="none" w:sz="0" w:space="0" w:color="auto"/>
            <w:left w:val="none" w:sz="0" w:space="0" w:color="auto"/>
            <w:bottom w:val="none" w:sz="0" w:space="0" w:color="auto"/>
            <w:right w:val="none" w:sz="0" w:space="0" w:color="auto"/>
          </w:divBdr>
          <w:divsChild>
            <w:div w:id="584606727">
              <w:marLeft w:val="0"/>
              <w:marRight w:val="0"/>
              <w:marTop w:val="0"/>
              <w:marBottom w:val="0"/>
              <w:divBdr>
                <w:top w:val="none" w:sz="0" w:space="0" w:color="auto"/>
                <w:left w:val="none" w:sz="0" w:space="0" w:color="auto"/>
                <w:bottom w:val="none" w:sz="0" w:space="0" w:color="auto"/>
                <w:right w:val="none" w:sz="0" w:space="0" w:color="auto"/>
              </w:divBdr>
            </w:div>
            <w:div w:id="1070419868">
              <w:marLeft w:val="0"/>
              <w:marRight w:val="0"/>
              <w:marTop w:val="120"/>
              <w:marBottom w:val="0"/>
              <w:divBdr>
                <w:top w:val="none" w:sz="0" w:space="0" w:color="auto"/>
                <w:left w:val="none" w:sz="0" w:space="0" w:color="auto"/>
                <w:bottom w:val="none" w:sz="0" w:space="0" w:color="auto"/>
                <w:right w:val="none" w:sz="0" w:space="0" w:color="auto"/>
              </w:divBdr>
            </w:div>
          </w:divsChild>
        </w:div>
        <w:div w:id="299188773">
          <w:marLeft w:val="0"/>
          <w:marRight w:val="0"/>
          <w:marTop w:val="0"/>
          <w:marBottom w:val="0"/>
          <w:divBdr>
            <w:top w:val="none" w:sz="0" w:space="0" w:color="auto"/>
            <w:left w:val="none" w:sz="0" w:space="0" w:color="auto"/>
            <w:bottom w:val="none" w:sz="0" w:space="0" w:color="auto"/>
            <w:right w:val="none" w:sz="0" w:space="0" w:color="auto"/>
          </w:divBdr>
          <w:divsChild>
            <w:div w:id="2052419355">
              <w:marLeft w:val="0"/>
              <w:marRight w:val="0"/>
              <w:marTop w:val="0"/>
              <w:marBottom w:val="0"/>
              <w:divBdr>
                <w:top w:val="none" w:sz="0" w:space="0" w:color="auto"/>
                <w:left w:val="none" w:sz="0" w:space="0" w:color="auto"/>
                <w:bottom w:val="none" w:sz="0" w:space="0" w:color="auto"/>
                <w:right w:val="none" w:sz="0" w:space="0" w:color="auto"/>
              </w:divBdr>
            </w:div>
          </w:divsChild>
        </w:div>
        <w:div w:id="363556248">
          <w:marLeft w:val="0"/>
          <w:marRight w:val="0"/>
          <w:marTop w:val="0"/>
          <w:marBottom w:val="0"/>
          <w:divBdr>
            <w:top w:val="none" w:sz="0" w:space="0" w:color="auto"/>
            <w:left w:val="none" w:sz="0" w:space="0" w:color="auto"/>
            <w:bottom w:val="none" w:sz="0" w:space="0" w:color="auto"/>
            <w:right w:val="none" w:sz="0" w:space="0" w:color="auto"/>
          </w:divBdr>
          <w:divsChild>
            <w:div w:id="325209634">
              <w:marLeft w:val="0"/>
              <w:marRight w:val="0"/>
              <w:marTop w:val="0"/>
              <w:marBottom w:val="0"/>
              <w:divBdr>
                <w:top w:val="none" w:sz="0" w:space="0" w:color="auto"/>
                <w:left w:val="none" w:sz="0" w:space="0" w:color="auto"/>
                <w:bottom w:val="none" w:sz="0" w:space="0" w:color="auto"/>
                <w:right w:val="none" w:sz="0" w:space="0" w:color="auto"/>
              </w:divBdr>
            </w:div>
          </w:divsChild>
        </w:div>
        <w:div w:id="499084819">
          <w:marLeft w:val="0"/>
          <w:marRight w:val="0"/>
          <w:marTop w:val="0"/>
          <w:marBottom w:val="0"/>
          <w:divBdr>
            <w:top w:val="none" w:sz="0" w:space="0" w:color="auto"/>
            <w:left w:val="none" w:sz="0" w:space="0" w:color="auto"/>
            <w:bottom w:val="none" w:sz="0" w:space="0" w:color="auto"/>
            <w:right w:val="none" w:sz="0" w:space="0" w:color="auto"/>
          </w:divBdr>
          <w:divsChild>
            <w:div w:id="1799564849">
              <w:marLeft w:val="0"/>
              <w:marRight w:val="0"/>
              <w:marTop w:val="0"/>
              <w:marBottom w:val="0"/>
              <w:divBdr>
                <w:top w:val="none" w:sz="0" w:space="0" w:color="auto"/>
                <w:left w:val="none" w:sz="0" w:space="0" w:color="auto"/>
                <w:bottom w:val="none" w:sz="0" w:space="0" w:color="auto"/>
                <w:right w:val="none" w:sz="0" w:space="0" w:color="auto"/>
              </w:divBdr>
            </w:div>
          </w:divsChild>
        </w:div>
        <w:div w:id="571817548">
          <w:marLeft w:val="0"/>
          <w:marRight w:val="0"/>
          <w:marTop w:val="0"/>
          <w:marBottom w:val="0"/>
          <w:divBdr>
            <w:top w:val="none" w:sz="0" w:space="0" w:color="auto"/>
            <w:left w:val="none" w:sz="0" w:space="0" w:color="auto"/>
            <w:bottom w:val="none" w:sz="0" w:space="0" w:color="auto"/>
            <w:right w:val="none" w:sz="0" w:space="0" w:color="auto"/>
          </w:divBdr>
          <w:divsChild>
            <w:div w:id="1500391941">
              <w:marLeft w:val="0"/>
              <w:marRight w:val="0"/>
              <w:marTop w:val="0"/>
              <w:marBottom w:val="0"/>
              <w:divBdr>
                <w:top w:val="none" w:sz="0" w:space="0" w:color="auto"/>
                <w:left w:val="none" w:sz="0" w:space="0" w:color="auto"/>
                <w:bottom w:val="none" w:sz="0" w:space="0" w:color="auto"/>
                <w:right w:val="none" w:sz="0" w:space="0" w:color="auto"/>
              </w:divBdr>
              <w:divsChild>
                <w:div w:id="1802185923">
                  <w:marLeft w:val="0"/>
                  <w:marRight w:val="0"/>
                  <w:marTop w:val="0"/>
                  <w:marBottom w:val="0"/>
                  <w:divBdr>
                    <w:top w:val="none" w:sz="0" w:space="0" w:color="auto"/>
                    <w:left w:val="none" w:sz="0" w:space="0" w:color="auto"/>
                    <w:bottom w:val="none" w:sz="0" w:space="0" w:color="auto"/>
                    <w:right w:val="none" w:sz="0" w:space="0" w:color="auto"/>
                  </w:divBdr>
                  <w:divsChild>
                    <w:div w:id="556670463">
                      <w:marLeft w:val="0"/>
                      <w:marRight w:val="0"/>
                      <w:marTop w:val="120"/>
                      <w:marBottom w:val="0"/>
                      <w:divBdr>
                        <w:top w:val="none" w:sz="0" w:space="0" w:color="auto"/>
                        <w:left w:val="none" w:sz="0" w:space="0" w:color="auto"/>
                        <w:bottom w:val="none" w:sz="0" w:space="0" w:color="auto"/>
                        <w:right w:val="none" w:sz="0" w:space="0" w:color="auto"/>
                      </w:divBdr>
                    </w:div>
                    <w:div w:id="1094518520">
                      <w:marLeft w:val="0"/>
                      <w:marRight w:val="0"/>
                      <w:marTop w:val="0"/>
                      <w:marBottom w:val="0"/>
                      <w:divBdr>
                        <w:top w:val="none" w:sz="0" w:space="0" w:color="auto"/>
                        <w:left w:val="none" w:sz="0" w:space="0" w:color="auto"/>
                        <w:bottom w:val="none" w:sz="0" w:space="0" w:color="auto"/>
                        <w:right w:val="none" w:sz="0" w:space="0" w:color="auto"/>
                      </w:divBdr>
                    </w:div>
                  </w:divsChild>
                </w:div>
                <w:div w:id="1918855975">
                  <w:marLeft w:val="0"/>
                  <w:marRight w:val="0"/>
                  <w:marTop w:val="0"/>
                  <w:marBottom w:val="0"/>
                  <w:divBdr>
                    <w:top w:val="none" w:sz="0" w:space="0" w:color="auto"/>
                    <w:left w:val="none" w:sz="0" w:space="0" w:color="auto"/>
                    <w:bottom w:val="none" w:sz="0" w:space="0" w:color="auto"/>
                    <w:right w:val="none" w:sz="0" w:space="0" w:color="auto"/>
                  </w:divBdr>
                  <w:divsChild>
                    <w:div w:id="282007323">
                      <w:marLeft w:val="0"/>
                      <w:marRight w:val="0"/>
                      <w:marTop w:val="0"/>
                      <w:marBottom w:val="0"/>
                      <w:divBdr>
                        <w:top w:val="none" w:sz="0" w:space="0" w:color="auto"/>
                        <w:left w:val="none" w:sz="0" w:space="0" w:color="auto"/>
                        <w:bottom w:val="none" w:sz="0" w:space="0" w:color="auto"/>
                        <w:right w:val="none" w:sz="0" w:space="0" w:color="auto"/>
                      </w:divBdr>
                      <w:divsChild>
                        <w:div w:id="851332529">
                          <w:marLeft w:val="0"/>
                          <w:marRight w:val="0"/>
                          <w:marTop w:val="0"/>
                          <w:marBottom w:val="0"/>
                          <w:divBdr>
                            <w:top w:val="none" w:sz="0" w:space="0" w:color="auto"/>
                            <w:left w:val="none" w:sz="0" w:space="0" w:color="auto"/>
                            <w:bottom w:val="none" w:sz="0" w:space="0" w:color="auto"/>
                            <w:right w:val="none" w:sz="0" w:space="0" w:color="auto"/>
                          </w:divBdr>
                          <w:divsChild>
                            <w:div w:id="696614722">
                              <w:marLeft w:val="0"/>
                              <w:marRight w:val="0"/>
                              <w:marTop w:val="0"/>
                              <w:marBottom w:val="0"/>
                              <w:divBdr>
                                <w:top w:val="none" w:sz="0" w:space="0" w:color="auto"/>
                                <w:left w:val="none" w:sz="0" w:space="0" w:color="auto"/>
                                <w:bottom w:val="none" w:sz="0" w:space="0" w:color="auto"/>
                                <w:right w:val="none" w:sz="0" w:space="0" w:color="auto"/>
                              </w:divBdr>
                            </w:div>
                            <w:div w:id="1324770936">
                              <w:marLeft w:val="0"/>
                              <w:marRight w:val="0"/>
                              <w:marTop w:val="120"/>
                              <w:marBottom w:val="0"/>
                              <w:divBdr>
                                <w:top w:val="none" w:sz="0" w:space="0" w:color="auto"/>
                                <w:left w:val="none" w:sz="0" w:space="0" w:color="auto"/>
                                <w:bottom w:val="none" w:sz="0" w:space="0" w:color="auto"/>
                                <w:right w:val="none" w:sz="0" w:space="0" w:color="auto"/>
                              </w:divBdr>
                            </w:div>
                          </w:divsChild>
                        </w:div>
                        <w:div w:id="1339886144">
                          <w:marLeft w:val="0"/>
                          <w:marRight w:val="0"/>
                          <w:marTop w:val="0"/>
                          <w:marBottom w:val="0"/>
                          <w:divBdr>
                            <w:top w:val="none" w:sz="0" w:space="0" w:color="auto"/>
                            <w:left w:val="none" w:sz="0" w:space="0" w:color="auto"/>
                            <w:bottom w:val="none" w:sz="0" w:space="0" w:color="auto"/>
                            <w:right w:val="none" w:sz="0" w:space="0" w:color="auto"/>
                          </w:divBdr>
                          <w:divsChild>
                            <w:div w:id="508640703">
                              <w:marLeft w:val="0"/>
                              <w:marRight w:val="0"/>
                              <w:marTop w:val="0"/>
                              <w:marBottom w:val="0"/>
                              <w:divBdr>
                                <w:top w:val="none" w:sz="0" w:space="0" w:color="auto"/>
                                <w:left w:val="none" w:sz="0" w:space="0" w:color="auto"/>
                                <w:bottom w:val="none" w:sz="0" w:space="0" w:color="auto"/>
                                <w:right w:val="none" w:sz="0" w:space="0" w:color="auto"/>
                              </w:divBdr>
                            </w:div>
                            <w:div w:id="2016112118">
                              <w:marLeft w:val="0"/>
                              <w:marRight w:val="0"/>
                              <w:marTop w:val="120"/>
                              <w:marBottom w:val="0"/>
                              <w:divBdr>
                                <w:top w:val="none" w:sz="0" w:space="0" w:color="auto"/>
                                <w:left w:val="none" w:sz="0" w:space="0" w:color="auto"/>
                                <w:bottom w:val="none" w:sz="0" w:space="0" w:color="auto"/>
                                <w:right w:val="none" w:sz="0" w:space="0" w:color="auto"/>
                              </w:divBdr>
                            </w:div>
                          </w:divsChild>
                        </w:div>
                        <w:div w:id="1404179606">
                          <w:marLeft w:val="0"/>
                          <w:marRight w:val="0"/>
                          <w:marTop w:val="0"/>
                          <w:marBottom w:val="0"/>
                          <w:divBdr>
                            <w:top w:val="none" w:sz="0" w:space="0" w:color="auto"/>
                            <w:left w:val="none" w:sz="0" w:space="0" w:color="auto"/>
                            <w:bottom w:val="none" w:sz="0" w:space="0" w:color="auto"/>
                            <w:right w:val="none" w:sz="0" w:space="0" w:color="auto"/>
                          </w:divBdr>
                          <w:divsChild>
                            <w:div w:id="22749495">
                              <w:marLeft w:val="0"/>
                              <w:marRight w:val="0"/>
                              <w:marTop w:val="0"/>
                              <w:marBottom w:val="0"/>
                              <w:divBdr>
                                <w:top w:val="none" w:sz="0" w:space="0" w:color="auto"/>
                                <w:left w:val="none" w:sz="0" w:space="0" w:color="auto"/>
                                <w:bottom w:val="none" w:sz="0" w:space="0" w:color="auto"/>
                                <w:right w:val="none" w:sz="0" w:space="0" w:color="auto"/>
                              </w:divBdr>
                            </w:div>
                            <w:div w:id="1159809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8891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1360243">
          <w:marLeft w:val="0"/>
          <w:marRight w:val="0"/>
          <w:marTop w:val="0"/>
          <w:marBottom w:val="0"/>
          <w:divBdr>
            <w:top w:val="none" w:sz="0" w:space="0" w:color="auto"/>
            <w:left w:val="none" w:sz="0" w:space="0" w:color="auto"/>
            <w:bottom w:val="none" w:sz="0" w:space="0" w:color="auto"/>
            <w:right w:val="none" w:sz="0" w:space="0" w:color="auto"/>
          </w:divBdr>
          <w:divsChild>
            <w:div w:id="286397299">
              <w:marLeft w:val="0"/>
              <w:marRight w:val="0"/>
              <w:marTop w:val="0"/>
              <w:marBottom w:val="0"/>
              <w:divBdr>
                <w:top w:val="none" w:sz="0" w:space="0" w:color="auto"/>
                <w:left w:val="none" w:sz="0" w:space="0" w:color="auto"/>
                <w:bottom w:val="none" w:sz="0" w:space="0" w:color="auto"/>
                <w:right w:val="none" w:sz="0" w:space="0" w:color="auto"/>
              </w:divBdr>
            </w:div>
          </w:divsChild>
        </w:div>
        <w:div w:id="657416010">
          <w:marLeft w:val="0"/>
          <w:marRight w:val="0"/>
          <w:marTop w:val="0"/>
          <w:marBottom w:val="0"/>
          <w:divBdr>
            <w:top w:val="none" w:sz="0" w:space="0" w:color="auto"/>
            <w:left w:val="none" w:sz="0" w:space="0" w:color="auto"/>
            <w:bottom w:val="none" w:sz="0" w:space="0" w:color="auto"/>
            <w:right w:val="none" w:sz="0" w:space="0" w:color="auto"/>
          </w:divBdr>
          <w:divsChild>
            <w:div w:id="772408371">
              <w:marLeft w:val="0"/>
              <w:marRight w:val="0"/>
              <w:marTop w:val="0"/>
              <w:marBottom w:val="0"/>
              <w:divBdr>
                <w:top w:val="none" w:sz="0" w:space="0" w:color="auto"/>
                <w:left w:val="none" w:sz="0" w:space="0" w:color="auto"/>
                <w:bottom w:val="none" w:sz="0" w:space="0" w:color="auto"/>
                <w:right w:val="none" w:sz="0" w:space="0" w:color="auto"/>
              </w:divBdr>
            </w:div>
          </w:divsChild>
        </w:div>
        <w:div w:id="831457584">
          <w:marLeft w:val="0"/>
          <w:marRight w:val="0"/>
          <w:marTop w:val="0"/>
          <w:marBottom w:val="0"/>
          <w:divBdr>
            <w:top w:val="none" w:sz="0" w:space="0" w:color="auto"/>
            <w:left w:val="none" w:sz="0" w:space="0" w:color="auto"/>
            <w:bottom w:val="none" w:sz="0" w:space="0" w:color="auto"/>
            <w:right w:val="none" w:sz="0" w:space="0" w:color="auto"/>
          </w:divBdr>
          <w:divsChild>
            <w:div w:id="234894764">
              <w:marLeft w:val="0"/>
              <w:marRight w:val="0"/>
              <w:marTop w:val="0"/>
              <w:marBottom w:val="0"/>
              <w:divBdr>
                <w:top w:val="none" w:sz="0" w:space="0" w:color="auto"/>
                <w:left w:val="none" w:sz="0" w:space="0" w:color="auto"/>
                <w:bottom w:val="none" w:sz="0" w:space="0" w:color="auto"/>
                <w:right w:val="none" w:sz="0" w:space="0" w:color="auto"/>
              </w:divBdr>
            </w:div>
          </w:divsChild>
        </w:div>
        <w:div w:id="903755270">
          <w:marLeft w:val="0"/>
          <w:marRight w:val="0"/>
          <w:marTop w:val="0"/>
          <w:marBottom w:val="0"/>
          <w:divBdr>
            <w:top w:val="none" w:sz="0" w:space="0" w:color="auto"/>
            <w:left w:val="none" w:sz="0" w:space="0" w:color="auto"/>
            <w:bottom w:val="none" w:sz="0" w:space="0" w:color="auto"/>
            <w:right w:val="none" w:sz="0" w:space="0" w:color="auto"/>
          </w:divBdr>
          <w:divsChild>
            <w:div w:id="2038308127">
              <w:marLeft w:val="0"/>
              <w:marRight w:val="0"/>
              <w:marTop w:val="0"/>
              <w:marBottom w:val="0"/>
              <w:divBdr>
                <w:top w:val="none" w:sz="0" w:space="0" w:color="auto"/>
                <w:left w:val="none" w:sz="0" w:space="0" w:color="auto"/>
                <w:bottom w:val="none" w:sz="0" w:space="0" w:color="auto"/>
                <w:right w:val="none" w:sz="0" w:space="0" w:color="auto"/>
              </w:divBdr>
            </w:div>
          </w:divsChild>
        </w:div>
        <w:div w:id="948393871">
          <w:marLeft w:val="0"/>
          <w:marRight w:val="0"/>
          <w:marTop w:val="0"/>
          <w:marBottom w:val="0"/>
          <w:divBdr>
            <w:top w:val="none" w:sz="0" w:space="0" w:color="auto"/>
            <w:left w:val="none" w:sz="0" w:space="0" w:color="auto"/>
            <w:bottom w:val="none" w:sz="0" w:space="0" w:color="auto"/>
            <w:right w:val="none" w:sz="0" w:space="0" w:color="auto"/>
          </w:divBdr>
          <w:divsChild>
            <w:div w:id="80107871">
              <w:marLeft w:val="0"/>
              <w:marRight w:val="0"/>
              <w:marTop w:val="0"/>
              <w:marBottom w:val="0"/>
              <w:divBdr>
                <w:top w:val="none" w:sz="0" w:space="0" w:color="auto"/>
                <w:left w:val="none" w:sz="0" w:space="0" w:color="auto"/>
                <w:bottom w:val="none" w:sz="0" w:space="0" w:color="auto"/>
                <w:right w:val="none" w:sz="0" w:space="0" w:color="auto"/>
              </w:divBdr>
            </w:div>
          </w:divsChild>
        </w:div>
        <w:div w:id="1016882724">
          <w:marLeft w:val="0"/>
          <w:marRight w:val="0"/>
          <w:marTop w:val="0"/>
          <w:marBottom w:val="0"/>
          <w:divBdr>
            <w:top w:val="none" w:sz="0" w:space="0" w:color="auto"/>
            <w:left w:val="none" w:sz="0" w:space="0" w:color="auto"/>
            <w:bottom w:val="none" w:sz="0" w:space="0" w:color="auto"/>
            <w:right w:val="none" w:sz="0" w:space="0" w:color="auto"/>
          </w:divBdr>
          <w:divsChild>
            <w:div w:id="625703296">
              <w:marLeft w:val="0"/>
              <w:marRight w:val="0"/>
              <w:marTop w:val="0"/>
              <w:marBottom w:val="0"/>
              <w:divBdr>
                <w:top w:val="none" w:sz="0" w:space="0" w:color="auto"/>
                <w:left w:val="none" w:sz="0" w:space="0" w:color="auto"/>
                <w:bottom w:val="none" w:sz="0" w:space="0" w:color="auto"/>
                <w:right w:val="none" w:sz="0" w:space="0" w:color="auto"/>
              </w:divBdr>
            </w:div>
          </w:divsChild>
        </w:div>
        <w:div w:id="1021737852">
          <w:marLeft w:val="0"/>
          <w:marRight w:val="0"/>
          <w:marTop w:val="0"/>
          <w:marBottom w:val="0"/>
          <w:divBdr>
            <w:top w:val="none" w:sz="0" w:space="0" w:color="auto"/>
            <w:left w:val="none" w:sz="0" w:space="0" w:color="auto"/>
            <w:bottom w:val="none" w:sz="0" w:space="0" w:color="auto"/>
            <w:right w:val="none" w:sz="0" w:space="0" w:color="auto"/>
          </w:divBdr>
          <w:divsChild>
            <w:div w:id="391077159">
              <w:marLeft w:val="0"/>
              <w:marRight w:val="0"/>
              <w:marTop w:val="0"/>
              <w:marBottom w:val="0"/>
              <w:divBdr>
                <w:top w:val="none" w:sz="0" w:space="0" w:color="auto"/>
                <w:left w:val="none" w:sz="0" w:space="0" w:color="auto"/>
                <w:bottom w:val="none" w:sz="0" w:space="0" w:color="auto"/>
                <w:right w:val="none" w:sz="0" w:space="0" w:color="auto"/>
              </w:divBdr>
            </w:div>
          </w:divsChild>
        </w:div>
        <w:div w:id="1026098002">
          <w:marLeft w:val="0"/>
          <w:marRight w:val="0"/>
          <w:marTop w:val="0"/>
          <w:marBottom w:val="0"/>
          <w:divBdr>
            <w:top w:val="none" w:sz="0" w:space="0" w:color="auto"/>
            <w:left w:val="none" w:sz="0" w:space="0" w:color="auto"/>
            <w:bottom w:val="none" w:sz="0" w:space="0" w:color="auto"/>
            <w:right w:val="none" w:sz="0" w:space="0" w:color="auto"/>
          </w:divBdr>
          <w:divsChild>
            <w:div w:id="261690818">
              <w:marLeft w:val="0"/>
              <w:marRight w:val="0"/>
              <w:marTop w:val="0"/>
              <w:marBottom w:val="0"/>
              <w:divBdr>
                <w:top w:val="none" w:sz="0" w:space="0" w:color="auto"/>
                <w:left w:val="none" w:sz="0" w:space="0" w:color="auto"/>
                <w:bottom w:val="none" w:sz="0" w:space="0" w:color="auto"/>
                <w:right w:val="none" w:sz="0" w:space="0" w:color="auto"/>
              </w:divBdr>
            </w:div>
          </w:divsChild>
        </w:div>
        <w:div w:id="1103037187">
          <w:marLeft w:val="0"/>
          <w:marRight w:val="0"/>
          <w:marTop w:val="0"/>
          <w:marBottom w:val="0"/>
          <w:divBdr>
            <w:top w:val="none" w:sz="0" w:space="0" w:color="auto"/>
            <w:left w:val="none" w:sz="0" w:space="0" w:color="auto"/>
            <w:bottom w:val="none" w:sz="0" w:space="0" w:color="auto"/>
            <w:right w:val="none" w:sz="0" w:space="0" w:color="auto"/>
          </w:divBdr>
          <w:divsChild>
            <w:div w:id="297876029">
              <w:marLeft w:val="0"/>
              <w:marRight w:val="0"/>
              <w:marTop w:val="0"/>
              <w:marBottom w:val="0"/>
              <w:divBdr>
                <w:top w:val="none" w:sz="0" w:space="0" w:color="auto"/>
                <w:left w:val="none" w:sz="0" w:space="0" w:color="auto"/>
                <w:bottom w:val="none" w:sz="0" w:space="0" w:color="auto"/>
                <w:right w:val="none" w:sz="0" w:space="0" w:color="auto"/>
              </w:divBdr>
            </w:div>
          </w:divsChild>
        </w:div>
        <w:div w:id="1114251682">
          <w:marLeft w:val="0"/>
          <w:marRight w:val="0"/>
          <w:marTop w:val="0"/>
          <w:marBottom w:val="0"/>
          <w:divBdr>
            <w:top w:val="none" w:sz="0" w:space="0" w:color="auto"/>
            <w:left w:val="none" w:sz="0" w:space="0" w:color="auto"/>
            <w:bottom w:val="none" w:sz="0" w:space="0" w:color="auto"/>
            <w:right w:val="none" w:sz="0" w:space="0" w:color="auto"/>
          </w:divBdr>
          <w:divsChild>
            <w:div w:id="454905439">
              <w:marLeft w:val="0"/>
              <w:marRight w:val="0"/>
              <w:marTop w:val="0"/>
              <w:marBottom w:val="0"/>
              <w:divBdr>
                <w:top w:val="none" w:sz="0" w:space="0" w:color="auto"/>
                <w:left w:val="none" w:sz="0" w:space="0" w:color="auto"/>
                <w:bottom w:val="none" w:sz="0" w:space="0" w:color="auto"/>
                <w:right w:val="none" w:sz="0" w:space="0" w:color="auto"/>
              </w:divBdr>
              <w:divsChild>
                <w:div w:id="471755761">
                  <w:marLeft w:val="0"/>
                  <w:marRight w:val="0"/>
                  <w:marTop w:val="0"/>
                  <w:marBottom w:val="0"/>
                  <w:divBdr>
                    <w:top w:val="none" w:sz="0" w:space="0" w:color="auto"/>
                    <w:left w:val="none" w:sz="0" w:space="0" w:color="auto"/>
                    <w:bottom w:val="none" w:sz="0" w:space="0" w:color="auto"/>
                    <w:right w:val="none" w:sz="0" w:space="0" w:color="auto"/>
                  </w:divBdr>
                  <w:divsChild>
                    <w:div w:id="414976085">
                      <w:marLeft w:val="0"/>
                      <w:marRight w:val="0"/>
                      <w:marTop w:val="120"/>
                      <w:marBottom w:val="0"/>
                      <w:divBdr>
                        <w:top w:val="none" w:sz="0" w:space="0" w:color="auto"/>
                        <w:left w:val="none" w:sz="0" w:space="0" w:color="auto"/>
                        <w:bottom w:val="none" w:sz="0" w:space="0" w:color="auto"/>
                        <w:right w:val="none" w:sz="0" w:space="0" w:color="auto"/>
                      </w:divBdr>
                    </w:div>
                    <w:div w:id="658458519">
                      <w:marLeft w:val="0"/>
                      <w:marRight w:val="0"/>
                      <w:marTop w:val="0"/>
                      <w:marBottom w:val="0"/>
                      <w:divBdr>
                        <w:top w:val="none" w:sz="0" w:space="0" w:color="auto"/>
                        <w:left w:val="none" w:sz="0" w:space="0" w:color="auto"/>
                        <w:bottom w:val="none" w:sz="0" w:space="0" w:color="auto"/>
                        <w:right w:val="none" w:sz="0" w:space="0" w:color="auto"/>
                      </w:divBdr>
                    </w:div>
                  </w:divsChild>
                </w:div>
                <w:div w:id="485560165">
                  <w:marLeft w:val="0"/>
                  <w:marRight w:val="0"/>
                  <w:marTop w:val="0"/>
                  <w:marBottom w:val="0"/>
                  <w:divBdr>
                    <w:top w:val="none" w:sz="0" w:space="0" w:color="auto"/>
                    <w:left w:val="none" w:sz="0" w:space="0" w:color="auto"/>
                    <w:bottom w:val="none" w:sz="0" w:space="0" w:color="auto"/>
                    <w:right w:val="none" w:sz="0" w:space="0" w:color="auto"/>
                  </w:divBdr>
                  <w:divsChild>
                    <w:div w:id="797526327">
                      <w:marLeft w:val="0"/>
                      <w:marRight w:val="0"/>
                      <w:marTop w:val="120"/>
                      <w:marBottom w:val="0"/>
                      <w:divBdr>
                        <w:top w:val="none" w:sz="0" w:space="0" w:color="auto"/>
                        <w:left w:val="none" w:sz="0" w:space="0" w:color="auto"/>
                        <w:bottom w:val="none" w:sz="0" w:space="0" w:color="auto"/>
                        <w:right w:val="none" w:sz="0" w:space="0" w:color="auto"/>
                      </w:divBdr>
                    </w:div>
                    <w:div w:id="17014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134">
          <w:marLeft w:val="0"/>
          <w:marRight w:val="0"/>
          <w:marTop w:val="0"/>
          <w:marBottom w:val="0"/>
          <w:divBdr>
            <w:top w:val="none" w:sz="0" w:space="0" w:color="auto"/>
            <w:left w:val="none" w:sz="0" w:space="0" w:color="auto"/>
            <w:bottom w:val="none" w:sz="0" w:space="0" w:color="auto"/>
            <w:right w:val="none" w:sz="0" w:space="0" w:color="auto"/>
          </w:divBdr>
          <w:divsChild>
            <w:div w:id="81608170">
              <w:marLeft w:val="0"/>
              <w:marRight w:val="0"/>
              <w:marTop w:val="0"/>
              <w:marBottom w:val="0"/>
              <w:divBdr>
                <w:top w:val="none" w:sz="0" w:space="0" w:color="auto"/>
                <w:left w:val="none" w:sz="0" w:space="0" w:color="auto"/>
                <w:bottom w:val="none" w:sz="0" w:space="0" w:color="auto"/>
                <w:right w:val="none" w:sz="0" w:space="0" w:color="auto"/>
              </w:divBdr>
            </w:div>
          </w:divsChild>
        </w:div>
        <w:div w:id="1209417186">
          <w:marLeft w:val="0"/>
          <w:marRight w:val="0"/>
          <w:marTop w:val="0"/>
          <w:marBottom w:val="0"/>
          <w:divBdr>
            <w:top w:val="none" w:sz="0" w:space="0" w:color="auto"/>
            <w:left w:val="none" w:sz="0" w:space="0" w:color="auto"/>
            <w:bottom w:val="none" w:sz="0" w:space="0" w:color="auto"/>
            <w:right w:val="none" w:sz="0" w:space="0" w:color="auto"/>
          </w:divBdr>
          <w:divsChild>
            <w:div w:id="1086729521">
              <w:marLeft w:val="0"/>
              <w:marRight w:val="0"/>
              <w:marTop w:val="0"/>
              <w:marBottom w:val="0"/>
              <w:divBdr>
                <w:top w:val="none" w:sz="0" w:space="0" w:color="auto"/>
                <w:left w:val="none" w:sz="0" w:space="0" w:color="auto"/>
                <w:bottom w:val="none" w:sz="0" w:space="0" w:color="auto"/>
                <w:right w:val="none" w:sz="0" w:space="0" w:color="auto"/>
              </w:divBdr>
            </w:div>
          </w:divsChild>
        </w:div>
        <w:div w:id="1271738313">
          <w:marLeft w:val="0"/>
          <w:marRight w:val="0"/>
          <w:marTop w:val="0"/>
          <w:marBottom w:val="0"/>
          <w:divBdr>
            <w:top w:val="none" w:sz="0" w:space="0" w:color="auto"/>
            <w:left w:val="none" w:sz="0" w:space="0" w:color="auto"/>
            <w:bottom w:val="none" w:sz="0" w:space="0" w:color="auto"/>
            <w:right w:val="none" w:sz="0" w:space="0" w:color="auto"/>
          </w:divBdr>
          <w:divsChild>
            <w:div w:id="838547155">
              <w:marLeft w:val="0"/>
              <w:marRight w:val="0"/>
              <w:marTop w:val="0"/>
              <w:marBottom w:val="0"/>
              <w:divBdr>
                <w:top w:val="none" w:sz="0" w:space="0" w:color="auto"/>
                <w:left w:val="none" w:sz="0" w:space="0" w:color="auto"/>
                <w:bottom w:val="none" w:sz="0" w:space="0" w:color="auto"/>
                <w:right w:val="none" w:sz="0" w:space="0" w:color="auto"/>
              </w:divBdr>
            </w:div>
            <w:div w:id="2071880335">
              <w:marLeft w:val="0"/>
              <w:marRight w:val="0"/>
              <w:marTop w:val="120"/>
              <w:marBottom w:val="0"/>
              <w:divBdr>
                <w:top w:val="none" w:sz="0" w:space="0" w:color="auto"/>
                <w:left w:val="none" w:sz="0" w:space="0" w:color="auto"/>
                <w:bottom w:val="none" w:sz="0" w:space="0" w:color="auto"/>
                <w:right w:val="none" w:sz="0" w:space="0" w:color="auto"/>
              </w:divBdr>
            </w:div>
          </w:divsChild>
        </w:div>
        <w:div w:id="1278295863">
          <w:marLeft w:val="0"/>
          <w:marRight w:val="0"/>
          <w:marTop w:val="0"/>
          <w:marBottom w:val="0"/>
          <w:divBdr>
            <w:top w:val="none" w:sz="0" w:space="0" w:color="auto"/>
            <w:left w:val="none" w:sz="0" w:space="0" w:color="auto"/>
            <w:bottom w:val="none" w:sz="0" w:space="0" w:color="auto"/>
            <w:right w:val="none" w:sz="0" w:space="0" w:color="auto"/>
          </w:divBdr>
          <w:divsChild>
            <w:div w:id="538779882">
              <w:marLeft w:val="0"/>
              <w:marRight w:val="0"/>
              <w:marTop w:val="0"/>
              <w:marBottom w:val="0"/>
              <w:divBdr>
                <w:top w:val="none" w:sz="0" w:space="0" w:color="auto"/>
                <w:left w:val="none" w:sz="0" w:space="0" w:color="auto"/>
                <w:bottom w:val="none" w:sz="0" w:space="0" w:color="auto"/>
                <w:right w:val="none" w:sz="0" w:space="0" w:color="auto"/>
              </w:divBdr>
            </w:div>
          </w:divsChild>
        </w:div>
        <w:div w:id="1309286937">
          <w:marLeft w:val="0"/>
          <w:marRight w:val="0"/>
          <w:marTop w:val="0"/>
          <w:marBottom w:val="0"/>
          <w:divBdr>
            <w:top w:val="none" w:sz="0" w:space="0" w:color="auto"/>
            <w:left w:val="none" w:sz="0" w:space="0" w:color="auto"/>
            <w:bottom w:val="none" w:sz="0" w:space="0" w:color="auto"/>
            <w:right w:val="none" w:sz="0" w:space="0" w:color="auto"/>
          </w:divBdr>
          <w:divsChild>
            <w:div w:id="1339235956">
              <w:marLeft w:val="0"/>
              <w:marRight w:val="0"/>
              <w:marTop w:val="0"/>
              <w:marBottom w:val="0"/>
              <w:divBdr>
                <w:top w:val="none" w:sz="0" w:space="0" w:color="auto"/>
                <w:left w:val="none" w:sz="0" w:space="0" w:color="auto"/>
                <w:bottom w:val="none" w:sz="0" w:space="0" w:color="auto"/>
                <w:right w:val="none" w:sz="0" w:space="0" w:color="auto"/>
              </w:divBdr>
            </w:div>
          </w:divsChild>
        </w:div>
        <w:div w:id="1330139085">
          <w:marLeft w:val="0"/>
          <w:marRight w:val="0"/>
          <w:marTop w:val="0"/>
          <w:marBottom w:val="0"/>
          <w:divBdr>
            <w:top w:val="none" w:sz="0" w:space="0" w:color="auto"/>
            <w:left w:val="none" w:sz="0" w:space="0" w:color="auto"/>
            <w:bottom w:val="none" w:sz="0" w:space="0" w:color="auto"/>
            <w:right w:val="none" w:sz="0" w:space="0" w:color="auto"/>
          </w:divBdr>
          <w:divsChild>
            <w:div w:id="848061532">
              <w:marLeft w:val="0"/>
              <w:marRight w:val="0"/>
              <w:marTop w:val="0"/>
              <w:marBottom w:val="0"/>
              <w:divBdr>
                <w:top w:val="none" w:sz="0" w:space="0" w:color="auto"/>
                <w:left w:val="none" w:sz="0" w:space="0" w:color="auto"/>
                <w:bottom w:val="none" w:sz="0" w:space="0" w:color="auto"/>
                <w:right w:val="none" w:sz="0" w:space="0" w:color="auto"/>
              </w:divBdr>
            </w:div>
          </w:divsChild>
        </w:div>
        <w:div w:id="1410152499">
          <w:marLeft w:val="0"/>
          <w:marRight w:val="0"/>
          <w:marTop w:val="0"/>
          <w:marBottom w:val="0"/>
          <w:divBdr>
            <w:top w:val="none" w:sz="0" w:space="0" w:color="auto"/>
            <w:left w:val="none" w:sz="0" w:space="0" w:color="auto"/>
            <w:bottom w:val="none" w:sz="0" w:space="0" w:color="auto"/>
            <w:right w:val="none" w:sz="0" w:space="0" w:color="auto"/>
          </w:divBdr>
          <w:divsChild>
            <w:div w:id="116342580">
              <w:marLeft w:val="0"/>
              <w:marRight w:val="0"/>
              <w:marTop w:val="0"/>
              <w:marBottom w:val="0"/>
              <w:divBdr>
                <w:top w:val="none" w:sz="0" w:space="0" w:color="auto"/>
                <w:left w:val="none" w:sz="0" w:space="0" w:color="auto"/>
                <w:bottom w:val="none" w:sz="0" w:space="0" w:color="auto"/>
                <w:right w:val="none" w:sz="0" w:space="0" w:color="auto"/>
              </w:divBdr>
            </w:div>
            <w:div w:id="252671685">
              <w:marLeft w:val="0"/>
              <w:marRight w:val="0"/>
              <w:marTop w:val="120"/>
              <w:marBottom w:val="0"/>
              <w:divBdr>
                <w:top w:val="none" w:sz="0" w:space="0" w:color="auto"/>
                <w:left w:val="none" w:sz="0" w:space="0" w:color="auto"/>
                <w:bottom w:val="none" w:sz="0" w:space="0" w:color="auto"/>
                <w:right w:val="none" w:sz="0" w:space="0" w:color="auto"/>
              </w:divBdr>
            </w:div>
          </w:divsChild>
        </w:div>
        <w:div w:id="1482308359">
          <w:marLeft w:val="0"/>
          <w:marRight w:val="0"/>
          <w:marTop w:val="0"/>
          <w:marBottom w:val="0"/>
          <w:divBdr>
            <w:top w:val="none" w:sz="0" w:space="0" w:color="auto"/>
            <w:left w:val="none" w:sz="0" w:space="0" w:color="auto"/>
            <w:bottom w:val="none" w:sz="0" w:space="0" w:color="auto"/>
            <w:right w:val="none" w:sz="0" w:space="0" w:color="auto"/>
          </w:divBdr>
          <w:divsChild>
            <w:div w:id="1672294259">
              <w:marLeft w:val="0"/>
              <w:marRight w:val="0"/>
              <w:marTop w:val="0"/>
              <w:marBottom w:val="0"/>
              <w:divBdr>
                <w:top w:val="none" w:sz="0" w:space="0" w:color="auto"/>
                <w:left w:val="none" w:sz="0" w:space="0" w:color="auto"/>
                <w:bottom w:val="none" w:sz="0" w:space="0" w:color="auto"/>
                <w:right w:val="none" w:sz="0" w:space="0" w:color="auto"/>
              </w:divBdr>
              <w:divsChild>
                <w:div w:id="106630745">
                  <w:marLeft w:val="0"/>
                  <w:marRight w:val="0"/>
                  <w:marTop w:val="0"/>
                  <w:marBottom w:val="0"/>
                  <w:divBdr>
                    <w:top w:val="none" w:sz="0" w:space="0" w:color="auto"/>
                    <w:left w:val="none" w:sz="0" w:space="0" w:color="auto"/>
                    <w:bottom w:val="none" w:sz="0" w:space="0" w:color="auto"/>
                    <w:right w:val="none" w:sz="0" w:space="0" w:color="auto"/>
                  </w:divBdr>
                  <w:divsChild>
                    <w:div w:id="1246039445">
                      <w:marLeft w:val="0"/>
                      <w:marRight w:val="0"/>
                      <w:marTop w:val="0"/>
                      <w:marBottom w:val="0"/>
                      <w:divBdr>
                        <w:top w:val="none" w:sz="0" w:space="0" w:color="auto"/>
                        <w:left w:val="none" w:sz="0" w:space="0" w:color="auto"/>
                        <w:bottom w:val="none" w:sz="0" w:space="0" w:color="auto"/>
                        <w:right w:val="none" w:sz="0" w:space="0" w:color="auto"/>
                      </w:divBdr>
                    </w:div>
                    <w:div w:id="1362123417">
                      <w:marLeft w:val="0"/>
                      <w:marRight w:val="0"/>
                      <w:marTop w:val="120"/>
                      <w:marBottom w:val="0"/>
                      <w:divBdr>
                        <w:top w:val="none" w:sz="0" w:space="0" w:color="auto"/>
                        <w:left w:val="none" w:sz="0" w:space="0" w:color="auto"/>
                        <w:bottom w:val="none" w:sz="0" w:space="0" w:color="auto"/>
                        <w:right w:val="none" w:sz="0" w:space="0" w:color="auto"/>
                      </w:divBdr>
                    </w:div>
                  </w:divsChild>
                </w:div>
                <w:div w:id="190384888">
                  <w:marLeft w:val="0"/>
                  <w:marRight w:val="0"/>
                  <w:marTop w:val="0"/>
                  <w:marBottom w:val="0"/>
                  <w:divBdr>
                    <w:top w:val="none" w:sz="0" w:space="0" w:color="auto"/>
                    <w:left w:val="none" w:sz="0" w:space="0" w:color="auto"/>
                    <w:bottom w:val="none" w:sz="0" w:space="0" w:color="auto"/>
                    <w:right w:val="none" w:sz="0" w:space="0" w:color="auto"/>
                  </w:divBdr>
                  <w:divsChild>
                    <w:div w:id="1063337511">
                      <w:marLeft w:val="0"/>
                      <w:marRight w:val="0"/>
                      <w:marTop w:val="0"/>
                      <w:marBottom w:val="0"/>
                      <w:divBdr>
                        <w:top w:val="none" w:sz="0" w:space="0" w:color="auto"/>
                        <w:left w:val="none" w:sz="0" w:space="0" w:color="auto"/>
                        <w:bottom w:val="none" w:sz="0" w:space="0" w:color="auto"/>
                        <w:right w:val="none" w:sz="0" w:space="0" w:color="auto"/>
                      </w:divBdr>
                    </w:div>
                    <w:div w:id="1100640145">
                      <w:marLeft w:val="0"/>
                      <w:marRight w:val="0"/>
                      <w:marTop w:val="120"/>
                      <w:marBottom w:val="0"/>
                      <w:divBdr>
                        <w:top w:val="none" w:sz="0" w:space="0" w:color="auto"/>
                        <w:left w:val="none" w:sz="0" w:space="0" w:color="auto"/>
                        <w:bottom w:val="none" w:sz="0" w:space="0" w:color="auto"/>
                        <w:right w:val="none" w:sz="0" w:space="0" w:color="auto"/>
                      </w:divBdr>
                    </w:div>
                  </w:divsChild>
                </w:div>
                <w:div w:id="377364114">
                  <w:marLeft w:val="0"/>
                  <w:marRight w:val="0"/>
                  <w:marTop w:val="0"/>
                  <w:marBottom w:val="0"/>
                  <w:divBdr>
                    <w:top w:val="none" w:sz="0" w:space="0" w:color="auto"/>
                    <w:left w:val="none" w:sz="0" w:space="0" w:color="auto"/>
                    <w:bottom w:val="none" w:sz="0" w:space="0" w:color="auto"/>
                    <w:right w:val="none" w:sz="0" w:space="0" w:color="auto"/>
                  </w:divBdr>
                  <w:divsChild>
                    <w:div w:id="1213422475">
                      <w:marLeft w:val="0"/>
                      <w:marRight w:val="0"/>
                      <w:marTop w:val="0"/>
                      <w:marBottom w:val="0"/>
                      <w:divBdr>
                        <w:top w:val="none" w:sz="0" w:space="0" w:color="auto"/>
                        <w:left w:val="none" w:sz="0" w:space="0" w:color="auto"/>
                        <w:bottom w:val="none" w:sz="0" w:space="0" w:color="auto"/>
                        <w:right w:val="none" w:sz="0" w:space="0" w:color="auto"/>
                      </w:divBdr>
                    </w:div>
                    <w:div w:id="1214003092">
                      <w:marLeft w:val="0"/>
                      <w:marRight w:val="0"/>
                      <w:marTop w:val="120"/>
                      <w:marBottom w:val="0"/>
                      <w:divBdr>
                        <w:top w:val="none" w:sz="0" w:space="0" w:color="auto"/>
                        <w:left w:val="none" w:sz="0" w:space="0" w:color="auto"/>
                        <w:bottom w:val="none" w:sz="0" w:space="0" w:color="auto"/>
                        <w:right w:val="none" w:sz="0" w:space="0" w:color="auto"/>
                      </w:divBdr>
                    </w:div>
                  </w:divsChild>
                </w:div>
                <w:div w:id="531847079">
                  <w:marLeft w:val="0"/>
                  <w:marRight w:val="0"/>
                  <w:marTop w:val="0"/>
                  <w:marBottom w:val="0"/>
                  <w:divBdr>
                    <w:top w:val="none" w:sz="0" w:space="0" w:color="auto"/>
                    <w:left w:val="none" w:sz="0" w:space="0" w:color="auto"/>
                    <w:bottom w:val="none" w:sz="0" w:space="0" w:color="auto"/>
                    <w:right w:val="none" w:sz="0" w:space="0" w:color="auto"/>
                  </w:divBdr>
                  <w:divsChild>
                    <w:div w:id="1137911164">
                      <w:marLeft w:val="0"/>
                      <w:marRight w:val="0"/>
                      <w:marTop w:val="0"/>
                      <w:marBottom w:val="0"/>
                      <w:divBdr>
                        <w:top w:val="none" w:sz="0" w:space="0" w:color="auto"/>
                        <w:left w:val="none" w:sz="0" w:space="0" w:color="auto"/>
                        <w:bottom w:val="none" w:sz="0" w:space="0" w:color="auto"/>
                        <w:right w:val="none" w:sz="0" w:space="0" w:color="auto"/>
                      </w:divBdr>
                    </w:div>
                    <w:div w:id="2147156837">
                      <w:marLeft w:val="0"/>
                      <w:marRight w:val="0"/>
                      <w:marTop w:val="120"/>
                      <w:marBottom w:val="0"/>
                      <w:divBdr>
                        <w:top w:val="none" w:sz="0" w:space="0" w:color="auto"/>
                        <w:left w:val="none" w:sz="0" w:space="0" w:color="auto"/>
                        <w:bottom w:val="none" w:sz="0" w:space="0" w:color="auto"/>
                        <w:right w:val="none" w:sz="0" w:space="0" w:color="auto"/>
                      </w:divBdr>
                    </w:div>
                  </w:divsChild>
                </w:div>
                <w:div w:id="652224843">
                  <w:marLeft w:val="0"/>
                  <w:marRight w:val="0"/>
                  <w:marTop w:val="0"/>
                  <w:marBottom w:val="0"/>
                  <w:divBdr>
                    <w:top w:val="none" w:sz="0" w:space="0" w:color="auto"/>
                    <w:left w:val="none" w:sz="0" w:space="0" w:color="auto"/>
                    <w:bottom w:val="none" w:sz="0" w:space="0" w:color="auto"/>
                    <w:right w:val="none" w:sz="0" w:space="0" w:color="auto"/>
                  </w:divBdr>
                  <w:divsChild>
                    <w:div w:id="391657493">
                      <w:marLeft w:val="0"/>
                      <w:marRight w:val="0"/>
                      <w:marTop w:val="0"/>
                      <w:marBottom w:val="0"/>
                      <w:divBdr>
                        <w:top w:val="none" w:sz="0" w:space="0" w:color="auto"/>
                        <w:left w:val="none" w:sz="0" w:space="0" w:color="auto"/>
                        <w:bottom w:val="none" w:sz="0" w:space="0" w:color="auto"/>
                        <w:right w:val="none" w:sz="0" w:space="0" w:color="auto"/>
                      </w:divBdr>
                    </w:div>
                    <w:div w:id="1141265625">
                      <w:marLeft w:val="0"/>
                      <w:marRight w:val="0"/>
                      <w:marTop w:val="120"/>
                      <w:marBottom w:val="0"/>
                      <w:divBdr>
                        <w:top w:val="none" w:sz="0" w:space="0" w:color="auto"/>
                        <w:left w:val="none" w:sz="0" w:space="0" w:color="auto"/>
                        <w:bottom w:val="none" w:sz="0" w:space="0" w:color="auto"/>
                        <w:right w:val="none" w:sz="0" w:space="0" w:color="auto"/>
                      </w:divBdr>
                    </w:div>
                  </w:divsChild>
                </w:div>
                <w:div w:id="1254900441">
                  <w:marLeft w:val="0"/>
                  <w:marRight w:val="0"/>
                  <w:marTop w:val="0"/>
                  <w:marBottom w:val="0"/>
                  <w:divBdr>
                    <w:top w:val="none" w:sz="0" w:space="0" w:color="auto"/>
                    <w:left w:val="none" w:sz="0" w:space="0" w:color="auto"/>
                    <w:bottom w:val="none" w:sz="0" w:space="0" w:color="auto"/>
                    <w:right w:val="none" w:sz="0" w:space="0" w:color="auto"/>
                  </w:divBdr>
                  <w:divsChild>
                    <w:div w:id="379788348">
                      <w:marLeft w:val="0"/>
                      <w:marRight w:val="0"/>
                      <w:marTop w:val="0"/>
                      <w:marBottom w:val="0"/>
                      <w:divBdr>
                        <w:top w:val="none" w:sz="0" w:space="0" w:color="auto"/>
                        <w:left w:val="none" w:sz="0" w:space="0" w:color="auto"/>
                        <w:bottom w:val="none" w:sz="0" w:space="0" w:color="auto"/>
                        <w:right w:val="none" w:sz="0" w:space="0" w:color="auto"/>
                      </w:divBdr>
                    </w:div>
                    <w:div w:id="1663853272">
                      <w:marLeft w:val="0"/>
                      <w:marRight w:val="0"/>
                      <w:marTop w:val="120"/>
                      <w:marBottom w:val="0"/>
                      <w:divBdr>
                        <w:top w:val="none" w:sz="0" w:space="0" w:color="auto"/>
                        <w:left w:val="none" w:sz="0" w:space="0" w:color="auto"/>
                        <w:bottom w:val="none" w:sz="0" w:space="0" w:color="auto"/>
                        <w:right w:val="none" w:sz="0" w:space="0" w:color="auto"/>
                      </w:divBdr>
                    </w:div>
                  </w:divsChild>
                </w:div>
                <w:div w:id="1380741443">
                  <w:marLeft w:val="0"/>
                  <w:marRight w:val="0"/>
                  <w:marTop w:val="0"/>
                  <w:marBottom w:val="0"/>
                  <w:divBdr>
                    <w:top w:val="none" w:sz="0" w:space="0" w:color="auto"/>
                    <w:left w:val="none" w:sz="0" w:space="0" w:color="auto"/>
                    <w:bottom w:val="none" w:sz="0" w:space="0" w:color="auto"/>
                    <w:right w:val="none" w:sz="0" w:space="0" w:color="auto"/>
                  </w:divBdr>
                  <w:divsChild>
                    <w:div w:id="1029329859">
                      <w:marLeft w:val="0"/>
                      <w:marRight w:val="0"/>
                      <w:marTop w:val="120"/>
                      <w:marBottom w:val="0"/>
                      <w:divBdr>
                        <w:top w:val="none" w:sz="0" w:space="0" w:color="auto"/>
                        <w:left w:val="none" w:sz="0" w:space="0" w:color="auto"/>
                        <w:bottom w:val="none" w:sz="0" w:space="0" w:color="auto"/>
                        <w:right w:val="none" w:sz="0" w:space="0" w:color="auto"/>
                      </w:divBdr>
                    </w:div>
                    <w:div w:id="2141221348">
                      <w:marLeft w:val="0"/>
                      <w:marRight w:val="0"/>
                      <w:marTop w:val="0"/>
                      <w:marBottom w:val="0"/>
                      <w:divBdr>
                        <w:top w:val="none" w:sz="0" w:space="0" w:color="auto"/>
                        <w:left w:val="none" w:sz="0" w:space="0" w:color="auto"/>
                        <w:bottom w:val="none" w:sz="0" w:space="0" w:color="auto"/>
                        <w:right w:val="none" w:sz="0" w:space="0" w:color="auto"/>
                      </w:divBdr>
                    </w:div>
                  </w:divsChild>
                </w:div>
                <w:div w:id="1729454045">
                  <w:marLeft w:val="0"/>
                  <w:marRight w:val="0"/>
                  <w:marTop w:val="0"/>
                  <w:marBottom w:val="0"/>
                  <w:divBdr>
                    <w:top w:val="none" w:sz="0" w:space="0" w:color="auto"/>
                    <w:left w:val="none" w:sz="0" w:space="0" w:color="auto"/>
                    <w:bottom w:val="none" w:sz="0" w:space="0" w:color="auto"/>
                    <w:right w:val="none" w:sz="0" w:space="0" w:color="auto"/>
                  </w:divBdr>
                  <w:divsChild>
                    <w:div w:id="508984815">
                      <w:marLeft w:val="0"/>
                      <w:marRight w:val="0"/>
                      <w:marTop w:val="0"/>
                      <w:marBottom w:val="0"/>
                      <w:divBdr>
                        <w:top w:val="none" w:sz="0" w:space="0" w:color="auto"/>
                        <w:left w:val="none" w:sz="0" w:space="0" w:color="auto"/>
                        <w:bottom w:val="none" w:sz="0" w:space="0" w:color="auto"/>
                        <w:right w:val="none" w:sz="0" w:space="0" w:color="auto"/>
                      </w:divBdr>
                    </w:div>
                    <w:div w:id="1927574870">
                      <w:marLeft w:val="0"/>
                      <w:marRight w:val="0"/>
                      <w:marTop w:val="120"/>
                      <w:marBottom w:val="0"/>
                      <w:divBdr>
                        <w:top w:val="none" w:sz="0" w:space="0" w:color="auto"/>
                        <w:left w:val="none" w:sz="0" w:space="0" w:color="auto"/>
                        <w:bottom w:val="none" w:sz="0" w:space="0" w:color="auto"/>
                        <w:right w:val="none" w:sz="0" w:space="0" w:color="auto"/>
                      </w:divBdr>
                    </w:div>
                  </w:divsChild>
                </w:div>
                <w:div w:id="1761750262">
                  <w:marLeft w:val="0"/>
                  <w:marRight w:val="0"/>
                  <w:marTop w:val="0"/>
                  <w:marBottom w:val="0"/>
                  <w:divBdr>
                    <w:top w:val="none" w:sz="0" w:space="0" w:color="auto"/>
                    <w:left w:val="none" w:sz="0" w:space="0" w:color="auto"/>
                    <w:bottom w:val="none" w:sz="0" w:space="0" w:color="auto"/>
                    <w:right w:val="none" w:sz="0" w:space="0" w:color="auto"/>
                  </w:divBdr>
                  <w:divsChild>
                    <w:div w:id="576787894">
                      <w:marLeft w:val="0"/>
                      <w:marRight w:val="0"/>
                      <w:marTop w:val="120"/>
                      <w:marBottom w:val="0"/>
                      <w:divBdr>
                        <w:top w:val="none" w:sz="0" w:space="0" w:color="auto"/>
                        <w:left w:val="none" w:sz="0" w:space="0" w:color="auto"/>
                        <w:bottom w:val="none" w:sz="0" w:space="0" w:color="auto"/>
                        <w:right w:val="none" w:sz="0" w:space="0" w:color="auto"/>
                      </w:divBdr>
                    </w:div>
                    <w:div w:id="2115781199">
                      <w:marLeft w:val="0"/>
                      <w:marRight w:val="0"/>
                      <w:marTop w:val="0"/>
                      <w:marBottom w:val="0"/>
                      <w:divBdr>
                        <w:top w:val="none" w:sz="0" w:space="0" w:color="auto"/>
                        <w:left w:val="none" w:sz="0" w:space="0" w:color="auto"/>
                        <w:bottom w:val="none" w:sz="0" w:space="0" w:color="auto"/>
                        <w:right w:val="none" w:sz="0" w:space="0" w:color="auto"/>
                      </w:divBdr>
                    </w:div>
                  </w:divsChild>
                </w:div>
                <w:div w:id="1780568470">
                  <w:marLeft w:val="0"/>
                  <w:marRight w:val="0"/>
                  <w:marTop w:val="0"/>
                  <w:marBottom w:val="0"/>
                  <w:divBdr>
                    <w:top w:val="none" w:sz="0" w:space="0" w:color="auto"/>
                    <w:left w:val="none" w:sz="0" w:space="0" w:color="auto"/>
                    <w:bottom w:val="none" w:sz="0" w:space="0" w:color="auto"/>
                    <w:right w:val="none" w:sz="0" w:space="0" w:color="auto"/>
                  </w:divBdr>
                  <w:divsChild>
                    <w:div w:id="1188912197">
                      <w:marLeft w:val="0"/>
                      <w:marRight w:val="0"/>
                      <w:marTop w:val="0"/>
                      <w:marBottom w:val="0"/>
                      <w:divBdr>
                        <w:top w:val="none" w:sz="0" w:space="0" w:color="auto"/>
                        <w:left w:val="none" w:sz="0" w:space="0" w:color="auto"/>
                        <w:bottom w:val="none" w:sz="0" w:space="0" w:color="auto"/>
                        <w:right w:val="none" w:sz="0" w:space="0" w:color="auto"/>
                      </w:divBdr>
                    </w:div>
                    <w:div w:id="1896234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52497041">
          <w:marLeft w:val="0"/>
          <w:marRight w:val="0"/>
          <w:marTop w:val="0"/>
          <w:marBottom w:val="0"/>
          <w:divBdr>
            <w:top w:val="none" w:sz="0" w:space="0" w:color="auto"/>
            <w:left w:val="none" w:sz="0" w:space="0" w:color="auto"/>
            <w:bottom w:val="none" w:sz="0" w:space="0" w:color="auto"/>
            <w:right w:val="none" w:sz="0" w:space="0" w:color="auto"/>
          </w:divBdr>
          <w:divsChild>
            <w:div w:id="264390957">
              <w:marLeft w:val="0"/>
              <w:marRight w:val="0"/>
              <w:marTop w:val="0"/>
              <w:marBottom w:val="0"/>
              <w:divBdr>
                <w:top w:val="none" w:sz="0" w:space="0" w:color="auto"/>
                <w:left w:val="none" w:sz="0" w:space="0" w:color="auto"/>
                <w:bottom w:val="none" w:sz="0" w:space="0" w:color="auto"/>
                <w:right w:val="none" w:sz="0" w:space="0" w:color="auto"/>
              </w:divBdr>
            </w:div>
          </w:divsChild>
        </w:div>
        <w:div w:id="1564172303">
          <w:marLeft w:val="0"/>
          <w:marRight w:val="0"/>
          <w:marTop w:val="0"/>
          <w:marBottom w:val="0"/>
          <w:divBdr>
            <w:top w:val="none" w:sz="0" w:space="0" w:color="auto"/>
            <w:left w:val="none" w:sz="0" w:space="0" w:color="auto"/>
            <w:bottom w:val="none" w:sz="0" w:space="0" w:color="auto"/>
            <w:right w:val="none" w:sz="0" w:space="0" w:color="auto"/>
          </w:divBdr>
          <w:divsChild>
            <w:div w:id="2139565325">
              <w:marLeft w:val="0"/>
              <w:marRight w:val="0"/>
              <w:marTop w:val="0"/>
              <w:marBottom w:val="0"/>
              <w:divBdr>
                <w:top w:val="none" w:sz="0" w:space="0" w:color="auto"/>
                <w:left w:val="none" w:sz="0" w:space="0" w:color="auto"/>
                <w:bottom w:val="none" w:sz="0" w:space="0" w:color="auto"/>
                <w:right w:val="none" w:sz="0" w:space="0" w:color="auto"/>
              </w:divBdr>
            </w:div>
          </w:divsChild>
        </w:div>
        <w:div w:id="1582791679">
          <w:marLeft w:val="0"/>
          <w:marRight w:val="0"/>
          <w:marTop w:val="0"/>
          <w:marBottom w:val="0"/>
          <w:divBdr>
            <w:top w:val="none" w:sz="0" w:space="0" w:color="auto"/>
            <w:left w:val="none" w:sz="0" w:space="0" w:color="auto"/>
            <w:bottom w:val="none" w:sz="0" w:space="0" w:color="auto"/>
            <w:right w:val="none" w:sz="0" w:space="0" w:color="auto"/>
          </w:divBdr>
          <w:divsChild>
            <w:div w:id="574705682">
              <w:marLeft w:val="0"/>
              <w:marRight w:val="0"/>
              <w:marTop w:val="0"/>
              <w:marBottom w:val="0"/>
              <w:divBdr>
                <w:top w:val="none" w:sz="0" w:space="0" w:color="auto"/>
                <w:left w:val="none" w:sz="0" w:space="0" w:color="auto"/>
                <w:bottom w:val="none" w:sz="0" w:space="0" w:color="auto"/>
                <w:right w:val="none" w:sz="0" w:space="0" w:color="auto"/>
              </w:divBdr>
            </w:div>
          </w:divsChild>
        </w:div>
        <w:div w:id="1615870338">
          <w:marLeft w:val="0"/>
          <w:marRight w:val="0"/>
          <w:marTop w:val="0"/>
          <w:marBottom w:val="0"/>
          <w:divBdr>
            <w:top w:val="none" w:sz="0" w:space="0" w:color="auto"/>
            <w:left w:val="none" w:sz="0" w:space="0" w:color="auto"/>
            <w:bottom w:val="none" w:sz="0" w:space="0" w:color="auto"/>
            <w:right w:val="none" w:sz="0" w:space="0" w:color="auto"/>
          </w:divBdr>
          <w:divsChild>
            <w:div w:id="410856407">
              <w:marLeft w:val="0"/>
              <w:marRight w:val="0"/>
              <w:marTop w:val="0"/>
              <w:marBottom w:val="0"/>
              <w:divBdr>
                <w:top w:val="none" w:sz="0" w:space="0" w:color="auto"/>
                <w:left w:val="none" w:sz="0" w:space="0" w:color="auto"/>
                <w:bottom w:val="none" w:sz="0" w:space="0" w:color="auto"/>
                <w:right w:val="none" w:sz="0" w:space="0" w:color="auto"/>
              </w:divBdr>
            </w:div>
          </w:divsChild>
        </w:div>
        <w:div w:id="1643849584">
          <w:marLeft w:val="0"/>
          <w:marRight w:val="0"/>
          <w:marTop w:val="0"/>
          <w:marBottom w:val="0"/>
          <w:divBdr>
            <w:top w:val="none" w:sz="0" w:space="0" w:color="auto"/>
            <w:left w:val="none" w:sz="0" w:space="0" w:color="auto"/>
            <w:bottom w:val="none" w:sz="0" w:space="0" w:color="auto"/>
            <w:right w:val="none" w:sz="0" w:space="0" w:color="auto"/>
          </w:divBdr>
          <w:divsChild>
            <w:div w:id="1151992151">
              <w:marLeft w:val="0"/>
              <w:marRight w:val="0"/>
              <w:marTop w:val="0"/>
              <w:marBottom w:val="0"/>
              <w:divBdr>
                <w:top w:val="none" w:sz="0" w:space="0" w:color="auto"/>
                <w:left w:val="none" w:sz="0" w:space="0" w:color="auto"/>
                <w:bottom w:val="none" w:sz="0" w:space="0" w:color="auto"/>
                <w:right w:val="none" w:sz="0" w:space="0" w:color="auto"/>
              </w:divBdr>
            </w:div>
          </w:divsChild>
        </w:div>
        <w:div w:id="1669627676">
          <w:marLeft w:val="0"/>
          <w:marRight w:val="0"/>
          <w:marTop w:val="0"/>
          <w:marBottom w:val="0"/>
          <w:divBdr>
            <w:top w:val="none" w:sz="0" w:space="0" w:color="auto"/>
            <w:left w:val="none" w:sz="0" w:space="0" w:color="auto"/>
            <w:bottom w:val="none" w:sz="0" w:space="0" w:color="auto"/>
            <w:right w:val="none" w:sz="0" w:space="0" w:color="auto"/>
          </w:divBdr>
          <w:divsChild>
            <w:div w:id="116919349">
              <w:marLeft w:val="0"/>
              <w:marRight w:val="0"/>
              <w:marTop w:val="0"/>
              <w:marBottom w:val="0"/>
              <w:divBdr>
                <w:top w:val="none" w:sz="0" w:space="0" w:color="auto"/>
                <w:left w:val="none" w:sz="0" w:space="0" w:color="auto"/>
                <w:bottom w:val="none" w:sz="0" w:space="0" w:color="auto"/>
                <w:right w:val="none" w:sz="0" w:space="0" w:color="auto"/>
              </w:divBdr>
              <w:divsChild>
                <w:div w:id="1052004106">
                  <w:marLeft w:val="0"/>
                  <w:marRight w:val="0"/>
                  <w:marTop w:val="0"/>
                  <w:marBottom w:val="0"/>
                  <w:divBdr>
                    <w:top w:val="none" w:sz="0" w:space="0" w:color="auto"/>
                    <w:left w:val="none" w:sz="0" w:space="0" w:color="auto"/>
                    <w:bottom w:val="none" w:sz="0" w:space="0" w:color="auto"/>
                    <w:right w:val="none" w:sz="0" w:space="0" w:color="auto"/>
                  </w:divBdr>
                  <w:divsChild>
                    <w:div w:id="285352283">
                      <w:marLeft w:val="0"/>
                      <w:marRight w:val="0"/>
                      <w:marTop w:val="0"/>
                      <w:marBottom w:val="0"/>
                      <w:divBdr>
                        <w:top w:val="none" w:sz="0" w:space="0" w:color="auto"/>
                        <w:left w:val="none" w:sz="0" w:space="0" w:color="auto"/>
                        <w:bottom w:val="none" w:sz="0" w:space="0" w:color="auto"/>
                        <w:right w:val="none" w:sz="0" w:space="0" w:color="auto"/>
                      </w:divBdr>
                    </w:div>
                    <w:div w:id="1176000799">
                      <w:marLeft w:val="0"/>
                      <w:marRight w:val="0"/>
                      <w:marTop w:val="120"/>
                      <w:marBottom w:val="0"/>
                      <w:divBdr>
                        <w:top w:val="none" w:sz="0" w:space="0" w:color="auto"/>
                        <w:left w:val="none" w:sz="0" w:space="0" w:color="auto"/>
                        <w:bottom w:val="none" w:sz="0" w:space="0" w:color="auto"/>
                        <w:right w:val="none" w:sz="0" w:space="0" w:color="auto"/>
                      </w:divBdr>
                    </w:div>
                  </w:divsChild>
                </w:div>
                <w:div w:id="1357078573">
                  <w:marLeft w:val="0"/>
                  <w:marRight w:val="0"/>
                  <w:marTop w:val="0"/>
                  <w:marBottom w:val="0"/>
                  <w:divBdr>
                    <w:top w:val="none" w:sz="0" w:space="0" w:color="auto"/>
                    <w:left w:val="none" w:sz="0" w:space="0" w:color="auto"/>
                    <w:bottom w:val="none" w:sz="0" w:space="0" w:color="auto"/>
                    <w:right w:val="none" w:sz="0" w:space="0" w:color="auto"/>
                  </w:divBdr>
                  <w:divsChild>
                    <w:div w:id="1028991936">
                      <w:marLeft w:val="0"/>
                      <w:marRight w:val="0"/>
                      <w:marTop w:val="120"/>
                      <w:marBottom w:val="0"/>
                      <w:divBdr>
                        <w:top w:val="none" w:sz="0" w:space="0" w:color="auto"/>
                        <w:left w:val="none" w:sz="0" w:space="0" w:color="auto"/>
                        <w:bottom w:val="none" w:sz="0" w:space="0" w:color="auto"/>
                        <w:right w:val="none" w:sz="0" w:space="0" w:color="auto"/>
                      </w:divBdr>
                    </w:div>
                    <w:div w:id="1880051943">
                      <w:marLeft w:val="0"/>
                      <w:marRight w:val="0"/>
                      <w:marTop w:val="0"/>
                      <w:marBottom w:val="0"/>
                      <w:divBdr>
                        <w:top w:val="none" w:sz="0" w:space="0" w:color="auto"/>
                        <w:left w:val="none" w:sz="0" w:space="0" w:color="auto"/>
                        <w:bottom w:val="none" w:sz="0" w:space="0" w:color="auto"/>
                        <w:right w:val="none" w:sz="0" w:space="0" w:color="auto"/>
                      </w:divBdr>
                    </w:div>
                  </w:divsChild>
                </w:div>
                <w:div w:id="2123718633">
                  <w:marLeft w:val="0"/>
                  <w:marRight w:val="0"/>
                  <w:marTop w:val="0"/>
                  <w:marBottom w:val="0"/>
                  <w:divBdr>
                    <w:top w:val="none" w:sz="0" w:space="0" w:color="auto"/>
                    <w:left w:val="none" w:sz="0" w:space="0" w:color="auto"/>
                    <w:bottom w:val="none" w:sz="0" w:space="0" w:color="auto"/>
                    <w:right w:val="none" w:sz="0" w:space="0" w:color="auto"/>
                  </w:divBdr>
                  <w:divsChild>
                    <w:div w:id="722145915">
                      <w:marLeft w:val="0"/>
                      <w:marRight w:val="0"/>
                      <w:marTop w:val="0"/>
                      <w:marBottom w:val="0"/>
                      <w:divBdr>
                        <w:top w:val="none" w:sz="0" w:space="0" w:color="auto"/>
                        <w:left w:val="none" w:sz="0" w:space="0" w:color="auto"/>
                        <w:bottom w:val="none" w:sz="0" w:space="0" w:color="auto"/>
                        <w:right w:val="none" w:sz="0" w:space="0" w:color="auto"/>
                      </w:divBdr>
                    </w:div>
                    <w:div w:id="1355231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58941505">
          <w:marLeft w:val="0"/>
          <w:marRight w:val="0"/>
          <w:marTop w:val="0"/>
          <w:marBottom w:val="0"/>
          <w:divBdr>
            <w:top w:val="none" w:sz="0" w:space="0" w:color="auto"/>
            <w:left w:val="none" w:sz="0" w:space="0" w:color="auto"/>
            <w:bottom w:val="none" w:sz="0" w:space="0" w:color="auto"/>
            <w:right w:val="none" w:sz="0" w:space="0" w:color="auto"/>
          </w:divBdr>
          <w:divsChild>
            <w:div w:id="1805074005">
              <w:marLeft w:val="0"/>
              <w:marRight w:val="0"/>
              <w:marTop w:val="0"/>
              <w:marBottom w:val="0"/>
              <w:divBdr>
                <w:top w:val="none" w:sz="0" w:space="0" w:color="auto"/>
                <w:left w:val="none" w:sz="0" w:space="0" w:color="auto"/>
                <w:bottom w:val="none" w:sz="0" w:space="0" w:color="auto"/>
                <w:right w:val="none" w:sz="0" w:space="0" w:color="auto"/>
              </w:divBdr>
            </w:div>
          </w:divsChild>
        </w:div>
        <w:div w:id="1764492569">
          <w:marLeft w:val="0"/>
          <w:marRight w:val="0"/>
          <w:marTop w:val="0"/>
          <w:marBottom w:val="0"/>
          <w:divBdr>
            <w:top w:val="none" w:sz="0" w:space="0" w:color="auto"/>
            <w:left w:val="none" w:sz="0" w:space="0" w:color="auto"/>
            <w:bottom w:val="none" w:sz="0" w:space="0" w:color="auto"/>
            <w:right w:val="none" w:sz="0" w:space="0" w:color="auto"/>
          </w:divBdr>
          <w:divsChild>
            <w:div w:id="1089547303">
              <w:marLeft w:val="0"/>
              <w:marRight w:val="0"/>
              <w:marTop w:val="0"/>
              <w:marBottom w:val="0"/>
              <w:divBdr>
                <w:top w:val="none" w:sz="0" w:space="0" w:color="auto"/>
                <w:left w:val="none" w:sz="0" w:space="0" w:color="auto"/>
                <w:bottom w:val="none" w:sz="0" w:space="0" w:color="auto"/>
                <w:right w:val="none" w:sz="0" w:space="0" w:color="auto"/>
              </w:divBdr>
            </w:div>
          </w:divsChild>
        </w:div>
        <w:div w:id="1814518201">
          <w:marLeft w:val="0"/>
          <w:marRight w:val="0"/>
          <w:marTop w:val="0"/>
          <w:marBottom w:val="0"/>
          <w:divBdr>
            <w:top w:val="none" w:sz="0" w:space="0" w:color="auto"/>
            <w:left w:val="none" w:sz="0" w:space="0" w:color="auto"/>
            <w:bottom w:val="none" w:sz="0" w:space="0" w:color="auto"/>
            <w:right w:val="none" w:sz="0" w:space="0" w:color="auto"/>
          </w:divBdr>
          <w:divsChild>
            <w:div w:id="1354527575">
              <w:marLeft w:val="0"/>
              <w:marRight w:val="0"/>
              <w:marTop w:val="0"/>
              <w:marBottom w:val="0"/>
              <w:divBdr>
                <w:top w:val="none" w:sz="0" w:space="0" w:color="auto"/>
                <w:left w:val="none" w:sz="0" w:space="0" w:color="auto"/>
                <w:bottom w:val="none" w:sz="0" w:space="0" w:color="auto"/>
                <w:right w:val="none" w:sz="0" w:space="0" w:color="auto"/>
              </w:divBdr>
            </w:div>
          </w:divsChild>
        </w:div>
        <w:div w:id="1845823185">
          <w:marLeft w:val="0"/>
          <w:marRight w:val="0"/>
          <w:marTop w:val="0"/>
          <w:marBottom w:val="0"/>
          <w:divBdr>
            <w:top w:val="none" w:sz="0" w:space="0" w:color="auto"/>
            <w:left w:val="none" w:sz="0" w:space="0" w:color="auto"/>
            <w:bottom w:val="none" w:sz="0" w:space="0" w:color="auto"/>
            <w:right w:val="none" w:sz="0" w:space="0" w:color="auto"/>
          </w:divBdr>
          <w:divsChild>
            <w:div w:id="2040859835">
              <w:marLeft w:val="0"/>
              <w:marRight w:val="0"/>
              <w:marTop w:val="0"/>
              <w:marBottom w:val="0"/>
              <w:divBdr>
                <w:top w:val="none" w:sz="0" w:space="0" w:color="auto"/>
                <w:left w:val="none" w:sz="0" w:space="0" w:color="auto"/>
                <w:bottom w:val="none" w:sz="0" w:space="0" w:color="auto"/>
                <w:right w:val="none" w:sz="0" w:space="0" w:color="auto"/>
              </w:divBdr>
            </w:div>
          </w:divsChild>
        </w:div>
        <w:div w:id="1935242912">
          <w:marLeft w:val="0"/>
          <w:marRight w:val="0"/>
          <w:marTop w:val="0"/>
          <w:marBottom w:val="0"/>
          <w:divBdr>
            <w:top w:val="none" w:sz="0" w:space="0" w:color="auto"/>
            <w:left w:val="none" w:sz="0" w:space="0" w:color="auto"/>
            <w:bottom w:val="none" w:sz="0" w:space="0" w:color="auto"/>
            <w:right w:val="none" w:sz="0" w:space="0" w:color="auto"/>
          </w:divBdr>
          <w:divsChild>
            <w:div w:id="1496259782">
              <w:marLeft w:val="0"/>
              <w:marRight w:val="0"/>
              <w:marTop w:val="0"/>
              <w:marBottom w:val="0"/>
              <w:divBdr>
                <w:top w:val="none" w:sz="0" w:space="0" w:color="auto"/>
                <w:left w:val="none" w:sz="0" w:space="0" w:color="auto"/>
                <w:bottom w:val="none" w:sz="0" w:space="0" w:color="auto"/>
                <w:right w:val="none" w:sz="0" w:space="0" w:color="auto"/>
              </w:divBdr>
              <w:divsChild>
                <w:div w:id="71392904">
                  <w:marLeft w:val="0"/>
                  <w:marRight w:val="0"/>
                  <w:marTop w:val="0"/>
                  <w:marBottom w:val="0"/>
                  <w:divBdr>
                    <w:top w:val="none" w:sz="0" w:space="0" w:color="auto"/>
                    <w:left w:val="none" w:sz="0" w:space="0" w:color="auto"/>
                    <w:bottom w:val="none" w:sz="0" w:space="0" w:color="auto"/>
                    <w:right w:val="none" w:sz="0" w:space="0" w:color="auto"/>
                  </w:divBdr>
                  <w:divsChild>
                    <w:div w:id="513301417">
                      <w:marLeft w:val="0"/>
                      <w:marRight w:val="0"/>
                      <w:marTop w:val="0"/>
                      <w:marBottom w:val="0"/>
                      <w:divBdr>
                        <w:top w:val="none" w:sz="0" w:space="0" w:color="auto"/>
                        <w:left w:val="none" w:sz="0" w:space="0" w:color="auto"/>
                        <w:bottom w:val="none" w:sz="0" w:space="0" w:color="auto"/>
                        <w:right w:val="none" w:sz="0" w:space="0" w:color="auto"/>
                      </w:divBdr>
                    </w:div>
                    <w:div w:id="979112565">
                      <w:marLeft w:val="0"/>
                      <w:marRight w:val="0"/>
                      <w:marTop w:val="120"/>
                      <w:marBottom w:val="0"/>
                      <w:divBdr>
                        <w:top w:val="none" w:sz="0" w:space="0" w:color="auto"/>
                        <w:left w:val="none" w:sz="0" w:space="0" w:color="auto"/>
                        <w:bottom w:val="none" w:sz="0" w:space="0" w:color="auto"/>
                        <w:right w:val="none" w:sz="0" w:space="0" w:color="auto"/>
                      </w:divBdr>
                    </w:div>
                  </w:divsChild>
                </w:div>
                <w:div w:id="608319633">
                  <w:marLeft w:val="0"/>
                  <w:marRight w:val="0"/>
                  <w:marTop w:val="0"/>
                  <w:marBottom w:val="0"/>
                  <w:divBdr>
                    <w:top w:val="none" w:sz="0" w:space="0" w:color="auto"/>
                    <w:left w:val="none" w:sz="0" w:space="0" w:color="auto"/>
                    <w:bottom w:val="none" w:sz="0" w:space="0" w:color="auto"/>
                    <w:right w:val="none" w:sz="0" w:space="0" w:color="auto"/>
                  </w:divBdr>
                  <w:divsChild>
                    <w:div w:id="319234371">
                      <w:marLeft w:val="0"/>
                      <w:marRight w:val="0"/>
                      <w:marTop w:val="120"/>
                      <w:marBottom w:val="0"/>
                      <w:divBdr>
                        <w:top w:val="none" w:sz="0" w:space="0" w:color="auto"/>
                        <w:left w:val="none" w:sz="0" w:space="0" w:color="auto"/>
                        <w:bottom w:val="none" w:sz="0" w:space="0" w:color="auto"/>
                        <w:right w:val="none" w:sz="0" w:space="0" w:color="auto"/>
                      </w:divBdr>
                    </w:div>
                    <w:div w:id="645627633">
                      <w:marLeft w:val="0"/>
                      <w:marRight w:val="0"/>
                      <w:marTop w:val="0"/>
                      <w:marBottom w:val="0"/>
                      <w:divBdr>
                        <w:top w:val="none" w:sz="0" w:space="0" w:color="auto"/>
                        <w:left w:val="none" w:sz="0" w:space="0" w:color="auto"/>
                        <w:bottom w:val="none" w:sz="0" w:space="0" w:color="auto"/>
                        <w:right w:val="none" w:sz="0" w:space="0" w:color="auto"/>
                      </w:divBdr>
                    </w:div>
                  </w:divsChild>
                </w:div>
                <w:div w:id="1786657148">
                  <w:marLeft w:val="0"/>
                  <w:marRight w:val="0"/>
                  <w:marTop w:val="0"/>
                  <w:marBottom w:val="0"/>
                  <w:divBdr>
                    <w:top w:val="none" w:sz="0" w:space="0" w:color="auto"/>
                    <w:left w:val="none" w:sz="0" w:space="0" w:color="auto"/>
                    <w:bottom w:val="none" w:sz="0" w:space="0" w:color="auto"/>
                    <w:right w:val="none" w:sz="0" w:space="0" w:color="auto"/>
                  </w:divBdr>
                  <w:divsChild>
                    <w:div w:id="593631586">
                      <w:marLeft w:val="0"/>
                      <w:marRight w:val="0"/>
                      <w:marTop w:val="120"/>
                      <w:marBottom w:val="0"/>
                      <w:divBdr>
                        <w:top w:val="none" w:sz="0" w:space="0" w:color="auto"/>
                        <w:left w:val="none" w:sz="0" w:space="0" w:color="auto"/>
                        <w:bottom w:val="none" w:sz="0" w:space="0" w:color="auto"/>
                        <w:right w:val="none" w:sz="0" w:space="0" w:color="auto"/>
                      </w:divBdr>
                    </w:div>
                    <w:div w:id="15142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8270">
          <w:marLeft w:val="0"/>
          <w:marRight w:val="0"/>
          <w:marTop w:val="0"/>
          <w:marBottom w:val="0"/>
          <w:divBdr>
            <w:top w:val="none" w:sz="0" w:space="0" w:color="auto"/>
            <w:left w:val="none" w:sz="0" w:space="0" w:color="auto"/>
            <w:bottom w:val="none" w:sz="0" w:space="0" w:color="auto"/>
            <w:right w:val="none" w:sz="0" w:space="0" w:color="auto"/>
          </w:divBdr>
          <w:divsChild>
            <w:div w:id="274824607">
              <w:marLeft w:val="0"/>
              <w:marRight w:val="0"/>
              <w:marTop w:val="0"/>
              <w:marBottom w:val="0"/>
              <w:divBdr>
                <w:top w:val="none" w:sz="0" w:space="0" w:color="auto"/>
                <w:left w:val="none" w:sz="0" w:space="0" w:color="auto"/>
                <w:bottom w:val="none" w:sz="0" w:space="0" w:color="auto"/>
                <w:right w:val="none" w:sz="0" w:space="0" w:color="auto"/>
              </w:divBdr>
            </w:div>
          </w:divsChild>
        </w:div>
        <w:div w:id="2034721419">
          <w:marLeft w:val="0"/>
          <w:marRight w:val="0"/>
          <w:marTop w:val="0"/>
          <w:marBottom w:val="0"/>
          <w:divBdr>
            <w:top w:val="none" w:sz="0" w:space="0" w:color="auto"/>
            <w:left w:val="none" w:sz="0" w:space="0" w:color="auto"/>
            <w:bottom w:val="none" w:sz="0" w:space="0" w:color="auto"/>
            <w:right w:val="none" w:sz="0" w:space="0" w:color="auto"/>
          </w:divBdr>
          <w:divsChild>
            <w:div w:id="1419669044">
              <w:marLeft w:val="0"/>
              <w:marRight w:val="0"/>
              <w:marTop w:val="0"/>
              <w:marBottom w:val="0"/>
              <w:divBdr>
                <w:top w:val="none" w:sz="0" w:space="0" w:color="auto"/>
                <w:left w:val="none" w:sz="0" w:space="0" w:color="auto"/>
                <w:bottom w:val="none" w:sz="0" w:space="0" w:color="auto"/>
                <w:right w:val="none" w:sz="0" w:space="0" w:color="auto"/>
              </w:divBdr>
            </w:div>
          </w:divsChild>
        </w:div>
        <w:div w:id="2065566732">
          <w:marLeft w:val="0"/>
          <w:marRight w:val="0"/>
          <w:marTop w:val="0"/>
          <w:marBottom w:val="0"/>
          <w:divBdr>
            <w:top w:val="none" w:sz="0" w:space="0" w:color="auto"/>
            <w:left w:val="none" w:sz="0" w:space="0" w:color="auto"/>
            <w:bottom w:val="none" w:sz="0" w:space="0" w:color="auto"/>
            <w:right w:val="none" w:sz="0" w:space="0" w:color="auto"/>
          </w:divBdr>
          <w:divsChild>
            <w:div w:id="757554319">
              <w:marLeft w:val="0"/>
              <w:marRight w:val="0"/>
              <w:marTop w:val="0"/>
              <w:marBottom w:val="0"/>
              <w:divBdr>
                <w:top w:val="none" w:sz="0" w:space="0" w:color="auto"/>
                <w:left w:val="none" w:sz="0" w:space="0" w:color="auto"/>
                <w:bottom w:val="none" w:sz="0" w:space="0" w:color="auto"/>
                <w:right w:val="none" w:sz="0" w:space="0" w:color="auto"/>
              </w:divBdr>
            </w:div>
          </w:divsChild>
        </w:div>
        <w:div w:id="2092770371">
          <w:marLeft w:val="0"/>
          <w:marRight w:val="0"/>
          <w:marTop w:val="0"/>
          <w:marBottom w:val="0"/>
          <w:divBdr>
            <w:top w:val="none" w:sz="0" w:space="0" w:color="auto"/>
            <w:left w:val="none" w:sz="0" w:space="0" w:color="auto"/>
            <w:bottom w:val="none" w:sz="0" w:space="0" w:color="auto"/>
            <w:right w:val="none" w:sz="0" w:space="0" w:color="auto"/>
          </w:divBdr>
          <w:divsChild>
            <w:div w:id="334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196">
      <w:bodyDiv w:val="1"/>
      <w:marLeft w:val="0"/>
      <w:marRight w:val="0"/>
      <w:marTop w:val="0"/>
      <w:marBottom w:val="0"/>
      <w:divBdr>
        <w:top w:val="none" w:sz="0" w:space="0" w:color="auto"/>
        <w:left w:val="none" w:sz="0" w:space="0" w:color="auto"/>
        <w:bottom w:val="none" w:sz="0" w:space="0" w:color="auto"/>
        <w:right w:val="none" w:sz="0" w:space="0" w:color="auto"/>
      </w:divBdr>
    </w:div>
    <w:div w:id="178396338">
      <w:bodyDiv w:val="1"/>
      <w:marLeft w:val="0"/>
      <w:marRight w:val="0"/>
      <w:marTop w:val="0"/>
      <w:marBottom w:val="0"/>
      <w:divBdr>
        <w:top w:val="none" w:sz="0" w:space="0" w:color="auto"/>
        <w:left w:val="none" w:sz="0" w:space="0" w:color="auto"/>
        <w:bottom w:val="none" w:sz="0" w:space="0" w:color="auto"/>
        <w:right w:val="none" w:sz="0" w:space="0" w:color="auto"/>
      </w:divBdr>
    </w:div>
    <w:div w:id="267272432">
      <w:bodyDiv w:val="1"/>
      <w:marLeft w:val="0"/>
      <w:marRight w:val="0"/>
      <w:marTop w:val="0"/>
      <w:marBottom w:val="0"/>
      <w:divBdr>
        <w:top w:val="none" w:sz="0" w:space="0" w:color="auto"/>
        <w:left w:val="none" w:sz="0" w:space="0" w:color="auto"/>
        <w:bottom w:val="none" w:sz="0" w:space="0" w:color="auto"/>
        <w:right w:val="none" w:sz="0" w:space="0" w:color="auto"/>
      </w:divBdr>
    </w:div>
    <w:div w:id="306521503">
      <w:bodyDiv w:val="1"/>
      <w:marLeft w:val="0"/>
      <w:marRight w:val="0"/>
      <w:marTop w:val="0"/>
      <w:marBottom w:val="0"/>
      <w:divBdr>
        <w:top w:val="none" w:sz="0" w:space="0" w:color="auto"/>
        <w:left w:val="none" w:sz="0" w:space="0" w:color="auto"/>
        <w:bottom w:val="none" w:sz="0" w:space="0" w:color="auto"/>
        <w:right w:val="none" w:sz="0" w:space="0" w:color="auto"/>
      </w:divBdr>
      <w:divsChild>
        <w:div w:id="23557591">
          <w:marLeft w:val="600"/>
          <w:marRight w:val="0"/>
          <w:marTop w:val="0"/>
          <w:marBottom w:val="0"/>
          <w:divBdr>
            <w:top w:val="none" w:sz="0" w:space="0" w:color="auto"/>
            <w:left w:val="none" w:sz="0" w:space="0" w:color="auto"/>
            <w:bottom w:val="none" w:sz="0" w:space="0" w:color="auto"/>
            <w:right w:val="none" w:sz="0" w:space="0" w:color="auto"/>
          </w:divBdr>
        </w:div>
        <w:div w:id="43991495">
          <w:marLeft w:val="600"/>
          <w:marRight w:val="0"/>
          <w:marTop w:val="0"/>
          <w:marBottom w:val="0"/>
          <w:divBdr>
            <w:top w:val="none" w:sz="0" w:space="0" w:color="auto"/>
            <w:left w:val="none" w:sz="0" w:space="0" w:color="auto"/>
            <w:bottom w:val="none" w:sz="0" w:space="0" w:color="auto"/>
            <w:right w:val="none" w:sz="0" w:space="0" w:color="auto"/>
          </w:divBdr>
        </w:div>
        <w:div w:id="45765469">
          <w:marLeft w:val="480"/>
          <w:marRight w:val="0"/>
          <w:marTop w:val="0"/>
          <w:marBottom w:val="0"/>
          <w:divBdr>
            <w:top w:val="none" w:sz="0" w:space="0" w:color="auto"/>
            <w:left w:val="none" w:sz="0" w:space="0" w:color="auto"/>
            <w:bottom w:val="none" w:sz="0" w:space="0" w:color="auto"/>
            <w:right w:val="none" w:sz="0" w:space="0" w:color="auto"/>
          </w:divBdr>
        </w:div>
        <w:div w:id="54594384">
          <w:marLeft w:val="600"/>
          <w:marRight w:val="0"/>
          <w:marTop w:val="0"/>
          <w:marBottom w:val="0"/>
          <w:divBdr>
            <w:top w:val="none" w:sz="0" w:space="0" w:color="auto"/>
            <w:left w:val="none" w:sz="0" w:space="0" w:color="auto"/>
            <w:bottom w:val="none" w:sz="0" w:space="0" w:color="auto"/>
            <w:right w:val="none" w:sz="0" w:space="0" w:color="auto"/>
          </w:divBdr>
        </w:div>
        <w:div w:id="61878865">
          <w:marLeft w:val="480"/>
          <w:marRight w:val="0"/>
          <w:marTop w:val="0"/>
          <w:marBottom w:val="0"/>
          <w:divBdr>
            <w:top w:val="none" w:sz="0" w:space="0" w:color="auto"/>
            <w:left w:val="none" w:sz="0" w:space="0" w:color="auto"/>
            <w:bottom w:val="none" w:sz="0" w:space="0" w:color="auto"/>
            <w:right w:val="none" w:sz="0" w:space="0" w:color="auto"/>
          </w:divBdr>
        </w:div>
        <w:div w:id="75173951">
          <w:marLeft w:val="600"/>
          <w:marRight w:val="0"/>
          <w:marTop w:val="0"/>
          <w:marBottom w:val="0"/>
          <w:divBdr>
            <w:top w:val="none" w:sz="0" w:space="0" w:color="auto"/>
            <w:left w:val="none" w:sz="0" w:space="0" w:color="auto"/>
            <w:bottom w:val="none" w:sz="0" w:space="0" w:color="auto"/>
            <w:right w:val="none" w:sz="0" w:space="0" w:color="auto"/>
          </w:divBdr>
        </w:div>
        <w:div w:id="127825423">
          <w:marLeft w:val="720"/>
          <w:marRight w:val="0"/>
          <w:marTop w:val="0"/>
          <w:marBottom w:val="0"/>
          <w:divBdr>
            <w:top w:val="none" w:sz="0" w:space="0" w:color="auto"/>
            <w:left w:val="none" w:sz="0" w:space="0" w:color="auto"/>
            <w:bottom w:val="none" w:sz="0" w:space="0" w:color="auto"/>
            <w:right w:val="none" w:sz="0" w:space="0" w:color="auto"/>
          </w:divBdr>
        </w:div>
        <w:div w:id="190723954">
          <w:marLeft w:val="600"/>
          <w:marRight w:val="0"/>
          <w:marTop w:val="0"/>
          <w:marBottom w:val="0"/>
          <w:divBdr>
            <w:top w:val="none" w:sz="0" w:space="0" w:color="auto"/>
            <w:left w:val="none" w:sz="0" w:space="0" w:color="auto"/>
            <w:bottom w:val="none" w:sz="0" w:space="0" w:color="auto"/>
            <w:right w:val="none" w:sz="0" w:space="0" w:color="auto"/>
          </w:divBdr>
        </w:div>
        <w:div w:id="239170431">
          <w:marLeft w:val="480"/>
          <w:marRight w:val="0"/>
          <w:marTop w:val="0"/>
          <w:marBottom w:val="0"/>
          <w:divBdr>
            <w:top w:val="none" w:sz="0" w:space="0" w:color="auto"/>
            <w:left w:val="none" w:sz="0" w:space="0" w:color="auto"/>
            <w:bottom w:val="none" w:sz="0" w:space="0" w:color="auto"/>
            <w:right w:val="none" w:sz="0" w:space="0" w:color="auto"/>
          </w:divBdr>
        </w:div>
        <w:div w:id="307326839">
          <w:marLeft w:val="480"/>
          <w:marRight w:val="0"/>
          <w:marTop w:val="0"/>
          <w:marBottom w:val="0"/>
          <w:divBdr>
            <w:top w:val="none" w:sz="0" w:space="0" w:color="auto"/>
            <w:left w:val="none" w:sz="0" w:space="0" w:color="auto"/>
            <w:bottom w:val="none" w:sz="0" w:space="0" w:color="auto"/>
            <w:right w:val="none" w:sz="0" w:space="0" w:color="auto"/>
          </w:divBdr>
        </w:div>
        <w:div w:id="317223240">
          <w:marLeft w:val="600"/>
          <w:marRight w:val="0"/>
          <w:marTop w:val="0"/>
          <w:marBottom w:val="0"/>
          <w:divBdr>
            <w:top w:val="none" w:sz="0" w:space="0" w:color="auto"/>
            <w:left w:val="none" w:sz="0" w:space="0" w:color="auto"/>
            <w:bottom w:val="none" w:sz="0" w:space="0" w:color="auto"/>
            <w:right w:val="none" w:sz="0" w:space="0" w:color="auto"/>
          </w:divBdr>
        </w:div>
        <w:div w:id="326520062">
          <w:marLeft w:val="600"/>
          <w:marRight w:val="0"/>
          <w:marTop w:val="0"/>
          <w:marBottom w:val="0"/>
          <w:divBdr>
            <w:top w:val="none" w:sz="0" w:space="0" w:color="auto"/>
            <w:left w:val="none" w:sz="0" w:space="0" w:color="auto"/>
            <w:bottom w:val="none" w:sz="0" w:space="0" w:color="auto"/>
            <w:right w:val="none" w:sz="0" w:space="0" w:color="auto"/>
          </w:divBdr>
        </w:div>
        <w:div w:id="331763262">
          <w:marLeft w:val="480"/>
          <w:marRight w:val="0"/>
          <w:marTop w:val="0"/>
          <w:marBottom w:val="0"/>
          <w:divBdr>
            <w:top w:val="none" w:sz="0" w:space="0" w:color="auto"/>
            <w:left w:val="none" w:sz="0" w:space="0" w:color="auto"/>
            <w:bottom w:val="none" w:sz="0" w:space="0" w:color="auto"/>
            <w:right w:val="none" w:sz="0" w:space="0" w:color="auto"/>
          </w:divBdr>
        </w:div>
        <w:div w:id="335159014">
          <w:marLeft w:val="600"/>
          <w:marRight w:val="0"/>
          <w:marTop w:val="0"/>
          <w:marBottom w:val="0"/>
          <w:divBdr>
            <w:top w:val="none" w:sz="0" w:space="0" w:color="auto"/>
            <w:left w:val="none" w:sz="0" w:space="0" w:color="auto"/>
            <w:bottom w:val="none" w:sz="0" w:space="0" w:color="auto"/>
            <w:right w:val="none" w:sz="0" w:space="0" w:color="auto"/>
          </w:divBdr>
        </w:div>
        <w:div w:id="340013451">
          <w:marLeft w:val="480"/>
          <w:marRight w:val="0"/>
          <w:marTop w:val="0"/>
          <w:marBottom w:val="0"/>
          <w:divBdr>
            <w:top w:val="none" w:sz="0" w:space="0" w:color="auto"/>
            <w:left w:val="none" w:sz="0" w:space="0" w:color="auto"/>
            <w:bottom w:val="none" w:sz="0" w:space="0" w:color="auto"/>
            <w:right w:val="none" w:sz="0" w:space="0" w:color="auto"/>
          </w:divBdr>
        </w:div>
        <w:div w:id="345638814">
          <w:marLeft w:val="600"/>
          <w:marRight w:val="0"/>
          <w:marTop w:val="0"/>
          <w:marBottom w:val="0"/>
          <w:divBdr>
            <w:top w:val="none" w:sz="0" w:space="0" w:color="auto"/>
            <w:left w:val="none" w:sz="0" w:space="0" w:color="auto"/>
            <w:bottom w:val="none" w:sz="0" w:space="0" w:color="auto"/>
            <w:right w:val="none" w:sz="0" w:space="0" w:color="auto"/>
          </w:divBdr>
        </w:div>
        <w:div w:id="355499023">
          <w:marLeft w:val="600"/>
          <w:marRight w:val="0"/>
          <w:marTop w:val="0"/>
          <w:marBottom w:val="0"/>
          <w:divBdr>
            <w:top w:val="none" w:sz="0" w:space="0" w:color="auto"/>
            <w:left w:val="none" w:sz="0" w:space="0" w:color="auto"/>
            <w:bottom w:val="none" w:sz="0" w:space="0" w:color="auto"/>
            <w:right w:val="none" w:sz="0" w:space="0" w:color="auto"/>
          </w:divBdr>
        </w:div>
        <w:div w:id="356926536">
          <w:marLeft w:val="600"/>
          <w:marRight w:val="0"/>
          <w:marTop w:val="0"/>
          <w:marBottom w:val="0"/>
          <w:divBdr>
            <w:top w:val="none" w:sz="0" w:space="0" w:color="auto"/>
            <w:left w:val="none" w:sz="0" w:space="0" w:color="auto"/>
            <w:bottom w:val="none" w:sz="0" w:space="0" w:color="auto"/>
            <w:right w:val="none" w:sz="0" w:space="0" w:color="auto"/>
          </w:divBdr>
        </w:div>
        <w:div w:id="357857313">
          <w:marLeft w:val="600"/>
          <w:marRight w:val="0"/>
          <w:marTop w:val="0"/>
          <w:marBottom w:val="0"/>
          <w:divBdr>
            <w:top w:val="none" w:sz="0" w:space="0" w:color="auto"/>
            <w:left w:val="none" w:sz="0" w:space="0" w:color="auto"/>
            <w:bottom w:val="none" w:sz="0" w:space="0" w:color="auto"/>
            <w:right w:val="none" w:sz="0" w:space="0" w:color="auto"/>
          </w:divBdr>
        </w:div>
        <w:div w:id="391277151">
          <w:marLeft w:val="720"/>
          <w:marRight w:val="0"/>
          <w:marTop w:val="0"/>
          <w:marBottom w:val="0"/>
          <w:divBdr>
            <w:top w:val="none" w:sz="0" w:space="0" w:color="auto"/>
            <w:left w:val="none" w:sz="0" w:space="0" w:color="auto"/>
            <w:bottom w:val="none" w:sz="0" w:space="0" w:color="auto"/>
            <w:right w:val="none" w:sz="0" w:space="0" w:color="auto"/>
          </w:divBdr>
        </w:div>
        <w:div w:id="426273833">
          <w:marLeft w:val="600"/>
          <w:marRight w:val="0"/>
          <w:marTop w:val="0"/>
          <w:marBottom w:val="0"/>
          <w:divBdr>
            <w:top w:val="none" w:sz="0" w:space="0" w:color="auto"/>
            <w:left w:val="none" w:sz="0" w:space="0" w:color="auto"/>
            <w:bottom w:val="none" w:sz="0" w:space="0" w:color="auto"/>
            <w:right w:val="none" w:sz="0" w:space="0" w:color="auto"/>
          </w:divBdr>
        </w:div>
        <w:div w:id="441144536">
          <w:marLeft w:val="600"/>
          <w:marRight w:val="0"/>
          <w:marTop w:val="0"/>
          <w:marBottom w:val="0"/>
          <w:divBdr>
            <w:top w:val="none" w:sz="0" w:space="0" w:color="auto"/>
            <w:left w:val="none" w:sz="0" w:space="0" w:color="auto"/>
            <w:bottom w:val="none" w:sz="0" w:space="0" w:color="auto"/>
            <w:right w:val="none" w:sz="0" w:space="0" w:color="auto"/>
          </w:divBdr>
        </w:div>
        <w:div w:id="464155035">
          <w:marLeft w:val="600"/>
          <w:marRight w:val="0"/>
          <w:marTop w:val="0"/>
          <w:marBottom w:val="0"/>
          <w:divBdr>
            <w:top w:val="none" w:sz="0" w:space="0" w:color="auto"/>
            <w:left w:val="none" w:sz="0" w:space="0" w:color="auto"/>
            <w:bottom w:val="none" w:sz="0" w:space="0" w:color="auto"/>
            <w:right w:val="none" w:sz="0" w:space="0" w:color="auto"/>
          </w:divBdr>
        </w:div>
        <w:div w:id="472218436">
          <w:marLeft w:val="480"/>
          <w:marRight w:val="0"/>
          <w:marTop w:val="0"/>
          <w:marBottom w:val="0"/>
          <w:divBdr>
            <w:top w:val="none" w:sz="0" w:space="0" w:color="auto"/>
            <w:left w:val="none" w:sz="0" w:space="0" w:color="auto"/>
            <w:bottom w:val="none" w:sz="0" w:space="0" w:color="auto"/>
            <w:right w:val="none" w:sz="0" w:space="0" w:color="auto"/>
          </w:divBdr>
        </w:div>
        <w:div w:id="478501866">
          <w:marLeft w:val="600"/>
          <w:marRight w:val="0"/>
          <w:marTop w:val="0"/>
          <w:marBottom w:val="0"/>
          <w:divBdr>
            <w:top w:val="none" w:sz="0" w:space="0" w:color="auto"/>
            <w:left w:val="none" w:sz="0" w:space="0" w:color="auto"/>
            <w:bottom w:val="none" w:sz="0" w:space="0" w:color="auto"/>
            <w:right w:val="none" w:sz="0" w:space="0" w:color="auto"/>
          </w:divBdr>
        </w:div>
        <w:div w:id="481044919">
          <w:marLeft w:val="600"/>
          <w:marRight w:val="0"/>
          <w:marTop w:val="0"/>
          <w:marBottom w:val="0"/>
          <w:divBdr>
            <w:top w:val="none" w:sz="0" w:space="0" w:color="auto"/>
            <w:left w:val="none" w:sz="0" w:space="0" w:color="auto"/>
            <w:bottom w:val="none" w:sz="0" w:space="0" w:color="auto"/>
            <w:right w:val="none" w:sz="0" w:space="0" w:color="auto"/>
          </w:divBdr>
        </w:div>
        <w:div w:id="483088183">
          <w:marLeft w:val="600"/>
          <w:marRight w:val="0"/>
          <w:marTop w:val="0"/>
          <w:marBottom w:val="0"/>
          <w:divBdr>
            <w:top w:val="none" w:sz="0" w:space="0" w:color="auto"/>
            <w:left w:val="none" w:sz="0" w:space="0" w:color="auto"/>
            <w:bottom w:val="none" w:sz="0" w:space="0" w:color="auto"/>
            <w:right w:val="none" w:sz="0" w:space="0" w:color="auto"/>
          </w:divBdr>
        </w:div>
        <w:div w:id="501356452">
          <w:marLeft w:val="720"/>
          <w:marRight w:val="0"/>
          <w:marTop w:val="0"/>
          <w:marBottom w:val="0"/>
          <w:divBdr>
            <w:top w:val="none" w:sz="0" w:space="0" w:color="auto"/>
            <w:left w:val="none" w:sz="0" w:space="0" w:color="auto"/>
            <w:bottom w:val="none" w:sz="0" w:space="0" w:color="auto"/>
            <w:right w:val="none" w:sz="0" w:space="0" w:color="auto"/>
          </w:divBdr>
        </w:div>
        <w:div w:id="523054656">
          <w:marLeft w:val="600"/>
          <w:marRight w:val="0"/>
          <w:marTop w:val="0"/>
          <w:marBottom w:val="0"/>
          <w:divBdr>
            <w:top w:val="none" w:sz="0" w:space="0" w:color="auto"/>
            <w:left w:val="none" w:sz="0" w:space="0" w:color="auto"/>
            <w:bottom w:val="none" w:sz="0" w:space="0" w:color="auto"/>
            <w:right w:val="none" w:sz="0" w:space="0" w:color="auto"/>
          </w:divBdr>
        </w:div>
        <w:div w:id="545873556">
          <w:marLeft w:val="480"/>
          <w:marRight w:val="0"/>
          <w:marTop w:val="0"/>
          <w:marBottom w:val="0"/>
          <w:divBdr>
            <w:top w:val="none" w:sz="0" w:space="0" w:color="auto"/>
            <w:left w:val="none" w:sz="0" w:space="0" w:color="auto"/>
            <w:bottom w:val="none" w:sz="0" w:space="0" w:color="auto"/>
            <w:right w:val="none" w:sz="0" w:space="0" w:color="auto"/>
          </w:divBdr>
        </w:div>
        <w:div w:id="614600771">
          <w:marLeft w:val="600"/>
          <w:marRight w:val="0"/>
          <w:marTop w:val="0"/>
          <w:marBottom w:val="0"/>
          <w:divBdr>
            <w:top w:val="none" w:sz="0" w:space="0" w:color="auto"/>
            <w:left w:val="none" w:sz="0" w:space="0" w:color="auto"/>
            <w:bottom w:val="none" w:sz="0" w:space="0" w:color="auto"/>
            <w:right w:val="none" w:sz="0" w:space="0" w:color="auto"/>
          </w:divBdr>
        </w:div>
        <w:div w:id="620915405">
          <w:marLeft w:val="480"/>
          <w:marRight w:val="0"/>
          <w:marTop w:val="0"/>
          <w:marBottom w:val="0"/>
          <w:divBdr>
            <w:top w:val="none" w:sz="0" w:space="0" w:color="auto"/>
            <w:left w:val="none" w:sz="0" w:space="0" w:color="auto"/>
            <w:bottom w:val="none" w:sz="0" w:space="0" w:color="auto"/>
            <w:right w:val="none" w:sz="0" w:space="0" w:color="auto"/>
          </w:divBdr>
        </w:div>
        <w:div w:id="649751842">
          <w:marLeft w:val="600"/>
          <w:marRight w:val="0"/>
          <w:marTop w:val="0"/>
          <w:marBottom w:val="0"/>
          <w:divBdr>
            <w:top w:val="none" w:sz="0" w:space="0" w:color="auto"/>
            <w:left w:val="none" w:sz="0" w:space="0" w:color="auto"/>
            <w:bottom w:val="none" w:sz="0" w:space="0" w:color="auto"/>
            <w:right w:val="none" w:sz="0" w:space="0" w:color="auto"/>
          </w:divBdr>
        </w:div>
        <w:div w:id="663364972">
          <w:marLeft w:val="480"/>
          <w:marRight w:val="0"/>
          <w:marTop w:val="0"/>
          <w:marBottom w:val="0"/>
          <w:divBdr>
            <w:top w:val="none" w:sz="0" w:space="0" w:color="auto"/>
            <w:left w:val="none" w:sz="0" w:space="0" w:color="auto"/>
            <w:bottom w:val="none" w:sz="0" w:space="0" w:color="auto"/>
            <w:right w:val="none" w:sz="0" w:space="0" w:color="auto"/>
          </w:divBdr>
        </w:div>
        <w:div w:id="681202166">
          <w:marLeft w:val="600"/>
          <w:marRight w:val="0"/>
          <w:marTop w:val="0"/>
          <w:marBottom w:val="0"/>
          <w:divBdr>
            <w:top w:val="none" w:sz="0" w:space="0" w:color="auto"/>
            <w:left w:val="none" w:sz="0" w:space="0" w:color="auto"/>
            <w:bottom w:val="none" w:sz="0" w:space="0" w:color="auto"/>
            <w:right w:val="none" w:sz="0" w:space="0" w:color="auto"/>
          </w:divBdr>
        </w:div>
        <w:div w:id="686058222">
          <w:marLeft w:val="600"/>
          <w:marRight w:val="0"/>
          <w:marTop w:val="0"/>
          <w:marBottom w:val="0"/>
          <w:divBdr>
            <w:top w:val="none" w:sz="0" w:space="0" w:color="auto"/>
            <w:left w:val="none" w:sz="0" w:space="0" w:color="auto"/>
            <w:bottom w:val="none" w:sz="0" w:space="0" w:color="auto"/>
            <w:right w:val="none" w:sz="0" w:space="0" w:color="auto"/>
          </w:divBdr>
        </w:div>
        <w:div w:id="719864367">
          <w:marLeft w:val="480"/>
          <w:marRight w:val="0"/>
          <w:marTop w:val="0"/>
          <w:marBottom w:val="0"/>
          <w:divBdr>
            <w:top w:val="none" w:sz="0" w:space="0" w:color="auto"/>
            <w:left w:val="none" w:sz="0" w:space="0" w:color="auto"/>
            <w:bottom w:val="none" w:sz="0" w:space="0" w:color="auto"/>
            <w:right w:val="none" w:sz="0" w:space="0" w:color="auto"/>
          </w:divBdr>
        </w:div>
        <w:div w:id="736704284">
          <w:marLeft w:val="600"/>
          <w:marRight w:val="0"/>
          <w:marTop w:val="0"/>
          <w:marBottom w:val="0"/>
          <w:divBdr>
            <w:top w:val="none" w:sz="0" w:space="0" w:color="auto"/>
            <w:left w:val="none" w:sz="0" w:space="0" w:color="auto"/>
            <w:bottom w:val="none" w:sz="0" w:space="0" w:color="auto"/>
            <w:right w:val="none" w:sz="0" w:space="0" w:color="auto"/>
          </w:divBdr>
        </w:div>
        <w:div w:id="768621280">
          <w:marLeft w:val="480"/>
          <w:marRight w:val="0"/>
          <w:marTop w:val="0"/>
          <w:marBottom w:val="0"/>
          <w:divBdr>
            <w:top w:val="none" w:sz="0" w:space="0" w:color="auto"/>
            <w:left w:val="none" w:sz="0" w:space="0" w:color="auto"/>
            <w:bottom w:val="none" w:sz="0" w:space="0" w:color="auto"/>
            <w:right w:val="none" w:sz="0" w:space="0" w:color="auto"/>
          </w:divBdr>
        </w:div>
        <w:div w:id="781265617">
          <w:marLeft w:val="600"/>
          <w:marRight w:val="0"/>
          <w:marTop w:val="0"/>
          <w:marBottom w:val="0"/>
          <w:divBdr>
            <w:top w:val="none" w:sz="0" w:space="0" w:color="auto"/>
            <w:left w:val="none" w:sz="0" w:space="0" w:color="auto"/>
            <w:bottom w:val="none" w:sz="0" w:space="0" w:color="auto"/>
            <w:right w:val="none" w:sz="0" w:space="0" w:color="auto"/>
          </w:divBdr>
        </w:div>
        <w:div w:id="785196667">
          <w:marLeft w:val="480"/>
          <w:marRight w:val="0"/>
          <w:marTop w:val="0"/>
          <w:marBottom w:val="0"/>
          <w:divBdr>
            <w:top w:val="none" w:sz="0" w:space="0" w:color="auto"/>
            <w:left w:val="none" w:sz="0" w:space="0" w:color="auto"/>
            <w:bottom w:val="none" w:sz="0" w:space="0" w:color="auto"/>
            <w:right w:val="none" w:sz="0" w:space="0" w:color="auto"/>
          </w:divBdr>
        </w:div>
        <w:div w:id="806045604">
          <w:marLeft w:val="480"/>
          <w:marRight w:val="0"/>
          <w:marTop w:val="0"/>
          <w:marBottom w:val="0"/>
          <w:divBdr>
            <w:top w:val="none" w:sz="0" w:space="0" w:color="auto"/>
            <w:left w:val="none" w:sz="0" w:space="0" w:color="auto"/>
            <w:bottom w:val="none" w:sz="0" w:space="0" w:color="auto"/>
            <w:right w:val="none" w:sz="0" w:space="0" w:color="auto"/>
          </w:divBdr>
        </w:div>
        <w:div w:id="843786114">
          <w:marLeft w:val="600"/>
          <w:marRight w:val="0"/>
          <w:marTop w:val="0"/>
          <w:marBottom w:val="0"/>
          <w:divBdr>
            <w:top w:val="none" w:sz="0" w:space="0" w:color="auto"/>
            <w:left w:val="none" w:sz="0" w:space="0" w:color="auto"/>
            <w:bottom w:val="none" w:sz="0" w:space="0" w:color="auto"/>
            <w:right w:val="none" w:sz="0" w:space="0" w:color="auto"/>
          </w:divBdr>
        </w:div>
        <w:div w:id="851652332">
          <w:marLeft w:val="600"/>
          <w:marRight w:val="0"/>
          <w:marTop w:val="0"/>
          <w:marBottom w:val="0"/>
          <w:divBdr>
            <w:top w:val="none" w:sz="0" w:space="0" w:color="auto"/>
            <w:left w:val="none" w:sz="0" w:space="0" w:color="auto"/>
            <w:bottom w:val="none" w:sz="0" w:space="0" w:color="auto"/>
            <w:right w:val="none" w:sz="0" w:space="0" w:color="auto"/>
          </w:divBdr>
        </w:div>
        <w:div w:id="852454916">
          <w:marLeft w:val="600"/>
          <w:marRight w:val="0"/>
          <w:marTop w:val="0"/>
          <w:marBottom w:val="0"/>
          <w:divBdr>
            <w:top w:val="none" w:sz="0" w:space="0" w:color="auto"/>
            <w:left w:val="none" w:sz="0" w:space="0" w:color="auto"/>
            <w:bottom w:val="none" w:sz="0" w:space="0" w:color="auto"/>
            <w:right w:val="none" w:sz="0" w:space="0" w:color="auto"/>
          </w:divBdr>
        </w:div>
        <w:div w:id="912157741">
          <w:marLeft w:val="600"/>
          <w:marRight w:val="0"/>
          <w:marTop w:val="0"/>
          <w:marBottom w:val="0"/>
          <w:divBdr>
            <w:top w:val="none" w:sz="0" w:space="0" w:color="auto"/>
            <w:left w:val="none" w:sz="0" w:space="0" w:color="auto"/>
            <w:bottom w:val="none" w:sz="0" w:space="0" w:color="auto"/>
            <w:right w:val="none" w:sz="0" w:space="0" w:color="auto"/>
          </w:divBdr>
        </w:div>
        <w:div w:id="916013427">
          <w:marLeft w:val="480"/>
          <w:marRight w:val="0"/>
          <w:marTop w:val="0"/>
          <w:marBottom w:val="0"/>
          <w:divBdr>
            <w:top w:val="none" w:sz="0" w:space="0" w:color="auto"/>
            <w:left w:val="none" w:sz="0" w:space="0" w:color="auto"/>
            <w:bottom w:val="none" w:sz="0" w:space="0" w:color="auto"/>
            <w:right w:val="none" w:sz="0" w:space="0" w:color="auto"/>
          </w:divBdr>
        </w:div>
        <w:div w:id="922495789">
          <w:marLeft w:val="600"/>
          <w:marRight w:val="0"/>
          <w:marTop w:val="0"/>
          <w:marBottom w:val="0"/>
          <w:divBdr>
            <w:top w:val="none" w:sz="0" w:space="0" w:color="auto"/>
            <w:left w:val="none" w:sz="0" w:space="0" w:color="auto"/>
            <w:bottom w:val="none" w:sz="0" w:space="0" w:color="auto"/>
            <w:right w:val="none" w:sz="0" w:space="0" w:color="auto"/>
          </w:divBdr>
        </w:div>
        <w:div w:id="944993620">
          <w:marLeft w:val="480"/>
          <w:marRight w:val="0"/>
          <w:marTop w:val="0"/>
          <w:marBottom w:val="0"/>
          <w:divBdr>
            <w:top w:val="none" w:sz="0" w:space="0" w:color="auto"/>
            <w:left w:val="none" w:sz="0" w:space="0" w:color="auto"/>
            <w:bottom w:val="none" w:sz="0" w:space="0" w:color="auto"/>
            <w:right w:val="none" w:sz="0" w:space="0" w:color="auto"/>
          </w:divBdr>
        </w:div>
        <w:div w:id="967709425">
          <w:marLeft w:val="600"/>
          <w:marRight w:val="0"/>
          <w:marTop w:val="0"/>
          <w:marBottom w:val="0"/>
          <w:divBdr>
            <w:top w:val="none" w:sz="0" w:space="0" w:color="auto"/>
            <w:left w:val="none" w:sz="0" w:space="0" w:color="auto"/>
            <w:bottom w:val="none" w:sz="0" w:space="0" w:color="auto"/>
            <w:right w:val="none" w:sz="0" w:space="0" w:color="auto"/>
          </w:divBdr>
        </w:div>
        <w:div w:id="997805966">
          <w:marLeft w:val="480"/>
          <w:marRight w:val="0"/>
          <w:marTop w:val="0"/>
          <w:marBottom w:val="0"/>
          <w:divBdr>
            <w:top w:val="none" w:sz="0" w:space="0" w:color="auto"/>
            <w:left w:val="none" w:sz="0" w:space="0" w:color="auto"/>
            <w:bottom w:val="none" w:sz="0" w:space="0" w:color="auto"/>
            <w:right w:val="none" w:sz="0" w:space="0" w:color="auto"/>
          </w:divBdr>
        </w:div>
        <w:div w:id="1081682640">
          <w:marLeft w:val="600"/>
          <w:marRight w:val="0"/>
          <w:marTop w:val="0"/>
          <w:marBottom w:val="0"/>
          <w:divBdr>
            <w:top w:val="none" w:sz="0" w:space="0" w:color="auto"/>
            <w:left w:val="none" w:sz="0" w:space="0" w:color="auto"/>
            <w:bottom w:val="none" w:sz="0" w:space="0" w:color="auto"/>
            <w:right w:val="none" w:sz="0" w:space="0" w:color="auto"/>
          </w:divBdr>
        </w:div>
        <w:div w:id="1086807176">
          <w:marLeft w:val="480"/>
          <w:marRight w:val="0"/>
          <w:marTop w:val="0"/>
          <w:marBottom w:val="0"/>
          <w:divBdr>
            <w:top w:val="none" w:sz="0" w:space="0" w:color="auto"/>
            <w:left w:val="none" w:sz="0" w:space="0" w:color="auto"/>
            <w:bottom w:val="none" w:sz="0" w:space="0" w:color="auto"/>
            <w:right w:val="none" w:sz="0" w:space="0" w:color="auto"/>
          </w:divBdr>
        </w:div>
        <w:div w:id="1087535803">
          <w:marLeft w:val="480"/>
          <w:marRight w:val="0"/>
          <w:marTop w:val="0"/>
          <w:marBottom w:val="0"/>
          <w:divBdr>
            <w:top w:val="none" w:sz="0" w:space="0" w:color="auto"/>
            <w:left w:val="none" w:sz="0" w:space="0" w:color="auto"/>
            <w:bottom w:val="none" w:sz="0" w:space="0" w:color="auto"/>
            <w:right w:val="none" w:sz="0" w:space="0" w:color="auto"/>
          </w:divBdr>
        </w:div>
        <w:div w:id="1092118028">
          <w:marLeft w:val="600"/>
          <w:marRight w:val="0"/>
          <w:marTop w:val="0"/>
          <w:marBottom w:val="0"/>
          <w:divBdr>
            <w:top w:val="none" w:sz="0" w:space="0" w:color="auto"/>
            <w:left w:val="none" w:sz="0" w:space="0" w:color="auto"/>
            <w:bottom w:val="none" w:sz="0" w:space="0" w:color="auto"/>
            <w:right w:val="none" w:sz="0" w:space="0" w:color="auto"/>
          </w:divBdr>
        </w:div>
        <w:div w:id="1098453489">
          <w:marLeft w:val="600"/>
          <w:marRight w:val="0"/>
          <w:marTop w:val="0"/>
          <w:marBottom w:val="0"/>
          <w:divBdr>
            <w:top w:val="none" w:sz="0" w:space="0" w:color="auto"/>
            <w:left w:val="none" w:sz="0" w:space="0" w:color="auto"/>
            <w:bottom w:val="none" w:sz="0" w:space="0" w:color="auto"/>
            <w:right w:val="none" w:sz="0" w:space="0" w:color="auto"/>
          </w:divBdr>
        </w:div>
        <w:div w:id="1106929858">
          <w:marLeft w:val="600"/>
          <w:marRight w:val="0"/>
          <w:marTop w:val="0"/>
          <w:marBottom w:val="0"/>
          <w:divBdr>
            <w:top w:val="none" w:sz="0" w:space="0" w:color="auto"/>
            <w:left w:val="none" w:sz="0" w:space="0" w:color="auto"/>
            <w:bottom w:val="none" w:sz="0" w:space="0" w:color="auto"/>
            <w:right w:val="none" w:sz="0" w:space="0" w:color="auto"/>
          </w:divBdr>
        </w:div>
        <w:div w:id="1128746430">
          <w:marLeft w:val="480"/>
          <w:marRight w:val="0"/>
          <w:marTop w:val="0"/>
          <w:marBottom w:val="0"/>
          <w:divBdr>
            <w:top w:val="none" w:sz="0" w:space="0" w:color="auto"/>
            <w:left w:val="none" w:sz="0" w:space="0" w:color="auto"/>
            <w:bottom w:val="none" w:sz="0" w:space="0" w:color="auto"/>
            <w:right w:val="none" w:sz="0" w:space="0" w:color="auto"/>
          </w:divBdr>
        </w:div>
        <w:div w:id="1145047350">
          <w:marLeft w:val="480"/>
          <w:marRight w:val="0"/>
          <w:marTop w:val="0"/>
          <w:marBottom w:val="0"/>
          <w:divBdr>
            <w:top w:val="none" w:sz="0" w:space="0" w:color="auto"/>
            <w:left w:val="none" w:sz="0" w:space="0" w:color="auto"/>
            <w:bottom w:val="none" w:sz="0" w:space="0" w:color="auto"/>
            <w:right w:val="none" w:sz="0" w:space="0" w:color="auto"/>
          </w:divBdr>
        </w:div>
        <w:div w:id="1184710069">
          <w:marLeft w:val="600"/>
          <w:marRight w:val="0"/>
          <w:marTop w:val="0"/>
          <w:marBottom w:val="0"/>
          <w:divBdr>
            <w:top w:val="none" w:sz="0" w:space="0" w:color="auto"/>
            <w:left w:val="none" w:sz="0" w:space="0" w:color="auto"/>
            <w:bottom w:val="none" w:sz="0" w:space="0" w:color="auto"/>
            <w:right w:val="none" w:sz="0" w:space="0" w:color="auto"/>
          </w:divBdr>
        </w:div>
        <w:div w:id="1191990990">
          <w:marLeft w:val="600"/>
          <w:marRight w:val="0"/>
          <w:marTop w:val="0"/>
          <w:marBottom w:val="0"/>
          <w:divBdr>
            <w:top w:val="none" w:sz="0" w:space="0" w:color="auto"/>
            <w:left w:val="none" w:sz="0" w:space="0" w:color="auto"/>
            <w:bottom w:val="none" w:sz="0" w:space="0" w:color="auto"/>
            <w:right w:val="none" w:sz="0" w:space="0" w:color="auto"/>
          </w:divBdr>
        </w:div>
        <w:div w:id="1268466042">
          <w:marLeft w:val="480"/>
          <w:marRight w:val="0"/>
          <w:marTop w:val="0"/>
          <w:marBottom w:val="0"/>
          <w:divBdr>
            <w:top w:val="none" w:sz="0" w:space="0" w:color="auto"/>
            <w:left w:val="none" w:sz="0" w:space="0" w:color="auto"/>
            <w:bottom w:val="none" w:sz="0" w:space="0" w:color="auto"/>
            <w:right w:val="none" w:sz="0" w:space="0" w:color="auto"/>
          </w:divBdr>
        </w:div>
        <w:div w:id="1271662270">
          <w:marLeft w:val="600"/>
          <w:marRight w:val="0"/>
          <w:marTop w:val="0"/>
          <w:marBottom w:val="0"/>
          <w:divBdr>
            <w:top w:val="none" w:sz="0" w:space="0" w:color="auto"/>
            <w:left w:val="none" w:sz="0" w:space="0" w:color="auto"/>
            <w:bottom w:val="none" w:sz="0" w:space="0" w:color="auto"/>
            <w:right w:val="none" w:sz="0" w:space="0" w:color="auto"/>
          </w:divBdr>
        </w:div>
        <w:div w:id="1289509331">
          <w:marLeft w:val="480"/>
          <w:marRight w:val="0"/>
          <w:marTop w:val="0"/>
          <w:marBottom w:val="0"/>
          <w:divBdr>
            <w:top w:val="none" w:sz="0" w:space="0" w:color="auto"/>
            <w:left w:val="none" w:sz="0" w:space="0" w:color="auto"/>
            <w:bottom w:val="none" w:sz="0" w:space="0" w:color="auto"/>
            <w:right w:val="none" w:sz="0" w:space="0" w:color="auto"/>
          </w:divBdr>
        </w:div>
        <w:div w:id="1314481013">
          <w:marLeft w:val="480"/>
          <w:marRight w:val="0"/>
          <w:marTop w:val="0"/>
          <w:marBottom w:val="0"/>
          <w:divBdr>
            <w:top w:val="none" w:sz="0" w:space="0" w:color="auto"/>
            <w:left w:val="none" w:sz="0" w:space="0" w:color="auto"/>
            <w:bottom w:val="none" w:sz="0" w:space="0" w:color="auto"/>
            <w:right w:val="none" w:sz="0" w:space="0" w:color="auto"/>
          </w:divBdr>
        </w:div>
        <w:div w:id="1348601480">
          <w:marLeft w:val="480"/>
          <w:marRight w:val="0"/>
          <w:marTop w:val="0"/>
          <w:marBottom w:val="0"/>
          <w:divBdr>
            <w:top w:val="none" w:sz="0" w:space="0" w:color="auto"/>
            <w:left w:val="none" w:sz="0" w:space="0" w:color="auto"/>
            <w:bottom w:val="none" w:sz="0" w:space="0" w:color="auto"/>
            <w:right w:val="none" w:sz="0" w:space="0" w:color="auto"/>
          </w:divBdr>
        </w:div>
        <w:div w:id="1351178088">
          <w:marLeft w:val="720"/>
          <w:marRight w:val="0"/>
          <w:marTop w:val="0"/>
          <w:marBottom w:val="0"/>
          <w:divBdr>
            <w:top w:val="none" w:sz="0" w:space="0" w:color="auto"/>
            <w:left w:val="none" w:sz="0" w:space="0" w:color="auto"/>
            <w:bottom w:val="none" w:sz="0" w:space="0" w:color="auto"/>
            <w:right w:val="none" w:sz="0" w:space="0" w:color="auto"/>
          </w:divBdr>
        </w:div>
        <w:div w:id="1365905741">
          <w:marLeft w:val="480"/>
          <w:marRight w:val="0"/>
          <w:marTop w:val="0"/>
          <w:marBottom w:val="0"/>
          <w:divBdr>
            <w:top w:val="none" w:sz="0" w:space="0" w:color="auto"/>
            <w:left w:val="none" w:sz="0" w:space="0" w:color="auto"/>
            <w:bottom w:val="none" w:sz="0" w:space="0" w:color="auto"/>
            <w:right w:val="none" w:sz="0" w:space="0" w:color="auto"/>
          </w:divBdr>
        </w:div>
        <w:div w:id="1375933057">
          <w:marLeft w:val="600"/>
          <w:marRight w:val="0"/>
          <w:marTop w:val="0"/>
          <w:marBottom w:val="0"/>
          <w:divBdr>
            <w:top w:val="none" w:sz="0" w:space="0" w:color="auto"/>
            <w:left w:val="none" w:sz="0" w:space="0" w:color="auto"/>
            <w:bottom w:val="none" w:sz="0" w:space="0" w:color="auto"/>
            <w:right w:val="none" w:sz="0" w:space="0" w:color="auto"/>
          </w:divBdr>
        </w:div>
        <w:div w:id="1378315722">
          <w:marLeft w:val="600"/>
          <w:marRight w:val="0"/>
          <w:marTop w:val="0"/>
          <w:marBottom w:val="0"/>
          <w:divBdr>
            <w:top w:val="none" w:sz="0" w:space="0" w:color="auto"/>
            <w:left w:val="none" w:sz="0" w:space="0" w:color="auto"/>
            <w:bottom w:val="none" w:sz="0" w:space="0" w:color="auto"/>
            <w:right w:val="none" w:sz="0" w:space="0" w:color="auto"/>
          </w:divBdr>
        </w:div>
        <w:div w:id="1393387877">
          <w:marLeft w:val="480"/>
          <w:marRight w:val="0"/>
          <w:marTop w:val="0"/>
          <w:marBottom w:val="0"/>
          <w:divBdr>
            <w:top w:val="none" w:sz="0" w:space="0" w:color="auto"/>
            <w:left w:val="none" w:sz="0" w:space="0" w:color="auto"/>
            <w:bottom w:val="none" w:sz="0" w:space="0" w:color="auto"/>
            <w:right w:val="none" w:sz="0" w:space="0" w:color="auto"/>
          </w:divBdr>
        </w:div>
        <w:div w:id="1441337085">
          <w:marLeft w:val="600"/>
          <w:marRight w:val="0"/>
          <w:marTop w:val="0"/>
          <w:marBottom w:val="0"/>
          <w:divBdr>
            <w:top w:val="none" w:sz="0" w:space="0" w:color="auto"/>
            <w:left w:val="none" w:sz="0" w:space="0" w:color="auto"/>
            <w:bottom w:val="none" w:sz="0" w:space="0" w:color="auto"/>
            <w:right w:val="none" w:sz="0" w:space="0" w:color="auto"/>
          </w:divBdr>
        </w:div>
        <w:div w:id="1441990970">
          <w:marLeft w:val="480"/>
          <w:marRight w:val="0"/>
          <w:marTop w:val="0"/>
          <w:marBottom w:val="0"/>
          <w:divBdr>
            <w:top w:val="none" w:sz="0" w:space="0" w:color="auto"/>
            <w:left w:val="none" w:sz="0" w:space="0" w:color="auto"/>
            <w:bottom w:val="none" w:sz="0" w:space="0" w:color="auto"/>
            <w:right w:val="none" w:sz="0" w:space="0" w:color="auto"/>
          </w:divBdr>
        </w:div>
        <w:div w:id="1447115673">
          <w:marLeft w:val="600"/>
          <w:marRight w:val="0"/>
          <w:marTop w:val="0"/>
          <w:marBottom w:val="0"/>
          <w:divBdr>
            <w:top w:val="none" w:sz="0" w:space="0" w:color="auto"/>
            <w:left w:val="none" w:sz="0" w:space="0" w:color="auto"/>
            <w:bottom w:val="none" w:sz="0" w:space="0" w:color="auto"/>
            <w:right w:val="none" w:sz="0" w:space="0" w:color="auto"/>
          </w:divBdr>
        </w:div>
        <w:div w:id="1455714246">
          <w:marLeft w:val="600"/>
          <w:marRight w:val="0"/>
          <w:marTop w:val="0"/>
          <w:marBottom w:val="0"/>
          <w:divBdr>
            <w:top w:val="none" w:sz="0" w:space="0" w:color="auto"/>
            <w:left w:val="none" w:sz="0" w:space="0" w:color="auto"/>
            <w:bottom w:val="none" w:sz="0" w:space="0" w:color="auto"/>
            <w:right w:val="none" w:sz="0" w:space="0" w:color="auto"/>
          </w:divBdr>
        </w:div>
        <w:div w:id="1459715998">
          <w:marLeft w:val="600"/>
          <w:marRight w:val="0"/>
          <w:marTop w:val="0"/>
          <w:marBottom w:val="0"/>
          <w:divBdr>
            <w:top w:val="none" w:sz="0" w:space="0" w:color="auto"/>
            <w:left w:val="none" w:sz="0" w:space="0" w:color="auto"/>
            <w:bottom w:val="none" w:sz="0" w:space="0" w:color="auto"/>
            <w:right w:val="none" w:sz="0" w:space="0" w:color="auto"/>
          </w:divBdr>
        </w:div>
        <w:div w:id="1503474791">
          <w:marLeft w:val="600"/>
          <w:marRight w:val="0"/>
          <w:marTop w:val="0"/>
          <w:marBottom w:val="0"/>
          <w:divBdr>
            <w:top w:val="none" w:sz="0" w:space="0" w:color="auto"/>
            <w:left w:val="none" w:sz="0" w:space="0" w:color="auto"/>
            <w:bottom w:val="none" w:sz="0" w:space="0" w:color="auto"/>
            <w:right w:val="none" w:sz="0" w:space="0" w:color="auto"/>
          </w:divBdr>
        </w:div>
        <w:div w:id="1516114408">
          <w:marLeft w:val="600"/>
          <w:marRight w:val="0"/>
          <w:marTop w:val="0"/>
          <w:marBottom w:val="0"/>
          <w:divBdr>
            <w:top w:val="none" w:sz="0" w:space="0" w:color="auto"/>
            <w:left w:val="none" w:sz="0" w:space="0" w:color="auto"/>
            <w:bottom w:val="none" w:sz="0" w:space="0" w:color="auto"/>
            <w:right w:val="none" w:sz="0" w:space="0" w:color="auto"/>
          </w:divBdr>
        </w:div>
        <w:div w:id="1547568548">
          <w:marLeft w:val="600"/>
          <w:marRight w:val="0"/>
          <w:marTop w:val="0"/>
          <w:marBottom w:val="0"/>
          <w:divBdr>
            <w:top w:val="none" w:sz="0" w:space="0" w:color="auto"/>
            <w:left w:val="none" w:sz="0" w:space="0" w:color="auto"/>
            <w:bottom w:val="none" w:sz="0" w:space="0" w:color="auto"/>
            <w:right w:val="none" w:sz="0" w:space="0" w:color="auto"/>
          </w:divBdr>
        </w:div>
        <w:div w:id="1604338053">
          <w:marLeft w:val="720"/>
          <w:marRight w:val="0"/>
          <w:marTop w:val="0"/>
          <w:marBottom w:val="0"/>
          <w:divBdr>
            <w:top w:val="none" w:sz="0" w:space="0" w:color="auto"/>
            <w:left w:val="none" w:sz="0" w:space="0" w:color="auto"/>
            <w:bottom w:val="none" w:sz="0" w:space="0" w:color="auto"/>
            <w:right w:val="none" w:sz="0" w:space="0" w:color="auto"/>
          </w:divBdr>
        </w:div>
        <w:div w:id="1635595879">
          <w:marLeft w:val="480"/>
          <w:marRight w:val="0"/>
          <w:marTop w:val="0"/>
          <w:marBottom w:val="0"/>
          <w:divBdr>
            <w:top w:val="none" w:sz="0" w:space="0" w:color="auto"/>
            <w:left w:val="none" w:sz="0" w:space="0" w:color="auto"/>
            <w:bottom w:val="none" w:sz="0" w:space="0" w:color="auto"/>
            <w:right w:val="none" w:sz="0" w:space="0" w:color="auto"/>
          </w:divBdr>
        </w:div>
        <w:div w:id="1696541831">
          <w:marLeft w:val="480"/>
          <w:marRight w:val="0"/>
          <w:marTop w:val="0"/>
          <w:marBottom w:val="0"/>
          <w:divBdr>
            <w:top w:val="none" w:sz="0" w:space="0" w:color="auto"/>
            <w:left w:val="none" w:sz="0" w:space="0" w:color="auto"/>
            <w:bottom w:val="none" w:sz="0" w:space="0" w:color="auto"/>
            <w:right w:val="none" w:sz="0" w:space="0" w:color="auto"/>
          </w:divBdr>
        </w:div>
        <w:div w:id="1700202641">
          <w:marLeft w:val="600"/>
          <w:marRight w:val="0"/>
          <w:marTop w:val="0"/>
          <w:marBottom w:val="0"/>
          <w:divBdr>
            <w:top w:val="none" w:sz="0" w:space="0" w:color="auto"/>
            <w:left w:val="none" w:sz="0" w:space="0" w:color="auto"/>
            <w:bottom w:val="none" w:sz="0" w:space="0" w:color="auto"/>
            <w:right w:val="none" w:sz="0" w:space="0" w:color="auto"/>
          </w:divBdr>
        </w:div>
        <w:div w:id="1703044881">
          <w:marLeft w:val="600"/>
          <w:marRight w:val="0"/>
          <w:marTop w:val="0"/>
          <w:marBottom w:val="0"/>
          <w:divBdr>
            <w:top w:val="none" w:sz="0" w:space="0" w:color="auto"/>
            <w:left w:val="none" w:sz="0" w:space="0" w:color="auto"/>
            <w:bottom w:val="none" w:sz="0" w:space="0" w:color="auto"/>
            <w:right w:val="none" w:sz="0" w:space="0" w:color="auto"/>
          </w:divBdr>
        </w:div>
        <w:div w:id="1704861919">
          <w:marLeft w:val="600"/>
          <w:marRight w:val="0"/>
          <w:marTop w:val="0"/>
          <w:marBottom w:val="0"/>
          <w:divBdr>
            <w:top w:val="none" w:sz="0" w:space="0" w:color="auto"/>
            <w:left w:val="none" w:sz="0" w:space="0" w:color="auto"/>
            <w:bottom w:val="none" w:sz="0" w:space="0" w:color="auto"/>
            <w:right w:val="none" w:sz="0" w:space="0" w:color="auto"/>
          </w:divBdr>
        </w:div>
        <w:div w:id="1707022755">
          <w:marLeft w:val="600"/>
          <w:marRight w:val="0"/>
          <w:marTop w:val="0"/>
          <w:marBottom w:val="0"/>
          <w:divBdr>
            <w:top w:val="none" w:sz="0" w:space="0" w:color="auto"/>
            <w:left w:val="none" w:sz="0" w:space="0" w:color="auto"/>
            <w:bottom w:val="none" w:sz="0" w:space="0" w:color="auto"/>
            <w:right w:val="none" w:sz="0" w:space="0" w:color="auto"/>
          </w:divBdr>
        </w:div>
        <w:div w:id="1731657752">
          <w:marLeft w:val="600"/>
          <w:marRight w:val="0"/>
          <w:marTop w:val="0"/>
          <w:marBottom w:val="0"/>
          <w:divBdr>
            <w:top w:val="none" w:sz="0" w:space="0" w:color="auto"/>
            <w:left w:val="none" w:sz="0" w:space="0" w:color="auto"/>
            <w:bottom w:val="none" w:sz="0" w:space="0" w:color="auto"/>
            <w:right w:val="none" w:sz="0" w:space="0" w:color="auto"/>
          </w:divBdr>
        </w:div>
        <w:div w:id="1806392250">
          <w:marLeft w:val="480"/>
          <w:marRight w:val="0"/>
          <w:marTop w:val="0"/>
          <w:marBottom w:val="0"/>
          <w:divBdr>
            <w:top w:val="none" w:sz="0" w:space="0" w:color="auto"/>
            <w:left w:val="none" w:sz="0" w:space="0" w:color="auto"/>
            <w:bottom w:val="none" w:sz="0" w:space="0" w:color="auto"/>
            <w:right w:val="none" w:sz="0" w:space="0" w:color="auto"/>
          </w:divBdr>
        </w:div>
        <w:div w:id="1830829852">
          <w:marLeft w:val="720"/>
          <w:marRight w:val="0"/>
          <w:marTop w:val="0"/>
          <w:marBottom w:val="0"/>
          <w:divBdr>
            <w:top w:val="none" w:sz="0" w:space="0" w:color="auto"/>
            <w:left w:val="none" w:sz="0" w:space="0" w:color="auto"/>
            <w:bottom w:val="none" w:sz="0" w:space="0" w:color="auto"/>
            <w:right w:val="none" w:sz="0" w:space="0" w:color="auto"/>
          </w:divBdr>
        </w:div>
        <w:div w:id="1837568425">
          <w:marLeft w:val="600"/>
          <w:marRight w:val="0"/>
          <w:marTop w:val="0"/>
          <w:marBottom w:val="0"/>
          <w:divBdr>
            <w:top w:val="none" w:sz="0" w:space="0" w:color="auto"/>
            <w:left w:val="none" w:sz="0" w:space="0" w:color="auto"/>
            <w:bottom w:val="none" w:sz="0" w:space="0" w:color="auto"/>
            <w:right w:val="none" w:sz="0" w:space="0" w:color="auto"/>
          </w:divBdr>
        </w:div>
        <w:div w:id="1850754031">
          <w:marLeft w:val="480"/>
          <w:marRight w:val="0"/>
          <w:marTop w:val="0"/>
          <w:marBottom w:val="0"/>
          <w:divBdr>
            <w:top w:val="none" w:sz="0" w:space="0" w:color="auto"/>
            <w:left w:val="none" w:sz="0" w:space="0" w:color="auto"/>
            <w:bottom w:val="none" w:sz="0" w:space="0" w:color="auto"/>
            <w:right w:val="none" w:sz="0" w:space="0" w:color="auto"/>
          </w:divBdr>
        </w:div>
        <w:div w:id="1897354617">
          <w:marLeft w:val="600"/>
          <w:marRight w:val="0"/>
          <w:marTop w:val="0"/>
          <w:marBottom w:val="0"/>
          <w:divBdr>
            <w:top w:val="none" w:sz="0" w:space="0" w:color="auto"/>
            <w:left w:val="none" w:sz="0" w:space="0" w:color="auto"/>
            <w:bottom w:val="none" w:sz="0" w:space="0" w:color="auto"/>
            <w:right w:val="none" w:sz="0" w:space="0" w:color="auto"/>
          </w:divBdr>
        </w:div>
        <w:div w:id="1900045661">
          <w:marLeft w:val="720"/>
          <w:marRight w:val="0"/>
          <w:marTop w:val="0"/>
          <w:marBottom w:val="0"/>
          <w:divBdr>
            <w:top w:val="none" w:sz="0" w:space="0" w:color="auto"/>
            <w:left w:val="none" w:sz="0" w:space="0" w:color="auto"/>
            <w:bottom w:val="none" w:sz="0" w:space="0" w:color="auto"/>
            <w:right w:val="none" w:sz="0" w:space="0" w:color="auto"/>
          </w:divBdr>
        </w:div>
        <w:div w:id="1922399958">
          <w:marLeft w:val="600"/>
          <w:marRight w:val="0"/>
          <w:marTop w:val="0"/>
          <w:marBottom w:val="0"/>
          <w:divBdr>
            <w:top w:val="none" w:sz="0" w:space="0" w:color="auto"/>
            <w:left w:val="none" w:sz="0" w:space="0" w:color="auto"/>
            <w:bottom w:val="none" w:sz="0" w:space="0" w:color="auto"/>
            <w:right w:val="none" w:sz="0" w:space="0" w:color="auto"/>
          </w:divBdr>
        </w:div>
        <w:div w:id="1936161301">
          <w:marLeft w:val="600"/>
          <w:marRight w:val="0"/>
          <w:marTop w:val="0"/>
          <w:marBottom w:val="0"/>
          <w:divBdr>
            <w:top w:val="none" w:sz="0" w:space="0" w:color="auto"/>
            <w:left w:val="none" w:sz="0" w:space="0" w:color="auto"/>
            <w:bottom w:val="none" w:sz="0" w:space="0" w:color="auto"/>
            <w:right w:val="none" w:sz="0" w:space="0" w:color="auto"/>
          </w:divBdr>
        </w:div>
        <w:div w:id="1951667602">
          <w:marLeft w:val="600"/>
          <w:marRight w:val="0"/>
          <w:marTop w:val="0"/>
          <w:marBottom w:val="0"/>
          <w:divBdr>
            <w:top w:val="none" w:sz="0" w:space="0" w:color="auto"/>
            <w:left w:val="none" w:sz="0" w:space="0" w:color="auto"/>
            <w:bottom w:val="none" w:sz="0" w:space="0" w:color="auto"/>
            <w:right w:val="none" w:sz="0" w:space="0" w:color="auto"/>
          </w:divBdr>
        </w:div>
        <w:div w:id="1955167255">
          <w:marLeft w:val="600"/>
          <w:marRight w:val="0"/>
          <w:marTop w:val="0"/>
          <w:marBottom w:val="0"/>
          <w:divBdr>
            <w:top w:val="none" w:sz="0" w:space="0" w:color="auto"/>
            <w:left w:val="none" w:sz="0" w:space="0" w:color="auto"/>
            <w:bottom w:val="none" w:sz="0" w:space="0" w:color="auto"/>
            <w:right w:val="none" w:sz="0" w:space="0" w:color="auto"/>
          </w:divBdr>
        </w:div>
        <w:div w:id="1957832382">
          <w:marLeft w:val="480"/>
          <w:marRight w:val="0"/>
          <w:marTop w:val="0"/>
          <w:marBottom w:val="0"/>
          <w:divBdr>
            <w:top w:val="none" w:sz="0" w:space="0" w:color="auto"/>
            <w:left w:val="none" w:sz="0" w:space="0" w:color="auto"/>
            <w:bottom w:val="none" w:sz="0" w:space="0" w:color="auto"/>
            <w:right w:val="none" w:sz="0" w:space="0" w:color="auto"/>
          </w:divBdr>
        </w:div>
        <w:div w:id="1960262243">
          <w:marLeft w:val="600"/>
          <w:marRight w:val="0"/>
          <w:marTop w:val="0"/>
          <w:marBottom w:val="0"/>
          <w:divBdr>
            <w:top w:val="none" w:sz="0" w:space="0" w:color="auto"/>
            <w:left w:val="none" w:sz="0" w:space="0" w:color="auto"/>
            <w:bottom w:val="none" w:sz="0" w:space="0" w:color="auto"/>
            <w:right w:val="none" w:sz="0" w:space="0" w:color="auto"/>
          </w:divBdr>
        </w:div>
        <w:div w:id="2006778907">
          <w:marLeft w:val="600"/>
          <w:marRight w:val="0"/>
          <w:marTop w:val="0"/>
          <w:marBottom w:val="0"/>
          <w:divBdr>
            <w:top w:val="none" w:sz="0" w:space="0" w:color="auto"/>
            <w:left w:val="none" w:sz="0" w:space="0" w:color="auto"/>
            <w:bottom w:val="none" w:sz="0" w:space="0" w:color="auto"/>
            <w:right w:val="none" w:sz="0" w:space="0" w:color="auto"/>
          </w:divBdr>
        </w:div>
        <w:div w:id="2016224490">
          <w:marLeft w:val="480"/>
          <w:marRight w:val="0"/>
          <w:marTop w:val="0"/>
          <w:marBottom w:val="0"/>
          <w:divBdr>
            <w:top w:val="none" w:sz="0" w:space="0" w:color="auto"/>
            <w:left w:val="none" w:sz="0" w:space="0" w:color="auto"/>
            <w:bottom w:val="none" w:sz="0" w:space="0" w:color="auto"/>
            <w:right w:val="none" w:sz="0" w:space="0" w:color="auto"/>
          </w:divBdr>
        </w:div>
        <w:div w:id="2052996249">
          <w:marLeft w:val="600"/>
          <w:marRight w:val="0"/>
          <w:marTop w:val="0"/>
          <w:marBottom w:val="0"/>
          <w:divBdr>
            <w:top w:val="none" w:sz="0" w:space="0" w:color="auto"/>
            <w:left w:val="none" w:sz="0" w:space="0" w:color="auto"/>
            <w:bottom w:val="none" w:sz="0" w:space="0" w:color="auto"/>
            <w:right w:val="none" w:sz="0" w:space="0" w:color="auto"/>
          </w:divBdr>
        </w:div>
        <w:div w:id="2058700668">
          <w:marLeft w:val="600"/>
          <w:marRight w:val="0"/>
          <w:marTop w:val="0"/>
          <w:marBottom w:val="0"/>
          <w:divBdr>
            <w:top w:val="none" w:sz="0" w:space="0" w:color="auto"/>
            <w:left w:val="none" w:sz="0" w:space="0" w:color="auto"/>
            <w:bottom w:val="none" w:sz="0" w:space="0" w:color="auto"/>
            <w:right w:val="none" w:sz="0" w:space="0" w:color="auto"/>
          </w:divBdr>
        </w:div>
        <w:div w:id="2072732531">
          <w:marLeft w:val="600"/>
          <w:marRight w:val="0"/>
          <w:marTop w:val="0"/>
          <w:marBottom w:val="0"/>
          <w:divBdr>
            <w:top w:val="none" w:sz="0" w:space="0" w:color="auto"/>
            <w:left w:val="none" w:sz="0" w:space="0" w:color="auto"/>
            <w:bottom w:val="none" w:sz="0" w:space="0" w:color="auto"/>
            <w:right w:val="none" w:sz="0" w:space="0" w:color="auto"/>
          </w:divBdr>
        </w:div>
        <w:div w:id="2074110457">
          <w:marLeft w:val="480"/>
          <w:marRight w:val="0"/>
          <w:marTop w:val="0"/>
          <w:marBottom w:val="0"/>
          <w:divBdr>
            <w:top w:val="none" w:sz="0" w:space="0" w:color="auto"/>
            <w:left w:val="none" w:sz="0" w:space="0" w:color="auto"/>
            <w:bottom w:val="none" w:sz="0" w:space="0" w:color="auto"/>
            <w:right w:val="none" w:sz="0" w:space="0" w:color="auto"/>
          </w:divBdr>
        </w:div>
        <w:div w:id="2074153690">
          <w:marLeft w:val="600"/>
          <w:marRight w:val="0"/>
          <w:marTop w:val="0"/>
          <w:marBottom w:val="0"/>
          <w:divBdr>
            <w:top w:val="none" w:sz="0" w:space="0" w:color="auto"/>
            <w:left w:val="none" w:sz="0" w:space="0" w:color="auto"/>
            <w:bottom w:val="none" w:sz="0" w:space="0" w:color="auto"/>
            <w:right w:val="none" w:sz="0" w:space="0" w:color="auto"/>
          </w:divBdr>
        </w:div>
        <w:div w:id="2075353240">
          <w:marLeft w:val="600"/>
          <w:marRight w:val="0"/>
          <w:marTop w:val="0"/>
          <w:marBottom w:val="0"/>
          <w:divBdr>
            <w:top w:val="none" w:sz="0" w:space="0" w:color="auto"/>
            <w:left w:val="none" w:sz="0" w:space="0" w:color="auto"/>
            <w:bottom w:val="none" w:sz="0" w:space="0" w:color="auto"/>
            <w:right w:val="none" w:sz="0" w:space="0" w:color="auto"/>
          </w:divBdr>
        </w:div>
        <w:div w:id="2086756451">
          <w:marLeft w:val="480"/>
          <w:marRight w:val="0"/>
          <w:marTop w:val="0"/>
          <w:marBottom w:val="0"/>
          <w:divBdr>
            <w:top w:val="none" w:sz="0" w:space="0" w:color="auto"/>
            <w:left w:val="none" w:sz="0" w:space="0" w:color="auto"/>
            <w:bottom w:val="none" w:sz="0" w:space="0" w:color="auto"/>
            <w:right w:val="none" w:sz="0" w:space="0" w:color="auto"/>
          </w:divBdr>
        </w:div>
        <w:div w:id="2092308187">
          <w:marLeft w:val="720"/>
          <w:marRight w:val="0"/>
          <w:marTop w:val="0"/>
          <w:marBottom w:val="0"/>
          <w:divBdr>
            <w:top w:val="none" w:sz="0" w:space="0" w:color="auto"/>
            <w:left w:val="none" w:sz="0" w:space="0" w:color="auto"/>
            <w:bottom w:val="none" w:sz="0" w:space="0" w:color="auto"/>
            <w:right w:val="none" w:sz="0" w:space="0" w:color="auto"/>
          </w:divBdr>
        </w:div>
        <w:div w:id="2106730810">
          <w:marLeft w:val="480"/>
          <w:marRight w:val="0"/>
          <w:marTop w:val="0"/>
          <w:marBottom w:val="0"/>
          <w:divBdr>
            <w:top w:val="none" w:sz="0" w:space="0" w:color="auto"/>
            <w:left w:val="none" w:sz="0" w:space="0" w:color="auto"/>
            <w:bottom w:val="none" w:sz="0" w:space="0" w:color="auto"/>
            <w:right w:val="none" w:sz="0" w:space="0" w:color="auto"/>
          </w:divBdr>
        </w:div>
      </w:divsChild>
    </w:div>
    <w:div w:id="309405683">
      <w:bodyDiv w:val="1"/>
      <w:marLeft w:val="0"/>
      <w:marRight w:val="0"/>
      <w:marTop w:val="0"/>
      <w:marBottom w:val="0"/>
      <w:divBdr>
        <w:top w:val="none" w:sz="0" w:space="0" w:color="auto"/>
        <w:left w:val="none" w:sz="0" w:space="0" w:color="auto"/>
        <w:bottom w:val="none" w:sz="0" w:space="0" w:color="auto"/>
        <w:right w:val="none" w:sz="0" w:space="0" w:color="auto"/>
      </w:divBdr>
    </w:div>
    <w:div w:id="323894159">
      <w:bodyDiv w:val="1"/>
      <w:marLeft w:val="0"/>
      <w:marRight w:val="0"/>
      <w:marTop w:val="0"/>
      <w:marBottom w:val="0"/>
      <w:divBdr>
        <w:top w:val="none" w:sz="0" w:space="0" w:color="auto"/>
        <w:left w:val="none" w:sz="0" w:space="0" w:color="auto"/>
        <w:bottom w:val="none" w:sz="0" w:space="0" w:color="auto"/>
        <w:right w:val="none" w:sz="0" w:space="0" w:color="auto"/>
      </w:divBdr>
    </w:div>
    <w:div w:id="353264382">
      <w:bodyDiv w:val="1"/>
      <w:marLeft w:val="0"/>
      <w:marRight w:val="0"/>
      <w:marTop w:val="0"/>
      <w:marBottom w:val="0"/>
      <w:divBdr>
        <w:top w:val="none" w:sz="0" w:space="0" w:color="auto"/>
        <w:left w:val="none" w:sz="0" w:space="0" w:color="auto"/>
        <w:bottom w:val="none" w:sz="0" w:space="0" w:color="auto"/>
        <w:right w:val="none" w:sz="0" w:space="0" w:color="auto"/>
      </w:divBdr>
    </w:div>
    <w:div w:id="471601466">
      <w:bodyDiv w:val="1"/>
      <w:marLeft w:val="0"/>
      <w:marRight w:val="0"/>
      <w:marTop w:val="0"/>
      <w:marBottom w:val="0"/>
      <w:divBdr>
        <w:top w:val="none" w:sz="0" w:space="0" w:color="auto"/>
        <w:left w:val="none" w:sz="0" w:space="0" w:color="auto"/>
        <w:bottom w:val="none" w:sz="0" w:space="0" w:color="auto"/>
        <w:right w:val="none" w:sz="0" w:space="0" w:color="auto"/>
      </w:divBdr>
      <w:divsChild>
        <w:div w:id="21787697">
          <w:marLeft w:val="0"/>
          <w:marRight w:val="0"/>
          <w:marTop w:val="0"/>
          <w:marBottom w:val="0"/>
          <w:divBdr>
            <w:top w:val="none" w:sz="0" w:space="0" w:color="auto"/>
            <w:left w:val="none" w:sz="0" w:space="0" w:color="auto"/>
            <w:bottom w:val="none" w:sz="0" w:space="0" w:color="auto"/>
            <w:right w:val="none" w:sz="0" w:space="0" w:color="auto"/>
          </w:divBdr>
          <w:divsChild>
            <w:div w:id="726953635">
              <w:marLeft w:val="0"/>
              <w:marRight w:val="0"/>
              <w:marTop w:val="0"/>
              <w:marBottom w:val="0"/>
              <w:divBdr>
                <w:top w:val="none" w:sz="0" w:space="0" w:color="auto"/>
                <w:left w:val="none" w:sz="0" w:space="0" w:color="auto"/>
                <w:bottom w:val="none" w:sz="0" w:space="0" w:color="auto"/>
                <w:right w:val="none" w:sz="0" w:space="0" w:color="auto"/>
              </w:divBdr>
            </w:div>
          </w:divsChild>
        </w:div>
        <w:div w:id="390275837">
          <w:marLeft w:val="0"/>
          <w:marRight w:val="0"/>
          <w:marTop w:val="0"/>
          <w:marBottom w:val="0"/>
          <w:divBdr>
            <w:top w:val="none" w:sz="0" w:space="0" w:color="auto"/>
            <w:left w:val="none" w:sz="0" w:space="0" w:color="auto"/>
            <w:bottom w:val="none" w:sz="0" w:space="0" w:color="auto"/>
            <w:right w:val="none" w:sz="0" w:space="0" w:color="auto"/>
          </w:divBdr>
          <w:divsChild>
            <w:div w:id="96020373">
              <w:marLeft w:val="0"/>
              <w:marRight w:val="0"/>
              <w:marTop w:val="0"/>
              <w:marBottom w:val="0"/>
              <w:divBdr>
                <w:top w:val="none" w:sz="0" w:space="0" w:color="auto"/>
                <w:left w:val="none" w:sz="0" w:space="0" w:color="auto"/>
                <w:bottom w:val="none" w:sz="0" w:space="0" w:color="auto"/>
                <w:right w:val="none" w:sz="0" w:space="0" w:color="auto"/>
              </w:divBdr>
            </w:div>
          </w:divsChild>
        </w:div>
        <w:div w:id="663436052">
          <w:marLeft w:val="0"/>
          <w:marRight w:val="0"/>
          <w:marTop w:val="0"/>
          <w:marBottom w:val="0"/>
          <w:divBdr>
            <w:top w:val="none" w:sz="0" w:space="0" w:color="auto"/>
            <w:left w:val="none" w:sz="0" w:space="0" w:color="auto"/>
            <w:bottom w:val="none" w:sz="0" w:space="0" w:color="auto"/>
            <w:right w:val="none" w:sz="0" w:space="0" w:color="auto"/>
          </w:divBdr>
          <w:divsChild>
            <w:div w:id="738941439">
              <w:marLeft w:val="0"/>
              <w:marRight w:val="0"/>
              <w:marTop w:val="0"/>
              <w:marBottom w:val="0"/>
              <w:divBdr>
                <w:top w:val="none" w:sz="0" w:space="0" w:color="auto"/>
                <w:left w:val="none" w:sz="0" w:space="0" w:color="auto"/>
                <w:bottom w:val="none" w:sz="0" w:space="0" w:color="auto"/>
                <w:right w:val="none" w:sz="0" w:space="0" w:color="auto"/>
              </w:divBdr>
            </w:div>
          </w:divsChild>
        </w:div>
        <w:div w:id="744835582">
          <w:marLeft w:val="0"/>
          <w:marRight w:val="0"/>
          <w:marTop w:val="0"/>
          <w:marBottom w:val="0"/>
          <w:divBdr>
            <w:top w:val="none" w:sz="0" w:space="0" w:color="auto"/>
            <w:left w:val="none" w:sz="0" w:space="0" w:color="auto"/>
            <w:bottom w:val="none" w:sz="0" w:space="0" w:color="auto"/>
            <w:right w:val="none" w:sz="0" w:space="0" w:color="auto"/>
          </w:divBdr>
          <w:divsChild>
            <w:div w:id="27607226">
              <w:marLeft w:val="0"/>
              <w:marRight w:val="0"/>
              <w:marTop w:val="0"/>
              <w:marBottom w:val="0"/>
              <w:divBdr>
                <w:top w:val="none" w:sz="0" w:space="0" w:color="auto"/>
                <w:left w:val="none" w:sz="0" w:space="0" w:color="auto"/>
                <w:bottom w:val="none" w:sz="0" w:space="0" w:color="auto"/>
                <w:right w:val="none" w:sz="0" w:space="0" w:color="auto"/>
              </w:divBdr>
            </w:div>
          </w:divsChild>
        </w:div>
        <w:div w:id="1103233573">
          <w:marLeft w:val="0"/>
          <w:marRight w:val="0"/>
          <w:marTop w:val="0"/>
          <w:marBottom w:val="0"/>
          <w:divBdr>
            <w:top w:val="none" w:sz="0" w:space="0" w:color="auto"/>
            <w:left w:val="none" w:sz="0" w:space="0" w:color="auto"/>
            <w:bottom w:val="none" w:sz="0" w:space="0" w:color="auto"/>
            <w:right w:val="none" w:sz="0" w:space="0" w:color="auto"/>
          </w:divBdr>
          <w:divsChild>
            <w:div w:id="680356910">
              <w:marLeft w:val="0"/>
              <w:marRight w:val="0"/>
              <w:marTop w:val="0"/>
              <w:marBottom w:val="0"/>
              <w:divBdr>
                <w:top w:val="none" w:sz="0" w:space="0" w:color="auto"/>
                <w:left w:val="none" w:sz="0" w:space="0" w:color="auto"/>
                <w:bottom w:val="none" w:sz="0" w:space="0" w:color="auto"/>
                <w:right w:val="none" w:sz="0" w:space="0" w:color="auto"/>
              </w:divBdr>
              <w:divsChild>
                <w:div w:id="560017157">
                  <w:marLeft w:val="0"/>
                  <w:marRight w:val="0"/>
                  <w:marTop w:val="0"/>
                  <w:marBottom w:val="0"/>
                  <w:divBdr>
                    <w:top w:val="none" w:sz="0" w:space="0" w:color="auto"/>
                    <w:left w:val="none" w:sz="0" w:space="0" w:color="auto"/>
                    <w:bottom w:val="none" w:sz="0" w:space="0" w:color="auto"/>
                    <w:right w:val="none" w:sz="0" w:space="0" w:color="auto"/>
                  </w:divBdr>
                  <w:divsChild>
                    <w:div w:id="9651846">
                      <w:marLeft w:val="0"/>
                      <w:marRight w:val="0"/>
                      <w:marTop w:val="0"/>
                      <w:marBottom w:val="0"/>
                      <w:divBdr>
                        <w:top w:val="none" w:sz="0" w:space="0" w:color="auto"/>
                        <w:left w:val="none" w:sz="0" w:space="0" w:color="auto"/>
                        <w:bottom w:val="none" w:sz="0" w:space="0" w:color="auto"/>
                        <w:right w:val="none" w:sz="0" w:space="0" w:color="auto"/>
                      </w:divBdr>
                    </w:div>
                    <w:div w:id="905264466">
                      <w:marLeft w:val="0"/>
                      <w:marRight w:val="0"/>
                      <w:marTop w:val="120"/>
                      <w:marBottom w:val="0"/>
                      <w:divBdr>
                        <w:top w:val="none" w:sz="0" w:space="0" w:color="auto"/>
                        <w:left w:val="none" w:sz="0" w:space="0" w:color="auto"/>
                        <w:bottom w:val="none" w:sz="0" w:space="0" w:color="auto"/>
                        <w:right w:val="none" w:sz="0" w:space="0" w:color="auto"/>
                      </w:divBdr>
                    </w:div>
                  </w:divsChild>
                </w:div>
                <w:div w:id="957025383">
                  <w:marLeft w:val="0"/>
                  <w:marRight w:val="0"/>
                  <w:marTop w:val="0"/>
                  <w:marBottom w:val="0"/>
                  <w:divBdr>
                    <w:top w:val="none" w:sz="0" w:space="0" w:color="auto"/>
                    <w:left w:val="none" w:sz="0" w:space="0" w:color="auto"/>
                    <w:bottom w:val="none" w:sz="0" w:space="0" w:color="auto"/>
                    <w:right w:val="none" w:sz="0" w:space="0" w:color="auto"/>
                  </w:divBdr>
                  <w:divsChild>
                    <w:div w:id="575362991">
                      <w:marLeft w:val="0"/>
                      <w:marRight w:val="0"/>
                      <w:marTop w:val="120"/>
                      <w:marBottom w:val="0"/>
                      <w:divBdr>
                        <w:top w:val="none" w:sz="0" w:space="0" w:color="auto"/>
                        <w:left w:val="none" w:sz="0" w:space="0" w:color="auto"/>
                        <w:bottom w:val="none" w:sz="0" w:space="0" w:color="auto"/>
                        <w:right w:val="none" w:sz="0" w:space="0" w:color="auto"/>
                      </w:divBdr>
                    </w:div>
                    <w:div w:id="1978491258">
                      <w:marLeft w:val="0"/>
                      <w:marRight w:val="0"/>
                      <w:marTop w:val="0"/>
                      <w:marBottom w:val="0"/>
                      <w:divBdr>
                        <w:top w:val="none" w:sz="0" w:space="0" w:color="auto"/>
                        <w:left w:val="none" w:sz="0" w:space="0" w:color="auto"/>
                        <w:bottom w:val="none" w:sz="0" w:space="0" w:color="auto"/>
                        <w:right w:val="none" w:sz="0" w:space="0" w:color="auto"/>
                      </w:divBdr>
                    </w:div>
                  </w:divsChild>
                </w:div>
                <w:div w:id="1266383495">
                  <w:marLeft w:val="0"/>
                  <w:marRight w:val="0"/>
                  <w:marTop w:val="0"/>
                  <w:marBottom w:val="0"/>
                  <w:divBdr>
                    <w:top w:val="none" w:sz="0" w:space="0" w:color="auto"/>
                    <w:left w:val="none" w:sz="0" w:space="0" w:color="auto"/>
                    <w:bottom w:val="none" w:sz="0" w:space="0" w:color="auto"/>
                    <w:right w:val="none" w:sz="0" w:space="0" w:color="auto"/>
                  </w:divBdr>
                  <w:divsChild>
                    <w:div w:id="431822605">
                      <w:marLeft w:val="0"/>
                      <w:marRight w:val="0"/>
                      <w:marTop w:val="0"/>
                      <w:marBottom w:val="0"/>
                      <w:divBdr>
                        <w:top w:val="none" w:sz="0" w:space="0" w:color="auto"/>
                        <w:left w:val="none" w:sz="0" w:space="0" w:color="auto"/>
                        <w:bottom w:val="none" w:sz="0" w:space="0" w:color="auto"/>
                        <w:right w:val="none" w:sz="0" w:space="0" w:color="auto"/>
                      </w:divBdr>
                    </w:div>
                    <w:div w:id="1539318667">
                      <w:marLeft w:val="0"/>
                      <w:marRight w:val="0"/>
                      <w:marTop w:val="120"/>
                      <w:marBottom w:val="0"/>
                      <w:divBdr>
                        <w:top w:val="none" w:sz="0" w:space="0" w:color="auto"/>
                        <w:left w:val="none" w:sz="0" w:space="0" w:color="auto"/>
                        <w:bottom w:val="none" w:sz="0" w:space="0" w:color="auto"/>
                        <w:right w:val="none" w:sz="0" w:space="0" w:color="auto"/>
                      </w:divBdr>
                    </w:div>
                  </w:divsChild>
                </w:div>
                <w:div w:id="1599867882">
                  <w:marLeft w:val="0"/>
                  <w:marRight w:val="0"/>
                  <w:marTop w:val="0"/>
                  <w:marBottom w:val="0"/>
                  <w:divBdr>
                    <w:top w:val="none" w:sz="0" w:space="0" w:color="auto"/>
                    <w:left w:val="none" w:sz="0" w:space="0" w:color="auto"/>
                    <w:bottom w:val="none" w:sz="0" w:space="0" w:color="auto"/>
                    <w:right w:val="none" w:sz="0" w:space="0" w:color="auto"/>
                  </w:divBdr>
                  <w:divsChild>
                    <w:div w:id="2015768115">
                      <w:marLeft w:val="0"/>
                      <w:marRight w:val="0"/>
                      <w:marTop w:val="0"/>
                      <w:marBottom w:val="0"/>
                      <w:divBdr>
                        <w:top w:val="none" w:sz="0" w:space="0" w:color="auto"/>
                        <w:left w:val="none" w:sz="0" w:space="0" w:color="auto"/>
                        <w:bottom w:val="none" w:sz="0" w:space="0" w:color="auto"/>
                        <w:right w:val="none" w:sz="0" w:space="0" w:color="auto"/>
                      </w:divBdr>
                    </w:div>
                    <w:div w:id="2058969388">
                      <w:marLeft w:val="0"/>
                      <w:marRight w:val="0"/>
                      <w:marTop w:val="120"/>
                      <w:marBottom w:val="0"/>
                      <w:divBdr>
                        <w:top w:val="none" w:sz="0" w:space="0" w:color="auto"/>
                        <w:left w:val="none" w:sz="0" w:space="0" w:color="auto"/>
                        <w:bottom w:val="none" w:sz="0" w:space="0" w:color="auto"/>
                        <w:right w:val="none" w:sz="0" w:space="0" w:color="auto"/>
                      </w:divBdr>
                    </w:div>
                  </w:divsChild>
                </w:div>
                <w:div w:id="1843816990">
                  <w:marLeft w:val="0"/>
                  <w:marRight w:val="0"/>
                  <w:marTop w:val="0"/>
                  <w:marBottom w:val="0"/>
                  <w:divBdr>
                    <w:top w:val="none" w:sz="0" w:space="0" w:color="auto"/>
                    <w:left w:val="none" w:sz="0" w:space="0" w:color="auto"/>
                    <w:bottom w:val="none" w:sz="0" w:space="0" w:color="auto"/>
                    <w:right w:val="none" w:sz="0" w:space="0" w:color="auto"/>
                  </w:divBdr>
                  <w:divsChild>
                    <w:div w:id="9844579">
                      <w:marLeft w:val="0"/>
                      <w:marRight w:val="0"/>
                      <w:marTop w:val="0"/>
                      <w:marBottom w:val="0"/>
                      <w:divBdr>
                        <w:top w:val="none" w:sz="0" w:space="0" w:color="auto"/>
                        <w:left w:val="none" w:sz="0" w:space="0" w:color="auto"/>
                        <w:bottom w:val="none" w:sz="0" w:space="0" w:color="auto"/>
                        <w:right w:val="none" w:sz="0" w:space="0" w:color="auto"/>
                      </w:divBdr>
                    </w:div>
                    <w:div w:id="714433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76906807">
          <w:marLeft w:val="0"/>
          <w:marRight w:val="0"/>
          <w:marTop w:val="0"/>
          <w:marBottom w:val="0"/>
          <w:divBdr>
            <w:top w:val="none" w:sz="0" w:space="0" w:color="auto"/>
            <w:left w:val="none" w:sz="0" w:space="0" w:color="auto"/>
            <w:bottom w:val="none" w:sz="0" w:space="0" w:color="auto"/>
            <w:right w:val="none" w:sz="0" w:space="0" w:color="auto"/>
          </w:divBdr>
          <w:divsChild>
            <w:div w:id="1351683045">
              <w:marLeft w:val="0"/>
              <w:marRight w:val="0"/>
              <w:marTop w:val="0"/>
              <w:marBottom w:val="0"/>
              <w:divBdr>
                <w:top w:val="none" w:sz="0" w:space="0" w:color="auto"/>
                <w:left w:val="none" w:sz="0" w:space="0" w:color="auto"/>
                <w:bottom w:val="none" w:sz="0" w:space="0" w:color="auto"/>
                <w:right w:val="none" w:sz="0" w:space="0" w:color="auto"/>
              </w:divBdr>
            </w:div>
          </w:divsChild>
        </w:div>
        <w:div w:id="1433741369">
          <w:marLeft w:val="0"/>
          <w:marRight w:val="0"/>
          <w:marTop w:val="0"/>
          <w:marBottom w:val="0"/>
          <w:divBdr>
            <w:top w:val="none" w:sz="0" w:space="0" w:color="auto"/>
            <w:left w:val="none" w:sz="0" w:space="0" w:color="auto"/>
            <w:bottom w:val="none" w:sz="0" w:space="0" w:color="auto"/>
            <w:right w:val="none" w:sz="0" w:space="0" w:color="auto"/>
          </w:divBdr>
          <w:divsChild>
            <w:div w:id="1431002020">
              <w:marLeft w:val="0"/>
              <w:marRight w:val="0"/>
              <w:marTop w:val="0"/>
              <w:marBottom w:val="0"/>
              <w:divBdr>
                <w:top w:val="none" w:sz="0" w:space="0" w:color="auto"/>
                <w:left w:val="none" w:sz="0" w:space="0" w:color="auto"/>
                <w:bottom w:val="none" w:sz="0" w:space="0" w:color="auto"/>
                <w:right w:val="none" w:sz="0" w:space="0" w:color="auto"/>
              </w:divBdr>
            </w:div>
          </w:divsChild>
        </w:div>
        <w:div w:id="1905020618">
          <w:marLeft w:val="0"/>
          <w:marRight w:val="0"/>
          <w:marTop w:val="0"/>
          <w:marBottom w:val="0"/>
          <w:divBdr>
            <w:top w:val="none" w:sz="0" w:space="0" w:color="auto"/>
            <w:left w:val="none" w:sz="0" w:space="0" w:color="auto"/>
            <w:bottom w:val="none" w:sz="0" w:space="0" w:color="auto"/>
            <w:right w:val="none" w:sz="0" w:space="0" w:color="auto"/>
          </w:divBdr>
          <w:divsChild>
            <w:div w:id="987637716">
              <w:marLeft w:val="0"/>
              <w:marRight w:val="0"/>
              <w:marTop w:val="0"/>
              <w:marBottom w:val="0"/>
              <w:divBdr>
                <w:top w:val="none" w:sz="0" w:space="0" w:color="auto"/>
                <w:left w:val="none" w:sz="0" w:space="0" w:color="auto"/>
                <w:bottom w:val="none" w:sz="0" w:space="0" w:color="auto"/>
                <w:right w:val="none" w:sz="0" w:space="0" w:color="auto"/>
              </w:divBdr>
              <w:divsChild>
                <w:div w:id="189493998">
                  <w:marLeft w:val="0"/>
                  <w:marRight w:val="0"/>
                  <w:marTop w:val="0"/>
                  <w:marBottom w:val="0"/>
                  <w:divBdr>
                    <w:top w:val="none" w:sz="0" w:space="0" w:color="auto"/>
                    <w:left w:val="none" w:sz="0" w:space="0" w:color="auto"/>
                    <w:bottom w:val="none" w:sz="0" w:space="0" w:color="auto"/>
                    <w:right w:val="none" w:sz="0" w:space="0" w:color="auto"/>
                  </w:divBdr>
                  <w:divsChild>
                    <w:div w:id="1196499005">
                      <w:marLeft w:val="0"/>
                      <w:marRight w:val="0"/>
                      <w:marTop w:val="120"/>
                      <w:marBottom w:val="0"/>
                      <w:divBdr>
                        <w:top w:val="none" w:sz="0" w:space="0" w:color="auto"/>
                        <w:left w:val="none" w:sz="0" w:space="0" w:color="auto"/>
                        <w:bottom w:val="none" w:sz="0" w:space="0" w:color="auto"/>
                        <w:right w:val="none" w:sz="0" w:space="0" w:color="auto"/>
                      </w:divBdr>
                    </w:div>
                    <w:div w:id="1599175879">
                      <w:marLeft w:val="0"/>
                      <w:marRight w:val="0"/>
                      <w:marTop w:val="0"/>
                      <w:marBottom w:val="0"/>
                      <w:divBdr>
                        <w:top w:val="none" w:sz="0" w:space="0" w:color="auto"/>
                        <w:left w:val="none" w:sz="0" w:space="0" w:color="auto"/>
                        <w:bottom w:val="none" w:sz="0" w:space="0" w:color="auto"/>
                        <w:right w:val="none" w:sz="0" w:space="0" w:color="auto"/>
                      </w:divBdr>
                    </w:div>
                  </w:divsChild>
                </w:div>
                <w:div w:id="586814457">
                  <w:marLeft w:val="0"/>
                  <w:marRight w:val="0"/>
                  <w:marTop w:val="0"/>
                  <w:marBottom w:val="0"/>
                  <w:divBdr>
                    <w:top w:val="none" w:sz="0" w:space="0" w:color="auto"/>
                    <w:left w:val="none" w:sz="0" w:space="0" w:color="auto"/>
                    <w:bottom w:val="none" w:sz="0" w:space="0" w:color="auto"/>
                    <w:right w:val="none" w:sz="0" w:space="0" w:color="auto"/>
                  </w:divBdr>
                  <w:divsChild>
                    <w:div w:id="650795672">
                      <w:marLeft w:val="0"/>
                      <w:marRight w:val="0"/>
                      <w:marTop w:val="120"/>
                      <w:marBottom w:val="0"/>
                      <w:divBdr>
                        <w:top w:val="none" w:sz="0" w:space="0" w:color="auto"/>
                        <w:left w:val="none" w:sz="0" w:space="0" w:color="auto"/>
                        <w:bottom w:val="none" w:sz="0" w:space="0" w:color="auto"/>
                        <w:right w:val="none" w:sz="0" w:space="0" w:color="auto"/>
                      </w:divBdr>
                    </w:div>
                    <w:div w:id="761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3832">
          <w:marLeft w:val="0"/>
          <w:marRight w:val="0"/>
          <w:marTop w:val="0"/>
          <w:marBottom w:val="0"/>
          <w:divBdr>
            <w:top w:val="none" w:sz="0" w:space="0" w:color="auto"/>
            <w:left w:val="none" w:sz="0" w:space="0" w:color="auto"/>
            <w:bottom w:val="none" w:sz="0" w:space="0" w:color="auto"/>
            <w:right w:val="none" w:sz="0" w:space="0" w:color="auto"/>
          </w:divBdr>
          <w:divsChild>
            <w:div w:id="2550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625">
      <w:bodyDiv w:val="1"/>
      <w:marLeft w:val="0"/>
      <w:marRight w:val="0"/>
      <w:marTop w:val="0"/>
      <w:marBottom w:val="0"/>
      <w:divBdr>
        <w:top w:val="none" w:sz="0" w:space="0" w:color="auto"/>
        <w:left w:val="none" w:sz="0" w:space="0" w:color="auto"/>
        <w:bottom w:val="none" w:sz="0" w:space="0" w:color="auto"/>
        <w:right w:val="none" w:sz="0" w:space="0" w:color="auto"/>
      </w:divBdr>
    </w:div>
    <w:div w:id="542599614">
      <w:bodyDiv w:val="1"/>
      <w:marLeft w:val="0"/>
      <w:marRight w:val="0"/>
      <w:marTop w:val="0"/>
      <w:marBottom w:val="0"/>
      <w:divBdr>
        <w:top w:val="none" w:sz="0" w:space="0" w:color="auto"/>
        <w:left w:val="none" w:sz="0" w:space="0" w:color="auto"/>
        <w:bottom w:val="none" w:sz="0" w:space="0" w:color="auto"/>
        <w:right w:val="none" w:sz="0" w:space="0" w:color="auto"/>
      </w:divBdr>
      <w:divsChild>
        <w:div w:id="435713180">
          <w:marLeft w:val="600"/>
          <w:marRight w:val="0"/>
          <w:marTop w:val="0"/>
          <w:marBottom w:val="0"/>
          <w:divBdr>
            <w:top w:val="none" w:sz="0" w:space="0" w:color="auto"/>
            <w:left w:val="none" w:sz="0" w:space="0" w:color="auto"/>
            <w:bottom w:val="none" w:sz="0" w:space="0" w:color="auto"/>
            <w:right w:val="none" w:sz="0" w:space="0" w:color="auto"/>
          </w:divBdr>
        </w:div>
        <w:div w:id="441194637">
          <w:marLeft w:val="720"/>
          <w:marRight w:val="0"/>
          <w:marTop w:val="0"/>
          <w:marBottom w:val="0"/>
          <w:divBdr>
            <w:top w:val="none" w:sz="0" w:space="0" w:color="auto"/>
            <w:left w:val="none" w:sz="0" w:space="0" w:color="auto"/>
            <w:bottom w:val="none" w:sz="0" w:space="0" w:color="auto"/>
            <w:right w:val="none" w:sz="0" w:space="0" w:color="auto"/>
          </w:divBdr>
        </w:div>
        <w:div w:id="684743732">
          <w:marLeft w:val="600"/>
          <w:marRight w:val="0"/>
          <w:marTop w:val="0"/>
          <w:marBottom w:val="0"/>
          <w:divBdr>
            <w:top w:val="none" w:sz="0" w:space="0" w:color="auto"/>
            <w:left w:val="none" w:sz="0" w:space="0" w:color="auto"/>
            <w:bottom w:val="none" w:sz="0" w:space="0" w:color="auto"/>
            <w:right w:val="none" w:sz="0" w:space="0" w:color="auto"/>
          </w:divBdr>
        </w:div>
        <w:div w:id="698513528">
          <w:marLeft w:val="600"/>
          <w:marRight w:val="0"/>
          <w:marTop w:val="0"/>
          <w:marBottom w:val="0"/>
          <w:divBdr>
            <w:top w:val="none" w:sz="0" w:space="0" w:color="auto"/>
            <w:left w:val="none" w:sz="0" w:space="0" w:color="auto"/>
            <w:bottom w:val="none" w:sz="0" w:space="0" w:color="auto"/>
            <w:right w:val="none" w:sz="0" w:space="0" w:color="auto"/>
          </w:divBdr>
        </w:div>
        <w:div w:id="822282669">
          <w:marLeft w:val="600"/>
          <w:marRight w:val="0"/>
          <w:marTop w:val="0"/>
          <w:marBottom w:val="0"/>
          <w:divBdr>
            <w:top w:val="none" w:sz="0" w:space="0" w:color="auto"/>
            <w:left w:val="none" w:sz="0" w:space="0" w:color="auto"/>
            <w:bottom w:val="none" w:sz="0" w:space="0" w:color="auto"/>
            <w:right w:val="none" w:sz="0" w:space="0" w:color="auto"/>
          </w:divBdr>
        </w:div>
        <w:div w:id="1027414386">
          <w:marLeft w:val="600"/>
          <w:marRight w:val="0"/>
          <w:marTop w:val="0"/>
          <w:marBottom w:val="0"/>
          <w:divBdr>
            <w:top w:val="none" w:sz="0" w:space="0" w:color="auto"/>
            <w:left w:val="none" w:sz="0" w:space="0" w:color="auto"/>
            <w:bottom w:val="none" w:sz="0" w:space="0" w:color="auto"/>
            <w:right w:val="none" w:sz="0" w:space="0" w:color="auto"/>
          </w:divBdr>
        </w:div>
        <w:div w:id="1212766011">
          <w:marLeft w:val="600"/>
          <w:marRight w:val="0"/>
          <w:marTop w:val="0"/>
          <w:marBottom w:val="0"/>
          <w:divBdr>
            <w:top w:val="none" w:sz="0" w:space="0" w:color="auto"/>
            <w:left w:val="none" w:sz="0" w:space="0" w:color="auto"/>
            <w:bottom w:val="none" w:sz="0" w:space="0" w:color="auto"/>
            <w:right w:val="none" w:sz="0" w:space="0" w:color="auto"/>
          </w:divBdr>
        </w:div>
        <w:div w:id="1780643108">
          <w:marLeft w:val="720"/>
          <w:marRight w:val="0"/>
          <w:marTop w:val="0"/>
          <w:marBottom w:val="0"/>
          <w:divBdr>
            <w:top w:val="none" w:sz="0" w:space="0" w:color="auto"/>
            <w:left w:val="none" w:sz="0" w:space="0" w:color="auto"/>
            <w:bottom w:val="none" w:sz="0" w:space="0" w:color="auto"/>
            <w:right w:val="none" w:sz="0" w:space="0" w:color="auto"/>
          </w:divBdr>
        </w:div>
        <w:div w:id="1938244784">
          <w:marLeft w:val="600"/>
          <w:marRight w:val="0"/>
          <w:marTop w:val="0"/>
          <w:marBottom w:val="0"/>
          <w:divBdr>
            <w:top w:val="none" w:sz="0" w:space="0" w:color="auto"/>
            <w:left w:val="none" w:sz="0" w:space="0" w:color="auto"/>
            <w:bottom w:val="none" w:sz="0" w:space="0" w:color="auto"/>
            <w:right w:val="none" w:sz="0" w:space="0" w:color="auto"/>
          </w:divBdr>
        </w:div>
      </w:divsChild>
    </w:div>
    <w:div w:id="544761142">
      <w:bodyDiv w:val="1"/>
      <w:marLeft w:val="0"/>
      <w:marRight w:val="0"/>
      <w:marTop w:val="0"/>
      <w:marBottom w:val="0"/>
      <w:divBdr>
        <w:top w:val="none" w:sz="0" w:space="0" w:color="auto"/>
        <w:left w:val="none" w:sz="0" w:space="0" w:color="auto"/>
        <w:bottom w:val="none" w:sz="0" w:space="0" w:color="auto"/>
        <w:right w:val="none" w:sz="0" w:space="0" w:color="auto"/>
      </w:divBdr>
    </w:div>
    <w:div w:id="557008755">
      <w:bodyDiv w:val="1"/>
      <w:marLeft w:val="0"/>
      <w:marRight w:val="0"/>
      <w:marTop w:val="0"/>
      <w:marBottom w:val="0"/>
      <w:divBdr>
        <w:top w:val="none" w:sz="0" w:space="0" w:color="auto"/>
        <w:left w:val="none" w:sz="0" w:space="0" w:color="auto"/>
        <w:bottom w:val="none" w:sz="0" w:space="0" w:color="auto"/>
        <w:right w:val="none" w:sz="0" w:space="0" w:color="auto"/>
      </w:divBdr>
    </w:div>
    <w:div w:id="584532764">
      <w:bodyDiv w:val="1"/>
      <w:marLeft w:val="0"/>
      <w:marRight w:val="0"/>
      <w:marTop w:val="0"/>
      <w:marBottom w:val="0"/>
      <w:divBdr>
        <w:top w:val="none" w:sz="0" w:space="0" w:color="auto"/>
        <w:left w:val="none" w:sz="0" w:space="0" w:color="auto"/>
        <w:bottom w:val="none" w:sz="0" w:space="0" w:color="auto"/>
        <w:right w:val="none" w:sz="0" w:space="0" w:color="auto"/>
      </w:divBdr>
    </w:div>
    <w:div w:id="620460591">
      <w:bodyDiv w:val="1"/>
      <w:marLeft w:val="0"/>
      <w:marRight w:val="0"/>
      <w:marTop w:val="0"/>
      <w:marBottom w:val="0"/>
      <w:divBdr>
        <w:top w:val="none" w:sz="0" w:space="0" w:color="auto"/>
        <w:left w:val="none" w:sz="0" w:space="0" w:color="auto"/>
        <w:bottom w:val="none" w:sz="0" w:space="0" w:color="auto"/>
        <w:right w:val="none" w:sz="0" w:space="0" w:color="auto"/>
      </w:divBdr>
    </w:div>
    <w:div w:id="625821275">
      <w:bodyDiv w:val="1"/>
      <w:marLeft w:val="0"/>
      <w:marRight w:val="0"/>
      <w:marTop w:val="0"/>
      <w:marBottom w:val="0"/>
      <w:divBdr>
        <w:top w:val="none" w:sz="0" w:space="0" w:color="auto"/>
        <w:left w:val="none" w:sz="0" w:space="0" w:color="auto"/>
        <w:bottom w:val="none" w:sz="0" w:space="0" w:color="auto"/>
        <w:right w:val="none" w:sz="0" w:space="0" w:color="auto"/>
      </w:divBdr>
    </w:div>
    <w:div w:id="669218031">
      <w:bodyDiv w:val="1"/>
      <w:marLeft w:val="0"/>
      <w:marRight w:val="0"/>
      <w:marTop w:val="0"/>
      <w:marBottom w:val="0"/>
      <w:divBdr>
        <w:top w:val="none" w:sz="0" w:space="0" w:color="auto"/>
        <w:left w:val="none" w:sz="0" w:space="0" w:color="auto"/>
        <w:bottom w:val="none" w:sz="0" w:space="0" w:color="auto"/>
        <w:right w:val="none" w:sz="0" w:space="0" w:color="auto"/>
      </w:divBdr>
    </w:div>
    <w:div w:id="676468990">
      <w:bodyDiv w:val="1"/>
      <w:marLeft w:val="0"/>
      <w:marRight w:val="0"/>
      <w:marTop w:val="0"/>
      <w:marBottom w:val="0"/>
      <w:divBdr>
        <w:top w:val="none" w:sz="0" w:space="0" w:color="auto"/>
        <w:left w:val="none" w:sz="0" w:space="0" w:color="auto"/>
        <w:bottom w:val="none" w:sz="0" w:space="0" w:color="auto"/>
        <w:right w:val="none" w:sz="0" w:space="0" w:color="auto"/>
      </w:divBdr>
    </w:div>
    <w:div w:id="720056074">
      <w:bodyDiv w:val="1"/>
      <w:marLeft w:val="0"/>
      <w:marRight w:val="0"/>
      <w:marTop w:val="0"/>
      <w:marBottom w:val="0"/>
      <w:divBdr>
        <w:top w:val="none" w:sz="0" w:space="0" w:color="auto"/>
        <w:left w:val="none" w:sz="0" w:space="0" w:color="auto"/>
        <w:bottom w:val="none" w:sz="0" w:space="0" w:color="auto"/>
        <w:right w:val="none" w:sz="0" w:space="0" w:color="auto"/>
      </w:divBdr>
      <w:divsChild>
        <w:div w:id="1958758052">
          <w:marLeft w:val="0"/>
          <w:marRight w:val="0"/>
          <w:marTop w:val="0"/>
          <w:marBottom w:val="0"/>
          <w:divBdr>
            <w:top w:val="none" w:sz="0" w:space="0" w:color="auto"/>
            <w:left w:val="none" w:sz="0" w:space="0" w:color="auto"/>
            <w:bottom w:val="none" w:sz="0" w:space="0" w:color="auto"/>
            <w:right w:val="none" w:sz="0" w:space="0" w:color="auto"/>
          </w:divBdr>
        </w:div>
      </w:divsChild>
    </w:div>
    <w:div w:id="785656272">
      <w:bodyDiv w:val="1"/>
      <w:marLeft w:val="0"/>
      <w:marRight w:val="0"/>
      <w:marTop w:val="0"/>
      <w:marBottom w:val="0"/>
      <w:divBdr>
        <w:top w:val="none" w:sz="0" w:space="0" w:color="auto"/>
        <w:left w:val="none" w:sz="0" w:space="0" w:color="auto"/>
        <w:bottom w:val="none" w:sz="0" w:space="0" w:color="auto"/>
        <w:right w:val="none" w:sz="0" w:space="0" w:color="auto"/>
      </w:divBdr>
    </w:div>
    <w:div w:id="877161454">
      <w:bodyDiv w:val="1"/>
      <w:marLeft w:val="0"/>
      <w:marRight w:val="0"/>
      <w:marTop w:val="0"/>
      <w:marBottom w:val="0"/>
      <w:divBdr>
        <w:top w:val="none" w:sz="0" w:space="0" w:color="auto"/>
        <w:left w:val="none" w:sz="0" w:space="0" w:color="auto"/>
        <w:bottom w:val="none" w:sz="0" w:space="0" w:color="auto"/>
        <w:right w:val="none" w:sz="0" w:space="0" w:color="auto"/>
      </w:divBdr>
      <w:divsChild>
        <w:div w:id="871502848">
          <w:marLeft w:val="0"/>
          <w:marRight w:val="0"/>
          <w:marTop w:val="120"/>
          <w:marBottom w:val="0"/>
          <w:divBdr>
            <w:top w:val="none" w:sz="0" w:space="0" w:color="auto"/>
            <w:left w:val="none" w:sz="0" w:space="0" w:color="auto"/>
            <w:bottom w:val="none" w:sz="0" w:space="0" w:color="auto"/>
            <w:right w:val="none" w:sz="0" w:space="0" w:color="auto"/>
          </w:divBdr>
        </w:div>
        <w:div w:id="1653871048">
          <w:marLeft w:val="0"/>
          <w:marRight w:val="0"/>
          <w:marTop w:val="0"/>
          <w:marBottom w:val="0"/>
          <w:divBdr>
            <w:top w:val="none" w:sz="0" w:space="0" w:color="auto"/>
            <w:left w:val="none" w:sz="0" w:space="0" w:color="auto"/>
            <w:bottom w:val="none" w:sz="0" w:space="0" w:color="auto"/>
            <w:right w:val="none" w:sz="0" w:space="0" w:color="auto"/>
          </w:divBdr>
        </w:div>
      </w:divsChild>
    </w:div>
    <w:div w:id="892035162">
      <w:bodyDiv w:val="1"/>
      <w:marLeft w:val="0"/>
      <w:marRight w:val="0"/>
      <w:marTop w:val="0"/>
      <w:marBottom w:val="0"/>
      <w:divBdr>
        <w:top w:val="none" w:sz="0" w:space="0" w:color="auto"/>
        <w:left w:val="none" w:sz="0" w:space="0" w:color="auto"/>
        <w:bottom w:val="none" w:sz="0" w:space="0" w:color="auto"/>
        <w:right w:val="none" w:sz="0" w:space="0" w:color="auto"/>
      </w:divBdr>
    </w:div>
    <w:div w:id="899946764">
      <w:bodyDiv w:val="1"/>
      <w:marLeft w:val="0"/>
      <w:marRight w:val="0"/>
      <w:marTop w:val="0"/>
      <w:marBottom w:val="0"/>
      <w:divBdr>
        <w:top w:val="none" w:sz="0" w:space="0" w:color="auto"/>
        <w:left w:val="none" w:sz="0" w:space="0" w:color="auto"/>
        <w:bottom w:val="none" w:sz="0" w:space="0" w:color="auto"/>
        <w:right w:val="none" w:sz="0" w:space="0" w:color="auto"/>
      </w:divBdr>
    </w:div>
    <w:div w:id="928611828">
      <w:bodyDiv w:val="1"/>
      <w:marLeft w:val="0"/>
      <w:marRight w:val="0"/>
      <w:marTop w:val="0"/>
      <w:marBottom w:val="0"/>
      <w:divBdr>
        <w:top w:val="none" w:sz="0" w:space="0" w:color="auto"/>
        <w:left w:val="none" w:sz="0" w:space="0" w:color="auto"/>
        <w:bottom w:val="none" w:sz="0" w:space="0" w:color="auto"/>
        <w:right w:val="none" w:sz="0" w:space="0" w:color="auto"/>
      </w:divBdr>
    </w:div>
    <w:div w:id="940452432">
      <w:bodyDiv w:val="1"/>
      <w:marLeft w:val="0"/>
      <w:marRight w:val="0"/>
      <w:marTop w:val="0"/>
      <w:marBottom w:val="0"/>
      <w:divBdr>
        <w:top w:val="none" w:sz="0" w:space="0" w:color="auto"/>
        <w:left w:val="none" w:sz="0" w:space="0" w:color="auto"/>
        <w:bottom w:val="none" w:sz="0" w:space="0" w:color="auto"/>
        <w:right w:val="none" w:sz="0" w:space="0" w:color="auto"/>
      </w:divBdr>
    </w:div>
    <w:div w:id="957444332">
      <w:bodyDiv w:val="1"/>
      <w:marLeft w:val="0"/>
      <w:marRight w:val="0"/>
      <w:marTop w:val="0"/>
      <w:marBottom w:val="0"/>
      <w:divBdr>
        <w:top w:val="none" w:sz="0" w:space="0" w:color="auto"/>
        <w:left w:val="none" w:sz="0" w:space="0" w:color="auto"/>
        <w:bottom w:val="none" w:sz="0" w:space="0" w:color="auto"/>
        <w:right w:val="none" w:sz="0" w:space="0" w:color="auto"/>
      </w:divBdr>
    </w:div>
    <w:div w:id="994912396">
      <w:bodyDiv w:val="1"/>
      <w:marLeft w:val="0"/>
      <w:marRight w:val="0"/>
      <w:marTop w:val="0"/>
      <w:marBottom w:val="0"/>
      <w:divBdr>
        <w:top w:val="none" w:sz="0" w:space="0" w:color="auto"/>
        <w:left w:val="none" w:sz="0" w:space="0" w:color="auto"/>
        <w:bottom w:val="none" w:sz="0" w:space="0" w:color="auto"/>
        <w:right w:val="none" w:sz="0" w:space="0" w:color="auto"/>
      </w:divBdr>
      <w:divsChild>
        <w:div w:id="1634871277">
          <w:marLeft w:val="0"/>
          <w:marRight w:val="0"/>
          <w:marTop w:val="0"/>
          <w:marBottom w:val="0"/>
          <w:divBdr>
            <w:top w:val="none" w:sz="0" w:space="0" w:color="auto"/>
            <w:left w:val="none" w:sz="0" w:space="0" w:color="auto"/>
            <w:bottom w:val="none" w:sz="0" w:space="0" w:color="auto"/>
            <w:right w:val="none" w:sz="0" w:space="0" w:color="auto"/>
          </w:divBdr>
        </w:div>
      </w:divsChild>
    </w:div>
    <w:div w:id="1002663666">
      <w:bodyDiv w:val="1"/>
      <w:marLeft w:val="0"/>
      <w:marRight w:val="0"/>
      <w:marTop w:val="0"/>
      <w:marBottom w:val="0"/>
      <w:divBdr>
        <w:top w:val="none" w:sz="0" w:space="0" w:color="auto"/>
        <w:left w:val="none" w:sz="0" w:space="0" w:color="auto"/>
        <w:bottom w:val="none" w:sz="0" w:space="0" w:color="auto"/>
        <w:right w:val="none" w:sz="0" w:space="0" w:color="auto"/>
      </w:divBdr>
    </w:div>
    <w:div w:id="1006514440">
      <w:bodyDiv w:val="1"/>
      <w:marLeft w:val="0"/>
      <w:marRight w:val="0"/>
      <w:marTop w:val="0"/>
      <w:marBottom w:val="0"/>
      <w:divBdr>
        <w:top w:val="none" w:sz="0" w:space="0" w:color="auto"/>
        <w:left w:val="none" w:sz="0" w:space="0" w:color="auto"/>
        <w:bottom w:val="none" w:sz="0" w:space="0" w:color="auto"/>
        <w:right w:val="none" w:sz="0" w:space="0" w:color="auto"/>
      </w:divBdr>
    </w:div>
    <w:div w:id="1039743463">
      <w:bodyDiv w:val="1"/>
      <w:marLeft w:val="0"/>
      <w:marRight w:val="0"/>
      <w:marTop w:val="0"/>
      <w:marBottom w:val="0"/>
      <w:divBdr>
        <w:top w:val="none" w:sz="0" w:space="0" w:color="auto"/>
        <w:left w:val="none" w:sz="0" w:space="0" w:color="auto"/>
        <w:bottom w:val="none" w:sz="0" w:space="0" w:color="auto"/>
        <w:right w:val="none" w:sz="0" w:space="0" w:color="auto"/>
      </w:divBdr>
      <w:divsChild>
        <w:div w:id="642739933">
          <w:marLeft w:val="0"/>
          <w:marRight w:val="0"/>
          <w:marTop w:val="0"/>
          <w:marBottom w:val="0"/>
          <w:divBdr>
            <w:top w:val="none" w:sz="0" w:space="0" w:color="auto"/>
            <w:left w:val="none" w:sz="0" w:space="0" w:color="auto"/>
            <w:bottom w:val="none" w:sz="0" w:space="0" w:color="auto"/>
            <w:right w:val="none" w:sz="0" w:space="0" w:color="auto"/>
          </w:divBdr>
          <w:divsChild>
            <w:div w:id="22824265">
              <w:marLeft w:val="0"/>
              <w:marRight w:val="0"/>
              <w:marTop w:val="0"/>
              <w:marBottom w:val="0"/>
              <w:divBdr>
                <w:top w:val="none" w:sz="0" w:space="0" w:color="auto"/>
                <w:left w:val="none" w:sz="0" w:space="0" w:color="auto"/>
                <w:bottom w:val="none" w:sz="0" w:space="0" w:color="auto"/>
                <w:right w:val="none" w:sz="0" w:space="0" w:color="auto"/>
              </w:divBdr>
            </w:div>
          </w:divsChild>
        </w:div>
        <w:div w:id="1428380341">
          <w:marLeft w:val="0"/>
          <w:marRight w:val="0"/>
          <w:marTop w:val="0"/>
          <w:marBottom w:val="0"/>
          <w:divBdr>
            <w:top w:val="none" w:sz="0" w:space="0" w:color="auto"/>
            <w:left w:val="none" w:sz="0" w:space="0" w:color="auto"/>
            <w:bottom w:val="none" w:sz="0" w:space="0" w:color="auto"/>
            <w:right w:val="none" w:sz="0" w:space="0" w:color="auto"/>
          </w:divBdr>
          <w:divsChild>
            <w:div w:id="1289311867">
              <w:marLeft w:val="0"/>
              <w:marRight w:val="0"/>
              <w:marTop w:val="0"/>
              <w:marBottom w:val="0"/>
              <w:divBdr>
                <w:top w:val="none" w:sz="0" w:space="0" w:color="auto"/>
                <w:left w:val="none" w:sz="0" w:space="0" w:color="auto"/>
                <w:bottom w:val="none" w:sz="0" w:space="0" w:color="auto"/>
                <w:right w:val="none" w:sz="0" w:space="0" w:color="auto"/>
              </w:divBdr>
              <w:divsChild>
                <w:div w:id="1095514064">
                  <w:marLeft w:val="0"/>
                  <w:marRight w:val="0"/>
                  <w:marTop w:val="0"/>
                  <w:marBottom w:val="0"/>
                  <w:divBdr>
                    <w:top w:val="none" w:sz="0" w:space="0" w:color="auto"/>
                    <w:left w:val="none" w:sz="0" w:space="0" w:color="auto"/>
                    <w:bottom w:val="none" w:sz="0" w:space="0" w:color="auto"/>
                    <w:right w:val="none" w:sz="0" w:space="0" w:color="auto"/>
                  </w:divBdr>
                  <w:divsChild>
                    <w:div w:id="16203368">
                      <w:marLeft w:val="0"/>
                      <w:marRight w:val="0"/>
                      <w:marTop w:val="0"/>
                      <w:marBottom w:val="0"/>
                      <w:divBdr>
                        <w:top w:val="none" w:sz="0" w:space="0" w:color="auto"/>
                        <w:left w:val="none" w:sz="0" w:space="0" w:color="auto"/>
                        <w:bottom w:val="none" w:sz="0" w:space="0" w:color="auto"/>
                        <w:right w:val="none" w:sz="0" w:space="0" w:color="auto"/>
                      </w:divBdr>
                    </w:div>
                    <w:div w:id="721296486">
                      <w:marLeft w:val="0"/>
                      <w:marRight w:val="0"/>
                      <w:marTop w:val="120"/>
                      <w:marBottom w:val="0"/>
                      <w:divBdr>
                        <w:top w:val="none" w:sz="0" w:space="0" w:color="auto"/>
                        <w:left w:val="none" w:sz="0" w:space="0" w:color="auto"/>
                        <w:bottom w:val="none" w:sz="0" w:space="0" w:color="auto"/>
                        <w:right w:val="none" w:sz="0" w:space="0" w:color="auto"/>
                      </w:divBdr>
                    </w:div>
                  </w:divsChild>
                </w:div>
                <w:div w:id="1769959086">
                  <w:marLeft w:val="0"/>
                  <w:marRight w:val="0"/>
                  <w:marTop w:val="0"/>
                  <w:marBottom w:val="0"/>
                  <w:divBdr>
                    <w:top w:val="none" w:sz="0" w:space="0" w:color="auto"/>
                    <w:left w:val="none" w:sz="0" w:space="0" w:color="auto"/>
                    <w:bottom w:val="none" w:sz="0" w:space="0" w:color="auto"/>
                    <w:right w:val="none" w:sz="0" w:space="0" w:color="auto"/>
                  </w:divBdr>
                  <w:divsChild>
                    <w:div w:id="1008142983">
                      <w:marLeft w:val="0"/>
                      <w:marRight w:val="0"/>
                      <w:marTop w:val="0"/>
                      <w:marBottom w:val="0"/>
                      <w:divBdr>
                        <w:top w:val="none" w:sz="0" w:space="0" w:color="auto"/>
                        <w:left w:val="none" w:sz="0" w:space="0" w:color="auto"/>
                        <w:bottom w:val="none" w:sz="0" w:space="0" w:color="auto"/>
                        <w:right w:val="none" w:sz="0" w:space="0" w:color="auto"/>
                      </w:divBdr>
                    </w:div>
                    <w:div w:id="1274825211">
                      <w:marLeft w:val="0"/>
                      <w:marRight w:val="0"/>
                      <w:marTop w:val="120"/>
                      <w:marBottom w:val="0"/>
                      <w:divBdr>
                        <w:top w:val="none" w:sz="0" w:space="0" w:color="auto"/>
                        <w:left w:val="none" w:sz="0" w:space="0" w:color="auto"/>
                        <w:bottom w:val="none" w:sz="0" w:space="0" w:color="auto"/>
                        <w:right w:val="none" w:sz="0" w:space="0" w:color="auto"/>
                      </w:divBdr>
                    </w:div>
                  </w:divsChild>
                </w:div>
                <w:div w:id="1942687246">
                  <w:marLeft w:val="0"/>
                  <w:marRight w:val="0"/>
                  <w:marTop w:val="0"/>
                  <w:marBottom w:val="0"/>
                  <w:divBdr>
                    <w:top w:val="none" w:sz="0" w:space="0" w:color="auto"/>
                    <w:left w:val="none" w:sz="0" w:space="0" w:color="auto"/>
                    <w:bottom w:val="none" w:sz="0" w:space="0" w:color="auto"/>
                    <w:right w:val="none" w:sz="0" w:space="0" w:color="auto"/>
                  </w:divBdr>
                  <w:divsChild>
                    <w:div w:id="669912573">
                      <w:marLeft w:val="0"/>
                      <w:marRight w:val="0"/>
                      <w:marTop w:val="120"/>
                      <w:marBottom w:val="0"/>
                      <w:divBdr>
                        <w:top w:val="none" w:sz="0" w:space="0" w:color="auto"/>
                        <w:left w:val="none" w:sz="0" w:space="0" w:color="auto"/>
                        <w:bottom w:val="none" w:sz="0" w:space="0" w:color="auto"/>
                        <w:right w:val="none" w:sz="0" w:space="0" w:color="auto"/>
                      </w:divBdr>
                    </w:div>
                    <w:div w:id="720444291">
                      <w:marLeft w:val="0"/>
                      <w:marRight w:val="0"/>
                      <w:marTop w:val="0"/>
                      <w:marBottom w:val="0"/>
                      <w:divBdr>
                        <w:top w:val="none" w:sz="0" w:space="0" w:color="auto"/>
                        <w:left w:val="none" w:sz="0" w:space="0" w:color="auto"/>
                        <w:bottom w:val="none" w:sz="0" w:space="0" w:color="auto"/>
                        <w:right w:val="none" w:sz="0" w:space="0" w:color="auto"/>
                      </w:divBdr>
                    </w:div>
                  </w:divsChild>
                </w:div>
                <w:div w:id="1978686622">
                  <w:marLeft w:val="0"/>
                  <w:marRight w:val="0"/>
                  <w:marTop w:val="0"/>
                  <w:marBottom w:val="0"/>
                  <w:divBdr>
                    <w:top w:val="none" w:sz="0" w:space="0" w:color="auto"/>
                    <w:left w:val="none" w:sz="0" w:space="0" w:color="auto"/>
                    <w:bottom w:val="none" w:sz="0" w:space="0" w:color="auto"/>
                    <w:right w:val="none" w:sz="0" w:space="0" w:color="auto"/>
                  </w:divBdr>
                  <w:divsChild>
                    <w:div w:id="1309700333">
                      <w:marLeft w:val="0"/>
                      <w:marRight w:val="0"/>
                      <w:marTop w:val="120"/>
                      <w:marBottom w:val="0"/>
                      <w:divBdr>
                        <w:top w:val="none" w:sz="0" w:space="0" w:color="auto"/>
                        <w:left w:val="none" w:sz="0" w:space="0" w:color="auto"/>
                        <w:bottom w:val="none" w:sz="0" w:space="0" w:color="auto"/>
                        <w:right w:val="none" w:sz="0" w:space="0" w:color="auto"/>
                      </w:divBdr>
                    </w:div>
                    <w:div w:id="1773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44430">
      <w:bodyDiv w:val="1"/>
      <w:marLeft w:val="0"/>
      <w:marRight w:val="0"/>
      <w:marTop w:val="0"/>
      <w:marBottom w:val="0"/>
      <w:divBdr>
        <w:top w:val="none" w:sz="0" w:space="0" w:color="auto"/>
        <w:left w:val="none" w:sz="0" w:space="0" w:color="auto"/>
        <w:bottom w:val="none" w:sz="0" w:space="0" w:color="auto"/>
        <w:right w:val="none" w:sz="0" w:space="0" w:color="auto"/>
      </w:divBdr>
      <w:divsChild>
        <w:div w:id="521893523">
          <w:marLeft w:val="0"/>
          <w:marRight w:val="0"/>
          <w:marTop w:val="0"/>
          <w:marBottom w:val="0"/>
          <w:divBdr>
            <w:top w:val="none" w:sz="0" w:space="0" w:color="auto"/>
            <w:left w:val="none" w:sz="0" w:space="0" w:color="auto"/>
            <w:bottom w:val="none" w:sz="0" w:space="0" w:color="auto"/>
            <w:right w:val="none" w:sz="0" w:space="0" w:color="auto"/>
          </w:divBdr>
          <w:divsChild>
            <w:div w:id="1067075730">
              <w:marLeft w:val="0"/>
              <w:marRight w:val="0"/>
              <w:marTop w:val="0"/>
              <w:marBottom w:val="0"/>
              <w:divBdr>
                <w:top w:val="none" w:sz="0" w:space="0" w:color="auto"/>
                <w:left w:val="none" w:sz="0" w:space="0" w:color="auto"/>
                <w:bottom w:val="none" w:sz="0" w:space="0" w:color="auto"/>
                <w:right w:val="none" w:sz="0" w:space="0" w:color="auto"/>
              </w:divBdr>
            </w:div>
          </w:divsChild>
        </w:div>
        <w:div w:id="1369648279">
          <w:marLeft w:val="0"/>
          <w:marRight w:val="0"/>
          <w:marTop w:val="0"/>
          <w:marBottom w:val="0"/>
          <w:divBdr>
            <w:top w:val="none" w:sz="0" w:space="0" w:color="auto"/>
            <w:left w:val="none" w:sz="0" w:space="0" w:color="auto"/>
            <w:bottom w:val="none" w:sz="0" w:space="0" w:color="auto"/>
            <w:right w:val="none" w:sz="0" w:space="0" w:color="auto"/>
          </w:divBdr>
          <w:divsChild>
            <w:div w:id="1290284831">
              <w:marLeft w:val="0"/>
              <w:marRight w:val="0"/>
              <w:marTop w:val="0"/>
              <w:marBottom w:val="0"/>
              <w:divBdr>
                <w:top w:val="none" w:sz="0" w:space="0" w:color="auto"/>
                <w:left w:val="none" w:sz="0" w:space="0" w:color="auto"/>
                <w:bottom w:val="none" w:sz="0" w:space="0" w:color="auto"/>
                <w:right w:val="none" w:sz="0" w:space="0" w:color="auto"/>
              </w:divBdr>
            </w:div>
          </w:divsChild>
        </w:div>
        <w:div w:id="1434742233">
          <w:marLeft w:val="0"/>
          <w:marRight w:val="0"/>
          <w:marTop w:val="0"/>
          <w:marBottom w:val="0"/>
          <w:divBdr>
            <w:top w:val="none" w:sz="0" w:space="0" w:color="auto"/>
            <w:left w:val="none" w:sz="0" w:space="0" w:color="auto"/>
            <w:bottom w:val="none" w:sz="0" w:space="0" w:color="auto"/>
            <w:right w:val="none" w:sz="0" w:space="0" w:color="auto"/>
          </w:divBdr>
          <w:divsChild>
            <w:div w:id="986545680">
              <w:marLeft w:val="0"/>
              <w:marRight w:val="0"/>
              <w:marTop w:val="0"/>
              <w:marBottom w:val="0"/>
              <w:divBdr>
                <w:top w:val="none" w:sz="0" w:space="0" w:color="auto"/>
                <w:left w:val="none" w:sz="0" w:space="0" w:color="auto"/>
                <w:bottom w:val="none" w:sz="0" w:space="0" w:color="auto"/>
                <w:right w:val="none" w:sz="0" w:space="0" w:color="auto"/>
              </w:divBdr>
              <w:divsChild>
                <w:div w:id="341901787">
                  <w:marLeft w:val="0"/>
                  <w:marRight w:val="0"/>
                  <w:marTop w:val="0"/>
                  <w:marBottom w:val="0"/>
                  <w:divBdr>
                    <w:top w:val="none" w:sz="0" w:space="0" w:color="auto"/>
                    <w:left w:val="none" w:sz="0" w:space="0" w:color="auto"/>
                    <w:bottom w:val="none" w:sz="0" w:space="0" w:color="auto"/>
                    <w:right w:val="none" w:sz="0" w:space="0" w:color="auto"/>
                  </w:divBdr>
                  <w:divsChild>
                    <w:div w:id="525565183">
                      <w:marLeft w:val="0"/>
                      <w:marRight w:val="0"/>
                      <w:marTop w:val="120"/>
                      <w:marBottom w:val="0"/>
                      <w:divBdr>
                        <w:top w:val="none" w:sz="0" w:space="0" w:color="auto"/>
                        <w:left w:val="none" w:sz="0" w:space="0" w:color="auto"/>
                        <w:bottom w:val="none" w:sz="0" w:space="0" w:color="auto"/>
                        <w:right w:val="none" w:sz="0" w:space="0" w:color="auto"/>
                      </w:divBdr>
                    </w:div>
                    <w:div w:id="1725133569">
                      <w:marLeft w:val="0"/>
                      <w:marRight w:val="0"/>
                      <w:marTop w:val="0"/>
                      <w:marBottom w:val="0"/>
                      <w:divBdr>
                        <w:top w:val="none" w:sz="0" w:space="0" w:color="auto"/>
                        <w:left w:val="none" w:sz="0" w:space="0" w:color="auto"/>
                        <w:bottom w:val="none" w:sz="0" w:space="0" w:color="auto"/>
                        <w:right w:val="none" w:sz="0" w:space="0" w:color="auto"/>
                      </w:divBdr>
                    </w:div>
                  </w:divsChild>
                </w:div>
                <w:div w:id="2043162982">
                  <w:marLeft w:val="0"/>
                  <w:marRight w:val="0"/>
                  <w:marTop w:val="0"/>
                  <w:marBottom w:val="0"/>
                  <w:divBdr>
                    <w:top w:val="none" w:sz="0" w:space="0" w:color="auto"/>
                    <w:left w:val="none" w:sz="0" w:space="0" w:color="auto"/>
                    <w:bottom w:val="none" w:sz="0" w:space="0" w:color="auto"/>
                    <w:right w:val="none" w:sz="0" w:space="0" w:color="auto"/>
                  </w:divBdr>
                  <w:divsChild>
                    <w:div w:id="279148832">
                      <w:marLeft w:val="0"/>
                      <w:marRight w:val="0"/>
                      <w:marTop w:val="0"/>
                      <w:marBottom w:val="0"/>
                      <w:divBdr>
                        <w:top w:val="none" w:sz="0" w:space="0" w:color="auto"/>
                        <w:left w:val="none" w:sz="0" w:space="0" w:color="auto"/>
                        <w:bottom w:val="none" w:sz="0" w:space="0" w:color="auto"/>
                        <w:right w:val="none" w:sz="0" w:space="0" w:color="auto"/>
                      </w:divBdr>
                    </w:div>
                    <w:div w:id="4906764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24253085">
          <w:marLeft w:val="0"/>
          <w:marRight w:val="0"/>
          <w:marTop w:val="0"/>
          <w:marBottom w:val="0"/>
          <w:divBdr>
            <w:top w:val="none" w:sz="0" w:space="0" w:color="auto"/>
            <w:left w:val="none" w:sz="0" w:space="0" w:color="auto"/>
            <w:bottom w:val="none" w:sz="0" w:space="0" w:color="auto"/>
            <w:right w:val="none" w:sz="0" w:space="0" w:color="auto"/>
          </w:divBdr>
          <w:divsChild>
            <w:div w:id="1265184287">
              <w:marLeft w:val="0"/>
              <w:marRight w:val="0"/>
              <w:marTop w:val="0"/>
              <w:marBottom w:val="0"/>
              <w:divBdr>
                <w:top w:val="none" w:sz="0" w:space="0" w:color="auto"/>
                <w:left w:val="none" w:sz="0" w:space="0" w:color="auto"/>
                <w:bottom w:val="none" w:sz="0" w:space="0" w:color="auto"/>
                <w:right w:val="none" w:sz="0" w:space="0" w:color="auto"/>
              </w:divBdr>
              <w:divsChild>
                <w:div w:id="264113121">
                  <w:marLeft w:val="0"/>
                  <w:marRight w:val="0"/>
                  <w:marTop w:val="0"/>
                  <w:marBottom w:val="0"/>
                  <w:divBdr>
                    <w:top w:val="none" w:sz="0" w:space="0" w:color="auto"/>
                    <w:left w:val="none" w:sz="0" w:space="0" w:color="auto"/>
                    <w:bottom w:val="none" w:sz="0" w:space="0" w:color="auto"/>
                    <w:right w:val="none" w:sz="0" w:space="0" w:color="auto"/>
                  </w:divBdr>
                  <w:divsChild>
                    <w:div w:id="117333716">
                      <w:marLeft w:val="0"/>
                      <w:marRight w:val="0"/>
                      <w:marTop w:val="0"/>
                      <w:marBottom w:val="0"/>
                      <w:divBdr>
                        <w:top w:val="none" w:sz="0" w:space="0" w:color="auto"/>
                        <w:left w:val="none" w:sz="0" w:space="0" w:color="auto"/>
                        <w:bottom w:val="none" w:sz="0" w:space="0" w:color="auto"/>
                        <w:right w:val="none" w:sz="0" w:space="0" w:color="auto"/>
                      </w:divBdr>
                    </w:div>
                    <w:div w:id="683941313">
                      <w:marLeft w:val="0"/>
                      <w:marRight w:val="0"/>
                      <w:marTop w:val="120"/>
                      <w:marBottom w:val="0"/>
                      <w:divBdr>
                        <w:top w:val="none" w:sz="0" w:space="0" w:color="auto"/>
                        <w:left w:val="none" w:sz="0" w:space="0" w:color="auto"/>
                        <w:bottom w:val="none" w:sz="0" w:space="0" w:color="auto"/>
                        <w:right w:val="none" w:sz="0" w:space="0" w:color="auto"/>
                      </w:divBdr>
                    </w:div>
                  </w:divsChild>
                </w:div>
                <w:div w:id="743451856">
                  <w:marLeft w:val="0"/>
                  <w:marRight w:val="0"/>
                  <w:marTop w:val="0"/>
                  <w:marBottom w:val="0"/>
                  <w:divBdr>
                    <w:top w:val="none" w:sz="0" w:space="0" w:color="auto"/>
                    <w:left w:val="none" w:sz="0" w:space="0" w:color="auto"/>
                    <w:bottom w:val="none" w:sz="0" w:space="0" w:color="auto"/>
                    <w:right w:val="none" w:sz="0" w:space="0" w:color="auto"/>
                  </w:divBdr>
                  <w:divsChild>
                    <w:div w:id="647979146">
                      <w:marLeft w:val="0"/>
                      <w:marRight w:val="0"/>
                      <w:marTop w:val="0"/>
                      <w:marBottom w:val="0"/>
                      <w:divBdr>
                        <w:top w:val="none" w:sz="0" w:space="0" w:color="auto"/>
                        <w:left w:val="none" w:sz="0" w:space="0" w:color="auto"/>
                        <w:bottom w:val="none" w:sz="0" w:space="0" w:color="auto"/>
                        <w:right w:val="none" w:sz="0" w:space="0" w:color="auto"/>
                      </w:divBdr>
                    </w:div>
                    <w:div w:id="797067313">
                      <w:marLeft w:val="0"/>
                      <w:marRight w:val="0"/>
                      <w:marTop w:val="120"/>
                      <w:marBottom w:val="0"/>
                      <w:divBdr>
                        <w:top w:val="none" w:sz="0" w:space="0" w:color="auto"/>
                        <w:left w:val="none" w:sz="0" w:space="0" w:color="auto"/>
                        <w:bottom w:val="none" w:sz="0" w:space="0" w:color="auto"/>
                        <w:right w:val="none" w:sz="0" w:space="0" w:color="auto"/>
                      </w:divBdr>
                    </w:div>
                  </w:divsChild>
                </w:div>
                <w:div w:id="1152796795">
                  <w:marLeft w:val="0"/>
                  <w:marRight w:val="0"/>
                  <w:marTop w:val="0"/>
                  <w:marBottom w:val="0"/>
                  <w:divBdr>
                    <w:top w:val="none" w:sz="0" w:space="0" w:color="auto"/>
                    <w:left w:val="none" w:sz="0" w:space="0" w:color="auto"/>
                    <w:bottom w:val="none" w:sz="0" w:space="0" w:color="auto"/>
                    <w:right w:val="none" w:sz="0" w:space="0" w:color="auto"/>
                  </w:divBdr>
                  <w:divsChild>
                    <w:div w:id="471752015">
                      <w:marLeft w:val="0"/>
                      <w:marRight w:val="0"/>
                      <w:marTop w:val="0"/>
                      <w:marBottom w:val="0"/>
                      <w:divBdr>
                        <w:top w:val="none" w:sz="0" w:space="0" w:color="auto"/>
                        <w:left w:val="none" w:sz="0" w:space="0" w:color="auto"/>
                        <w:bottom w:val="none" w:sz="0" w:space="0" w:color="auto"/>
                        <w:right w:val="none" w:sz="0" w:space="0" w:color="auto"/>
                      </w:divBdr>
                    </w:div>
                    <w:div w:id="19010117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1171100">
          <w:marLeft w:val="0"/>
          <w:marRight w:val="0"/>
          <w:marTop w:val="0"/>
          <w:marBottom w:val="0"/>
          <w:divBdr>
            <w:top w:val="none" w:sz="0" w:space="0" w:color="auto"/>
            <w:left w:val="none" w:sz="0" w:space="0" w:color="auto"/>
            <w:bottom w:val="none" w:sz="0" w:space="0" w:color="auto"/>
            <w:right w:val="none" w:sz="0" w:space="0" w:color="auto"/>
          </w:divBdr>
          <w:divsChild>
            <w:div w:id="5937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245">
      <w:bodyDiv w:val="1"/>
      <w:marLeft w:val="0"/>
      <w:marRight w:val="0"/>
      <w:marTop w:val="0"/>
      <w:marBottom w:val="0"/>
      <w:divBdr>
        <w:top w:val="none" w:sz="0" w:space="0" w:color="auto"/>
        <w:left w:val="none" w:sz="0" w:space="0" w:color="auto"/>
        <w:bottom w:val="none" w:sz="0" w:space="0" w:color="auto"/>
        <w:right w:val="none" w:sz="0" w:space="0" w:color="auto"/>
      </w:divBdr>
    </w:div>
    <w:div w:id="1113983564">
      <w:bodyDiv w:val="1"/>
      <w:marLeft w:val="0"/>
      <w:marRight w:val="0"/>
      <w:marTop w:val="0"/>
      <w:marBottom w:val="0"/>
      <w:divBdr>
        <w:top w:val="none" w:sz="0" w:space="0" w:color="auto"/>
        <w:left w:val="none" w:sz="0" w:space="0" w:color="auto"/>
        <w:bottom w:val="none" w:sz="0" w:space="0" w:color="auto"/>
        <w:right w:val="none" w:sz="0" w:space="0" w:color="auto"/>
      </w:divBdr>
    </w:div>
    <w:div w:id="1118064426">
      <w:bodyDiv w:val="1"/>
      <w:marLeft w:val="0"/>
      <w:marRight w:val="0"/>
      <w:marTop w:val="0"/>
      <w:marBottom w:val="0"/>
      <w:divBdr>
        <w:top w:val="none" w:sz="0" w:space="0" w:color="auto"/>
        <w:left w:val="none" w:sz="0" w:space="0" w:color="auto"/>
        <w:bottom w:val="none" w:sz="0" w:space="0" w:color="auto"/>
        <w:right w:val="none" w:sz="0" w:space="0" w:color="auto"/>
      </w:divBdr>
    </w:div>
    <w:div w:id="1165361247">
      <w:bodyDiv w:val="1"/>
      <w:marLeft w:val="0"/>
      <w:marRight w:val="0"/>
      <w:marTop w:val="0"/>
      <w:marBottom w:val="0"/>
      <w:divBdr>
        <w:top w:val="none" w:sz="0" w:space="0" w:color="auto"/>
        <w:left w:val="none" w:sz="0" w:space="0" w:color="auto"/>
        <w:bottom w:val="none" w:sz="0" w:space="0" w:color="auto"/>
        <w:right w:val="none" w:sz="0" w:space="0" w:color="auto"/>
      </w:divBdr>
      <w:divsChild>
        <w:div w:id="20403897">
          <w:marLeft w:val="0"/>
          <w:marRight w:val="0"/>
          <w:marTop w:val="0"/>
          <w:marBottom w:val="0"/>
          <w:divBdr>
            <w:top w:val="none" w:sz="0" w:space="0" w:color="auto"/>
            <w:left w:val="none" w:sz="0" w:space="0" w:color="auto"/>
            <w:bottom w:val="none" w:sz="0" w:space="0" w:color="auto"/>
            <w:right w:val="none" w:sz="0" w:space="0" w:color="auto"/>
          </w:divBdr>
        </w:div>
        <w:div w:id="25063429">
          <w:marLeft w:val="0"/>
          <w:marRight w:val="0"/>
          <w:marTop w:val="0"/>
          <w:marBottom w:val="0"/>
          <w:divBdr>
            <w:top w:val="none" w:sz="0" w:space="0" w:color="auto"/>
            <w:left w:val="none" w:sz="0" w:space="0" w:color="auto"/>
            <w:bottom w:val="none" w:sz="0" w:space="0" w:color="auto"/>
            <w:right w:val="none" w:sz="0" w:space="0" w:color="auto"/>
          </w:divBdr>
        </w:div>
        <w:div w:id="74017105">
          <w:marLeft w:val="0"/>
          <w:marRight w:val="0"/>
          <w:marTop w:val="0"/>
          <w:marBottom w:val="0"/>
          <w:divBdr>
            <w:top w:val="none" w:sz="0" w:space="0" w:color="auto"/>
            <w:left w:val="none" w:sz="0" w:space="0" w:color="auto"/>
            <w:bottom w:val="none" w:sz="0" w:space="0" w:color="auto"/>
            <w:right w:val="none" w:sz="0" w:space="0" w:color="auto"/>
          </w:divBdr>
        </w:div>
        <w:div w:id="233467193">
          <w:marLeft w:val="0"/>
          <w:marRight w:val="0"/>
          <w:marTop w:val="0"/>
          <w:marBottom w:val="0"/>
          <w:divBdr>
            <w:top w:val="none" w:sz="0" w:space="0" w:color="auto"/>
            <w:left w:val="none" w:sz="0" w:space="0" w:color="auto"/>
            <w:bottom w:val="none" w:sz="0" w:space="0" w:color="auto"/>
            <w:right w:val="none" w:sz="0" w:space="0" w:color="auto"/>
          </w:divBdr>
        </w:div>
        <w:div w:id="258878195">
          <w:marLeft w:val="0"/>
          <w:marRight w:val="0"/>
          <w:marTop w:val="0"/>
          <w:marBottom w:val="0"/>
          <w:divBdr>
            <w:top w:val="none" w:sz="0" w:space="0" w:color="auto"/>
            <w:left w:val="none" w:sz="0" w:space="0" w:color="auto"/>
            <w:bottom w:val="none" w:sz="0" w:space="0" w:color="auto"/>
            <w:right w:val="none" w:sz="0" w:space="0" w:color="auto"/>
          </w:divBdr>
        </w:div>
        <w:div w:id="307318550">
          <w:marLeft w:val="0"/>
          <w:marRight w:val="0"/>
          <w:marTop w:val="0"/>
          <w:marBottom w:val="0"/>
          <w:divBdr>
            <w:top w:val="none" w:sz="0" w:space="0" w:color="auto"/>
            <w:left w:val="none" w:sz="0" w:space="0" w:color="auto"/>
            <w:bottom w:val="none" w:sz="0" w:space="0" w:color="auto"/>
            <w:right w:val="none" w:sz="0" w:space="0" w:color="auto"/>
          </w:divBdr>
        </w:div>
        <w:div w:id="543757079">
          <w:marLeft w:val="0"/>
          <w:marRight w:val="0"/>
          <w:marTop w:val="0"/>
          <w:marBottom w:val="0"/>
          <w:divBdr>
            <w:top w:val="none" w:sz="0" w:space="0" w:color="auto"/>
            <w:left w:val="none" w:sz="0" w:space="0" w:color="auto"/>
            <w:bottom w:val="none" w:sz="0" w:space="0" w:color="auto"/>
            <w:right w:val="none" w:sz="0" w:space="0" w:color="auto"/>
          </w:divBdr>
        </w:div>
        <w:div w:id="569922174">
          <w:marLeft w:val="0"/>
          <w:marRight w:val="0"/>
          <w:marTop w:val="0"/>
          <w:marBottom w:val="0"/>
          <w:divBdr>
            <w:top w:val="none" w:sz="0" w:space="0" w:color="auto"/>
            <w:left w:val="none" w:sz="0" w:space="0" w:color="auto"/>
            <w:bottom w:val="none" w:sz="0" w:space="0" w:color="auto"/>
            <w:right w:val="none" w:sz="0" w:space="0" w:color="auto"/>
          </w:divBdr>
        </w:div>
        <w:div w:id="677469255">
          <w:marLeft w:val="0"/>
          <w:marRight w:val="0"/>
          <w:marTop w:val="0"/>
          <w:marBottom w:val="0"/>
          <w:divBdr>
            <w:top w:val="none" w:sz="0" w:space="0" w:color="auto"/>
            <w:left w:val="none" w:sz="0" w:space="0" w:color="auto"/>
            <w:bottom w:val="none" w:sz="0" w:space="0" w:color="auto"/>
            <w:right w:val="none" w:sz="0" w:space="0" w:color="auto"/>
          </w:divBdr>
        </w:div>
        <w:div w:id="763845327">
          <w:marLeft w:val="0"/>
          <w:marRight w:val="0"/>
          <w:marTop w:val="0"/>
          <w:marBottom w:val="0"/>
          <w:divBdr>
            <w:top w:val="none" w:sz="0" w:space="0" w:color="auto"/>
            <w:left w:val="none" w:sz="0" w:space="0" w:color="auto"/>
            <w:bottom w:val="none" w:sz="0" w:space="0" w:color="auto"/>
            <w:right w:val="none" w:sz="0" w:space="0" w:color="auto"/>
          </w:divBdr>
        </w:div>
        <w:div w:id="766732152">
          <w:marLeft w:val="0"/>
          <w:marRight w:val="0"/>
          <w:marTop w:val="0"/>
          <w:marBottom w:val="0"/>
          <w:divBdr>
            <w:top w:val="none" w:sz="0" w:space="0" w:color="auto"/>
            <w:left w:val="none" w:sz="0" w:space="0" w:color="auto"/>
            <w:bottom w:val="none" w:sz="0" w:space="0" w:color="auto"/>
            <w:right w:val="none" w:sz="0" w:space="0" w:color="auto"/>
          </w:divBdr>
        </w:div>
        <w:div w:id="827749783">
          <w:marLeft w:val="0"/>
          <w:marRight w:val="0"/>
          <w:marTop w:val="0"/>
          <w:marBottom w:val="0"/>
          <w:divBdr>
            <w:top w:val="none" w:sz="0" w:space="0" w:color="auto"/>
            <w:left w:val="none" w:sz="0" w:space="0" w:color="auto"/>
            <w:bottom w:val="none" w:sz="0" w:space="0" w:color="auto"/>
            <w:right w:val="none" w:sz="0" w:space="0" w:color="auto"/>
          </w:divBdr>
        </w:div>
        <w:div w:id="891384581">
          <w:marLeft w:val="0"/>
          <w:marRight w:val="0"/>
          <w:marTop w:val="0"/>
          <w:marBottom w:val="0"/>
          <w:divBdr>
            <w:top w:val="none" w:sz="0" w:space="0" w:color="auto"/>
            <w:left w:val="none" w:sz="0" w:space="0" w:color="auto"/>
            <w:bottom w:val="none" w:sz="0" w:space="0" w:color="auto"/>
            <w:right w:val="none" w:sz="0" w:space="0" w:color="auto"/>
          </w:divBdr>
        </w:div>
        <w:div w:id="961502672">
          <w:marLeft w:val="0"/>
          <w:marRight w:val="0"/>
          <w:marTop w:val="0"/>
          <w:marBottom w:val="0"/>
          <w:divBdr>
            <w:top w:val="none" w:sz="0" w:space="0" w:color="auto"/>
            <w:left w:val="none" w:sz="0" w:space="0" w:color="auto"/>
            <w:bottom w:val="none" w:sz="0" w:space="0" w:color="auto"/>
            <w:right w:val="none" w:sz="0" w:space="0" w:color="auto"/>
          </w:divBdr>
        </w:div>
        <w:div w:id="1087532493">
          <w:marLeft w:val="0"/>
          <w:marRight w:val="0"/>
          <w:marTop w:val="0"/>
          <w:marBottom w:val="0"/>
          <w:divBdr>
            <w:top w:val="none" w:sz="0" w:space="0" w:color="auto"/>
            <w:left w:val="none" w:sz="0" w:space="0" w:color="auto"/>
            <w:bottom w:val="none" w:sz="0" w:space="0" w:color="auto"/>
            <w:right w:val="none" w:sz="0" w:space="0" w:color="auto"/>
          </w:divBdr>
        </w:div>
        <w:div w:id="1098867912">
          <w:marLeft w:val="0"/>
          <w:marRight w:val="0"/>
          <w:marTop w:val="0"/>
          <w:marBottom w:val="0"/>
          <w:divBdr>
            <w:top w:val="none" w:sz="0" w:space="0" w:color="auto"/>
            <w:left w:val="none" w:sz="0" w:space="0" w:color="auto"/>
            <w:bottom w:val="none" w:sz="0" w:space="0" w:color="auto"/>
            <w:right w:val="none" w:sz="0" w:space="0" w:color="auto"/>
          </w:divBdr>
        </w:div>
        <w:div w:id="1124158526">
          <w:marLeft w:val="0"/>
          <w:marRight w:val="0"/>
          <w:marTop w:val="0"/>
          <w:marBottom w:val="0"/>
          <w:divBdr>
            <w:top w:val="none" w:sz="0" w:space="0" w:color="auto"/>
            <w:left w:val="none" w:sz="0" w:space="0" w:color="auto"/>
            <w:bottom w:val="none" w:sz="0" w:space="0" w:color="auto"/>
            <w:right w:val="none" w:sz="0" w:space="0" w:color="auto"/>
          </w:divBdr>
        </w:div>
        <w:div w:id="1159929618">
          <w:marLeft w:val="0"/>
          <w:marRight w:val="0"/>
          <w:marTop w:val="0"/>
          <w:marBottom w:val="0"/>
          <w:divBdr>
            <w:top w:val="none" w:sz="0" w:space="0" w:color="auto"/>
            <w:left w:val="none" w:sz="0" w:space="0" w:color="auto"/>
            <w:bottom w:val="none" w:sz="0" w:space="0" w:color="auto"/>
            <w:right w:val="none" w:sz="0" w:space="0" w:color="auto"/>
          </w:divBdr>
        </w:div>
        <w:div w:id="1311592196">
          <w:marLeft w:val="0"/>
          <w:marRight w:val="0"/>
          <w:marTop w:val="0"/>
          <w:marBottom w:val="0"/>
          <w:divBdr>
            <w:top w:val="none" w:sz="0" w:space="0" w:color="auto"/>
            <w:left w:val="none" w:sz="0" w:space="0" w:color="auto"/>
            <w:bottom w:val="none" w:sz="0" w:space="0" w:color="auto"/>
            <w:right w:val="none" w:sz="0" w:space="0" w:color="auto"/>
          </w:divBdr>
        </w:div>
        <w:div w:id="1387800321">
          <w:marLeft w:val="0"/>
          <w:marRight w:val="0"/>
          <w:marTop w:val="0"/>
          <w:marBottom w:val="0"/>
          <w:divBdr>
            <w:top w:val="none" w:sz="0" w:space="0" w:color="auto"/>
            <w:left w:val="none" w:sz="0" w:space="0" w:color="auto"/>
            <w:bottom w:val="none" w:sz="0" w:space="0" w:color="auto"/>
            <w:right w:val="none" w:sz="0" w:space="0" w:color="auto"/>
          </w:divBdr>
        </w:div>
        <w:div w:id="1489982028">
          <w:marLeft w:val="0"/>
          <w:marRight w:val="0"/>
          <w:marTop w:val="0"/>
          <w:marBottom w:val="0"/>
          <w:divBdr>
            <w:top w:val="none" w:sz="0" w:space="0" w:color="auto"/>
            <w:left w:val="none" w:sz="0" w:space="0" w:color="auto"/>
            <w:bottom w:val="none" w:sz="0" w:space="0" w:color="auto"/>
            <w:right w:val="none" w:sz="0" w:space="0" w:color="auto"/>
          </w:divBdr>
        </w:div>
        <w:div w:id="1751269965">
          <w:marLeft w:val="0"/>
          <w:marRight w:val="0"/>
          <w:marTop w:val="0"/>
          <w:marBottom w:val="0"/>
          <w:divBdr>
            <w:top w:val="none" w:sz="0" w:space="0" w:color="auto"/>
            <w:left w:val="none" w:sz="0" w:space="0" w:color="auto"/>
            <w:bottom w:val="none" w:sz="0" w:space="0" w:color="auto"/>
            <w:right w:val="none" w:sz="0" w:space="0" w:color="auto"/>
          </w:divBdr>
        </w:div>
        <w:div w:id="1761827621">
          <w:marLeft w:val="0"/>
          <w:marRight w:val="0"/>
          <w:marTop w:val="0"/>
          <w:marBottom w:val="0"/>
          <w:divBdr>
            <w:top w:val="none" w:sz="0" w:space="0" w:color="auto"/>
            <w:left w:val="none" w:sz="0" w:space="0" w:color="auto"/>
            <w:bottom w:val="none" w:sz="0" w:space="0" w:color="auto"/>
            <w:right w:val="none" w:sz="0" w:space="0" w:color="auto"/>
          </w:divBdr>
        </w:div>
        <w:div w:id="1963803150">
          <w:marLeft w:val="0"/>
          <w:marRight w:val="0"/>
          <w:marTop w:val="0"/>
          <w:marBottom w:val="0"/>
          <w:divBdr>
            <w:top w:val="none" w:sz="0" w:space="0" w:color="auto"/>
            <w:left w:val="none" w:sz="0" w:space="0" w:color="auto"/>
            <w:bottom w:val="none" w:sz="0" w:space="0" w:color="auto"/>
            <w:right w:val="none" w:sz="0" w:space="0" w:color="auto"/>
          </w:divBdr>
        </w:div>
        <w:div w:id="1978995583">
          <w:marLeft w:val="0"/>
          <w:marRight w:val="0"/>
          <w:marTop w:val="0"/>
          <w:marBottom w:val="0"/>
          <w:divBdr>
            <w:top w:val="none" w:sz="0" w:space="0" w:color="auto"/>
            <w:left w:val="none" w:sz="0" w:space="0" w:color="auto"/>
            <w:bottom w:val="none" w:sz="0" w:space="0" w:color="auto"/>
            <w:right w:val="none" w:sz="0" w:space="0" w:color="auto"/>
          </w:divBdr>
        </w:div>
        <w:div w:id="2032485936">
          <w:marLeft w:val="0"/>
          <w:marRight w:val="0"/>
          <w:marTop w:val="0"/>
          <w:marBottom w:val="0"/>
          <w:divBdr>
            <w:top w:val="none" w:sz="0" w:space="0" w:color="auto"/>
            <w:left w:val="none" w:sz="0" w:space="0" w:color="auto"/>
            <w:bottom w:val="none" w:sz="0" w:space="0" w:color="auto"/>
            <w:right w:val="none" w:sz="0" w:space="0" w:color="auto"/>
          </w:divBdr>
        </w:div>
        <w:div w:id="2145921996">
          <w:marLeft w:val="0"/>
          <w:marRight w:val="0"/>
          <w:marTop w:val="0"/>
          <w:marBottom w:val="0"/>
          <w:divBdr>
            <w:top w:val="none" w:sz="0" w:space="0" w:color="auto"/>
            <w:left w:val="none" w:sz="0" w:space="0" w:color="auto"/>
            <w:bottom w:val="none" w:sz="0" w:space="0" w:color="auto"/>
            <w:right w:val="none" w:sz="0" w:space="0" w:color="auto"/>
          </w:divBdr>
        </w:div>
      </w:divsChild>
    </w:div>
    <w:div w:id="1217203431">
      <w:bodyDiv w:val="1"/>
      <w:marLeft w:val="0"/>
      <w:marRight w:val="0"/>
      <w:marTop w:val="0"/>
      <w:marBottom w:val="0"/>
      <w:divBdr>
        <w:top w:val="none" w:sz="0" w:space="0" w:color="auto"/>
        <w:left w:val="none" w:sz="0" w:space="0" w:color="auto"/>
        <w:bottom w:val="none" w:sz="0" w:space="0" w:color="auto"/>
        <w:right w:val="none" w:sz="0" w:space="0" w:color="auto"/>
      </w:divBdr>
      <w:divsChild>
        <w:div w:id="1139685285">
          <w:marLeft w:val="0"/>
          <w:marRight w:val="0"/>
          <w:marTop w:val="0"/>
          <w:marBottom w:val="0"/>
          <w:divBdr>
            <w:top w:val="none" w:sz="0" w:space="0" w:color="auto"/>
            <w:left w:val="none" w:sz="0" w:space="0" w:color="auto"/>
            <w:bottom w:val="none" w:sz="0" w:space="0" w:color="auto"/>
            <w:right w:val="none" w:sz="0" w:space="0" w:color="auto"/>
          </w:divBdr>
          <w:divsChild>
            <w:div w:id="92865397">
              <w:marLeft w:val="0"/>
              <w:marRight w:val="0"/>
              <w:marTop w:val="0"/>
              <w:marBottom w:val="0"/>
              <w:divBdr>
                <w:top w:val="none" w:sz="0" w:space="0" w:color="auto"/>
                <w:left w:val="none" w:sz="0" w:space="0" w:color="auto"/>
                <w:bottom w:val="none" w:sz="0" w:space="0" w:color="auto"/>
                <w:right w:val="none" w:sz="0" w:space="0" w:color="auto"/>
              </w:divBdr>
              <w:divsChild>
                <w:div w:id="343022110">
                  <w:marLeft w:val="0"/>
                  <w:marRight w:val="0"/>
                  <w:marTop w:val="0"/>
                  <w:marBottom w:val="0"/>
                  <w:divBdr>
                    <w:top w:val="none" w:sz="0" w:space="0" w:color="auto"/>
                    <w:left w:val="none" w:sz="0" w:space="0" w:color="auto"/>
                    <w:bottom w:val="none" w:sz="0" w:space="0" w:color="auto"/>
                    <w:right w:val="none" w:sz="0" w:space="0" w:color="auto"/>
                  </w:divBdr>
                </w:div>
                <w:div w:id="1281301987">
                  <w:marLeft w:val="0"/>
                  <w:marRight w:val="0"/>
                  <w:marTop w:val="120"/>
                  <w:marBottom w:val="0"/>
                  <w:divBdr>
                    <w:top w:val="none" w:sz="0" w:space="0" w:color="auto"/>
                    <w:left w:val="none" w:sz="0" w:space="0" w:color="auto"/>
                    <w:bottom w:val="none" w:sz="0" w:space="0" w:color="auto"/>
                    <w:right w:val="none" w:sz="0" w:space="0" w:color="auto"/>
                  </w:divBdr>
                </w:div>
              </w:divsChild>
            </w:div>
            <w:div w:id="1068577361">
              <w:marLeft w:val="0"/>
              <w:marRight w:val="0"/>
              <w:marTop w:val="0"/>
              <w:marBottom w:val="0"/>
              <w:divBdr>
                <w:top w:val="none" w:sz="0" w:space="0" w:color="auto"/>
                <w:left w:val="none" w:sz="0" w:space="0" w:color="auto"/>
                <w:bottom w:val="none" w:sz="0" w:space="0" w:color="auto"/>
                <w:right w:val="none" w:sz="0" w:space="0" w:color="auto"/>
              </w:divBdr>
              <w:divsChild>
                <w:div w:id="656568257">
                  <w:marLeft w:val="0"/>
                  <w:marRight w:val="0"/>
                  <w:marTop w:val="120"/>
                  <w:marBottom w:val="0"/>
                  <w:divBdr>
                    <w:top w:val="none" w:sz="0" w:space="0" w:color="auto"/>
                    <w:left w:val="none" w:sz="0" w:space="0" w:color="auto"/>
                    <w:bottom w:val="none" w:sz="0" w:space="0" w:color="auto"/>
                    <w:right w:val="none" w:sz="0" w:space="0" w:color="auto"/>
                  </w:divBdr>
                </w:div>
                <w:div w:id="1982999350">
                  <w:marLeft w:val="0"/>
                  <w:marRight w:val="0"/>
                  <w:marTop w:val="0"/>
                  <w:marBottom w:val="0"/>
                  <w:divBdr>
                    <w:top w:val="none" w:sz="0" w:space="0" w:color="auto"/>
                    <w:left w:val="none" w:sz="0" w:space="0" w:color="auto"/>
                    <w:bottom w:val="none" w:sz="0" w:space="0" w:color="auto"/>
                    <w:right w:val="none" w:sz="0" w:space="0" w:color="auto"/>
                  </w:divBdr>
                </w:div>
              </w:divsChild>
            </w:div>
            <w:div w:id="1083648613">
              <w:marLeft w:val="0"/>
              <w:marRight w:val="0"/>
              <w:marTop w:val="0"/>
              <w:marBottom w:val="0"/>
              <w:divBdr>
                <w:top w:val="none" w:sz="0" w:space="0" w:color="auto"/>
                <w:left w:val="none" w:sz="0" w:space="0" w:color="auto"/>
                <w:bottom w:val="none" w:sz="0" w:space="0" w:color="auto"/>
                <w:right w:val="none" w:sz="0" w:space="0" w:color="auto"/>
              </w:divBdr>
              <w:divsChild>
                <w:div w:id="424348634">
                  <w:marLeft w:val="0"/>
                  <w:marRight w:val="0"/>
                  <w:marTop w:val="0"/>
                  <w:marBottom w:val="0"/>
                  <w:divBdr>
                    <w:top w:val="none" w:sz="0" w:space="0" w:color="auto"/>
                    <w:left w:val="none" w:sz="0" w:space="0" w:color="auto"/>
                    <w:bottom w:val="none" w:sz="0" w:space="0" w:color="auto"/>
                    <w:right w:val="none" w:sz="0" w:space="0" w:color="auto"/>
                  </w:divBdr>
                </w:div>
                <w:div w:id="1479494538">
                  <w:marLeft w:val="0"/>
                  <w:marRight w:val="0"/>
                  <w:marTop w:val="120"/>
                  <w:marBottom w:val="0"/>
                  <w:divBdr>
                    <w:top w:val="none" w:sz="0" w:space="0" w:color="auto"/>
                    <w:left w:val="none" w:sz="0" w:space="0" w:color="auto"/>
                    <w:bottom w:val="none" w:sz="0" w:space="0" w:color="auto"/>
                    <w:right w:val="none" w:sz="0" w:space="0" w:color="auto"/>
                  </w:divBdr>
                </w:div>
              </w:divsChild>
            </w:div>
            <w:div w:id="1442842948">
              <w:marLeft w:val="0"/>
              <w:marRight w:val="0"/>
              <w:marTop w:val="0"/>
              <w:marBottom w:val="0"/>
              <w:divBdr>
                <w:top w:val="none" w:sz="0" w:space="0" w:color="auto"/>
                <w:left w:val="none" w:sz="0" w:space="0" w:color="auto"/>
                <w:bottom w:val="none" w:sz="0" w:space="0" w:color="auto"/>
                <w:right w:val="none" w:sz="0" w:space="0" w:color="auto"/>
              </w:divBdr>
              <w:divsChild>
                <w:div w:id="825365314">
                  <w:marLeft w:val="0"/>
                  <w:marRight w:val="0"/>
                  <w:marTop w:val="0"/>
                  <w:marBottom w:val="0"/>
                  <w:divBdr>
                    <w:top w:val="none" w:sz="0" w:space="0" w:color="auto"/>
                    <w:left w:val="none" w:sz="0" w:space="0" w:color="auto"/>
                    <w:bottom w:val="none" w:sz="0" w:space="0" w:color="auto"/>
                    <w:right w:val="none" w:sz="0" w:space="0" w:color="auto"/>
                  </w:divBdr>
                </w:div>
                <w:div w:id="1307125100">
                  <w:marLeft w:val="0"/>
                  <w:marRight w:val="0"/>
                  <w:marTop w:val="120"/>
                  <w:marBottom w:val="0"/>
                  <w:divBdr>
                    <w:top w:val="none" w:sz="0" w:space="0" w:color="auto"/>
                    <w:left w:val="none" w:sz="0" w:space="0" w:color="auto"/>
                    <w:bottom w:val="none" w:sz="0" w:space="0" w:color="auto"/>
                    <w:right w:val="none" w:sz="0" w:space="0" w:color="auto"/>
                  </w:divBdr>
                </w:div>
              </w:divsChild>
            </w:div>
            <w:div w:id="1671368813">
              <w:marLeft w:val="0"/>
              <w:marRight w:val="0"/>
              <w:marTop w:val="0"/>
              <w:marBottom w:val="0"/>
              <w:divBdr>
                <w:top w:val="none" w:sz="0" w:space="0" w:color="auto"/>
                <w:left w:val="none" w:sz="0" w:space="0" w:color="auto"/>
                <w:bottom w:val="none" w:sz="0" w:space="0" w:color="auto"/>
                <w:right w:val="none" w:sz="0" w:space="0" w:color="auto"/>
              </w:divBdr>
              <w:divsChild>
                <w:div w:id="97213792">
                  <w:marLeft w:val="0"/>
                  <w:marRight w:val="0"/>
                  <w:marTop w:val="120"/>
                  <w:marBottom w:val="0"/>
                  <w:divBdr>
                    <w:top w:val="none" w:sz="0" w:space="0" w:color="auto"/>
                    <w:left w:val="none" w:sz="0" w:space="0" w:color="auto"/>
                    <w:bottom w:val="none" w:sz="0" w:space="0" w:color="auto"/>
                    <w:right w:val="none" w:sz="0" w:space="0" w:color="auto"/>
                  </w:divBdr>
                </w:div>
                <w:div w:id="1058089883">
                  <w:marLeft w:val="0"/>
                  <w:marRight w:val="0"/>
                  <w:marTop w:val="0"/>
                  <w:marBottom w:val="0"/>
                  <w:divBdr>
                    <w:top w:val="none" w:sz="0" w:space="0" w:color="auto"/>
                    <w:left w:val="none" w:sz="0" w:space="0" w:color="auto"/>
                    <w:bottom w:val="none" w:sz="0" w:space="0" w:color="auto"/>
                    <w:right w:val="none" w:sz="0" w:space="0" w:color="auto"/>
                  </w:divBdr>
                </w:div>
              </w:divsChild>
            </w:div>
            <w:div w:id="1776440605">
              <w:marLeft w:val="0"/>
              <w:marRight w:val="0"/>
              <w:marTop w:val="0"/>
              <w:marBottom w:val="0"/>
              <w:divBdr>
                <w:top w:val="none" w:sz="0" w:space="0" w:color="auto"/>
                <w:left w:val="none" w:sz="0" w:space="0" w:color="auto"/>
                <w:bottom w:val="none" w:sz="0" w:space="0" w:color="auto"/>
                <w:right w:val="none" w:sz="0" w:space="0" w:color="auto"/>
              </w:divBdr>
              <w:divsChild>
                <w:div w:id="741948016">
                  <w:marLeft w:val="0"/>
                  <w:marRight w:val="0"/>
                  <w:marTop w:val="0"/>
                  <w:marBottom w:val="0"/>
                  <w:divBdr>
                    <w:top w:val="none" w:sz="0" w:space="0" w:color="auto"/>
                    <w:left w:val="none" w:sz="0" w:space="0" w:color="auto"/>
                    <w:bottom w:val="none" w:sz="0" w:space="0" w:color="auto"/>
                    <w:right w:val="none" w:sz="0" w:space="0" w:color="auto"/>
                  </w:divBdr>
                </w:div>
                <w:div w:id="1930843517">
                  <w:marLeft w:val="0"/>
                  <w:marRight w:val="0"/>
                  <w:marTop w:val="120"/>
                  <w:marBottom w:val="0"/>
                  <w:divBdr>
                    <w:top w:val="none" w:sz="0" w:space="0" w:color="auto"/>
                    <w:left w:val="none" w:sz="0" w:space="0" w:color="auto"/>
                    <w:bottom w:val="none" w:sz="0" w:space="0" w:color="auto"/>
                    <w:right w:val="none" w:sz="0" w:space="0" w:color="auto"/>
                  </w:divBdr>
                </w:div>
              </w:divsChild>
            </w:div>
            <w:div w:id="1923442164">
              <w:marLeft w:val="0"/>
              <w:marRight w:val="0"/>
              <w:marTop w:val="0"/>
              <w:marBottom w:val="0"/>
              <w:divBdr>
                <w:top w:val="none" w:sz="0" w:space="0" w:color="auto"/>
                <w:left w:val="none" w:sz="0" w:space="0" w:color="auto"/>
                <w:bottom w:val="none" w:sz="0" w:space="0" w:color="auto"/>
                <w:right w:val="none" w:sz="0" w:space="0" w:color="auto"/>
              </w:divBdr>
              <w:divsChild>
                <w:div w:id="89587924">
                  <w:marLeft w:val="0"/>
                  <w:marRight w:val="0"/>
                  <w:marTop w:val="120"/>
                  <w:marBottom w:val="0"/>
                  <w:divBdr>
                    <w:top w:val="none" w:sz="0" w:space="0" w:color="auto"/>
                    <w:left w:val="none" w:sz="0" w:space="0" w:color="auto"/>
                    <w:bottom w:val="none" w:sz="0" w:space="0" w:color="auto"/>
                    <w:right w:val="none" w:sz="0" w:space="0" w:color="auto"/>
                  </w:divBdr>
                </w:div>
                <w:div w:id="1430547243">
                  <w:marLeft w:val="0"/>
                  <w:marRight w:val="0"/>
                  <w:marTop w:val="0"/>
                  <w:marBottom w:val="0"/>
                  <w:divBdr>
                    <w:top w:val="none" w:sz="0" w:space="0" w:color="auto"/>
                    <w:left w:val="none" w:sz="0" w:space="0" w:color="auto"/>
                    <w:bottom w:val="none" w:sz="0" w:space="0" w:color="auto"/>
                    <w:right w:val="none" w:sz="0" w:space="0" w:color="auto"/>
                  </w:divBdr>
                </w:div>
              </w:divsChild>
            </w:div>
            <w:div w:id="2045861780">
              <w:marLeft w:val="0"/>
              <w:marRight w:val="0"/>
              <w:marTop w:val="0"/>
              <w:marBottom w:val="0"/>
              <w:divBdr>
                <w:top w:val="none" w:sz="0" w:space="0" w:color="auto"/>
                <w:left w:val="none" w:sz="0" w:space="0" w:color="auto"/>
                <w:bottom w:val="none" w:sz="0" w:space="0" w:color="auto"/>
                <w:right w:val="none" w:sz="0" w:space="0" w:color="auto"/>
              </w:divBdr>
              <w:divsChild>
                <w:div w:id="1306593414">
                  <w:marLeft w:val="0"/>
                  <w:marRight w:val="0"/>
                  <w:marTop w:val="0"/>
                  <w:marBottom w:val="0"/>
                  <w:divBdr>
                    <w:top w:val="none" w:sz="0" w:space="0" w:color="auto"/>
                    <w:left w:val="none" w:sz="0" w:space="0" w:color="auto"/>
                    <w:bottom w:val="none" w:sz="0" w:space="0" w:color="auto"/>
                    <w:right w:val="none" w:sz="0" w:space="0" w:color="auto"/>
                  </w:divBdr>
                </w:div>
                <w:div w:id="20125672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1288322">
      <w:bodyDiv w:val="1"/>
      <w:marLeft w:val="0"/>
      <w:marRight w:val="0"/>
      <w:marTop w:val="0"/>
      <w:marBottom w:val="0"/>
      <w:divBdr>
        <w:top w:val="none" w:sz="0" w:space="0" w:color="auto"/>
        <w:left w:val="none" w:sz="0" w:space="0" w:color="auto"/>
        <w:bottom w:val="none" w:sz="0" w:space="0" w:color="auto"/>
        <w:right w:val="none" w:sz="0" w:space="0" w:color="auto"/>
      </w:divBdr>
    </w:div>
    <w:div w:id="1233587972">
      <w:bodyDiv w:val="1"/>
      <w:marLeft w:val="0"/>
      <w:marRight w:val="0"/>
      <w:marTop w:val="0"/>
      <w:marBottom w:val="0"/>
      <w:divBdr>
        <w:top w:val="none" w:sz="0" w:space="0" w:color="auto"/>
        <w:left w:val="none" w:sz="0" w:space="0" w:color="auto"/>
        <w:bottom w:val="none" w:sz="0" w:space="0" w:color="auto"/>
        <w:right w:val="none" w:sz="0" w:space="0" w:color="auto"/>
      </w:divBdr>
      <w:divsChild>
        <w:div w:id="522861167">
          <w:marLeft w:val="0"/>
          <w:marRight w:val="0"/>
          <w:marTop w:val="0"/>
          <w:marBottom w:val="0"/>
          <w:divBdr>
            <w:top w:val="none" w:sz="0" w:space="0" w:color="auto"/>
            <w:left w:val="none" w:sz="0" w:space="0" w:color="auto"/>
            <w:bottom w:val="none" w:sz="0" w:space="0" w:color="auto"/>
            <w:right w:val="none" w:sz="0" w:space="0" w:color="auto"/>
          </w:divBdr>
          <w:divsChild>
            <w:div w:id="1008799866">
              <w:marLeft w:val="0"/>
              <w:marRight w:val="0"/>
              <w:marTop w:val="0"/>
              <w:marBottom w:val="0"/>
              <w:divBdr>
                <w:top w:val="none" w:sz="0" w:space="0" w:color="auto"/>
                <w:left w:val="none" w:sz="0" w:space="0" w:color="auto"/>
                <w:bottom w:val="none" w:sz="0" w:space="0" w:color="auto"/>
                <w:right w:val="none" w:sz="0" w:space="0" w:color="auto"/>
              </w:divBdr>
            </w:div>
          </w:divsChild>
        </w:div>
        <w:div w:id="529805786">
          <w:marLeft w:val="0"/>
          <w:marRight w:val="0"/>
          <w:marTop w:val="0"/>
          <w:marBottom w:val="0"/>
          <w:divBdr>
            <w:top w:val="none" w:sz="0" w:space="0" w:color="auto"/>
            <w:left w:val="none" w:sz="0" w:space="0" w:color="auto"/>
            <w:bottom w:val="none" w:sz="0" w:space="0" w:color="auto"/>
            <w:right w:val="none" w:sz="0" w:space="0" w:color="auto"/>
          </w:divBdr>
          <w:divsChild>
            <w:div w:id="1342271547">
              <w:marLeft w:val="0"/>
              <w:marRight w:val="0"/>
              <w:marTop w:val="0"/>
              <w:marBottom w:val="0"/>
              <w:divBdr>
                <w:top w:val="none" w:sz="0" w:space="0" w:color="auto"/>
                <w:left w:val="none" w:sz="0" w:space="0" w:color="auto"/>
                <w:bottom w:val="none" w:sz="0" w:space="0" w:color="auto"/>
                <w:right w:val="none" w:sz="0" w:space="0" w:color="auto"/>
              </w:divBdr>
            </w:div>
          </w:divsChild>
        </w:div>
        <w:div w:id="592516776">
          <w:marLeft w:val="0"/>
          <w:marRight w:val="0"/>
          <w:marTop w:val="0"/>
          <w:marBottom w:val="0"/>
          <w:divBdr>
            <w:top w:val="none" w:sz="0" w:space="0" w:color="auto"/>
            <w:left w:val="none" w:sz="0" w:space="0" w:color="auto"/>
            <w:bottom w:val="none" w:sz="0" w:space="0" w:color="auto"/>
            <w:right w:val="none" w:sz="0" w:space="0" w:color="auto"/>
          </w:divBdr>
          <w:divsChild>
            <w:div w:id="1519005403">
              <w:marLeft w:val="0"/>
              <w:marRight w:val="0"/>
              <w:marTop w:val="0"/>
              <w:marBottom w:val="0"/>
              <w:divBdr>
                <w:top w:val="none" w:sz="0" w:space="0" w:color="auto"/>
                <w:left w:val="none" w:sz="0" w:space="0" w:color="auto"/>
                <w:bottom w:val="none" w:sz="0" w:space="0" w:color="auto"/>
                <w:right w:val="none" w:sz="0" w:space="0" w:color="auto"/>
              </w:divBdr>
            </w:div>
          </w:divsChild>
        </w:div>
        <w:div w:id="769353145">
          <w:marLeft w:val="0"/>
          <w:marRight w:val="0"/>
          <w:marTop w:val="0"/>
          <w:marBottom w:val="0"/>
          <w:divBdr>
            <w:top w:val="none" w:sz="0" w:space="0" w:color="auto"/>
            <w:left w:val="none" w:sz="0" w:space="0" w:color="auto"/>
            <w:bottom w:val="none" w:sz="0" w:space="0" w:color="auto"/>
            <w:right w:val="none" w:sz="0" w:space="0" w:color="auto"/>
          </w:divBdr>
          <w:divsChild>
            <w:div w:id="632103916">
              <w:marLeft w:val="0"/>
              <w:marRight w:val="0"/>
              <w:marTop w:val="0"/>
              <w:marBottom w:val="0"/>
              <w:divBdr>
                <w:top w:val="none" w:sz="0" w:space="0" w:color="auto"/>
                <w:left w:val="none" w:sz="0" w:space="0" w:color="auto"/>
                <w:bottom w:val="none" w:sz="0" w:space="0" w:color="auto"/>
                <w:right w:val="none" w:sz="0" w:space="0" w:color="auto"/>
              </w:divBdr>
              <w:divsChild>
                <w:div w:id="13190503">
                  <w:marLeft w:val="0"/>
                  <w:marRight w:val="0"/>
                  <w:marTop w:val="0"/>
                  <w:marBottom w:val="0"/>
                  <w:divBdr>
                    <w:top w:val="none" w:sz="0" w:space="0" w:color="auto"/>
                    <w:left w:val="none" w:sz="0" w:space="0" w:color="auto"/>
                    <w:bottom w:val="none" w:sz="0" w:space="0" w:color="auto"/>
                    <w:right w:val="none" w:sz="0" w:space="0" w:color="auto"/>
                  </w:divBdr>
                  <w:divsChild>
                    <w:div w:id="853223142">
                      <w:marLeft w:val="0"/>
                      <w:marRight w:val="0"/>
                      <w:marTop w:val="120"/>
                      <w:marBottom w:val="0"/>
                      <w:divBdr>
                        <w:top w:val="none" w:sz="0" w:space="0" w:color="auto"/>
                        <w:left w:val="none" w:sz="0" w:space="0" w:color="auto"/>
                        <w:bottom w:val="none" w:sz="0" w:space="0" w:color="auto"/>
                        <w:right w:val="none" w:sz="0" w:space="0" w:color="auto"/>
                      </w:divBdr>
                    </w:div>
                    <w:div w:id="1759209486">
                      <w:marLeft w:val="0"/>
                      <w:marRight w:val="0"/>
                      <w:marTop w:val="0"/>
                      <w:marBottom w:val="0"/>
                      <w:divBdr>
                        <w:top w:val="none" w:sz="0" w:space="0" w:color="auto"/>
                        <w:left w:val="none" w:sz="0" w:space="0" w:color="auto"/>
                        <w:bottom w:val="none" w:sz="0" w:space="0" w:color="auto"/>
                        <w:right w:val="none" w:sz="0" w:space="0" w:color="auto"/>
                      </w:divBdr>
                    </w:div>
                  </w:divsChild>
                </w:div>
                <w:div w:id="479230258">
                  <w:marLeft w:val="0"/>
                  <w:marRight w:val="0"/>
                  <w:marTop w:val="0"/>
                  <w:marBottom w:val="0"/>
                  <w:divBdr>
                    <w:top w:val="none" w:sz="0" w:space="0" w:color="auto"/>
                    <w:left w:val="none" w:sz="0" w:space="0" w:color="auto"/>
                    <w:bottom w:val="none" w:sz="0" w:space="0" w:color="auto"/>
                    <w:right w:val="none" w:sz="0" w:space="0" w:color="auto"/>
                  </w:divBdr>
                  <w:divsChild>
                    <w:div w:id="963586252">
                      <w:marLeft w:val="0"/>
                      <w:marRight w:val="0"/>
                      <w:marTop w:val="0"/>
                      <w:marBottom w:val="0"/>
                      <w:divBdr>
                        <w:top w:val="none" w:sz="0" w:space="0" w:color="auto"/>
                        <w:left w:val="none" w:sz="0" w:space="0" w:color="auto"/>
                        <w:bottom w:val="none" w:sz="0" w:space="0" w:color="auto"/>
                        <w:right w:val="none" w:sz="0" w:space="0" w:color="auto"/>
                      </w:divBdr>
                    </w:div>
                    <w:div w:id="2080786111">
                      <w:marLeft w:val="0"/>
                      <w:marRight w:val="0"/>
                      <w:marTop w:val="120"/>
                      <w:marBottom w:val="0"/>
                      <w:divBdr>
                        <w:top w:val="none" w:sz="0" w:space="0" w:color="auto"/>
                        <w:left w:val="none" w:sz="0" w:space="0" w:color="auto"/>
                        <w:bottom w:val="none" w:sz="0" w:space="0" w:color="auto"/>
                        <w:right w:val="none" w:sz="0" w:space="0" w:color="auto"/>
                      </w:divBdr>
                    </w:div>
                  </w:divsChild>
                </w:div>
                <w:div w:id="1098209295">
                  <w:marLeft w:val="0"/>
                  <w:marRight w:val="0"/>
                  <w:marTop w:val="0"/>
                  <w:marBottom w:val="0"/>
                  <w:divBdr>
                    <w:top w:val="none" w:sz="0" w:space="0" w:color="auto"/>
                    <w:left w:val="none" w:sz="0" w:space="0" w:color="auto"/>
                    <w:bottom w:val="none" w:sz="0" w:space="0" w:color="auto"/>
                    <w:right w:val="none" w:sz="0" w:space="0" w:color="auto"/>
                  </w:divBdr>
                  <w:divsChild>
                    <w:div w:id="1591428057">
                      <w:marLeft w:val="0"/>
                      <w:marRight w:val="0"/>
                      <w:marTop w:val="120"/>
                      <w:marBottom w:val="0"/>
                      <w:divBdr>
                        <w:top w:val="none" w:sz="0" w:space="0" w:color="auto"/>
                        <w:left w:val="none" w:sz="0" w:space="0" w:color="auto"/>
                        <w:bottom w:val="none" w:sz="0" w:space="0" w:color="auto"/>
                        <w:right w:val="none" w:sz="0" w:space="0" w:color="auto"/>
                      </w:divBdr>
                    </w:div>
                    <w:div w:id="1856962995">
                      <w:marLeft w:val="0"/>
                      <w:marRight w:val="0"/>
                      <w:marTop w:val="0"/>
                      <w:marBottom w:val="0"/>
                      <w:divBdr>
                        <w:top w:val="none" w:sz="0" w:space="0" w:color="auto"/>
                        <w:left w:val="none" w:sz="0" w:space="0" w:color="auto"/>
                        <w:bottom w:val="none" w:sz="0" w:space="0" w:color="auto"/>
                        <w:right w:val="none" w:sz="0" w:space="0" w:color="auto"/>
                      </w:divBdr>
                    </w:div>
                  </w:divsChild>
                </w:div>
                <w:div w:id="1178613705">
                  <w:marLeft w:val="0"/>
                  <w:marRight w:val="0"/>
                  <w:marTop w:val="0"/>
                  <w:marBottom w:val="0"/>
                  <w:divBdr>
                    <w:top w:val="none" w:sz="0" w:space="0" w:color="auto"/>
                    <w:left w:val="none" w:sz="0" w:space="0" w:color="auto"/>
                    <w:bottom w:val="none" w:sz="0" w:space="0" w:color="auto"/>
                    <w:right w:val="none" w:sz="0" w:space="0" w:color="auto"/>
                  </w:divBdr>
                  <w:divsChild>
                    <w:div w:id="348993758">
                      <w:marLeft w:val="0"/>
                      <w:marRight w:val="0"/>
                      <w:marTop w:val="0"/>
                      <w:marBottom w:val="0"/>
                      <w:divBdr>
                        <w:top w:val="none" w:sz="0" w:space="0" w:color="auto"/>
                        <w:left w:val="none" w:sz="0" w:space="0" w:color="auto"/>
                        <w:bottom w:val="none" w:sz="0" w:space="0" w:color="auto"/>
                        <w:right w:val="none" w:sz="0" w:space="0" w:color="auto"/>
                      </w:divBdr>
                    </w:div>
                    <w:div w:id="1501118476">
                      <w:marLeft w:val="0"/>
                      <w:marRight w:val="0"/>
                      <w:marTop w:val="120"/>
                      <w:marBottom w:val="0"/>
                      <w:divBdr>
                        <w:top w:val="none" w:sz="0" w:space="0" w:color="auto"/>
                        <w:left w:val="none" w:sz="0" w:space="0" w:color="auto"/>
                        <w:bottom w:val="none" w:sz="0" w:space="0" w:color="auto"/>
                        <w:right w:val="none" w:sz="0" w:space="0" w:color="auto"/>
                      </w:divBdr>
                    </w:div>
                  </w:divsChild>
                </w:div>
                <w:div w:id="1505238804">
                  <w:marLeft w:val="0"/>
                  <w:marRight w:val="0"/>
                  <w:marTop w:val="0"/>
                  <w:marBottom w:val="0"/>
                  <w:divBdr>
                    <w:top w:val="none" w:sz="0" w:space="0" w:color="auto"/>
                    <w:left w:val="none" w:sz="0" w:space="0" w:color="auto"/>
                    <w:bottom w:val="none" w:sz="0" w:space="0" w:color="auto"/>
                    <w:right w:val="none" w:sz="0" w:space="0" w:color="auto"/>
                  </w:divBdr>
                  <w:divsChild>
                    <w:div w:id="171453225">
                      <w:marLeft w:val="0"/>
                      <w:marRight w:val="0"/>
                      <w:marTop w:val="0"/>
                      <w:marBottom w:val="0"/>
                      <w:divBdr>
                        <w:top w:val="none" w:sz="0" w:space="0" w:color="auto"/>
                        <w:left w:val="none" w:sz="0" w:space="0" w:color="auto"/>
                        <w:bottom w:val="none" w:sz="0" w:space="0" w:color="auto"/>
                        <w:right w:val="none" w:sz="0" w:space="0" w:color="auto"/>
                      </w:divBdr>
                    </w:div>
                    <w:div w:id="729883824">
                      <w:marLeft w:val="0"/>
                      <w:marRight w:val="0"/>
                      <w:marTop w:val="120"/>
                      <w:marBottom w:val="0"/>
                      <w:divBdr>
                        <w:top w:val="none" w:sz="0" w:space="0" w:color="auto"/>
                        <w:left w:val="none" w:sz="0" w:space="0" w:color="auto"/>
                        <w:bottom w:val="none" w:sz="0" w:space="0" w:color="auto"/>
                        <w:right w:val="none" w:sz="0" w:space="0" w:color="auto"/>
                      </w:divBdr>
                    </w:div>
                  </w:divsChild>
                </w:div>
                <w:div w:id="1590121251">
                  <w:marLeft w:val="0"/>
                  <w:marRight w:val="0"/>
                  <w:marTop w:val="0"/>
                  <w:marBottom w:val="0"/>
                  <w:divBdr>
                    <w:top w:val="none" w:sz="0" w:space="0" w:color="auto"/>
                    <w:left w:val="none" w:sz="0" w:space="0" w:color="auto"/>
                    <w:bottom w:val="none" w:sz="0" w:space="0" w:color="auto"/>
                    <w:right w:val="none" w:sz="0" w:space="0" w:color="auto"/>
                  </w:divBdr>
                  <w:divsChild>
                    <w:div w:id="517231554">
                      <w:marLeft w:val="0"/>
                      <w:marRight w:val="0"/>
                      <w:marTop w:val="0"/>
                      <w:marBottom w:val="0"/>
                      <w:divBdr>
                        <w:top w:val="none" w:sz="0" w:space="0" w:color="auto"/>
                        <w:left w:val="none" w:sz="0" w:space="0" w:color="auto"/>
                        <w:bottom w:val="none" w:sz="0" w:space="0" w:color="auto"/>
                        <w:right w:val="none" w:sz="0" w:space="0" w:color="auto"/>
                      </w:divBdr>
                    </w:div>
                    <w:div w:id="1389642531">
                      <w:marLeft w:val="0"/>
                      <w:marRight w:val="0"/>
                      <w:marTop w:val="120"/>
                      <w:marBottom w:val="0"/>
                      <w:divBdr>
                        <w:top w:val="none" w:sz="0" w:space="0" w:color="auto"/>
                        <w:left w:val="none" w:sz="0" w:space="0" w:color="auto"/>
                        <w:bottom w:val="none" w:sz="0" w:space="0" w:color="auto"/>
                        <w:right w:val="none" w:sz="0" w:space="0" w:color="auto"/>
                      </w:divBdr>
                    </w:div>
                  </w:divsChild>
                </w:div>
                <w:div w:id="1775710618">
                  <w:marLeft w:val="0"/>
                  <w:marRight w:val="0"/>
                  <w:marTop w:val="0"/>
                  <w:marBottom w:val="0"/>
                  <w:divBdr>
                    <w:top w:val="none" w:sz="0" w:space="0" w:color="auto"/>
                    <w:left w:val="none" w:sz="0" w:space="0" w:color="auto"/>
                    <w:bottom w:val="none" w:sz="0" w:space="0" w:color="auto"/>
                    <w:right w:val="none" w:sz="0" w:space="0" w:color="auto"/>
                  </w:divBdr>
                  <w:divsChild>
                    <w:div w:id="665049">
                      <w:marLeft w:val="0"/>
                      <w:marRight w:val="0"/>
                      <w:marTop w:val="120"/>
                      <w:marBottom w:val="0"/>
                      <w:divBdr>
                        <w:top w:val="none" w:sz="0" w:space="0" w:color="auto"/>
                        <w:left w:val="none" w:sz="0" w:space="0" w:color="auto"/>
                        <w:bottom w:val="none" w:sz="0" w:space="0" w:color="auto"/>
                        <w:right w:val="none" w:sz="0" w:space="0" w:color="auto"/>
                      </w:divBdr>
                    </w:div>
                    <w:div w:id="376979079">
                      <w:marLeft w:val="0"/>
                      <w:marRight w:val="0"/>
                      <w:marTop w:val="0"/>
                      <w:marBottom w:val="0"/>
                      <w:divBdr>
                        <w:top w:val="none" w:sz="0" w:space="0" w:color="auto"/>
                        <w:left w:val="none" w:sz="0" w:space="0" w:color="auto"/>
                        <w:bottom w:val="none" w:sz="0" w:space="0" w:color="auto"/>
                        <w:right w:val="none" w:sz="0" w:space="0" w:color="auto"/>
                      </w:divBdr>
                    </w:div>
                  </w:divsChild>
                </w:div>
                <w:div w:id="2017725813">
                  <w:marLeft w:val="0"/>
                  <w:marRight w:val="0"/>
                  <w:marTop w:val="0"/>
                  <w:marBottom w:val="0"/>
                  <w:divBdr>
                    <w:top w:val="none" w:sz="0" w:space="0" w:color="auto"/>
                    <w:left w:val="none" w:sz="0" w:space="0" w:color="auto"/>
                    <w:bottom w:val="none" w:sz="0" w:space="0" w:color="auto"/>
                    <w:right w:val="none" w:sz="0" w:space="0" w:color="auto"/>
                  </w:divBdr>
                  <w:divsChild>
                    <w:div w:id="633097129">
                      <w:marLeft w:val="0"/>
                      <w:marRight w:val="0"/>
                      <w:marTop w:val="120"/>
                      <w:marBottom w:val="0"/>
                      <w:divBdr>
                        <w:top w:val="none" w:sz="0" w:space="0" w:color="auto"/>
                        <w:left w:val="none" w:sz="0" w:space="0" w:color="auto"/>
                        <w:bottom w:val="none" w:sz="0" w:space="0" w:color="auto"/>
                        <w:right w:val="none" w:sz="0" w:space="0" w:color="auto"/>
                      </w:divBdr>
                    </w:div>
                    <w:div w:id="779422046">
                      <w:marLeft w:val="0"/>
                      <w:marRight w:val="0"/>
                      <w:marTop w:val="0"/>
                      <w:marBottom w:val="0"/>
                      <w:divBdr>
                        <w:top w:val="none" w:sz="0" w:space="0" w:color="auto"/>
                        <w:left w:val="none" w:sz="0" w:space="0" w:color="auto"/>
                        <w:bottom w:val="none" w:sz="0" w:space="0" w:color="auto"/>
                        <w:right w:val="none" w:sz="0" w:space="0" w:color="auto"/>
                      </w:divBdr>
                    </w:div>
                  </w:divsChild>
                </w:div>
                <w:div w:id="2041009746">
                  <w:marLeft w:val="0"/>
                  <w:marRight w:val="0"/>
                  <w:marTop w:val="0"/>
                  <w:marBottom w:val="0"/>
                  <w:divBdr>
                    <w:top w:val="none" w:sz="0" w:space="0" w:color="auto"/>
                    <w:left w:val="none" w:sz="0" w:space="0" w:color="auto"/>
                    <w:bottom w:val="none" w:sz="0" w:space="0" w:color="auto"/>
                    <w:right w:val="none" w:sz="0" w:space="0" w:color="auto"/>
                  </w:divBdr>
                  <w:divsChild>
                    <w:div w:id="407731001">
                      <w:marLeft w:val="0"/>
                      <w:marRight w:val="0"/>
                      <w:marTop w:val="0"/>
                      <w:marBottom w:val="0"/>
                      <w:divBdr>
                        <w:top w:val="none" w:sz="0" w:space="0" w:color="auto"/>
                        <w:left w:val="none" w:sz="0" w:space="0" w:color="auto"/>
                        <w:bottom w:val="none" w:sz="0" w:space="0" w:color="auto"/>
                        <w:right w:val="none" w:sz="0" w:space="0" w:color="auto"/>
                      </w:divBdr>
                    </w:div>
                    <w:div w:id="4889050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9415612">
          <w:marLeft w:val="0"/>
          <w:marRight w:val="0"/>
          <w:marTop w:val="0"/>
          <w:marBottom w:val="0"/>
          <w:divBdr>
            <w:top w:val="none" w:sz="0" w:space="0" w:color="auto"/>
            <w:left w:val="none" w:sz="0" w:space="0" w:color="auto"/>
            <w:bottom w:val="none" w:sz="0" w:space="0" w:color="auto"/>
            <w:right w:val="none" w:sz="0" w:space="0" w:color="auto"/>
          </w:divBdr>
          <w:divsChild>
            <w:div w:id="189338220">
              <w:marLeft w:val="0"/>
              <w:marRight w:val="0"/>
              <w:marTop w:val="0"/>
              <w:marBottom w:val="0"/>
              <w:divBdr>
                <w:top w:val="none" w:sz="0" w:space="0" w:color="auto"/>
                <w:left w:val="none" w:sz="0" w:space="0" w:color="auto"/>
                <w:bottom w:val="none" w:sz="0" w:space="0" w:color="auto"/>
                <w:right w:val="none" w:sz="0" w:space="0" w:color="auto"/>
              </w:divBdr>
            </w:div>
          </w:divsChild>
        </w:div>
        <w:div w:id="1718889800">
          <w:marLeft w:val="0"/>
          <w:marRight w:val="0"/>
          <w:marTop w:val="0"/>
          <w:marBottom w:val="0"/>
          <w:divBdr>
            <w:top w:val="none" w:sz="0" w:space="0" w:color="auto"/>
            <w:left w:val="none" w:sz="0" w:space="0" w:color="auto"/>
            <w:bottom w:val="none" w:sz="0" w:space="0" w:color="auto"/>
            <w:right w:val="none" w:sz="0" w:space="0" w:color="auto"/>
          </w:divBdr>
          <w:divsChild>
            <w:div w:id="5288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451">
      <w:bodyDiv w:val="1"/>
      <w:marLeft w:val="0"/>
      <w:marRight w:val="0"/>
      <w:marTop w:val="0"/>
      <w:marBottom w:val="0"/>
      <w:divBdr>
        <w:top w:val="none" w:sz="0" w:space="0" w:color="auto"/>
        <w:left w:val="none" w:sz="0" w:space="0" w:color="auto"/>
        <w:bottom w:val="none" w:sz="0" w:space="0" w:color="auto"/>
        <w:right w:val="none" w:sz="0" w:space="0" w:color="auto"/>
      </w:divBdr>
    </w:div>
    <w:div w:id="1280183162">
      <w:bodyDiv w:val="1"/>
      <w:marLeft w:val="0"/>
      <w:marRight w:val="0"/>
      <w:marTop w:val="0"/>
      <w:marBottom w:val="0"/>
      <w:divBdr>
        <w:top w:val="none" w:sz="0" w:space="0" w:color="auto"/>
        <w:left w:val="none" w:sz="0" w:space="0" w:color="auto"/>
        <w:bottom w:val="none" w:sz="0" w:space="0" w:color="auto"/>
        <w:right w:val="none" w:sz="0" w:space="0" w:color="auto"/>
      </w:divBdr>
    </w:div>
    <w:div w:id="1343319337">
      <w:bodyDiv w:val="1"/>
      <w:marLeft w:val="0"/>
      <w:marRight w:val="0"/>
      <w:marTop w:val="0"/>
      <w:marBottom w:val="0"/>
      <w:divBdr>
        <w:top w:val="none" w:sz="0" w:space="0" w:color="auto"/>
        <w:left w:val="none" w:sz="0" w:space="0" w:color="auto"/>
        <w:bottom w:val="none" w:sz="0" w:space="0" w:color="auto"/>
        <w:right w:val="none" w:sz="0" w:space="0" w:color="auto"/>
      </w:divBdr>
    </w:div>
    <w:div w:id="1453670791">
      <w:bodyDiv w:val="1"/>
      <w:marLeft w:val="0"/>
      <w:marRight w:val="0"/>
      <w:marTop w:val="0"/>
      <w:marBottom w:val="0"/>
      <w:divBdr>
        <w:top w:val="none" w:sz="0" w:space="0" w:color="auto"/>
        <w:left w:val="none" w:sz="0" w:space="0" w:color="auto"/>
        <w:bottom w:val="none" w:sz="0" w:space="0" w:color="auto"/>
        <w:right w:val="none" w:sz="0" w:space="0" w:color="auto"/>
      </w:divBdr>
      <w:divsChild>
        <w:div w:id="21516541">
          <w:marLeft w:val="480"/>
          <w:marRight w:val="0"/>
          <w:marTop w:val="0"/>
          <w:marBottom w:val="0"/>
          <w:divBdr>
            <w:top w:val="none" w:sz="0" w:space="0" w:color="auto"/>
            <w:left w:val="none" w:sz="0" w:space="0" w:color="auto"/>
            <w:bottom w:val="none" w:sz="0" w:space="0" w:color="auto"/>
            <w:right w:val="none" w:sz="0" w:space="0" w:color="auto"/>
          </w:divBdr>
        </w:div>
        <w:div w:id="44837252">
          <w:marLeft w:val="600"/>
          <w:marRight w:val="0"/>
          <w:marTop w:val="0"/>
          <w:marBottom w:val="0"/>
          <w:divBdr>
            <w:top w:val="none" w:sz="0" w:space="0" w:color="auto"/>
            <w:left w:val="none" w:sz="0" w:space="0" w:color="auto"/>
            <w:bottom w:val="none" w:sz="0" w:space="0" w:color="auto"/>
            <w:right w:val="none" w:sz="0" w:space="0" w:color="auto"/>
          </w:divBdr>
        </w:div>
        <w:div w:id="81609152">
          <w:marLeft w:val="480"/>
          <w:marRight w:val="0"/>
          <w:marTop w:val="0"/>
          <w:marBottom w:val="0"/>
          <w:divBdr>
            <w:top w:val="none" w:sz="0" w:space="0" w:color="auto"/>
            <w:left w:val="none" w:sz="0" w:space="0" w:color="auto"/>
            <w:bottom w:val="none" w:sz="0" w:space="0" w:color="auto"/>
            <w:right w:val="none" w:sz="0" w:space="0" w:color="auto"/>
          </w:divBdr>
        </w:div>
        <w:div w:id="106313700">
          <w:marLeft w:val="480"/>
          <w:marRight w:val="0"/>
          <w:marTop w:val="0"/>
          <w:marBottom w:val="0"/>
          <w:divBdr>
            <w:top w:val="none" w:sz="0" w:space="0" w:color="auto"/>
            <w:left w:val="none" w:sz="0" w:space="0" w:color="auto"/>
            <w:bottom w:val="none" w:sz="0" w:space="0" w:color="auto"/>
            <w:right w:val="none" w:sz="0" w:space="0" w:color="auto"/>
          </w:divBdr>
        </w:div>
        <w:div w:id="146943975">
          <w:marLeft w:val="600"/>
          <w:marRight w:val="0"/>
          <w:marTop w:val="0"/>
          <w:marBottom w:val="0"/>
          <w:divBdr>
            <w:top w:val="none" w:sz="0" w:space="0" w:color="auto"/>
            <w:left w:val="none" w:sz="0" w:space="0" w:color="auto"/>
            <w:bottom w:val="none" w:sz="0" w:space="0" w:color="auto"/>
            <w:right w:val="none" w:sz="0" w:space="0" w:color="auto"/>
          </w:divBdr>
        </w:div>
        <w:div w:id="167792146">
          <w:marLeft w:val="600"/>
          <w:marRight w:val="0"/>
          <w:marTop w:val="0"/>
          <w:marBottom w:val="0"/>
          <w:divBdr>
            <w:top w:val="none" w:sz="0" w:space="0" w:color="auto"/>
            <w:left w:val="none" w:sz="0" w:space="0" w:color="auto"/>
            <w:bottom w:val="none" w:sz="0" w:space="0" w:color="auto"/>
            <w:right w:val="none" w:sz="0" w:space="0" w:color="auto"/>
          </w:divBdr>
        </w:div>
        <w:div w:id="177231190">
          <w:marLeft w:val="600"/>
          <w:marRight w:val="0"/>
          <w:marTop w:val="0"/>
          <w:marBottom w:val="0"/>
          <w:divBdr>
            <w:top w:val="none" w:sz="0" w:space="0" w:color="auto"/>
            <w:left w:val="none" w:sz="0" w:space="0" w:color="auto"/>
            <w:bottom w:val="none" w:sz="0" w:space="0" w:color="auto"/>
            <w:right w:val="none" w:sz="0" w:space="0" w:color="auto"/>
          </w:divBdr>
        </w:div>
        <w:div w:id="177891379">
          <w:marLeft w:val="600"/>
          <w:marRight w:val="0"/>
          <w:marTop w:val="0"/>
          <w:marBottom w:val="0"/>
          <w:divBdr>
            <w:top w:val="none" w:sz="0" w:space="0" w:color="auto"/>
            <w:left w:val="none" w:sz="0" w:space="0" w:color="auto"/>
            <w:bottom w:val="none" w:sz="0" w:space="0" w:color="auto"/>
            <w:right w:val="none" w:sz="0" w:space="0" w:color="auto"/>
          </w:divBdr>
        </w:div>
        <w:div w:id="192622919">
          <w:marLeft w:val="480"/>
          <w:marRight w:val="0"/>
          <w:marTop w:val="0"/>
          <w:marBottom w:val="0"/>
          <w:divBdr>
            <w:top w:val="none" w:sz="0" w:space="0" w:color="auto"/>
            <w:left w:val="none" w:sz="0" w:space="0" w:color="auto"/>
            <w:bottom w:val="none" w:sz="0" w:space="0" w:color="auto"/>
            <w:right w:val="none" w:sz="0" w:space="0" w:color="auto"/>
          </w:divBdr>
        </w:div>
        <w:div w:id="213976357">
          <w:marLeft w:val="600"/>
          <w:marRight w:val="0"/>
          <w:marTop w:val="0"/>
          <w:marBottom w:val="0"/>
          <w:divBdr>
            <w:top w:val="none" w:sz="0" w:space="0" w:color="auto"/>
            <w:left w:val="none" w:sz="0" w:space="0" w:color="auto"/>
            <w:bottom w:val="none" w:sz="0" w:space="0" w:color="auto"/>
            <w:right w:val="none" w:sz="0" w:space="0" w:color="auto"/>
          </w:divBdr>
        </w:div>
        <w:div w:id="226651730">
          <w:marLeft w:val="600"/>
          <w:marRight w:val="0"/>
          <w:marTop w:val="0"/>
          <w:marBottom w:val="0"/>
          <w:divBdr>
            <w:top w:val="none" w:sz="0" w:space="0" w:color="auto"/>
            <w:left w:val="none" w:sz="0" w:space="0" w:color="auto"/>
            <w:bottom w:val="none" w:sz="0" w:space="0" w:color="auto"/>
            <w:right w:val="none" w:sz="0" w:space="0" w:color="auto"/>
          </w:divBdr>
        </w:div>
        <w:div w:id="260726502">
          <w:marLeft w:val="600"/>
          <w:marRight w:val="0"/>
          <w:marTop w:val="0"/>
          <w:marBottom w:val="0"/>
          <w:divBdr>
            <w:top w:val="none" w:sz="0" w:space="0" w:color="auto"/>
            <w:left w:val="none" w:sz="0" w:space="0" w:color="auto"/>
            <w:bottom w:val="none" w:sz="0" w:space="0" w:color="auto"/>
            <w:right w:val="none" w:sz="0" w:space="0" w:color="auto"/>
          </w:divBdr>
        </w:div>
        <w:div w:id="304236978">
          <w:marLeft w:val="600"/>
          <w:marRight w:val="0"/>
          <w:marTop w:val="0"/>
          <w:marBottom w:val="0"/>
          <w:divBdr>
            <w:top w:val="none" w:sz="0" w:space="0" w:color="auto"/>
            <w:left w:val="none" w:sz="0" w:space="0" w:color="auto"/>
            <w:bottom w:val="none" w:sz="0" w:space="0" w:color="auto"/>
            <w:right w:val="none" w:sz="0" w:space="0" w:color="auto"/>
          </w:divBdr>
        </w:div>
        <w:div w:id="341856070">
          <w:marLeft w:val="480"/>
          <w:marRight w:val="0"/>
          <w:marTop w:val="0"/>
          <w:marBottom w:val="0"/>
          <w:divBdr>
            <w:top w:val="none" w:sz="0" w:space="0" w:color="auto"/>
            <w:left w:val="none" w:sz="0" w:space="0" w:color="auto"/>
            <w:bottom w:val="none" w:sz="0" w:space="0" w:color="auto"/>
            <w:right w:val="none" w:sz="0" w:space="0" w:color="auto"/>
          </w:divBdr>
        </w:div>
        <w:div w:id="342634130">
          <w:marLeft w:val="720"/>
          <w:marRight w:val="0"/>
          <w:marTop w:val="0"/>
          <w:marBottom w:val="0"/>
          <w:divBdr>
            <w:top w:val="none" w:sz="0" w:space="0" w:color="auto"/>
            <w:left w:val="none" w:sz="0" w:space="0" w:color="auto"/>
            <w:bottom w:val="none" w:sz="0" w:space="0" w:color="auto"/>
            <w:right w:val="none" w:sz="0" w:space="0" w:color="auto"/>
          </w:divBdr>
        </w:div>
        <w:div w:id="348604515">
          <w:marLeft w:val="600"/>
          <w:marRight w:val="0"/>
          <w:marTop w:val="0"/>
          <w:marBottom w:val="0"/>
          <w:divBdr>
            <w:top w:val="none" w:sz="0" w:space="0" w:color="auto"/>
            <w:left w:val="none" w:sz="0" w:space="0" w:color="auto"/>
            <w:bottom w:val="none" w:sz="0" w:space="0" w:color="auto"/>
            <w:right w:val="none" w:sz="0" w:space="0" w:color="auto"/>
          </w:divBdr>
        </w:div>
        <w:div w:id="371271948">
          <w:marLeft w:val="600"/>
          <w:marRight w:val="0"/>
          <w:marTop w:val="0"/>
          <w:marBottom w:val="0"/>
          <w:divBdr>
            <w:top w:val="none" w:sz="0" w:space="0" w:color="auto"/>
            <w:left w:val="none" w:sz="0" w:space="0" w:color="auto"/>
            <w:bottom w:val="none" w:sz="0" w:space="0" w:color="auto"/>
            <w:right w:val="none" w:sz="0" w:space="0" w:color="auto"/>
          </w:divBdr>
        </w:div>
        <w:div w:id="378550265">
          <w:marLeft w:val="720"/>
          <w:marRight w:val="0"/>
          <w:marTop w:val="0"/>
          <w:marBottom w:val="0"/>
          <w:divBdr>
            <w:top w:val="none" w:sz="0" w:space="0" w:color="auto"/>
            <w:left w:val="none" w:sz="0" w:space="0" w:color="auto"/>
            <w:bottom w:val="none" w:sz="0" w:space="0" w:color="auto"/>
            <w:right w:val="none" w:sz="0" w:space="0" w:color="auto"/>
          </w:divBdr>
        </w:div>
        <w:div w:id="393239241">
          <w:marLeft w:val="600"/>
          <w:marRight w:val="0"/>
          <w:marTop w:val="0"/>
          <w:marBottom w:val="0"/>
          <w:divBdr>
            <w:top w:val="none" w:sz="0" w:space="0" w:color="auto"/>
            <w:left w:val="none" w:sz="0" w:space="0" w:color="auto"/>
            <w:bottom w:val="none" w:sz="0" w:space="0" w:color="auto"/>
            <w:right w:val="none" w:sz="0" w:space="0" w:color="auto"/>
          </w:divBdr>
        </w:div>
        <w:div w:id="403140138">
          <w:marLeft w:val="720"/>
          <w:marRight w:val="0"/>
          <w:marTop w:val="0"/>
          <w:marBottom w:val="0"/>
          <w:divBdr>
            <w:top w:val="none" w:sz="0" w:space="0" w:color="auto"/>
            <w:left w:val="none" w:sz="0" w:space="0" w:color="auto"/>
            <w:bottom w:val="none" w:sz="0" w:space="0" w:color="auto"/>
            <w:right w:val="none" w:sz="0" w:space="0" w:color="auto"/>
          </w:divBdr>
        </w:div>
        <w:div w:id="405999095">
          <w:marLeft w:val="600"/>
          <w:marRight w:val="0"/>
          <w:marTop w:val="0"/>
          <w:marBottom w:val="0"/>
          <w:divBdr>
            <w:top w:val="none" w:sz="0" w:space="0" w:color="auto"/>
            <w:left w:val="none" w:sz="0" w:space="0" w:color="auto"/>
            <w:bottom w:val="none" w:sz="0" w:space="0" w:color="auto"/>
            <w:right w:val="none" w:sz="0" w:space="0" w:color="auto"/>
          </w:divBdr>
        </w:div>
        <w:div w:id="436295493">
          <w:marLeft w:val="600"/>
          <w:marRight w:val="0"/>
          <w:marTop w:val="0"/>
          <w:marBottom w:val="0"/>
          <w:divBdr>
            <w:top w:val="none" w:sz="0" w:space="0" w:color="auto"/>
            <w:left w:val="none" w:sz="0" w:space="0" w:color="auto"/>
            <w:bottom w:val="none" w:sz="0" w:space="0" w:color="auto"/>
            <w:right w:val="none" w:sz="0" w:space="0" w:color="auto"/>
          </w:divBdr>
        </w:div>
        <w:div w:id="451217718">
          <w:marLeft w:val="600"/>
          <w:marRight w:val="0"/>
          <w:marTop w:val="0"/>
          <w:marBottom w:val="0"/>
          <w:divBdr>
            <w:top w:val="none" w:sz="0" w:space="0" w:color="auto"/>
            <w:left w:val="none" w:sz="0" w:space="0" w:color="auto"/>
            <w:bottom w:val="none" w:sz="0" w:space="0" w:color="auto"/>
            <w:right w:val="none" w:sz="0" w:space="0" w:color="auto"/>
          </w:divBdr>
        </w:div>
        <w:div w:id="510922892">
          <w:marLeft w:val="600"/>
          <w:marRight w:val="0"/>
          <w:marTop w:val="0"/>
          <w:marBottom w:val="0"/>
          <w:divBdr>
            <w:top w:val="none" w:sz="0" w:space="0" w:color="auto"/>
            <w:left w:val="none" w:sz="0" w:space="0" w:color="auto"/>
            <w:bottom w:val="none" w:sz="0" w:space="0" w:color="auto"/>
            <w:right w:val="none" w:sz="0" w:space="0" w:color="auto"/>
          </w:divBdr>
        </w:div>
        <w:div w:id="560942956">
          <w:marLeft w:val="600"/>
          <w:marRight w:val="0"/>
          <w:marTop w:val="0"/>
          <w:marBottom w:val="0"/>
          <w:divBdr>
            <w:top w:val="none" w:sz="0" w:space="0" w:color="auto"/>
            <w:left w:val="none" w:sz="0" w:space="0" w:color="auto"/>
            <w:bottom w:val="none" w:sz="0" w:space="0" w:color="auto"/>
            <w:right w:val="none" w:sz="0" w:space="0" w:color="auto"/>
          </w:divBdr>
        </w:div>
        <w:div w:id="565654104">
          <w:marLeft w:val="480"/>
          <w:marRight w:val="0"/>
          <w:marTop w:val="0"/>
          <w:marBottom w:val="0"/>
          <w:divBdr>
            <w:top w:val="none" w:sz="0" w:space="0" w:color="auto"/>
            <w:left w:val="none" w:sz="0" w:space="0" w:color="auto"/>
            <w:bottom w:val="none" w:sz="0" w:space="0" w:color="auto"/>
            <w:right w:val="none" w:sz="0" w:space="0" w:color="auto"/>
          </w:divBdr>
        </w:div>
        <w:div w:id="575088696">
          <w:marLeft w:val="480"/>
          <w:marRight w:val="0"/>
          <w:marTop w:val="0"/>
          <w:marBottom w:val="0"/>
          <w:divBdr>
            <w:top w:val="none" w:sz="0" w:space="0" w:color="auto"/>
            <w:left w:val="none" w:sz="0" w:space="0" w:color="auto"/>
            <w:bottom w:val="none" w:sz="0" w:space="0" w:color="auto"/>
            <w:right w:val="none" w:sz="0" w:space="0" w:color="auto"/>
          </w:divBdr>
        </w:div>
        <w:div w:id="581572282">
          <w:marLeft w:val="480"/>
          <w:marRight w:val="0"/>
          <w:marTop w:val="0"/>
          <w:marBottom w:val="0"/>
          <w:divBdr>
            <w:top w:val="none" w:sz="0" w:space="0" w:color="auto"/>
            <w:left w:val="none" w:sz="0" w:space="0" w:color="auto"/>
            <w:bottom w:val="none" w:sz="0" w:space="0" w:color="auto"/>
            <w:right w:val="none" w:sz="0" w:space="0" w:color="auto"/>
          </w:divBdr>
        </w:div>
        <w:div w:id="588391946">
          <w:marLeft w:val="480"/>
          <w:marRight w:val="0"/>
          <w:marTop w:val="0"/>
          <w:marBottom w:val="0"/>
          <w:divBdr>
            <w:top w:val="none" w:sz="0" w:space="0" w:color="auto"/>
            <w:left w:val="none" w:sz="0" w:space="0" w:color="auto"/>
            <w:bottom w:val="none" w:sz="0" w:space="0" w:color="auto"/>
            <w:right w:val="none" w:sz="0" w:space="0" w:color="auto"/>
          </w:divBdr>
        </w:div>
        <w:div w:id="593588686">
          <w:marLeft w:val="600"/>
          <w:marRight w:val="0"/>
          <w:marTop w:val="0"/>
          <w:marBottom w:val="0"/>
          <w:divBdr>
            <w:top w:val="none" w:sz="0" w:space="0" w:color="auto"/>
            <w:left w:val="none" w:sz="0" w:space="0" w:color="auto"/>
            <w:bottom w:val="none" w:sz="0" w:space="0" w:color="auto"/>
            <w:right w:val="none" w:sz="0" w:space="0" w:color="auto"/>
          </w:divBdr>
        </w:div>
        <w:div w:id="601303279">
          <w:marLeft w:val="480"/>
          <w:marRight w:val="0"/>
          <w:marTop w:val="0"/>
          <w:marBottom w:val="0"/>
          <w:divBdr>
            <w:top w:val="none" w:sz="0" w:space="0" w:color="auto"/>
            <w:left w:val="none" w:sz="0" w:space="0" w:color="auto"/>
            <w:bottom w:val="none" w:sz="0" w:space="0" w:color="auto"/>
            <w:right w:val="none" w:sz="0" w:space="0" w:color="auto"/>
          </w:divBdr>
        </w:div>
        <w:div w:id="604579818">
          <w:marLeft w:val="600"/>
          <w:marRight w:val="0"/>
          <w:marTop w:val="0"/>
          <w:marBottom w:val="0"/>
          <w:divBdr>
            <w:top w:val="none" w:sz="0" w:space="0" w:color="auto"/>
            <w:left w:val="none" w:sz="0" w:space="0" w:color="auto"/>
            <w:bottom w:val="none" w:sz="0" w:space="0" w:color="auto"/>
            <w:right w:val="none" w:sz="0" w:space="0" w:color="auto"/>
          </w:divBdr>
        </w:div>
        <w:div w:id="613556537">
          <w:marLeft w:val="600"/>
          <w:marRight w:val="0"/>
          <w:marTop w:val="0"/>
          <w:marBottom w:val="0"/>
          <w:divBdr>
            <w:top w:val="none" w:sz="0" w:space="0" w:color="auto"/>
            <w:left w:val="none" w:sz="0" w:space="0" w:color="auto"/>
            <w:bottom w:val="none" w:sz="0" w:space="0" w:color="auto"/>
            <w:right w:val="none" w:sz="0" w:space="0" w:color="auto"/>
          </w:divBdr>
        </w:div>
        <w:div w:id="639506678">
          <w:marLeft w:val="600"/>
          <w:marRight w:val="0"/>
          <w:marTop w:val="0"/>
          <w:marBottom w:val="0"/>
          <w:divBdr>
            <w:top w:val="none" w:sz="0" w:space="0" w:color="auto"/>
            <w:left w:val="none" w:sz="0" w:space="0" w:color="auto"/>
            <w:bottom w:val="none" w:sz="0" w:space="0" w:color="auto"/>
            <w:right w:val="none" w:sz="0" w:space="0" w:color="auto"/>
          </w:divBdr>
        </w:div>
        <w:div w:id="686713028">
          <w:marLeft w:val="600"/>
          <w:marRight w:val="0"/>
          <w:marTop w:val="0"/>
          <w:marBottom w:val="0"/>
          <w:divBdr>
            <w:top w:val="none" w:sz="0" w:space="0" w:color="auto"/>
            <w:left w:val="none" w:sz="0" w:space="0" w:color="auto"/>
            <w:bottom w:val="none" w:sz="0" w:space="0" w:color="auto"/>
            <w:right w:val="none" w:sz="0" w:space="0" w:color="auto"/>
          </w:divBdr>
        </w:div>
        <w:div w:id="699866360">
          <w:marLeft w:val="480"/>
          <w:marRight w:val="0"/>
          <w:marTop w:val="0"/>
          <w:marBottom w:val="0"/>
          <w:divBdr>
            <w:top w:val="none" w:sz="0" w:space="0" w:color="auto"/>
            <w:left w:val="none" w:sz="0" w:space="0" w:color="auto"/>
            <w:bottom w:val="none" w:sz="0" w:space="0" w:color="auto"/>
            <w:right w:val="none" w:sz="0" w:space="0" w:color="auto"/>
          </w:divBdr>
        </w:div>
        <w:div w:id="706680631">
          <w:marLeft w:val="600"/>
          <w:marRight w:val="0"/>
          <w:marTop w:val="0"/>
          <w:marBottom w:val="0"/>
          <w:divBdr>
            <w:top w:val="none" w:sz="0" w:space="0" w:color="auto"/>
            <w:left w:val="none" w:sz="0" w:space="0" w:color="auto"/>
            <w:bottom w:val="none" w:sz="0" w:space="0" w:color="auto"/>
            <w:right w:val="none" w:sz="0" w:space="0" w:color="auto"/>
          </w:divBdr>
        </w:div>
        <w:div w:id="716314571">
          <w:marLeft w:val="600"/>
          <w:marRight w:val="0"/>
          <w:marTop w:val="0"/>
          <w:marBottom w:val="0"/>
          <w:divBdr>
            <w:top w:val="none" w:sz="0" w:space="0" w:color="auto"/>
            <w:left w:val="none" w:sz="0" w:space="0" w:color="auto"/>
            <w:bottom w:val="none" w:sz="0" w:space="0" w:color="auto"/>
            <w:right w:val="none" w:sz="0" w:space="0" w:color="auto"/>
          </w:divBdr>
        </w:div>
        <w:div w:id="737172587">
          <w:marLeft w:val="720"/>
          <w:marRight w:val="0"/>
          <w:marTop w:val="0"/>
          <w:marBottom w:val="0"/>
          <w:divBdr>
            <w:top w:val="none" w:sz="0" w:space="0" w:color="auto"/>
            <w:left w:val="none" w:sz="0" w:space="0" w:color="auto"/>
            <w:bottom w:val="none" w:sz="0" w:space="0" w:color="auto"/>
            <w:right w:val="none" w:sz="0" w:space="0" w:color="auto"/>
          </w:divBdr>
        </w:div>
        <w:div w:id="748501489">
          <w:marLeft w:val="480"/>
          <w:marRight w:val="0"/>
          <w:marTop w:val="0"/>
          <w:marBottom w:val="0"/>
          <w:divBdr>
            <w:top w:val="none" w:sz="0" w:space="0" w:color="auto"/>
            <w:left w:val="none" w:sz="0" w:space="0" w:color="auto"/>
            <w:bottom w:val="none" w:sz="0" w:space="0" w:color="auto"/>
            <w:right w:val="none" w:sz="0" w:space="0" w:color="auto"/>
          </w:divBdr>
        </w:div>
        <w:div w:id="847600954">
          <w:marLeft w:val="600"/>
          <w:marRight w:val="0"/>
          <w:marTop w:val="0"/>
          <w:marBottom w:val="0"/>
          <w:divBdr>
            <w:top w:val="none" w:sz="0" w:space="0" w:color="auto"/>
            <w:left w:val="none" w:sz="0" w:space="0" w:color="auto"/>
            <w:bottom w:val="none" w:sz="0" w:space="0" w:color="auto"/>
            <w:right w:val="none" w:sz="0" w:space="0" w:color="auto"/>
          </w:divBdr>
        </w:div>
        <w:div w:id="852063995">
          <w:marLeft w:val="600"/>
          <w:marRight w:val="0"/>
          <w:marTop w:val="0"/>
          <w:marBottom w:val="0"/>
          <w:divBdr>
            <w:top w:val="none" w:sz="0" w:space="0" w:color="auto"/>
            <w:left w:val="none" w:sz="0" w:space="0" w:color="auto"/>
            <w:bottom w:val="none" w:sz="0" w:space="0" w:color="auto"/>
            <w:right w:val="none" w:sz="0" w:space="0" w:color="auto"/>
          </w:divBdr>
        </w:div>
        <w:div w:id="867839086">
          <w:marLeft w:val="600"/>
          <w:marRight w:val="0"/>
          <w:marTop w:val="0"/>
          <w:marBottom w:val="0"/>
          <w:divBdr>
            <w:top w:val="none" w:sz="0" w:space="0" w:color="auto"/>
            <w:left w:val="none" w:sz="0" w:space="0" w:color="auto"/>
            <w:bottom w:val="none" w:sz="0" w:space="0" w:color="auto"/>
            <w:right w:val="none" w:sz="0" w:space="0" w:color="auto"/>
          </w:divBdr>
        </w:div>
        <w:div w:id="882131185">
          <w:marLeft w:val="600"/>
          <w:marRight w:val="0"/>
          <w:marTop w:val="0"/>
          <w:marBottom w:val="0"/>
          <w:divBdr>
            <w:top w:val="none" w:sz="0" w:space="0" w:color="auto"/>
            <w:left w:val="none" w:sz="0" w:space="0" w:color="auto"/>
            <w:bottom w:val="none" w:sz="0" w:space="0" w:color="auto"/>
            <w:right w:val="none" w:sz="0" w:space="0" w:color="auto"/>
          </w:divBdr>
        </w:div>
        <w:div w:id="886527945">
          <w:marLeft w:val="600"/>
          <w:marRight w:val="0"/>
          <w:marTop w:val="0"/>
          <w:marBottom w:val="0"/>
          <w:divBdr>
            <w:top w:val="none" w:sz="0" w:space="0" w:color="auto"/>
            <w:left w:val="none" w:sz="0" w:space="0" w:color="auto"/>
            <w:bottom w:val="none" w:sz="0" w:space="0" w:color="auto"/>
            <w:right w:val="none" w:sz="0" w:space="0" w:color="auto"/>
          </w:divBdr>
        </w:div>
        <w:div w:id="909193800">
          <w:marLeft w:val="600"/>
          <w:marRight w:val="0"/>
          <w:marTop w:val="0"/>
          <w:marBottom w:val="0"/>
          <w:divBdr>
            <w:top w:val="none" w:sz="0" w:space="0" w:color="auto"/>
            <w:left w:val="none" w:sz="0" w:space="0" w:color="auto"/>
            <w:bottom w:val="none" w:sz="0" w:space="0" w:color="auto"/>
            <w:right w:val="none" w:sz="0" w:space="0" w:color="auto"/>
          </w:divBdr>
        </w:div>
        <w:div w:id="924071630">
          <w:marLeft w:val="600"/>
          <w:marRight w:val="0"/>
          <w:marTop w:val="0"/>
          <w:marBottom w:val="0"/>
          <w:divBdr>
            <w:top w:val="none" w:sz="0" w:space="0" w:color="auto"/>
            <w:left w:val="none" w:sz="0" w:space="0" w:color="auto"/>
            <w:bottom w:val="none" w:sz="0" w:space="0" w:color="auto"/>
            <w:right w:val="none" w:sz="0" w:space="0" w:color="auto"/>
          </w:divBdr>
        </w:div>
        <w:div w:id="949971993">
          <w:marLeft w:val="480"/>
          <w:marRight w:val="0"/>
          <w:marTop w:val="0"/>
          <w:marBottom w:val="0"/>
          <w:divBdr>
            <w:top w:val="none" w:sz="0" w:space="0" w:color="auto"/>
            <w:left w:val="none" w:sz="0" w:space="0" w:color="auto"/>
            <w:bottom w:val="none" w:sz="0" w:space="0" w:color="auto"/>
            <w:right w:val="none" w:sz="0" w:space="0" w:color="auto"/>
          </w:divBdr>
        </w:div>
        <w:div w:id="964654254">
          <w:marLeft w:val="600"/>
          <w:marRight w:val="0"/>
          <w:marTop w:val="0"/>
          <w:marBottom w:val="0"/>
          <w:divBdr>
            <w:top w:val="none" w:sz="0" w:space="0" w:color="auto"/>
            <w:left w:val="none" w:sz="0" w:space="0" w:color="auto"/>
            <w:bottom w:val="none" w:sz="0" w:space="0" w:color="auto"/>
            <w:right w:val="none" w:sz="0" w:space="0" w:color="auto"/>
          </w:divBdr>
        </w:div>
        <w:div w:id="992412850">
          <w:marLeft w:val="480"/>
          <w:marRight w:val="0"/>
          <w:marTop w:val="0"/>
          <w:marBottom w:val="0"/>
          <w:divBdr>
            <w:top w:val="none" w:sz="0" w:space="0" w:color="auto"/>
            <w:left w:val="none" w:sz="0" w:space="0" w:color="auto"/>
            <w:bottom w:val="none" w:sz="0" w:space="0" w:color="auto"/>
            <w:right w:val="none" w:sz="0" w:space="0" w:color="auto"/>
          </w:divBdr>
        </w:div>
        <w:div w:id="999818501">
          <w:marLeft w:val="480"/>
          <w:marRight w:val="0"/>
          <w:marTop w:val="0"/>
          <w:marBottom w:val="0"/>
          <w:divBdr>
            <w:top w:val="none" w:sz="0" w:space="0" w:color="auto"/>
            <w:left w:val="none" w:sz="0" w:space="0" w:color="auto"/>
            <w:bottom w:val="none" w:sz="0" w:space="0" w:color="auto"/>
            <w:right w:val="none" w:sz="0" w:space="0" w:color="auto"/>
          </w:divBdr>
        </w:div>
        <w:div w:id="1027104275">
          <w:marLeft w:val="600"/>
          <w:marRight w:val="0"/>
          <w:marTop w:val="0"/>
          <w:marBottom w:val="0"/>
          <w:divBdr>
            <w:top w:val="none" w:sz="0" w:space="0" w:color="auto"/>
            <w:left w:val="none" w:sz="0" w:space="0" w:color="auto"/>
            <w:bottom w:val="none" w:sz="0" w:space="0" w:color="auto"/>
            <w:right w:val="none" w:sz="0" w:space="0" w:color="auto"/>
          </w:divBdr>
        </w:div>
        <w:div w:id="1045569578">
          <w:marLeft w:val="600"/>
          <w:marRight w:val="0"/>
          <w:marTop w:val="0"/>
          <w:marBottom w:val="0"/>
          <w:divBdr>
            <w:top w:val="none" w:sz="0" w:space="0" w:color="auto"/>
            <w:left w:val="none" w:sz="0" w:space="0" w:color="auto"/>
            <w:bottom w:val="none" w:sz="0" w:space="0" w:color="auto"/>
            <w:right w:val="none" w:sz="0" w:space="0" w:color="auto"/>
          </w:divBdr>
        </w:div>
        <w:div w:id="1115056088">
          <w:marLeft w:val="600"/>
          <w:marRight w:val="0"/>
          <w:marTop w:val="0"/>
          <w:marBottom w:val="0"/>
          <w:divBdr>
            <w:top w:val="none" w:sz="0" w:space="0" w:color="auto"/>
            <w:left w:val="none" w:sz="0" w:space="0" w:color="auto"/>
            <w:bottom w:val="none" w:sz="0" w:space="0" w:color="auto"/>
            <w:right w:val="none" w:sz="0" w:space="0" w:color="auto"/>
          </w:divBdr>
        </w:div>
        <w:div w:id="1118794802">
          <w:marLeft w:val="480"/>
          <w:marRight w:val="0"/>
          <w:marTop w:val="0"/>
          <w:marBottom w:val="0"/>
          <w:divBdr>
            <w:top w:val="none" w:sz="0" w:space="0" w:color="auto"/>
            <w:left w:val="none" w:sz="0" w:space="0" w:color="auto"/>
            <w:bottom w:val="none" w:sz="0" w:space="0" w:color="auto"/>
            <w:right w:val="none" w:sz="0" w:space="0" w:color="auto"/>
          </w:divBdr>
        </w:div>
        <w:div w:id="1127040390">
          <w:marLeft w:val="600"/>
          <w:marRight w:val="0"/>
          <w:marTop w:val="0"/>
          <w:marBottom w:val="0"/>
          <w:divBdr>
            <w:top w:val="none" w:sz="0" w:space="0" w:color="auto"/>
            <w:left w:val="none" w:sz="0" w:space="0" w:color="auto"/>
            <w:bottom w:val="none" w:sz="0" w:space="0" w:color="auto"/>
            <w:right w:val="none" w:sz="0" w:space="0" w:color="auto"/>
          </w:divBdr>
        </w:div>
        <w:div w:id="1138110416">
          <w:marLeft w:val="600"/>
          <w:marRight w:val="0"/>
          <w:marTop w:val="0"/>
          <w:marBottom w:val="0"/>
          <w:divBdr>
            <w:top w:val="none" w:sz="0" w:space="0" w:color="auto"/>
            <w:left w:val="none" w:sz="0" w:space="0" w:color="auto"/>
            <w:bottom w:val="none" w:sz="0" w:space="0" w:color="auto"/>
            <w:right w:val="none" w:sz="0" w:space="0" w:color="auto"/>
          </w:divBdr>
        </w:div>
        <w:div w:id="1153108235">
          <w:marLeft w:val="600"/>
          <w:marRight w:val="0"/>
          <w:marTop w:val="0"/>
          <w:marBottom w:val="0"/>
          <w:divBdr>
            <w:top w:val="none" w:sz="0" w:space="0" w:color="auto"/>
            <w:left w:val="none" w:sz="0" w:space="0" w:color="auto"/>
            <w:bottom w:val="none" w:sz="0" w:space="0" w:color="auto"/>
            <w:right w:val="none" w:sz="0" w:space="0" w:color="auto"/>
          </w:divBdr>
        </w:div>
        <w:div w:id="1164667403">
          <w:marLeft w:val="720"/>
          <w:marRight w:val="0"/>
          <w:marTop w:val="0"/>
          <w:marBottom w:val="0"/>
          <w:divBdr>
            <w:top w:val="none" w:sz="0" w:space="0" w:color="auto"/>
            <w:left w:val="none" w:sz="0" w:space="0" w:color="auto"/>
            <w:bottom w:val="none" w:sz="0" w:space="0" w:color="auto"/>
            <w:right w:val="none" w:sz="0" w:space="0" w:color="auto"/>
          </w:divBdr>
        </w:div>
        <w:div w:id="1179003487">
          <w:marLeft w:val="480"/>
          <w:marRight w:val="0"/>
          <w:marTop w:val="0"/>
          <w:marBottom w:val="0"/>
          <w:divBdr>
            <w:top w:val="none" w:sz="0" w:space="0" w:color="auto"/>
            <w:left w:val="none" w:sz="0" w:space="0" w:color="auto"/>
            <w:bottom w:val="none" w:sz="0" w:space="0" w:color="auto"/>
            <w:right w:val="none" w:sz="0" w:space="0" w:color="auto"/>
          </w:divBdr>
        </w:div>
        <w:div w:id="1218738195">
          <w:marLeft w:val="600"/>
          <w:marRight w:val="0"/>
          <w:marTop w:val="0"/>
          <w:marBottom w:val="0"/>
          <w:divBdr>
            <w:top w:val="none" w:sz="0" w:space="0" w:color="auto"/>
            <w:left w:val="none" w:sz="0" w:space="0" w:color="auto"/>
            <w:bottom w:val="none" w:sz="0" w:space="0" w:color="auto"/>
            <w:right w:val="none" w:sz="0" w:space="0" w:color="auto"/>
          </w:divBdr>
        </w:div>
        <w:div w:id="1220166428">
          <w:marLeft w:val="480"/>
          <w:marRight w:val="0"/>
          <w:marTop w:val="0"/>
          <w:marBottom w:val="0"/>
          <w:divBdr>
            <w:top w:val="none" w:sz="0" w:space="0" w:color="auto"/>
            <w:left w:val="none" w:sz="0" w:space="0" w:color="auto"/>
            <w:bottom w:val="none" w:sz="0" w:space="0" w:color="auto"/>
            <w:right w:val="none" w:sz="0" w:space="0" w:color="auto"/>
          </w:divBdr>
        </w:div>
        <w:div w:id="1230381638">
          <w:marLeft w:val="600"/>
          <w:marRight w:val="0"/>
          <w:marTop w:val="0"/>
          <w:marBottom w:val="0"/>
          <w:divBdr>
            <w:top w:val="none" w:sz="0" w:space="0" w:color="auto"/>
            <w:left w:val="none" w:sz="0" w:space="0" w:color="auto"/>
            <w:bottom w:val="none" w:sz="0" w:space="0" w:color="auto"/>
            <w:right w:val="none" w:sz="0" w:space="0" w:color="auto"/>
          </w:divBdr>
        </w:div>
        <w:div w:id="1238251258">
          <w:marLeft w:val="480"/>
          <w:marRight w:val="0"/>
          <w:marTop w:val="0"/>
          <w:marBottom w:val="0"/>
          <w:divBdr>
            <w:top w:val="none" w:sz="0" w:space="0" w:color="auto"/>
            <w:left w:val="none" w:sz="0" w:space="0" w:color="auto"/>
            <w:bottom w:val="none" w:sz="0" w:space="0" w:color="auto"/>
            <w:right w:val="none" w:sz="0" w:space="0" w:color="auto"/>
          </w:divBdr>
        </w:div>
        <w:div w:id="1252196706">
          <w:marLeft w:val="600"/>
          <w:marRight w:val="0"/>
          <w:marTop w:val="0"/>
          <w:marBottom w:val="0"/>
          <w:divBdr>
            <w:top w:val="none" w:sz="0" w:space="0" w:color="auto"/>
            <w:left w:val="none" w:sz="0" w:space="0" w:color="auto"/>
            <w:bottom w:val="none" w:sz="0" w:space="0" w:color="auto"/>
            <w:right w:val="none" w:sz="0" w:space="0" w:color="auto"/>
          </w:divBdr>
        </w:div>
        <w:div w:id="1299843626">
          <w:marLeft w:val="600"/>
          <w:marRight w:val="0"/>
          <w:marTop w:val="0"/>
          <w:marBottom w:val="0"/>
          <w:divBdr>
            <w:top w:val="none" w:sz="0" w:space="0" w:color="auto"/>
            <w:left w:val="none" w:sz="0" w:space="0" w:color="auto"/>
            <w:bottom w:val="none" w:sz="0" w:space="0" w:color="auto"/>
            <w:right w:val="none" w:sz="0" w:space="0" w:color="auto"/>
          </w:divBdr>
        </w:div>
        <w:div w:id="1310212091">
          <w:marLeft w:val="480"/>
          <w:marRight w:val="0"/>
          <w:marTop w:val="0"/>
          <w:marBottom w:val="0"/>
          <w:divBdr>
            <w:top w:val="none" w:sz="0" w:space="0" w:color="auto"/>
            <w:left w:val="none" w:sz="0" w:space="0" w:color="auto"/>
            <w:bottom w:val="none" w:sz="0" w:space="0" w:color="auto"/>
            <w:right w:val="none" w:sz="0" w:space="0" w:color="auto"/>
          </w:divBdr>
        </w:div>
        <w:div w:id="1311447130">
          <w:marLeft w:val="600"/>
          <w:marRight w:val="0"/>
          <w:marTop w:val="0"/>
          <w:marBottom w:val="0"/>
          <w:divBdr>
            <w:top w:val="none" w:sz="0" w:space="0" w:color="auto"/>
            <w:left w:val="none" w:sz="0" w:space="0" w:color="auto"/>
            <w:bottom w:val="none" w:sz="0" w:space="0" w:color="auto"/>
            <w:right w:val="none" w:sz="0" w:space="0" w:color="auto"/>
          </w:divBdr>
        </w:div>
        <w:div w:id="1433669135">
          <w:marLeft w:val="600"/>
          <w:marRight w:val="0"/>
          <w:marTop w:val="0"/>
          <w:marBottom w:val="0"/>
          <w:divBdr>
            <w:top w:val="none" w:sz="0" w:space="0" w:color="auto"/>
            <w:left w:val="none" w:sz="0" w:space="0" w:color="auto"/>
            <w:bottom w:val="none" w:sz="0" w:space="0" w:color="auto"/>
            <w:right w:val="none" w:sz="0" w:space="0" w:color="auto"/>
          </w:divBdr>
        </w:div>
        <w:div w:id="1438213264">
          <w:marLeft w:val="600"/>
          <w:marRight w:val="0"/>
          <w:marTop w:val="0"/>
          <w:marBottom w:val="0"/>
          <w:divBdr>
            <w:top w:val="none" w:sz="0" w:space="0" w:color="auto"/>
            <w:left w:val="none" w:sz="0" w:space="0" w:color="auto"/>
            <w:bottom w:val="none" w:sz="0" w:space="0" w:color="auto"/>
            <w:right w:val="none" w:sz="0" w:space="0" w:color="auto"/>
          </w:divBdr>
        </w:div>
        <w:div w:id="1444614443">
          <w:marLeft w:val="600"/>
          <w:marRight w:val="0"/>
          <w:marTop w:val="0"/>
          <w:marBottom w:val="0"/>
          <w:divBdr>
            <w:top w:val="none" w:sz="0" w:space="0" w:color="auto"/>
            <w:left w:val="none" w:sz="0" w:space="0" w:color="auto"/>
            <w:bottom w:val="none" w:sz="0" w:space="0" w:color="auto"/>
            <w:right w:val="none" w:sz="0" w:space="0" w:color="auto"/>
          </w:divBdr>
        </w:div>
        <w:div w:id="1457525064">
          <w:marLeft w:val="720"/>
          <w:marRight w:val="0"/>
          <w:marTop w:val="0"/>
          <w:marBottom w:val="0"/>
          <w:divBdr>
            <w:top w:val="none" w:sz="0" w:space="0" w:color="auto"/>
            <w:left w:val="none" w:sz="0" w:space="0" w:color="auto"/>
            <w:bottom w:val="none" w:sz="0" w:space="0" w:color="auto"/>
            <w:right w:val="none" w:sz="0" w:space="0" w:color="auto"/>
          </w:divBdr>
        </w:div>
        <w:div w:id="1475948624">
          <w:marLeft w:val="480"/>
          <w:marRight w:val="0"/>
          <w:marTop w:val="0"/>
          <w:marBottom w:val="0"/>
          <w:divBdr>
            <w:top w:val="none" w:sz="0" w:space="0" w:color="auto"/>
            <w:left w:val="none" w:sz="0" w:space="0" w:color="auto"/>
            <w:bottom w:val="none" w:sz="0" w:space="0" w:color="auto"/>
            <w:right w:val="none" w:sz="0" w:space="0" w:color="auto"/>
          </w:divBdr>
        </w:div>
        <w:div w:id="1481968942">
          <w:marLeft w:val="480"/>
          <w:marRight w:val="0"/>
          <w:marTop w:val="0"/>
          <w:marBottom w:val="0"/>
          <w:divBdr>
            <w:top w:val="none" w:sz="0" w:space="0" w:color="auto"/>
            <w:left w:val="none" w:sz="0" w:space="0" w:color="auto"/>
            <w:bottom w:val="none" w:sz="0" w:space="0" w:color="auto"/>
            <w:right w:val="none" w:sz="0" w:space="0" w:color="auto"/>
          </w:divBdr>
        </w:div>
        <w:div w:id="1499616299">
          <w:marLeft w:val="600"/>
          <w:marRight w:val="0"/>
          <w:marTop w:val="0"/>
          <w:marBottom w:val="0"/>
          <w:divBdr>
            <w:top w:val="none" w:sz="0" w:space="0" w:color="auto"/>
            <w:left w:val="none" w:sz="0" w:space="0" w:color="auto"/>
            <w:bottom w:val="none" w:sz="0" w:space="0" w:color="auto"/>
            <w:right w:val="none" w:sz="0" w:space="0" w:color="auto"/>
          </w:divBdr>
        </w:div>
        <w:div w:id="1520074194">
          <w:marLeft w:val="600"/>
          <w:marRight w:val="0"/>
          <w:marTop w:val="0"/>
          <w:marBottom w:val="0"/>
          <w:divBdr>
            <w:top w:val="none" w:sz="0" w:space="0" w:color="auto"/>
            <w:left w:val="none" w:sz="0" w:space="0" w:color="auto"/>
            <w:bottom w:val="none" w:sz="0" w:space="0" w:color="auto"/>
            <w:right w:val="none" w:sz="0" w:space="0" w:color="auto"/>
          </w:divBdr>
        </w:div>
        <w:div w:id="1524200367">
          <w:marLeft w:val="480"/>
          <w:marRight w:val="0"/>
          <w:marTop w:val="0"/>
          <w:marBottom w:val="0"/>
          <w:divBdr>
            <w:top w:val="none" w:sz="0" w:space="0" w:color="auto"/>
            <w:left w:val="none" w:sz="0" w:space="0" w:color="auto"/>
            <w:bottom w:val="none" w:sz="0" w:space="0" w:color="auto"/>
            <w:right w:val="none" w:sz="0" w:space="0" w:color="auto"/>
          </w:divBdr>
        </w:div>
        <w:div w:id="1564487279">
          <w:marLeft w:val="600"/>
          <w:marRight w:val="0"/>
          <w:marTop w:val="0"/>
          <w:marBottom w:val="0"/>
          <w:divBdr>
            <w:top w:val="none" w:sz="0" w:space="0" w:color="auto"/>
            <w:left w:val="none" w:sz="0" w:space="0" w:color="auto"/>
            <w:bottom w:val="none" w:sz="0" w:space="0" w:color="auto"/>
            <w:right w:val="none" w:sz="0" w:space="0" w:color="auto"/>
          </w:divBdr>
        </w:div>
        <w:div w:id="1573081206">
          <w:marLeft w:val="480"/>
          <w:marRight w:val="0"/>
          <w:marTop w:val="0"/>
          <w:marBottom w:val="0"/>
          <w:divBdr>
            <w:top w:val="none" w:sz="0" w:space="0" w:color="auto"/>
            <w:left w:val="none" w:sz="0" w:space="0" w:color="auto"/>
            <w:bottom w:val="none" w:sz="0" w:space="0" w:color="auto"/>
            <w:right w:val="none" w:sz="0" w:space="0" w:color="auto"/>
          </w:divBdr>
        </w:div>
        <w:div w:id="1578325286">
          <w:marLeft w:val="480"/>
          <w:marRight w:val="0"/>
          <w:marTop w:val="0"/>
          <w:marBottom w:val="0"/>
          <w:divBdr>
            <w:top w:val="none" w:sz="0" w:space="0" w:color="auto"/>
            <w:left w:val="none" w:sz="0" w:space="0" w:color="auto"/>
            <w:bottom w:val="none" w:sz="0" w:space="0" w:color="auto"/>
            <w:right w:val="none" w:sz="0" w:space="0" w:color="auto"/>
          </w:divBdr>
        </w:div>
        <w:div w:id="1601647508">
          <w:marLeft w:val="480"/>
          <w:marRight w:val="0"/>
          <w:marTop w:val="0"/>
          <w:marBottom w:val="0"/>
          <w:divBdr>
            <w:top w:val="none" w:sz="0" w:space="0" w:color="auto"/>
            <w:left w:val="none" w:sz="0" w:space="0" w:color="auto"/>
            <w:bottom w:val="none" w:sz="0" w:space="0" w:color="auto"/>
            <w:right w:val="none" w:sz="0" w:space="0" w:color="auto"/>
          </w:divBdr>
        </w:div>
        <w:div w:id="1621301053">
          <w:marLeft w:val="480"/>
          <w:marRight w:val="0"/>
          <w:marTop w:val="0"/>
          <w:marBottom w:val="0"/>
          <w:divBdr>
            <w:top w:val="none" w:sz="0" w:space="0" w:color="auto"/>
            <w:left w:val="none" w:sz="0" w:space="0" w:color="auto"/>
            <w:bottom w:val="none" w:sz="0" w:space="0" w:color="auto"/>
            <w:right w:val="none" w:sz="0" w:space="0" w:color="auto"/>
          </w:divBdr>
        </w:div>
        <w:div w:id="1645501278">
          <w:marLeft w:val="720"/>
          <w:marRight w:val="0"/>
          <w:marTop w:val="0"/>
          <w:marBottom w:val="0"/>
          <w:divBdr>
            <w:top w:val="none" w:sz="0" w:space="0" w:color="auto"/>
            <w:left w:val="none" w:sz="0" w:space="0" w:color="auto"/>
            <w:bottom w:val="none" w:sz="0" w:space="0" w:color="auto"/>
            <w:right w:val="none" w:sz="0" w:space="0" w:color="auto"/>
          </w:divBdr>
        </w:div>
        <w:div w:id="1650356317">
          <w:marLeft w:val="600"/>
          <w:marRight w:val="0"/>
          <w:marTop w:val="0"/>
          <w:marBottom w:val="0"/>
          <w:divBdr>
            <w:top w:val="none" w:sz="0" w:space="0" w:color="auto"/>
            <w:left w:val="none" w:sz="0" w:space="0" w:color="auto"/>
            <w:bottom w:val="none" w:sz="0" w:space="0" w:color="auto"/>
            <w:right w:val="none" w:sz="0" w:space="0" w:color="auto"/>
          </w:divBdr>
        </w:div>
        <w:div w:id="1666086085">
          <w:marLeft w:val="600"/>
          <w:marRight w:val="0"/>
          <w:marTop w:val="0"/>
          <w:marBottom w:val="0"/>
          <w:divBdr>
            <w:top w:val="none" w:sz="0" w:space="0" w:color="auto"/>
            <w:left w:val="none" w:sz="0" w:space="0" w:color="auto"/>
            <w:bottom w:val="none" w:sz="0" w:space="0" w:color="auto"/>
            <w:right w:val="none" w:sz="0" w:space="0" w:color="auto"/>
          </w:divBdr>
        </w:div>
        <w:div w:id="1712412208">
          <w:marLeft w:val="600"/>
          <w:marRight w:val="0"/>
          <w:marTop w:val="0"/>
          <w:marBottom w:val="0"/>
          <w:divBdr>
            <w:top w:val="none" w:sz="0" w:space="0" w:color="auto"/>
            <w:left w:val="none" w:sz="0" w:space="0" w:color="auto"/>
            <w:bottom w:val="none" w:sz="0" w:space="0" w:color="auto"/>
            <w:right w:val="none" w:sz="0" w:space="0" w:color="auto"/>
          </w:divBdr>
        </w:div>
        <w:div w:id="1717244150">
          <w:marLeft w:val="600"/>
          <w:marRight w:val="0"/>
          <w:marTop w:val="0"/>
          <w:marBottom w:val="0"/>
          <w:divBdr>
            <w:top w:val="none" w:sz="0" w:space="0" w:color="auto"/>
            <w:left w:val="none" w:sz="0" w:space="0" w:color="auto"/>
            <w:bottom w:val="none" w:sz="0" w:space="0" w:color="auto"/>
            <w:right w:val="none" w:sz="0" w:space="0" w:color="auto"/>
          </w:divBdr>
        </w:div>
        <w:div w:id="1717854723">
          <w:marLeft w:val="480"/>
          <w:marRight w:val="0"/>
          <w:marTop w:val="0"/>
          <w:marBottom w:val="0"/>
          <w:divBdr>
            <w:top w:val="none" w:sz="0" w:space="0" w:color="auto"/>
            <w:left w:val="none" w:sz="0" w:space="0" w:color="auto"/>
            <w:bottom w:val="none" w:sz="0" w:space="0" w:color="auto"/>
            <w:right w:val="none" w:sz="0" w:space="0" w:color="auto"/>
          </w:divBdr>
        </w:div>
        <w:div w:id="1759597264">
          <w:marLeft w:val="600"/>
          <w:marRight w:val="0"/>
          <w:marTop w:val="0"/>
          <w:marBottom w:val="0"/>
          <w:divBdr>
            <w:top w:val="none" w:sz="0" w:space="0" w:color="auto"/>
            <w:left w:val="none" w:sz="0" w:space="0" w:color="auto"/>
            <w:bottom w:val="none" w:sz="0" w:space="0" w:color="auto"/>
            <w:right w:val="none" w:sz="0" w:space="0" w:color="auto"/>
          </w:divBdr>
        </w:div>
        <w:div w:id="1783065764">
          <w:marLeft w:val="600"/>
          <w:marRight w:val="0"/>
          <w:marTop w:val="0"/>
          <w:marBottom w:val="0"/>
          <w:divBdr>
            <w:top w:val="none" w:sz="0" w:space="0" w:color="auto"/>
            <w:left w:val="none" w:sz="0" w:space="0" w:color="auto"/>
            <w:bottom w:val="none" w:sz="0" w:space="0" w:color="auto"/>
            <w:right w:val="none" w:sz="0" w:space="0" w:color="auto"/>
          </w:divBdr>
        </w:div>
        <w:div w:id="1801000253">
          <w:marLeft w:val="480"/>
          <w:marRight w:val="0"/>
          <w:marTop w:val="0"/>
          <w:marBottom w:val="0"/>
          <w:divBdr>
            <w:top w:val="none" w:sz="0" w:space="0" w:color="auto"/>
            <w:left w:val="none" w:sz="0" w:space="0" w:color="auto"/>
            <w:bottom w:val="none" w:sz="0" w:space="0" w:color="auto"/>
            <w:right w:val="none" w:sz="0" w:space="0" w:color="auto"/>
          </w:divBdr>
        </w:div>
        <w:div w:id="1813593618">
          <w:marLeft w:val="480"/>
          <w:marRight w:val="0"/>
          <w:marTop w:val="0"/>
          <w:marBottom w:val="0"/>
          <w:divBdr>
            <w:top w:val="none" w:sz="0" w:space="0" w:color="auto"/>
            <w:left w:val="none" w:sz="0" w:space="0" w:color="auto"/>
            <w:bottom w:val="none" w:sz="0" w:space="0" w:color="auto"/>
            <w:right w:val="none" w:sz="0" w:space="0" w:color="auto"/>
          </w:divBdr>
        </w:div>
        <w:div w:id="1827091734">
          <w:marLeft w:val="600"/>
          <w:marRight w:val="0"/>
          <w:marTop w:val="0"/>
          <w:marBottom w:val="0"/>
          <w:divBdr>
            <w:top w:val="none" w:sz="0" w:space="0" w:color="auto"/>
            <w:left w:val="none" w:sz="0" w:space="0" w:color="auto"/>
            <w:bottom w:val="none" w:sz="0" w:space="0" w:color="auto"/>
            <w:right w:val="none" w:sz="0" w:space="0" w:color="auto"/>
          </w:divBdr>
        </w:div>
        <w:div w:id="1835366688">
          <w:marLeft w:val="480"/>
          <w:marRight w:val="0"/>
          <w:marTop w:val="0"/>
          <w:marBottom w:val="0"/>
          <w:divBdr>
            <w:top w:val="none" w:sz="0" w:space="0" w:color="auto"/>
            <w:left w:val="none" w:sz="0" w:space="0" w:color="auto"/>
            <w:bottom w:val="none" w:sz="0" w:space="0" w:color="auto"/>
            <w:right w:val="none" w:sz="0" w:space="0" w:color="auto"/>
          </w:divBdr>
        </w:div>
        <w:div w:id="1861360567">
          <w:marLeft w:val="600"/>
          <w:marRight w:val="0"/>
          <w:marTop w:val="0"/>
          <w:marBottom w:val="0"/>
          <w:divBdr>
            <w:top w:val="none" w:sz="0" w:space="0" w:color="auto"/>
            <w:left w:val="none" w:sz="0" w:space="0" w:color="auto"/>
            <w:bottom w:val="none" w:sz="0" w:space="0" w:color="auto"/>
            <w:right w:val="none" w:sz="0" w:space="0" w:color="auto"/>
          </w:divBdr>
        </w:div>
        <w:div w:id="1870989845">
          <w:marLeft w:val="480"/>
          <w:marRight w:val="0"/>
          <w:marTop w:val="0"/>
          <w:marBottom w:val="0"/>
          <w:divBdr>
            <w:top w:val="none" w:sz="0" w:space="0" w:color="auto"/>
            <w:left w:val="none" w:sz="0" w:space="0" w:color="auto"/>
            <w:bottom w:val="none" w:sz="0" w:space="0" w:color="auto"/>
            <w:right w:val="none" w:sz="0" w:space="0" w:color="auto"/>
          </w:divBdr>
        </w:div>
        <w:div w:id="1883007714">
          <w:marLeft w:val="480"/>
          <w:marRight w:val="0"/>
          <w:marTop w:val="0"/>
          <w:marBottom w:val="0"/>
          <w:divBdr>
            <w:top w:val="none" w:sz="0" w:space="0" w:color="auto"/>
            <w:left w:val="none" w:sz="0" w:space="0" w:color="auto"/>
            <w:bottom w:val="none" w:sz="0" w:space="0" w:color="auto"/>
            <w:right w:val="none" w:sz="0" w:space="0" w:color="auto"/>
          </w:divBdr>
        </w:div>
        <w:div w:id="1913612251">
          <w:marLeft w:val="720"/>
          <w:marRight w:val="0"/>
          <w:marTop w:val="0"/>
          <w:marBottom w:val="0"/>
          <w:divBdr>
            <w:top w:val="none" w:sz="0" w:space="0" w:color="auto"/>
            <w:left w:val="none" w:sz="0" w:space="0" w:color="auto"/>
            <w:bottom w:val="none" w:sz="0" w:space="0" w:color="auto"/>
            <w:right w:val="none" w:sz="0" w:space="0" w:color="auto"/>
          </w:divBdr>
        </w:div>
        <w:div w:id="1920671357">
          <w:marLeft w:val="600"/>
          <w:marRight w:val="0"/>
          <w:marTop w:val="0"/>
          <w:marBottom w:val="0"/>
          <w:divBdr>
            <w:top w:val="none" w:sz="0" w:space="0" w:color="auto"/>
            <w:left w:val="none" w:sz="0" w:space="0" w:color="auto"/>
            <w:bottom w:val="none" w:sz="0" w:space="0" w:color="auto"/>
            <w:right w:val="none" w:sz="0" w:space="0" w:color="auto"/>
          </w:divBdr>
        </w:div>
        <w:div w:id="1938555884">
          <w:marLeft w:val="600"/>
          <w:marRight w:val="0"/>
          <w:marTop w:val="0"/>
          <w:marBottom w:val="0"/>
          <w:divBdr>
            <w:top w:val="none" w:sz="0" w:space="0" w:color="auto"/>
            <w:left w:val="none" w:sz="0" w:space="0" w:color="auto"/>
            <w:bottom w:val="none" w:sz="0" w:space="0" w:color="auto"/>
            <w:right w:val="none" w:sz="0" w:space="0" w:color="auto"/>
          </w:divBdr>
        </w:div>
        <w:div w:id="1942302046">
          <w:marLeft w:val="480"/>
          <w:marRight w:val="0"/>
          <w:marTop w:val="0"/>
          <w:marBottom w:val="0"/>
          <w:divBdr>
            <w:top w:val="none" w:sz="0" w:space="0" w:color="auto"/>
            <w:left w:val="none" w:sz="0" w:space="0" w:color="auto"/>
            <w:bottom w:val="none" w:sz="0" w:space="0" w:color="auto"/>
            <w:right w:val="none" w:sz="0" w:space="0" w:color="auto"/>
          </w:divBdr>
        </w:div>
        <w:div w:id="1990672802">
          <w:marLeft w:val="480"/>
          <w:marRight w:val="0"/>
          <w:marTop w:val="0"/>
          <w:marBottom w:val="0"/>
          <w:divBdr>
            <w:top w:val="none" w:sz="0" w:space="0" w:color="auto"/>
            <w:left w:val="none" w:sz="0" w:space="0" w:color="auto"/>
            <w:bottom w:val="none" w:sz="0" w:space="0" w:color="auto"/>
            <w:right w:val="none" w:sz="0" w:space="0" w:color="auto"/>
          </w:divBdr>
        </w:div>
        <w:div w:id="2016883920">
          <w:marLeft w:val="600"/>
          <w:marRight w:val="0"/>
          <w:marTop w:val="0"/>
          <w:marBottom w:val="0"/>
          <w:divBdr>
            <w:top w:val="none" w:sz="0" w:space="0" w:color="auto"/>
            <w:left w:val="none" w:sz="0" w:space="0" w:color="auto"/>
            <w:bottom w:val="none" w:sz="0" w:space="0" w:color="auto"/>
            <w:right w:val="none" w:sz="0" w:space="0" w:color="auto"/>
          </w:divBdr>
        </w:div>
        <w:div w:id="2019889378">
          <w:marLeft w:val="600"/>
          <w:marRight w:val="0"/>
          <w:marTop w:val="0"/>
          <w:marBottom w:val="0"/>
          <w:divBdr>
            <w:top w:val="none" w:sz="0" w:space="0" w:color="auto"/>
            <w:left w:val="none" w:sz="0" w:space="0" w:color="auto"/>
            <w:bottom w:val="none" w:sz="0" w:space="0" w:color="auto"/>
            <w:right w:val="none" w:sz="0" w:space="0" w:color="auto"/>
          </w:divBdr>
        </w:div>
        <w:div w:id="2035449571">
          <w:marLeft w:val="480"/>
          <w:marRight w:val="0"/>
          <w:marTop w:val="0"/>
          <w:marBottom w:val="0"/>
          <w:divBdr>
            <w:top w:val="none" w:sz="0" w:space="0" w:color="auto"/>
            <w:left w:val="none" w:sz="0" w:space="0" w:color="auto"/>
            <w:bottom w:val="none" w:sz="0" w:space="0" w:color="auto"/>
            <w:right w:val="none" w:sz="0" w:space="0" w:color="auto"/>
          </w:divBdr>
        </w:div>
        <w:div w:id="2081558184">
          <w:marLeft w:val="600"/>
          <w:marRight w:val="0"/>
          <w:marTop w:val="0"/>
          <w:marBottom w:val="0"/>
          <w:divBdr>
            <w:top w:val="none" w:sz="0" w:space="0" w:color="auto"/>
            <w:left w:val="none" w:sz="0" w:space="0" w:color="auto"/>
            <w:bottom w:val="none" w:sz="0" w:space="0" w:color="auto"/>
            <w:right w:val="none" w:sz="0" w:space="0" w:color="auto"/>
          </w:divBdr>
        </w:div>
        <w:div w:id="2092653482">
          <w:marLeft w:val="600"/>
          <w:marRight w:val="0"/>
          <w:marTop w:val="0"/>
          <w:marBottom w:val="0"/>
          <w:divBdr>
            <w:top w:val="none" w:sz="0" w:space="0" w:color="auto"/>
            <w:left w:val="none" w:sz="0" w:space="0" w:color="auto"/>
            <w:bottom w:val="none" w:sz="0" w:space="0" w:color="auto"/>
            <w:right w:val="none" w:sz="0" w:space="0" w:color="auto"/>
          </w:divBdr>
        </w:div>
        <w:div w:id="2125270599">
          <w:marLeft w:val="480"/>
          <w:marRight w:val="0"/>
          <w:marTop w:val="0"/>
          <w:marBottom w:val="0"/>
          <w:divBdr>
            <w:top w:val="none" w:sz="0" w:space="0" w:color="auto"/>
            <w:left w:val="none" w:sz="0" w:space="0" w:color="auto"/>
            <w:bottom w:val="none" w:sz="0" w:space="0" w:color="auto"/>
            <w:right w:val="none" w:sz="0" w:space="0" w:color="auto"/>
          </w:divBdr>
        </w:div>
        <w:div w:id="2134055857">
          <w:marLeft w:val="600"/>
          <w:marRight w:val="0"/>
          <w:marTop w:val="0"/>
          <w:marBottom w:val="0"/>
          <w:divBdr>
            <w:top w:val="none" w:sz="0" w:space="0" w:color="auto"/>
            <w:left w:val="none" w:sz="0" w:space="0" w:color="auto"/>
            <w:bottom w:val="none" w:sz="0" w:space="0" w:color="auto"/>
            <w:right w:val="none" w:sz="0" w:space="0" w:color="auto"/>
          </w:divBdr>
        </w:div>
        <w:div w:id="2143770133">
          <w:marLeft w:val="600"/>
          <w:marRight w:val="0"/>
          <w:marTop w:val="0"/>
          <w:marBottom w:val="0"/>
          <w:divBdr>
            <w:top w:val="none" w:sz="0" w:space="0" w:color="auto"/>
            <w:left w:val="none" w:sz="0" w:space="0" w:color="auto"/>
            <w:bottom w:val="none" w:sz="0" w:space="0" w:color="auto"/>
            <w:right w:val="none" w:sz="0" w:space="0" w:color="auto"/>
          </w:divBdr>
        </w:div>
      </w:divsChild>
    </w:div>
    <w:div w:id="1470589030">
      <w:bodyDiv w:val="1"/>
      <w:marLeft w:val="0"/>
      <w:marRight w:val="0"/>
      <w:marTop w:val="0"/>
      <w:marBottom w:val="0"/>
      <w:divBdr>
        <w:top w:val="none" w:sz="0" w:space="0" w:color="auto"/>
        <w:left w:val="none" w:sz="0" w:space="0" w:color="auto"/>
        <w:bottom w:val="none" w:sz="0" w:space="0" w:color="auto"/>
        <w:right w:val="none" w:sz="0" w:space="0" w:color="auto"/>
      </w:divBdr>
    </w:div>
    <w:div w:id="1521356860">
      <w:bodyDiv w:val="1"/>
      <w:marLeft w:val="0"/>
      <w:marRight w:val="0"/>
      <w:marTop w:val="0"/>
      <w:marBottom w:val="0"/>
      <w:divBdr>
        <w:top w:val="none" w:sz="0" w:space="0" w:color="auto"/>
        <w:left w:val="none" w:sz="0" w:space="0" w:color="auto"/>
        <w:bottom w:val="none" w:sz="0" w:space="0" w:color="auto"/>
        <w:right w:val="none" w:sz="0" w:space="0" w:color="auto"/>
      </w:divBdr>
      <w:divsChild>
        <w:div w:id="1903249565">
          <w:marLeft w:val="0"/>
          <w:marRight w:val="0"/>
          <w:marTop w:val="0"/>
          <w:marBottom w:val="0"/>
          <w:divBdr>
            <w:top w:val="none" w:sz="0" w:space="0" w:color="auto"/>
            <w:left w:val="none" w:sz="0" w:space="0" w:color="auto"/>
            <w:bottom w:val="none" w:sz="0" w:space="0" w:color="auto"/>
            <w:right w:val="none" w:sz="0" w:space="0" w:color="auto"/>
          </w:divBdr>
        </w:div>
      </w:divsChild>
    </w:div>
    <w:div w:id="1531995913">
      <w:bodyDiv w:val="1"/>
      <w:marLeft w:val="0"/>
      <w:marRight w:val="0"/>
      <w:marTop w:val="0"/>
      <w:marBottom w:val="0"/>
      <w:divBdr>
        <w:top w:val="none" w:sz="0" w:space="0" w:color="auto"/>
        <w:left w:val="none" w:sz="0" w:space="0" w:color="auto"/>
        <w:bottom w:val="none" w:sz="0" w:space="0" w:color="auto"/>
        <w:right w:val="none" w:sz="0" w:space="0" w:color="auto"/>
      </w:divBdr>
    </w:div>
    <w:div w:id="1578788369">
      <w:bodyDiv w:val="1"/>
      <w:marLeft w:val="0"/>
      <w:marRight w:val="0"/>
      <w:marTop w:val="0"/>
      <w:marBottom w:val="0"/>
      <w:divBdr>
        <w:top w:val="none" w:sz="0" w:space="0" w:color="auto"/>
        <w:left w:val="none" w:sz="0" w:space="0" w:color="auto"/>
        <w:bottom w:val="none" w:sz="0" w:space="0" w:color="auto"/>
        <w:right w:val="none" w:sz="0" w:space="0" w:color="auto"/>
      </w:divBdr>
    </w:div>
    <w:div w:id="1584679940">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0383007">
      <w:bodyDiv w:val="1"/>
      <w:marLeft w:val="0"/>
      <w:marRight w:val="0"/>
      <w:marTop w:val="0"/>
      <w:marBottom w:val="0"/>
      <w:divBdr>
        <w:top w:val="none" w:sz="0" w:space="0" w:color="auto"/>
        <w:left w:val="none" w:sz="0" w:space="0" w:color="auto"/>
        <w:bottom w:val="none" w:sz="0" w:space="0" w:color="auto"/>
        <w:right w:val="none" w:sz="0" w:space="0" w:color="auto"/>
      </w:divBdr>
      <w:divsChild>
        <w:div w:id="885028536">
          <w:marLeft w:val="0"/>
          <w:marRight w:val="0"/>
          <w:marTop w:val="0"/>
          <w:marBottom w:val="0"/>
          <w:divBdr>
            <w:top w:val="none" w:sz="0" w:space="0" w:color="auto"/>
            <w:left w:val="none" w:sz="0" w:space="0" w:color="auto"/>
            <w:bottom w:val="none" w:sz="0" w:space="0" w:color="auto"/>
            <w:right w:val="none" w:sz="0" w:space="0" w:color="auto"/>
          </w:divBdr>
          <w:divsChild>
            <w:div w:id="575676493">
              <w:marLeft w:val="0"/>
              <w:marRight w:val="0"/>
              <w:marTop w:val="0"/>
              <w:marBottom w:val="0"/>
              <w:divBdr>
                <w:top w:val="none" w:sz="0" w:space="0" w:color="auto"/>
                <w:left w:val="none" w:sz="0" w:space="0" w:color="auto"/>
                <w:bottom w:val="none" w:sz="0" w:space="0" w:color="auto"/>
                <w:right w:val="none" w:sz="0" w:space="0" w:color="auto"/>
              </w:divBdr>
              <w:divsChild>
                <w:div w:id="168179692">
                  <w:marLeft w:val="0"/>
                  <w:marRight w:val="0"/>
                  <w:marTop w:val="0"/>
                  <w:marBottom w:val="0"/>
                  <w:divBdr>
                    <w:top w:val="none" w:sz="0" w:space="0" w:color="auto"/>
                    <w:left w:val="none" w:sz="0" w:space="0" w:color="auto"/>
                    <w:bottom w:val="none" w:sz="0" w:space="0" w:color="auto"/>
                    <w:right w:val="none" w:sz="0" w:space="0" w:color="auto"/>
                  </w:divBdr>
                  <w:divsChild>
                    <w:div w:id="701829371">
                      <w:marLeft w:val="0"/>
                      <w:marRight w:val="0"/>
                      <w:marTop w:val="0"/>
                      <w:marBottom w:val="0"/>
                      <w:divBdr>
                        <w:top w:val="none" w:sz="0" w:space="0" w:color="auto"/>
                        <w:left w:val="none" w:sz="0" w:space="0" w:color="auto"/>
                        <w:bottom w:val="none" w:sz="0" w:space="0" w:color="auto"/>
                        <w:right w:val="none" w:sz="0" w:space="0" w:color="auto"/>
                      </w:divBdr>
                    </w:div>
                    <w:div w:id="1605376977">
                      <w:marLeft w:val="0"/>
                      <w:marRight w:val="0"/>
                      <w:marTop w:val="120"/>
                      <w:marBottom w:val="0"/>
                      <w:divBdr>
                        <w:top w:val="none" w:sz="0" w:space="0" w:color="auto"/>
                        <w:left w:val="none" w:sz="0" w:space="0" w:color="auto"/>
                        <w:bottom w:val="none" w:sz="0" w:space="0" w:color="auto"/>
                        <w:right w:val="none" w:sz="0" w:space="0" w:color="auto"/>
                      </w:divBdr>
                    </w:div>
                  </w:divsChild>
                </w:div>
                <w:div w:id="222449568">
                  <w:marLeft w:val="0"/>
                  <w:marRight w:val="0"/>
                  <w:marTop w:val="0"/>
                  <w:marBottom w:val="0"/>
                  <w:divBdr>
                    <w:top w:val="none" w:sz="0" w:space="0" w:color="auto"/>
                    <w:left w:val="none" w:sz="0" w:space="0" w:color="auto"/>
                    <w:bottom w:val="none" w:sz="0" w:space="0" w:color="auto"/>
                    <w:right w:val="none" w:sz="0" w:space="0" w:color="auto"/>
                  </w:divBdr>
                  <w:divsChild>
                    <w:div w:id="1928421623">
                      <w:marLeft w:val="0"/>
                      <w:marRight w:val="0"/>
                      <w:marTop w:val="120"/>
                      <w:marBottom w:val="0"/>
                      <w:divBdr>
                        <w:top w:val="none" w:sz="0" w:space="0" w:color="auto"/>
                        <w:left w:val="none" w:sz="0" w:space="0" w:color="auto"/>
                        <w:bottom w:val="none" w:sz="0" w:space="0" w:color="auto"/>
                        <w:right w:val="none" w:sz="0" w:space="0" w:color="auto"/>
                      </w:divBdr>
                    </w:div>
                    <w:div w:id="2024092896">
                      <w:marLeft w:val="0"/>
                      <w:marRight w:val="0"/>
                      <w:marTop w:val="0"/>
                      <w:marBottom w:val="0"/>
                      <w:divBdr>
                        <w:top w:val="none" w:sz="0" w:space="0" w:color="auto"/>
                        <w:left w:val="none" w:sz="0" w:space="0" w:color="auto"/>
                        <w:bottom w:val="none" w:sz="0" w:space="0" w:color="auto"/>
                        <w:right w:val="none" w:sz="0" w:space="0" w:color="auto"/>
                      </w:divBdr>
                    </w:div>
                  </w:divsChild>
                </w:div>
                <w:div w:id="567422470">
                  <w:marLeft w:val="0"/>
                  <w:marRight w:val="0"/>
                  <w:marTop w:val="0"/>
                  <w:marBottom w:val="0"/>
                  <w:divBdr>
                    <w:top w:val="none" w:sz="0" w:space="0" w:color="auto"/>
                    <w:left w:val="none" w:sz="0" w:space="0" w:color="auto"/>
                    <w:bottom w:val="none" w:sz="0" w:space="0" w:color="auto"/>
                    <w:right w:val="none" w:sz="0" w:space="0" w:color="auto"/>
                  </w:divBdr>
                  <w:divsChild>
                    <w:div w:id="1103651355">
                      <w:marLeft w:val="0"/>
                      <w:marRight w:val="0"/>
                      <w:marTop w:val="120"/>
                      <w:marBottom w:val="0"/>
                      <w:divBdr>
                        <w:top w:val="none" w:sz="0" w:space="0" w:color="auto"/>
                        <w:left w:val="none" w:sz="0" w:space="0" w:color="auto"/>
                        <w:bottom w:val="none" w:sz="0" w:space="0" w:color="auto"/>
                        <w:right w:val="none" w:sz="0" w:space="0" w:color="auto"/>
                      </w:divBdr>
                    </w:div>
                    <w:div w:id="1149058994">
                      <w:marLeft w:val="0"/>
                      <w:marRight w:val="0"/>
                      <w:marTop w:val="0"/>
                      <w:marBottom w:val="0"/>
                      <w:divBdr>
                        <w:top w:val="none" w:sz="0" w:space="0" w:color="auto"/>
                        <w:left w:val="none" w:sz="0" w:space="0" w:color="auto"/>
                        <w:bottom w:val="none" w:sz="0" w:space="0" w:color="auto"/>
                        <w:right w:val="none" w:sz="0" w:space="0" w:color="auto"/>
                      </w:divBdr>
                    </w:div>
                  </w:divsChild>
                </w:div>
                <w:div w:id="1066804851">
                  <w:marLeft w:val="0"/>
                  <w:marRight w:val="0"/>
                  <w:marTop w:val="0"/>
                  <w:marBottom w:val="0"/>
                  <w:divBdr>
                    <w:top w:val="none" w:sz="0" w:space="0" w:color="auto"/>
                    <w:left w:val="none" w:sz="0" w:space="0" w:color="auto"/>
                    <w:bottom w:val="none" w:sz="0" w:space="0" w:color="auto"/>
                    <w:right w:val="none" w:sz="0" w:space="0" w:color="auto"/>
                  </w:divBdr>
                  <w:divsChild>
                    <w:div w:id="472796450">
                      <w:marLeft w:val="0"/>
                      <w:marRight w:val="0"/>
                      <w:marTop w:val="0"/>
                      <w:marBottom w:val="0"/>
                      <w:divBdr>
                        <w:top w:val="none" w:sz="0" w:space="0" w:color="auto"/>
                        <w:left w:val="none" w:sz="0" w:space="0" w:color="auto"/>
                        <w:bottom w:val="none" w:sz="0" w:space="0" w:color="auto"/>
                        <w:right w:val="none" w:sz="0" w:space="0" w:color="auto"/>
                      </w:divBdr>
                    </w:div>
                    <w:div w:id="1814518210">
                      <w:marLeft w:val="0"/>
                      <w:marRight w:val="0"/>
                      <w:marTop w:val="120"/>
                      <w:marBottom w:val="0"/>
                      <w:divBdr>
                        <w:top w:val="none" w:sz="0" w:space="0" w:color="auto"/>
                        <w:left w:val="none" w:sz="0" w:space="0" w:color="auto"/>
                        <w:bottom w:val="none" w:sz="0" w:space="0" w:color="auto"/>
                        <w:right w:val="none" w:sz="0" w:space="0" w:color="auto"/>
                      </w:divBdr>
                    </w:div>
                  </w:divsChild>
                </w:div>
                <w:div w:id="1431005218">
                  <w:marLeft w:val="0"/>
                  <w:marRight w:val="0"/>
                  <w:marTop w:val="0"/>
                  <w:marBottom w:val="0"/>
                  <w:divBdr>
                    <w:top w:val="none" w:sz="0" w:space="0" w:color="auto"/>
                    <w:left w:val="none" w:sz="0" w:space="0" w:color="auto"/>
                    <w:bottom w:val="none" w:sz="0" w:space="0" w:color="auto"/>
                    <w:right w:val="none" w:sz="0" w:space="0" w:color="auto"/>
                  </w:divBdr>
                  <w:divsChild>
                    <w:div w:id="614991147">
                      <w:marLeft w:val="0"/>
                      <w:marRight w:val="0"/>
                      <w:marTop w:val="0"/>
                      <w:marBottom w:val="0"/>
                      <w:divBdr>
                        <w:top w:val="none" w:sz="0" w:space="0" w:color="auto"/>
                        <w:left w:val="none" w:sz="0" w:space="0" w:color="auto"/>
                        <w:bottom w:val="none" w:sz="0" w:space="0" w:color="auto"/>
                        <w:right w:val="none" w:sz="0" w:space="0" w:color="auto"/>
                      </w:divBdr>
                    </w:div>
                    <w:div w:id="1392464552">
                      <w:marLeft w:val="0"/>
                      <w:marRight w:val="0"/>
                      <w:marTop w:val="120"/>
                      <w:marBottom w:val="0"/>
                      <w:divBdr>
                        <w:top w:val="none" w:sz="0" w:space="0" w:color="auto"/>
                        <w:left w:val="none" w:sz="0" w:space="0" w:color="auto"/>
                        <w:bottom w:val="none" w:sz="0" w:space="0" w:color="auto"/>
                        <w:right w:val="none" w:sz="0" w:space="0" w:color="auto"/>
                      </w:divBdr>
                    </w:div>
                  </w:divsChild>
                </w:div>
                <w:div w:id="1604611743">
                  <w:marLeft w:val="0"/>
                  <w:marRight w:val="0"/>
                  <w:marTop w:val="0"/>
                  <w:marBottom w:val="0"/>
                  <w:divBdr>
                    <w:top w:val="none" w:sz="0" w:space="0" w:color="auto"/>
                    <w:left w:val="none" w:sz="0" w:space="0" w:color="auto"/>
                    <w:bottom w:val="none" w:sz="0" w:space="0" w:color="auto"/>
                    <w:right w:val="none" w:sz="0" w:space="0" w:color="auto"/>
                  </w:divBdr>
                  <w:divsChild>
                    <w:div w:id="559950076">
                      <w:marLeft w:val="0"/>
                      <w:marRight w:val="0"/>
                      <w:marTop w:val="0"/>
                      <w:marBottom w:val="0"/>
                      <w:divBdr>
                        <w:top w:val="none" w:sz="0" w:space="0" w:color="auto"/>
                        <w:left w:val="none" w:sz="0" w:space="0" w:color="auto"/>
                        <w:bottom w:val="none" w:sz="0" w:space="0" w:color="auto"/>
                        <w:right w:val="none" w:sz="0" w:space="0" w:color="auto"/>
                      </w:divBdr>
                    </w:div>
                    <w:div w:id="1002972914">
                      <w:marLeft w:val="0"/>
                      <w:marRight w:val="0"/>
                      <w:marTop w:val="120"/>
                      <w:marBottom w:val="0"/>
                      <w:divBdr>
                        <w:top w:val="none" w:sz="0" w:space="0" w:color="auto"/>
                        <w:left w:val="none" w:sz="0" w:space="0" w:color="auto"/>
                        <w:bottom w:val="none" w:sz="0" w:space="0" w:color="auto"/>
                        <w:right w:val="none" w:sz="0" w:space="0" w:color="auto"/>
                      </w:divBdr>
                    </w:div>
                  </w:divsChild>
                </w:div>
                <w:div w:id="1642727274">
                  <w:marLeft w:val="0"/>
                  <w:marRight w:val="0"/>
                  <w:marTop w:val="0"/>
                  <w:marBottom w:val="0"/>
                  <w:divBdr>
                    <w:top w:val="none" w:sz="0" w:space="0" w:color="auto"/>
                    <w:left w:val="none" w:sz="0" w:space="0" w:color="auto"/>
                    <w:bottom w:val="none" w:sz="0" w:space="0" w:color="auto"/>
                    <w:right w:val="none" w:sz="0" w:space="0" w:color="auto"/>
                  </w:divBdr>
                  <w:divsChild>
                    <w:div w:id="191843579">
                      <w:marLeft w:val="0"/>
                      <w:marRight w:val="0"/>
                      <w:marTop w:val="0"/>
                      <w:marBottom w:val="0"/>
                      <w:divBdr>
                        <w:top w:val="none" w:sz="0" w:space="0" w:color="auto"/>
                        <w:left w:val="none" w:sz="0" w:space="0" w:color="auto"/>
                        <w:bottom w:val="none" w:sz="0" w:space="0" w:color="auto"/>
                        <w:right w:val="none" w:sz="0" w:space="0" w:color="auto"/>
                      </w:divBdr>
                    </w:div>
                    <w:div w:id="1048803890">
                      <w:marLeft w:val="0"/>
                      <w:marRight w:val="0"/>
                      <w:marTop w:val="120"/>
                      <w:marBottom w:val="0"/>
                      <w:divBdr>
                        <w:top w:val="none" w:sz="0" w:space="0" w:color="auto"/>
                        <w:left w:val="none" w:sz="0" w:space="0" w:color="auto"/>
                        <w:bottom w:val="none" w:sz="0" w:space="0" w:color="auto"/>
                        <w:right w:val="none" w:sz="0" w:space="0" w:color="auto"/>
                      </w:divBdr>
                    </w:div>
                  </w:divsChild>
                </w:div>
                <w:div w:id="1852596613">
                  <w:marLeft w:val="0"/>
                  <w:marRight w:val="0"/>
                  <w:marTop w:val="0"/>
                  <w:marBottom w:val="0"/>
                  <w:divBdr>
                    <w:top w:val="none" w:sz="0" w:space="0" w:color="auto"/>
                    <w:left w:val="none" w:sz="0" w:space="0" w:color="auto"/>
                    <w:bottom w:val="none" w:sz="0" w:space="0" w:color="auto"/>
                    <w:right w:val="none" w:sz="0" w:space="0" w:color="auto"/>
                  </w:divBdr>
                  <w:divsChild>
                    <w:div w:id="335114777">
                      <w:marLeft w:val="0"/>
                      <w:marRight w:val="0"/>
                      <w:marTop w:val="120"/>
                      <w:marBottom w:val="0"/>
                      <w:divBdr>
                        <w:top w:val="none" w:sz="0" w:space="0" w:color="auto"/>
                        <w:left w:val="none" w:sz="0" w:space="0" w:color="auto"/>
                        <w:bottom w:val="none" w:sz="0" w:space="0" w:color="auto"/>
                        <w:right w:val="none" w:sz="0" w:space="0" w:color="auto"/>
                      </w:divBdr>
                    </w:div>
                    <w:div w:id="13400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7289">
          <w:marLeft w:val="0"/>
          <w:marRight w:val="0"/>
          <w:marTop w:val="0"/>
          <w:marBottom w:val="0"/>
          <w:divBdr>
            <w:top w:val="none" w:sz="0" w:space="0" w:color="auto"/>
            <w:left w:val="none" w:sz="0" w:space="0" w:color="auto"/>
            <w:bottom w:val="none" w:sz="0" w:space="0" w:color="auto"/>
            <w:right w:val="none" w:sz="0" w:space="0" w:color="auto"/>
          </w:divBdr>
          <w:divsChild>
            <w:div w:id="2725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3877">
      <w:bodyDiv w:val="1"/>
      <w:marLeft w:val="0"/>
      <w:marRight w:val="0"/>
      <w:marTop w:val="0"/>
      <w:marBottom w:val="0"/>
      <w:divBdr>
        <w:top w:val="none" w:sz="0" w:space="0" w:color="auto"/>
        <w:left w:val="none" w:sz="0" w:space="0" w:color="auto"/>
        <w:bottom w:val="none" w:sz="0" w:space="0" w:color="auto"/>
        <w:right w:val="none" w:sz="0" w:space="0" w:color="auto"/>
      </w:divBdr>
    </w:div>
    <w:div w:id="1753351172">
      <w:bodyDiv w:val="1"/>
      <w:marLeft w:val="0"/>
      <w:marRight w:val="0"/>
      <w:marTop w:val="0"/>
      <w:marBottom w:val="0"/>
      <w:divBdr>
        <w:top w:val="none" w:sz="0" w:space="0" w:color="auto"/>
        <w:left w:val="none" w:sz="0" w:space="0" w:color="auto"/>
        <w:bottom w:val="none" w:sz="0" w:space="0" w:color="auto"/>
        <w:right w:val="none" w:sz="0" w:space="0" w:color="auto"/>
      </w:divBdr>
      <w:divsChild>
        <w:div w:id="856970704">
          <w:marLeft w:val="600"/>
          <w:marRight w:val="0"/>
          <w:marTop w:val="0"/>
          <w:marBottom w:val="0"/>
          <w:divBdr>
            <w:top w:val="none" w:sz="0" w:space="0" w:color="auto"/>
            <w:left w:val="none" w:sz="0" w:space="0" w:color="auto"/>
            <w:bottom w:val="none" w:sz="0" w:space="0" w:color="auto"/>
            <w:right w:val="none" w:sz="0" w:space="0" w:color="auto"/>
          </w:divBdr>
        </w:div>
        <w:div w:id="988706774">
          <w:marLeft w:val="600"/>
          <w:marRight w:val="0"/>
          <w:marTop w:val="0"/>
          <w:marBottom w:val="0"/>
          <w:divBdr>
            <w:top w:val="none" w:sz="0" w:space="0" w:color="auto"/>
            <w:left w:val="none" w:sz="0" w:space="0" w:color="auto"/>
            <w:bottom w:val="none" w:sz="0" w:space="0" w:color="auto"/>
            <w:right w:val="none" w:sz="0" w:space="0" w:color="auto"/>
          </w:divBdr>
        </w:div>
        <w:div w:id="2054501709">
          <w:marLeft w:val="600"/>
          <w:marRight w:val="0"/>
          <w:marTop w:val="0"/>
          <w:marBottom w:val="0"/>
          <w:divBdr>
            <w:top w:val="none" w:sz="0" w:space="0" w:color="auto"/>
            <w:left w:val="none" w:sz="0" w:space="0" w:color="auto"/>
            <w:bottom w:val="none" w:sz="0" w:space="0" w:color="auto"/>
            <w:right w:val="none" w:sz="0" w:space="0" w:color="auto"/>
          </w:divBdr>
        </w:div>
      </w:divsChild>
    </w:div>
    <w:div w:id="1764036375">
      <w:bodyDiv w:val="1"/>
      <w:marLeft w:val="0"/>
      <w:marRight w:val="0"/>
      <w:marTop w:val="0"/>
      <w:marBottom w:val="0"/>
      <w:divBdr>
        <w:top w:val="none" w:sz="0" w:space="0" w:color="auto"/>
        <w:left w:val="none" w:sz="0" w:space="0" w:color="auto"/>
        <w:bottom w:val="none" w:sz="0" w:space="0" w:color="auto"/>
        <w:right w:val="none" w:sz="0" w:space="0" w:color="auto"/>
      </w:divBdr>
      <w:divsChild>
        <w:div w:id="626351864">
          <w:marLeft w:val="0"/>
          <w:marRight w:val="0"/>
          <w:marTop w:val="0"/>
          <w:marBottom w:val="0"/>
          <w:divBdr>
            <w:top w:val="none" w:sz="0" w:space="0" w:color="auto"/>
            <w:left w:val="none" w:sz="0" w:space="0" w:color="auto"/>
            <w:bottom w:val="none" w:sz="0" w:space="0" w:color="auto"/>
            <w:right w:val="none" w:sz="0" w:space="0" w:color="auto"/>
          </w:divBdr>
        </w:div>
        <w:div w:id="1837844926">
          <w:marLeft w:val="0"/>
          <w:marRight w:val="0"/>
          <w:marTop w:val="120"/>
          <w:marBottom w:val="0"/>
          <w:divBdr>
            <w:top w:val="none" w:sz="0" w:space="0" w:color="auto"/>
            <w:left w:val="none" w:sz="0" w:space="0" w:color="auto"/>
            <w:bottom w:val="none" w:sz="0" w:space="0" w:color="auto"/>
            <w:right w:val="none" w:sz="0" w:space="0" w:color="auto"/>
          </w:divBdr>
        </w:div>
      </w:divsChild>
    </w:div>
    <w:div w:id="1793327233">
      <w:bodyDiv w:val="1"/>
      <w:marLeft w:val="0"/>
      <w:marRight w:val="0"/>
      <w:marTop w:val="0"/>
      <w:marBottom w:val="0"/>
      <w:divBdr>
        <w:top w:val="none" w:sz="0" w:space="0" w:color="auto"/>
        <w:left w:val="none" w:sz="0" w:space="0" w:color="auto"/>
        <w:bottom w:val="none" w:sz="0" w:space="0" w:color="auto"/>
        <w:right w:val="none" w:sz="0" w:space="0" w:color="auto"/>
      </w:divBdr>
      <w:divsChild>
        <w:div w:id="259338852">
          <w:marLeft w:val="600"/>
          <w:marRight w:val="0"/>
          <w:marTop w:val="0"/>
          <w:marBottom w:val="0"/>
          <w:divBdr>
            <w:top w:val="none" w:sz="0" w:space="0" w:color="auto"/>
            <w:left w:val="none" w:sz="0" w:space="0" w:color="auto"/>
            <w:bottom w:val="none" w:sz="0" w:space="0" w:color="auto"/>
            <w:right w:val="none" w:sz="0" w:space="0" w:color="auto"/>
          </w:divBdr>
        </w:div>
        <w:div w:id="514077056">
          <w:marLeft w:val="600"/>
          <w:marRight w:val="0"/>
          <w:marTop w:val="0"/>
          <w:marBottom w:val="0"/>
          <w:divBdr>
            <w:top w:val="none" w:sz="0" w:space="0" w:color="auto"/>
            <w:left w:val="none" w:sz="0" w:space="0" w:color="auto"/>
            <w:bottom w:val="none" w:sz="0" w:space="0" w:color="auto"/>
            <w:right w:val="none" w:sz="0" w:space="0" w:color="auto"/>
          </w:divBdr>
        </w:div>
        <w:div w:id="786696792">
          <w:marLeft w:val="600"/>
          <w:marRight w:val="0"/>
          <w:marTop w:val="0"/>
          <w:marBottom w:val="0"/>
          <w:divBdr>
            <w:top w:val="none" w:sz="0" w:space="0" w:color="auto"/>
            <w:left w:val="none" w:sz="0" w:space="0" w:color="auto"/>
            <w:bottom w:val="none" w:sz="0" w:space="0" w:color="auto"/>
            <w:right w:val="none" w:sz="0" w:space="0" w:color="auto"/>
          </w:divBdr>
        </w:div>
        <w:div w:id="1403792037">
          <w:marLeft w:val="600"/>
          <w:marRight w:val="0"/>
          <w:marTop w:val="0"/>
          <w:marBottom w:val="0"/>
          <w:divBdr>
            <w:top w:val="none" w:sz="0" w:space="0" w:color="auto"/>
            <w:left w:val="none" w:sz="0" w:space="0" w:color="auto"/>
            <w:bottom w:val="none" w:sz="0" w:space="0" w:color="auto"/>
            <w:right w:val="none" w:sz="0" w:space="0" w:color="auto"/>
          </w:divBdr>
        </w:div>
        <w:div w:id="1525827037">
          <w:marLeft w:val="600"/>
          <w:marRight w:val="0"/>
          <w:marTop w:val="0"/>
          <w:marBottom w:val="0"/>
          <w:divBdr>
            <w:top w:val="none" w:sz="0" w:space="0" w:color="auto"/>
            <w:left w:val="none" w:sz="0" w:space="0" w:color="auto"/>
            <w:bottom w:val="none" w:sz="0" w:space="0" w:color="auto"/>
            <w:right w:val="none" w:sz="0" w:space="0" w:color="auto"/>
          </w:divBdr>
        </w:div>
        <w:div w:id="1570264156">
          <w:marLeft w:val="600"/>
          <w:marRight w:val="0"/>
          <w:marTop w:val="0"/>
          <w:marBottom w:val="0"/>
          <w:divBdr>
            <w:top w:val="none" w:sz="0" w:space="0" w:color="auto"/>
            <w:left w:val="none" w:sz="0" w:space="0" w:color="auto"/>
            <w:bottom w:val="none" w:sz="0" w:space="0" w:color="auto"/>
            <w:right w:val="none" w:sz="0" w:space="0" w:color="auto"/>
          </w:divBdr>
        </w:div>
        <w:div w:id="1733196611">
          <w:marLeft w:val="600"/>
          <w:marRight w:val="0"/>
          <w:marTop w:val="0"/>
          <w:marBottom w:val="0"/>
          <w:divBdr>
            <w:top w:val="none" w:sz="0" w:space="0" w:color="auto"/>
            <w:left w:val="none" w:sz="0" w:space="0" w:color="auto"/>
            <w:bottom w:val="none" w:sz="0" w:space="0" w:color="auto"/>
            <w:right w:val="none" w:sz="0" w:space="0" w:color="auto"/>
          </w:divBdr>
        </w:div>
        <w:div w:id="1967201418">
          <w:marLeft w:val="600"/>
          <w:marRight w:val="0"/>
          <w:marTop w:val="0"/>
          <w:marBottom w:val="0"/>
          <w:divBdr>
            <w:top w:val="none" w:sz="0" w:space="0" w:color="auto"/>
            <w:left w:val="none" w:sz="0" w:space="0" w:color="auto"/>
            <w:bottom w:val="none" w:sz="0" w:space="0" w:color="auto"/>
            <w:right w:val="none" w:sz="0" w:space="0" w:color="auto"/>
          </w:divBdr>
        </w:div>
      </w:divsChild>
    </w:div>
    <w:div w:id="1827824052">
      <w:bodyDiv w:val="1"/>
      <w:marLeft w:val="0"/>
      <w:marRight w:val="0"/>
      <w:marTop w:val="0"/>
      <w:marBottom w:val="0"/>
      <w:divBdr>
        <w:top w:val="none" w:sz="0" w:space="0" w:color="auto"/>
        <w:left w:val="none" w:sz="0" w:space="0" w:color="auto"/>
        <w:bottom w:val="none" w:sz="0" w:space="0" w:color="auto"/>
        <w:right w:val="none" w:sz="0" w:space="0" w:color="auto"/>
      </w:divBdr>
    </w:div>
    <w:div w:id="1832911437">
      <w:bodyDiv w:val="1"/>
      <w:marLeft w:val="0"/>
      <w:marRight w:val="0"/>
      <w:marTop w:val="0"/>
      <w:marBottom w:val="0"/>
      <w:divBdr>
        <w:top w:val="none" w:sz="0" w:space="0" w:color="auto"/>
        <w:left w:val="none" w:sz="0" w:space="0" w:color="auto"/>
        <w:bottom w:val="none" w:sz="0" w:space="0" w:color="auto"/>
        <w:right w:val="none" w:sz="0" w:space="0" w:color="auto"/>
      </w:divBdr>
      <w:divsChild>
        <w:div w:id="1229926620">
          <w:marLeft w:val="0"/>
          <w:marRight w:val="0"/>
          <w:marTop w:val="0"/>
          <w:marBottom w:val="0"/>
          <w:divBdr>
            <w:top w:val="none" w:sz="0" w:space="0" w:color="auto"/>
            <w:left w:val="none" w:sz="0" w:space="0" w:color="auto"/>
            <w:bottom w:val="none" w:sz="0" w:space="0" w:color="auto"/>
            <w:right w:val="none" w:sz="0" w:space="0" w:color="auto"/>
          </w:divBdr>
          <w:divsChild>
            <w:div w:id="2138142834">
              <w:marLeft w:val="0"/>
              <w:marRight w:val="0"/>
              <w:marTop w:val="0"/>
              <w:marBottom w:val="0"/>
              <w:divBdr>
                <w:top w:val="none" w:sz="0" w:space="0" w:color="auto"/>
                <w:left w:val="none" w:sz="0" w:space="0" w:color="auto"/>
                <w:bottom w:val="none" w:sz="0" w:space="0" w:color="auto"/>
                <w:right w:val="none" w:sz="0" w:space="0" w:color="auto"/>
              </w:divBdr>
              <w:divsChild>
                <w:div w:id="23605915">
                  <w:marLeft w:val="0"/>
                  <w:marRight w:val="0"/>
                  <w:marTop w:val="0"/>
                  <w:marBottom w:val="0"/>
                  <w:divBdr>
                    <w:top w:val="none" w:sz="0" w:space="0" w:color="auto"/>
                    <w:left w:val="none" w:sz="0" w:space="0" w:color="auto"/>
                    <w:bottom w:val="none" w:sz="0" w:space="0" w:color="auto"/>
                    <w:right w:val="none" w:sz="0" w:space="0" w:color="auto"/>
                  </w:divBdr>
                  <w:divsChild>
                    <w:div w:id="256640831">
                      <w:marLeft w:val="0"/>
                      <w:marRight w:val="0"/>
                      <w:marTop w:val="120"/>
                      <w:marBottom w:val="0"/>
                      <w:divBdr>
                        <w:top w:val="none" w:sz="0" w:space="0" w:color="auto"/>
                        <w:left w:val="none" w:sz="0" w:space="0" w:color="auto"/>
                        <w:bottom w:val="none" w:sz="0" w:space="0" w:color="auto"/>
                        <w:right w:val="none" w:sz="0" w:space="0" w:color="auto"/>
                      </w:divBdr>
                    </w:div>
                    <w:div w:id="1930384977">
                      <w:marLeft w:val="0"/>
                      <w:marRight w:val="0"/>
                      <w:marTop w:val="0"/>
                      <w:marBottom w:val="0"/>
                      <w:divBdr>
                        <w:top w:val="none" w:sz="0" w:space="0" w:color="auto"/>
                        <w:left w:val="none" w:sz="0" w:space="0" w:color="auto"/>
                        <w:bottom w:val="none" w:sz="0" w:space="0" w:color="auto"/>
                        <w:right w:val="none" w:sz="0" w:space="0" w:color="auto"/>
                      </w:divBdr>
                    </w:div>
                  </w:divsChild>
                </w:div>
                <w:div w:id="803155898">
                  <w:marLeft w:val="0"/>
                  <w:marRight w:val="0"/>
                  <w:marTop w:val="0"/>
                  <w:marBottom w:val="0"/>
                  <w:divBdr>
                    <w:top w:val="none" w:sz="0" w:space="0" w:color="auto"/>
                    <w:left w:val="none" w:sz="0" w:space="0" w:color="auto"/>
                    <w:bottom w:val="none" w:sz="0" w:space="0" w:color="auto"/>
                    <w:right w:val="none" w:sz="0" w:space="0" w:color="auto"/>
                  </w:divBdr>
                  <w:divsChild>
                    <w:div w:id="772433014">
                      <w:marLeft w:val="0"/>
                      <w:marRight w:val="0"/>
                      <w:marTop w:val="0"/>
                      <w:marBottom w:val="0"/>
                      <w:divBdr>
                        <w:top w:val="none" w:sz="0" w:space="0" w:color="auto"/>
                        <w:left w:val="none" w:sz="0" w:space="0" w:color="auto"/>
                        <w:bottom w:val="none" w:sz="0" w:space="0" w:color="auto"/>
                        <w:right w:val="none" w:sz="0" w:space="0" w:color="auto"/>
                      </w:divBdr>
                    </w:div>
                    <w:div w:id="1280920185">
                      <w:marLeft w:val="0"/>
                      <w:marRight w:val="0"/>
                      <w:marTop w:val="120"/>
                      <w:marBottom w:val="0"/>
                      <w:divBdr>
                        <w:top w:val="none" w:sz="0" w:space="0" w:color="auto"/>
                        <w:left w:val="none" w:sz="0" w:space="0" w:color="auto"/>
                        <w:bottom w:val="none" w:sz="0" w:space="0" w:color="auto"/>
                        <w:right w:val="none" w:sz="0" w:space="0" w:color="auto"/>
                      </w:divBdr>
                    </w:div>
                  </w:divsChild>
                </w:div>
                <w:div w:id="1223295245">
                  <w:marLeft w:val="0"/>
                  <w:marRight w:val="0"/>
                  <w:marTop w:val="0"/>
                  <w:marBottom w:val="0"/>
                  <w:divBdr>
                    <w:top w:val="none" w:sz="0" w:space="0" w:color="auto"/>
                    <w:left w:val="none" w:sz="0" w:space="0" w:color="auto"/>
                    <w:bottom w:val="none" w:sz="0" w:space="0" w:color="auto"/>
                    <w:right w:val="none" w:sz="0" w:space="0" w:color="auto"/>
                  </w:divBdr>
                  <w:divsChild>
                    <w:div w:id="150416305">
                      <w:marLeft w:val="0"/>
                      <w:marRight w:val="0"/>
                      <w:marTop w:val="0"/>
                      <w:marBottom w:val="0"/>
                      <w:divBdr>
                        <w:top w:val="none" w:sz="0" w:space="0" w:color="auto"/>
                        <w:left w:val="none" w:sz="0" w:space="0" w:color="auto"/>
                        <w:bottom w:val="none" w:sz="0" w:space="0" w:color="auto"/>
                        <w:right w:val="none" w:sz="0" w:space="0" w:color="auto"/>
                      </w:divBdr>
                    </w:div>
                    <w:div w:id="1220556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7443686">
          <w:marLeft w:val="0"/>
          <w:marRight w:val="0"/>
          <w:marTop w:val="0"/>
          <w:marBottom w:val="0"/>
          <w:divBdr>
            <w:top w:val="none" w:sz="0" w:space="0" w:color="auto"/>
            <w:left w:val="none" w:sz="0" w:space="0" w:color="auto"/>
            <w:bottom w:val="none" w:sz="0" w:space="0" w:color="auto"/>
            <w:right w:val="none" w:sz="0" w:space="0" w:color="auto"/>
          </w:divBdr>
          <w:divsChild>
            <w:div w:id="16540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3139">
      <w:bodyDiv w:val="1"/>
      <w:marLeft w:val="0"/>
      <w:marRight w:val="0"/>
      <w:marTop w:val="0"/>
      <w:marBottom w:val="0"/>
      <w:divBdr>
        <w:top w:val="none" w:sz="0" w:space="0" w:color="auto"/>
        <w:left w:val="none" w:sz="0" w:space="0" w:color="auto"/>
        <w:bottom w:val="none" w:sz="0" w:space="0" w:color="auto"/>
        <w:right w:val="none" w:sz="0" w:space="0" w:color="auto"/>
      </w:divBdr>
    </w:div>
    <w:div w:id="1839807677">
      <w:bodyDiv w:val="1"/>
      <w:marLeft w:val="0"/>
      <w:marRight w:val="0"/>
      <w:marTop w:val="0"/>
      <w:marBottom w:val="0"/>
      <w:divBdr>
        <w:top w:val="none" w:sz="0" w:space="0" w:color="auto"/>
        <w:left w:val="none" w:sz="0" w:space="0" w:color="auto"/>
        <w:bottom w:val="none" w:sz="0" w:space="0" w:color="auto"/>
        <w:right w:val="none" w:sz="0" w:space="0" w:color="auto"/>
      </w:divBdr>
    </w:div>
    <w:div w:id="1897426078">
      <w:bodyDiv w:val="1"/>
      <w:marLeft w:val="0"/>
      <w:marRight w:val="0"/>
      <w:marTop w:val="0"/>
      <w:marBottom w:val="0"/>
      <w:divBdr>
        <w:top w:val="none" w:sz="0" w:space="0" w:color="auto"/>
        <w:left w:val="none" w:sz="0" w:space="0" w:color="auto"/>
        <w:bottom w:val="none" w:sz="0" w:space="0" w:color="auto"/>
        <w:right w:val="none" w:sz="0" w:space="0" w:color="auto"/>
      </w:divBdr>
      <w:divsChild>
        <w:div w:id="1994680303">
          <w:marLeft w:val="0"/>
          <w:marRight w:val="0"/>
          <w:marTop w:val="0"/>
          <w:marBottom w:val="0"/>
          <w:divBdr>
            <w:top w:val="none" w:sz="0" w:space="0" w:color="auto"/>
            <w:left w:val="none" w:sz="0" w:space="0" w:color="auto"/>
            <w:bottom w:val="none" w:sz="0" w:space="0" w:color="auto"/>
            <w:right w:val="none" w:sz="0" w:space="0" w:color="auto"/>
          </w:divBdr>
        </w:div>
      </w:divsChild>
    </w:div>
    <w:div w:id="1921329972">
      <w:bodyDiv w:val="1"/>
      <w:marLeft w:val="0"/>
      <w:marRight w:val="0"/>
      <w:marTop w:val="0"/>
      <w:marBottom w:val="0"/>
      <w:divBdr>
        <w:top w:val="none" w:sz="0" w:space="0" w:color="auto"/>
        <w:left w:val="none" w:sz="0" w:space="0" w:color="auto"/>
        <w:bottom w:val="none" w:sz="0" w:space="0" w:color="auto"/>
        <w:right w:val="none" w:sz="0" w:space="0" w:color="auto"/>
      </w:divBdr>
      <w:divsChild>
        <w:div w:id="6759913">
          <w:marLeft w:val="600"/>
          <w:marRight w:val="0"/>
          <w:marTop w:val="0"/>
          <w:marBottom w:val="0"/>
          <w:divBdr>
            <w:top w:val="none" w:sz="0" w:space="0" w:color="auto"/>
            <w:left w:val="none" w:sz="0" w:space="0" w:color="auto"/>
            <w:bottom w:val="none" w:sz="0" w:space="0" w:color="auto"/>
            <w:right w:val="none" w:sz="0" w:space="0" w:color="auto"/>
          </w:divBdr>
        </w:div>
        <w:div w:id="94635730">
          <w:marLeft w:val="600"/>
          <w:marRight w:val="0"/>
          <w:marTop w:val="0"/>
          <w:marBottom w:val="0"/>
          <w:divBdr>
            <w:top w:val="none" w:sz="0" w:space="0" w:color="auto"/>
            <w:left w:val="none" w:sz="0" w:space="0" w:color="auto"/>
            <w:bottom w:val="none" w:sz="0" w:space="0" w:color="auto"/>
            <w:right w:val="none" w:sz="0" w:space="0" w:color="auto"/>
          </w:divBdr>
        </w:div>
        <w:div w:id="514538899">
          <w:marLeft w:val="600"/>
          <w:marRight w:val="0"/>
          <w:marTop w:val="0"/>
          <w:marBottom w:val="0"/>
          <w:divBdr>
            <w:top w:val="none" w:sz="0" w:space="0" w:color="auto"/>
            <w:left w:val="none" w:sz="0" w:space="0" w:color="auto"/>
            <w:bottom w:val="none" w:sz="0" w:space="0" w:color="auto"/>
            <w:right w:val="none" w:sz="0" w:space="0" w:color="auto"/>
          </w:divBdr>
        </w:div>
        <w:div w:id="871962618">
          <w:marLeft w:val="600"/>
          <w:marRight w:val="0"/>
          <w:marTop w:val="0"/>
          <w:marBottom w:val="0"/>
          <w:divBdr>
            <w:top w:val="none" w:sz="0" w:space="0" w:color="auto"/>
            <w:left w:val="none" w:sz="0" w:space="0" w:color="auto"/>
            <w:bottom w:val="none" w:sz="0" w:space="0" w:color="auto"/>
            <w:right w:val="none" w:sz="0" w:space="0" w:color="auto"/>
          </w:divBdr>
        </w:div>
        <w:div w:id="907497310">
          <w:marLeft w:val="600"/>
          <w:marRight w:val="0"/>
          <w:marTop w:val="0"/>
          <w:marBottom w:val="0"/>
          <w:divBdr>
            <w:top w:val="none" w:sz="0" w:space="0" w:color="auto"/>
            <w:left w:val="none" w:sz="0" w:space="0" w:color="auto"/>
            <w:bottom w:val="none" w:sz="0" w:space="0" w:color="auto"/>
            <w:right w:val="none" w:sz="0" w:space="0" w:color="auto"/>
          </w:divBdr>
        </w:div>
        <w:div w:id="956638998">
          <w:marLeft w:val="600"/>
          <w:marRight w:val="0"/>
          <w:marTop w:val="0"/>
          <w:marBottom w:val="0"/>
          <w:divBdr>
            <w:top w:val="none" w:sz="0" w:space="0" w:color="auto"/>
            <w:left w:val="none" w:sz="0" w:space="0" w:color="auto"/>
            <w:bottom w:val="none" w:sz="0" w:space="0" w:color="auto"/>
            <w:right w:val="none" w:sz="0" w:space="0" w:color="auto"/>
          </w:divBdr>
        </w:div>
        <w:div w:id="1222015550">
          <w:marLeft w:val="600"/>
          <w:marRight w:val="0"/>
          <w:marTop w:val="0"/>
          <w:marBottom w:val="0"/>
          <w:divBdr>
            <w:top w:val="none" w:sz="0" w:space="0" w:color="auto"/>
            <w:left w:val="none" w:sz="0" w:space="0" w:color="auto"/>
            <w:bottom w:val="none" w:sz="0" w:space="0" w:color="auto"/>
            <w:right w:val="none" w:sz="0" w:space="0" w:color="auto"/>
          </w:divBdr>
        </w:div>
        <w:div w:id="1228952197">
          <w:marLeft w:val="600"/>
          <w:marRight w:val="0"/>
          <w:marTop w:val="0"/>
          <w:marBottom w:val="0"/>
          <w:divBdr>
            <w:top w:val="none" w:sz="0" w:space="0" w:color="auto"/>
            <w:left w:val="none" w:sz="0" w:space="0" w:color="auto"/>
            <w:bottom w:val="none" w:sz="0" w:space="0" w:color="auto"/>
            <w:right w:val="none" w:sz="0" w:space="0" w:color="auto"/>
          </w:divBdr>
        </w:div>
        <w:div w:id="1485705350">
          <w:marLeft w:val="600"/>
          <w:marRight w:val="0"/>
          <w:marTop w:val="0"/>
          <w:marBottom w:val="0"/>
          <w:divBdr>
            <w:top w:val="none" w:sz="0" w:space="0" w:color="auto"/>
            <w:left w:val="none" w:sz="0" w:space="0" w:color="auto"/>
            <w:bottom w:val="none" w:sz="0" w:space="0" w:color="auto"/>
            <w:right w:val="none" w:sz="0" w:space="0" w:color="auto"/>
          </w:divBdr>
        </w:div>
        <w:div w:id="1742092293">
          <w:marLeft w:val="600"/>
          <w:marRight w:val="0"/>
          <w:marTop w:val="0"/>
          <w:marBottom w:val="0"/>
          <w:divBdr>
            <w:top w:val="none" w:sz="0" w:space="0" w:color="auto"/>
            <w:left w:val="none" w:sz="0" w:space="0" w:color="auto"/>
            <w:bottom w:val="none" w:sz="0" w:space="0" w:color="auto"/>
            <w:right w:val="none" w:sz="0" w:space="0" w:color="auto"/>
          </w:divBdr>
        </w:div>
        <w:div w:id="1792094161">
          <w:marLeft w:val="600"/>
          <w:marRight w:val="0"/>
          <w:marTop w:val="0"/>
          <w:marBottom w:val="0"/>
          <w:divBdr>
            <w:top w:val="none" w:sz="0" w:space="0" w:color="auto"/>
            <w:left w:val="none" w:sz="0" w:space="0" w:color="auto"/>
            <w:bottom w:val="none" w:sz="0" w:space="0" w:color="auto"/>
            <w:right w:val="none" w:sz="0" w:space="0" w:color="auto"/>
          </w:divBdr>
        </w:div>
        <w:div w:id="1813134676">
          <w:marLeft w:val="600"/>
          <w:marRight w:val="0"/>
          <w:marTop w:val="0"/>
          <w:marBottom w:val="0"/>
          <w:divBdr>
            <w:top w:val="none" w:sz="0" w:space="0" w:color="auto"/>
            <w:left w:val="none" w:sz="0" w:space="0" w:color="auto"/>
            <w:bottom w:val="none" w:sz="0" w:space="0" w:color="auto"/>
            <w:right w:val="none" w:sz="0" w:space="0" w:color="auto"/>
          </w:divBdr>
        </w:div>
        <w:div w:id="2040005558">
          <w:marLeft w:val="600"/>
          <w:marRight w:val="0"/>
          <w:marTop w:val="0"/>
          <w:marBottom w:val="0"/>
          <w:divBdr>
            <w:top w:val="none" w:sz="0" w:space="0" w:color="auto"/>
            <w:left w:val="none" w:sz="0" w:space="0" w:color="auto"/>
            <w:bottom w:val="none" w:sz="0" w:space="0" w:color="auto"/>
            <w:right w:val="none" w:sz="0" w:space="0" w:color="auto"/>
          </w:divBdr>
        </w:div>
      </w:divsChild>
    </w:div>
    <w:div w:id="1923710723">
      <w:bodyDiv w:val="1"/>
      <w:marLeft w:val="0"/>
      <w:marRight w:val="0"/>
      <w:marTop w:val="0"/>
      <w:marBottom w:val="0"/>
      <w:divBdr>
        <w:top w:val="none" w:sz="0" w:space="0" w:color="auto"/>
        <w:left w:val="none" w:sz="0" w:space="0" w:color="auto"/>
        <w:bottom w:val="none" w:sz="0" w:space="0" w:color="auto"/>
        <w:right w:val="none" w:sz="0" w:space="0" w:color="auto"/>
      </w:divBdr>
    </w:div>
    <w:div w:id="1947226763">
      <w:bodyDiv w:val="1"/>
      <w:marLeft w:val="0"/>
      <w:marRight w:val="0"/>
      <w:marTop w:val="0"/>
      <w:marBottom w:val="0"/>
      <w:divBdr>
        <w:top w:val="none" w:sz="0" w:space="0" w:color="auto"/>
        <w:left w:val="none" w:sz="0" w:space="0" w:color="auto"/>
        <w:bottom w:val="none" w:sz="0" w:space="0" w:color="auto"/>
        <w:right w:val="none" w:sz="0" w:space="0" w:color="auto"/>
      </w:divBdr>
      <w:divsChild>
        <w:div w:id="251088022">
          <w:marLeft w:val="600"/>
          <w:marRight w:val="0"/>
          <w:marTop w:val="0"/>
          <w:marBottom w:val="0"/>
          <w:divBdr>
            <w:top w:val="none" w:sz="0" w:space="0" w:color="auto"/>
            <w:left w:val="none" w:sz="0" w:space="0" w:color="auto"/>
            <w:bottom w:val="none" w:sz="0" w:space="0" w:color="auto"/>
            <w:right w:val="none" w:sz="0" w:space="0" w:color="auto"/>
          </w:divBdr>
        </w:div>
        <w:div w:id="992638339">
          <w:marLeft w:val="600"/>
          <w:marRight w:val="0"/>
          <w:marTop w:val="0"/>
          <w:marBottom w:val="0"/>
          <w:divBdr>
            <w:top w:val="none" w:sz="0" w:space="0" w:color="auto"/>
            <w:left w:val="none" w:sz="0" w:space="0" w:color="auto"/>
            <w:bottom w:val="none" w:sz="0" w:space="0" w:color="auto"/>
            <w:right w:val="none" w:sz="0" w:space="0" w:color="auto"/>
          </w:divBdr>
        </w:div>
        <w:div w:id="1058285127">
          <w:marLeft w:val="600"/>
          <w:marRight w:val="0"/>
          <w:marTop w:val="0"/>
          <w:marBottom w:val="0"/>
          <w:divBdr>
            <w:top w:val="none" w:sz="0" w:space="0" w:color="auto"/>
            <w:left w:val="none" w:sz="0" w:space="0" w:color="auto"/>
            <w:bottom w:val="none" w:sz="0" w:space="0" w:color="auto"/>
            <w:right w:val="none" w:sz="0" w:space="0" w:color="auto"/>
          </w:divBdr>
        </w:div>
        <w:div w:id="1120031339">
          <w:marLeft w:val="600"/>
          <w:marRight w:val="0"/>
          <w:marTop w:val="0"/>
          <w:marBottom w:val="0"/>
          <w:divBdr>
            <w:top w:val="none" w:sz="0" w:space="0" w:color="auto"/>
            <w:left w:val="none" w:sz="0" w:space="0" w:color="auto"/>
            <w:bottom w:val="none" w:sz="0" w:space="0" w:color="auto"/>
            <w:right w:val="none" w:sz="0" w:space="0" w:color="auto"/>
          </w:divBdr>
        </w:div>
        <w:div w:id="1926062728">
          <w:marLeft w:val="600"/>
          <w:marRight w:val="0"/>
          <w:marTop w:val="0"/>
          <w:marBottom w:val="0"/>
          <w:divBdr>
            <w:top w:val="none" w:sz="0" w:space="0" w:color="auto"/>
            <w:left w:val="none" w:sz="0" w:space="0" w:color="auto"/>
            <w:bottom w:val="none" w:sz="0" w:space="0" w:color="auto"/>
            <w:right w:val="none" w:sz="0" w:space="0" w:color="auto"/>
          </w:divBdr>
        </w:div>
      </w:divsChild>
    </w:div>
    <w:div w:id="1952591106">
      <w:bodyDiv w:val="1"/>
      <w:marLeft w:val="0"/>
      <w:marRight w:val="0"/>
      <w:marTop w:val="0"/>
      <w:marBottom w:val="0"/>
      <w:divBdr>
        <w:top w:val="none" w:sz="0" w:space="0" w:color="auto"/>
        <w:left w:val="none" w:sz="0" w:space="0" w:color="auto"/>
        <w:bottom w:val="none" w:sz="0" w:space="0" w:color="auto"/>
        <w:right w:val="none" w:sz="0" w:space="0" w:color="auto"/>
      </w:divBdr>
    </w:div>
    <w:div w:id="1958025763">
      <w:bodyDiv w:val="1"/>
      <w:marLeft w:val="0"/>
      <w:marRight w:val="0"/>
      <w:marTop w:val="0"/>
      <w:marBottom w:val="0"/>
      <w:divBdr>
        <w:top w:val="none" w:sz="0" w:space="0" w:color="auto"/>
        <w:left w:val="none" w:sz="0" w:space="0" w:color="auto"/>
        <w:bottom w:val="none" w:sz="0" w:space="0" w:color="auto"/>
        <w:right w:val="none" w:sz="0" w:space="0" w:color="auto"/>
      </w:divBdr>
    </w:div>
    <w:div w:id="1973755675">
      <w:bodyDiv w:val="1"/>
      <w:marLeft w:val="0"/>
      <w:marRight w:val="0"/>
      <w:marTop w:val="0"/>
      <w:marBottom w:val="0"/>
      <w:divBdr>
        <w:top w:val="none" w:sz="0" w:space="0" w:color="auto"/>
        <w:left w:val="none" w:sz="0" w:space="0" w:color="auto"/>
        <w:bottom w:val="none" w:sz="0" w:space="0" w:color="auto"/>
        <w:right w:val="none" w:sz="0" w:space="0" w:color="auto"/>
      </w:divBdr>
    </w:div>
    <w:div w:id="1979996006">
      <w:bodyDiv w:val="1"/>
      <w:marLeft w:val="0"/>
      <w:marRight w:val="0"/>
      <w:marTop w:val="0"/>
      <w:marBottom w:val="0"/>
      <w:divBdr>
        <w:top w:val="none" w:sz="0" w:space="0" w:color="auto"/>
        <w:left w:val="none" w:sz="0" w:space="0" w:color="auto"/>
        <w:bottom w:val="none" w:sz="0" w:space="0" w:color="auto"/>
        <w:right w:val="none" w:sz="0" w:space="0" w:color="auto"/>
      </w:divBdr>
      <w:divsChild>
        <w:div w:id="399866047">
          <w:marLeft w:val="0"/>
          <w:marRight w:val="0"/>
          <w:marTop w:val="0"/>
          <w:marBottom w:val="0"/>
          <w:divBdr>
            <w:top w:val="none" w:sz="0" w:space="0" w:color="auto"/>
            <w:left w:val="none" w:sz="0" w:space="0" w:color="auto"/>
            <w:bottom w:val="none" w:sz="0" w:space="0" w:color="auto"/>
            <w:right w:val="none" w:sz="0" w:space="0" w:color="auto"/>
          </w:divBdr>
          <w:divsChild>
            <w:div w:id="708189687">
              <w:marLeft w:val="0"/>
              <w:marRight w:val="0"/>
              <w:marTop w:val="0"/>
              <w:marBottom w:val="0"/>
              <w:divBdr>
                <w:top w:val="none" w:sz="0" w:space="0" w:color="auto"/>
                <w:left w:val="none" w:sz="0" w:space="0" w:color="auto"/>
                <w:bottom w:val="none" w:sz="0" w:space="0" w:color="auto"/>
                <w:right w:val="none" w:sz="0" w:space="0" w:color="auto"/>
              </w:divBdr>
            </w:div>
          </w:divsChild>
        </w:div>
        <w:div w:id="640156089">
          <w:marLeft w:val="0"/>
          <w:marRight w:val="0"/>
          <w:marTop w:val="0"/>
          <w:marBottom w:val="0"/>
          <w:divBdr>
            <w:top w:val="none" w:sz="0" w:space="0" w:color="auto"/>
            <w:left w:val="none" w:sz="0" w:space="0" w:color="auto"/>
            <w:bottom w:val="none" w:sz="0" w:space="0" w:color="auto"/>
            <w:right w:val="none" w:sz="0" w:space="0" w:color="auto"/>
          </w:divBdr>
          <w:divsChild>
            <w:div w:id="1839883395">
              <w:marLeft w:val="0"/>
              <w:marRight w:val="0"/>
              <w:marTop w:val="0"/>
              <w:marBottom w:val="0"/>
              <w:divBdr>
                <w:top w:val="none" w:sz="0" w:space="0" w:color="auto"/>
                <w:left w:val="none" w:sz="0" w:space="0" w:color="auto"/>
                <w:bottom w:val="none" w:sz="0" w:space="0" w:color="auto"/>
                <w:right w:val="none" w:sz="0" w:space="0" w:color="auto"/>
              </w:divBdr>
            </w:div>
          </w:divsChild>
        </w:div>
        <w:div w:id="697269992">
          <w:marLeft w:val="0"/>
          <w:marRight w:val="0"/>
          <w:marTop w:val="0"/>
          <w:marBottom w:val="0"/>
          <w:divBdr>
            <w:top w:val="none" w:sz="0" w:space="0" w:color="auto"/>
            <w:left w:val="none" w:sz="0" w:space="0" w:color="auto"/>
            <w:bottom w:val="none" w:sz="0" w:space="0" w:color="auto"/>
            <w:right w:val="none" w:sz="0" w:space="0" w:color="auto"/>
          </w:divBdr>
          <w:divsChild>
            <w:div w:id="604114416">
              <w:marLeft w:val="0"/>
              <w:marRight w:val="0"/>
              <w:marTop w:val="0"/>
              <w:marBottom w:val="0"/>
              <w:divBdr>
                <w:top w:val="none" w:sz="0" w:space="0" w:color="auto"/>
                <w:left w:val="none" w:sz="0" w:space="0" w:color="auto"/>
                <w:bottom w:val="none" w:sz="0" w:space="0" w:color="auto"/>
                <w:right w:val="none" w:sz="0" w:space="0" w:color="auto"/>
              </w:divBdr>
            </w:div>
          </w:divsChild>
        </w:div>
        <w:div w:id="1733314456">
          <w:marLeft w:val="0"/>
          <w:marRight w:val="0"/>
          <w:marTop w:val="0"/>
          <w:marBottom w:val="0"/>
          <w:divBdr>
            <w:top w:val="none" w:sz="0" w:space="0" w:color="auto"/>
            <w:left w:val="none" w:sz="0" w:space="0" w:color="auto"/>
            <w:bottom w:val="none" w:sz="0" w:space="0" w:color="auto"/>
            <w:right w:val="none" w:sz="0" w:space="0" w:color="auto"/>
          </w:divBdr>
          <w:divsChild>
            <w:div w:id="9537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115">
      <w:bodyDiv w:val="1"/>
      <w:marLeft w:val="0"/>
      <w:marRight w:val="0"/>
      <w:marTop w:val="0"/>
      <w:marBottom w:val="0"/>
      <w:divBdr>
        <w:top w:val="none" w:sz="0" w:space="0" w:color="auto"/>
        <w:left w:val="none" w:sz="0" w:space="0" w:color="auto"/>
        <w:bottom w:val="none" w:sz="0" w:space="0" w:color="auto"/>
        <w:right w:val="none" w:sz="0" w:space="0" w:color="auto"/>
      </w:divBdr>
      <w:divsChild>
        <w:div w:id="82576152">
          <w:marLeft w:val="600"/>
          <w:marRight w:val="0"/>
          <w:marTop w:val="0"/>
          <w:marBottom w:val="0"/>
          <w:divBdr>
            <w:top w:val="none" w:sz="0" w:space="0" w:color="auto"/>
            <w:left w:val="none" w:sz="0" w:space="0" w:color="auto"/>
            <w:bottom w:val="none" w:sz="0" w:space="0" w:color="auto"/>
            <w:right w:val="none" w:sz="0" w:space="0" w:color="auto"/>
          </w:divBdr>
        </w:div>
        <w:div w:id="839664274">
          <w:marLeft w:val="600"/>
          <w:marRight w:val="0"/>
          <w:marTop w:val="0"/>
          <w:marBottom w:val="0"/>
          <w:divBdr>
            <w:top w:val="none" w:sz="0" w:space="0" w:color="auto"/>
            <w:left w:val="none" w:sz="0" w:space="0" w:color="auto"/>
            <w:bottom w:val="none" w:sz="0" w:space="0" w:color="auto"/>
            <w:right w:val="none" w:sz="0" w:space="0" w:color="auto"/>
          </w:divBdr>
        </w:div>
        <w:div w:id="1127972830">
          <w:marLeft w:val="600"/>
          <w:marRight w:val="0"/>
          <w:marTop w:val="0"/>
          <w:marBottom w:val="0"/>
          <w:divBdr>
            <w:top w:val="none" w:sz="0" w:space="0" w:color="auto"/>
            <w:left w:val="none" w:sz="0" w:space="0" w:color="auto"/>
            <w:bottom w:val="none" w:sz="0" w:space="0" w:color="auto"/>
            <w:right w:val="none" w:sz="0" w:space="0" w:color="auto"/>
          </w:divBdr>
        </w:div>
        <w:div w:id="1270578895">
          <w:marLeft w:val="600"/>
          <w:marRight w:val="0"/>
          <w:marTop w:val="0"/>
          <w:marBottom w:val="0"/>
          <w:divBdr>
            <w:top w:val="none" w:sz="0" w:space="0" w:color="auto"/>
            <w:left w:val="none" w:sz="0" w:space="0" w:color="auto"/>
            <w:bottom w:val="none" w:sz="0" w:space="0" w:color="auto"/>
            <w:right w:val="none" w:sz="0" w:space="0" w:color="auto"/>
          </w:divBdr>
        </w:div>
        <w:div w:id="1289239339">
          <w:marLeft w:val="600"/>
          <w:marRight w:val="0"/>
          <w:marTop w:val="0"/>
          <w:marBottom w:val="0"/>
          <w:divBdr>
            <w:top w:val="none" w:sz="0" w:space="0" w:color="auto"/>
            <w:left w:val="none" w:sz="0" w:space="0" w:color="auto"/>
            <w:bottom w:val="none" w:sz="0" w:space="0" w:color="auto"/>
            <w:right w:val="none" w:sz="0" w:space="0" w:color="auto"/>
          </w:divBdr>
        </w:div>
        <w:div w:id="1545677212">
          <w:marLeft w:val="600"/>
          <w:marRight w:val="0"/>
          <w:marTop w:val="0"/>
          <w:marBottom w:val="0"/>
          <w:divBdr>
            <w:top w:val="none" w:sz="0" w:space="0" w:color="auto"/>
            <w:left w:val="none" w:sz="0" w:space="0" w:color="auto"/>
            <w:bottom w:val="none" w:sz="0" w:space="0" w:color="auto"/>
            <w:right w:val="none" w:sz="0" w:space="0" w:color="auto"/>
          </w:divBdr>
        </w:div>
        <w:div w:id="1618827923">
          <w:marLeft w:val="600"/>
          <w:marRight w:val="0"/>
          <w:marTop w:val="0"/>
          <w:marBottom w:val="0"/>
          <w:divBdr>
            <w:top w:val="none" w:sz="0" w:space="0" w:color="auto"/>
            <w:left w:val="none" w:sz="0" w:space="0" w:color="auto"/>
            <w:bottom w:val="none" w:sz="0" w:space="0" w:color="auto"/>
            <w:right w:val="none" w:sz="0" w:space="0" w:color="auto"/>
          </w:divBdr>
        </w:div>
        <w:div w:id="1623657012">
          <w:marLeft w:val="600"/>
          <w:marRight w:val="0"/>
          <w:marTop w:val="0"/>
          <w:marBottom w:val="0"/>
          <w:divBdr>
            <w:top w:val="none" w:sz="0" w:space="0" w:color="auto"/>
            <w:left w:val="none" w:sz="0" w:space="0" w:color="auto"/>
            <w:bottom w:val="none" w:sz="0" w:space="0" w:color="auto"/>
            <w:right w:val="none" w:sz="0" w:space="0" w:color="auto"/>
          </w:divBdr>
        </w:div>
        <w:div w:id="1794976572">
          <w:marLeft w:val="600"/>
          <w:marRight w:val="0"/>
          <w:marTop w:val="0"/>
          <w:marBottom w:val="0"/>
          <w:divBdr>
            <w:top w:val="none" w:sz="0" w:space="0" w:color="auto"/>
            <w:left w:val="none" w:sz="0" w:space="0" w:color="auto"/>
            <w:bottom w:val="none" w:sz="0" w:space="0" w:color="auto"/>
            <w:right w:val="none" w:sz="0" w:space="0" w:color="auto"/>
          </w:divBdr>
        </w:div>
        <w:div w:id="1839420698">
          <w:marLeft w:val="600"/>
          <w:marRight w:val="0"/>
          <w:marTop w:val="0"/>
          <w:marBottom w:val="0"/>
          <w:divBdr>
            <w:top w:val="none" w:sz="0" w:space="0" w:color="auto"/>
            <w:left w:val="none" w:sz="0" w:space="0" w:color="auto"/>
            <w:bottom w:val="none" w:sz="0" w:space="0" w:color="auto"/>
            <w:right w:val="none" w:sz="0" w:space="0" w:color="auto"/>
          </w:divBdr>
        </w:div>
        <w:div w:id="2058356574">
          <w:marLeft w:val="720"/>
          <w:marRight w:val="0"/>
          <w:marTop w:val="0"/>
          <w:marBottom w:val="0"/>
          <w:divBdr>
            <w:top w:val="none" w:sz="0" w:space="0" w:color="auto"/>
            <w:left w:val="none" w:sz="0" w:space="0" w:color="auto"/>
            <w:bottom w:val="none" w:sz="0" w:space="0" w:color="auto"/>
            <w:right w:val="none" w:sz="0" w:space="0" w:color="auto"/>
          </w:divBdr>
        </w:div>
      </w:divsChild>
    </w:div>
    <w:div w:id="2064134860">
      <w:bodyDiv w:val="1"/>
      <w:marLeft w:val="0"/>
      <w:marRight w:val="0"/>
      <w:marTop w:val="0"/>
      <w:marBottom w:val="0"/>
      <w:divBdr>
        <w:top w:val="none" w:sz="0" w:space="0" w:color="auto"/>
        <w:left w:val="none" w:sz="0" w:space="0" w:color="auto"/>
        <w:bottom w:val="none" w:sz="0" w:space="0" w:color="auto"/>
        <w:right w:val="none" w:sz="0" w:space="0" w:color="auto"/>
      </w:divBdr>
      <w:divsChild>
        <w:div w:id="1642270644">
          <w:marLeft w:val="600"/>
          <w:marRight w:val="0"/>
          <w:marTop w:val="0"/>
          <w:marBottom w:val="0"/>
          <w:divBdr>
            <w:top w:val="none" w:sz="0" w:space="0" w:color="auto"/>
            <w:left w:val="none" w:sz="0" w:space="0" w:color="auto"/>
            <w:bottom w:val="none" w:sz="0" w:space="0" w:color="auto"/>
            <w:right w:val="none" w:sz="0" w:space="0" w:color="auto"/>
          </w:divBdr>
        </w:div>
        <w:div w:id="1998458784">
          <w:marLeft w:val="600"/>
          <w:marRight w:val="0"/>
          <w:marTop w:val="0"/>
          <w:marBottom w:val="0"/>
          <w:divBdr>
            <w:top w:val="none" w:sz="0" w:space="0" w:color="auto"/>
            <w:left w:val="none" w:sz="0" w:space="0" w:color="auto"/>
            <w:bottom w:val="none" w:sz="0" w:space="0" w:color="auto"/>
            <w:right w:val="none" w:sz="0" w:space="0" w:color="auto"/>
          </w:divBdr>
        </w:div>
        <w:div w:id="2083133718">
          <w:marLeft w:val="600"/>
          <w:marRight w:val="0"/>
          <w:marTop w:val="0"/>
          <w:marBottom w:val="0"/>
          <w:divBdr>
            <w:top w:val="none" w:sz="0" w:space="0" w:color="auto"/>
            <w:left w:val="none" w:sz="0" w:space="0" w:color="auto"/>
            <w:bottom w:val="none" w:sz="0" w:space="0" w:color="auto"/>
            <w:right w:val="none" w:sz="0" w:space="0" w:color="auto"/>
          </w:divBdr>
        </w:div>
      </w:divsChild>
    </w:div>
    <w:div w:id="2064451343">
      <w:bodyDiv w:val="1"/>
      <w:marLeft w:val="0"/>
      <w:marRight w:val="0"/>
      <w:marTop w:val="0"/>
      <w:marBottom w:val="0"/>
      <w:divBdr>
        <w:top w:val="none" w:sz="0" w:space="0" w:color="auto"/>
        <w:left w:val="none" w:sz="0" w:space="0" w:color="auto"/>
        <w:bottom w:val="none" w:sz="0" w:space="0" w:color="auto"/>
        <w:right w:val="none" w:sz="0" w:space="0" w:color="auto"/>
      </w:divBdr>
    </w:div>
    <w:div w:id="21018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74/14850"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s://www.esma.europa.eu/supervision/supervision" TargetMode="External"/><Relationship Id="rId1" Type="http://schemas.openxmlformats.org/officeDocument/2006/relationships/hyperlink" Target="https://eur-lex.europa.eu/legal-content/EN/TXT/?uri=CELEX:52021DC0390" TargetMode="External"/><Relationship Id="rId6" Type="http://schemas.openxmlformats.org/officeDocument/2006/relationships/hyperlink" Target="https://www.iosco.org/library/pubdocs/pdf/IOSCOPD690.pdf" TargetMode="External"/><Relationship Id="rId5" Type="http://schemas.openxmlformats.org/officeDocument/2006/relationships/hyperlink" Target="https://www.iosco.org/library/pubdocs/pdf/IOSCOPD690.pdf" TargetMode="External"/><Relationship Id="rId4" Type="http://schemas.openxmlformats.org/officeDocument/2006/relationships/hyperlink" Target="https://eur-lex.europa.eu/legal-content/EN/TXT/?uri=CELEX:52021DC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7220-B6A5-4BA1-BEFE-9CFF446D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77</Pages>
  <Words>26406</Words>
  <Characters>143654</Characters>
  <Application>Microsoft Office Word</Application>
  <DocSecurity>0</DocSecurity>
  <Lines>3264</Lines>
  <Paragraphs>1393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168667</CharactersWithSpaces>
  <SharedDoc>false</SharedDoc>
  <HLinks>
    <vt:vector size="30" baseType="variant">
      <vt:variant>
        <vt:i4>720977</vt:i4>
      </vt:variant>
      <vt:variant>
        <vt:i4>12</vt:i4>
      </vt:variant>
      <vt:variant>
        <vt:i4>0</vt:i4>
      </vt:variant>
      <vt:variant>
        <vt:i4>5</vt:i4>
      </vt:variant>
      <vt:variant>
        <vt:lpwstr>https://www.iosco.org/library/pubdocs/pdf/IOSCOPD690.pdf</vt:lpwstr>
      </vt:variant>
      <vt:variant>
        <vt:lpwstr/>
      </vt:variant>
      <vt:variant>
        <vt:i4>589846</vt:i4>
      </vt:variant>
      <vt:variant>
        <vt:i4>9</vt:i4>
      </vt:variant>
      <vt:variant>
        <vt:i4>0</vt:i4>
      </vt:variant>
      <vt:variant>
        <vt:i4>5</vt:i4>
      </vt:variant>
      <vt:variant>
        <vt:lpwstr>https://eur-lex.europa.eu/legal-content/EN/TXT/?uri=CELEX:52021DC0390</vt:lpwstr>
      </vt:variant>
      <vt:variant>
        <vt:lpwstr/>
      </vt:variant>
      <vt:variant>
        <vt:i4>655380</vt:i4>
      </vt:variant>
      <vt:variant>
        <vt:i4>6</vt:i4>
      </vt:variant>
      <vt:variant>
        <vt:i4>0</vt:i4>
      </vt:variant>
      <vt:variant>
        <vt:i4>5</vt:i4>
      </vt:variant>
      <vt:variant>
        <vt:lpwstr>https://data.europa.eu/doi/10.2874/14850</vt:lpwstr>
      </vt:variant>
      <vt:variant>
        <vt:lpwstr/>
      </vt:variant>
      <vt:variant>
        <vt:i4>3932286</vt:i4>
      </vt:variant>
      <vt:variant>
        <vt:i4>3</vt:i4>
      </vt:variant>
      <vt:variant>
        <vt:i4>0</vt:i4>
      </vt:variant>
      <vt:variant>
        <vt:i4>5</vt:i4>
      </vt:variant>
      <vt:variant>
        <vt:lpwstr>https://www.esma.europa.eu/supervision/supervision</vt:lpwstr>
      </vt:variant>
      <vt:variant>
        <vt:lpwstr>:~:text=Risk%2Dbased%20supervision%20refers%20to,managing%20the%20risks%20identified%3B%20and</vt:lpwstr>
      </vt:variant>
      <vt:variant>
        <vt:i4>589846</vt:i4>
      </vt:variant>
      <vt:variant>
        <vt:i4>0</vt:i4>
      </vt:variant>
      <vt:variant>
        <vt:i4>0</vt:i4>
      </vt:variant>
      <vt:variant>
        <vt:i4>5</vt:i4>
      </vt:variant>
      <vt:variant>
        <vt:lpwstr>https://eur-lex.europa.eu/legal-content/EN/TXT/?uri=CELEX:52021DC0390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2023-07-07T15:48:00Z</dcterms:created>
  <dcterms:modified xsi:type="dcterms:W3CDTF">2023-07-07T15:48:00Z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2023-06-10T18:34:19Z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4e4e3659-95cd-4d5b-9fbb-33d82d3f9bf2</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Yellow (DQC version 03)</vt:lpwstr>
  </property>
</Properties>
</file>