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336EC" w14:textId="19B71615" w:rsidR="00F5602F" w:rsidRPr="00BF1AA9" w:rsidRDefault="00A90553" w:rsidP="00A90553">
      <w:pPr>
        <w:pStyle w:val="Pagedecouverture"/>
        <w:rPr>
          <w:noProof/>
        </w:rPr>
      </w:pPr>
      <w:bookmarkStart w:id="0" w:name="LW_BM_COVERPAGE"/>
      <w:r>
        <w:rPr>
          <w:noProof/>
        </w:rPr>
        <w:pict w14:anchorId="05424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CB15D2A0-63A8-4561-855C-50BCFB3E9C96" style="width:455.25pt;height:383.25pt">
            <v:imagedata r:id="rId7" o:title=""/>
          </v:shape>
        </w:pict>
      </w:r>
    </w:p>
    <w:bookmarkEnd w:id="0"/>
    <w:p w14:paraId="611EE54F" w14:textId="77777777" w:rsidR="00F5602F" w:rsidRPr="00BF1AA9" w:rsidRDefault="00F5602F" w:rsidP="00377968">
      <w:pPr>
        <w:jc w:val="both"/>
        <w:rPr>
          <w:noProof/>
        </w:rPr>
        <w:sectPr w:rsidR="00F5602F" w:rsidRPr="00BF1AA9" w:rsidSect="00A90553">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299"/>
        </w:sectPr>
      </w:pPr>
    </w:p>
    <w:p w14:paraId="794FDEEA" w14:textId="77777777" w:rsidR="00F5602F" w:rsidRPr="00BF1AA9" w:rsidRDefault="00874A74" w:rsidP="00874A74">
      <w:pPr>
        <w:spacing w:after="200" w:line="276" w:lineRule="auto"/>
        <w:jc w:val="center"/>
        <w:rPr>
          <w:rFonts w:ascii="Times New Roman" w:hAnsi="Times New Roman" w:cs="Times New Roman"/>
          <w:b/>
          <w:noProof/>
          <w:sz w:val="28"/>
          <w:szCs w:val="28"/>
          <w:u w:val="single"/>
        </w:rPr>
      </w:pPr>
      <w:bookmarkStart w:id="1" w:name="_GoBack"/>
      <w:bookmarkEnd w:id="1"/>
      <w:r w:rsidRPr="00BF1AA9">
        <w:rPr>
          <w:rFonts w:ascii="Times New Roman" w:hAnsi="Times New Roman"/>
          <w:b/>
          <w:noProof/>
          <w:sz w:val="28"/>
          <w:u w:val="single"/>
        </w:rPr>
        <w:lastRenderedPageBreak/>
        <w:t>ZAŁĄCZNIK I</w:t>
      </w:r>
      <w:r w:rsidRPr="00BF1AA9">
        <w:rPr>
          <w:noProof/>
        </w:rPr>
        <w:t xml:space="preserve"> </w:t>
      </w:r>
      <w:r w:rsidRPr="00BF1AA9">
        <w:rPr>
          <w:noProof/>
        </w:rPr>
        <w:br/>
      </w:r>
      <w:r w:rsidRPr="00BF1AA9">
        <w:rPr>
          <w:rFonts w:ascii="Times New Roman" w:hAnsi="Times New Roman"/>
          <w:b/>
          <w:noProof/>
          <w:sz w:val="28"/>
          <w:u w:val="single"/>
        </w:rPr>
        <w:t>ELEMENTY EUIBM</w:t>
      </w:r>
    </w:p>
    <w:p w14:paraId="0827A156" w14:textId="77777777" w:rsidR="00F5602F" w:rsidRPr="00BF1AA9" w:rsidRDefault="00F5602F" w:rsidP="00377968">
      <w:pPr>
        <w:jc w:val="both"/>
        <w:rPr>
          <w:noProof/>
        </w:rPr>
      </w:pPr>
    </w:p>
    <w:p w14:paraId="73650A20" w14:textId="6CC8CC64" w:rsidR="00F5602F" w:rsidRPr="00BF1AA9" w:rsidRDefault="00F5602F" w:rsidP="00377968">
      <w:pPr>
        <w:spacing w:after="200" w:line="276" w:lineRule="auto"/>
        <w:contextualSpacing/>
        <w:jc w:val="both"/>
        <w:rPr>
          <w:rFonts w:ascii="Times New Roman" w:eastAsia="Calibri" w:hAnsi="Times New Roman" w:cs="Times New Roman"/>
          <w:b/>
          <w:smallCaps/>
          <w:noProof/>
          <w:color w:val="000000"/>
          <w:sz w:val="28"/>
          <w:szCs w:val="28"/>
          <w:u w:val="single"/>
        </w:rPr>
      </w:pPr>
      <w:r w:rsidRPr="00BF1AA9">
        <w:rPr>
          <w:rFonts w:ascii="Times New Roman" w:hAnsi="Times New Roman"/>
          <w:b/>
          <w:smallCaps/>
          <w:noProof/>
          <w:color w:val="000000"/>
          <w:sz w:val="28"/>
          <w:u w:val="single"/>
        </w:rPr>
        <w:t>Priorytety polityki</w:t>
      </w:r>
      <w:r w:rsidR="00BF1AA9" w:rsidRPr="00BF1AA9">
        <w:rPr>
          <w:rFonts w:ascii="Times New Roman" w:hAnsi="Times New Roman"/>
          <w:b/>
          <w:smallCaps/>
          <w:noProof/>
          <w:color w:val="000000"/>
          <w:sz w:val="28"/>
          <w:u w:val="single"/>
        </w:rPr>
        <w:t xml:space="preserve"> i</w:t>
      </w:r>
      <w:r w:rsidR="00BF1AA9">
        <w:rPr>
          <w:rFonts w:ascii="Times New Roman" w:hAnsi="Times New Roman"/>
          <w:b/>
          <w:smallCaps/>
          <w:noProof/>
          <w:color w:val="000000"/>
          <w:sz w:val="28"/>
          <w:u w:val="single"/>
        </w:rPr>
        <w:t> </w:t>
      </w:r>
      <w:r w:rsidR="00BF1AA9" w:rsidRPr="00BF1AA9">
        <w:rPr>
          <w:rFonts w:ascii="Times New Roman" w:hAnsi="Times New Roman"/>
          <w:b/>
          <w:smallCaps/>
          <w:noProof/>
          <w:color w:val="000000"/>
          <w:sz w:val="28"/>
          <w:u w:val="single"/>
        </w:rPr>
        <w:t>wyt</w:t>
      </w:r>
      <w:r w:rsidRPr="00BF1AA9">
        <w:rPr>
          <w:rFonts w:ascii="Times New Roman" w:hAnsi="Times New Roman"/>
          <w:b/>
          <w:smallCaps/>
          <w:noProof/>
          <w:color w:val="000000"/>
          <w:sz w:val="28"/>
          <w:u w:val="single"/>
        </w:rPr>
        <w:t>yczne strategiczne dotyczące elementów europejskiego zintegrowanego zarządzania granicami</w:t>
      </w:r>
    </w:p>
    <w:p w14:paraId="06425C13"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3AD2EE7D" w14:textId="751139FA" w:rsidR="00F5602F" w:rsidRPr="00BF1AA9" w:rsidRDefault="00F5602F" w:rsidP="00377968">
      <w:pPr>
        <w:spacing w:after="0" w:line="276" w:lineRule="auto"/>
        <w:jc w:val="both"/>
        <w:rPr>
          <w:rFonts w:ascii="Times New Roman" w:eastAsia="Times New Roman" w:hAnsi="Times New Roman" w:cs="Times New Roman"/>
          <w:noProof/>
          <w:color w:val="000000"/>
          <w:sz w:val="24"/>
          <w:szCs w:val="24"/>
          <w:bdr w:val="none" w:sz="0" w:space="0" w:color="auto" w:frame="1"/>
          <w:shd w:val="clear" w:color="auto" w:fill="FFFFFF"/>
        </w:rPr>
      </w:pPr>
      <w:r w:rsidRPr="00BF1AA9">
        <w:rPr>
          <w:rFonts w:ascii="Times New Roman" w:hAnsi="Times New Roman"/>
          <w:noProof/>
          <w:sz w:val="24"/>
        </w:rPr>
        <w:t>W rozporządzeniu (UE) 2019/1896 wymieniono 15 elementów</w:t>
      </w:r>
      <w:r w:rsidRPr="00BF1AA9">
        <w:rPr>
          <w:rStyle w:val="FootnoteReference"/>
          <w:rFonts w:ascii="Times New Roman" w:eastAsia="Calibri" w:hAnsi="Times New Roman" w:cs="Times New Roman"/>
          <w:noProof/>
          <w:sz w:val="24"/>
          <w:szCs w:val="24"/>
        </w:rPr>
        <w:footnoteReference w:id="1"/>
      </w:r>
      <w:r w:rsidRPr="00BF1AA9">
        <w:rPr>
          <w:rFonts w:ascii="Times New Roman" w:hAnsi="Times New Roman"/>
          <w:noProof/>
          <w:sz w:val="24"/>
        </w:rPr>
        <w:t xml:space="preserve"> służących ustanowieniu europejskiego zintegrowanego zarządzania granicami (EUIBM).</w:t>
      </w:r>
      <w:r w:rsidRPr="00BF1AA9">
        <w:rPr>
          <w:rFonts w:ascii="Times New Roman" w:hAnsi="Times New Roman"/>
          <w:noProof/>
          <w:color w:val="000000"/>
          <w:sz w:val="24"/>
          <w:bdr w:val="none" w:sz="0" w:space="0" w:color="auto" w:frame="1"/>
          <w:shd w:val="clear" w:color="auto" w:fill="FFFFFF"/>
        </w:rPr>
        <w:t xml:space="preserve"> Zgodnie</w:t>
      </w:r>
      <w:r w:rsidR="00BF1AA9" w:rsidRPr="00BF1AA9">
        <w:rPr>
          <w:rFonts w:ascii="Times New Roman" w:hAnsi="Times New Roman"/>
          <w:noProof/>
          <w:color w:val="000000"/>
          <w:sz w:val="24"/>
          <w:bdr w:val="none" w:sz="0" w:space="0" w:color="auto" w:frame="1"/>
          <w:shd w:val="clear" w:color="auto" w:fill="FFFFFF"/>
        </w:rPr>
        <w:t xml:space="preserve"> z</w:t>
      </w:r>
      <w:r w:rsidR="00BF1AA9">
        <w:rPr>
          <w:rFonts w:ascii="Times New Roman" w:hAnsi="Times New Roman"/>
          <w:noProof/>
          <w:color w:val="000000"/>
          <w:sz w:val="24"/>
          <w:bdr w:val="none" w:sz="0" w:space="0" w:color="auto" w:frame="1"/>
          <w:shd w:val="clear" w:color="auto" w:fill="FFFFFF"/>
        </w:rPr>
        <w:t> </w:t>
      </w:r>
      <w:r w:rsidR="00BF1AA9" w:rsidRPr="00BF1AA9">
        <w:rPr>
          <w:rFonts w:ascii="Times New Roman" w:hAnsi="Times New Roman"/>
          <w:noProof/>
          <w:color w:val="000000"/>
          <w:sz w:val="24"/>
          <w:bdr w:val="none" w:sz="0" w:space="0" w:color="auto" w:frame="1"/>
          <w:shd w:val="clear" w:color="auto" w:fill="FFFFFF"/>
        </w:rPr>
        <w:t>art</w:t>
      </w:r>
      <w:r w:rsidRPr="00BF1AA9">
        <w:rPr>
          <w:rFonts w:ascii="Times New Roman" w:hAnsi="Times New Roman"/>
          <w:noProof/>
          <w:color w:val="000000"/>
          <w:sz w:val="24"/>
          <w:bdr w:val="none" w:sz="0" w:space="0" w:color="auto" w:frame="1"/>
          <w:shd w:val="clear" w:color="auto" w:fill="FFFFFF"/>
        </w:rPr>
        <w:t>.</w:t>
      </w:r>
      <w:r w:rsidR="00BF1AA9" w:rsidRPr="00BF1AA9">
        <w:rPr>
          <w:rFonts w:ascii="Times New Roman" w:hAnsi="Times New Roman"/>
          <w:noProof/>
          <w:color w:val="000000"/>
          <w:sz w:val="24"/>
          <w:bdr w:val="none" w:sz="0" w:space="0" w:color="auto" w:frame="1"/>
          <w:shd w:val="clear" w:color="auto" w:fill="FFFFFF"/>
        </w:rPr>
        <w:t> </w:t>
      </w:r>
      <w:r w:rsidRPr="00BF1AA9">
        <w:rPr>
          <w:rFonts w:ascii="Times New Roman" w:hAnsi="Times New Roman"/>
          <w:noProof/>
          <w:color w:val="000000"/>
          <w:sz w:val="24"/>
          <w:bdr w:val="none" w:sz="0" w:space="0" w:color="auto" w:frame="1"/>
          <w:shd w:val="clear" w:color="auto" w:fill="FFFFFF"/>
        </w:rPr>
        <w:t>8 ust.</w:t>
      </w:r>
      <w:r w:rsidR="00BF1AA9" w:rsidRPr="00BF1AA9">
        <w:rPr>
          <w:rFonts w:ascii="Times New Roman" w:hAnsi="Times New Roman"/>
          <w:noProof/>
          <w:color w:val="000000"/>
          <w:sz w:val="24"/>
          <w:bdr w:val="none" w:sz="0" w:space="0" w:color="auto" w:frame="1"/>
          <w:shd w:val="clear" w:color="auto" w:fill="FFFFFF"/>
        </w:rPr>
        <w:t> </w:t>
      </w:r>
      <w:r w:rsidRPr="00BF1AA9">
        <w:rPr>
          <w:rFonts w:ascii="Times New Roman" w:hAnsi="Times New Roman"/>
          <w:noProof/>
          <w:color w:val="000000"/>
          <w:sz w:val="24"/>
          <w:bdr w:val="none" w:sz="0" w:space="0" w:color="auto" w:frame="1"/>
          <w:shd w:val="clear" w:color="auto" w:fill="FFFFFF"/>
        </w:rPr>
        <w:t>2</w:t>
      </w:r>
      <w:r w:rsidRPr="00BF1AA9">
        <w:rPr>
          <w:rFonts w:ascii="Times New Roman" w:hAnsi="Times New Roman"/>
          <w:noProof/>
          <w:sz w:val="24"/>
        </w:rPr>
        <w:t xml:space="preserve"> rozporządzenia uwzględniając strategiczną analizę ryzyka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2</w:t>
      </w:r>
      <w:r w:rsidRPr="00BF1AA9">
        <w:rPr>
          <w:rFonts w:ascii="Times New Roman" w:hAnsi="Times New Roman"/>
          <w:noProof/>
          <w:sz w:val="24"/>
        </w:rPr>
        <w:t>022</w:t>
      </w:r>
      <w:r w:rsidR="00BF1AA9" w:rsidRPr="00BF1AA9">
        <w:rPr>
          <w:rFonts w:ascii="Times New Roman" w:hAnsi="Times New Roman"/>
          <w:noProof/>
          <w:sz w:val="24"/>
        </w:rPr>
        <w:t> </w:t>
      </w:r>
      <w:r w:rsidRPr="00BF1AA9">
        <w:rPr>
          <w:rFonts w:ascii="Times New Roman" w:hAnsi="Times New Roman"/>
          <w:noProof/>
          <w:sz w:val="24"/>
        </w:rPr>
        <w:t>r. oraz opierając się na wynikach tematycznej oceny krajowych strategii zintegrowanego zarządzania granicami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lat</w:t>
      </w:r>
      <w:r w:rsidRPr="00BF1AA9">
        <w:rPr>
          <w:rFonts w:ascii="Times New Roman" w:hAnsi="Times New Roman"/>
          <w:noProof/>
          <w:sz w:val="24"/>
        </w:rPr>
        <w:t>ach 2019</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2</w:t>
      </w:r>
      <w:r w:rsidRPr="00BF1AA9">
        <w:rPr>
          <w:rFonts w:ascii="Times New Roman" w:hAnsi="Times New Roman"/>
          <w:noProof/>
          <w:sz w:val="24"/>
        </w:rPr>
        <w:t>020</w:t>
      </w:r>
      <w:r w:rsidRPr="00BF1AA9">
        <w:rPr>
          <w:rStyle w:val="FootnoteReference"/>
          <w:rFonts w:ascii="Times New Roman" w:eastAsia="Calibri" w:hAnsi="Times New Roman" w:cs="Times New Roman"/>
          <w:noProof/>
          <w:sz w:val="24"/>
          <w:szCs w:val="24"/>
        </w:rPr>
        <w:footnoteReference w:id="2"/>
      </w:r>
      <w:r w:rsidRPr="00BF1AA9">
        <w:rPr>
          <w:rFonts w:ascii="Times New Roman" w:hAnsi="Times New Roman"/>
          <w:noProof/>
          <w:sz w:val="24"/>
        </w:rPr>
        <w:t>,</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po konsultacji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Par</w:t>
      </w:r>
      <w:r w:rsidRPr="00BF1AA9">
        <w:rPr>
          <w:rFonts w:ascii="Times New Roman" w:hAnsi="Times New Roman"/>
          <w:noProof/>
          <w:sz w:val="24"/>
        </w:rPr>
        <w:t>lamentem Europejskim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Rad</w:t>
      </w:r>
      <w:r w:rsidRPr="00BF1AA9">
        <w:rPr>
          <w:rFonts w:ascii="Times New Roman" w:hAnsi="Times New Roman"/>
          <w:noProof/>
          <w:sz w:val="24"/>
        </w:rPr>
        <w:t>ą, Komisja określiła następujące priorytety polityczne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wyt</w:t>
      </w:r>
      <w:r w:rsidRPr="00BF1AA9">
        <w:rPr>
          <w:rFonts w:ascii="Times New Roman" w:hAnsi="Times New Roman"/>
          <w:noProof/>
          <w:sz w:val="24"/>
        </w:rPr>
        <w:t>yczne strategiczne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iesieniu do tych 15 elementów</w:t>
      </w:r>
      <w:r w:rsidRPr="00BF1AA9">
        <w:rPr>
          <w:rStyle w:val="FootnoteReference"/>
          <w:rFonts w:ascii="Times New Roman" w:eastAsia="Times New Roman" w:hAnsi="Times New Roman" w:cs="Times New Roman"/>
          <w:noProof/>
          <w:sz w:val="24"/>
          <w:szCs w:val="24"/>
          <w:lang w:eastAsia="en-GB"/>
        </w:rPr>
        <w:footnoteReference w:id="3"/>
      </w:r>
      <w:r w:rsidR="00CB0430" w:rsidRPr="00BF1AA9">
        <w:rPr>
          <w:rFonts w:ascii="Times New Roman" w:hAnsi="Times New Roman"/>
          <w:noProof/>
          <w:sz w:val="24"/>
        </w:rPr>
        <w:t>.</w:t>
      </w:r>
    </w:p>
    <w:p w14:paraId="491403FB"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1FE99478" w14:textId="675A6EAC" w:rsidR="00F5602F" w:rsidRPr="00BF1AA9"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i/>
          <w:noProof/>
          <w:sz w:val="24"/>
          <w:szCs w:val="24"/>
        </w:rPr>
      </w:pPr>
      <w:r w:rsidRPr="00BF1AA9">
        <w:rPr>
          <w:rFonts w:ascii="Times New Roman" w:hAnsi="Times New Roman"/>
          <w:b/>
          <w:noProof/>
          <w:sz w:val="24"/>
        </w:rPr>
        <w:t xml:space="preserve">Element 1: </w:t>
      </w:r>
      <w:r w:rsidRPr="00BF1AA9">
        <w:rPr>
          <w:rFonts w:ascii="Times New Roman" w:hAnsi="Times New Roman"/>
          <w:noProof/>
          <w:sz w:val="24"/>
        </w:rPr>
        <w:t>„kontrol[a] graniczn[a],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środk[i] ułatwiając[e] legalne przekraczanie granic oraz,</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sto</w:t>
      </w:r>
      <w:r w:rsidRPr="00BF1AA9">
        <w:rPr>
          <w:rFonts w:ascii="Times New Roman" w:hAnsi="Times New Roman"/>
          <w:noProof/>
          <w:sz w:val="24"/>
        </w:rPr>
        <w:t>sownych przypadkach: środk[i] związan[e]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zap</w:t>
      </w:r>
      <w:r w:rsidRPr="00BF1AA9">
        <w:rPr>
          <w:rFonts w:ascii="Times New Roman" w:hAnsi="Times New Roman"/>
          <w:noProof/>
          <w:sz w:val="24"/>
        </w:rPr>
        <w:t>obieganiem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wyk</w:t>
      </w:r>
      <w:r w:rsidRPr="00BF1AA9">
        <w:rPr>
          <w:rFonts w:ascii="Times New Roman" w:hAnsi="Times New Roman"/>
          <w:noProof/>
          <w:sz w:val="24"/>
        </w:rPr>
        <w:t>rywaniem przestępczości transgranicznej na granicach zewnętrznych,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przemytu migrantów, handlu ludźmi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ter</w:t>
      </w:r>
      <w:r w:rsidRPr="00BF1AA9">
        <w:rPr>
          <w:rFonts w:ascii="Times New Roman" w:hAnsi="Times New Roman"/>
          <w:noProof/>
          <w:sz w:val="24"/>
        </w:rPr>
        <w:t>roryzmu,</w:t>
      </w:r>
      <w:r w:rsidR="00BF1AA9" w:rsidRPr="00BF1AA9">
        <w:rPr>
          <w:rFonts w:ascii="Times New Roman" w:hAnsi="Times New Roman"/>
          <w:i/>
          <w:noProof/>
          <w:sz w:val="24"/>
        </w:rPr>
        <w:t xml:space="preserve"> </w:t>
      </w:r>
      <w:r w:rsidR="00BF1AA9" w:rsidRPr="00BF1AA9">
        <w:rPr>
          <w:rFonts w:ascii="Times New Roman" w:hAnsi="Times New Roman"/>
          <w:noProof/>
          <w:sz w:val="24"/>
        </w:rPr>
        <w:t>a</w:t>
      </w:r>
      <w:r w:rsidR="00BF1AA9">
        <w:rPr>
          <w:rFonts w:ascii="Times New Roman" w:hAnsi="Times New Roman"/>
          <w:i/>
          <w:noProof/>
          <w:sz w:val="24"/>
        </w:rPr>
        <w:t> </w:t>
      </w:r>
      <w:r w:rsidR="00BF1AA9" w:rsidRPr="00BF1AA9">
        <w:rPr>
          <w:rFonts w:ascii="Times New Roman" w:hAnsi="Times New Roman"/>
          <w:noProof/>
          <w:sz w:val="24"/>
        </w:rPr>
        <w:t>tak</w:t>
      </w:r>
      <w:r w:rsidRPr="00BF1AA9">
        <w:rPr>
          <w:rFonts w:ascii="Times New Roman" w:hAnsi="Times New Roman"/>
          <w:noProof/>
          <w:sz w:val="24"/>
        </w:rPr>
        <w:t>że mechanizm[y]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cedur[y] dotycząc[e] identyfikacji osób wymagających szczególnego traktowania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mał</w:t>
      </w:r>
      <w:r w:rsidRPr="00BF1AA9">
        <w:rPr>
          <w:rFonts w:ascii="Times New Roman" w:hAnsi="Times New Roman"/>
          <w:noProof/>
          <w:sz w:val="24"/>
        </w:rPr>
        <w:t>oletnich bez opieki oraz identyfikacji osób, które potrzebują ochrony międzynarodowej lub zamierzają się</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nią</w:t>
      </w:r>
      <w:r w:rsidRPr="00BF1AA9">
        <w:rPr>
          <w:rFonts w:ascii="Times New Roman" w:hAnsi="Times New Roman"/>
          <w:noProof/>
          <w:sz w:val="24"/>
        </w:rPr>
        <w:t xml:space="preserve"> ubiegać, udzielania informacji takim osobom oraz kierowania dalej takich osób;”</w:t>
      </w:r>
      <w:r w:rsidRPr="00BF1AA9">
        <w:rPr>
          <w:rFonts w:ascii="Times New Roman" w:eastAsia="Times New Roman" w:hAnsi="Times New Roman" w:cs="Times New Roman"/>
          <w:i/>
          <w:noProof/>
          <w:sz w:val="24"/>
          <w:szCs w:val="24"/>
          <w:vertAlign w:val="superscript"/>
          <w:lang w:eastAsia="en-GB"/>
        </w:rPr>
        <w:footnoteReference w:id="4"/>
      </w:r>
      <w:r w:rsidRPr="00BF1AA9">
        <w:rPr>
          <w:rFonts w:ascii="Times New Roman" w:hAnsi="Times New Roman"/>
          <w:noProof/>
          <w:sz w:val="24"/>
        </w:rPr>
        <w:t>.</w:t>
      </w:r>
    </w:p>
    <w:p w14:paraId="5EF182BA"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7231102E"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rPr>
      </w:pPr>
      <w:r w:rsidRPr="00BF1AA9">
        <w:rPr>
          <w:rFonts w:ascii="Times New Roman" w:hAnsi="Times New Roman"/>
          <w:noProof/>
          <w:sz w:val="24"/>
          <w:u w:val="single"/>
        </w:rPr>
        <w:t>Priorytety polityki</w:t>
      </w:r>
    </w:p>
    <w:p w14:paraId="5F46A327" w14:textId="77777777" w:rsidR="00F5602F" w:rsidRPr="00BF1AA9" w:rsidRDefault="00F5602F" w:rsidP="00377968">
      <w:pPr>
        <w:spacing w:after="0" w:line="240" w:lineRule="auto"/>
        <w:jc w:val="both"/>
        <w:rPr>
          <w:rFonts w:ascii="Times New Roman" w:eastAsia="Times New Roman" w:hAnsi="Times New Roman" w:cs="Times New Roman"/>
          <w:i/>
          <w:noProof/>
          <w:sz w:val="24"/>
          <w:szCs w:val="24"/>
          <w:lang w:eastAsia="en-GB"/>
        </w:rPr>
      </w:pPr>
    </w:p>
    <w:p w14:paraId="33EE057B" w14:textId="7BF0C04C"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Kontrola graniczna (odprawa graniczna na przejściach granicznych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och</w:t>
      </w:r>
      <w:r w:rsidRPr="00BF1AA9">
        <w:rPr>
          <w:rFonts w:ascii="Times New Roman" w:hAnsi="Times New Roman"/>
          <w:noProof/>
          <w:sz w:val="24"/>
        </w:rPr>
        <w:t>rona granicy między przejściami granicznymi) oparta na analizie ryzyka jest podstawą europejskiego zintegrowanego zarządzania granicami. Frontex</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org</w:t>
      </w:r>
      <w:r w:rsidRPr="00BF1AA9">
        <w:rPr>
          <w:rFonts w:ascii="Times New Roman" w:hAnsi="Times New Roman"/>
          <w:noProof/>
          <w:sz w:val="24"/>
        </w:rPr>
        <w:t>any zarządzania granicami państw członkowskich, tworzące wspólnie Europejską Straż Graniczną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ybrzeżną, powinny posiadać zdolność prawną, instytucjonalną, administracyjną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racyjną oraz zasoby niezbędne do prowadzenia skutecznej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efe</w:t>
      </w:r>
      <w:r w:rsidRPr="00BF1AA9">
        <w:rPr>
          <w:rFonts w:ascii="Times New Roman" w:hAnsi="Times New Roman"/>
          <w:noProof/>
          <w:sz w:val="24"/>
        </w:rPr>
        <w:t>ktywnej kontroli granicznej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każ</w:t>
      </w:r>
      <w:r w:rsidRPr="00BF1AA9">
        <w:rPr>
          <w:rFonts w:ascii="Times New Roman" w:hAnsi="Times New Roman"/>
          <w:noProof/>
          <w:sz w:val="24"/>
        </w:rPr>
        <w:t>dych okolicznościach</w:t>
      </w:r>
      <w:r w:rsidRPr="00BF1AA9">
        <w:rPr>
          <w:rStyle w:val="FootnoteReference"/>
          <w:rFonts w:ascii="Times New Roman" w:eastAsia="Times New Roman" w:hAnsi="Times New Roman" w:cs="Times New Roman"/>
          <w:noProof/>
          <w:sz w:val="24"/>
          <w:szCs w:val="24"/>
          <w:lang w:eastAsia="en-GB"/>
        </w:rPr>
        <w:footnoteReference w:id="5"/>
      </w:r>
      <w:r w:rsidRPr="00BF1AA9">
        <w:rPr>
          <w:rFonts w:ascii="Times New Roman" w:hAnsi="Times New Roman"/>
          <w:noProof/>
          <w:sz w:val="24"/>
        </w:rPr>
        <w:t xml:space="preserve">. </w:t>
      </w:r>
    </w:p>
    <w:p w14:paraId="4D551241"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53AA27E5" w14:textId="229B7E3A"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Kontrola graniczna ma wiele celów. Po pierwsze, odprawy graniczne na wyznaczonych przejściach granicznych ułatwiają legalne przekraczanie granic przez osoby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ruc</w:t>
      </w:r>
      <w:r w:rsidRPr="00BF1AA9">
        <w:rPr>
          <w:rFonts w:ascii="Times New Roman" w:hAnsi="Times New Roman"/>
          <w:noProof/>
          <w:sz w:val="24"/>
        </w:rPr>
        <w:t>h transgraniczny. Jednocześnie ochrona granicy prowadzona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efach przygranicznych pomiędzy przejściami granicznymi zapobiega niedozwolonemu przekraczaniu granic zewnętrznych. Wzmacnia ona bezpieczeństwo wewnętrzne UE, przyczyniając się do zapobiegania różnym formom przestępczości transgranicznej, takim jak terroryzm, nielegalny handel bronią lub handel ludźmi, oraz wykrywania tych procederów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ich</w:t>
      </w:r>
      <w:r w:rsidRPr="00BF1AA9">
        <w:rPr>
          <w:rFonts w:ascii="Times New Roman" w:hAnsi="Times New Roman"/>
          <w:noProof/>
          <w:sz w:val="24"/>
        </w:rPr>
        <w:t xml:space="preserve"> zwalczania,</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 xml:space="preserve">że umożliwia podejmowanie działań wobec osób, które nielegalnie przekroczyły granicę. </w:t>
      </w:r>
    </w:p>
    <w:p w14:paraId="41C965B1"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664F078C" w14:textId="56DDE6E3"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W przyszłości rozporządzenie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kontroli przesiewowej</w:t>
      </w:r>
      <w:r w:rsidRPr="00BF1AA9">
        <w:rPr>
          <w:rStyle w:val="FootnoteReference"/>
          <w:rFonts w:ascii="Times New Roman" w:eastAsia="Times New Roman" w:hAnsi="Times New Roman" w:cs="Times New Roman"/>
          <w:noProof/>
          <w:sz w:val="24"/>
          <w:szCs w:val="24"/>
          <w:lang w:eastAsia="en-GB"/>
        </w:rPr>
        <w:footnoteReference w:id="6"/>
      </w:r>
      <w:r w:rsidRPr="00BF1AA9">
        <w:rPr>
          <w:rFonts w:ascii="Times New Roman" w:hAnsi="Times New Roman"/>
          <w:noProof/>
          <w:sz w:val="24"/>
        </w:rPr>
        <w:t>, po jego przyjęciu, powinno zagwarantować, by kontrola graniczna obejmowała również kontrolę wstępną mającą zastosowanie do wszystkich obywateli państw trzecich znajdujących się na granicach zewnętrznych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nie</w:t>
      </w:r>
      <w:r w:rsidRPr="00BF1AA9">
        <w:rPr>
          <w:rFonts w:ascii="Times New Roman" w:hAnsi="Times New Roman"/>
          <w:noProof/>
          <w:sz w:val="24"/>
        </w:rPr>
        <w:t>spełniających warunków wjazdu albo po sprowadzeniu na ląd</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nas</w:t>
      </w:r>
      <w:r w:rsidRPr="00BF1AA9">
        <w:rPr>
          <w:rFonts w:ascii="Times New Roman" w:hAnsi="Times New Roman"/>
          <w:noProof/>
          <w:sz w:val="24"/>
        </w:rPr>
        <w:t>tępstwie operacji poszukiwawczo-ratowniczych</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zwi</w:t>
      </w:r>
      <w:r w:rsidRPr="00BF1AA9">
        <w:rPr>
          <w:rFonts w:ascii="Times New Roman" w:hAnsi="Times New Roman"/>
          <w:noProof/>
          <w:sz w:val="24"/>
        </w:rPr>
        <w:t>ązku</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wszystkie osoby przekraczające granicę zewnętrzną, które nie spełniają warunków wjazdu, zostaną objęte mechanizmami ukierunkowanej pomocy (tj. środkami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kontroli przesiewowej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wadzenia rozmów, identyfikacji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pob</w:t>
      </w:r>
      <w:r w:rsidRPr="00BF1AA9">
        <w:rPr>
          <w:rFonts w:ascii="Times New Roman" w:hAnsi="Times New Roman"/>
          <w:noProof/>
          <w:sz w:val="24"/>
        </w:rPr>
        <w:t>ierania odcisków palców).</w:t>
      </w:r>
    </w:p>
    <w:p w14:paraId="00E1744F"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6437A422" w14:textId="58079738"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Państwa członkowskie, wykonując swoje zadania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pot</w:t>
      </w:r>
      <w:r w:rsidRPr="00BF1AA9">
        <w:rPr>
          <w:rFonts w:ascii="Times New Roman" w:hAnsi="Times New Roman"/>
          <w:noProof/>
          <w:sz w:val="24"/>
        </w:rPr>
        <w:t>rzebami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powinny być wspierane przez Frontex,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ind</w:t>
      </w:r>
      <w:r w:rsidRPr="00BF1AA9">
        <w:rPr>
          <w:rFonts w:ascii="Times New Roman" w:hAnsi="Times New Roman"/>
          <w:noProof/>
          <w:sz w:val="24"/>
        </w:rPr>
        <w:t>ywidualnymi ustaleniami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członkowskimi.</w:t>
      </w:r>
    </w:p>
    <w:p w14:paraId="45A0975A"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3CDB2552" w14:textId="48CEDEE4"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wem Unii kontrola graniczna powinna odbywać się</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pos</w:t>
      </w:r>
      <w:r w:rsidRPr="00BF1AA9">
        <w:rPr>
          <w:rFonts w:ascii="Times New Roman" w:hAnsi="Times New Roman"/>
          <w:noProof/>
          <w:sz w:val="24"/>
        </w:rPr>
        <w:t>zanowaniem praw podstawowych wszystkich osób, niezależnie od tego, czy ubiegają się</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och</w:t>
      </w:r>
      <w:r w:rsidRPr="00BF1AA9">
        <w:rPr>
          <w:rFonts w:ascii="Times New Roman" w:hAnsi="Times New Roman"/>
          <w:noProof/>
          <w:sz w:val="24"/>
        </w:rPr>
        <w:t>ronę międzynarodową, czy nie. Osobom ubiegającym się</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och</w:t>
      </w:r>
      <w:r w:rsidRPr="00BF1AA9">
        <w:rPr>
          <w:rFonts w:ascii="Times New Roman" w:hAnsi="Times New Roman"/>
          <w:noProof/>
          <w:sz w:val="24"/>
        </w:rPr>
        <w:t>ronę międzynarodową należy zapewnić skuteczny dostęp do procedur przyznawania takiej ochrony,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na granicy zewnętrznej lub</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 xml:space="preserve">efach tranzytowych </w:t>
      </w:r>
      <w:r w:rsidR="00CB0430" w:rsidRPr="00BF1AA9">
        <w:rPr>
          <w:rFonts w:ascii="Times New Roman" w:hAnsi="Times New Roman"/>
          <w:noProof/>
          <w:sz w:val="24"/>
        </w:rPr>
        <w:t>państw członkowskich.</w:t>
      </w:r>
      <w:r w:rsidRPr="00BF1AA9">
        <w:rPr>
          <w:rFonts w:ascii="Times New Roman" w:hAnsi="Times New Roman"/>
          <w:noProof/>
          <w:sz w:val="24"/>
        </w:rPr>
        <w:t xml:space="preserve"> Osoby, które nie ubiegają się</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och</w:t>
      </w:r>
      <w:r w:rsidRPr="00BF1AA9">
        <w:rPr>
          <w:rFonts w:ascii="Times New Roman" w:hAnsi="Times New Roman"/>
          <w:noProof/>
          <w:sz w:val="24"/>
        </w:rPr>
        <w:t>ronę, są jednak objęte ochroną na mocy obowiązującego prawa Unii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wa międzynarodowego,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zasady </w:t>
      </w:r>
      <w:r w:rsidRPr="00BF1AA9">
        <w:rPr>
          <w:rFonts w:ascii="Times New Roman" w:hAnsi="Times New Roman"/>
          <w:i/>
          <w:noProof/>
          <w:sz w:val="24"/>
        </w:rPr>
        <w:t>non-refoulement</w:t>
      </w:r>
      <w:r w:rsidRPr="00BF1AA9">
        <w:rPr>
          <w:rFonts w:ascii="Times New Roman" w:hAnsi="Times New Roman"/>
          <w:noProof/>
          <w:sz w:val="24"/>
        </w:rPr>
        <w:t xml:space="preserve">. </w:t>
      </w:r>
    </w:p>
    <w:p w14:paraId="3E339B86"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5CE22A43"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Wytyczne strategiczne</w:t>
      </w:r>
    </w:p>
    <w:p w14:paraId="6B7C2A39"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lang w:eastAsia="en-GB"/>
        </w:rPr>
      </w:pPr>
    </w:p>
    <w:p w14:paraId="156CBD67" w14:textId="2B3BDEE1"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Jako założenie początkowe państwa członkowskie muszą posiadać zdolność prawną, strukturalną, administracyjną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tec</w:t>
      </w:r>
      <w:r w:rsidRPr="00BF1AA9">
        <w:rPr>
          <w:rFonts w:ascii="Times New Roman" w:hAnsi="Times New Roman"/>
          <w:noProof/>
          <w:sz w:val="24"/>
        </w:rPr>
        <w:t xml:space="preserve">hniczną do prowadzenia </w:t>
      </w:r>
      <w:r w:rsidRPr="00BF1AA9">
        <w:rPr>
          <w:rFonts w:ascii="Times New Roman" w:hAnsi="Times New Roman"/>
          <w:b/>
          <w:noProof/>
          <w:sz w:val="24"/>
        </w:rPr>
        <w:t>odprawy granicznej</w:t>
      </w:r>
      <w:r w:rsidRPr="00BF1AA9">
        <w:rPr>
          <w:rFonts w:ascii="Times New Roman" w:hAnsi="Times New Roman"/>
          <w:noProof/>
          <w:sz w:val="24"/>
        </w:rPr>
        <w:t xml:space="preserve">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kod</w:t>
      </w:r>
      <w:r w:rsidRPr="00BF1AA9">
        <w:rPr>
          <w:rFonts w:ascii="Times New Roman" w:hAnsi="Times New Roman"/>
          <w:noProof/>
          <w:sz w:val="24"/>
        </w:rPr>
        <w:t>eksem granicznym Schengen</w:t>
      </w:r>
      <w:r w:rsidRPr="00BF1AA9">
        <w:rPr>
          <w:rFonts w:ascii="Times New Roman" w:eastAsia="Calibri" w:hAnsi="Times New Roman" w:cs="Times New Roman"/>
          <w:noProof/>
          <w:sz w:val="24"/>
          <w:szCs w:val="24"/>
          <w:vertAlign w:val="superscript"/>
        </w:rPr>
        <w:footnoteReference w:id="7"/>
      </w:r>
      <w:r w:rsidRPr="00BF1AA9">
        <w:rPr>
          <w:rFonts w:ascii="Times New Roman" w:hAnsi="Times New Roman"/>
          <w:noProof/>
          <w:sz w:val="24"/>
        </w:rPr>
        <w:t xml:space="preserve"> oraz do ułatwiania legalnego przekraczania granic przez osoby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poj</w:t>
      </w:r>
      <w:r w:rsidRPr="00BF1AA9">
        <w:rPr>
          <w:rFonts w:ascii="Times New Roman" w:hAnsi="Times New Roman"/>
          <w:noProof/>
          <w:sz w:val="24"/>
        </w:rPr>
        <w:t>azdy. Liczba przejść granicznych na granicach zewnętrznych powinna uwzględniać zdolności (zasoby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inf</w:t>
      </w:r>
      <w:r w:rsidRPr="00BF1AA9">
        <w:rPr>
          <w:rFonts w:ascii="Times New Roman" w:hAnsi="Times New Roman"/>
          <w:noProof/>
          <w:sz w:val="24"/>
        </w:rPr>
        <w:t>rastrukturę), rodzaje granic (lądowe, morskie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ietrzne) oraz wyzwania horyzontalne (takie jak przepływ pasażerów, przestępczość transgraniczna lub instrumentalne traktowanie migrantów).</w:t>
      </w:r>
    </w:p>
    <w:p w14:paraId="07AAD317" w14:textId="3351E526"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Państwa członkowskie powinny zagwarantować bezpieczne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pły</w:t>
      </w:r>
      <w:r w:rsidRPr="00BF1AA9">
        <w:rPr>
          <w:rFonts w:ascii="Times New Roman" w:hAnsi="Times New Roman"/>
          <w:noProof/>
          <w:sz w:val="24"/>
        </w:rPr>
        <w:t>nne przekraczanie granic przez pasażerów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poj</w:t>
      </w:r>
      <w:r w:rsidRPr="00BF1AA9">
        <w:rPr>
          <w:rFonts w:ascii="Times New Roman" w:hAnsi="Times New Roman"/>
          <w:noProof/>
          <w:sz w:val="24"/>
        </w:rPr>
        <w:t>azdy na przejściach granicznych.</w:t>
      </w:r>
    </w:p>
    <w:p w14:paraId="3F70D573" w14:textId="2D6C6F3A"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systematycznie wykorzystywać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dal</w:t>
      </w:r>
      <w:r w:rsidRPr="00BF1AA9">
        <w:rPr>
          <w:rFonts w:ascii="Times New Roman" w:hAnsi="Times New Roman"/>
          <w:noProof/>
          <w:sz w:val="24"/>
        </w:rPr>
        <w:t>ej rozwijać wcześniejsze gromadzenie informacji na potrzeby odprawy granicznej (dane przekazywane przed podróżą jako podstawowy element odprawy granicznej) przez skuteczne wykorzystanie systemu danych pasażera przekazywanych przed podróżą (API).</w:t>
      </w:r>
    </w:p>
    <w:p w14:paraId="66B96A2D" w14:textId="53418990"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b/>
          <w:noProof/>
          <w:sz w:val="24"/>
        </w:rPr>
        <w:t>Procedura odprawy granicznej</w:t>
      </w:r>
      <w:r w:rsidRPr="00BF1AA9">
        <w:rPr>
          <w:rFonts w:ascii="Times New Roman" w:hAnsi="Times New Roman"/>
          <w:noProof/>
          <w:sz w:val="24"/>
        </w:rPr>
        <w:t xml:space="preserve"> powinna być skutecznie przeprowadzana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kod</w:t>
      </w:r>
      <w:r w:rsidR="00CB0430" w:rsidRPr="00BF1AA9">
        <w:rPr>
          <w:rFonts w:ascii="Times New Roman" w:hAnsi="Times New Roman"/>
          <w:noProof/>
          <w:sz w:val="24"/>
        </w:rPr>
        <w:t xml:space="preserve">eksem granicznym Schengen; </w:t>
      </w:r>
      <w:r w:rsidRPr="00BF1AA9">
        <w:rPr>
          <w:rFonts w:ascii="Times New Roman" w:hAnsi="Times New Roman"/>
          <w:noProof/>
          <w:sz w:val="24"/>
        </w:rPr>
        <w:t>powinna także zostać udoskonalona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zop</w:t>
      </w:r>
      <w:r w:rsidRPr="00BF1AA9">
        <w:rPr>
          <w:rFonts w:ascii="Times New Roman" w:hAnsi="Times New Roman"/>
          <w:noProof/>
          <w:sz w:val="24"/>
        </w:rPr>
        <w:t>tymalizowana dzięki kompleksowemu wdrożeniu systemów informacyjnych UE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migracji, granic</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bez</w:t>
      </w:r>
      <w:r w:rsidRPr="00BF1AA9">
        <w:rPr>
          <w:rFonts w:ascii="Times New Roman" w:hAnsi="Times New Roman"/>
          <w:noProof/>
          <w:sz w:val="24"/>
        </w:rPr>
        <w:t>pieczeństwa (EES, ETIAS, VIS, Eurodac, System Informacyjny Schengen i ECRIS-TCN) oraz ich interoperacyjności. Pozwoli to zwiększyć ilość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jak</w:t>
      </w:r>
      <w:r w:rsidRPr="00BF1AA9">
        <w:rPr>
          <w:rFonts w:ascii="Times New Roman" w:hAnsi="Times New Roman"/>
          <w:noProof/>
          <w:sz w:val="24"/>
        </w:rPr>
        <w:t>ość informacji dostępnych do celów odprawy granicznej. Ponadto, wraz</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moż</w:t>
      </w:r>
      <w:r w:rsidRPr="00BF1AA9">
        <w:rPr>
          <w:rFonts w:ascii="Times New Roman" w:hAnsi="Times New Roman"/>
          <w:noProof/>
          <w:sz w:val="24"/>
        </w:rPr>
        <w:t>liwą przyszłą cyfryzacją dokumentów podróży, proces przekraczania granic zewnętrznych zostanie jeszcze bardziej usprawniony. Państwa członkowskie powinny zapewnić terminowe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wła</w:t>
      </w:r>
      <w:r w:rsidRPr="00BF1AA9">
        <w:rPr>
          <w:rFonts w:ascii="Times New Roman" w:hAnsi="Times New Roman"/>
          <w:noProof/>
          <w:sz w:val="24"/>
        </w:rPr>
        <w:t>ściwe wdrożenie nowych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zmo</w:t>
      </w:r>
      <w:r w:rsidRPr="00BF1AA9">
        <w:rPr>
          <w:rFonts w:ascii="Times New Roman" w:hAnsi="Times New Roman"/>
          <w:noProof/>
          <w:sz w:val="24"/>
        </w:rPr>
        <w:t>dernizowanych systemów informacyjnych na swoich granicach. Personel stałej służby powinien mieć dostęp do Systemu Informacyjnego Schengen podczas rozmieszczenia operacyjnego.</w:t>
      </w:r>
    </w:p>
    <w:p w14:paraId="722B3289" w14:textId="0EDE6EBC"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 wszystkich poziomach należy utrzymywać rzetelną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 xml:space="preserve">pleksową </w:t>
      </w:r>
      <w:r w:rsidRPr="00BF1AA9">
        <w:rPr>
          <w:rFonts w:ascii="Times New Roman" w:hAnsi="Times New Roman"/>
          <w:b/>
          <w:noProof/>
          <w:sz w:val="24"/>
        </w:rPr>
        <w:t>znajomość sytuacji</w:t>
      </w:r>
      <w:r w:rsidRPr="00BF1AA9">
        <w:rPr>
          <w:rFonts w:ascii="Times New Roman" w:hAnsi="Times New Roman"/>
          <w:noProof/>
          <w:sz w:val="24"/>
        </w:rPr>
        <w:t xml:space="preserve"> na granicach, by zagwarantować wysoki poziom zdolności do wprowadzania niezbędnych środków na poziomie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Na poziomie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należy utrzymywać, udostępniać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dal</w:t>
      </w:r>
      <w:r w:rsidRPr="00BF1AA9">
        <w:rPr>
          <w:rFonts w:ascii="Times New Roman" w:hAnsi="Times New Roman"/>
          <w:noProof/>
          <w:sz w:val="24"/>
        </w:rPr>
        <w:t>ej rozwijać kompleksowy krajowy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b/>
          <w:noProof/>
          <w:sz w:val="24"/>
        </w:rPr>
        <w:t>eur</w:t>
      </w:r>
      <w:r w:rsidRPr="00BF1AA9">
        <w:rPr>
          <w:rFonts w:ascii="Times New Roman" w:hAnsi="Times New Roman"/>
          <w:b/>
          <w:noProof/>
          <w:sz w:val="24"/>
        </w:rPr>
        <w:t>opejski obraz sytuacji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cza</w:t>
      </w:r>
      <w:r w:rsidRPr="00BF1AA9">
        <w:rPr>
          <w:rFonts w:ascii="Times New Roman" w:hAnsi="Times New Roman"/>
          <w:noProof/>
          <w:sz w:val="24"/>
        </w:rPr>
        <w:t>sie zbliżonym do rzeczywistego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ami prawnymi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pot</w:t>
      </w:r>
      <w:r w:rsidRPr="00BF1AA9">
        <w:rPr>
          <w:rFonts w:ascii="Times New Roman" w:hAnsi="Times New Roman"/>
          <w:noProof/>
          <w:sz w:val="24"/>
        </w:rPr>
        <w:t>rzebami operacyjnymi.</w:t>
      </w:r>
    </w:p>
    <w:p w14:paraId="7E3EAB13" w14:textId="3BB48626"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Podstawą odpowiedniej </w:t>
      </w:r>
      <w:r w:rsidRPr="00BF1AA9">
        <w:rPr>
          <w:rFonts w:ascii="Times New Roman" w:hAnsi="Times New Roman"/>
          <w:b/>
          <w:noProof/>
          <w:sz w:val="24"/>
        </w:rPr>
        <w:t>zdolności reagowania</w:t>
      </w:r>
      <w:r w:rsidRPr="00BF1AA9">
        <w:rPr>
          <w:rFonts w:ascii="Times New Roman" w:hAnsi="Times New Roman"/>
          <w:noProof/>
          <w:sz w:val="24"/>
        </w:rPr>
        <w:t xml:space="preserve"> powinna być stała (całodobowa) znajomość sytuacji, by móc właściwie reagować na wszelkie incydenty na granicy,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na nieprzewidziane zmiany na granicach zewnętrznych oraz na sytuacje związane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imi</w:t>
      </w:r>
      <w:r w:rsidRPr="00BF1AA9">
        <w:rPr>
          <w:rFonts w:ascii="Times New Roman" w:hAnsi="Times New Roman"/>
          <w:noProof/>
          <w:sz w:val="24"/>
        </w:rPr>
        <w:t>gracją nieuregulowaną na dużą skalę. Zdolność tę należy zapewnić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każ</w:t>
      </w:r>
      <w:r w:rsidRPr="00BF1AA9">
        <w:rPr>
          <w:rFonts w:ascii="Times New Roman" w:hAnsi="Times New Roman"/>
          <w:noProof/>
          <w:sz w:val="24"/>
        </w:rPr>
        <w:t>dych okolicznościach na poziomie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Należy rozwijać krajowy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uni</w:t>
      </w:r>
      <w:r w:rsidRPr="00BF1AA9">
        <w:rPr>
          <w:rFonts w:ascii="Times New Roman" w:hAnsi="Times New Roman"/>
          <w:noProof/>
          <w:sz w:val="24"/>
        </w:rPr>
        <w:t>jny potencjał, by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raz</w:t>
      </w:r>
      <w:r w:rsidRPr="00BF1AA9">
        <w:rPr>
          <w:rFonts w:ascii="Times New Roman" w:hAnsi="Times New Roman"/>
          <w:noProof/>
          <w:sz w:val="24"/>
        </w:rPr>
        <w:t>ie potrzeby szybko wzmocnić kontrolę graniczną na każdym przejściu granicznym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każ</w:t>
      </w:r>
      <w:r w:rsidRPr="00BF1AA9">
        <w:rPr>
          <w:rFonts w:ascii="Times New Roman" w:hAnsi="Times New Roman"/>
          <w:noProof/>
          <w:sz w:val="24"/>
        </w:rPr>
        <w:t>dym odcinku granic zewnętrznych. Należy regularnie sprawdzać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nad</w:t>
      </w:r>
      <w:r w:rsidRPr="00BF1AA9">
        <w:rPr>
          <w:rFonts w:ascii="Times New Roman" w:hAnsi="Times New Roman"/>
          <w:noProof/>
          <w:sz w:val="24"/>
        </w:rPr>
        <w:t>al dostosowywać do sytuacji zdolność reagowania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b/>
          <w:noProof/>
          <w:sz w:val="24"/>
        </w:rPr>
        <w:t>pla</w:t>
      </w:r>
      <w:r w:rsidRPr="00BF1AA9">
        <w:rPr>
          <w:rFonts w:ascii="Times New Roman" w:hAnsi="Times New Roman"/>
          <w:b/>
          <w:noProof/>
          <w:sz w:val="24"/>
        </w:rPr>
        <w:t>nowanie ewentualnościowe</w:t>
      </w:r>
      <w:r w:rsidRPr="00BF1AA9">
        <w:rPr>
          <w:rFonts w:ascii="Times New Roman" w:hAnsi="Times New Roman"/>
          <w:noProof/>
          <w:sz w:val="24"/>
        </w:rPr>
        <w:t>, zwłaszcza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ypadku instrumentalizacji migrantów. Obecność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mieszczenie Fronteksu na granicach zewnętrznych powinny podlegać ciągłemu odpowiedniemu przeglądowi.</w:t>
      </w:r>
    </w:p>
    <w:p w14:paraId="4535FB1A" w14:textId="74CA4D86"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Frontex powinien zapewnić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naj</w:t>
      </w:r>
      <w:r w:rsidRPr="00BF1AA9">
        <w:rPr>
          <w:rFonts w:ascii="Times New Roman" w:hAnsi="Times New Roman"/>
          <w:noProof/>
          <w:sz w:val="24"/>
        </w:rPr>
        <w:t>bliższej przyszłości sprawne przejęcie Repozytorium Fałszywych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Aut</w:t>
      </w:r>
      <w:r w:rsidRPr="00BF1AA9">
        <w:rPr>
          <w:rFonts w:ascii="Times New Roman" w:hAnsi="Times New Roman"/>
          <w:noProof/>
          <w:sz w:val="24"/>
        </w:rPr>
        <w:t>entycznych Dokumentów Online (FADO) od Sekretariatu Generalnego Rady. Właściwe organy państw członkowskich, jako część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powinny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wspierać Frontex</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przedsięwzięciu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yczyniać się do dalszego rozwoju systemu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Cen</w:t>
      </w:r>
      <w:r w:rsidRPr="00BF1AA9">
        <w:rPr>
          <w:rFonts w:ascii="Times New Roman" w:hAnsi="Times New Roman"/>
          <w:noProof/>
          <w:sz w:val="24"/>
        </w:rPr>
        <w:t>trum Doskonałości ds. Zwalczania Przestępstw przeciwko Wiarygodności Dokumentów poprzez aktywniejszą wymianę</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Cen</w:t>
      </w:r>
      <w:r w:rsidRPr="00BF1AA9">
        <w:rPr>
          <w:rFonts w:ascii="Times New Roman" w:hAnsi="Times New Roman"/>
          <w:noProof/>
          <w:sz w:val="24"/>
        </w:rPr>
        <w:t>trum informacji na temat wykrytych podrobionych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erobionych dokumentów. Frontex powinien również</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wykorzystywać swoje uprawnienia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bezpieczeństwa dokumentów, zwiększając swoje możliwości wspierania Komisji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 członkowskich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eprowadzaniu ocen</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bad</w:t>
      </w:r>
      <w:r w:rsidRPr="00BF1AA9">
        <w:rPr>
          <w:rFonts w:ascii="Times New Roman" w:hAnsi="Times New Roman"/>
          <w:noProof/>
          <w:sz w:val="24"/>
        </w:rPr>
        <w:t xml:space="preserve">ań zgodności dokumentów podróży wydawanych przez państwa członkowskie. </w:t>
      </w:r>
    </w:p>
    <w:p w14:paraId="42EEF062" w14:textId="6E26D4E0"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Krajowe zintegrowane </w:t>
      </w:r>
      <w:r w:rsidRPr="00BF1AA9">
        <w:rPr>
          <w:rFonts w:ascii="Times New Roman" w:hAnsi="Times New Roman"/>
          <w:b/>
          <w:noProof/>
          <w:sz w:val="24"/>
        </w:rPr>
        <w:t>systemy ochrony granic</w:t>
      </w:r>
      <w:r w:rsidRPr="00BF1AA9">
        <w:rPr>
          <w:rFonts w:ascii="Times New Roman" w:hAnsi="Times New Roman"/>
          <w:noProof/>
          <w:sz w:val="24"/>
        </w:rPr>
        <w:t xml:space="preserve"> oparte na analizie ryzyka powinny obejmować stabilne zdolności (organizacyjne, administracyjne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tec</w:t>
      </w:r>
      <w:r w:rsidRPr="00BF1AA9">
        <w:rPr>
          <w:rFonts w:ascii="Times New Roman" w:hAnsi="Times New Roman"/>
          <w:noProof/>
          <w:sz w:val="24"/>
        </w:rPr>
        <w:t>hniczne)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być w</w:t>
      </w:r>
      <w:r w:rsidR="00BF1AA9">
        <w:rPr>
          <w:rFonts w:ascii="Times New Roman" w:hAnsi="Times New Roman"/>
          <w:noProof/>
          <w:sz w:val="24"/>
        </w:rPr>
        <w:t> </w:t>
      </w:r>
      <w:r w:rsidR="00BF1AA9" w:rsidRPr="00BF1AA9">
        <w:rPr>
          <w:rFonts w:ascii="Times New Roman" w:hAnsi="Times New Roman"/>
          <w:noProof/>
          <w:sz w:val="24"/>
        </w:rPr>
        <w:t>sta</w:t>
      </w:r>
      <w:r w:rsidRPr="00BF1AA9">
        <w:rPr>
          <w:rFonts w:ascii="Times New Roman" w:hAnsi="Times New Roman"/>
          <w:noProof/>
          <w:sz w:val="24"/>
        </w:rPr>
        <w:t>łej gotowości do działania. Jest to konieczne, aby zapobiegać niedozwolonemu przekraczaniu granic i je wykrywać, zatrzymywać osoby, które nielegalnie przekroczyły granicę, oraz zapewnić, by takie osoby podlegały spójnym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pleksowym procedurom ukierunkowanej pomocy (tj. procedurom kontroli przesiewowej), które gwarantują poszanowanie ich praw podstawowych, przechwytywać środki transportu, np. statki, wykorzystywane do nielegalnego przekraczania granic, zwalczać przestępczość transgraniczną, taką jak przemyt, handel ludźmi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ter</w:t>
      </w:r>
      <w:r w:rsidRPr="00BF1AA9">
        <w:rPr>
          <w:rFonts w:ascii="Times New Roman" w:hAnsi="Times New Roman"/>
          <w:noProof/>
          <w:sz w:val="24"/>
        </w:rPr>
        <w:t>roryzm,</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reagować na zagrożenia</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cha</w:t>
      </w:r>
      <w:r w:rsidRPr="00BF1AA9">
        <w:rPr>
          <w:rFonts w:ascii="Times New Roman" w:hAnsi="Times New Roman"/>
          <w:noProof/>
          <w:sz w:val="24"/>
        </w:rPr>
        <w:t xml:space="preserve">rakterze hybrydowym. </w:t>
      </w:r>
    </w:p>
    <w:p w14:paraId="6388B492" w14:textId="2D374864"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Działania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wzmocnionej ochrony na każdym odcinku lądowej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mor</w:t>
      </w:r>
      <w:r w:rsidRPr="00BF1AA9">
        <w:rPr>
          <w:rFonts w:ascii="Times New Roman" w:hAnsi="Times New Roman"/>
          <w:noProof/>
          <w:sz w:val="24"/>
        </w:rPr>
        <w:t>skiej granicy zewnętrznej,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efach przedgranicznych, powinny odpowiadać przypisanemu mu poziomowi ryzyka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obe</w:t>
      </w:r>
      <w:r w:rsidRPr="00BF1AA9">
        <w:rPr>
          <w:rFonts w:ascii="Times New Roman" w:hAnsi="Times New Roman"/>
          <w:noProof/>
          <w:sz w:val="24"/>
        </w:rPr>
        <w:t>jmować wykorzystanie zintegrowanych systemów ochrony, mobilnego wyposażenia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mob</w:t>
      </w:r>
      <w:r w:rsidRPr="00BF1AA9">
        <w:rPr>
          <w:rFonts w:ascii="Times New Roman" w:hAnsi="Times New Roman"/>
          <w:noProof/>
          <w:sz w:val="24"/>
        </w:rPr>
        <w:t>ilnych patroli (jednostek) oraz opierać się na wynikach analizy ryzyka. Poziomy ryzyka należy określić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spo</w:t>
      </w:r>
      <w:r w:rsidRPr="00BF1AA9">
        <w:rPr>
          <w:rFonts w:ascii="Times New Roman" w:hAnsi="Times New Roman"/>
          <w:noProof/>
          <w:sz w:val="24"/>
        </w:rPr>
        <w:t>sób zharmonizowany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cał</w:t>
      </w:r>
      <w:r w:rsidRPr="00BF1AA9">
        <w:rPr>
          <w:rFonts w:ascii="Times New Roman" w:hAnsi="Times New Roman"/>
          <w:noProof/>
          <w:sz w:val="24"/>
        </w:rPr>
        <w:t>ej UE.</w:t>
      </w:r>
    </w:p>
    <w:p w14:paraId="0E841E22" w14:textId="64E49E0F"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stale monitorować granicę zewnętrzną (całodobowo). Na granicach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efach przedgranicznych należy prowadzić działania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ochrony, wykorzystując różne narzędzia,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stworzenia mechanizmu wczesnego ostrzegania, wymiany informacji, na podstawie których można podjąć działania, oraz poprawy zdolności reagowania,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poprzez skalowalny przydział zasobów.</w:t>
      </w:r>
    </w:p>
    <w:p w14:paraId="7D84B0B3" w14:textId="5D832EB1"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b/>
          <w:noProof/>
          <w:sz w:val="24"/>
        </w:rPr>
        <w:t>Krajowe zintegrowane systemy ochrony powinny być wspierane przez wspólne</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int</w:t>
      </w:r>
      <w:r w:rsidRPr="00BF1AA9">
        <w:rPr>
          <w:rFonts w:ascii="Times New Roman" w:hAnsi="Times New Roman"/>
          <w:b/>
          <w:noProof/>
          <w:sz w:val="24"/>
        </w:rPr>
        <w:t>eroperacyjne europejskie zdolności</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zak</w:t>
      </w:r>
      <w:r w:rsidRPr="00BF1AA9">
        <w:rPr>
          <w:rFonts w:ascii="Times New Roman" w:hAnsi="Times New Roman"/>
          <w:b/>
          <w:noProof/>
          <w:sz w:val="24"/>
        </w:rPr>
        <w:t>resie ochrony</w:t>
      </w:r>
      <w:r w:rsidRPr="00BF1AA9">
        <w:rPr>
          <w:rFonts w:ascii="Times New Roman" w:hAnsi="Times New Roman"/>
          <w:noProof/>
          <w:sz w:val="24"/>
        </w:rPr>
        <w:t>. Ochrona granic (w tym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efach przedgranicznych) powinna być zorganizowana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porządzeniem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oraz kodeksem granicznym Schengen. Jeżeli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och</w:t>
      </w:r>
      <w:r w:rsidRPr="00BF1AA9">
        <w:rPr>
          <w:rFonts w:ascii="Times New Roman" w:hAnsi="Times New Roman"/>
          <w:noProof/>
          <w:sz w:val="24"/>
        </w:rPr>
        <w:t>ronę granic na poziomie krajowym zaangażowany jest więcej niż jeden organ, zainteresowane państwo członkowskie powinno wskazać właściwy organ krajowy odpowiedzialny za ogólny nadzór oraz za niezbędne mechanizmy dowodzenia, współpracy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koo</w:t>
      </w:r>
      <w:r w:rsidRPr="00BF1AA9">
        <w:rPr>
          <w:rFonts w:ascii="Times New Roman" w:hAnsi="Times New Roman"/>
          <w:noProof/>
          <w:sz w:val="24"/>
        </w:rPr>
        <w:t>rdynacji,</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zapewnić, by obowiązki poszczególnych organów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age</w:t>
      </w:r>
      <w:r w:rsidRPr="00BF1AA9">
        <w:rPr>
          <w:rFonts w:ascii="Times New Roman" w:hAnsi="Times New Roman"/>
          <w:noProof/>
          <w:sz w:val="24"/>
        </w:rPr>
        <w:t>ncji były uregulowane przepisami lub umowami</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wsp</w:t>
      </w:r>
      <w:r w:rsidRPr="00BF1AA9">
        <w:rPr>
          <w:rFonts w:ascii="Times New Roman" w:hAnsi="Times New Roman"/>
          <w:noProof/>
          <w:sz w:val="24"/>
        </w:rPr>
        <w:t>ółpracy. Krajowe zdolności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ochrony realizowane przez różne organy powinny funkcjonować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porządzeniem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oraz zaktualizowanym podręcznikiem EUROSUR-u.</w:t>
      </w:r>
    </w:p>
    <w:p w14:paraId="667BC5A0" w14:textId="559E27F0"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 poziomie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dane gromadzone przez różne organy,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raz</w:t>
      </w:r>
      <w:r w:rsidRPr="00BF1AA9">
        <w:rPr>
          <w:rFonts w:ascii="Times New Roman" w:hAnsi="Times New Roman"/>
          <w:noProof/>
          <w:sz w:val="24"/>
        </w:rPr>
        <w:t>ie potrzeby dla organów innych państw członkowskich, powinny być udostępniane za pośrednictwem krajowych ośrodków koordynacji.</w:t>
      </w:r>
    </w:p>
    <w:p w14:paraId="35597C0B" w14:textId="57C01235"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System </w:t>
      </w:r>
      <w:r w:rsidRPr="00BF1AA9">
        <w:rPr>
          <w:rFonts w:ascii="Times New Roman" w:hAnsi="Times New Roman"/>
          <w:b/>
          <w:noProof/>
          <w:sz w:val="24"/>
        </w:rPr>
        <w:t>ochrony granic morskich</w:t>
      </w:r>
      <w:r w:rsidRPr="00BF1AA9">
        <w:rPr>
          <w:rFonts w:ascii="Times New Roman" w:hAnsi="Times New Roman"/>
          <w:noProof/>
          <w:sz w:val="24"/>
        </w:rPr>
        <w:t xml:space="preserve"> musi umożliwiać wykrywanie, identyfikowanie oraz,</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raz</w:t>
      </w:r>
      <w:r w:rsidRPr="00BF1AA9">
        <w:rPr>
          <w:rFonts w:ascii="Times New Roman" w:hAnsi="Times New Roman"/>
          <w:noProof/>
          <w:sz w:val="24"/>
        </w:rPr>
        <w:t>ie potrzeby, śledzenie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echwytywanie wszystkich statków wpływających na wody terytorialne,</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przyczyniać się do zapewnienia ochrony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owania życia na morzu we wszystkich warunkach pogodowych oraz do zmniejszenia liczby osób</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nie</w:t>
      </w:r>
      <w:r w:rsidRPr="00BF1AA9">
        <w:rPr>
          <w:rFonts w:ascii="Times New Roman" w:hAnsi="Times New Roman"/>
          <w:noProof/>
          <w:sz w:val="24"/>
        </w:rPr>
        <w:t>uregulowanym statusie przybywających do UE. Państwa członkowskie powinny wykorzystywać zdolności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nadzoru oferowane przez Frontex, aby zwiększyć zdolności krajowe oraz ogólną znajomość sytuacji. Bliska współpraca międzyagencyjna między właściwymi krajowymi organami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Fronteksem, Europejską Agencją Bezpieczeństwa Morskiego (EMSA)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Eur</w:t>
      </w:r>
      <w:r w:rsidRPr="00BF1AA9">
        <w:rPr>
          <w:rFonts w:ascii="Times New Roman" w:hAnsi="Times New Roman"/>
          <w:noProof/>
          <w:sz w:val="24"/>
        </w:rPr>
        <w:t>opejską Agencją Kontroli Rybołówstwa (EFCA), jak również współpraca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mor</w:t>
      </w:r>
      <w:r w:rsidRPr="00BF1AA9">
        <w:rPr>
          <w:rFonts w:ascii="Times New Roman" w:hAnsi="Times New Roman"/>
          <w:noProof/>
          <w:sz w:val="24"/>
        </w:rPr>
        <w:t>skimi ratowniczymi centrami koordynacyjnymi, ma kluczowe znaczenie dla zapewnienia lepszej koordynacji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zakresie. </w:t>
      </w:r>
    </w:p>
    <w:p w14:paraId="44F88192" w14:textId="61CCF31E" w:rsidR="00F5602F" w:rsidRPr="00BF1AA9" w:rsidRDefault="00F5602F" w:rsidP="00377968">
      <w:pPr>
        <w:numPr>
          <w:ilvl w:val="0"/>
          <w:numId w:val="1"/>
        </w:numPr>
        <w:spacing w:after="200" w:line="276" w:lineRule="auto"/>
        <w:contextualSpacing/>
        <w:jc w:val="both"/>
        <w:rPr>
          <w:rFonts w:ascii="Times New Roman" w:hAnsi="Times New Roman"/>
          <w:noProof/>
          <w:sz w:val="24"/>
        </w:rPr>
      </w:pPr>
      <w:r w:rsidRPr="00BF1AA9">
        <w:rPr>
          <w:rFonts w:ascii="Times New Roman" w:hAnsi="Times New Roman"/>
          <w:b/>
          <w:noProof/>
          <w:sz w:val="24"/>
        </w:rPr>
        <w:t>System ochrony granic lądowych</w:t>
      </w:r>
      <w:r w:rsidRPr="00BF1AA9">
        <w:rPr>
          <w:rFonts w:ascii="Times New Roman" w:hAnsi="Times New Roman"/>
          <w:noProof/>
          <w:sz w:val="24"/>
        </w:rPr>
        <w:t xml:space="preserve"> musi umożliwiać ujawnianie wszystkich przypadków niedozwolonego przekraczania granic</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w:t>
      </w:r>
      <w:r w:rsidR="00BF1AA9">
        <w:rPr>
          <w:rFonts w:ascii="Times New Roman" w:hAnsi="Times New Roman"/>
          <w:noProof/>
          <w:sz w:val="24"/>
        </w:rPr>
        <w:t> </w:t>
      </w:r>
      <w:r w:rsidR="00BF1AA9" w:rsidRPr="00BF1AA9">
        <w:rPr>
          <w:rFonts w:ascii="Times New Roman" w:hAnsi="Times New Roman"/>
          <w:noProof/>
          <w:sz w:val="24"/>
        </w:rPr>
        <w:t>każ</w:t>
      </w:r>
      <w:r w:rsidRPr="00BF1AA9">
        <w:rPr>
          <w:rFonts w:ascii="Times New Roman" w:hAnsi="Times New Roman"/>
          <w:noProof/>
          <w:sz w:val="24"/>
        </w:rPr>
        <w:t>dych okolicznościach pozwalać na przechwytywanie osób nielegalnie przekraczających granicę</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zarach wysokiego ryzyka. Systemy ochrony granic lądowych mogą obejmować mobilne lub stacjonarne zdolności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inf</w:t>
      </w:r>
      <w:r w:rsidRPr="00BF1AA9">
        <w:rPr>
          <w:rFonts w:ascii="Times New Roman" w:hAnsi="Times New Roman"/>
          <w:noProof/>
          <w:sz w:val="24"/>
        </w:rPr>
        <w:t>rastrukturę oraz specjalnie wyszkolony personel. Preferowane powinny być najnowsze technologie oraz różne urządzenia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wiązania techniczne (tj. wykorzystanie bezzałogowych statków powietrznych). Gromadzenie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ego rodzaju przetwarzanie danych osobowych za pomocą takich technologii musi być przewidziane prawem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wyk</w:t>
      </w:r>
      <w:r w:rsidRPr="00BF1AA9">
        <w:rPr>
          <w:rFonts w:ascii="Times New Roman" w:hAnsi="Times New Roman"/>
          <w:noProof/>
          <w:sz w:val="24"/>
        </w:rPr>
        <w:t>onywane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wem Unii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wem krajowym,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dotyczącym ochrony danych osobowych.</w:t>
      </w:r>
    </w:p>
    <w:p w14:paraId="0C8F9423" w14:textId="580848EC"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Należy systematycznie prowadzić </w:t>
      </w:r>
      <w:r w:rsidRPr="00BF1AA9">
        <w:rPr>
          <w:rFonts w:ascii="Times New Roman" w:hAnsi="Times New Roman"/>
          <w:b/>
          <w:noProof/>
          <w:sz w:val="24"/>
        </w:rPr>
        <w:t>kontrolę przesiewową</w:t>
      </w:r>
      <w:r w:rsidRPr="00BF1AA9">
        <w:rPr>
          <w:rFonts w:ascii="Times New Roman" w:hAnsi="Times New Roman"/>
          <w:noProof/>
          <w:sz w:val="24"/>
        </w:rPr>
        <w:t xml:space="preserve"> osób, które przekroczyły granicę zewnętrzną,</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nie</w:t>
      </w:r>
      <w:r w:rsidRPr="00BF1AA9">
        <w:rPr>
          <w:rFonts w:ascii="Times New Roman" w:hAnsi="Times New Roman"/>
          <w:noProof/>
          <w:sz w:val="24"/>
        </w:rPr>
        <w:t xml:space="preserve"> zostały poddane odprawie granicznej. Celem kontroli przesiewowej jest m.in. identyfikacja osób, przeprowadzanie kontroli bezpieczeństwa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zdr</w:t>
      </w:r>
      <w:r w:rsidRPr="00BF1AA9">
        <w:rPr>
          <w:rFonts w:ascii="Times New Roman" w:hAnsi="Times New Roman"/>
          <w:noProof/>
          <w:sz w:val="24"/>
        </w:rPr>
        <w:t>owia oraz kierowanie osób poddawanych kontroli na odpowiednią ścieżkę proceduralną.</w:t>
      </w:r>
    </w:p>
    <w:p w14:paraId="7B32AAE0" w14:textId="72242752"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i/>
          <w:noProof/>
          <w:sz w:val="24"/>
          <w:szCs w:val="24"/>
        </w:rPr>
      </w:pPr>
      <w:r w:rsidRPr="00BF1AA9">
        <w:rPr>
          <w:rFonts w:ascii="Times New Roman" w:hAnsi="Times New Roman"/>
          <w:noProof/>
          <w:sz w:val="24"/>
        </w:rPr>
        <w:t>Na poziomie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 xml:space="preserve">jowym należy wzmocnić zdolność do </w:t>
      </w:r>
      <w:r w:rsidRPr="00BF1AA9">
        <w:rPr>
          <w:rFonts w:ascii="Times New Roman" w:hAnsi="Times New Roman"/>
          <w:b/>
          <w:noProof/>
          <w:sz w:val="24"/>
        </w:rPr>
        <w:t>wykrywania przestępczości transgranicznej</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ter</w:t>
      </w:r>
      <w:r w:rsidRPr="00BF1AA9">
        <w:rPr>
          <w:rFonts w:ascii="Times New Roman" w:hAnsi="Times New Roman"/>
          <w:b/>
          <w:noProof/>
          <w:sz w:val="24"/>
        </w:rPr>
        <w:t>roryzmu na granicach zewnętrznych oraz zapobiegania tym zjawiskom</w:t>
      </w:r>
      <w:r w:rsidRPr="00BF1AA9">
        <w:rPr>
          <w:rFonts w:ascii="Times New Roman" w:hAnsi="Times New Roman"/>
          <w:noProof/>
          <w:sz w:val="24"/>
        </w:rPr>
        <w:t>. Właściwe organy kontroli granicznej, we współpracy</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odpowiednimi organami ścigania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age</w:t>
      </w:r>
      <w:r w:rsidRPr="00BF1AA9">
        <w:rPr>
          <w:rFonts w:ascii="Times New Roman" w:hAnsi="Times New Roman"/>
          <w:noProof/>
          <w:sz w:val="24"/>
        </w:rPr>
        <w:t>ncjami UE, takimi jak Europol</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ntex, mogą przyczynić się do wykrywania przestępczości transgranicznej na granicach zewnętrznych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jej</w:t>
      </w:r>
      <w:r w:rsidRPr="00BF1AA9">
        <w:rPr>
          <w:rFonts w:ascii="Times New Roman" w:hAnsi="Times New Roman"/>
          <w:noProof/>
          <w:sz w:val="24"/>
        </w:rPr>
        <w:t xml:space="preserve"> zapobiegania,</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zwł</w:t>
      </w:r>
      <w:r w:rsidRPr="00BF1AA9">
        <w:rPr>
          <w:rFonts w:ascii="Times New Roman" w:hAnsi="Times New Roman"/>
          <w:noProof/>
          <w:sz w:val="24"/>
        </w:rPr>
        <w:t>aszcza do wykrywania zagranicznych bojowników terrorystycznych lub sprawców przestępstw transgranicznych, np. przemytników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han</w:t>
      </w:r>
      <w:r w:rsidRPr="00BF1AA9">
        <w:rPr>
          <w:rFonts w:ascii="Times New Roman" w:hAnsi="Times New Roman"/>
          <w:noProof/>
          <w:sz w:val="24"/>
        </w:rPr>
        <w:t>dlarzy bronią palną.</w:t>
      </w:r>
    </w:p>
    <w:p w14:paraId="61D23B00" w14:textId="366AC88C"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i/>
          <w:noProof/>
          <w:sz w:val="24"/>
          <w:szCs w:val="24"/>
        </w:rPr>
      </w:pPr>
      <w:r w:rsidRPr="00BF1AA9">
        <w:rPr>
          <w:rFonts w:ascii="Times New Roman" w:hAnsi="Times New Roman"/>
          <w:noProof/>
          <w:sz w:val="24"/>
        </w:rPr>
        <w:t>Podręcznik Fronteksu na temat wykrywania broni palnej jest ważnym narzędziem szkolenia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org</w:t>
      </w:r>
      <w:r w:rsidRPr="00BF1AA9">
        <w:rPr>
          <w:rFonts w:ascii="Times New Roman" w:hAnsi="Times New Roman"/>
          <w:noProof/>
          <w:sz w:val="24"/>
        </w:rPr>
        <w:t>anów celnych, nie tylko w UE, ale także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 xml:space="preserve">stwach sąsiadujących. </w:t>
      </w:r>
    </w:p>
    <w:p w14:paraId="592E50EE" w14:textId="7446F6E3"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i/>
          <w:noProof/>
          <w:sz w:val="24"/>
          <w:szCs w:val="24"/>
        </w:rPr>
      </w:pPr>
      <w:r w:rsidRPr="00BF1AA9">
        <w:rPr>
          <w:rFonts w:ascii="Times New Roman" w:hAnsi="Times New Roman"/>
          <w:noProof/>
          <w:sz w:val="24"/>
        </w:rPr>
        <w:t>Funkcjonariusze straży granicznej powinni być także przygotowani do identyfikowania ofiar przestępstw, zwłaszcza ofiar handlu ludźmi,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udz</w:t>
      </w:r>
      <w:r w:rsidRPr="00BF1AA9">
        <w:rPr>
          <w:rFonts w:ascii="Times New Roman" w:hAnsi="Times New Roman"/>
          <w:noProof/>
          <w:sz w:val="24"/>
        </w:rPr>
        <w:t>ielania im pierwszej pomocy,</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kierowania ich do odpowiednich służb.</w:t>
      </w:r>
    </w:p>
    <w:p w14:paraId="60E3A3CF" w14:textId="3FD2655F" w:rsidR="00F5602F" w:rsidRPr="00BF1AA9" w:rsidRDefault="00F5602F" w:rsidP="00377968">
      <w:pPr>
        <w:numPr>
          <w:ilvl w:val="0"/>
          <w:numId w:val="1"/>
        </w:numPr>
        <w:spacing w:after="200" w:line="276" w:lineRule="auto"/>
        <w:contextualSpacing/>
        <w:jc w:val="both"/>
        <w:rPr>
          <w:rFonts w:ascii="Times New Roman" w:eastAsia="Calibri" w:hAnsi="Times New Roman" w:cs="Times New Roman"/>
          <w:i/>
          <w:noProof/>
          <w:sz w:val="24"/>
          <w:szCs w:val="24"/>
        </w:rPr>
      </w:pPr>
      <w:r w:rsidRPr="00BF1AA9">
        <w:rPr>
          <w:rFonts w:ascii="Times New Roman" w:hAnsi="Times New Roman"/>
          <w:noProof/>
          <w:sz w:val="24"/>
        </w:rPr>
        <w:t>Funkcjonariusze straży granicznej powinni być odpowiednio przeszkoleni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dys</w:t>
      </w:r>
      <w:r w:rsidRPr="00BF1AA9">
        <w:rPr>
          <w:rFonts w:ascii="Times New Roman" w:hAnsi="Times New Roman"/>
          <w:noProof/>
          <w:sz w:val="24"/>
        </w:rPr>
        <w:t>ponować wystarczającą zdolnością oraz mechanizmami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cedurami dotyczącymi identyfikacji osób wymagających szczególnego traktowania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mał</w:t>
      </w:r>
      <w:r w:rsidRPr="00BF1AA9">
        <w:rPr>
          <w:rFonts w:ascii="Times New Roman" w:hAnsi="Times New Roman"/>
          <w:noProof/>
          <w:sz w:val="24"/>
        </w:rPr>
        <w:t>oletnich bez opieki oraz identyfikacji osób, które potrzebują ochrony międzynarodowej lub zamierzają się</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nią</w:t>
      </w:r>
      <w:r w:rsidRPr="00BF1AA9">
        <w:rPr>
          <w:rFonts w:ascii="Times New Roman" w:hAnsi="Times New Roman"/>
          <w:noProof/>
          <w:sz w:val="24"/>
        </w:rPr>
        <w:t xml:space="preserve"> ubiegać, tak by osoby te mogły zostać skierowane na odpowiednią ścieżkę proceduralną i do odpowiednich organów. </w:t>
      </w:r>
    </w:p>
    <w:p w14:paraId="181024E0" w14:textId="539DDAAC" w:rsidR="00F5602F" w:rsidRPr="00BF1AA9" w:rsidRDefault="00F5602F" w:rsidP="00377968">
      <w:pPr>
        <w:numPr>
          <w:ilvl w:val="0"/>
          <w:numId w:val="1"/>
        </w:numPr>
        <w:spacing w:after="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 przypadku poważnego zagrożenia dla porządku publicznego lub bezpieczeństwa wewnętrznego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stwie członkowskim kodeks graniczny Schengen pozwala danemu państwu członkowskiemu na tymczasowe przywrócenie kontroli na granicach wewnętrznych jako środka ostatecznego. Państwa członkowskie są jednak najpierw zobowiązane do zapewnienia konieczności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porcjonalności takich środków,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pie</w:t>
      </w:r>
      <w:r w:rsidRPr="00BF1AA9">
        <w:rPr>
          <w:rFonts w:ascii="Times New Roman" w:hAnsi="Times New Roman"/>
          <w:noProof/>
          <w:sz w:val="24"/>
        </w:rPr>
        <w:t>rwszej kolejności, poprzez zbadanie alternatywnych środków, które można by było wdrożyć, takich jak przeprowadzanie kontroli policyjnych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orz</w:t>
      </w:r>
      <w:r w:rsidRPr="00BF1AA9">
        <w:rPr>
          <w:rFonts w:ascii="Times New Roman" w:hAnsi="Times New Roman"/>
          <w:noProof/>
          <w:sz w:val="24"/>
        </w:rPr>
        <w:t>ecznictwem Trybunału Sprawiedliwości Unii Europejskiej</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ypadku gdy tymczasowe przywrócenie kontroli granicznej jest konieczne, państwa członkowskie powinny wdrożyć środki łagodzące, aby zminimalizować niekorzystne skutki dla podróżowania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efie Schengen.</w:t>
      </w:r>
    </w:p>
    <w:p w14:paraId="3E6375B3" w14:textId="77777777" w:rsidR="00F5602F" w:rsidRPr="00BF1AA9" w:rsidRDefault="00F5602F" w:rsidP="00377968">
      <w:pPr>
        <w:spacing w:after="200" w:line="276" w:lineRule="auto"/>
        <w:contextualSpacing/>
        <w:jc w:val="both"/>
        <w:rPr>
          <w:rFonts w:ascii="Times New Roman" w:eastAsia="Calibri" w:hAnsi="Times New Roman" w:cs="Times New Roman"/>
          <w:i/>
          <w:noProof/>
          <w:sz w:val="24"/>
          <w:szCs w:val="24"/>
        </w:rPr>
      </w:pPr>
    </w:p>
    <w:p w14:paraId="08A72315" w14:textId="79F2DCB8" w:rsidR="00F5602F" w:rsidRPr="00BF1AA9" w:rsidRDefault="00F5602F" w:rsidP="00377968">
      <w:pPr>
        <w:pBdr>
          <w:top w:val="single" w:sz="4" w:space="0"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b/>
          <w:noProof/>
          <w:sz w:val="24"/>
          <w:szCs w:val="24"/>
        </w:rPr>
      </w:pPr>
      <w:r w:rsidRPr="00BF1AA9">
        <w:rPr>
          <w:rFonts w:ascii="Times New Roman" w:hAnsi="Times New Roman"/>
          <w:b/>
          <w:noProof/>
          <w:sz w:val="24"/>
        </w:rPr>
        <w:t xml:space="preserve">Element 2: </w:t>
      </w:r>
      <w:r w:rsidRPr="00BF1AA9">
        <w:rPr>
          <w:rFonts w:ascii="Times New Roman" w:hAnsi="Times New Roman"/>
          <w:noProof/>
          <w:sz w:val="24"/>
        </w:rPr>
        <w:t>„akcj[e] poszukiwania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owania osób znajdujących się</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nie</w:t>
      </w:r>
      <w:r w:rsidRPr="00BF1AA9">
        <w:rPr>
          <w:rFonts w:ascii="Times New Roman" w:hAnsi="Times New Roman"/>
          <w:noProof/>
          <w:sz w:val="24"/>
        </w:rPr>
        <w:t>bezpieczeństwie na morzu, podejmowan[e]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wadzon[e]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porządzeniem (UE) nr</w:t>
      </w:r>
      <w:r w:rsidR="00BF1AA9" w:rsidRPr="00BF1AA9">
        <w:rPr>
          <w:rFonts w:ascii="Times New Roman" w:hAnsi="Times New Roman"/>
          <w:noProof/>
          <w:sz w:val="24"/>
        </w:rPr>
        <w:t> </w:t>
      </w:r>
      <w:r w:rsidRPr="00BF1AA9">
        <w:rPr>
          <w:rFonts w:ascii="Times New Roman" w:hAnsi="Times New Roman"/>
          <w:noProof/>
          <w:sz w:val="24"/>
        </w:rPr>
        <w:t>656/2014 oraz prawem międzynarodowym, mając[e] miejsce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syt</w:t>
      </w:r>
      <w:r w:rsidRPr="00BF1AA9">
        <w:rPr>
          <w:rFonts w:ascii="Times New Roman" w:hAnsi="Times New Roman"/>
          <w:noProof/>
          <w:sz w:val="24"/>
        </w:rPr>
        <w:t>uacjach, które mogą powstać podczas operacji ochrony granic morskich”</w:t>
      </w:r>
      <w:r w:rsidRPr="00BF1AA9">
        <w:rPr>
          <w:rFonts w:ascii="Times New Roman" w:eastAsia="Times New Roman" w:hAnsi="Times New Roman" w:cs="Times New Roman"/>
          <w:b/>
          <w:i/>
          <w:noProof/>
          <w:sz w:val="24"/>
          <w:szCs w:val="24"/>
          <w:vertAlign w:val="superscript"/>
          <w:lang w:eastAsia="en-GB"/>
        </w:rPr>
        <w:footnoteReference w:id="8"/>
      </w:r>
      <w:r w:rsidRPr="00BF1AA9">
        <w:rPr>
          <w:rFonts w:ascii="Times New Roman" w:hAnsi="Times New Roman"/>
          <w:noProof/>
          <w:sz w:val="24"/>
        </w:rPr>
        <w:t>.</w:t>
      </w:r>
    </w:p>
    <w:p w14:paraId="0EF981F2"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14FAE5ED"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Priorytety polityki</w:t>
      </w:r>
    </w:p>
    <w:p w14:paraId="785373BC"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348BEDCE" w14:textId="73099590"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Ochrona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owanie życia na granicach zewnętrznych to jeden</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pri</w:t>
      </w:r>
      <w:r w:rsidRPr="00BF1AA9">
        <w:rPr>
          <w:rFonts w:ascii="Times New Roman" w:hAnsi="Times New Roman"/>
          <w:noProof/>
          <w:sz w:val="24"/>
        </w:rPr>
        <w:t>orytetów europejskiego zintegrowanego zarządzania granicami. Zdolność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got</w:t>
      </w:r>
      <w:r w:rsidRPr="00BF1AA9">
        <w:rPr>
          <w:rFonts w:ascii="Times New Roman" w:hAnsi="Times New Roman"/>
          <w:noProof/>
          <w:sz w:val="24"/>
        </w:rPr>
        <w:t>owość operacyjna do prowadzenia akcji poszukiwania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owania oraz współpraca między wszystkimi zaangażowanymi podmiotami powinny stanowić ważną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egralną część operacji ochrony granic morskich na zewnętrznych granicach morskich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wypełnienia zobowiązań państw członkowskich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poszukiwania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ownictwa wynikających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wa Unii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wa międzynarodowego</w:t>
      </w:r>
      <w:r w:rsidRPr="00BF1AA9">
        <w:rPr>
          <w:rStyle w:val="FootnoteReference"/>
          <w:rFonts w:ascii="Times New Roman" w:eastAsia="Times New Roman" w:hAnsi="Times New Roman" w:cs="Times New Roman"/>
          <w:noProof/>
          <w:sz w:val="24"/>
          <w:szCs w:val="24"/>
          <w:lang w:eastAsia="en-GB"/>
        </w:rPr>
        <w:footnoteReference w:id="9"/>
      </w:r>
      <w:r w:rsidRPr="00BF1AA9">
        <w:rPr>
          <w:rFonts w:ascii="Times New Roman" w:hAnsi="Times New Roman"/>
          <w:noProof/>
          <w:sz w:val="24"/>
        </w:rPr>
        <w:t>.</w:t>
      </w:r>
    </w:p>
    <w:p w14:paraId="772ED113"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5A17AC8E"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Wytyczne strategiczne</w:t>
      </w:r>
    </w:p>
    <w:p w14:paraId="594397BB"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1120BA1A" w14:textId="2B80FA29" w:rsidR="00F5602F" w:rsidRPr="00BF1AA9"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zacieśnić współpracę między organami państw członkowskich odpowiedzialnymi za poszukiwanie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ownictwo oraz</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organami potencjalnie zaangażowanymi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ałania poszukiwawcze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ownicze,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poprzez wspieranie dialogu ze wszystkimi odpowiednimi podmiotami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tej</w:t>
      </w:r>
      <w:r w:rsidRPr="00BF1AA9">
        <w:rPr>
          <w:rFonts w:ascii="Times New Roman" w:hAnsi="Times New Roman"/>
          <w:noProof/>
          <w:sz w:val="24"/>
        </w:rPr>
        <w:t xml:space="preserve"> dziedzinie. Ściślejsza współpraca ma ograniczyć liczbę ofiar śmiertelnych na morzu, utrzymać bezpieczeństwo żeglugi oraz zapewnić skuteczne zarządzanie migracjami,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wła</w:t>
      </w:r>
      <w:r w:rsidRPr="00BF1AA9">
        <w:rPr>
          <w:rFonts w:ascii="Times New Roman" w:hAnsi="Times New Roman"/>
          <w:noProof/>
          <w:sz w:val="24"/>
        </w:rPr>
        <w:t>ściwymi zobowiązaniami prawnymi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zal</w:t>
      </w:r>
      <w:r w:rsidRPr="00BF1AA9">
        <w:rPr>
          <w:rFonts w:ascii="Times New Roman" w:hAnsi="Times New Roman"/>
          <w:noProof/>
          <w:sz w:val="24"/>
        </w:rPr>
        <w:t>eceniem Komisji (UE) 2020/1365</w:t>
      </w:r>
      <w:r w:rsidRPr="00BF1AA9">
        <w:rPr>
          <w:rFonts w:ascii="Times New Roman" w:eastAsia="Calibri" w:hAnsi="Times New Roman" w:cs="Times New Roman"/>
          <w:noProof/>
          <w:sz w:val="24"/>
          <w:szCs w:val="24"/>
          <w:vertAlign w:val="superscript"/>
        </w:rPr>
        <w:footnoteReference w:id="10"/>
      </w:r>
      <w:r w:rsidRPr="00BF1AA9">
        <w:rPr>
          <w:rFonts w:ascii="Times New Roman" w:hAnsi="Times New Roman"/>
          <w:noProof/>
          <w:sz w:val="24"/>
        </w:rPr>
        <w:t>.</w:t>
      </w:r>
    </w:p>
    <w:p w14:paraId="2F9030C4" w14:textId="76747A99" w:rsidR="00F5602F" w:rsidRPr="00BF1AA9"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Podejście do poszukiwania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ownictwa powinno być bardziej skoordynowane, przy czym europejska grupa kontaktowa ds. działań poszukiwawczo-ratowniczych powinna udoskonalić środki współpracy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koo</w:t>
      </w:r>
      <w:r w:rsidRPr="00BF1AA9">
        <w:rPr>
          <w:rFonts w:ascii="Times New Roman" w:hAnsi="Times New Roman"/>
          <w:noProof/>
          <w:sz w:val="24"/>
        </w:rPr>
        <w:t>rdynacji między państwami bandery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nadbrzeżnymi oraz opracować najlepsze praktyki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terminowej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nej wymiany informacji</w:t>
      </w:r>
      <w:r w:rsidRPr="00BF1AA9">
        <w:rPr>
          <w:rStyle w:val="FootnoteReference"/>
          <w:rFonts w:ascii="Times New Roman" w:hAnsi="Times New Roman" w:cs="Times New Roman"/>
          <w:noProof/>
          <w:sz w:val="24"/>
          <w:szCs w:val="24"/>
        </w:rPr>
        <w:footnoteReference w:id="11"/>
      </w:r>
      <w:r w:rsidRPr="00BF1AA9">
        <w:rPr>
          <w:rFonts w:ascii="Times New Roman" w:hAnsi="Times New Roman"/>
          <w:noProof/>
          <w:sz w:val="24"/>
        </w:rPr>
        <w:t>.</w:t>
      </w:r>
    </w:p>
    <w:p w14:paraId="49ABA752" w14:textId="6A29D4DE" w:rsidR="00F5602F" w:rsidRPr="00BF1AA9"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Organy UE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 członkowskich powinny wzmocnić współpracę</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pri</w:t>
      </w:r>
      <w:r w:rsidRPr="00BF1AA9">
        <w:rPr>
          <w:rFonts w:ascii="Times New Roman" w:hAnsi="Times New Roman"/>
          <w:noProof/>
          <w:sz w:val="24"/>
        </w:rPr>
        <w:t>orytetowymi państwami trzecimi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org</w:t>
      </w:r>
      <w:r w:rsidRPr="00BF1AA9">
        <w:rPr>
          <w:rFonts w:ascii="Times New Roman" w:hAnsi="Times New Roman"/>
          <w:noProof/>
          <w:sz w:val="24"/>
        </w:rPr>
        <w:t>anizacjami międzynarodowymi,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dzięki zacieśnieniu współpracy operacyjnej organów państw trzecich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age</w:t>
      </w:r>
      <w:r w:rsidRPr="00BF1AA9">
        <w:rPr>
          <w:rFonts w:ascii="Times New Roman" w:hAnsi="Times New Roman"/>
          <w:noProof/>
          <w:sz w:val="24"/>
        </w:rPr>
        <w:t xml:space="preserve">ncjami UE. </w:t>
      </w:r>
    </w:p>
    <w:p w14:paraId="593EBFA4" w14:textId="72B43060" w:rsidR="00F5602F" w:rsidRPr="00BF1AA9"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Odpowiedzialność państw członkowskich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poszukiwania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ownictwa powinna być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uwzględniana na wszystkich etapach planowania operacyjnego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lizacji operacji ochrony granic morskich przez Agencję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 członkowskie. Należy poczynić standardowe ustalenia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yjąć obowiązujące procedury działania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org</w:t>
      </w:r>
      <w:r w:rsidRPr="00BF1AA9">
        <w:rPr>
          <w:rFonts w:ascii="Times New Roman" w:hAnsi="Times New Roman"/>
          <w:noProof/>
          <w:sz w:val="24"/>
        </w:rPr>
        <w:t>anami państw członkowskich odpowiedzialnymi za poszukiwanie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ownictwo (morskie ratownicze centrum koordynacyjne), krajowym ośrodkiem koordynacji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mię</w:t>
      </w:r>
      <w:r w:rsidRPr="00BF1AA9">
        <w:rPr>
          <w:rFonts w:ascii="Times New Roman" w:hAnsi="Times New Roman"/>
          <w:noProof/>
          <w:sz w:val="24"/>
        </w:rPr>
        <w:t>dzynarodowym ośrodkiem koordynacyjnym oraz poddawać je regularnym testom. Należy również zbadać możliwości ustanowienia podobnych mechanizmów koordynacji między państwami członkowskimi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jami partnerskimi. Ponadto wszystkie patrole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zas</w:t>
      </w:r>
      <w:r w:rsidRPr="00BF1AA9">
        <w:rPr>
          <w:rFonts w:ascii="Times New Roman" w:hAnsi="Times New Roman"/>
          <w:noProof/>
          <w:sz w:val="24"/>
        </w:rPr>
        <w:t>oby techniczne zaangażowane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och</w:t>
      </w:r>
      <w:r w:rsidRPr="00BF1AA9">
        <w:rPr>
          <w:rFonts w:ascii="Times New Roman" w:hAnsi="Times New Roman"/>
          <w:noProof/>
          <w:sz w:val="24"/>
        </w:rPr>
        <w:t>ronę granic morskich, uwzględniając wspólne operacje lub szybkie interwencje na granicy na morzu koordynowane przez Frontex, powinny być odpowiednio przeszkolone,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praw podstawowych,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owiednio wyposażone na potrzeby ewentualnych interwencji poszukiwawczo-ratowniczych,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powinny mieć zdolność do pełnienia funkcji koordynatorów na miejscu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raz</w:t>
      </w:r>
      <w:r w:rsidRPr="00BF1AA9">
        <w:rPr>
          <w:rFonts w:ascii="Times New Roman" w:hAnsi="Times New Roman"/>
          <w:noProof/>
          <w:sz w:val="24"/>
        </w:rPr>
        <w:t>ie potrzeby.</w:t>
      </w:r>
    </w:p>
    <w:p w14:paraId="574AE206" w14:textId="17F62E0C" w:rsidR="00F5602F" w:rsidRPr="00BF1AA9"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jeszcze bardziej zwiększyć zdolność do wspierania interwencji poszukiwawczo-ratowniczych dzięki zapewnieniu niezbędnych szkoleń dla personelu uczestniczącego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racjach ochrony granic morskich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Agencja powinna przeprowadzać ocenę potrzeb</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zap</w:t>
      </w:r>
      <w:r w:rsidRPr="00BF1AA9">
        <w:rPr>
          <w:rFonts w:ascii="Times New Roman" w:hAnsi="Times New Roman"/>
          <w:noProof/>
          <w:sz w:val="24"/>
        </w:rPr>
        <w:t>ewniać państwom członkowskim większe wsparcie operacyjne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tec</w:t>
      </w:r>
      <w:r w:rsidRPr="00BF1AA9">
        <w:rPr>
          <w:rFonts w:ascii="Times New Roman" w:hAnsi="Times New Roman"/>
          <w:noProof/>
          <w:sz w:val="24"/>
        </w:rPr>
        <w:t>hniczne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swoich kompetencji,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rozmieszczanie zasobów, aby poprawić zdolności tych państw,</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samym przyczyniać się do ratowania życia na morzu.</w:t>
      </w:r>
    </w:p>
    <w:p w14:paraId="6ECDEC26" w14:textId="6A7B397A" w:rsidR="00F5602F" w:rsidRPr="00BF1AA9" w:rsidRDefault="00F5602F" w:rsidP="00377968">
      <w:pPr>
        <w:numPr>
          <w:ilvl w:val="0"/>
          <w:numId w:val="2"/>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Potencjał EUROSUR-u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wspierania akcji poszukiwania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owania oraz ratowania życia na morzu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syt</w:t>
      </w:r>
      <w:r w:rsidRPr="00BF1AA9">
        <w:rPr>
          <w:rFonts w:ascii="Times New Roman" w:hAnsi="Times New Roman"/>
          <w:noProof/>
          <w:sz w:val="24"/>
        </w:rPr>
        <w:t>uacjach, które mogą wystąpić podczas operacji ochrony granic na morzu, powinien być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wdrożony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wyk</w:t>
      </w:r>
      <w:r w:rsidRPr="00BF1AA9">
        <w:rPr>
          <w:rFonts w:ascii="Times New Roman" w:hAnsi="Times New Roman"/>
          <w:noProof/>
          <w:sz w:val="24"/>
        </w:rPr>
        <w:t>orzystywany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porządzeniem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oraz rozporządzeniem wykonawczym Komisji (UE) 2021/581</w:t>
      </w:r>
      <w:r w:rsidRPr="00BF1AA9">
        <w:rPr>
          <w:rFonts w:ascii="Times New Roman" w:eastAsia="Calibri" w:hAnsi="Times New Roman" w:cs="Times New Roman"/>
          <w:noProof/>
          <w:sz w:val="24"/>
          <w:szCs w:val="24"/>
          <w:vertAlign w:val="superscript"/>
        </w:rPr>
        <w:footnoteReference w:id="12"/>
      </w:r>
      <w:r w:rsidRPr="00BF1AA9">
        <w:rPr>
          <w:rFonts w:ascii="Times New Roman" w:hAnsi="Times New Roman"/>
          <w:noProof/>
          <w:sz w:val="24"/>
        </w:rPr>
        <w:t>.</w:t>
      </w:r>
    </w:p>
    <w:p w14:paraId="6CE96430" w14:textId="77777777"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p>
    <w:p w14:paraId="50B58557" w14:textId="77777777" w:rsidR="00F5602F" w:rsidRPr="00BF1AA9"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BF1AA9">
        <w:rPr>
          <w:rFonts w:ascii="Times New Roman" w:hAnsi="Times New Roman"/>
          <w:b/>
          <w:noProof/>
          <w:sz w:val="24"/>
        </w:rPr>
        <w:t>Element 3</w:t>
      </w:r>
      <w:r w:rsidRPr="00BF1AA9">
        <w:rPr>
          <w:rFonts w:ascii="Times New Roman" w:hAnsi="Times New Roman"/>
          <w:noProof/>
          <w:sz w:val="24"/>
        </w:rPr>
        <w:t>: „analiz[a] ryzyka dla bezpieczeństwa wewnętrznego oraz analiz[a] zagrożeń, które mogą wpłynąć na funkcjonowanie lub bezpieczeństwo granic zewnętrznych”</w:t>
      </w:r>
      <w:r w:rsidRPr="00BF1AA9">
        <w:rPr>
          <w:rFonts w:ascii="Times New Roman" w:eastAsia="Times New Roman" w:hAnsi="Times New Roman" w:cs="Times New Roman"/>
          <w:i/>
          <w:noProof/>
          <w:sz w:val="24"/>
          <w:szCs w:val="24"/>
          <w:vertAlign w:val="superscript"/>
          <w:lang w:eastAsia="en-GB"/>
        </w:rPr>
        <w:footnoteReference w:id="13"/>
      </w:r>
      <w:r w:rsidRPr="00BF1AA9">
        <w:rPr>
          <w:rFonts w:ascii="Times New Roman" w:hAnsi="Times New Roman"/>
          <w:noProof/>
          <w:sz w:val="24"/>
        </w:rPr>
        <w:t>.</w:t>
      </w:r>
    </w:p>
    <w:p w14:paraId="5EC936D7"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6849C6F2"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Priorytety polityki</w:t>
      </w:r>
    </w:p>
    <w:p w14:paraId="716220E1"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5C945850" w14:textId="23A5EB54" w:rsidR="00F5602F" w:rsidRPr="00BF1AA9" w:rsidRDefault="00F5602F" w:rsidP="00377968">
      <w:pPr>
        <w:widowControl w:val="0"/>
        <w:autoSpaceDE w:val="0"/>
        <w:autoSpaceDN w:val="0"/>
        <w:adjustRightInd w:val="0"/>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Europejskie zintegrowane zarządzanie granicami powinno opierać się na analizie ryzyka.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powinny być dostępne wiarygodne, kompleksowe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zin</w:t>
      </w:r>
      <w:r w:rsidRPr="00BF1AA9">
        <w:rPr>
          <w:rFonts w:ascii="Times New Roman" w:hAnsi="Times New Roman"/>
          <w:noProof/>
          <w:sz w:val="24"/>
        </w:rPr>
        <w:t>tegrowane analizy ryzyka, które należy wykorzystywać do celów planowania politycznego, strategicznego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racyjnego oraz podejmowania decyzji. Analiza ryzyka powinna dostarczać wniosków</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ana</w:t>
      </w:r>
      <w:r w:rsidRPr="00BF1AA9">
        <w:rPr>
          <w:rFonts w:ascii="Times New Roman" w:hAnsi="Times New Roman"/>
          <w:noProof/>
          <w:sz w:val="24"/>
        </w:rPr>
        <w:t>liz oraz zaleceń dotyczących koncepcji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kretnych działań (prawnych, technicznych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racyjnych), aby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owiednim czasie ograniczyć obecne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pot</w:t>
      </w:r>
      <w:r w:rsidRPr="00BF1AA9">
        <w:rPr>
          <w:rFonts w:ascii="Times New Roman" w:hAnsi="Times New Roman"/>
          <w:noProof/>
          <w:sz w:val="24"/>
        </w:rPr>
        <w:t>encjalne ryzyko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sła</w:t>
      </w:r>
      <w:r w:rsidRPr="00BF1AA9">
        <w:rPr>
          <w:rFonts w:ascii="Times New Roman" w:hAnsi="Times New Roman"/>
          <w:noProof/>
          <w:sz w:val="24"/>
        </w:rPr>
        <w:t>be punkty obejmujące cały zakres europejskiego zintegrowanego zarządzania granicami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w:t>
      </w:r>
    </w:p>
    <w:p w14:paraId="420CE994" w14:textId="77777777" w:rsidR="00F5602F" w:rsidRPr="00BF1AA9" w:rsidRDefault="00F5602F" w:rsidP="00377968">
      <w:pPr>
        <w:widowControl w:val="0"/>
        <w:autoSpaceDE w:val="0"/>
        <w:autoSpaceDN w:val="0"/>
        <w:adjustRightInd w:val="0"/>
        <w:spacing w:after="0" w:line="240" w:lineRule="auto"/>
        <w:jc w:val="both"/>
        <w:rPr>
          <w:rFonts w:ascii="Times New Roman" w:eastAsia="Times New Roman" w:hAnsi="Times New Roman" w:cs="Times New Roman"/>
          <w:noProof/>
          <w:sz w:val="24"/>
          <w:szCs w:val="24"/>
          <w:u w:val="single"/>
          <w:lang w:eastAsia="en-GB"/>
        </w:rPr>
      </w:pPr>
    </w:p>
    <w:p w14:paraId="0469978E" w14:textId="77777777" w:rsidR="00F5602F" w:rsidRPr="00BF1AA9" w:rsidRDefault="00F5602F" w:rsidP="00377968">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sidRPr="00BF1AA9">
        <w:rPr>
          <w:rFonts w:ascii="Times New Roman" w:hAnsi="Times New Roman"/>
          <w:noProof/>
          <w:sz w:val="24"/>
          <w:u w:val="single"/>
        </w:rPr>
        <w:t>Wytyczne strategiczne</w:t>
      </w:r>
    </w:p>
    <w:p w14:paraId="61E7CC52" w14:textId="77777777" w:rsidR="00F5602F" w:rsidRPr="00BF1AA9" w:rsidRDefault="00F5602F" w:rsidP="00377968">
      <w:pPr>
        <w:widowControl w:val="0"/>
        <w:autoSpaceDE w:val="0"/>
        <w:autoSpaceDN w:val="0"/>
        <w:adjustRightInd w:val="0"/>
        <w:spacing w:after="200" w:line="276" w:lineRule="auto"/>
        <w:ind w:left="360"/>
        <w:contextualSpacing/>
        <w:jc w:val="both"/>
        <w:rPr>
          <w:rFonts w:ascii="Times New Roman" w:eastAsia="Calibri" w:hAnsi="Times New Roman" w:cs="Times New Roman"/>
          <w:noProof/>
          <w:sz w:val="24"/>
          <w:szCs w:val="24"/>
        </w:rPr>
      </w:pPr>
    </w:p>
    <w:p w14:paraId="1496464D" w14:textId="6779E69E" w:rsidR="00F5602F" w:rsidRPr="00BF1AA9"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Europejski </w:t>
      </w:r>
      <w:r w:rsidRPr="00BF1AA9">
        <w:rPr>
          <w:rFonts w:ascii="Times New Roman" w:hAnsi="Times New Roman"/>
          <w:b/>
          <w:noProof/>
          <w:sz w:val="24"/>
        </w:rPr>
        <w:t>wspólny zintegrowany model analizy ryzyka</w:t>
      </w:r>
      <w:r w:rsidRPr="00BF1AA9">
        <w:rPr>
          <w:rFonts w:ascii="Times New Roman" w:hAnsi="Times New Roman"/>
          <w:noProof/>
          <w:sz w:val="24"/>
        </w:rPr>
        <w:t>, przyjęty przez zarząd Fronteksu</w:t>
      </w:r>
      <w:r w:rsidRPr="00BF1AA9">
        <w:rPr>
          <w:rFonts w:ascii="Times New Roman" w:eastAsia="Calibri" w:hAnsi="Times New Roman" w:cs="Times New Roman"/>
          <w:noProof/>
          <w:sz w:val="24"/>
          <w:szCs w:val="24"/>
          <w:vertAlign w:val="superscript"/>
        </w:rPr>
        <w:footnoteReference w:id="14"/>
      </w:r>
      <w:r w:rsidRPr="00BF1AA9">
        <w:rPr>
          <w:rFonts w:ascii="Times New Roman" w:hAnsi="Times New Roman"/>
          <w:noProof/>
          <w:sz w:val="24"/>
        </w:rPr>
        <w:t>, musi być regularnie aktualizowany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sto</w:t>
      </w:r>
      <w:r w:rsidRPr="00BF1AA9">
        <w:rPr>
          <w:rFonts w:ascii="Times New Roman" w:hAnsi="Times New Roman"/>
          <w:noProof/>
          <w:sz w:val="24"/>
        </w:rPr>
        <w:t>sowany przez wszystkie państwa członkowskie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w:t>
      </w:r>
    </w:p>
    <w:p w14:paraId="6413A9A6" w14:textId="00DD38F0" w:rsidR="00F5602F" w:rsidRPr="00BF1AA9"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Aby wspierać wspólne działania UE na rzecz poprawy zarządzania granicami zewnętrznymi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utr</w:t>
      </w:r>
      <w:r w:rsidRPr="00BF1AA9">
        <w:rPr>
          <w:rFonts w:ascii="Times New Roman" w:hAnsi="Times New Roman"/>
          <w:noProof/>
          <w:sz w:val="24"/>
        </w:rPr>
        <w:t>zymania bezpieczeństwa wewnętrznego, państwa członkowskie powinny ustanowić wymagane krajowe zdolności (organizacyjne, administracyjne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tec</w:t>
      </w:r>
      <w:r w:rsidRPr="00BF1AA9">
        <w:rPr>
          <w:rFonts w:ascii="Times New Roman" w:hAnsi="Times New Roman"/>
          <w:noProof/>
          <w:sz w:val="24"/>
        </w:rPr>
        <w:t>hniczne) do przeprowadzania jednolitych analiz ryzyka, planowania ewentualnościowego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oce</w:t>
      </w:r>
      <w:r w:rsidRPr="00BF1AA9">
        <w:rPr>
          <w:rFonts w:ascii="Times New Roman" w:hAnsi="Times New Roman"/>
          <w:noProof/>
          <w:sz w:val="24"/>
        </w:rPr>
        <w:t>n narażenia. Wyniki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cedury analizy ryzyka dostarczane przez Frontex powinny zostać włączone do krajowego procesu opracowywania analizy ryzyka na potrzeby zintegrowanego zarządzania granicami, obejmującego wszystkie poziomy czteropoziomowego modelu kontroli dostępu.</w:t>
      </w:r>
    </w:p>
    <w:p w14:paraId="61602F8D" w14:textId="2AB99689" w:rsidR="00F5602F" w:rsidRPr="00BF1AA9"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utworzyć wyspecjalizowane struktury ds. analizy ryzyka, uprawnione do gromadzenia, przetwarzania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zes</w:t>
      </w:r>
      <w:r w:rsidRPr="00BF1AA9">
        <w:rPr>
          <w:rFonts w:ascii="Times New Roman" w:hAnsi="Times New Roman"/>
          <w:noProof/>
          <w:sz w:val="24"/>
        </w:rPr>
        <w:t>tawiania odpowiednich danych pochodzących od wszystkich organów krajowych zaangażowanych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zin</w:t>
      </w:r>
      <w:r w:rsidRPr="00BF1AA9">
        <w:rPr>
          <w:rFonts w:ascii="Times New Roman" w:hAnsi="Times New Roman"/>
          <w:noProof/>
          <w:sz w:val="24"/>
        </w:rPr>
        <w:t>tegrowane zarządzanie granicami, które to struktury będą obsługiwane przez wystarczającą liczbę wyspecjalizowanych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eszkolonych pracowników.</w:t>
      </w:r>
    </w:p>
    <w:p w14:paraId="420D23CB" w14:textId="61E35AC2" w:rsidR="00F5602F" w:rsidRPr="00BF1AA9"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Chociaż oceny ryzyka powinny być zawsze przeprowadzane przed rozpoczęciem wspólnych działań operacyjnych koordynowanych przez Frontex</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w:t>
      </w:r>
      <w:r w:rsidR="00BF1AA9">
        <w:rPr>
          <w:rFonts w:ascii="Times New Roman" w:hAnsi="Times New Roman"/>
          <w:noProof/>
          <w:sz w:val="24"/>
        </w:rPr>
        <w:t> </w:t>
      </w:r>
      <w:r w:rsidR="00BF1AA9" w:rsidRPr="00BF1AA9">
        <w:rPr>
          <w:rFonts w:ascii="Times New Roman" w:hAnsi="Times New Roman"/>
          <w:noProof/>
          <w:sz w:val="24"/>
        </w:rPr>
        <w:t>ich</w:t>
      </w:r>
      <w:r w:rsidRPr="00BF1AA9">
        <w:rPr>
          <w:rFonts w:ascii="Times New Roman" w:hAnsi="Times New Roman"/>
          <w:noProof/>
          <w:sz w:val="24"/>
        </w:rPr>
        <w:t xml:space="preserve"> trakcie, Agencja powinna dalej rozwijać swoje zdolności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dostarczania doraźnych wyników analizy ryzyka obejmujących pojawiające się zagrożenia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wsp</w:t>
      </w:r>
      <w:r w:rsidRPr="00BF1AA9">
        <w:rPr>
          <w:rFonts w:ascii="Times New Roman" w:hAnsi="Times New Roman"/>
          <w:noProof/>
          <w:sz w:val="24"/>
        </w:rPr>
        <w:t>ierających procesy zarządzania kryzysowego.</w:t>
      </w:r>
    </w:p>
    <w:p w14:paraId="0D22E7FC" w14:textId="1581C15E" w:rsidR="00F5602F" w:rsidRPr="00BF1AA9"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 dziedzinie analizy ryzyka należy dalej zacieśniać współpracę między odpowiednimi organami unijnymi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jowymi, takimi jak organy celne, zwłaszcza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nteksem, Europolem, Agencją Unii Europejskiej ds. Zarządzania Operacyjnego Wielkoskalowymi Systemami Informatycznymi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estrzeni Wolności, Bezpieczeństwa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awiedliwości (eu-LISA), Agencją Praw Podstawowych Unii Europejskiej (FRA), Agencją Unii Europejskiej ds. Azylu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isją (w tym,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sto</w:t>
      </w:r>
      <w:r w:rsidRPr="00BF1AA9">
        <w:rPr>
          <w:rFonts w:ascii="Times New Roman" w:hAnsi="Times New Roman"/>
          <w:noProof/>
          <w:sz w:val="24"/>
        </w:rPr>
        <w:t>sownych przypadkach, OLAF-em) oraz między tymi organami. Ma to zagwarantować bardziej kompleksową analizę związaną</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zag</w:t>
      </w:r>
      <w:r w:rsidRPr="00BF1AA9">
        <w:rPr>
          <w:rFonts w:ascii="Times New Roman" w:hAnsi="Times New Roman"/>
          <w:noProof/>
          <w:sz w:val="24"/>
        </w:rPr>
        <w:t>rożeniami dla integralności granic zewnętrznych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bez</w:t>
      </w:r>
      <w:r w:rsidRPr="00BF1AA9">
        <w:rPr>
          <w:rFonts w:ascii="Times New Roman" w:hAnsi="Times New Roman"/>
          <w:noProof/>
          <w:sz w:val="24"/>
        </w:rPr>
        <w:t>pieczeństwa wewnętrznego,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prawidłowego funkcjonowania strefy Schengen. Należy zacieśnić współpracę między Europolem</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nteksem przy przygotowywaniu oceny zagrożenia poważną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zor</w:t>
      </w:r>
      <w:r w:rsidRPr="00BF1AA9">
        <w:rPr>
          <w:rFonts w:ascii="Times New Roman" w:hAnsi="Times New Roman"/>
          <w:noProof/>
          <w:sz w:val="24"/>
        </w:rPr>
        <w:t>ganizowaną przestępczością</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Uni</w:t>
      </w:r>
      <w:r w:rsidRPr="00BF1AA9">
        <w:rPr>
          <w:rFonts w:ascii="Times New Roman" w:hAnsi="Times New Roman"/>
          <w:noProof/>
          <w:sz w:val="24"/>
        </w:rPr>
        <w:t>i Europejskiej (EU SOCTA)</w:t>
      </w:r>
      <w:r w:rsidRPr="00BF1AA9">
        <w:rPr>
          <w:rStyle w:val="FootnoteReference"/>
          <w:rFonts w:ascii="Times New Roman" w:eastAsia="Calibri" w:hAnsi="Times New Roman" w:cs="Times New Roman"/>
          <w:noProof/>
          <w:sz w:val="24"/>
          <w:szCs w:val="24"/>
        </w:rPr>
        <w:footnoteReference w:id="15"/>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ych sprawozdań,</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uwa</w:t>
      </w:r>
      <w:r w:rsidRPr="00BF1AA9">
        <w:rPr>
          <w:rFonts w:ascii="Times New Roman" w:hAnsi="Times New Roman"/>
          <w:noProof/>
          <w:sz w:val="24"/>
        </w:rPr>
        <w:t>gi na wartość dodaną, jaką może zapewnić analiza ryzyka przeprowadzona przez Frontex</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iesieniu do wykrywania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ści</w:t>
      </w:r>
      <w:r w:rsidRPr="00BF1AA9">
        <w:rPr>
          <w:rFonts w:ascii="Times New Roman" w:hAnsi="Times New Roman"/>
          <w:noProof/>
          <w:sz w:val="24"/>
        </w:rPr>
        <w:t>gania przestępczości transgranicznej na granicach zewnętrznych</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pla</w:t>
      </w:r>
      <w:r w:rsidRPr="00BF1AA9">
        <w:rPr>
          <w:rFonts w:ascii="Times New Roman" w:hAnsi="Times New Roman"/>
          <w:noProof/>
          <w:sz w:val="24"/>
        </w:rPr>
        <w:t>nie działania UE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nielegalnego handlu bronią palną na lata 2020–2025 zapowiedziano zmianę rozporządzenia (UE) nr</w:t>
      </w:r>
      <w:r w:rsidR="00BF1AA9" w:rsidRPr="00BF1AA9">
        <w:rPr>
          <w:rFonts w:ascii="Times New Roman" w:hAnsi="Times New Roman"/>
          <w:noProof/>
          <w:sz w:val="24"/>
        </w:rPr>
        <w:t> </w:t>
      </w:r>
      <w:r w:rsidRPr="00BF1AA9">
        <w:rPr>
          <w:rFonts w:ascii="Times New Roman" w:hAnsi="Times New Roman"/>
          <w:noProof/>
          <w:sz w:val="24"/>
        </w:rPr>
        <w:t>258/2012</w:t>
      </w:r>
      <w:r w:rsidRPr="00BF1AA9">
        <w:rPr>
          <w:rStyle w:val="FootnoteReference"/>
          <w:rFonts w:ascii="Times New Roman" w:eastAsia="Calibri" w:hAnsi="Times New Roman" w:cs="Times New Roman"/>
          <w:noProof/>
          <w:sz w:val="24"/>
          <w:szCs w:val="24"/>
        </w:rPr>
        <w:footnoteReference w:id="16"/>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paź</w:t>
      </w:r>
      <w:r w:rsidRPr="00BF1AA9">
        <w:rPr>
          <w:rFonts w:ascii="Times New Roman" w:hAnsi="Times New Roman"/>
          <w:noProof/>
          <w:sz w:val="24"/>
        </w:rPr>
        <w:t>dzierniku 2022</w:t>
      </w:r>
      <w:r w:rsidR="00BF1AA9" w:rsidRPr="00BF1AA9">
        <w:rPr>
          <w:rFonts w:ascii="Times New Roman" w:hAnsi="Times New Roman"/>
          <w:noProof/>
          <w:sz w:val="24"/>
        </w:rPr>
        <w:t> </w:t>
      </w:r>
      <w:r w:rsidRPr="00BF1AA9">
        <w:rPr>
          <w:rFonts w:ascii="Times New Roman" w:hAnsi="Times New Roman"/>
          <w:noProof/>
          <w:sz w:val="24"/>
        </w:rPr>
        <w:t>r. Komisja przyjęła wniosek dotyczący przekształcenia tego rozporządzenia, aby lepiej uwzględnić przywóz, wywóz</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tra</w:t>
      </w:r>
      <w:r w:rsidRPr="00BF1AA9">
        <w:rPr>
          <w:rFonts w:ascii="Times New Roman" w:hAnsi="Times New Roman"/>
          <w:noProof/>
          <w:sz w:val="24"/>
        </w:rPr>
        <w:t>nzyt broni palnej do użytku cywilnego. We wniosku</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ekształcenie skoncentrowano się między innymi na lepszej analizie ryzyka poprzez wymianę informacji między różnymi organami zaangażowanymi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ywóz, wywóz</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tra</w:t>
      </w:r>
      <w:r w:rsidRPr="00BF1AA9">
        <w:rPr>
          <w:rFonts w:ascii="Times New Roman" w:hAnsi="Times New Roman"/>
          <w:noProof/>
          <w:sz w:val="24"/>
        </w:rPr>
        <w:t>nzyt broni palnej do użytku cywilnego, jej istotnych komponentów oraz amunicji</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ategii UE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narkotyków na lata 2021–2025 oraz</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Pla</w:t>
      </w:r>
      <w:r w:rsidRPr="00BF1AA9">
        <w:rPr>
          <w:rFonts w:ascii="Times New Roman" w:hAnsi="Times New Roman"/>
          <w:noProof/>
          <w:sz w:val="24"/>
        </w:rPr>
        <w:t>nie działania UE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środków odurzających na lata 2021–2025 przyjęto oparte na dowodach, zintegrowane, zrównoważone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mul</w:t>
      </w:r>
      <w:r w:rsidRPr="00BF1AA9">
        <w:rPr>
          <w:rFonts w:ascii="Times New Roman" w:hAnsi="Times New Roman"/>
          <w:noProof/>
          <w:sz w:val="24"/>
        </w:rPr>
        <w:t>tidyscyplinarne podejście do problemu narkotyków na szczeblu krajowym,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mię</w:t>
      </w:r>
      <w:r w:rsidRPr="00BF1AA9">
        <w:rPr>
          <w:rFonts w:ascii="Times New Roman" w:hAnsi="Times New Roman"/>
          <w:noProof/>
          <w:sz w:val="24"/>
        </w:rPr>
        <w:t>dzynarodowym,</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zaproponowano zdecydowane środki ograniczające podaż,</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zwiększenia wykrywalności nielegalnego hurtowego handlu narkotykami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pre</w:t>
      </w:r>
      <w:r w:rsidRPr="00BF1AA9">
        <w:rPr>
          <w:rFonts w:ascii="Times New Roman" w:hAnsi="Times New Roman"/>
          <w:noProof/>
          <w:sz w:val="24"/>
        </w:rPr>
        <w:t>kursorami narkotyków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uni</w:t>
      </w:r>
      <w:r w:rsidRPr="00BF1AA9">
        <w:rPr>
          <w:rFonts w:ascii="Times New Roman" w:hAnsi="Times New Roman"/>
          <w:noProof/>
          <w:sz w:val="24"/>
        </w:rPr>
        <w:t>jnych miejscach wprowadzenia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wyp</w:t>
      </w:r>
      <w:r w:rsidRPr="00BF1AA9">
        <w:rPr>
          <w:rFonts w:ascii="Times New Roman" w:hAnsi="Times New Roman"/>
          <w:noProof/>
          <w:sz w:val="24"/>
        </w:rPr>
        <w:t>rowadzenia,</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podjęcia kwestii powiązań</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zagrożeniami dla bezpieczeństwa.</w:t>
      </w:r>
    </w:p>
    <w:p w14:paraId="0F2A5BBB" w14:textId="67D41C1B" w:rsidR="00F5602F" w:rsidRPr="00BF1AA9"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Agencja powinna nadal wzmacniać swoje zdolności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prognozowania, wykorzystując jak najbardziej zróżnicowane źródła niezbędnych, wiarygodnych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ist</w:t>
      </w:r>
      <w:r w:rsidRPr="00BF1AA9">
        <w:rPr>
          <w:rFonts w:ascii="Times New Roman" w:hAnsi="Times New Roman"/>
          <w:noProof/>
          <w:sz w:val="24"/>
        </w:rPr>
        <w:t>otnych informacji.</w:t>
      </w:r>
    </w:p>
    <w:p w14:paraId="670DDCB6" w14:textId="5C21628B" w:rsidR="00F5602F" w:rsidRPr="00BF1AA9"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W bardziej strategicznym kontekście przygotowywana co dwa lata </w:t>
      </w:r>
      <w:r w:rsidRPr="00BF1AA9">
        <w:rPr>
          <w:rFonts w:ascii="Times New Roman" w:hAnsi="Times New Roman"/>
          <w:b/>
          <w:noProof/>
          <w:sz w:val="24"/>
        </w:rPr>
        <w:t>strategiczna analiza ryzyka</w:t>
      </w:r>
      <w:r w:rsidRPr="00BF1AA9">
        <w:rPr>
          <w:rFonts w:ascii="Times New Roman" w:hAnsi="Times New Roman"/>
          <w:noProof/>
          <w:sz w:val="24"/>
        </w:rPr>
        <w:t xml:space="preserve"> jest podstawowym narzędziem, które powinno umożliwić Agencji wypracowanie długoterminowego zrozumienia ruchów migracyjnych do Unii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wew</w:t>
      </w:r>
      <w:r w:rsidRPr="00BF1AA9">
        <w:rPr>
          <w:rFonts w:ascii="Times New Roman" w:hAnsi="Times New Roman"/>
          <w:noProof/>
          <w:sz w:val="24"/>
        </w:rPr>
        <w:t>nątrz Unii pod względem tendencji, liczebności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szl</w:t>
      </w:r>
      <w:r w:rsidRPr="00BF1AA9">
        <w:rPr>
          <w:rFonts w:ascii="Times New Roman" w:hAnsi="Times New Roman"/>
          <w:noProof/>
          <w:sz w:val="24"/>
        </w:rPr>
        <w:t>aków. Pomoże ona również określić wyzwania,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wykorzystywania uzyskanych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spo</w:t>
      </w:r>
      <w:r w:rsidRPr="00BF1AA9">
        <w:rPr>
          <w:rFonts w:ascii="Times New Roman" w:hAnsi="Times New Roman"/>
          <w:noProof/>
          <w:sz w:val="24"/>
        </w:rPr>
        <w:t>sób oszukańczy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pod</w:t>
      </w:r>
      <w:r w:rsidRPr="00BF1AA9">
        <w:rPr>
          <w:rFonts w:ascii="Times New Roman" w:hAnsi="Times New Roman"/>
          <w:noProof/>
          <w:sz w:val="24"/>
        </w:rPr>
        <w:t>robionych dokumentów podróży na granicach zewnętrznych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efie Schengen oraz</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powrotów,</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samym będzie wspierać podejmowanie decyzji politycznych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wój długoterminowych zdolności. Stwierdzone wyzwania powinny być także ukierunkowane na zjawiska</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nis</w:t>
      </w:r>
      <w:r w:rsidRPr="00BF1AA9">
        <w:rPr>
          <w:rFonts w:ascii="Times New Roman" w:hAnsi="Times New Roman"/>
          <w:noProof/>
          <w:sz w:val="24"/>
        </w:rPr>
        <w:t>kim prawdopodobieństwie wystąpienia, ale poważnych skutkach, takie jak pandemie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wyn</w:t>
      </w:r>
      <w:r w:rsidRPr="00BF1AA9">
        <w:rPr>
          <w:rFonts w:ascii="Times New Roman" w:hAnsi="Times New Roman"/>
          <w:noProof/>
          <w:sz w:val="24"/>
        </w:rPr>
        <w:t>ikające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nic</w:t>
      </w:r>
      <w:r w:rsidRPr="00BF1AA9">
        <w:rPr>
          <w:rFonts w:ascii="Times New Roman" w:hAnsi="Times New Roman"/>
          <w:noProof/>
          <w:sz w:val="24"/>
        </w:rPr>
        <w:t>h zagrożenia dla zdrowia. Najnowsza dostępna analiza powinna zawsze znajdować odzwierciedlenie we wdrażaniu wieloletniego cyklu polityki strategicznej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europejskiego zintegrowanego zarządzania granicami, który powinien zostać uwzględniony przez Agencję</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ategii technicznej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racyjnej EUIBM oraz przez państwa członkowskie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ich</w:t>
      </w:r>
      <w:r w:rsidRPr="00BF1AA9">
        <w:rPr>
          <w:rFonts w:ascii="Times New Roman" w:hAnsi="Times New Roman"/>
          <w:noProof/>
          <w:sz w:val="24"/>
        </w:rPr>
        <w:t xml:space="preserve"> strategiach krajowych.</w:t>
      </w:r>
    </w:p>
    <w:p w14:paraId="19D932C6" w14:textId="40300120" w:rsidR="00F5602F" w:rsidRPr="00BF1AA9"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Po opublikowaniu każdej strategicznej analizy ryzyka Agencja powinna zaangażować się</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dys</w:t>
      </w:r>
      <w:r w:rsidRPr="00BF1AA9">
        <w:rPr>
          <w:rFonts w:ascii="Times New Roman" w:hAnsi="Times New Roman"/>
          <w:noProof/>
          <w:sz w:val="24"/>
        </w:rPr>
        <w:t>kusję</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członkowskimi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isją na temat sposobów poprawy jakości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fun</w:t>
      </w:r>
      <w:r w:rsidRPr="00BF1AA9">
        <w:rPr>
          <w:rFonts w:ascii="Times New Roman" w:hAnsi="Times New Roman"/>
          <w:noProof/>
          <w:sz w:val="24"/>
        </w:rPr>
        <w:t xml:space="preserve">kcjonalności tej przeprowadzanej co dwa lata analizy. </w:t>
      </w:r>
    </w:p>
    <w:p w14:paraId="3C7D84AF" w14:textId="46EB635B" w:rsidR="00F5602F" w:rsidRPr="00BF1AA9" w:rsidRDefault="00F5602F" w:rsidP="00377968">
      <w:pPr>
        <w:widowControl w:val="0"/>
        <w:numPr>
          <w:ilvl w:val="0"/>
          <w:numId w:val="3"/>
        </w:numPr>
        <w:autoSpaceDE w:val="0"/>
        <w:autoSpaceDN w:val="0"/>
        <w:adjustRightInd w:val="0"/>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ustanowić formalny mechanizm wymiany informacji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dan</w:t>
      </w:r>
      <w:r w:rsidRPr="00BF1AA9">
        <w:rPr>
          <w:rFonts w:ascii="Times New Roman" w:hAnsi="Times New Roman"/>
          <w:noProof/>
          <w:sz w:val="24"/>
        </w:rPr>
        <w:t>ych wywiadowczych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pot</w:t>
      </w:r>
      <w:r w:rsidRPr="00BF1AA9">
        <w:rPr>
          <w:rFonts w:ascii="Times New Roman" w:hAnsi="Times New Roman"/>
          <w:noProof/>
          <w:sz w:val="24"/>
        </w:rPr>
        <w:t>encjalnymi krajami pochodzenia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owiednimi krajami tranzytu,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porządzeniem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oraz</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nym poszanowaniem wymogów określonych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episach Unii dotyczących ochrony danych osobowych. Państwa członkowskie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ntex powinny utrzymywać ten mechanizm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nad</w:t>
      </w:r>
      <w:r w:rsidRPr="00BF1AA9">
        <w:rPr>
          <w:rFonts w:ascii="Times New Roman" w:hAnsi="Times New Roman"/>
          <w:noProof/>
          <w:sz w:val="24"/>
        </w:rPr>
        <w:t>al go rozwijać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poprawy analizy ryzyka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wadzenia bardziej ukierunkowanych działań operacyjnych.</w:t>
      </w:r>
    </w:p>
    <w:p w14:paraId="3658149A" w14:textId="77777777" w:rsidR="00F5602F" w:rsidRPr="00BF1AA9" w:rsidRDefault="00F5602F" w:rsidP="00377968">
      <w:pPr>
        <w:widowControl w:val="0"/>
        <w:autoSpaceDE w:val="0"/>
        <w:autoSpaceDN w:val="0"/>
        <w:adjustRightInd w:val="0"/>
        <w:spacing w:after="200" w:line="276" w:lineRule="auto"/>
        <w:contextualSpacing/>
        <w:jc w:val="both"/>
        <w:rPr>
          <w:rFonts w:ascii="Times New Roman" w:eastAsia="Calibri" w:hAnsi="Times New Roman" w:cs="Times New Roman"/>
          <w:noProof/>
          <w:sz w:val="24"/>
          <w:szCs w:val="24"/>
        </w:rPr>
      </w:pPr>
    </w:p>
    <w:p w14:paraId="6C1B286A" w14:textId="77777777" w:rsidR="00F5602F" w:rsidRPr="00BF1AA9" w:rsidRDefault="00F5602F" w:rsidP="00377968">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en-GB"/>
        </w:rPr>
      </w:pPr>
    </w:p>
    <w:p w14:paraId="68EA6DDB" w14:textId="27782F3C" w:rsidR="00F5602F" w:rsidRPr="00BF1AA9"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BF1AA9">
        <w:rPr>
          <w:rFonts w:ascii="Times New Roman" w:hAnsi="Times New Roman"/>
          <w:b/>
          <w:noProof/>
          <w:sz w:val="24"/>
        </w:rPr>
        <w:t>Element 4</w:t>
      </w:r>
      <w:r w:rsidRPr="00BF1AA9">
        <w:rPr>
          <w:rFonts w:ascii="Times New Roman" w:hAnsi="Times New Roman"/>
          <w:noProof/>
          <w:sz w:val="24"/>
        </w:rPr>
        <w:t>: „wymian[a] informacji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wsp</w:t>
      </w:r>
      <w:r w:rsidRPr="00BF1AA9">
        <w:rPr>
          <w:rFonts w:ascii="Times New Roman" w:hAnsi="Times New Roman"/>
          <w:noProof/>
          <w:sz w:val="24"/>
        </w:rPr>
        <w:t>ółprac[a] między państwami członkowskimi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edzinach objętych zakresem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wymian[a] informacji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wsp</w:t>
      </w:r>
      <w:r w:rsidRPr="00BF1AA9">
        <w:rPr>
          <w:rFonts w:ascii="Times New Roman" w:hAnsi="Times New Roman"/>
          <w:noProof/>
          <w:sz w:val="24"/>
        </w:rPr>
        <w:t>ółprac[a] między państwami członkowskimi</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Eur</w:t>
      </w:r>
      <w:r w:rsidRPr="00BF1AA9">
        <w:rPr>
          <w:rFonts w:ascii="Times New Roman" w:hAnsi="Times New Roman"/>
          <w:noProof/>
          <w:sz w:val="24"/>
        </w:rPr>
        <w:t>opejską Agencją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wsparci[e] koordynowan[e] przez Europejską Agencję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Pr="00BF1AA9">
        <w:rPr>
          <w:rFonts w:ascii="Times New Roman" w:eastAsia="Times New Roman" w:hAnsi="Times New Roman" w:cs="Times New Roman"/>
          <w:i/>
          <w:noProof/>
          <w:sz w:val="24"/>
          <w:szCs w:val="24"/>
          <w:vertAlign w:val="superscript"/>
          <w:lang w:eastAsia="en-GB"/>
        </w:rPr>
        <w:footnoteReference w:id="17"/>
      </w:r>
      <w:r w:rsidRPr="00BF1AA9">
        <w:rPr>
          <w:rFonts w:ascii="Times New Roman" w:hAnsi="Times New Roman"/>
          <w:noProof/>
          <w:sz w:val="24"/>
        </w:rPr>
        <w:t>.</w:t>
      </w:r>
    </w:p>
    <w:p w14:paraId="04855470"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0A04F30E"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Priorytety polityki</w:t>
      </w:r>
    </w:p>
    <w:p w14:paraId="7AED138F"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lang w:eastAsia="en-GB"/>
        </w:rPr>
      </w:pPr>
    </w:p>
    <w:p w14:paraId="74144CFB" w14:textId="30D7AEA2"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Europejskie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jowe zdolności powinny być ustanawiane, wykorzystywane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wijane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spo</w:t>
      </w:r>
      <w:r w:rsidRPr="00BF1AA9">
        <w:rPr>
          <w:rFonts w:ascii="Times New Roman" w:hAnsi="Times New Roman"/>
          <w:noProof/>
          <w:sz w:val="24"/>
        </w:rPr>
        <w:t>sób skoordynowany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zin</w:t>
      </w:r>
      <w:r w:rsidRPr="00BF1AA9">
        <w:rPr>
          <w:rFonts w:ascii="Times New Roman" w:hAnsi="Times New Roman"/>
          <w:noProof/>
          <w:sz w:val="24"/>
        </w:rPr>
        <w:t>tegrowany, aby zagwarantować skuteczne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jed</w:t>
      </w:r>
      <w:r w:rsidRPr="00BF1AA9">
        <w:rPr>
          <w:rFonts w:ascii="Times New Roman" w:hAnsi="Times New Roman"/>
          <w:noProof/>
          <w:sz w:val="24"/>
        </w:rPr>
        <w:t>nolite wdrożenie wszystkich aspektów europejskiego zintegrowanego zarządzania granicami we wszystkich okolicznościach i na wszystkich poziomach czteropoziomowego modelu kontroli dostępu. Europejska Straż Graniczna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ybrzeżna, złożona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Age</w:t>
      </w:r>
      <w:r w:rsidRPr="00BF1AA9">
        <w:rPr>
          <w:rFonts w:ascii="Times New Roman" w:hAnsi="Times New Roman"/>
          <w:noProof/>
          <w:sz w:val="24"/>
        </w:rPr>
        <w:t>ncji oraz organów państw członkowskich odpowiedzialnych za straż graniczną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roty, powinna mieć stałą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awdzoną gotowość do reagowania na wszystkie możliwe incydenty na granicach zewnętrznych oraz na wszelkie nowe zjawiska, które mają wpływ na funkcjonowanie kontroli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rotów. Powinny istnieć zasoby do szybkiego reagowania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nie</w:t>
      </w:r>
      <w:r w:rsidRPr="00BF1AA9">
        <w:rPr>
          <w:rFonts w:ascii="Times New Roman" w:hAnsi="Times New Roman"/>
          <w:noProof/>
          <w:sz w:val="24"/>
        </w:rPr>
        <w:t>zbędne zasoby do skutecznego prowadzenia różnego rodzaju wspólnych operacji na wszystkich odcinkach granic zewnętrznych. Wymiana informacji,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umieniu tego elementu, powinna odbywać się terminowo.</w:t>
      </w:r>
    </w:p>
    <w:p w14:paraId="49DA3916"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53CCDD3A"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rPr>
      </w:pPr>
      <w:r w:rsidRPr="00BF1AA9">
        <w:rPr>
          <w:rFonts w:ascii="Times New Roman" w:hAnsi="Times New Roman"/>
          <w:noProof/>
          <w:sz w:val="24"/>
          <w:u w:val="single"/>
        </w:rPr>
        <w:t>Wytyczne strategiczne</w:t>
      </w:r>
    </w:p>
    <w:p w14:paraId="754FEAE9" w14:textId="77777777"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p>
    <w:p w14:paraId="15F3DB9E" w14:textId="7A8FBFE8"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Państwa członkowskie powinny ustanowić skuteczny </w:t>
      </w:r>
      <w:r w:rsidRPr="00BF1AA9">
        <w:rPr>
          <w:rFonts w:ascii="Times New Roman" w:hAnsi="Times New Roman"/>
          <w:b/>
          <w:noProof/>
          <w:sz w:val="24"/>
        </w:rPr>
        <w:t>krajowy mechanizm koordynacji</w:t>
      </w:r>
      <w:r w:rsidR="00BF1AA9" w:rsidRPr="00BF1AA9">
        <w:rPr>
          <w:rFonts w:ascii="Times New Roman" w:hAnsi="Times New Roman"/>
          <w:b/>
          <w:noProof/>
          <w:sz w:val="24"/>
        </w:rPr>
        <w:t xml:space="preserve"> </w:t>
      </w:r>
      <w:r w:rsidR="00BF1AA9" w:rsidRPr="00BF1AA9">
        <w:rPr>
          <w:rFonts w:ascii="Times New Roman" w:hAnsi="Times New Roman"/>
          <w:noProof/>
          <w:sz w:val="24"/>
        </w:rPr>
        <w:t>i</w:t>
      </w:r>
      <w:r w:rsidR="00BF1AA9">
        <w:rPr>
          <w:rFonts w:ascii="Times New Roman" w:hAnsi="Times New Roman"/>
          <w:b/>
          <w:noProof/>
          <w:sz w:val="24"/>
        </w:rPr>
        <w:t> </w:t>
      </w:r>
      <w:r w:rsidR="00BF1AA9" w:rsidRPr="00BF1AA9">
        <w:rPr>
          <w:rFonts w:ascii="Times New Roman" w:hAnsi="Times New Roman"/>
          <w:noProof/>
          <w:sz w:val="24"/>
        </w:rPr>
        <w:t>pro</w:t>
      </w:r>
      <w:r w:rsidRPr="00BF1AA9">
        <w:rPr>
          <w:rFonts w:ascii="Times New Roman" w:hAnsi="Times New Roman"/>
          <w:noProof/>
          <w:sz w:val="24"/>
        </w:rPr>
        <w:t>cesy robocze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iesieniu do wszystkich funkcji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ałań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aby zapewnić skuteczność na poziomie krajowym,</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skuteczność współpracy</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 xml:space="preserve">nteksem. Państwa członkowskie powinny dysponować odpowiedzialnym </w:t>
      </w:r>
      <w:r w:rsidRPr="00BF1AA9">
        <w:rPr>
          <w:rFonts w:ascii="Times New Roman" w:hAnsi="Times New Roman"/>
          <w:b/>
          <w:noProof/>
          <w:sz w:val="24"/>
        </w:rPr>
        <w:t>krajowym punktem kontaktowym</w:t>
      </w:r>
      <w:r w:rsidRPr="00BF1AA9">
        <w:rPr>
          <w:rFonts w:ascii="Times New Roman" w:hAnsi="Times New Roman"/>
          <w:noProof/>
          <w:sz w:val="24"/>
        </w:rPr>
        <w:t xml:space="preserve"> (funkcjonującym całodobowo)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iesieniu do wszystkich kwestii dotyczących działań Agencji, jak wskazano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13 ust.</w:t>
      </w:r>
      <w:r w:rsidR="00BF1AA9" w:rsidRPr="00BF1AA9">
        <w:rPr>
          <w:rFonts w:ascii="Times New Roman" w:hAnsi="Times New Roman"/>
          <w:noProof/>
          <w:sz w:val="24"/>
        </w:rPr>
        <w:t> </w:t>
      </w:r>
      <w:r w:rsidRPr="00BF1AA9">
        <w:rPr>
          <w:rFonts w:ascii="Times New Roman" w:hAnsi="Times New Roman"/>
          <w:noProof/>
          <w:sz w:val="24"/>
        </w:rPr>
        <w:t>1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Krajowy punkt kontaktowy powinien reprezentować wszystkie organy krajowe zaangażowane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zar</w:t>
      </w:r>
      <w:r w:rsidRPr="00BF1AA9">
        <w:rPr>
          <w:rFonts w:ascii="Times New Roman" w:hAnsi="Times New Roman"/>
          <w:noProof/>
          <w:sz w:val="24"/>
        </w:rPr>
        <w:t>ządzanie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roty. Krajowy punkt kontaktowy powinien być oddzielony od krajowego ośrodka koordynacji odpowiedzialnego za wymianę informacji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EUROSUR-u.</w:t>
      </w:r>
    </w:p>
    <w:p w14:paraId="473CF053" w14:textId="194B9504"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dalej wzmacniać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egrować znajomość sytuacji, zdolność reagowania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rol</w:t>
      </w:r>
      <w:r w:rsidRPr="00BF1AA9">
        <w:rPr>
          <w:rFonts w:ascii="Times New Roman" w:hAnsi="Times New Roman"/>
          <w:noProof/>
          <w:sz w:val="24"/>
        </w:rPr>
        <w:t xml:space="preserve">ę </w:t>
      </w:r>
      <w:r w:rsidRPr="00BF1AA9">
        <w:rPr>
          <w:rFonts w:ascii="Times New Roman" w:hAnsi="Times New Roman"/>
          <w:b/>
          <w:noProof/>
          <w:sz w:val="24"/>
        </w:rPr>
        <w:t>krajowego ośrodka koordynacji</w:t>
      </w:r>
      <w:r w:rsidRPr="00BF1AA9">
        <w:rPr>
          <w:rFonts w:ascii="Times New Roman" w:hAnsi="Times New Roman"/>
          <w:noProof/>
          <w:sz w:val="24"/>
        </w:rPr>
        <w:t xml:space="preserve">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porządzeniem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oraz rozporządzeniem wykonawczym Komisji (UE) 2021/581. Każde państwo członkowskie musi dysponować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funkcjonującym krajowym ośrodkiem koordynacji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21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p>
    <w:p w14:paraId="07DC7546" w14:textId="1315E5E6"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Informacje zgromadzone za pomocą narzędzi nadzoru, połączone,</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nas</w:t>
      </w:r>
      <w:r w:rsidRPr="00BF1AA9">
        <w:rPr>
          <w:rFonts w:ascii="Times New Roman" w:hAnsi="Times New Roman"/>
          <w:noProof/>
          <w:sz w:val="24"/>
        </w:rPr>
        <w:t>tępnie rozpowszechniane przez krajowe ośrodki koordynacji powinny być wykorzystywane zarówno do wzmocnienia zdolności reagowania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cza</w:t>
      </w:r>
      <w:r w:rsidRPr="00BF1AA9">
        <w:rPr>
          <w:rFonts w:ascii="Times New Roman" w:hAnsi="Times New Roman"/>
          <w:noProof/>
          <w:sz w:val="24"/>
        </w:rPr>
        <w:t>sie rzeczywistym (np. przechwytywania), jak i do celów analizy ryzyka.</w:t>
      </w:r>
    </w:p>
    <w:p w14:paraId="2F8BBF18" w14:textId="43850C4C"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wykorzystać istniejące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 xml:space="preserve">yszłe </w:t>
      </w:r>
      <w:r w:rsidRPr="00BF1AA9">
        <w:rPr>
          <w:rFonts w:ascii="Times New Roman" w:hAnsi="Times New Roman"/>
          <w:b/>
          <w:noProof/>
          <w:sz w:val="24"/>
        </w:rPr>
        <w:t>narzędzia wymiany informacji</w:t>
      </w:r>
      <w:r w:rsidRPr="00BF1AA9">
        <w:rPr>
          <w:rFonts w:ascii="Times New Roman" w:hAnsi="Times New Roman"/>
          <w:noProof/>
          <w:sz w:val="24"/>
        </w:rPr>
        <w:t>, zwłaszcza EUROSUR</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kontekście należy zapewnić skuteczną współpracę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koo</w:t>
      </w:r>
      <w:r w:rsidRPr="00BF1AA9">
        <w:rPr>
          <w:rFonts w:ascii="Times New Roman" w:hAnsi="Times New Roman"/>
          <w:noProof/>
          <w:sz w:val="24"/>
        </w:rPr>
        <w:t>rdynację między organami krajowymi uczestniczącymi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ałaniach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sam</w:t>
      </w:r>
      <w:r w:rsidRPr="00BF1AA9">
        <w:rPr>
          <w:rFonts w:ascii="Times New Roman" w:hAnsi="Times New Roman"/>
          <w:noProof/>
          <w:sz w:val="24"/>
        </w:rPr>
        <w:t>ym Fronteksem. Taką współpracę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koo</w:t>
      </w:r>
      <w:r w:rsidRPr="00BF1AA9">
        <w:rPr>
          <w:rFonts w:ascii="Times New Roman" w:hAnsi="Times New Roman"/>
          <w:noProof/>
          <w:sz w:val="24"/>
        </w:rPr>
        <w:t>rdynację należy realizować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EUROSUR-u,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każ</w:t>
      </w:r>
      <w:r w:rsidRPr="00BF1AA9">
        <w:rPr>
          <w:rFonts w:ascii="Times New Roman" w:hAnsi="Times New Roman"/>
          <w:noProof/>
          <w:sz w:val="24"/>
        </w:rPr>
        <w:t>dym krajowym ośrodku koordynacji.</w:t>
      </w:r>
    </w:p>
    <w:p w14:paraId="1F2ECC32" w14:textId="10B46D26"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Państwa członkowskie powinny regularnie przekazywać Agencji wszelkie niezbędne informacje na temat sytuacji, tendencji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pot</w:t>
      </w:r>
      <w:r w:rsidRPr="00BF1AA9">
        <w:rPr>
          <w:rFonts w:ascii="Times New Roman" w:hAnsi="Times New Roman"/>
          <w:noProof/>
          <w:sz w:val="24"/>
        </w:rPr>
        <w:t>encjalnych zagrożeń na granicach zewnętrznych oraz</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powrotów. Informacje te nie powinny być powielane. Dlatego też powinien istnieć mechanizm zapewniający interoperacyjność różnych kanałów informacyjnych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ułatwienia wymiany informacji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pop</w:t>
      </w:r>
      <w:r w:rsidRPr="00BF1AA9">
        <w:rPr>
          <w:rFonts w:ascii="Times New Roman" w:hAnsi="Times New Roman"/>
          <w:noProof/>
          <w:sz w:val="24"/>
        </w:rPr>
        <w:t>rawy znajomości sytuacji.</w:t>
      </w:r>
    </w:p>
    <w:p w14:paraId="615C50C9" w14:textId="45B6E052"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Państwa członkowskie powinny przydzielić niezbędne zasoby ludzkie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fin</w:t>
      </w:r>
      <w:r w:rsidRPr="00BF1AA9">
        <w:rPr>
          <w:rFonts w:ascii="Times New Roman" w:hAnsi="Times New Roman"/>
          <w:noProof/>
          <w:sz w:val="24"/>
        </w:rPr>
        <w:t>ansowe oraz mieć stałą gotowość operacyjną do wypełniania swoich zobowiązań prawnych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 xml:space="preserve">resie wnoszenia obowiązkowych wkładów oraz do wnoszenia dobrowolnych wkładów na rzecz </w:t>
      </w:r>
      <w:r w:rsidRPr="00BF1AA9">
        <w:rPr>
          <w:rFonts w:ascii="Times New Roman" w:hAnsi="Times New Roman"/>
          <w:b/>
          <w:noProof/>
          <w:sz w:val="24"/>
        </w:rPr>
        <w:t>wspólnych europejskich zdolności</w:t>
      </w:r>
      <w:r w:rsidRPr="00BF1AA9">
        <w:rPr>
          <w:rFonts w:ascii="Times New Roman" w:hAnsi="Times New Roman"/>
          <w:noProof/>
          <w:sz w:val="24"/>
        </w:rPr>
        <w:t xml:space="preserve"> koordynowanych przez Frontex,</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na rzecz stałej służby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oraz rezerwy wyposażenia technicznego.</w:t>
      </w:r>
    </w:p>
    <w:p w14:paraId="2D9418D2" w14:textId="4A5E535A"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Państwa członkowskie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Age</w:t>
      </w:r>
      <w:r w:rsidRPr="00BF1AA9">
        <w:rPr>
          <w:rFonts w:ascii="Times New Roman" w:hAnsi="Times New Roman"/>
          <w:noProof/>
          <w:sz w:val="24"/>
        </w:rPr>
        <w:t>ncja powinny zapewnić stopniowy rozwój stałej służby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osiągnięcia pełnej zdolności wynoszącej 10 000 funkcjonariuszy do</w:t>
      </w:r>
      <w:r w:rsidR="00BF1AA9" w:rsidRPr="00BF1AA9">
        <w:rPr>
          <w:rFonts w:ascii="Times New Roman" w:hAnsi="Times New Roman"/>
          <w:noProof/>
          <w:sz w:val="24"/>
        </w:rPr>
        <w:t> </w:t>
      </w:r>
      <w:r w:rsidRPr="00BF1AA9">
        <w:rPr>
          <w:rFonts w:ascii="Times New Roman" w:hAnsi="Times New Roman"/>
          <w:noProof/>
          <w:sz w:val="24"/>
        </w:rPr>
        <w:t>2027</w:t>
      </w:r>
      <w:r w:rsidR="00BF1AA9" w:rsidRPr="00BF1AA9">
        <w:rPr>
          <w:rFonts w:ascii="Times New Roman" w:hAnsi="Times New Roman"/>
          <w:noProof/>
          <w:sz w:val="24"/>
        </w:rPr>
        <w:t> </w:t>
      </w:r>
      <w:r w:rsidRPr="00BF1AA9">
        <w:rPr>
          <w:rFonts w:ascii="Times New Roman" w:hAnsi="Times New Roman"/>
          <w:noProof/>
          <w:sz w:val="24"/>
        </w:rPr>
        <w:t>r. Odpowiednia liczba personelu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zdo</w:t>
      </w:r>
      <w:r w:rsidRPr="00BF1AA9">
        <w:rPr>
          <w:rFonts w:ascii="Times New Roman" w:hAnsi="Times New Roman"/>
          <w:noProof/>
          <w:sz w:val="24"/>
        </w:rPr>
        <w:t>lność reagowania są podstawowymi czynnikami umożliwiającymi skuteczne rozwiązywanie problemów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mig</w:t>
      </w:r>
      <w:r w:rsidRPr="00BF1AA9">
        <w:rPr>
          <w:rFonts w:ascii="Times New Roman" w:hAnsi="Times New Roman"/>
          <w:noProof/>
          <w:sz w:val="24"/>
        </w:rPr>
        <w:t>racją nieuregulowaną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zag</w:t>
      </w:r>
      <w:r w:rsidRPr="00BF1AA9">
        <w:rPr>
          <w:rFonts w:ascii="Times New Roman" w:hAnsi="Times New Roman"/>
          <w:noProof/>
          <w:sz w:val="24"/>
        </w:rPr>
        <w:t>rożeniami dla bezpieczeństwa granic, aby zapewnić szybką reakcję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dod</w:t>
      </w:r>
      <w:r w:rsidRPr="00BF1AA9">
        <w:rPr>
          <w:rFonts w:ascii="Times New Roman" w:hAnsi="Times New Roman"/>
          <w:noProof/>
          <w:sz w:val="24"/>
        </w:rPr>
        <w:t>atkowe zdolności na odcinkach granicy, na których występują wspomniane problemy.</w:t>
      </w:r>
    </w:p>
    <w:p w14:paraId="2588F60D" w14:textId="3879348D"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Agencja powinna opracować </w:t>
      </w:r>
      <w:r w:rsidRPr="00BF1AA9">
        <w:rPr>
          <w:rFonts w:ascii="Times New Roman" w:hAnsi="Times New Roman"/>
          <w:b/>
          <w:noProof/>
          <w:sz w:val="24"/>
        </w:rPr>
        <w:t>kompleksową koncepcję operacyjną</w:t>
      </w:r>
      <w:r w:rsidRPr="00BF1AA9">
        <w:rPr>
          <w:rFonts w:ascii="Times New Roman" w:hAnsi="Times New Roman"/>
          <w:noProof/>
          <w:sz w:val="24"/>
        </w:rPr>
        <w:t>, która powinna obejmować co najmniej koncepcję rozmieszczenia stałej służby, jej wyniki operacyjne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wym</w:t>
      </w:r>
      <w:r w:rsidRPr="00BF1AA9">
        <w:rPr>
          <w:rFonts w:ascii="Times New Roman" w:hAnsi="Times New Roman"/>
          <w:noProof/>
          <w:sz w:val="24"/>
        </w:rPr>
        <w:t>ogi dotyczące zdolności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iesieniu do różnych zagrożeń</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śro</w:t>
      </w:r>
      <w:r w:rsidRPr="00BF1AA9">
        <w:rPr>
          <w:rFonts w:ascii="Times New Roman" w:hAnsi="Times New Roman"/>
          <w:noProof/>
          <w:sz w:val="24"/>
        </w:rPr>
        <w:t>dowisk operacyjnych, przejrzyste struktury dowodzenia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zar</w:t>
      </w:r>
      <w:r w:rsidRPr="00BF1AA9">
        <w:rPr>
          <w:rFonts w:ascii="Times New Roman" w:hAnsi="Times New Roman"/>
          <w:noProof/>
          <w:sz w:val="24"/>
        </w:rPr>
        <w:t>ządzania, wsparcie logistyczne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wew</w:t>
      </w:r>
      <w:r w:rsidRPr="00BF1AA9">
        <w:rPr>
          <w:rFonts w:ascii="Times New Roman" w:hAnsi="Times New Roman"/>
          <w:noProof/>
          <w:sz w:val="24"/>
        </w:rPr>
        <w:t>nętrzny mechanizm kontroli jakości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62 ust.</w:t>
      </w:r>
      <w:r w:rsidR="00BF1AA9" w:rsidRPr="00BF1AA9">
        <w:rPr>
          <w:rFonts w:ascii="Times New Roman" w:hAnsi="Times New Roman"/>
          <w:noProof/>
          <w:sz w:val="24"/>
        </w:rPr>
        <w:t> </w:t>
      </w:r>
      <w:r w:rsidRPr="00BF1AA9">
        <w:rPr>
          <w:rFonts w:ascii="Times New Roman" w:hAnsi="Times New Roman"/>
          <w:noProof/>
          <w:sz w:val="24"/>
        </w:rPr>
        <w:t>10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p>
    <w:p w14:paraId="12540853" w14:textId="580828F4"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Aby zapewnić większą skuteczność Agencji, zarząd Fronteksu powinien przyjąć </w:t>
      </w:r>
      <w:r w:rsidRPr="00BF1AA9">
        <w:rPr>
          <w:rFonts w:ascii="Times New Roman" w:hAnsi="Times New Roman"/>
          <w:b/>
          <w:noProof/>
          <w:sz w:val="24"/>
        </w:rPr>
        <w:t>koncepcję operacyjną stałej służby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reg</w:t>
      </w:r>
      <w:r w:rsidRPr="00BF1AA9">
        <w:rPr>
          <w:rFonts w:ascii="Times New Roman" w:hAnsi="Times New Roman"/>
          <w:noProof/>
          <w:sz w:val="24"/>
        </w:rPr>
        <w:t>ularnie dokonywać jej przeglądu. Pozwoli to na lepsze ukierunkowanie realizacji zadań operacyjnych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tec</w:t>
      </w:r>
      <w:r w:rsidRPr="00BF1AA9">
        <w:rPr>
          <w:rFonts w:ascii="Times New Roman" w:hAnsi="Times New Roman"/>
          <w:noProof/>
          <w:sz w:val="24"/>
        </w:rPr>
        <w:t>hnicznych Agencji,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uruchamiania szybkich interwencji na granicy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kretnych sytuacjach kryzysowych,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ypadkach instrumentalizacji, oraz na zapewnienie, by rozmieszczenie stałej służby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wyp</w:t>
      </w:r>
      <w:r w:rsidRPr="00BF1AA9">
        <w:rPr>
          <w:rFonts w:ascii="Times New Roman" w:hAnsi="Times New Roman"/>
          <w:noProof/>
          <w:sz w:val="24"/>
        </w:rPr>
        <w:t>osażenia odbywało się</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owiednim czasie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każ</w:t>
      </w:r>
      <w:r w:rsidRPr="00BF1AA9">
        <w:rPr>
          <w:rFonts w:ascii="Times New Roman" w:hAnsi="Times New Roman"/>
          <w:noProof/>
          <w:sz w:val="24"/>
        </w:rPr>
        <w:t>dym przypadku wystąpienia takiej sytuacji kryzysowej.</w:t>
      </w:r>
      <w:r w:rsidRPr="00BF1AA9">
        <w:rPr>
          <w:rFonts w:ascii="Arial" w:hAnsi="Arial"/>
          <w:i/>
          <w:noProof/>
          <w:sz w:val="24"/>
        </w:rPr>
        <w:t xml:space="preserve"> </w:t>
      </w:r>
    </w:p>
    <w:p w14:paraId="3CD00316" w14:textId="7F9E1CF2"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Państwa członkowskie powinny dysponować sprawdzonymi </w:t>
      </w:r>
      <w:r w:rsidRPr="00BF1AA9">
        <w:rPr>
          <w:rFonts w:ascii="Times New Roman" w:hAnsi="Times New Roman"/>
          <w:b/>
          <w:noProof/>
          <w:sz w:val="24"/>
        </w:rPr>
        <w:t>zdolnościami przyjmowania</w:t>
      </w:r>
      <w:r w:rsidRPr="00BF1AA9">
        <w:rPr>
          <w:rFonts w:ascii="Times New Roman" w:hAnsi="Times New Roman"/>
          <w:noProof/>
          <w:sz w:val="24"/>
        </w:rPr>
        <w:t>, aby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raz</w:t>
      </w:r>
      <w:r w:rsidRPr="00BF1AA9">
        <w:rPr>
          <w:rFonts w:ascii="Times New Roman" w:hAnsi="Times New Roman"/>
          <w:noProof/>
          <w:sz w:val="24"/>
        </w:rPr>
        <w:t>ie potrzeby otrzymać wsparcie poprzez rozmieszczenie stałej służby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p>
    <w:p w14:paraId="13133FE8" w14:textId="28564BC6"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Państwa członkowskie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Age</w:t>
      </w:r>
      <w:r w:rsidRPr="00BF1AA9">
        <w:rPr>
          <w:rFonts w:ascii="Times New Roman" w:hAnsi="Times New Roman"/>
          <w:noProof/>
          <w:sz w:val="24"/>
        </w:rPr>
        <w:t>ncja powinny dysponować skutecznymi zdolnościami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planowania, koordynacji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wdr</w:t>
      </w:r>
      <w:r w:rsidRPr="00BF1AA9">
        <w:rPr>
          <w:rFonts w:ascii="Times New Roman" w:hAnsi="Times New Roman"/>
          <w:noProof/>
          <w:sz w:val="24"/>
        </w:rPr>
        <w:t>ażania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organizowania operacji, opartych na analizie ryzyka, na granicach zewnętrznych lub</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stwach trzecich,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war</w:t>
      </w:r>
      <w:r w:rsidRPr="00BF1AA9">
        <w:rPr>
          <w:rFonts w:ascii="Times New Roman" w:hAnsi="Times New Roman"/>
          <w:noProof/>
          <w:sz w:val="24"/>
        </w:rPr>
        <w:t>unkami określonymi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Proces planowania oparty na danych wywiadowczych powinien być skoordynowany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zsy</w:t>
      </w:r>
      <w:r w:rsidRPr="00BF1AA9">
        <w:rPr>
          <w:rFonts w:ascii="Times New Roman" w:hAnsi="Times New Roman"/>
          <w:noProof/>
          <w:sz w:val="24"/>
        </w:rPr>
        <w:t>nchronizowany między Agencją</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członkowskimi, co zapewni skuteczne wykorzystanie zasobów.</w:t>
      </w:r>
    </w:p>
    <w:p w14:paraId="648763BF" w14:textId="66233FAF"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Agencja powinna dalej rozwijać koncepcję wspólnych operacji, zapewniając wystarczającą elastyczność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zdo</w:t>
      </w:r>
      <w:r w:rsidRPr="00BF1AA9">
        <w:rPr>
          <w:rFonts w:ascii="Times New Roman" w:hAnsi="Times New Roman"/>
          <w:noProof/>
          <w:sz w:val="24"/>
        </w:rPr>
        <w:t>lność do stosowania różnych modeli,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zal</w:t>
      </w:r>
      <w:r w:rsidRPr="00BF1AA9">
        <w:rPr>
          <w:rFonts w:ascii="Times New Roman" w:hAnsi="Times New Roman"/>
          <w:noProof/>
          <w:sz w:val="24"/>
        </w:rPr>
        <w:t>eżności od konkretnego scenariusza operacyjnego.</w:t>
      </w:r>
    </w:p>
    <w:p w14:paraId="390A86A1" w14:textId="655FC7B3"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Frontex powinien</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dal</w:t>
      </w:r>
      <w:r w:rsidRPr="00BF1AA9">
        <w:rPr>
          <w:rFonts w:ascii="Times New Roman" w:hAnsi="Times New Roman"/>
          <w:noProof/>
          <w:sz w:val="24"/>
        </w:rPr>
        <w:t xml:space="preserve">szym ciągu usprawniać włączanie wyników </w:t>
      </w:r>
      <w:r w:rsidRPr="00BF1AA9">
        <w:rPr>
          <w:rFonts w:ascii="Times New Roman" w:hAnsi="Times New Roman"/>
          <w:b/>
          <w:noProof/>
          <w:sz w:val="24"/>
        </w:rPr>
        <w:t>oceny narażenia</w:t>
      </w:r>
      <w:r w:rsidRPr="00BF1AA9">
        <w:rPr>
          <w:rFonts w:ascii="Times New Roman" w:hAnsi="Times New Roman"/>
          <w:noProof/>
          <w:sz w:val="24"/>
        </w:rPr>
        <w:t xml:space="preserve"> do oceny gotowości, planowania ewentualnościowego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pot</w:t>
      </w:r>
      <w:r w:rsidRPr="00BF1AA9">
        <w:rPr>
          <w:rFonts w:ascii="Times New Roman" w:hAnsi="Times New Roman"/>
          <w:noProof/>
          <w:sz w:val="24"/>
        </w:rPr>
        <w:t>rzeb. Dzięki temu państwa członkowskie będą</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sta</w:t>
      </w:r>
      <w:r w:rsidRPr="00BF1AA9">
        <w:rPr>
          <w:rFonts w:ascii="Times New Roman" w:hAnsi="Times New Roman"/>
          <w:noProof/>
          <w:sz w:val="24"/>
        </w:rPr>
        <w:t>nie nie tylko zabezpieczyć swoje granice zewnętrzne, ale również wnieść wkład do stałej służby,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wkład na rzecz szybkich interwencji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rez</w:t>
      </w:r>
      <w:r w:rsidRPr="00BF1AA9">
        <w:rPr>
          <w:rFonts w:ascii="Times New Roman" w:hAnsi="Times New Roman"/>
          <w:noProof/>
          <w:sz w:val="24"/>
        </w:rPr>
        <w:t>erwy wyposażenia technicznego</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cesie tym Agencja powinna również uwzględniać synergie między mechanizmem oceny Schengen</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oce</w:t>
      </w:r>
      <w:r w:rsidRPr="00BF1AA9">
        <w:rPr>
          <w:rFonts w:ascii="Times New Roman" w:hAnsi="Times New Roman"/>
          <w:noProof/>
          <w:sz w:val="24"/>
        </w:rPr>
        <w:t>ną narażenia.</w:t>
      </w:r>
    </w:p>
    <w:p w14:paraId="63DBAC12" w14:textId="6A416E1D"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Wymiana informacji jest jednym</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zas</w:t>
      </w:r>
      <w:r w:rsidRPr="00BF1AA9">
        <w:rPr>
          <w:rFonts w:ascii="Times New Roman" w:hAnsi="Times New Roman"/>
          <w:noProof/>
          <w:sz w:val="24"/>
        </w:rPr>
        <w:t>adniczych elementów współpracy operacyjnej między państwami członkowskimi oraz między państwami członkowskimi</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nteksem. Musi się ona odbywać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spo</w:t>
      </w:r>
      <w:r w:rsidRPr="00BF1AA9">
        <w:rPr>
          <w:rFonts w:ascii="Times New Roman" w:hAnsi="Times New Roman"/>
          <w:noProof/>
          <w:sz w:val="24"/>
        </w:rPr>
        <w:t xml:space="preserve">sób bezpieczny za pośrednictwem </w:t>
      </w:r>
      <w:r w:rsidRPr="00BF1AA9">
        <w:rPr>
          <w:rFonts w:ascii="Times New Roman" w:hAnsi="Times New Roman"/>
          <w:b/>
          <w:noProof/>
          <w:sz w:val="24"/>
        </w:rPr>
        <w:t>specjalnej sieci komunikacyjnej</w:t>
      </w:r>
      <w:r w:rsidRPr="00BF1AA9">
        <w:rPr>
          <w:rFonts w:ascii="Times New Roman" w:hAnsi="Times New Roman"/>
          <w:noProof/>
          <w:sz w:val="24"/>
        </w:rPr>
        <w:t>,</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gdy wymiana ta obejmuje informacje niejawne do poziomu CONFIDENTIEL UE/EU CONFIDENTIAL. Państwa członkowskie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ntex muszą zawsze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przestrzegać wymogów zawartych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episach UE dotyczących ochrony danych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wym</w:t>
      </w:r>
      <w:r w:rsidRPr="00BF1AA9">
        <w:rPr>
          <w:rFonts w:ascii="Times New Roman" w:hAnsi="Times New Roman"/>
          <w:noProof/>
          <w:sz w:val="24"/>
        </w:rPr>
        <w:t>ogów bezpieczeństwa informacji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zas</w:t>
      </w:r>
      <w:r w:rsidRPr="00BF1AA9">
        <w:rPr>
          <w:rFonts w:ascii="Times New Roman" w:hAnsi="Times New Roman"/>
          <w:noProof/>
          <w:sz w:val="24"/>
        </w:rPr>
        <w:t>adami bezpieczeństwa określonymi przez Agencję.</w:t>
      </w:r>
    </w:p>
    <w:p w14:paraId="7D6529B8" w14:textId="70FBE496"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Agencja ma obowiązek zapewnić stałe </w:t>
      </w:r>
      <w:r w:rsidRPr="00BF1AA9">
        <w:rPr>
          <w:rFonts w:ascii="Times New Roman" w:hAnsi="Times New Roman"/>
          <w:b/>
          <w:noProof/>
          <w:sz w:val="24"/>
        </w:rPr>
        <w:t>monitorowanie</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zna</w:t>
      </w:r>
      <w:r w:rsidRPr="00BF1AA9">
        <w:rPr>
          <w:rFonts w:ascii="Times New Roman" w:hAnsi="Times New Roman"/>
          <w:b/>
          <w:noProof/>
          <w:sz w:val="24"/>
        </w:rPr>
        <w:t>jomość sytuacji</w:t>
      </w:r>
      <w:r w:rsidRPr="00BF1AA9">
        <w:rPr>
          <w:rFonts w:ascii="Times New Roman" w:hAnsi="Times New Roman"/>
          <w:noProof/>
          <w:sz w:val="24"/>
        </w:rPr>
        <w:t xml:space="preserve"> oraz dzielić się tymi informacjami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jowymi ośrodkami koordynacji za pomocą EUROSUR-u,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przekazywania sprawozdań</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cza</w:t>
      </w:r>
      <w:r w:rsidRPr="00BF1AA9">
        <w:rPr>
          <w:rFonts w:ascii="Times New Roman" w:hAnsi="Times New Roman"/>
          <w:noProof/>
          <w:sz w:val="24"/>
        </w:rPr>
        <w:t>sie rzeczywistym dotyczących strefy przygranicznej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owiedniej strefy przedgranicznej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syt</w:t>
      </w:r>
      <w:r w:rsidRPr="00BF1AA9">
        <w:rPr>
          <w:rFonts w:ascii="Times New Roman" w:hAnsi="Times New Roman"/>
          <w:noProof/>
          <w:sz w:val="24"/>
        </w:rPr>
        <w:t xml:space="preserve">uacją kryzysową. </w:t>
      </w:r>
    </w:p>
    <w:p w14:paraId="2CFE695D" w14:textId="106AD9B8"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b/>
          <w:noProof/>
          <w:sz w:val="24"/>
        </w:rPr>
        <w:t>Wieloletnia strategia rozwoju</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nab</w:t>
      </w:r>
      <w:r w:rsidRPr="00BF1AA9">
        <w:rPr>
          <w:rFonts w:ascii="Times New Roman" w:hAnsi="Times New Roman"/>
          <w:b/>
          <w:noProof/>
          <w:sz w:val="24"/>
        </w:rPr>
        <w:t>ywania zdolności technicznych Agencji</w:t>
      </w:r>
      <w:r w:rsidRPr="00BF1AA9">
        <w:rPr>
          <w:rFonts w:ascii="Times New Roman" w:hAnsi="Times New Roman"/>
          <w:noProof/>
          <w:sz w:val="24"/>
        </w:rPr>
        <w:t xml:space="preserve"> oraz związany</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nią</w:t>
      </w:r>
      <w:r w:rsidRPr="00BF1AA9">
        <w:rPr>
          <w:rFonts w:ascii="Times New Roman" w:hAnsi="Times New Roman"/>
          <w:noProof/>
          <w:sz w:val="24"/>
        </w:rPr>
        <w:t xml:space="preserve"> plan wdrażania muszą służyć jako elastyczne narzędzie zapewniające długoterminowe rozwiązania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wyposażenia stałej służby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zas</w:t>
      </w:r>
      <w:r w:rsidRPr="00BF1AA9">
        <w:rPr>
          <w:rFonts w:ascii="Times New Roman" w:hAnsi="Times New Roman"/>
          <w:noProof/>
          <w:sz w:val="24"/>
        </w:rPr>
        <w:t>oby techniczne,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możliwość uruchomienia alternatywnych opcji zaspokajania najbardziej krytycznych potrzeb (tj. nadzór</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ietrza).</w:t>
      </w:r>
    </w:p>
    <w:p w14:paraId="371CCF74" w14:textId="5D0B0182"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dal</w:t>
      </w:r>
      <w:r w:rsidRPr="00BF1AA9">
        <w:rPr>
          <w:rFonts w:ascii="Times New Roman" w:hAnsi="Times New Roman"/>
          <w:noProof/>
          <w:sz w:val="24"/>
        </w:rPr>
        <w:t>szym ciągu rozwijać koncepcję punktów kontaktowych, koncentrując się na zapewnieniu skutecznej reakcji operacyjnej, zwłaszcza na obszarach hotspotów na granicach zewnętrznych i na przejściach granicznych,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uwz</w:t>
      </w:r>
      <w:r w:rsidRPr="00BF1AA9">
        <w:rPr>
          <w:rFonts w:ascii="Times New Roman" w:hAnsi="Times New Roman"/>
          <w:noProof/>
          <w:sz w:val="24"/>
        </w:rPr>
        <w:t>ględnieniem elementu budowania zdolności.</w:t>
      </w:r>
    </w:p>
    <w:p w14:paraId="674F7798" w14:textId="16318432"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b/>
          <w:noProof/>
          <w:sz w:val="24"/>
        </w:rPr>
        <w:t>Standardy techniczne</w:t>
      </w:r>
      <w:r w:rsidRPr="00BF1AA9">
        <w:rPr>
          <w:rFonts w:ascii="Times New Roman" w:hAnsi="Times New Roman"/>
          <w:noProof/>
          <w:sz w:val="24"/>
        </w:rPr>
        <w:t xml:space="preserve"> Agencji dotyczące wyposażenia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wym</w:t>
      </w:r>
      <w:r w:rsidRPr="00BF1AA9">
        <w:rPr>
          <w:rFonts w:ascii="Times New Roman" w:hAnsi="Times New Roman"/>
          <w:noProof/>
          <w:sz w:val="24"/>
        </w:rPr>
        <w:t>iany informacji,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wzajemnego połączenia systemów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sie</w:t>
      </w:r>
      <w:r w:rsidRPr="00BF1AA9">
        <w:rPr>
          <w:rFonts w:ascii="Times New Roman" w:hAnsi="Times New Roman"/>
          <w:noProof/>
          <w:sz w:val="24"/>
        </w:rPr>
        <w:t>ci, powinny być stosowane przez całą społeczność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jed</w:t>
      </w:r>
      <w:r w:rsidRPr="00BF1AA9">
        <w:rPr>
          <w:rFonts w:ascii="Times New Roman" w:hAnsi="Times New Roman"/>
          <w:noProof/>
          <w:sz w:val="24"/>
        </w:rPr>
        <w:t>nolity sposób. Europejska Straż Graniczna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 xml:space="preserve">ybrzeżna powinna współpracować nad </w:t>
      </w:r>
      <w:r w:rsidRPr="00BF1AA9">
        <w:rPr>
          <w:rFonts w:ascii="Times New Roman" w:hAnsi="Times New Roman"/>
          <w:b/>
          <w:noProof/>
          <w:sz w:val="24"/>
        </w:rPr>
        <w:t>procesem normalizacji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zapewnienia interoperacyjności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patybilności wykorzystywanego wyposażenia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owiednimi systemami informacyjnymi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unikacyjnymi oraz EUROSUR-em.</w:t>
      </w:r>
    </w:p>
    <w:p w14:paraId="6EABF5FB" w14:textId="59B5FB7D" w:rsidR="00F5602F" w:rsidRPr="00BF1AA9" w:rsidRDefault="00F5602F" w:rsidP="00377968">
      <w:pPr>
        <w:numPr>
          <w:ilvl w:val="0"/>
          <w:numId w:val="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 ramach swoich odpowiednich kompetencji Frontex</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 członkowskie, wspomagane przez eu-LISA, powinny opracować odpowiednie metody (statystyki, profile, wymiana informacji</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spo</w:t>
      </w:r>
      <w:r w:rsidRPr="00BF1AA9">
        <w:rPr>
          <w:rFonts w:ascii="Times New Roman" w:hAnsi="Times New Roman"/>
          <w:noProof/>
          <w:sz w:val="24"/>
        </w:rPr>
        <w:t>sobie działania), aby zapobiegać niewłaściwemu wykorzystaniu legalnych dróg migracji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mon</w:t>
      </w:r>
      <w:r w:rsidRPr="00BF1AA9">
        <w:rPr>
          <w:rFonts w:ascii="Times New Roman" w:hAnsi="Times New Roman"/>
          <w:noProof/>
          <w:sz w:val="24"/>
        </w:rPr>
        <w:t>itorować sytuację po liberalizacji reżimu wizowego,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poprzez skuteczne wykorzystanie odpowiednich narzędzi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now</w:t>
      </w:r>
      <w:r w:rsidRPr="00BF1AA9">
        <w:rPr>
          <w:rFonts w:ascii="Times New Roman" w:hAnsi="Times New Roman"/>
          <w:noProof/>
          <w:sz w:val="24"/>
        </w:rPr>
        <w:t>ych systemach informacyjnych (VIS, ETIAS, EES itp.).</w:t>
      </w:r>
    </w:p>
    <w:p w14:paraId="56089060" w14:textId="77777777"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p>
    <w:p w14:paraId="219785D3" w14:textId="301DF763" w:rsidR="00F5602F" w:rsidRPr="00BF1AA9"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BF1AA9">
        <w:rPr>
          <w:rFonts w:ascii="Times New Roman" w:hAnsi="Times New Roman"/>
          <w:b/>
          <w:noProof/>
          <w:sz w:val="24"/>
        </w:rPr>
        <w:t>Element 5</w:t>
      </w:r>
      <w:r w:rsidRPr="00BF1AA9">
        <w:rPr>
          <w:rFonts w:ascii="Times New Roman" w:hAnsi="Times New Roman"/>
          <w:noProof/>
          <w:sz w:val="24"/>
        </w:rPr>
        <w:t>: „współprac[a] międzyagencyjn[a] między organami krajowymi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pos</w:t>
      </w:r>
      <w:r w:rsidRPr="00BF1AA9">
        <w:rPr>
          <w:rFonts w:ascii="Times New Roman" w:hAnsi="Times New Roman"/>
          <w:noProof/>
          <w:sz w:val="24"/>
        </w:rPr>
        <w:t>zczególnych państwach członkowskich, które są odpowiedzialne za kontrolę graniczną lub inne zadania wykonywane na granicach, jak również między organami odpowiedzialnymi za powroty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pos</w:t>
      </w:r>
      <w:r w:rsidRPr="00BF1AA9">
        <w:rPr>
          <w:rFonts w:ascii="Times New Roman" w:hAnsi="Times New Roman"/>
          <w:noProof/>
          <w:sz w:val="24"/>
        </w:rPr>
        <w:t>zczególnych państwach członkowskich,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regularn[a] wymian[a] informacji za pomocą istniejących narzędzi wymiany informacji,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sto</w:t>
      </w:r>
      <w:r w:rsidRPr="00BF1AA9">
        <w:rPr>
          <w:rFonts w:ascii="Times New Roman" w:hAnsi="Times New Roman"/>
          <w:noProof/>
          <w:sz w:val="24"/>
        </w:rPr>
        <w:t>sownych przypadkach współpracy</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org</w:t>
      </w:r>
      <w:r w:rsidRPr="00BF1AA9">
        <w:rPr>
          <w:rFonts w:ascii="Times New Roman" w:hAnsi="Times New Roman"/>
          <w:noProof/>
          <w:sz w:val="24"/>
        </w:rPr>
        <w:t>anami krajowymi odpowiedzialnymi za ochronę praw podstawowych”</w:t>
      </w:r>
      <w:r w:rsidRPr="00BF1AA9">
        <w:rPr>
          <w:rFonts w:ascii="Times New Roman" w:eastAsia="Times New Roman" w:hAnsi="Times New Roman" w:cs="Times New Roman"/>
          <w:i/>
          <w:noProof/>
          <w:sz w:val="24"/>
          <w:szCs w:val="24"/>
          <w:vertAlign w:val="superscript"/>
          <w:lang w:eastAsia="en-GB"/>
        </w:rPr>
        <w:footnoteReference w:id="18"/>
      </w:r>
      <w:r w:rsidRPr="00BF1AA9">
        <w:rPr>
          <w:rFonts w:ascii="Times New Roman" w:hAnsi="Times New Roman"/>
          <w:noProof/>
          <w:sz w:val="24"/>
        </w:rPr>
        <w:t>.</w:t>
      </w:r>
    </w:p>
    <w:p w14:paraId="4CF5A60D"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06F0159F"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Priorytety polityki</w:t>
      </w:r>
    </w:p>
    <w:p w14:paraId="437A2085"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3F3E6B27" w14:textId="455F25EA"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Europejskie zintegrowane zarządzanie granicami powinno opierać się na współpracy. Współpraca międzyagencyjna powinna być dobrze ugruntowana na szczeblu krajowym, aby zagwarantować kompleksowe, międzysektorowe, skoordynowane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rac</w:t>
      </w:r>
      <w:r w:rsidRPr="00BF1AA9">
        <w:rPr>
          <w:rFonts w:ascii="Times New Roman" w:hAnsi="Times New Roman"/>
          <w:noProof/>
          <w:sz w:val="24"/>
        </w:rPr>
        <w:t>jonalne pod względem kosztów wdrażanie zintegrowanego zarządzania granicami,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wśród organów krajowych odpowiedzialnych za ochronę praw podstawowych, takich jak krajowe instytucje praw człowieka, instytucje rzeczników praw obywatelskich, krajowe mechanizmy prewencji oraz,</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sto</w:t>
      </w:r>
      <w:r w:rsidRPr="00BF1AA9">
        <w:rPr>
          <w:rFonts w:ascii="Times New Roman" w:hAnsi="Times New Roman"/>
          <w:noProof/>
          <w:sz w:val="24"/>
        </w:rPr>
        <w:t>sownych przypadkach, krajowe mechanizmy monitorowania. Podział pracy, struktury współpracy, wspólne wykorzystanie zdolności, kanały komunikacji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zsy</w:t>
      </w:r>
      <w:r w:rsidRPr="00BF1AA9">
        <w:rPr>
          <w:rFonts w:ascii="Times New Roman" w:hAnsi="Times New Roman"/>
          <w:noProof/>
          <w:sz w:val="24"/>
        </w:rPr>
        <w:t>nchronizowane procedury robocze powinny być dobrze zdefiniowane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sko</w:t>
      </w:r>
      <w:r w:rsidRPr="00BF1AA9">
        <w:rPr>
          <w:rFonts w:ascii="Times New Roman" w:hAnsi="Times New Roman"/>
          <w:noProof/>
          <w:sz w:val="24"/>
        </w:rPr>
        <w:t>nsolidowane.</w:t>
      </w:r>
    </w:p>
    <w:p w14:paraId="58A19307"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499267E8" w14:textId="77777777" w:rsidR="00F5602F" w:rsidRPr="00BF1AA9" w:rsidRDefault="00F5602F" w:rsidP="00377968">
      <w:pPr>
        <w:keepNext/>
        <w:spacing w:after="200" w:line="276" w:lineRule="auto"/>
        <w:ind w:left="357"/>
        <w:contextualSpacing/>
        <w:jc w:val="both"/>
        <w:rPr>
          <w:rFonts w:ascii="Times New Roman" w:eastAsia="Times New Roman" w:hAnsi="Times New Roman" w:cs="Times New Roman"/>
          <w:noProof/>
          <w:sz w:val="24"/>
          <w:szCs w:val="24"/>
        </w:rPr>
      </w:pPr>
      <w:r w:rsidRPr="00BF1AA9">
        <w:rPr>
          <w:rFonts w:ascii="Times New Roman" w:hAnsi="Times New Roman"/>
          <w:noProof/>
          <w:sz w:val="24"/>
          <w:u w:val="single"/>
        </w:rPr>
        <w:t>Wytyczne strategiczne</w:t>
      </w:r>
    </w:p>
    <w:p w14:paraId="10A90C7F" w14:textId="77777777" w:rsidR="00F5602F" w:rsidRPr="00BF1AA9" w:rsidRDefault="00F5602F" w:rsidP="00377968">
      <w:pPr>
        <w:keepNext/>
        <w:spacing w:after="200" w:line="276" w:lineRule="auto"/>
        <w:ind w:left="357"/>
        <w:contextualSpacing/>
        <w:jc w:val="both"/>
        <w:rPr>
          <w:rFonts w:ascii="Times New Roman" w:eastAsia="Calibri" w:hAnsi="Times New Roman" w:cs="Times New Roman"/>
          <w:noProof/>
          <w:sz w:val="24"/>
          <w:szCs w:val="24"/>
        </w:rPr>
      </w:pPr>
    </w:p>
    <w:p w14:paraId="4051161D" w14:textId="203D6203" w:rsidR="00F5602F" w:rsidRPr="00BF1AA9" w:rsidRDefault="00F5602F" w:rsidP="00377968">
      <w:pPr>
        <w:numPr>
          <w:ilvl w:val="0"/>
          <w:numId w:val="5"/>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b/>
          <w:noProof/>
          <w:sz w:val="24"/>
        </w:rPr>
        <w:t>Współpraca międzyagencyjna</w:t>
      </w:r>
      <w:r w:rsidRPr="00BF1AA9">
        <w:rPr>
          <w:rFonts w:ascii="Times New Roman" w:hAnsi="Times New Roman"/>
          <w:noProof/>
          <w:sz w:val="24"/>
        </w:rPr>
        <w:t xml:space="preserve"> między wszystkimi właściwymi organami krajowymi zaangażowanymi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zar</w:t>
      </w:r>
      <w:r w:rsidRPr="00BF1AA9">
        <w:rPr>
          <w:rFonts w:ascii="Times New Roman" w:hAnsi="Times New Roman"/>
          <w:noProof/>
          <w:sz w:val="24"/>
        </w:rPr>
        <w:t>ządzanie granicami powinna odbywać się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jas</w:t>
      </w:r>
      <w:r w:rsidRPr="00BF1AA9">
        <w:rPr>
          <w:rFonts w:ascii="Times New Roman" w:hAnsi="Times New Roman"/>
          <w:noProof/>
          <w:sz w:val="24"/>
        </w:rPr>
        <w:t>no określonymi zasadami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cesami. Ramy regulujące taką współpracę powinny uwzględniać specyfikę instytucjonalną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adm</w:t>
      </w:r>
      <w:r w:rsidRPr="00BF1AA9">
        <w:rPr>
          <w:rFonts w:ascii="Times New Roman" w:hAnsi="Times New Roman"/>
          <w:noProof/>
          <w:sz w:val="24"/>
        </w:rPr>
        <w:t>inistracyjną poszczególnych państw członkowskich. Powinny być wdrożone za pomocą umów</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wsp</w:t>
      </w:r>
      <w:r w:rsidRPr="00BF1AA9">
        <w:rPr>
          <w:rFonts w:ascii="Times New Roman" w:hAnsi="Times New Roman"/>
          <w:noProof/>
          <w:sz w:val="24"/>
        </w:rPr>
        <w:t>ółpracy, które określają konkretne formy współpracy,</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konkretne działania.</w:t>
      </w:r>
    </w:p>
    <w:p w14:paraId="01CA364C" w14:textId="61D254F3" w:rsidR="00F5602F" w:rsidRPr="00BF1AA9" w:rsidRDefault="00F5602F" w:rsidP="00377968">
      <w:pPr>
        <w:numPr>
          <w:ilvl w:val="0"/>
          <w:numId w:val="5"/>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Główne obszary współpracy powinny obejmować skuteczną wymianę informacji, wspólną analizę ryzyka, wspólne operacje oraz wspólne wykorzystanie zdolności europejskich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jowych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ich</w:t>
      </w:r>
      <w:r w:rsidRPr="00BF1AA9">
        <w:rPr>
          <w:rFonts w:ascii="Times New Roman" w:hAnsi="Times New Roman"/>
          <w:noProof/>
          <w:sz w:val="24"/>
        </w:rPr>
        <w:t xml:space="preserve"> kompetencjami, szkolenia,</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ochronę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pagowanie praw podstawowych we wszystkich działaniach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racjach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zar</w:t>
      </w:r>
      <w:r w:rsidRPr="00BF1AA9">
        <w:rPr>
          <w:rFonts w:ascii="Times New Roman" w:hAnsi="Times New Roman"/>
          <w:noProof/>
          <w:sz w:val="24"/>
        </w:rPr>
        <w:t>ządzaniem granicami</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iesieniu do granic morskich wprowadzenie mechanizmu CISE (wspólnego mechanizmu wymiany informacji dla obszarów morskich)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faz</w:t>
      </w:r>
      <w:r w:rsidRPr="00BF1AA9">
        <w:rPr>
          <w:rFonts w:ascii="Times New Roman" w:hAnsi="Times New Roman"/>
          <w:noProof/>
          <w:sz w:val="24"/>
        </w:rPr>
        <w:t>ę operacyjną, przewidziane na</w:t>
      </w:r>
      <w:r w:rsidR="00BF1AA9" w:rsidRPr="00BF1AA9">
        <w:rPr>
          <w:rFonts w:ascii="Times New Roman" w:hAnsi="Times New Roman"/>
          <w:noProof/>
          <w:sz w:val="24"/>
        </w:rPr>
        <w:t> </w:t>
      </w:r>
      <w:r w:rsidRPr="00BF1AA9">
        <w:rPr>
          <w:rFonts w:ascii="Times New Roman" w:hAnsi="Times New Roman"/>
          <w:noProof/>
          <w:sz w:val="24"/>
        </w:rPr>
        <w:t>2024</w:t>
      </w:r>
      <w:r w:rsidR="00BF1AA9" w:rsidRPr="00BF1AA9">
        <w:rPr>
          <w:rFonts w:ascii="Times New Roman" w:hAnsi="Times New Roman"/>
          <w:noProof/>
          <w:sz w:val="24"/>
        </w:rPr>
        <w:t> </w:t>
      </w:r>
      <w:r w:rsidRPr="00BF1AA9">
        <w:rPr>
          <w:rFonts w:ascii="Times New Roman" w:hAnsi="Times New Roman"/>
          <w:noProof/>
          <w:sz w:val="24"/>
        </w:rPr>
        <w:t>r., jest również istotne dla utrzymania morskiej orientacji sytuacyjnej. Mechanizm CISE umożliwi międzysektorową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tra</w:t>
      </w:r>
      <w:r w:rsidRPr="00BF1AA9">
        <w:rPr>
          <w:rFonts w:ascii="Times New Roman" w:hAnsi="Times New Roman"/>
          <w:noProof/>
          <w:sz w:val="24"/>
        </w:rPr>
        <w:t>nsgraniczną bezpieczną wymianę informacji między różnymi organami nadzoru morskiego państw członkowskich UE i EFTA, takimi jak straż przybrzeżna, straż graniczna, służby celne, organy ds. ogólnego ścigania przestępstw, organy ds. kontroli rybołówstwa morskiego itp.</w:t>
      </w:r>
    </w:p>
    <w:p w14:paraId="4591BA55" w14:textId="680F5888" w:rsidR="00F5602F" w:rsidRPr="00BF1AA9" w:rsidRDefault="00F5602F" w:rsidP="00377968">
      <w:pPr>
        <w:numPr>
          <w:ilvl w:val="0"/>
          <w:numId w:val="5"/>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W każdej krajowej strategii należy wprowadzić </w:t>
      </w:r>
      <w:r w:rsidRPr="00BF1AA9">
        <w:rPr>
          <w:rFonts w:ascii="Times New Roman" w:hAnsi="Times New Roman"/>
          <w:b/>
          <w:noProof/>
          <w:sz w:val="24"/>
        </w:rPr>
        <w:t>scentralizowany mechanizm</w:t>
      </w:r>
      <w:r w:rsidRPr="00BF1AA9">
        <w:rPr>
          <w:rFonts w:ascii="Times New Roman" w:hAnsi="Times New Roman"/>
          <w:noProof/>
          <w:sz w:val="24"/>
        </w:rPr>
        <w:t>, aby zapewnić skuteczną koordynację między organem krajowym odpowiedzialnym za ogólny nadzór nad zintegrowanym zarządzaniem granicami</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wsz</w:t>
      </w:r>
      <w:r w:rsidRPr="00BF1AA9">
        <w:rPr>
          <w:rFonts w:ascii="Times New Roman" w:hAnsi="Times New Roman"/>
          <w:noProof/>
          <w:sz w:val="24"/>
        </w:rPr>
        <w:t>ystkimi organami krajowymi odpowiedzialnymi za zarządzanie granicami oraz ich odpowiednikami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ych państwach członkowskich.</w:t>
      </w:r>
    </w:p>
    <w:p w14:paraId="02A6159E" w14:textId="5682BA5E"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dalej rozwijać dwustronną, regionalną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wie</w:t>
      </w:r>
      <w:r w:rsidRPr="00BF1AA9">
        <w:rPr>
          <w:rFonts w:ascii="Times New Roman" w:hAnsi="Times New Roman"/>
          <w:noProof/>
          <w:sz w:val="24"/>
        </w:rPr>
        <w:t>lostronną współpracę operacyjną między państwami członkowskimi, jeżeli jest ona zgodna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zad</w:t>
      </w:r>
      <w:r w:rsidRPr="00BF1AA9">
        <w:rPr>
          <w:rFonts w:ascii="Times New Roman" w:hAnsi="Times New Roman"/>
          <w:noProof/>
          <w:sz w:val="24"/>
        </w:rPr>
        <w:t>aniami Agencji. Należy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wykorzystać wsparcie Agencji oraz wspólne europejskie zdolności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ins</w:t>
      </w:r>
      <w:r w:rsidRPr="00BF1AA9">
        <w:rPr>
          <w:rFonts w:ascii="Times New Roman" w:hAnsi="Times New Roman"/>
          <w:noProof/>
          <w:sz w:val="24"/>
        </w:rPr>
        <w:t>trumenty (np. EUROSUR).</w:t>
      </w:r>
    </w:p>
    <w:p w14:paraId="3898047F" w14:textId="0AFADAFF" w:rsidR="00F5602F" w:rsidRPr="00BF1AA9" w:rsidRDefault="00F5602F" w:rsidP="00377968">
      <w:pPr>
        <w:numPr>
          <w:ilvl w:val="0"/>
          <w:numId w:val="5"/>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Kontrola celna nie jest częścią dorobku Schengen</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nie</w:t>
      </w:r>
      <w:r w:rsidRPr="00BF1AA9">
        <w:rPr>
          <w:rFonts w:ascii="Times New Roman" w:hAnsi="Times New Roman"/>
          <w:noProof/>
          <w:sz w:val="24"/>
        </w:rPr>
        <w:t xml:space="preserve"> wszystkie państwa stowarzyszone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Schengen są członkami unii celnej</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zwi</w:t>
      </w:r>
      <w:r w:rsidRPr="00BF1AA9">
        <w:rPr>
          <w:rFonts w:ascii="Times New Roman" w:hAnsi="Times New Roman"/>
          <w:noProof/>
          <w:sz w:val="24"/>
        </w:rPr>
        <w:t>ązku</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kontrola celna nie jest bezpośrednio częścią koncepcji EUIBM. Organy celne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bezpieczeństwa wewnętrznego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e organy pracujące na granicach zewnętrznych są jednak zaangażowane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eur</w:t>
      </w:r>
      <w:r w:rsidRPr="00BF1AA9">
        <w:rPr>
          <w:rFonts w:ascii="Times New Roman" w:hAnsi="Times New Roman"/>
          <w:noProof/>
          <w:sz w:val="24"/>
        </w:rPr>
        <w:t xml:space="preserve">opejskie zintegrowane zarządzanie granicami za pośrednictwem elementu dotyczącego współpracy międzyagencyjnej. Należy dalej rozwijać współpracę między </w:t>
      </w:r>
      <w:r w:rsidRPr="00BF1AA9">
        <w:rPr>
          <w:rFonts w:ascii="Times New Roman" w:hAnsi="Times New Roman"/>
          <w:b/>
          <w:noProof/>
          <w:sz w:val="24"/>
        </w:rPr>
        <w:t>strażą graniczną</w:t>
      </w:r>
      <w:r w:rsidR="00BF1AA9" w:rsidRPr="00BF1AA9">
        <w:rPr>
          <w:rFonts w:ascii="Times New Roman" w:hAnsi="Times New Roman"/>
          <w:b/>
          <w:noProof/>
          <w:sz w:val="24"/>
        </w:rPr>
        <w:t xml:space="preserve"> a</w:t>
      </w:r>
      <w:r w:rsidR="00BF1AA9">
        <w:rPr>
          <w:rFonts w:ascii="Times New Roman" w:hAnsi="Times New Roman"/>
          <w:b/>
          <w:noProof/>
          <w:sz w:val="24"/>
        </w:rPr>
        <w:t> </w:t>
      </w:r>
      <w:r w:rsidR="00BF1AA9" w:rsidRPr="00BF1AA9">
        <w:rPr>
          <w:rFonts w:ascii="Times New Roman" w:hAnsi="Times New Roman"/>
          <w:b/>
          <w:noProof/>
          <w:sz w:val="24"/>
        </w:rPr>
        <w:t>org</w:t>
      </w:r>
      <w:r w:rsidRPr="00BF1AA9">
        <w:rPr>
          <w:rFonts w:ascii="Times New Roman" w:hAnsi="Times New Roman"/>
          <w:b/>
          <w:noProof/>
          <w:sz w:val="24"/>
        </w:rPr>
        <w:t>anami celnymi</w:t>
      </w:r>
      <w:r w:rsidRPr="00BF1AA9">
        <w:rPr>
          <w:rFonts w:ascii="Times New Roman" w:hAnsi="Times New Roman"/>
          <w:noProof/>
          <w:sz w:val="24"/>
        </w:rPr>
        <w:t xml:space="preserve"> jako partnerami strategicznymi na wszystkich szczeblach, aby zapewnić lepszą integrację kontroli osób</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tow</w:t>
      </w:r>
      <w:r w:rsidRPr="00BF1AA9">
        <w:rPr>
          <w:rFonts w:ascii="Times New Roman" w:hAnsi="Times New Roman"/>
          <w:noProof/>
          <w:sz w:val="24"/>
        </w:rPr>
        <w:t>arów oraz zagwarantować płynne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bez</w:t>
      </w:r>
      <w:r w:rsidRPr="00BF1AA9">
        <w:rPr>
          <w:rFonts w:ascii="Times New Roman" w:hAnsi="Times New Roman"/>
          <w:noProof/>
          <w:sz w:val="24"/>
        </w:rPr>
        <w:t>pieczne przekraczanie granic. Konkretnie rzecz ujmując, oznacza to, że powinny istnieć jasno określone ramy prawne współpracy między strażą graniczną</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org</w:t>
      </w:r>
      <w:r w:rsidRPr="00BF1AA9">
        <w:rPr>
          <w:rFonts w:ascii="Times New Roman" w:hAnsi="Times New Roman"/>
          <w:noProof/>
          <w:sz w:val="24"/>
        </w:rPr>
        <w:t>anami celnymi, obejmujące jasno określony podział pracy, funkcjonalne struktury współpracy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eroperacyjne środowisko techniczne, zapewniające ścisłą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 xml:space="preserve">ktyczną współpracę na wszystkich szczeblach. </w:t>
      </w:r>
    </w:p>
    <w:p w14:paraId="3AF15B86" w14:textId="57161505" w:rsidR="00F5602F" w:rsidRPr="00BF1AA9" w:rsidRDefault="00F5602F" w:rsidP="00377968">
      <w:pPr>
        <w:numPr>
          <w:ilvl w:val="0"/>
          <w:numId w:val="5"/>
        </w:numPr>
        <w:tabs>
          <w:tab w:val="left" w:pos="3090"/>
        </w:tabs>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Należy dalej rozwijać na szczeblu krajowym </w:t>
      </w:r>
      <w:r w:rsidRPr="00BF1AA9">
        <w:rPr>
          <w:rFonts w:ascii="Times New Roman" w:hAnsi="Times New Roman"/>
          <w:b/>
          <w:noProof/>
          <w:sz w:val="24"/>
        </w:rPr>
        <w:t>współpracę organów ścigania</w:t>
      </w:r>
      <w:r w:rsidRPr="00BF1AA9">
        <w:rPr>
          <w:rFonts w:ascii="Times New Roman" w:hAnsi="Times New Roman"/>
          <w:noProof/>
          <w:sz w:val="24"/>
        </w:rPr>
        <w:t xml:space="preserve"> związaną ze wspieraniem zarządzania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zwa</w:t>
      </w:r>
      <w:r w:rsidRPr="00BF1AA9">
        <w:rPr>
          <w:rFonts w:ascii="Times New Roman" w:hAnsi="Times New Roman"/>
          <w:noProof/>
          <w:sz w:val="24"/>
        </w:rPr>
        <w:t>lczaniem przestępczości transgranicznej. Zapewni to lepszą koordynację oraz skuteczne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rac</w:t>
      </w:r>
      <w:r w:rsidRPr="00BF1AA9">
        <w:rPr>
          <w:rFonts w:ascii="Times New Roman" w:hAnsi="Times New Roman"/>
          <w:noProof/>
          <w:sz w:val="24"/>
        </w:rPr>
        <w:t>jonalne pod względem kosztów wykorzystanie informacji, zdolności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sys</w:t>
      </w:r>
      <w:r w:rsidRPr="00BF1AA9">
        <w:rPr>
          <w:rFonts w:ascii="Times New Roman" w:hAnsi="Times New Roman"/>
          <w:noProof/>
          <w:sz w:val="24"/>
        </w:rPr>
        <w:t>temów. Jest to konieczne przy przeciwdziałaniu przestępczości transgranicznej, terroryzmowi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mig</w:t>
      </w:r>
      <w:r w:rsidRPr="00BF1AA9">
        <w:rPr>
          <w:rFonts w:ascii="Times New Roman" w:hAnsi="Times New Roman"/>
          <w:noProof/>
          <w:sz w:val="24"/>
        </w:rPr>
        <w:t>racji nieuregulowanej oraz przy przyczynianiu się do ratowania życia migrantów. Współpraca ta powinna opierać się na jasnej podstawie prawnej, tj. na ustaleniach dotyczących współpracy lub umowach</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wsp</w:t>
      </w:r>
      <w:r w:rsidRPr="00BF1AA9">
        <w:rPr>
          <w:rFonts w:ascii="Times New Roman" w:hAnsi="Times New Roman"/>
          <w:noProof/>
          <w:sz w:val="24"/>
        </w:rPr>
        <w:t>ółpracy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obo</w:t>
      </w:r>
      <w:r w:rsidRPr="00BF1AA9">
        <w:rPr>
          <w:rFonts w:ascii="Times New Roman" w:hAnsi="Times New Roman"/>
          <w:noProof/>
          <w:sz w:val="24"/>
        </w:rPr>
        <w:t>wiązujących procedurach działania. Zadania związane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 xml:space="preserve">trolą graniczną powinny być zawsze wykonywane przez właściwy organ krajowy. </w:t>
      </w:r>
    </w:p>
    <w:p w14:paraId="5850F6ED" w14:textId="06B56736" w:rsidR="00F5602F" w:rsidRPr="00BF1AA9" w:rsidRDefault="00F5602F" w:rsidP="00377968">
      <w:pPr>
        <w:numPr>
          <w:ilvl w:val="0"/>
          <w:numId w:val="5"/>
        </w:numPr>
        <w:tabs>
          <w:tab w:val="left" w:pos="3090"/>
        </w:tabs>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Współpraca powinna być również ułatwiana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wijana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 xml:space="preserve">ach </w:t>
      </w:r>
      <w:r w:rsidRPr="00BF1AA9">
        <w:rPr>
          <w:rFonts w:ascii="Times New Roman" w:hAnsi="Times New Roman"/>
          <w:b/>
          <w:noProof/>
          <w:sz w:val="24"/>
        </w:rPr>
        <w:t>europejskiej multidyscyplinarnej platformy przeciwko zagrożeniom przestępstwami (EMPACT)</w:t>
      </w:r>
      <w:r w:rsidRPr="00BF1AA9">
        <w:rPr>
          <w:rStyle w:val="FootnoteReference"/>
          <w:rFonts w:ascii="Times New Roman" w:eastAsia="Calibri" w:hAnsi="Times New Roman" w:cs="Times New Roman"/>
          <w:b/>
          <w:noProof/>
          <w:sz w:val="24"/>
          <w:szCs w:val="24"/>
        </w:rPr>
        <w:footnoteReference w:id="19"/>
      </w:r>
      <w:r w:rsidRPr="00BF1AA9">
        <w:rPr>
          <w:rFonts w:ascii="Times New Roman" w:hAnsi="Times New Roman"/>
          <w:noProof/>
          <w:sz w:val="24"/>
        </w:rPr>
        <w:t>, która jest stałym instrumentem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któ</w:t>
      </w:r>
      <w:r w:rsidRPr="00BF1AA9">
        <w:rPr>
          <w:rFonts w:ascii="Times New Roman" w:hAnsi="Times New Roman"/>
          <w:noProof/>
          <w:sz w:val="24"/>
        </w:rPr>
        <w:t>ra zapewnia solidne ramy skupiające organy ścigania państw członkowskich, instytucje, organy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jed</w:t>
      </w:r>
      <w:r w:rsidRPr="00BF1AA9">
        <w:rPr>
          <w:rFonts w:ascii="Times New Roman" w:hAnsi="Times New Roman"/>
          <w:noProof/>
          <w:sz w:val="24"/>
        </w:rPr>
        <w:t>nostki organizacyjne UE oraz wielu partnerów multidyscyplinarnych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zwalczania poważnej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zor</w:t>
      </w:r>
      <w:r w:rsidRPr="00BF1AA9">
        <w:rPr>
          <w:rFonts w:ascii="Times New Roman" w:hAnsi="Times New Roman"/>
          <w:noProof/>
          <w:sz w:val="24"/>
        </w:rPr>
        <w:t>ganizowanej przestępczości.</w:t>
      </w:r>
    </w:p>
    <w:p w14:paraId="351DB45F" w14:textId="77777777" w:rsidR="00F5602F" w:rsidRPr="00BF1AA9" w:rsidRDefault="00F5602F" w:rsidP="00377968">
      <w:pPr>
        <w:tabs>
          <w:tab w:val="left" w:pos="3090"/>
        </w:tabs>
        <w:spacing w:after="200" w:line="276" w:lineRule="auto"/>
        <w:contextualSpacing/>
        <w:jc w:val="both"/>
        <w:rPr>
          <w:rFonts w:ascii="Times New Roman" w:eastAsia="Calibri" w:hAnsi="Times New Roman" w:cs="Times New Roman"/>
          <w:noProof/>
          <w:sz w:val="24"/>
          <w:szCs w:val="24"/>
        </w:rPr>
      </w:pPr>
    </w:p>
    <w:p w14:paraId="4F9D64EC" w14:textId="1A503271" w:rsidR="00F5602F" w:rsidRPr="00BF1AA9"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BF1AA9">
        <w:rPr>
          <w:rFonts w:ascii="Times New Roman" w:hAnsi="Times New Roman"/>
          <w:b/>
          <w:noProof/>
          <w:sz w:val="24"/>
        </w:rPr>
        <w:t>Element 6:</w:t>
      </w:r>
      <w:r w:rsidRPr="00BF1AA9">
        <w:rPr>
          <w:rFonts w:ascii="Times New Roman" w:hAnsi="Times New Roman"/>
          <w:noProof/>
          <w:sz w:val="24"/>
        </w:rPr>
        <w:t xml:space="preserve"> „współprac[a] między odpowiednimi instytucjami, organami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jed</w:t>
      </w:r>
      <w:r w:rsidRPr="00BF1AA9">
        <w:rPr>
          <w:rFonts w:ascii="Times New Roman" w:hAnsi="Times New Roman"/>
          <w:noProof/>
          <w:sz w:val="24"/>
        </w:rPr>
        <w:t>nostkami organizacyjnymi Unii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edzinach objętych zakresem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przez regularną wymianę informacji”</w:t>
      </w:r>
      <w:r w:rsidRPr="00BF1AA9">
        <w:rPr>
          <w:rFonts w:ascii="Times New Roman" w:eastAsia="Times New Roman" w:hAnsi="Times New Roman" w:cs="Times New Roman"/>
          <w:i/>
          <w:noProof/>
          <w:sz w:val="24"/>
          <w:szCs w:val="24"/>
          <w:vertAlign w:val="superscript"/>
          <w:lang w:eastAsia="en-GB"/>
        </w:rPr>
        <w:footnoteReference w:id="20"/>
      </w:r>
      <w:r w:rsidRPr="00BF1AA9">
        <w:rPr>
          <w:rFonts w:ascii="Times New Roman" w:hAnsi="Times New Roman"/>
          <w:noProof/>
          <w:sz w:val="24"/>
        </w:rPr>
        <w:t>.</w:t>
      </w:r>
    </w:p>
    <w:p w14:paraId="6435855A"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7449C2CE"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Priorytety polityki</w:t>
      </w:r>
    </w:p>
    <w:p w14:paraId="4CC3555E"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7CAECCCA" w14:textId="4535AA12"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Europejskie zintegrowane zarządzanie granicami powinno opierać się na współpracy. Współpraca międzyagencyjna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europejskimi zainteresowanymi stronami powinna być dobrze ugruntowana, aby zagwarantować kompleksowe, międzysektorowe, skoordynowane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rac</w:t>
      </w:r>
      <w:r w:rsidRPr="00BF1AA9">
        <w:rPr>
          <w:rFonts w:ascii="Times New Roman" w:hAnsi="Times New Roman"/>
          <w:noProof/>
          <w:sz w:val="24"/>
        </w:rPr>
        <w:t>jonalne pod względem kosztów wdrażanie europejskiego zintegrowanego zarządzania granicami.</w:t>
      </w:r>
    </w:p>
    <w:p w14:paraId="58F352D3"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09BD42CB"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rPr>
      </w:pPr>
      <w:r w:rsidRPr="00BF1AA9">
        <w:rPr>
          <w:rFonts w:ascii="Times New Roman" w:hAnsi="Times New Roman"/>
          <w:noProof/>
          <w:sz w:val="24"/>
          <w:u w:val="single"/>
        </w:rPr>
        <w:t>Wytyczne strategiczne</w:t>
      </w:r>
    </w:p>
    <w:p w14:paraId="3CB82CEE" w14:textId="77777777"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p>
    <w:p w14:paraId="00A06F5F" w14:textId="16B7F229" w:rsidR="00F5602F" w:rsidRPr="00BF1AA9"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Na początku współpraca międzyagencyjna na szczeblu UE ma być realizowana za pomocą </w:t>
      </w:r>
      <w:r w:rsidRPr="00BF1AA9">
        <w:rPr>
          <w:rFonts w:ascii="Times New Roman" w:hAnsi="Times New Roman"/>
          <w:b/>
          <w:noProof/>
          <w:sz w:val="24"/>
        </w:rPr>
        <w:t>ustaleń dotyczących współpracy</w:t>
      </w:r>
      <w:r w:rsidRPr="00BF1AA9">
        <w:rPr>
          <w:rFonts w:ascii="Times New Roman" w:hAnsi="Times New Roman"/>
          <w:noProof/>
          <w:sz w:val="24"/>
        </w:rPr>
        <w:t>,</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porozumień roboczych zawartych przez Frontex</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owiednimi instytucjami, organami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jed</w:t>
      </w:r>
      <w:r w:rsidRPr="00BF1AA9">
        <w:rPr>
          <w:rFonts w:ascii="Times New Roman" w:hAnsi="Times New Roman"/>
          <w:noProof/>
          <w:sz w:val="24"/>
        </w:rPr>
        <w:t>nostkami organizacyjnymi UE,</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któ</w:t>
      </w:r>
      <w:r w:rsidRPr="00BF1AA9">
        <w:rPr>
          <w:rFonts w:ascii="Times New Roman" w:hAnsi="Times New Roman"/>
          <w:noProof/>
          <w:sz w:val="24"/>
        </w:rPr>
        <w:t>rych mowa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68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Główne obszary współpracy są związane ze skuteczną wymianą informacji, wspólną analizą ryzyka, wspólnymi operacjami oraz wspólnym wykorzystaniem zdolności europejskich wchodzących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 xml:space="preserve">res ich kompetencji. Należy dalej rozwijać koncepcję </w:t>
      </w:r>
      <w:r w:rsidRPr="00BF1AA9">
        <w:rPr>
          <w:rFonts w:ascii="Times New Roman" w:hAnsi="Times New Roman"/>
          <w:b/>
          <w:noProof/>
          <w:sz w:val="24"/>
        </w:rPr>
        <w:t>operacji wielofunkcyjnych</w:t>
      </w:r>
      <w:r w:rsidRPr="00BF1AA9">
        <w:rPr>
          <w:rFonts w:ascii="Times New Roman" w:hAnsi="Times New Roman"/>
          <w:noProof/>
          <w:sz w:val="24"/>
        </w:rPr>
        <w:t>, opartą na analizie ryzyka, na szczeblu UE, przy pełnym poszanowaniu podstawowych zadań</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obo</w:t>
      </w:r>
      <w:r w:rsidRPr="00BF1AA9">
        <w:rPr>
          <w:rFonts w:ascii="Times New Roman" w:hAnsi="Times New Roman"/>
          <w:noProof/>
          <w:sz w:val="24"/>
        </w:rPr>
        <w:t>wiązków podmiotów na szczeblu UE zaangażowanych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ie operacje.</w:t>
      </w:r>
    </w:p>
    <w:p w14:paraId="25DD38E0" w14:textId="71634186" w:rsidR="00F5602F" w:rsidRPr="00BF1AA9"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wykorzystać operacyjnie potencjał istniejących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yszłych narzędzi wymiany informacji, zwłaszcza EUROSUR-u, na szczeblu unijnym. Gromadzenie informacji przez połączone usługi EUROSUR-u powinno być dalej rozwijane poprzez stosowanie porozumień roboczych między Fronteksem</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owiednimi instytucjami, organami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jed</w:t>
      </w:r>
      <w:r w:rsidRPr="00BF1AA9">
        <w:rPr>
          <w:rFonts w:ascii="Times New Roman" w:hAnsi="Times New Roman"/>
          <w:noProof/>
          <w:sz w:val="24"/>
        </w:rPr>
        <w:t>nostkami organizacyjnymi UE, aby zapewnić państwom członkowskim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nteksowi usługi informacyjne</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war</w:t>
      </w:r>
      <w:r w:rsidRPr="00BF1AA9">
        <w:rPr>
          <w:rFonts w:ascii="Times New Roman" w:hAnsi="Times New Roman"/>
          <w:noProof/>
          <w:sz w:val="24"/>
        </w:rPr>
        <w:t>tości dodanej związane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eur</w:t>
      </w:r>
      <w:r w:rsidRPr="00BF1AA9">
        <w:rPr>
          <w:rFonts w:ascii="Times New Roman" w:hAnsi="Times New Roman"/>
          <w:noProof/>
          <w:sz w:val="24"/>
        </w:rPr>
        <w:t>opejskim zintegrowanym zarządzaniem granicami.</w:t>
      </w:r>
    </w:p>
    <w:p w14:paraId="32DBA70B" w14:textId="26A8590B" w:rsidR="00F5602F" w:rsidRPr="00BF1AA9"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Należy dalej rozwijać </w:t>
      </w:r>
      <w:r w:rsidRPr="00BF1AA9">
        <w:rPr>
          <w:rFonts w:ascii="Times New Roman" w:hAnsi="Times New Roman"/>
          <w:b/>
          <w:noProof/>
          <w:sz w:val="24"/>
        </w:rPr>
        <w:t>współpracę europejską</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zak</w:t>
      </w:r>
      <w:r w:rsidRPr="00BF1AA9">
        <w:rPr>
          <w:rFonts w:ascii="Times New Roman" w:hAnsi="Times New Roman"/>
          <w:b/>
          <w:noProof/>
          <w:sz w:val="24"/>
        </w:rPr>
        <w:t>resie</w:t>
      </w:r>
      <w:r w:rsidRPr="00BF1AA9">
        <w:rPr>
          <w:rFonts w:ascii="Times New Roman" w:hAnsi="Times New Roman"/>
          <w:noProof/>
          <w:sz w:val="24"/>
        </w:rPr>
        <w:t xml:space="preserve"> </w:t>
      </w:r>
      <w:r w:rsidRPr="00BF1AA9">
        <w:rPr>
          <w:rFonts w:ascii="Times New Roman" w:hAnsi="Times New Roman"/>
          <w:b/>
          <w:noProof/>
          <w:sz w:val="24"/>
        </w:rPr>
        <w:t>funkcji straży przybrzeżnej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zwiększenia znajomości sytuacji na morzu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zdo</w:t>
      </w:r>
      <w:r w:rsidRPr="00BF1AA9">
        <w:rPr>
          <w:rFonts w:ascii="Times New Roman" w:hAnsi="Times New Roman"/>
          <w:noProof/>
          <w:sz w:val="24"/>
        </w:rPr>
        <w:t>lności reagowania oraz wspierania spójnych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rac</w:t>
      </w:r>
      <w:r w:rsidRPr="00BF1AA9">
        <w:rPr>
          <w:rFonts w:ascii="Times New Roman" w:hAnsi="Times New Roman"/>
          <w:noProof/>
          <w:sz w:val="24"/>
        </w:rPr>
        <w:t>jonalnych pod względem kosztów działań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Należy powszechnie stosować praktyczny podręcznik dotyczący współpracy europejskiej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funkcji straży przybrzeżnej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promowania zharmonizowanego wdrażania tej współpracy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w:t>
      </w:r>
      <w:r w:rsidRPr="00BF1AA9">
        <w:rPr>
          <w:rFonts w:ascii="Times New Roman" w:eastAsia="Calibri" w:hAnsi="Times New Roman" w:cs="Times New Roman"/>
          <w:noProof/>
          <w:sz w:val="24"/>
          <w:szCs w:val="24"/>
          <w:vertAlign w:val="superscript"/>
        </w:rPr>
        <w:footnoteReference w:id="21"/>
      </w:r>
      <w:r w:rsidRPr="00BF1AA9">
        <w:rPr>
          <w:rFonts w:ascii="Times New Roman" w:hAnsi="Times New Roman"/>
          <w:noProof/>
          <w:sz w:val="24"/>
        </w:rPr>
        <w:t>.</w:t>
      </w:r>
    </w:p>
    <w:p w14:paraId="2FA422C8" w14:textId="70D9CE7F" w:rsidR="00F5602F" w:rsidRPr="00BF1AA9"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b/>
          <w:noProof/>
          <w:sz w:val="24"/>
        </w:rPr>
        <w:t>Interoperacyjność</w:t>
      </w:r>
      <w:r w:rsidRPr="00BF1AA9">
        <w:rPr>
          <w:rFonts w:ascii="Times New Roman" w:hAnsi="Times New Roman"/>
          <w:noProof/>
          <w:sz w:val="24"/>
        </w:rPr>
        <w:t xml:space="preserve"> między odpowiednimi ogólnounijnymi systemami informacyjnymi (EES, ETIAS, SIS, VIS, Eurodac i ECRIS-TCN) powinna być wdrażana terminowo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w:t>
      </w:r>
      <w:r w:rsidR="00BF1AA9">
        <w:rPr>
          <w:rFonts w:ascii="Times New Roman" w:hAnsi="Times New Roman"/>
          <w:noProof/>
          <w:sz w:val="24"/>
        </w:rPr>
        <w:t> </w:t>
      </w:r>
      <w:r w:rsidR="00BF1AA9" w:rsidRPr="00BF1AA9">
        <w:rPr>
          <w:rFonts w:ascii="Times New Roman" w:hAnsi="Times New Roman"/>
          <w:noProof/>
          <w:sz w:val="24"/>
        </w:rPr>
        <w:t>raz</w:t>
      </w:r>
      <w:r w:rsidRPr="00BF1AA9">
        <w:rPr>
          <w:rFonts w:ascii="Times New Roman" w:hAnsi="Times New Roman"/>
          <w:noProof/>
          <w:sz w:val="24"/>
        </w:rPr>
        <w:t xml:space="preserve">ie potrzeby nadal rozwijana, aby zagwarantować skuteczniejsze wykorzystanie różnych instrumentów. Cztery nowe elementy interoperacyjności </w:t>
      </w:r>
      <w:r w:rsidRPr="00BF1AA9">
        <w:rPr>
          <w:rFonts w:ascii="Times New Roman" w:hAnsi="Times New Roman"/>
          <w:noProof/>
          <w:sz w:val="24"/>
        </w:rPr>
        <w:sym w:font="Symbol" w:char="F02D"/>
      </w:r>
      <w:r w:rsidRPr="00BF1AA9">
        <w:rPr>
          <w:rFonts w:ascii="Times New Roman" w:hAnsi="Times New Roman"/>
          <w:noProof/>
          <w:sz w:val="24"/>
        </w:rPr>
        <w:t xml:space="preserve"> europejski portal wyszukiwania (ESP), wspólny system porównywania danych biometrycznych (sBMS), wspólne repozytorium danych umożliwiających identyfikację (CIR) oraz detektor wielokrotnych tożsamości (MID) </w:t>
      </w:r>
      <w:r w:rsidRPr="00BF1AA9">
        <w:rPr>
          <w:rFonts w:ascii="Times New Roman" w:hAnsi="Times New Roman"/>
          <w:noProof/>
          <w:sz w:val="24"/>
        </w:rPr>
        <w:sym w:font="Symbol" w:char="F02D"/>
      </w:r>
      <w:r w:rsidRPr="00BF1AA9">
        <w:rPr>
          <w:rFonts w:ascii="Times New Roman" w:hAnsi="Times New Roman"/>
          <w:noProof/>
          <w:sz w:val="24"/>
        </w:rPr>
        <w:t xml:space="preserve"> zintegrują architekturę systemów, aby wspierać ich cele, zapewniając jednocześnie prawidłową identyfikację osób oraz przyczyniając się do zwalczania oszustw dotyczących tożsamości i do uproszczenia warunków dostępu dla wyznaczonych organów.</w:t>
      </w:r>
    </w:p>
    <w:p w14:paraId="46D72351" w14:textId="0A039870" w:rsidR="00F5602F" w:rsidRPr="00BF1AA9" w:rsidRDefault="00F5602F" w:rsidP="0012611C">
      <w:pPr>
        <w:numPr>
          <w:ilvl w:val="0"/>
          <w:numId w:val="6"/>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W stosownych przypadkach należy stosować </w:t>
      </w:r>
      <w:r w:rsidRPr="00BF1AA9">
        <w:rPr>
          <w:rFonts w:ascii="Times New Roman" w:hAnsi="Times New Roman"/>
          <w:b/>
          <w:noProof/>
          <w:sz w:val="24"/>
        </w:rPr>
        <w:t>koncepcję obszarów hotspotów</w:t>
      </w:r>
      <w:r w:rsidRPr="00BF1AA9">
        <w:rPr>
          <w:rFonts w:ascii="Times New Roman" w:hAnsi="Times New Roman"/>
          <w:noProof/>
          <w:sz w:val="24"/>
        </w:rPr>
        <w:t>,</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obowiązujące procedury działania. Wszystkie odpowiednie agencje (Frontex, Agencja Unii Europejskiej ds. Azylu, Europol i FRA) powinny być stale gotowe do wspierania obszarów hotspotów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yjętą koncepcją</w:t>
      </w:r>
      <w:r w:rsidRPr="00BF1AA9">
        <w:rPr>
          <w:rStyle w:val="FootnoteReference"/>
          <w:rFonts w:ascii="Times New Roman" w:eastAsia="Calibri" w:hAnsi="Times New Roman" w:cs="Times New Roman"/>
          <w:noProof/>
          <w:sz w:val="24"/>
          <w:szCs w:val="24"/>
        </w:rPr>
        <w:footnoteReference w:id="22"/>
      </w:r>
      <w:r w:rsidRPr="00BF1AA9">
        <w:rPr>
          <w:rFonts w:ascii="Times New Roman" w:hAnsi="Times New Roman"/>
          <w:noProof/>
          <w:sz w:val="24"/>
        </w:rPr>
        <w:t>. Państwa członkowskie powinny mieć gotowość prawną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racyjną do tworzenia na swoim terytorium lub wspierania europejskich obszarów hotspotów</w:t>
      </w:r>
      <w:r w:rsidR="00BF1AA9" w:rsidRPr="00BF1AA9">
        <w:rPr>
          <w:rFonts w:ascii="Times New Roman" w:hAnsi="Times New Roman"/>
          <w:noProof/>
          <w:sz w:val="24"/>
        </w:rPr>
        <w:t>.</w:t>
      </w:r>
      <w:r w:rsidR="00BF1AA9" w:rsidRPr="00BF1AA9">
        <w:rPr>
          <w:noProof/>
        </w:rPr>
        <w:t xml:space="preserve"> </w:t>
      </w:r>
      <w:r w:rsidR="00BF1AA9" w:rsidRPr="00BF1AA9">
        <w:rPr>
          <w:rFonts w:ascii="Times New Roman" w:hAnsi="Times New Roman"/>
          <w:noProof/>
          <w:sz w:val="24"/>
        </w:rPr>
        <w:t>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ypadku gdy zespoły wspierające zarządzanie migracjami mogą być i są powołane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40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Komisja będzie koordynować te zespoły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porządzeniem.</w:t>
      </w:r>
    </w:p>
    <w:p w14:paraId="4672B5A7" w14:textId="032E3AD2" w:rsidR="00F5602F" w:rsidRPr="00BF1AA9"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 wszystkich etapach procesu należy wzmocnić koordynację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wsp</w:t>
      </w:r>
      <w:r w:rsidRPr="00BF1AA9">
        <w:rPr>
          <w:rFonts w:ascii="Times New Roman" w:hAnsi="Times New Roman"/>
          <w:noProof/>
          <w:sz w:val="24"/>
        </w:rPr>
        <w:t>ółpracę między Europolem, Eurojustem, Fronteksem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wła</w:t>
      </w:r>
      <w:r w:rsidRPr="00BF1AA9">
        <w:rPr>
          <w:rFonts w:ascii="Times New Roman" w:hAnsi="Times New Roman"/>
          <w:noProof/>
          <w:sz w:val="24"/>
        </w:rPr>
        <w:t>ściwymi organami krajowymi</w:t>
      </w:r>
      <w:r w:rsidR="00BF1AA9" w:rsidRPr="00BF1AA9">
        <w:rPr>
          <w:rFonts w:ascii="Times New Roman" w:hAnsi="Times New Roman"/>
          <w:noProof/>
          <w:sz w:val="24"/>
        </w:rPr>
        <w:t xml:space="preserve"> </w:t>
      </w:r>
      <w:r w:rsidR="00BF1AA9" w:rsidRPr="00BF1AA9">
        <w:rPr>
          <w:rFonts w:ascii="Times New Roman" w:hAnsi="Times New Roman"/>
          <w:b/>
          <w:noProof/>
          <w:sz w:val="24"/>
        </w:rPr>
        <w:t>w</w:t>
      </w:r>
      <w:r w:rsidR="00BF1AA9">
        <w:rPr>
          <w:rFonts w:ascii="Times New Roman" w:hAnsi="Times New Roman"/>
          <w:noProof/>
          <w:sz w:val="24"/>
        </w:rPr>
        <w:t> </w:t>
      </w:r>
      <w:r w:rsidR="00BF1AA9" w:rsidRPr="00BF1AA9">
        <w:rPr>
          <w:rFonts w:ascii="Times New Roman" w:hAnsi="Times New Roman"/>
          <w:b/>
          <w:noProof/>
          <w:sz w:val="24"/>
        </w:rPr>
        <w:t>ram</w:t>
      </w:r>
      <w:r w:rsidRPr="00BF1AA9">
        <w:rPr>
          <w:rFonts w:ascii="Times New Roman" w:hAnsi="Times New Roman"/>
          <w:b/>
          <w:noProof/>
          <w:sz w:val="24"/>
        </w:rPr>
        <w:t>ach EMPACT, europejskiej multidyscyplinarnej platformy przeciwko zagrożeniom przestępstwami</w:t>
      </w:r>
      <w:r w:rsidRPr="00BF1AA9">
        <w:rPr>
          <w:rStyle w:val="FootnoteReference"/>
          <w:rFonts w:ascii="Times New Roman" w:eastAsia="Calibri" w:hAnsi="Times New Roman" w:cs="Times New Roman"/>
          <w:noProof/>
          <w:sz w:val="24"/>
          <w:szCs w:val="24"/>
        </w:rPr>
        <w:footnoteReference w:id="23"/>
      </w:r>
      <w:r w:rsidRPr="00BF1AA9">
        <w:rPr>
          <w:rFonts w:ascii="Times New Roman" w:hAnsi="Times New Roman"/>
          <w:noProof/>
          <w:sz w:val="24"/>
        </w:rPr>
        <w:t>. Współpraca między Fronteksem</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Eur</w:t>
      </w:r>
      <w:r w:rsidRPr="00BF1AA9">
        <w:rPr>
          <w:rFonts w:ascii="Times New Roman" w:hAnsi="Times New Roman"/>
          <w:noProof/>
          <w:sz w:val="24"/>
        </w:rPr>
        <w:t>opolem powinna mieć na celu ułatwienie identyfikacji osób podejrzanych</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pop</w:t>
      </w:r>
      <w:r w:rsidRPr="00BF1AA9">
        <w:rPr>
          <w:rFonts w:ascii="Times New Roman" w:hAnsi="Times New Roman"/>
          <w:noProof/>
          <w:sz w:val="24"/>
        </w:rPr>
        <w:t xml:space="preserve">ełnienie przestępstw transgranicznych, przy pełnym poszanowaniu przepisów określających zadania obydwu tych agencji oraz przepisów UE dotyczących ochrony danych osobowych. </w:t>
      </w:r>
    </w:p>
    <w:p w14:paraId="39AF93F2" w14:textId="0837573A" w:rsidR="00F5602F" w:rsidRPr="00BF1AA9"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Aktywny udział Fronteksu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jowych organów straży granicznej powinien koncentrować się przede wszystkim na tych strategicznych obszarach priorytetowych, które są bezpośrednio związane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gra</w:t>
      </w:r>
      <w:r w:rsidRPr="00BF1AA9">
        <w:rPr>
          <w:rFonts w:ascii="Times New Roman" w:hAnsi="Times New Roman"/>
          <w:noProof/>
          <w:sz w:val="24"/>
        </w:rPr>
        <w:t>nicami zewnętrznymi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iązane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zad</w:t>
      </w:r>
      <w:r w:rsidRPr="00BF1AA9">
        <w:rPr>
          <w:rFonts w:ascii="Times New Roman" w:hAnsi="Times New Roman"/>
          <w:noProof/>
          <w:sz w:val="24"/>
        </w:rPr>
        <w:t>aniami kontroli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zaw</w:t>
      </w:r>
      <w:r w:rsidRPr="00BF1AA9">
        <w:rPr>
          <w:rFonts w:ascii="Times New Roman" w:hAnsi="Times New Roman"/>
          <w:noProof/>
          <w:sz w:val="24"/>
        </w:rPr>
        <w:t>sze są zgodne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ich</w:t>
      </w:r>
      <w:r w:rsidRPr="00BF1AA9">
        <w:rPr>
          <w:rFonts w:ascii="Times New Roman" w:hAnsi="Times New Roman"/>
          <w:noProof/>
          <w:sz w:val="24"/>
        </w:rPr>
        <w:t xml:space="preserve"> odpowiednimi mandatami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w:t>
      </w:r>
      <w:r w:rsidR="00CB0430" w:rsidRPr="00BF1AA9">
        <w:rPr>
          <w:rFonts w:ascii="Times New Roman" w:hAnsi="Times New Roman"/>
          <w:noProof/>
          <w:sz w:val="24"/>
        </w:rPr>
        <w:t>iami regulującymi dany obszar.</w:t>
      </w:r>
    </w:p>
    <w:p w14:paraId="1FCB814F" w14:textId="68D77F42" w:rsidR="00F5602F" w:rsidRPr="00BF1AA9" w:rsidRDefault="00F5602F" w:rsidP="00377968">
      <w:pPr>
        <w:numPr>
          <w:ilvl w:val="0"/>
          <w:numId w:val="6"/>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Frontex powinien również współpracować</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isją (w tym z OLAF-em),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kwe</w:t>
      </w:r>
      <w:r w:rsidRPr="00BF1AA9">
        <w:rPr>
          <w:rFonts w:ascii="Times New Roman" w:hAnsi="Times New Roman"/>
          <w:noProof/>
          <w:sz w:val="24"/>
        </w:rPr>
        <w:t>stii doradztwa dotyczącego rozwoju działań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zar</w:t>
      </w:r>
      <w:r w:rsidRPr="00BF1AA9">
        <w:rPr>
          <w:rFonts w:ascii="Times New Roman" w:hAnsi="Times New Roman"/>
          <w:noProof/>
          <w:sz w:val="24"/>
        </w:rPr>
        <w:t>ządzaniem granicami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stwach trzecich, oraz,</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sto</w:t>
      </w:r>
      <w:r w:rsidRPr="00BF1AA9">
        <w:rPr>
          <w:rFonts w:ascii="Times New Roman" w:hAnsi="Times New Roman"/>
          <w:noProof/>
          <w:sz w:val="24"/>
        </w:rPr>
        <w:t>sownych przypadkach,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członkowskimi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Eur</w:t>
      </w:r>
      <w:r w:rsidRPr="00BF1AA9">
        <w:rPr>
          <w:rFonts w:ascii="Times New Roman" w:hAnsi="Times New Roman"/>
          <w:noProof/>
          <w:sz w:val="24"/>
        </w:rPr>
        <w:t>opejską Służbą Działań Zewnętrznych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kwe</w:t>
      </w:r>
      <w:r w:rsidRPr="00BF1AA9">
        <w:rPr>
          <w:rFonts w:ascii="Times New Roman" w:hAnsi="Times New Roman"/>
          <w:noProof/>
          <w:sz w:val="24"/>
        </w:rPr>
        <w:t>stii działań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zarem celnym (w tym zarządzania ryzykiem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zwa</w:t>
      </w:r>
      <w:r w:rsidRPr="00BF1AA9">
        <w:rPr>
          <w:rFonts w:ascii="Times New Roman" w:hAnsi="Times New Roman"/>
          <w:noProof/>
          <w:sz w:val="24"/>
        </w:rPr>
        <w:t>lczania nadużyć finansowych),</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ile</w:t>
      </w:r>
      <w:r w:rsidRPr="00BF1AA9">
        <w:rPr>
          <w:rFonts w:ascii="Times New Roman" w:hAnsi="Times New Roman"/>
          <w:noProof/>
          <w:sz w:val="24"/>
        </w:rPr>
        <w:t xml:space="preserve"> działania te wzajemnie się uzupełniają.</w:t>
      </w:r>
    </w:p>
    <w:p w14:paraId="5D2C77BC" w14:textId="77777777"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p>
    <w:p w14:paraId="0DFA3E71"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543A320B" w14:textId="019848FA" w:rsidR="00F5602F" w:rsidRPr="00BF1AA9" w:rsidRDefault="00F5602F" w:rsidP="00377968">
      <w:pPr>
        <w:pBdr>
          <w:top w:val="single" w:sz="4" w:space="1" w:color="auto"/>
          <w:left w:val="single" w:sz="4" w:space="4" w:color="auto"/>
          <w:bottom w:val="single" w:sz="4" w:space="0"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BF1AA9">
        <w:rPr>
          <w:rFonts w:ascii="Times New Roman" w:hAnsi="Times New Roman"/>
          <w:b/>
          <w:noProof/>
          <w:sz w:val="24"/>
        </w:rPr>
        <w:t xml:space="preserve">Element 7: </w:t>
      </w:r>
      <w:r w:rsidRPr="00BF1AA9">
        <w:rPr>
          <w:rFonts w:ascii="Times New Roman" w:hAnsi="Times New Roman"/>
          <w:noProof/>
          <w:sz w:val="24"/>
        </w:rPr>
        <w:t>„współprac[a]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edzinach objętych zakresem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koncentrując[a] się</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na sąsiadujących państwach trzecich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tyc</w:t>
      </w:r>
      <w:r w:rsidRPr="00BF1AA9">
        <w:rPr>
          <w:rFonts w:ascii="Times New Roman" w:hAnsi="Times New Roman"/>
          <w:noProof/>
          <w:sz w:val="24"/>
        </w:rPr>
        <w:t>h państwach trzecich, które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wyn</w:t>
      </w:r>
      <w:r w:rsidRPr="00BF1AA9">
        <w:rPr>
          <w:rFonts w:ascii="Times New Roman" w:hAnsi="Times New Roman"/>
          <w:noProof/>
          <w:sz w:val="24"/>
        </w:rPr>
        <w:t>iku analizy ryzyka wskazano jako państwa pochodzenia lub państwa tranzytu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iesieniu do nielegalnej imigracji”</w:t>
      </w:r>
      <w:r w:rsidRPr="00BF1AA9">
        <w:rPr>
          <w:rFonts w:ascii="Times New Roman" w:eastAsia="Times New Roman" w:hAnsi="Times New Roman" w:cs="Times New Roman"/>
          <w:i/>
          <w:noProof/>
          <w:sz w:val="24"/>
          <w:szCs w:val="24"/>
          <w:vertAlign w:val="superscript"/>
          <w:lang w:eastAsia="en-GB"/>
        </w:rPr>
        <w:footnoteReference w:id="24"/>
      </w:r>
      <w:r w:rsidRPr="00BF1AA9">
        <w:rPr>
          <w:rFonts w:ascii="Times New Roman" w:hAnsi="Times New Roman"/>
          <w:noProof/>
          <w:sz w:val="24"/>
        </w:rPr>
        <w:t>.</w:t>
      </w:r>
    </w:p>
    <w:p w14:paraId="579EA44A"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7C1191FB"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Priorytety polityki</w:t>
      </w:r>
    </w:p>
    <w:p w14:paraId="491A47FD"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10488DDA" w14:textId="21CBA1F3"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Państwa członkowskie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Age</w:t>
      </w:r>
      <w:r w:rsidRPr="00BF1AA9">
        <w:rPr>
          <w:rFonts w:ascii="Times New Roman" w:hAnsi="Times New Roman"/>
          <w:noProof/>
          <w:sz w:val="24"/>
        </w:rPr>
        <w:t>ncja powinny współpracować</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 na potrzeby europejskiego zintegrowanego zarządzania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pol</w:t>
      </w:r>
      <w:r w:rsidRPr="00BF1AA9">
        <w:rPr>
          <w:rFonts w:ascii="Times New Roman" w:hAnsi="Times New Roman"/>
          <w:noProof/>
          <w:sz w:val="24"/>
        </w:rPr>
        <w:t>ityki migracyjnej UE. Praktyczna współpraca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zarze europejskiego zintegrowanego zarządzania granicami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powinna odbywać się zgodnie ze wspólną polityką zagraniczną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bez</w:t>
      </w:r>
      <w:r w:rsidRPr="00BF1AA9">
        <w:rPr>
          <w:rFonts w:ascii="Times New Roman" w:hAnsi="Times New Roman"/>
          <w:noProof/>
          <w:sz w:val="24"/>
        </w:rPr>
        <w:t>pieczeństwa oraz ma być zgodna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wem Unii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wem międzynarodowym,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z</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wami podstawowymi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zas</w:t>
      </w:r>
      <w:r w:rsidRPr="00BF1AA9">
        <w:rPr>
          <w:rFonts w:ascii="Times New Roman" w:hAnsi="Times New Roman"/>
          <w:noProof/>
          <w:sz w:val="24"/>
        </w:rPr>
        <w:t>adą non-refoulement, aby zapobiegać migracji nieuregulowanej i ją zwalczać, zwiększać skuteczność powrotów, zapobiegać przestępczości transgranicznej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uła</w:t>
      </w:r>
      <w:r w:rsidRPr="00BF1AA9">
        <w:rPr>
          <w:rFonts w:ascii="Times New Roman" w:hAnsi="Times New Roman"/>
          <w:noProof/>
          <w:sz w:val="24"/>
        </w:rPr>
        <w:t>twiać legalne podróżowanie.</w:t>
      </w:r>
    </w:p>
    <w:p w14:paraId="4A76AEF9"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46236AF0" w14:textId="21B169B2"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Współpraca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rozwijania europejskiego zintegrowanego zarządzania granicami służy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budowaniu ich zdolności strategicznych, operacyjnych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zdo</w:t>
      </w:r>
      <w:r w:rsidRPr="00BF1AA9">
        <w:rPr>
          <w:rFonts w:ascii="Times New Roman" w:hAnsi="Times New Roman"/>
          <w:noProof/>
          <w:sz w:val="24"/>
        </w:rPr>
        <w:t>lności współpracy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zarach kontroli granicznej, analizy ryzyka oraz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dmisji,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uwz</w:t>
      </w:r>
      <w:r w:rsidRPr="00BF1AA9">
        <w:rPr>
          <w:rFonts w:ascii="Times New Roman" w:hAnsi="Times New Roman"/>
          <w:noProof/>
          <w:sz w:val="24"/>
        </w:rPr>
        <w:t>ględnieniem ogólnych stosunków UE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i państwami</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kontekście istotne znaczenie ma propagowanie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stwach trzecich europejskich wartości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nor</w:t>
      </w:r>
      <w:r w:rsidRPr="00BF1AA9">
        <w:rPr>
          <w:rFonts w:ascii="Times New Roman" w:hAnsi="Times New Roman"/>
          <w:noProof/>
          <w:sz w:val="24"/>
        </w:rPr>
        <w:t>m. Priorytetowo należy traktować kraje sąsiadujące z UE oraz kraje pochodzenia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tra</w:t>
      </w:r>
      <w:r w:rsidRPr="00BF1AA9">
        <w:rPr>
          <w:rFonts w:ascii="Times New Roman" w:hAnsi="Times New Roman"/>
          <w:noProof/>
          <w:sz w:val="24"/>
        </w:rPr>
        <w:t>nzytu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iesieni</w:t>
      </w:r>
      <w:r w:rsidR="00CB0430" w:rsidRPr="00BF1AA9">
        <w:rPr>
          <w:rFonts w:ascii="Times New Roman" w:hAnsi="Times New Roman"/>
          <w:noProof/>
          <w:sz w:val="24"/>
        </w:rPr>
        <w:t xml:space="preserve">u do migracji nieuregulowanej. </w:t>
      </w:r>
      <w:r w:rsidRPr="00BF1AA9">
        <w:rPr>
          <w:rFonts w:ascii="Times New Roman" w:hAnsi="Times New Roman"/>
          <w:noProof/>
          <w:sz w:val="24"/>
        </w:rPr>
        <w:t>Zdolność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got</w:t>
      </w:r>
      <w:r w:rsidRPr="00BF1AA9">
        <w:rPr>
          <w:rFonts w:ascii="Times New Roman" w:hAnsi="Times New Roman"/>
          <w:noProof/>
          <w:sz w:val="24"/>
        </w:rPr>
        <w:t>owość tych państw do zapobiegania migracji nieuregulowanej, utrzymania skutecznego zarządzania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sku</w:t>
      </w:r>
      <w:r w:rsidRPr="00BF1AA9">
        <w:rPr>
          <w:rFonts w:ascii="Times New Roman" w:hAnsi="Times New Roman"/>
          <w:noProof/>
          <w:sz w:val="24"/>
        </w:rPr>
        <w:t>tecznej kontroli przepływów migracyjnych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kie</w:t>
      </w:r>
      <w:r w:rsidRPr="00BF1AA9">
        <w:rPr>
          <w:rFonts w:ascii="Times New Roman" w:hAnsi="Times New Roman"/>
          <w:noProof/>
          <w:sz w:val="24"/>
        </w:rPr>
        <w:t>runku UE ma zasadnicze znaczenie dla skutecznego podejścia do kwestii migracji. Przyczynia się to do rozwoju wzajemnych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pleksowych partnerstw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migracji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jami pochodzenia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tra</w:t>
      </w:r>
      <w:r w:rsidRPr="00BF1AA9">
        <w:rPr>
          <w:rFonts w:ascii="Times New Roman" w:hAnsi="Times New Roman"/>
          <w:noProof/>
          <w:sz w:val="24"/>
        </w:rPr>
        <w:t>nzytu.</w:t>
      </w:r>
    </w:p>
    <w:p w14:paraId="57CA42EA" w14:textId="77777777" w:rsidR="00F5602F" w:rsidRPr="00BF1AA9" w:rsidRDefault="00F5602F" w:rsidP="00377968">
      <w:pPr>
        <w:autoSpaceDE w:val="0"/>
        <w:autoSpaceDN w:val="0"/>
        <w:adjustRightInd w:val="0"/>
        <w:spacing w:after="0" w:line="240" w:lineRule="auto"/>
        <w:jc w:val="both"/>
        <w:rPr>
          <w:rFonts w:ascii="Times New Roman" w:eastAsia="Times New Roman" w:hAnsi="Times New Roman" w:cs="Times New Roman"/>
          <w:noProof/>
          <w:color w:val="000000"/>
          <w:sz w:val="24"/>
          <w:szCs w:val="24"/>
          <w:lang w:eastAsia="en-GB"/>
        </w:rPr>
      </w:pPr>
    </w:p>
    <w:p w14:paraId="05760106"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Wytyczne strategiczne</w:t>
      </w:r>
    </w:p>
    <w:p w14:paraId="1B11F9E1"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1BABF725" w14:textId="773E12BA"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Współpraca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zarze europejskiego zintegrowanego zarządzania granicami powinna opierać się na</w:t>
      </w:r>
      <w:r w:rsidRPr="00BF1AA9">
        <w:rPr>
          <w:rFonts w:ascii="Times New Roman" w:hAnsi="Times New Roman"/>
          <w:b/>
          <w:noProof/>
          <w:sz w:val="24"/>
        </w:rPr>
        <w:t xml:space="preserve"> umowach lub ustaleniach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mus</w:t>
      </w:r>
      <w:r w:rsidRPr="00BF1AA9">
        <w:rPr>
          <w:rFonts w:ascii="Times New Roman" w:hAnsi="Times New Roman"/>
          <w:noProof/>
          <w:sz w:val="24"/>
        </w:rPr>
        <w:t>i być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zgodna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wem Unii,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dotyczącym ochrony danych osobowych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pos</w:t>
      </w:r>
      <w:r w:rsidRPr="00BF1AA9">
        <w:rPr>
          <w:rFonts w:ascii="Times New Roman" w:hAnsi="Times New Roman"/>
          <w:noProof/>
          <w:sz w:val="24"/>
        </w:rPr>
        <w:t>zanowania praw podstawowych, oraz</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wem międzynarodowym,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z</w:t>
      </w:r>
      <w:r w:rsidR="00BF1AA9">
        <w:rPr>
          <w:rFonts w:ascii="Times New Roman" w:hAnsi="Times New Roman"/>
          <w:noProof/>
          <w:sz w:val="24"/>
        </w:rPr>
        <w:t> </w:t>
      </w:r>
      <w:r w:rsidR="00BF1AA9" w:rsidRPr="00BF1AA9">
        <w:rPr>
          <w:rFonts w:ascii="Times New Roman" w:hAnsi="Times New Roman"/>
          <w:noProof/>
          <w:sz w:val="24"/>
        </w:rPr>
        <w:t>zas</w:t>
      </w:r>
      <w:r w:rsidRPr="00BF1AA9">
        <w:rPr>
          <w:rFonts w:ascii="Times New Roman" w:hAnsi="Times New Roman"/>
          <w:noProof/>
          <w:sz w:val="24"/>
        </w:rPr>
        <w:t xml:space="preserve">adą </w:t>
      </w:r>
      <w:r w:rsidRPr="00BF1AA9">
        <w:rPr>
          <w:rFonts w:ascii="Times New Roman" w:hAnsi="Times New Roman"/>
          <w:i/>
          <w:noProof/>
          <w:sz w:val="24"/>
        </w:rPr>
        <w:t>non-refoulement</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umo</w:t>
      </w:r>
      <w:r w:rsidRPr="00BF1AA9">
        <w:rPr>
          <w:rFonts w:ascii="Times New Roman" w:hAnsi="Times New Roman"/>
          <w:noProof/>
          <w:sz w:val="24"/>
        </w:rPr>
        <w:t>wach tych (w tym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umo</w:t>
      </w:r>
      <w:r w:rsidRPr="00BF1AA9">
        <w:rPr>
          <w:rFonts w:ascii="Times New Roman" w:hAnsi="Times New Roman"/>
          <w:noProof/>
          <w:sz w:val="24"/>
        </w:rPr>
        <w:t>wach</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sta</w:t>
      </w:r>
      <w:r w:rsidRPr="00BF1AA9">
        <w:rPr>
          <w:rFonts w:ascii="Times New Roman" w:hAnsi="Times New Roman"/>
          <w:noProof/>
          <w:sz w:val="24"/>
        </w:rPr>
        <w:t>tusie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por</w:t>
      </w:r>
      <w:r w:rsidRPr="00BF1AA9">
        <w:rPr>
          <w:rFonts w:ascii="Times New Roman" w:hAnsi="Times New Roman"/>
          <w:noProof/>
          <w:sz w:val="24"/>
        </w:rPr>
        <w:t>ozumieniach roboczych) należy określać właściwe organy, struktury współpracy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 współpracy oraz ustanawiać zasady podziału obowiązków.</w:t>
      </w:r>
    </w:p>
    <w:p w14:paraId="2F350814" w14:textId="23A40725"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Współpracę operacyjną między państwami członkowskimi</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 powinno się podejmować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każ</w:t>
      </w:r>
      <w:r w:rsidRPr="00BF1AA9">
        <w:rPr>
          <w:rFonts w:ascii="Times New Roman" w:hAnsi="Times New Roman"/>
          <w:noProof/>
          <w:sz w:val="24"/>
        </w:rPr>
        <w:t>dym przypadku, gdy wpisuje się ona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man</w:t>
      </w:r>
      <w:r w:rsidRPr="00BF1AA9">
        <w:rPr>
          <w:rFonts w:ascii="Times New Roman" w:hAnsi="Times New Roman"/>
          <w:noProof/>
          <w:sz w:val="24"/>
        </w:rPr>
        <w:t>dat</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fun</w:t>
      </w:r>
      <w:r w:rsidRPr="00BF1AA9">
        <w:rPr>
          <w:rFonts w:ascii="Times New Roman" w:hAnsi="Times New Roman"/>
          <w:noProof/>
          <w:sz w:val="24"/>
        </w:rPr>
        <w:t>kcjonowanie Fronteksu oraz przyczynia się do osiągnięcia jego celów,</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wpisuje się</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ogó</w:t>
      </w:r>
      <w:r w:rsidRPr="00BF1AA9">
        <w:rPr>
          <w:rFonts w:ascii="Times New Roman" w:hAnsi="Times New Roman"/>
          <w:noProof/>
          <w:sz w:val="24"/>
        </w:rPr>
        <w:t>lne stosunki UE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i państwami. </w:t>
      </w:r>
    </w:p>
    <w:p w14:paraId="2083C59A" w14:textId="7FBB1E3C"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Wymiana informacji między państwami członkowskimi</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za pośrednictwem EUROSUR-u, powinna odbywać się</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umów lub ustaleń dwustronnych lub wielostronnych</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celu państwa członkowskie powinny stosować się do zalecenia Komisji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wzorów postanowień do celów wymiany informacji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EUROSUR-u, które zostało przyjęte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76 ust.</w:t>
      </w:r>
      <w:r w:rsidR="00BF1AA9" w:rsidRPr="00BF1AA9">
        <w:rPr>
          <w:rFonts w:ascii="Times New Roman" w:hAnsi="Times New Roman"/>
          <w:noProof/>
          <w:sz w:val="24"/>
        </w:rPr>
        <w:t> </w:t>
      </w:r>
      <w:r w:rsidRPr="00BF1AA9">
        <w:rPr>
          <w:rFonts w:ascii="Times New Roman" w:hAnsi="Times New Roman"/>
          <w:noProof/>
          <w:sz w:val="24"/>
        </w:rPr>
        <w:t>2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Pr="00BF1AA9">
        <w:rPr>
          <w:rFonts w:ascii="Times New Roman" w:eastAsia="Calibri" w:hAnsi="Times New Roman" w:cs="Times New Roman"/>
          <w:noProof/>
          <w:sz w:val="24"/>
          <w:szCs w:val="24"/>
          <w:vertAlign w:val="superscript"/>
        </w:rPr>
        <w:footnoteReference w:id="25"/>
      </w:r>
      <w:r w:rsidRPr="00BF1AA9">
        <w:rPr>
          <w:rFonts w:ascii="Times New Roman" w:hAnsi="Times New Roman"/>
          <w:noProof/>
          <w:sz w:val="24"/>
        </w:rPr>
        <w:t>.</w:t>
      </w:r>
    </w:p>
    <w:p w14:paraId="7A4072B8" w14:textId="31138815"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Aby zwiększyć przejrzystość, Frontex powinien zawsze sporządzać przegląd na poziomie UE dotyczący współpracy operacyjnej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zarze zarządzania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rotów prowadzonej obecnie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 zgodnie ze strategią Agencji dotyczącą współpracy międzynarodowej. Przegląd ten powinien opierać się na informacjach uzyskanych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od państw członkowskich, Komisji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age</w:t>
      </w:r>
      <w:r w:rsidRPr="00BF1AA9">
        <w:rPr>
          <w:rFonts w:ascii="Times New Roman" w:hAnsi="Times New Roman"/>
          <w:noProof/>
          <w:sz w:val="24"/>
        </w:rPr>
        <w:t>ncji UE.</w:t>
      </w:r>
    </w:p>
    <w:p w14:paraId="157DEB84" w14:textId="63B9A2D5"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Tworząc szczególne obrazy sytuacji we współpracy ze stronami trzecimi EUROSUR-u, państwa członkowskie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ntex powinny przestrzegać technicznych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racyjnych standardów wymiany informacji opracowanych przez Frontex oraz je promować.</w:t>
      </w:r>
    </w:p>
    <w:p w14:paraId="1AC0E55F" w14:textId="2C94853D"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Realizowane przez Frontex działania operacyjne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stwach trzecich należy planować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lizować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b/>
          <w:noProof/>
          <w:sz w:val="24"/>
        </w:rPr>
        <w:t>umo</w:t>
      </w:r>
      <w:r w:rsidRPr="00BF1AA9">
        <w:rPr>
          <w:rFonts w:ascii="Times New Roman" w:hAnsi="Times New Roman"/>
          <w:b/>
          <w:noProof/>
          <w:sz w:val="24"/>
        </w:rPr>
        <w:t>wami</w:t>
      </w:r>
      <w:r w:rsidR="00BF1AA9" w:rsidRPr="00BF1AA9">
        <w:rPr>
          <w:rFonts w:ascii="Times New Roman" w:hAnsi="Times New Roman"/>
          <w:b/>
          <w:noProof/>
          <w:sz w:val="24"/>
        </w:rPr>
        <w:t xml:space="preserve"> o</w:t>
      </w:r>
      <w:r w:rsidR="00BF1AA9">
        <w:rPr>
          <w:rFonts w:ascii="Times New Roman" w:hAnsi="Times New Roman"/>
          <w:b/>
          <w:noProof/>
          <w:sz w:val="24"/>
        </w:rPr>
        <w:t> </w:t>
      </w:r>
      <w:r w:rsidR="00BF1AA9" w:rsidRPr="00BF1AA9">
        <w:rPr>
          <w:rFonts w:ascii="Times New Roman" w:hAnsi="Times New Roman"/>
          <w:b/>
          <w:noProof/>
          <w:sz w:val="24"/>
        </w:rPr>
        <w:t>sta</w:t>
      </w:r>
      <w:r w:rsidRPr="00BF1AA9">
        <w:rPr>
          <w:rFonts w:ascii="Times New Roman" w:hAnsi="Times New Roman"/>
          <w:b/>
          <w:noProof/>
          <w:sz w:val="24"/>
        </w:rPr>
        <w:t>tusie</w:t>
      </w:r>
      <w:r w:rsidRPr="00BF1AA9">
        <w:rPr>
          <w:rFonts w:ascii="Times New Roman" w:hAnsi="Times New Roman"/>
          <w:noProof/>
          <w:sz w:val="24"/>
        </w:rPr>
        <w:t xml:space="preserve"> zawartymi między UE</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dan</w:t>
      </w:r>
      <w:r w:rsidRPr="00BF1AA9">
        <w:rPr>
          <w:rFonts w:ascii="Times New Roman" w:hAnsi="Times New Roman"/>
          <w:noProof/>
          <w:sz w:val="24"/>
        </w:rPr>
        <w:t>ym państwem trzecim lub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b/>
          <w:noProof/>
          <w:sz w:val="24"/>
        </w:rPr>
        <w:t>por</w:t>
      </w:r>
      <w:r w:rsidRPr="00BF1AA9">
        <w:rPr>
          <w:rFonts w:ascii="Times New Roman" w:hAnsi="Times New Roman"/>
          <w:b/>
          <w:noProof/>
          <w:sz w:val="24"/>
        </w:rPr>
        <w:t>ozumieniami roboczymi</w:t>
      </w:r>
      <w:r w:rsidRPr="00BF1AA9">
        <w:rPr>
          <w:rFonts w:ascii="Times New Roman" w:hAnsi="Times New Roman"/>
          <w:noProof/>
          <w:sz w:val="24"/>
        </w:rPr>
        <w:t xml:space="preserve"> zawartymi przez Frontex</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wła</w:t>
      </w:r>
      <w:r w:rsidRPr="00BF1AA9">
        <w:rPr>
          <w:rFonts w:ascii="Times New Roman" w:hAnsi="Times New Roman"/>
          <w:noProof/>
          <w:sz w:val="24"/>
        </w:rPr>
        <w:t>ściwe organy państw trzecich. Zarówno umowy</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sta</w:t>
      </w:r>
      <w:r w:rsidRPr="00BF1AA9">
        <w:rPr>
          <w:rFonts w:ascii="Times New Roman" w:hAnsi="Times New Roman"/>
          <w:noProof/>
          <w:sz w:val="24"/>
        </w:rPr>
        <w:t>tusie, jak</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por</w:t>
      </w:r>
      <w:r w:rsidRPr="00BF1AA9">
        <w:rPr>
          <w:rFonts w:ascii="Times New Roman" w:hAnsi="Times New Roman"/>
          <w:noProof/>
          <w:sz w:val="24"/>
        </w:rPr>
        <w:t>ozumienia robocze powinny być oparte na odpowiednich wzorach przyjętych przez Komisję</w:t>
      </w:r>
      <w:r w:rsidRPr="00BF1AA9">
        <w:rPr>
          <w:rFonts w:ascii="Times New Roman" w:eastAsia="Calibri" w:hAnsi="Times New Roman" w:cs="Times New Roman"/>
          <w:noProof/>
          <w:sz w:val="24"/>
          <w:szCs w:val="24"/>
          <w:vertAlign w:val="superscript"/>
        </w:rPr>
        <w:footnoteReference w:id="26"/>
      </w:r>
      <w:r w:rsidRPr="00BF1AA9">
        <w:rPr>
          <w:rFonts w:ascii="Times New Roman" w:hAnsi="Times New Roman"/>
          <w:noProof/>
          <w:sz w:val="24"/>
        </w:rPr>
        <w:t>.</w:t>
      </w:r>
    </w:p>
    <w:p w14:paraId="752C2CC0" w14:textId="1B38A258"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Współpraca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 musi być zgodna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wem Unii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wem międzynarodowym,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z</w:t>
      </w:r>
      <w:r w:rsidR="00BF1AA9">
        <w:rPr>
          <w:rFonts w:ascii="Times New Roman" w:hAnsi="Times New Roman"/>
          <w:noProof/>
          <w:sz w:val="24"/>
        </w:rPr>
        <w:t> </w:t>
      </w:r>
      <w:r w:rsidR="00BF1AA9" w:rsidRPr="00BF1AA9">
        <w:rPr>
          <w:rFonts w:ascii="Times New Roman" w:hAnsi="Times New Roman"/>
          <w:noProof/>
          <w:sz w:val="24"/>
        </w:rPr>
        <w:t>nor</w:t>
      </w:r>
      <w:r w:rsidRPr="00BF1AA9">
        <w:rPr>
          <w:rFonts w:ascii="Times New Roman" w:hAnsi="Times New Roman"/>
          <w:noProof/>
          <w:sz w:val="24"/>
        </w:rPr>
        <w:t>mami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sta</w:t>
      </w:r>
      <w:r w:rsidRPr="00BF1AA9">
        <w:rPr>
          <w:rFonts w:ascii="Times New Roman" w:hAnsi="Times New Roman"/>
          <w:noProof/>
          <w:sz w:val="24"/>
        </w:rPr>
        <w:t>ndardami określonymi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wie UE, również jeśli współpraca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 odbywa się poza terytorium Unii Europejskiej. Wymiana danych osobowych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 musi być zgodna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wym</w:t>
      </w:r>
      <w:r w:rsidRPr="00BF1AA9">
        <w:rPr>
          <w:rFonts w:ascii="Times New Roman" w:hAnsi="Times New Roman"/>
          <w:noProof/>
          <w:sz w:val="24"/>
        </w:rPr>
        <w:t>ogami prawa UE dotyczącymi ochrony danych osobowych.</w:t>
      </w:r>
    </w:p>
    <w:p w14:paraId="3ABDA747" w14:textId="145825F1"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Należy zintensyfikować </w:t>
      </w:r>
      <w:r w:rsidRPr="00BF1AA9">
        <w:rPr>
          <w:rFonts w:ascii="Times New Roman" w:hAnsi="Times New Roman"/>
          <w:b/>
          <w:noProof/>
          <w:sz w:val="24"/>
        </w:rPr>
        <w:t>wielostronną</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reg</w:t>
      </w:r>
      <w:r w:rsidRPr="00BF1AA9">
        <w:rPr>
          <w:rFonts w:ascii="Times New Roman" w:hAnsi="Times New Roman"/>
          <w:b/>
          <w:noProof/>
          <w:sz w:val="24"/>
        </w:rPr>
        <w:t>ionalną współpracę</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 Jako punkty kontaktowe służące do wymiany informacji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jami sąsiadującymi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właściwymi krajami powinno się wykorzystać krajowe ośrodki koordynacji państw członkowskich.</w:t>
      </w:r>
    </w:p>
    <w:p w14:paraId="18C72D6E" w14:textId="65BC3E2B"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owionym unijnym planem działania na rzecz zwalczania przemytu migrantów</w:t>
      </w:r>
      <w:r w:rsidRPr="00BF1AA9">
        <w:rPr>
          <w:rStyle w:val="FootnoteReference"/>
          <w:rFonts w:ascii="Times New Roman" w:eastAsia="Calibri" w:hAnsi="Times New Roman" w:cs="Times New Roman"/>
          <w:noProof/>
          <w:sz w:val="24"/>
          <w:szCs w:val="24"/>
        </w:rPr>
        <w:footnoteReference w:id="27"/>
      </w:r>
      <w:r w:rsidRPr="00BF1AA9">
        <w:rPr>
          <w:rFonts w:ascii="Times New Roman" w:hAnsi="Times New Roman"/>
          <w:noProof/>
          <w:sz w:val="24"/>
        </w:rPr>
        <w:t xml:space="preserve"> należy wzmocnić współpracę</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klu</w:t>
      </w:r>
      <w:r w:rsidRPr="00BF1AA9">
        <w:rPr>
          <w:rFonts w:ascii="Times New Roman" w:hAnsi="Times New Roman"/>
          <w:noProof/>
          <w:sz w:val="24"/>
        </w:rPr>
        <w:t>czowymi państwami trzecimi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zapobiegania przemytowi migrantów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zwa</w:t>
      </w:r>
      <w:r w:rsidRPr="00BF1AA9">
        <w:rPr>
          <w:rFonts w:ascii="Times New Roman" w:hAnsi="Times New Roman"/>
          <w:noProof/>
          <w:sz w:val="24"/>
        </w:rPr>
        <w:t>lczania tego procederu,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poprzez uruchomienie partnerstw operacyjnych na rzecz przeciwdziałania przemytowi</w:t>
      </w:r>
      <w:r w:rsidRPr="00BF1AA9">
        <w:rPr>
          <w:rStyle w:val="FootnoteReference"/>
          <w:rFonts w:ascii="Times New Roman" w:eastAsia="Calibri" w:hAnsi="Times New Roman" w:cs="Times New Roman"/>
          <w:noProof/>
          <w:sz w:val="24"/>
          <w:szCs w:val="24"/>
        </w:rPr>
        <w:footnoteReference w:id="28"/>
      </w:r>
      <w:r w:rsidRPr="00BF1AA9">
        <w:rPr>
          <w:rFonts w:ascii="Times New Roman" w:hAnsi="Times New Roman"/>
          <w:noProof/>
          <w:sz w:val="24"/>
        </w:rPr>
        <w:t>. Współpraca ta jest wspierana przez agencje UE,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Frontex, Europol, Eurojust oraz Agencję Unii Europejskiej ds. Szkolenia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Ścigania (CEPOL),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ich</w:t>
      </w:r>
      <w:r w:rsidRPr="00BF1AA9">
        <w:rPr>
          <w:rFonts w:ascii="Times New Roman" w:hAnsi="Times New Roman"/>
          <w:noProof/>
          <w:sz w:val="24"/>
        </w:rPr>
        <w:t xml:space="preserve"> mandatami, jak również</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współpracy operacyjnej wspieranej</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wyk</w:t>
      </w:r>
      <w:r w:rsidRPr="00BF1AA9">
        <w:rPr>
          <w:rFonts w:ascii="Times New Roman" w:hAnsi="Times New Roman"/>
          <w:noProof/>
          <w:sz w:val="24"/>
        </w:rPr>
        <w:t xml:space="preserve">orzystaniem pomocy finansowej UE. </w:t>
      </w:r>
    </w:p>
    <w:p w14:paraId="2C269840" w14:textId="07F55192"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 sytuacjach,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któ</w:t>
      </w:r>
      <w:r w:rsidRPr="00BF1AA9">
        <w:rPr>
          <w:rFonts w:ascii="Times New Roman" w:hAnsi="Times New Roman"/>
          <w:noProof/>
          <w:sz w:val="24"/>
        </w:rPr>
        <w:t>rych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lizacji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poszczególnych funkcji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 xml:space="preserve">resie europejskiego zintegrowanego zarządzania granicami wyraźnie pomóc mogłyby </w:t>
      </w:r>
      <w:r w:rsidRPr="00BF1AA9">
        <w:rPr>
          <w:rFonts w:ascii="Times New Roman" w:hAnsi="Times New Roman"/>
          <w:b/>
          <w:noProof/>
          <w:sz w:val="24"/>
        </w:rPr>
        <w:t>sieci urzędników łącznikowych</w:t>
      </w:r>
      <w:r w:rsidRPr="00BF1AA9">
        <w:rPr>
          <w:rFonts w:ascii="Times New Roman" w:hAnsi="Times New Roman"/>
          <w:noProof/>
          <w:sz w:val="24"/>
        </w:rPr>
        <w:t>, należy sprawnie koordynować pracę tych sieci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zap</w:t>
      </w:r>
      <w:r w:rsidRPr="00BF1AA9">
        <w:rPr>
          <w:rFonts w:ascii="Times New Roman" w:hAnsi="Times New Roman"/>
          <w:noProof/>
          <w:sz w:val="24"/>
        </w:rPr>
        <w:t>ewnić im odpowiednie wsparcie ze strony Agencji, aby zmaksymalizować możliwości operacyjne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sku</w:t>
      </w:r>
      <w:r w:rsidRPr="00BF1AA9">
        <w:rPr>
          <w:rFonts w:ascii="Times New Roman" w:hAnsi="Times New Roman"/>
          <w:noProof/>
          <w:sz w:val="24"/>
        </w:rPr>
        <w:t>teczność. Na wszystkich poziomach powinno być jasne, jakie obowiązują kanały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for</w:t>
      </w:r>
      <w:r w:rsidRPr="00BF1AA9">
        <w:rPr>
          <w:rFonts w:ascii="Times New Roman" w:hAnsi="Times New Roman"/>
          <w:noProof/>
          <w:sz w:val="24"/>
        </w:rPr>
        <w:t>my współpracy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awozdawczości. Zawsze powinny istnieć szerokie możliwości wysyłania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róż</w:t>
      </w:r>
      <w:r w:rsidRPr="00BF1AA9">
        <w:rPr>
          <w:rFonts w:ascii="Times New Roman" w:hAnsi="Times New Roman"/>
          <w:noProof/>
          <w:sz w:val="24"/>
        </w:rPr>
        <w:t>ne miejsca urzędników łącznikowych</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owiednich umiejętnościach lub zespołów ekspertów, jeśli zaistnieje taka potrzeba operacyjna. Frontex powinien mieć pełny obraz sytuacji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kwe</w:t>
      </w:r>
      <w:r w:rsidRPr="00BF1AA9">
        <w:rPr>
          <w:rFonts w:ascii="Times New Roman" w:hAnsi="Times New Roman"/>
          <w:noProof/>
          <w:sz w:val="24"/>
        </w:rPr>
        <w:t>stii poszczególnych rodzajów europejskich urzędników łącznikowych (urzędników łącznikowych Fronteksu, europejskich urzędników łącznikowych ds. migracji, europejskich urzędników łącznikowych ds. powrotów, urzędników łącznikowych innych agencji) oraz krajowych urzędników łącznikowych ds. imigracji oparty na informacjach przekazywanych przez państwa członkowskie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e właściwe organy UE. Zgromadzone informacje należy wykorzystywać do ulepszania analizy ryzyka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zwi</w:t>
      </w:r>
      <w:r w:rsidRPr="00BF1AA9">
        <w:rPr>
          <w:rFonts w:ascii="Times New Roman" w:hAnsi="Times New Roman"/>
          <w:noProof/>
          <w:sz w:val="24"/>
        </w:rPr>
        <w:t>ększania znajomości sytuacji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przedgranicznego obrazu sytuacji. Urzędnicy łącznikowi Fronteksu powinni również wymieniać wszelkie istotne informacje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del</w:t>
      </w:r>
      <w:r w:rsidRPr="00BF1AA9">
        <w:rPr>
          <w:rFonts w:ascii="Times New Roman" w:hAnsi="Times New Roman"/>
          <w:noProof/>
          <w:sz w:val="24"/>
        </w:rPr>
        <w:t>egaturą Unii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ju, do którego zostali wysłani,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ogólnej koordynacji polityki UE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kraju. Należy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wykorzystać sieć urzędników łącznikowych ds. imigracji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wzmocnienia współpracy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koo</w:t>
      </w:r>
      <w:r w:rsidRPr="00BF1AA9">
        <w:rPr>
          <w:rFonts w:ascii="Times New Roman" w:hAnsi="Times New Roman"/>
          <w:noProof/>
          <w:sz w:val="24"/>
        </w:rPr>
        <w:t>rdynacji działań urzędników łącznikowych ds. i</w:t>
      </w:r>
      <w:r w:rsidR="00CB0430" w:rsidRPr="00BF1AA9">
        <w:rPr>
          <w:rFonts w:ascii="Times New Roman" w:hAnsi="Times New Roman"/>
          <w:noProof/>
          <w:sz w:val="24"/>
        </w:rPr>
        <w:t>migracji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00CB0430" w:rsidRPr="00BF1AA9">
        <w:rPr>
          <w:rFonts w:ascii="Times New Roman" w:hAnsi="Times New Roman"/>
          <w:noProof/>
          <w:sz w:val="24"/>
        </w:rPr>
        <w:t>stwach trzecich.</w:t>
      </w:r>
    </w:p>
    <w:p w14:paraId="5FAB8712" w14:textId="0E4AF997"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UE powinna koordynować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mon</w:t>
      </w:r>
      <w:r w:rsidRPr="00BF1AA9">
        <w:rPr>
          <w:rFonts w:ascii="Times New Roman" w:hAnsi="Times New Roman"/>
          <w:noProof/>
          <w:sz w:val="24"/>
        </w:rPr>
        <w:t>itorować wizyty robocze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stwach trzecich związane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b/>
          <w:noProof/>
          <w:sz w:val="24"/>
        </w:rPr>
        <w:t>bud</w:t>
      </w:r>
      <w:r w:rsidRPr="00BF1AA9">
        <w:rPr>
          <w:rFonts w:ascii="Times New Roman" w:hAnsi="Times New Roman"/>
          <w:b/>
          <w:noProof/>
          <w:sz w:val="24"/>
        </w:rPr>
        <w:t>owaniem zdolności</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zak</w:t>
      </w:r>
      <w:r w:rsidRPr="00BF1AA9">
        <w:rPr>
          <w:rFonts w:ascii="Times New Roman" w:hAnsi="Times New Roman"/>
          <w:b/>
          <w:noProof/>
          <w:sz w:val="24"/>
        </w:rPr>
        <w:t>resie zintegrowanego zarządzania granicami</w:t>
      </w:r>
      <w:r w:rsidRPr="00BF1AA9">
        <w:rPr>
          <w:rFonts w:ascii="Times New Roman" w:hAnsi="Times New Roman"/>
          <w:noProof/>
          <w:sz w:val="24"/>
        </w:rPr>
        <w:t>, doradztwo techniczne, szkolenia lub wsparcie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pos</w:t>
      </w:r>
      <w:r w:rsidRPr="00BF1AA9">
        <w:rPr>
          <w:rFonts w:ascii="Times New Roman" w:hAnsi="Times New Roman"/>
          <w:noProof/>
          <w:sz w:val="24"/>
        </w:rPr>
        <w:t xml:space="preserve">taci wyposażenia technicznego. Frontex powinien kontynuować realizację </w:t>
      </w:r>
      <w:r w:rsidRPr="00BF1AA9">
        <w:rPr>
          <w:rFonts w:ascii="Times New Roman" w:hAnsi="Times New Roman"/>
          <w:b/>
          <w:noProof/>
          <w:sz w:val="24"/>
        </w:rPr>
        <w:t>finansowanych przez UE projektów</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pro</w:t>
      </w:r>
      <w:r w:rsidRPr="00BF1AA9">
        <w:rPr>
          <w:rFonts w:ascii="Times New Roman" w:hAnsi="Times New Roman"/>
          <w:b/>
          <w:noProof/>
          <w:sz w:val="24"/>
        </w:rPr>
        <w:t>gramów</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zak</w:t>
      </w:r>
      <w:r w:rsidRPr="00BF1AA9">
        <w:rPr>
          <w:rFonts w:ascii="Times New Roman" w:hAnsi="Times New Roman"/>
          <w:b/>
          <w:noProof/>
          <w:sz w:val="24"/>
        </w:rPr>
        <w:t>resie budowania zdolności związanych</w:t>
      </w:r>
      <w:r w:rsidR="00BF1AA9" w:rsidRPr="00BF1AA9">
        <w:rPr>
          <w:rFonts w:ascii="Times New Roman" w:hAnsi="Times New Roman"/>
          <w:b/>
          <w:noProof/>
          <w:sz w:val="24"/>
        </w:rPr>
        <w:t xml:space="preserve"> z</w:t>
      </w:r>
      <w:r w:rsidR="00BF1AA9">
        <w:rPr>
          <w:rFonts w:ascii="Times New Roman" w:hAnsi="Times New Roman"/>
          <w:b/>
          <w:noProof/>
          <w:sz w:val="24"/>
        </w:rPr>
        <w:t> </w:t>
      </w:r>
      <w:r w:rsidR="00BF1AA9" w:rsidRPr="00BF1AA9">
        <w:rPr>
          <w:rFonts w:ascii="Times New Roman" w:hAnsi="Times New Roman"/>
          <w:b/>
          <w:noProof/>
          <w:sz w:val="24"/>
        </w:rPr>
        <w:t>zin</w:t>
      </w:r>
      <w:r w:rsidRPr="00BF1AA9">
        <w:rPr>
          <w:rFonts w:ascii="Times New Roman" w:hAnsi="Times New Roman"/>
          <w:b/>
          <w:noProof/>
          <w:sz w:val="24"/>
        </w:rPr>
        <w:t>tegrowanym zarządzaniem granicami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jach kandydujących do UE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ych priorytetowych państwach trzecich,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jeżeli te projekty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gramy służą budowaniu zdolności państw trzecich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zarach kontroli granicznej, analizy ryzyka oraz powrotów</w:t>
      </w:r>
      <w:r w:rsidRPr="00BF1AA9">
        <w:rPr>
          <w:rStyle w:val="FootnoteReference"/>
          <w:rFonts w:ascii="Times New Roman" w:eastAsia="Calibri" w:hAnsi="Times New Roman" w:cs="Times New Roman"/>
          <w:noProof/>
          <w:sz w:val="24"/>
          <w:szCs w:val="24"/>
        </w:rPr>
        <w:footnoteReference w:id="29"/>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dmisji, oraz informować Komisję</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ich projektach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gramach. Frontex powinien również ściśle współpracować</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par</w:t>
      </w:r>
      <w:r w:rsidRPr="00BF1AA9">
        <w:rPr>
          <w:rFonts w:ascii="Times New Roman" w:hAnsi="Times New Roman"/>
          <w:noProof/>
          <w:sz w:val="24"/>
        </w:rPr>
        <w:t>tnerami wykonawczymi Komisji, doradzając na każdym etapie realizacji działań</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zarządzania granicami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stwach sąsiadujących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ych priorytetowych państwach trzecich;</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par</w:t>
      </w:r>
      <w:r w:rsidRPr="00BF1AA9">
        <w:rPr>
          <w:rFonts w:ascii="Times New Roman" w:hAnsi="Times New Roman"/>
          <w:noProof/>
          <w:sz w:val="24"/>
        </w:rPr>
        <w:t>tnerom wykonawczym Komisji zaleca się konsultowanie się</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Age</w:t>
      </w:r>
      <w:r w:rsidRPr="00BF1AA9">
        <w:rPr>
          <w:rFonts w:ascii="Times New Roman" w:hAnsi="Times New Roman"/>
          <w:noProof/>
          <w:sz w:val="24"/>
        </w:rPr>
        <w:t>ncją</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tyc</w:t>
      </w:r>
      <w:r w:rsidRPr="00BF1AA9">
        <w:rPr>
          <w:rFonts w:ascii="Times New Roman" w:hAnsi="Times New Roman"/>
          <w:noProof/>
          <w:sz w:val="24"/>
        </w:rPr>
        <w:t>h sprawach przez cały czas trwania projektu. Projekty prowadzone przez państwa członkowskie powinny być realizowane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ści</w:t>
      </w:r>
      <w:r w:rsidRPr="00BF1AA9">
        <w:rPr>
          <w:rFonts w:ascii="Times New Roman" w:hAnsi="Times New Roman"/>
          <w:noProof/>
          <w:sz w:val="24"/>
        </w:rPr>
        <w:t>słej współpracy</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nteksem; na wszystkich etapach projektów należy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wykorzystywać wiedzę fachową Agencji. Agencja powinna również opracować kompleksowy przegląd realizowanych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pla</w:t>
      </w:r>
      <w:r w:rsidRPr="00BF1AA9">
        <w:rPr>
          <w:rFonts w:ascii="Times New Roman" w:hAnsi="Times New Roman"/>
          <w:noProof/>
          <w:sz w:val="24"/>
        </w:rPr>
        <w:t>nowanych projektów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budowania zdolności związanych ze zintegrowanym zarządzaniem granicami oraz wizyt roboczych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stwach trzecich.</w:t>
      </w:r>
    </w:p>
    <w:p w14:paraId="5269A3BE" w14:textId="345D3FDB" w:rsidR="00F5602F" w:rsidRPr="00BF1AA9" w:rsidRDefault="00F5602F" w:rsidP="00377968">
      <w:pPr>
        <w:numPr>
          <w:ilvl w:val="0"/>
          <w:numId w:val="7"/>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dalej rozwijać współpracę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 xml:space="preserve">plementarność między cywilnymi </w:t>
      </w:r>
      <w:r w:rsidRPr="00BF1AA9">
        <w:rPr>
          <w:rFonts w:ascii="Times New Roman" w:hAnsi="Times New Roman"/>
          <w:b/>
          <w:noProof/>
          <w:sz w:val="24"/>
        </w:rPr>
        <w:t>misjami</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ram</w:t>
      </w:r>
      <w:r w:rsidRPr="00BF1AA9">
        <w:rPr>
          <w:rFonts w:ascii="Times New Roman" w:hAnsi="Times New Roman"/>
          <w:b/>
          <w:noProof/>
          <w:sz w:val="24"/>
        </w:rPr>
        <w:t>ach wspólnej polityki bezpieczeństwa</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obr</w:t>
      </w:r>
      <w:r w:rsidRPr="00BF1AA9">
        <w:rPr>
          <w:rFonts w:ascii="Times New Roman" w:hAnsi="Times New Roman"/>
          <w:b/>
          <w:noProof/>
          <w:sz w:val="24"/>
        </w:rPr>
        <w:t xml:space="preserve">ony </w:t>
      </w:r>
      <w:r w:rsidRPr="00BF1AA9">
        <w:rPr>
          <w:rFonts w:ascii="Times New Roman" w:hAnsi="Times New Roman"/>
          <w:noProof/>
          <w:sz w:val="24"/>
        </w:rPr>
        <w:t>związanymi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zar</w:t>
      </w:r>
      <w:r w:rsidRPr="00BF1AA9">
        <w:rPr>
          <w:rFonts w:ascii="Times New Roman" w:hAnsi="Times New Roman"/>
          <w:noProof/>
          <w:sz w:val="24"/>
        </w:rPr>
        <w:t>ządzaniem granicami</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nteksem, aby uzyskać znajomość sytuacji oraz rozwijać analizę ryzyka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zac</w:t>
      </w:r>
      <w:r w:rsidRPr="00BF1AA9">
        <w:rPr>
          <w:rFonts w:ascii="Times New Roman" w:hAnsi="Times New Roman"/>
          <w:noProof/>
          <w:sz w:val="24"/>
        </w:rPr>
        <w:t>hęcać do stosowania norm EUIBM, przy jednoczesnym wdrażaniu środków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uniknięcia nakładania się działań.</w:t>
      </w:r>
      <w:r w:rsidRPr="00BF1AA9">
        <w:rPr>
          <w:noProof/>
        </w:rPr>
        <w:t xml:space="preserve"> </w:t>
      </w:r>
      <w:r w:rsidRPr="00BF1AA9">
        <w:rPr>
          <w:rFonts w:ascii="Times New Roman" w:hAnsi="Times New Roman"/>
          <w:noProof/>
          <w:sz w:val="24"/>
        </w:rPr>
        <w:t>Powinno to również zapewnić regularną wymianę informacji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koo</w:t>
      </w:r>
      <w:r w:rsidRPr="00BF1AA9">
        <w:rPr>
          <w:rFonts w:ascii="Times New Roman" w:hAnsi="Times New Roman"/>
          <w:noProof/>
          <w:sz w:val="24"/>
        </w:rPr>
        <w:t>rdynację związaną</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fin</w:t>
      </w:r>
      <w:r w:rsidRPr="00BF1AA9">
        <w:rPr>
          <w:rFonts w:ascii="Times New Roman" w:hAnsi="Times New Roman"/>
          <w:noProof/>
          <w:sz w:val="24"/>
        </w:rPr>
        <w:t>ansowaniem zapewnianym przez wszystkie zaangażowane podmioty, takie jak Komisja, Frontex, Europejska Służba Działań Zewnętrznych, jak również cywilne podmioty WPBiO działające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ter</w:t>
      </w:r>
      <w:r w:rsidRPr="00BF1AA9">
        <w:rPr>
          <w:rFonts w:ascii="Times New Roman" w:hAnsi="Times New Roman"/>
          <w:noProof/>
          <w:sz w:val="24"/>
        </w:rPr>
        <w:t>enie.</w:t>
      </w:r>
    </w:p>
    <w:p w14:paraId="39BB8092" w14:textId="77777777" w:rsidR="00F5602F" w:rsidRPr="00BF1AA9" w:rsidRDefault="00F5602F" w:rsidP="00377968">
      <w:pPr>
        <w:spacing w:after="200" w:line="276" w:lineRule="auto"/>
        <w:contextualSpacing/>
        <w:jc w:val="both"/>
        <w:rPr>
          <w:rFonts w:ascii="Times New Roman" w:eastAsia="Calibri" w:hAnsi="Times New Roman" w:cs="Times New Roman"/>
          <w:noProof/>
          <w:sz w:val="24"/>
          <w:szCs w:val="24"/>
        </w:rPr>
      </w:pPr>
    </w:p>
    <w:p w14:paraId="694044FE" w14:textId="3BA9F265" w:rsidR="00F5602F" w:rsidRPr="00BF1AA9" w:rsidRDefault="00F5602F" w:rsidP="00377968">
      <w:pPr>
        <w:pBdr>
          <w:top w:val="single" w:sz="4" w:space="1" w:color="auto"/>
          <w:left w:val="single" w:sz="4" w:space="4" w:color="auto"/>
          <w:bottom w:val="single" w:sz="4" w:space="0"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BF1AA9">
        <w:rPr>
          <w:rFonts w:ascii="Times New Roman" w:hAnsi="Times New Roman"/>
          <w:b/>
          <w:noProof/>
          <w:sz w:val="24"/>
        </w:rPr>
        <w:t>Element 8</w:t>
      </w:r>
      <w:r w:rsidRPr="00BF1AA9">
        <w:rPr>
          <w:rFonts w:ascii="Times New Roman" w:hAnsi="Times New Roman"/>
          <w:noProof/>
          <w:sz w:val="24"/>
        </w:rPr>
        <w:t>: „środk[i] techniczn[e]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obr</w:t>
      </w:r>
      <w:r w:rsidRPr="00BF1AA9">
        <w:rPr>
          <w:rFonts w:ascii="Times New Roman" w:hAnsi="Times New Roman"/>
          <w:noProof/>
          <w:sz w:val="24"/>
        </w:rPr>
        <w:t>ębie strefy Schengen związan[e]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trolą graniczną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słu</w:t>
      </w:r>
      <w:r w:rsidRPr="00BF1AA9">
        <w:rPr>
          <w:rFonts w:ascii="Times New Roman" w:hAnsi="Times New Roman"/>
          <w:noProof/>
          <w:sz w:val="24"/>
        </w:rPr>
        <w:t>żąc[e] skuteczniejszemu rozwiązywaniu problemu migracji nieuregulowanej oraz skuteczniejszemu zwalczaniu przestępczości transgranicznej”</w:t>
      </w:r>
      <w:r w:rsidRPr="00BF1AA9">
        <w:rPr>
          <w:rFonts w:ascii="Times New Roman" w:eastAsia="Times New Roman" w:hAnsi="Times New Roman" w:cs="Times New Roman"/>
          <w:i/>
          <w:noProof/>
          <w:sz w:val="24"/>
          <w:szCs w:val="24"/>
          <w:vertAlign w:val="superscript"/>
          <w:lang w:eastAsia="en-GB"/>
        </w:rPr>
        <w:footnoteReference w:id="30"/>
      </w:r>
      <w:r w:rsidRPr="00BF1AA9">
        <w:rPr>
          <w:rFonts w:ascii="Times New Roman" w:hAnsi="Times New Roman"/>
          <w:noProof/>
          <w:sz w:val="24"/>
        </w:rPr>
        <w:t>.</w:t>
      </w:r>
    </w:p>
    <w:p w14:paraId="61A3A9F3"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5EBBBBC6"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631F755E"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Priorytety polityki</w:t>
      </w:r>
    </w:p>
    <w:p w14:paraId="48E67A34"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lang w:eastAsia="en-GB"/>
        </w:rPr>
      </w:pPr>
    </w:p>
    <w:p w14:paraId="4CEAFBAD" w14:textId="1C5B505E"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Skuteczne przeciwdziałanie niedozwolonemu wtórnemu przemieszczaniu się, migracji nieuregulowanej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estępczości transgranicznej związanej</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gra</w:t>
      </w:r>
      <w:r w:rsidRPr="00BF1AA9">
        <w:rPr>
          <w:rFonts w:ascii="Times New Roman" w:hAnsi="Times New Roman"/>
          <w:noProof/>
          <w:sz w:val="24"/>
        </w:rPr>
        <w:t>nicami zewnętrznymi wymaga dobrze ugruntowanej ciągłości operacyjnej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eroperacyjności między kontrolą granic zewnętrznych</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śro</w:t>
      </w:r>
      <w:r w:rsidRPr="00BF1AA9">
        <w:rPr>
          <w:rFonts w:ascii="Times New Roman" w:hAnsi="Times New Roman"/>
          <w:noProof/>
          <w:sz w:val="24"/>
        </w:rPr>
        <w:t>dkami technicznymi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racyjnymi stosowanymi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efie Schengen.</w:t>
      </w:r>
    </w:p>
    <w:p w14:paraId="6DC5ED11" w14:textId="77777777" w:rsidR="00F5602F" w:rsidRPr="00BF1AA9" w:rsidRDefault="00F5602F" w:rsidP="00377968">
      <w:pPr>
        <w:spacing w:after="0" w:line="276" w:lineRule="auto"/>
        <w:jc w:val="both"/>
        <w:rPr>
          <w:rFonts w:ascii="Times New Roman" w:eastAsia="Times New Roman" w:hAnsi="Times New Roman" w:cs="Times New Roman"/>
          <w:i/>
          <w:noProof/>
          <w:sz w:val="24"/>
          <w:szCs w:val="24"/>
          <w:lang w:eastAsia="en-GB"/>
        </w:rPr>
      </w:pPr>
    </w:p>
    <w:p w14:paraId="5D24A17B" w14:textId="0F4207CD" w:rsidR="00F5602F" w:rsidRPr="00BF1AA9" w:rsidRDefault="00F5602F" w:rsidP="00377968">
      <w:pPr>
        <w:spacing w:after="0" w:line="276"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rPr>
        <w:t>Należy wykorzystywać krajowe zdolności (gotowość) do zintensyfikowania kontroli policyjnych na terytorium kraju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mig</w:t>
      </w:r>
      <w:r w:rsidRPr="00BF1AA9">
        <w:rPr>
          <w:rFonts w:ascii="Times New Roman" w:hAnsi="Times New Roman"/>
          <w:noProof/>
          <w:sz w:val="24"/>
        </w:rPr>
        <w:t>racją nieuregulowaną,</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na wewnętrznych strefach przygranicznych, jak również inne alternatywne środki, którymi dysponują państwa członkowskie, co pozwala ograniczyć do minimum potrzebę przywracania kontroli na granicach wewnętrznych.</w:t>
      </w:r>
    </w:p>
    <w:p w14:paraId="6153D2B5"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67C76097"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Wytyczne strategiczne</w:t>
      </w:r>
    </w:p>
    <w:p w14:paraId="66D15DD7"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0909EAE8" w14:textId="00F14EF2" w:rsidR="00F5602F" w:rsidRPr="00BF1AA9" w:rsidRDefault="00F5602F" w:rsidP="00377968">
      <w:pPr>
        <w:numPr>
          <w:ilvl w:val="0"/>
          <w:numId w:val="8"/>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Jako punkt wyjścia, zarówno na szczeblu UE, jak i na szczeblu krajowym, należy opracować, na potrzeby wprowadzenia ukierunkowanych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 xml:space="preserve">porcjonalnych środków, </w:t>
      </w:r>
      <w:r w:rsidRPr="00BF1AA9">
        <w:rPr>
          <w:rFonts w:ascii="Times New Roman" w:hAnsi="Times New Roman"/>
          <w:b/>
          <w:noProof/>
          <w:sz w:val="24"/>
        </w:rPr>
        <w:t>kompleksowy obraz sytuacji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ana</w:t>
      </w:r>
      <w:r w:rsidRPr="00BF1AA9">
        <w:rPr>
          <w:rFonts w:ascii="Times New Roman" w:hAnsi="Times New Roman"/>
          <w:noProof/>
          <w:sz w:val="24"/>
        </w:rPr>
        <w:t>lizę ryzyka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 xml:space="preserve">resie nieuregulowanych </w:t>
      </w:r>
      <w:r w:rsidRPr="00BF1AA9">
        <w:rPr>
          <w:rFonts w:ascii="Times New Roman" w:hAnsi="Times New Roman"/>
          <w:b/>
          <w:noProof/>
          <w:sz w:val="24"/>
        </w:rPr>
        <w:t>przyjazdów</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wtó</w:t>
      </w:r>
      <w:r w:rsidRPr="00BF1AA9">
        <w:rPr>
          <w:rFonts w:ascii="Times New Roman" w:hAnsi="Times New Roman"/>
          <w:b/>
          <w:noProof/>
          <w:sz w:val="24"/>
        </w:rPr>
        <w:t>rnego przemieszczania się</w:t>
      </w:r>
      <w:r w:rsidRPr="00BF1AA9">
        <w:rPr>
          <w:rFonts w:ascii="Times New Roman" w:hAnsi="Times New Roman"/>
          <w:noProof/>
          <w:sz w:val="24"/>
        </w:rPr>
        <w:t xml:space="preserve"> obywateli państw trzecich na terytorium UE. Frontex przygotowuje europejski obraz sytuacji przy pełnym wsparciu państw członkowskich i we współpracy</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właściwymi agencjami UE. Jako główną platformę do realizacji tej funkcji należy wykorzystać EUROSUR, wraz</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skutecznymi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uje</w:t>
      </w:r>
      <w:r w:rsidRPr="00BF1AA9">
        <w:rPr>
          <w:rFonts w:ascii="Times New Roman" w:hAnsi="Times New Roman"/>
          <w:noProof/>
          <w:sz w:val="24"/>
        </w:rPr>
        <w:t>dnoliconymi systemami gromadzenia danych. Należy dalej rozwijać wzmocnioną współpracę, taką jak współpraca między Fronteksem, Europolem i AUEA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sporządzania regularnych sprawozdań, oraz koordynację między strażą graniczną</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organami działającymi na granicy zewnętrznej,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wspólnej analizy ryzyka, praktyk operacyjnych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pły</w:t>
      </w:r>
      <w:r w:rsidRPr="00BF1AA9">
        <w:rPr>
          <w:rFonts w:ascii="Times New Roman" w:hAnsi="Times New Roman"/>
          <w:noProof/>
          <w:sz w:val="24"/>
        </w:rPr>
        <w:t>nnej wymiany informacji,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ich</w:t>
      </w:r>
      <w:r w:rsidRPr="00BF1AA9">
        <w:rPr>
          <w:rFonts w:ascii="Times New Roman" w:hAnsi="Times New Roman"/>
          <w:noProof/>
          <w:sz w:val="24"/>
        </w:rPr>
        <w:t xml:space="preserve"> odpowiednimi mandatami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 pełnym poszanowaniu przepisów dotyczących ochrony danych. Te inne organy obejmują krajowe ośrodki koordynacji, organy działające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 xml:space="preserve">efie Schengen, </w:t>
      </w:r>
      <w:r w:rsidRPr="00BF1AA9">
        <w:rPr>
          <w:rFonts w:ascii="Times New Roman" w:hAnsi="Times New Roman"/>
          <w:b/>
          <w:noProof/>
          <w:sz w:val="24"/>
        </w:rPr>
        <w:t>centra współpracy policyjno-celnej</w:t>
      </w:r>
      <w:r w:rsidRPr="00BF1AA9">
        <w:rPr>
          <w:rFonts w:ascii="Times New Roman" w:hAnsi="Times New Roman"/>
          <w:noProof/>
          <w:sz w:val="24"/>
        </w:rPr>
        <w:t xml:space="preserve"> oraz inne odpowiednie ośrodki. Poszczególne ogólnounijne systemy informacyjne powinny być skutecznie wykorzystywane przez wszystkie odpowiedzialne organy, które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wem uzyskały dostęp do takich systemów.</w:t>
      </w:r>
    </w:p>
    <w:p w14:paraId="5C858C0A" w14:textId="5D17704A" w:rsidR="00F5602F" w:rsidRPr="00BF1AA9" w:rsidRDefault="00F5602F" w:rsidP="00377968">
      <w:pPr>
        <w:numPr>
          <w:ilvl w:val="0"/>
          <w:numId w:val="8"/>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dalej rozwijać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solidować współpracę operacyjną między wspólnymi operacjami koordynowanymi przez Frontex</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owiednimi centrami współpracy policyjno-celnej.</w:t>
      </w:r>
    </w:p>
    <w:p w14:paraId="0A5A3999" w14:textId="724FE362" w:rsidR="00F5602F" w:rsidRPr="00BF1AA9" w:rsidRDefault="00F5602F" w:rsidP="00377968">
      <w:pPr>
        <w:numPr>
          <w:ilvl w:val="0"/>
          <w:numId w:val="8"/>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 szczeblu krajowym należy zapewnić wystarczającą zdolność do nasilenia na całym terytorium kontroli policyjnych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mig</w:t>
      </w:r>
      <w:r w:rsidRPr="00BF1AA9">
        <w:rPr>
          <w:rFonts w:ascii="Times New Roman" w:hAnsi="Times New Roman"/>
          <w:noProof/>
          <w:sz w:val="24"/>
        </w:rPr>
        <w:t>racją nieuregulowaną oraz do przeprowadzania kontroli policyjnych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troli migracyjnych na głównych drogach transportowych,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efach przygranicznych,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opa</w:t>
      </w:r>
      <w:r w:rsidRPr="00BF1AA9">
        <w:rPr>
          <w:rFonts w:ascii="Times New Roman" w:hAnsi="Times New Roman"/>
          <w:noProof/>
          <w:sz w:val="24"/>
        </w:rPr>
        <w:t>rciu</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ana</w:t>
      </w:r>
      <w:r w:rsidRPr="00BF1AA9">
        <w:rPr>
          <w:rFonts w:ascii="Times New Roman" w:hAnsi="Times New Roman"/>
          <w:noProof/>
          <w:sz w:val="24"/>
        </w:rPr>
        <w:t xml:space="preserve">lizę ryzyka. </w:t>
      </w:r>
    </w:p>
    <w:p w14:paraId="42604D84" w14:textId="77777777"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p>
    <w:p w14:paraId="038A9DDE" w14:textId="77777777" w:rsidR="00F5602F" w:rsidRPr="00BF1AA9"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BF1AA9">
        <w:rPr>
          <w:rFonts w:ascii="Times New Roman" w:hAnsi="Times New Roman"/>
          <w:b/>
          <w:noProof/>
          <w:sz w:val="24"/>
        </w:rPr>
        <w:t>Element 9</w:t>
      </w:r>
      <w:r w:rsidRPr="00BF1AA9">
        <w:rPr>
          <w:rFonts w:ascii="Times New Roman" w:hAnsi="Times New Roman"/>
          <w:noProof/>
          <w:sz w:val="24"/>
        </w:rPr>
        <w:t>: „Powrot[y] obywateli państw trzecich, którzy podlegają wydanym przez państwo członkowskie decyzjom nakazującym powrót”</w:t>
      </w:r>
      <w:r w:rsidRPr="00BF1AA9">
        <w:rPr>
          <w:rFonts w:ascii="Times New Roman" w:eastAsia="Times New Roman" w:hAnsi="Times New Roman" w:cs="Times New Roman"/>
          <w:i/>
          <w:noProof/>
          <w:sz w:val="24"/>
          <w:szCs w:val="24"/>
          <w:vertAlign w:val="superscript"/>
          <w:lang w:eastAsia="en-GB"/>
        </w:rPr>
        <w:footnoteReference w:id="31"/>
      </w:r>
      <w:r w:rsidRPr="00BF1AA9">
        <w:rPr>
          <w:rFonts w:ascii="Times New Roman" w:hAnsi="Times New Roman"/>
          <w:noProof/>
          <w:sz w:val="24"/>
        </w:rPr>
        <w:t>.</w:t>
      </w:r>
    </w:p>
    <w:p w14:paraId="77D70A1D"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0FABEAC8"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 xml:space="preserve">Priorytety polityki </w:t>
      </w:r>
    </w:p>
    <w:p w14:paraId="515AB207"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lang w:eastAsia="en-GB"/>
        </w:rPr>
      </w:pPr>
    </w:p>
    <w:p w14:paraId="1F6C994D" w14:textId="0E3A3B0F"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Skuteczne przeprowadzanie powrotów obywateli państw trzecich podlegających decyzji nakazującej powrót powinno zapewnić, aby wszystkie osoby, które nie mają prawa pozostać w UE, faktycznie Unię opuściły. Europejskie zintegrowane zarządzanie granicami powinno również zapewnić, aby procedura powrotu była przeprowadzana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spo</w:t>
      </w:r>
      <w:r w:rsidRPr="00BF1AA9">
        <w:rPr>
          <w:rFonts w:ascii="Times New Roman" w:hAnsi="Times New Roman"/>
          <w:noProof/>
          <w:sz w:val="24"/>
        </w:rPr>
        <w:t>sób humanitarny, godny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trw</w:t>
      </w:r>
      <w:r w:rsidRPr="00BF1AA9">
        <w:rPr>
          <w:rFonts w:ascii="Times New Roman" w:hAnsi="Times New Roman"/>
          <w:noProof/>
          <w:sz w:val="24"/>
        </w:rPr>
        <w:t>ały,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nym poszanowaniu praw podstawowych osób powracających,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zasady non-refoulement,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Kar</w:t>
      </w:r>
      <w:r w:rsidRPr="00BF1AA9">
        <w:rPr>
          <w:rFonts w:ascii="Times New Roman" w:hAnsi="Times New Roman"/>
          <w:noProof/>
          <w:sz w:val="24"/>
        </w:rPr>
        <w:t>tą praw podstawowych Unii Europejskiej, prawem międzynarodowym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uni</w:t>
      </w:r>
      <w:r w:rsidRPr="00BF1AA9">
        <w:rPr>
          <w:rFonts w:ascii="Times New Roman" w:hAnsi="Times New Roman"/>
          <w:noProof/>
          <w:sz w:val="24"/>
        </w:rPr>
        <w:t>jnym, przez odpowiednio przeszkolonych ekspertów.</w:t>
      </w:r>
    </w:p>
    <w:p w14:paraId="2441E1E3"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0E837CD0" w14:textId="6E77AC17"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Na szczeblu UE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powinny istnieć administracyjne, techniczne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racyjne zdolności umożliwiające skuteczne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jed</w:t>
      </w:r>
      <w:r w:rsidRPr="00BF1AA9">
        <w:rPr>
          <w:rFonts w:ascii="Times New Roman" w:hAnsi="Times New Roman"/>
          <w:noProof/>
          <w:sz w:val="24"/>
        </w:rPr>
        <w:t>nolite wdrażanie procesów powrotu,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powrotów przymusowych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dob</w:t>
      </w:r>
      <w:r w:rsidRPr="00BF1AA9">
        <w:rPr>
          <w:rFonts w:ascii="Times New Roman" w:hAnsi="Times New Roman"/>
          <w:noProof/>
          <w:sz w:val="24"/>
        </w:rPr>
        <w:t>rowolnych, które to zdolności przyczynią się do stworzenia wspólnego unijnego systemu powrotów, jak określono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pak</w:t>
      </w:r>
      <w:r w:rsidRPr="00BF1AA9">
        <w:rPr>
          <w:rFonts w:ascii="Times New Roman" w:hAnsi="Times New Roman"/>
          <w:noProof/>
          <w:sz w:val="24"/>
        </w:rPr>
        <w:t>cie</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mig</w:t>
      </w:r>
      <w:r w:rsidRPr="00BF1AA9">
        <w:rPr>
          <w:rFonts w:ascii="Times New Roman" w:hAnsi="Times New Roman"/>
          <w:noProof/>
          <w:sz w:val="24"/>
        </w:rPr>
        <w:t>racji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azy</w:t>
      </w:r>
      <w:r w:rsidRPr="00BF1AA9">
        <w:rPr>
          <w:rFonts w:ascii="Times New Roman" w:hAnsi="Times New Roman"/>
          <w:noProof/>
          <w:sz w:val="24"/>
        </w:rPr>
        <w:t>lu</w:t>
      </w:r>
      <w:r w:rsidRPr="00BF1AA9">
        <w:rPr>
          <w:rStyle w:val="FootnoteReference"/>
          <w:rFonts w:ascii="Times New Roman" w:eastAsia="Times New Roman" w:hAnsi="Times New Roman" w:cs="Times New Roman"/>
          <w:noProof/>
          <w:sz w:val="24"/>
          <w:szCs w:val="24"/>
          <w:lang w:eastAsia="en-GB"/>
        </w:rPr>
        <w:footnoteReference w:id="32"/>
      </w:r>
      <w:r w:rsidRPr="00BF1AA9">
        <w:rPr>
          <w:rFonts w:ascii="Times New Roman" w:hAnsi="Times New Roman"/>
          <w:noProof/>
          <w:sz w:val="24"/>
        </w:rPr>
        <w:t>. Silniejsze struktury wewnątrz UE mają być połączone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efe</w:t>
      </w:r>
      <w:r w:rsidRPr="00BF1AA9">
        <w:rPr>
          <w:rFonts w:ascii="Times New Roman" w:hAnsi="Times New Roman"/>
          <w:noProof/>
          <w:sz w:val="24"/>
        </w:rPr>
        <w:t>ktywniejszą współpracą</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 Obejmuje to również podążanie za kierunkiem wyznaczonym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ategii UE na rzecz dobrowolnych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ntegracji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kwi</w:t>
      </w:r>
      <w:r w:rsidRPr="00BF1AA9">
        <w:rPr>
          <w:rFonts w:ascii="Times New Roman" w:hAnsi="Times New Roman"/>
          <w:noProof/>
          <w:sz w:val="24"/>
        </w:rPr>
        <w:t>etnia 2021</w:t>
      </w:r>
      <w:r w:rsidR="00BF1AA9" w:rsidRPr="00BF1AA9">
        <w:rPr>
          <w:rFonts w:ascii="Times New Roman" w:hAnsi="Times New Roman"/>
          <w:noProof/>
          <w:sz w:val="24"/>
        </w:rPr>
        <w:t> </w:t>
      </w:r>
      <w:r w:rsidRPr="00BF1AA9">
        <w:rPr>
          <w:rFonts w:ascii="Times New Roman" w:hAnsi="Times New Roman"/>
          <w:noProof/>
          <w:sz w:val="24"/>
        </w:rPr>
        <w:t>r.</w:t>
      </w:r>
      <w:r w:rsidRPr="00BF1AA9">
        <w:rPr>
          <w:rStyle w:val="FootnoteReference"/>
          <w:rFonts w:ascii="Times New Roman" w:eastAsia="Times New Roman" w:hAnsi="Times New Roman" w:cs="Times New Roman"/>
          <w:noProof/>
          <w:sz w:val="24"/>
          <w:szCs w:val="24"/>
          <w:lang w:eastAsia="en-GB"/>
        </w:rPr>
        <w:footnoteReference w:id="33"/>
      </w:r>
      <w:r w:rsidRPr="00BF1AA9">
        <w:rPr>
          <w:rFonts w:ascii="Times New Roman" w:hAnsi="Times New Roman"/>
          <w:noProof/>
          <w:sz w:val="24"/>
        </w:rPr>
        <w:t xml:space="preserve"> propagującej dobrowolne powroty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sku</w:t>
      </w:r>
      <w:r w:rsidRPr="00BF1AA9">
        <w:rPr>
          <w:rFonts w:ascii="Times New Roman" w:hAnsi="Times New Roman"/>
          <w:noProof/>
          <w:sz w:val="24"/>
        </w:rPr>
        <w:t>teczną reintegrację jako integralną część systemu powrotów oraz realizację działań określonych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tej</w:t>
      </w:r>
      <w:r w:rsidRPr="00BF1AA9">
        <w:rPr>
          <w:rFonts w:ascii="Times New Roman" w:hAnsi="Times New Roman"/>
          <w:noProof/>
          <w:sz w:val="24"/>
        </w:rPr>
        <w:t xml:space="preserve"> strategii.</w:t>
      </w:r>
    </w:p>
    <w:p w14:paraId="6557E5A4"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7811B99D" w14:textId="49415584" w:rsidR="00F5602F" w:rsidRPr="00BF1AA9" w:rsidRDefault="00F5602F" w:rsidP="00377968">
      <w:pPr>
        <w:spacing w:after="0" w:line="276"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rPr>
        <w:t>Państwa członkowskie powinny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wykorzystywać wsparcie operacyjne, techniczne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ktyczne, jakie Frontex może zapewnić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powrotów,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korzystając</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apl</w:t>
      </w:r>
      <w:r w:rsidRPr="00BF1AA9">
        <w:rPr>
          <w:rFonts w:ascii="Times New Roman" w:hAnsi="Times New Roman"/>
          <w:noProof/>
          <w:sz w:val="24"/>
        </w:rPr>
        <w:t>ikacji Fronteksu dotyczącej powrotów (FAR)</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ypadku lotów regularnych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cza</w:t>
      </w:r>
      <w:r w:rsidRPr="00BF1AA9">
        <w:rPr>
          <w:rFonts w:ascii="Times New Roman" w:hAnsi="Times New Roman"/>
          <w:noProof/>
          <w:sz w:val="24"/>
        </w:rPr>
        <w:t>rterowych, cyfrowego narzędzia – systemu zarządzania sprawami dotyczącymi powrotów (RECAMAS), wspólnych usług reintegracyjnych (JRS) Fronteksu oraz wsparcia Fronteksu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doradztwa dotyczącego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 xml:space="preserve">ntegracji. </w:t>
      </w:r>
    </w:p>
    <w:p w14:paraId="5B0AB199"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444C1445" w14:textId="77777777" w:rsidR="00F5602F" w:rsidRPr="00BF1AA9" w:rsidRDefault="00F5602F" w:rsidP="002C45FA">
      <w:pPr>
        <w:keepNext/>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Wytyczne strategiczne</w:t>
      </w:r>
    </w:p>
    <w:p w14:paraId="35B2852A" w14:textId="77777777" w:rsidR="00F5602F" w:rsidRPr="00BF1AA9" w:rsidRDefault="00F5602F" w:rsidP="002C45FA">
      <w:pPr>
        <w:keepNext/>
        <w:spacing w:after="0" w:line="240" w:lineRule="auto"/>
        <w:jc w:val="both"/>
        <w:rPr>
          <w:rFonts w:ascii="Times New Roman" w:eastAsia="Times New Roman" w:hAnsi="Times New Roman" w:cs="Times New Roman"/>
          <w:noProof/>
          <w:sz w:val="24"/>
          <w:szCs w:val="24"/>
          <w:lang w:eastAsia="en-GB"/>
        </w:rPr>
      </w:pPr>
    </w:p>
    <w:p w14:paraId="1CAB7DE4" w14:textId="451DAC21"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jeszcze bardziej zwiększyć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ktyce</w:t>
      </w:r>
      <w:r w:rsidRPr="00BF1AA9">
        <w:rPr>
          <w:rFonts w:ascii="Times New Roman" w:hAnsi="Times New Roman"/>
          <w:b/>
          <w:noProof/>
          <w:sz w:val="24"/>
        </w:rPr>
        <w:t xml:space="preserve"> zdolności</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rol</w:t>
      </w:r>
      <w:r w:rsidRPr="00BF1AA9">
        <w:rPr>
          <w:rFonts w:ascii="Times New Roman" w:hAnsi="Times New Roman"/>
          <w:b/>
          <w:noProof/>
          <w:sz w:val="24"/>
        </w:rPr>
        <w:t>ę Fronteksu</w:t>
      </w:r>
      <w:r w:rsidRPr="00BF1AA9">
        <w:rPr>
          <w:rFonts w:ascii="Times New Roman" w:hAnsi="Times New Roman"/>
          <w:noProof/>
          <w:sz w:val="24"/>
        </w:rPr>
        <w:t xml:space="preserve"> jako ramienia operacyjnego służącego wspieraniu państw członkowskich na wszystkich etapach procesu powrotu,</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 członkowskie powinny częściej korzystać</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usł</w:t>
      </w:r>
      <w:r w:rsidRPr="00BF1AA9">
        <w:rPr>
          <w:rFonts w:ascii="Times New Roman" w:hAnsi="Times New Roman"/>
          <w:noProof/>
          <w:sz w:val="24"/>
        </w:rPr>
        <w:t>ug Fronteksu.</w:t>
      </w:r>
    </w:p>
    <w:p w14:paraId="7A09614D" w14:textId="47F402C5"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zwiększyć zdolność państw członkowskich do samodzielnego lub wspólnego przeprowadzania powrotów nielegalnie przebywających obywateli państw trzecich, tworząc</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celu zintegrowane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sko</w:t>
      </w:r>
      <w:r w:rsidRPr="00BF1AA9">
        <w:rPr>
          <w:rFonts w:ascii="Times New Roman" w:hAnsi="Times New Roman"/>
          <w:noProof/>
          <w:sz w:val="24"/>
        </w:rPr>
        <w:t xml:space="preserve">ordynowane krajowe cyfrowe systemy powrotów, wzorowane na </w:t>
      </w:r>
      <w:r w:rsidRPr="00BF1AA9">
        <w:rPr>
          <w:rFonts w:ascii="Times New Roman" w:hAnsi="Times New Roman"/>
          <w:b/>
          <w:bCs/>
          <w:noProof/>
          <w:sz w:val="24"/>
        </w:rPr>
        <w:t>systemie zarządzania sprawami dotyczącymi powrotów (RECAMAS)</w:t>
      </w:r>
      <w:r w:rsidRPr="00BF1AA9">
        <w:rPr>
          <w:rFonts w:ascii="Times New Roman" w:hAnsi="Times New Roman"/>
          <w:noProof/>
          <w:sz w:val="24"/>
        </w:rPr>
        <w:t xml:space="preserve"> opracowanym przez Agencję na potrzeby wymiany danych,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zgo</w:t>
      </w:r>
      <w:r w:rsidRPr="00BF1AA9">
        <w:rPr>
          <w:rFonts w:ascii="Times New Roman" w:hAnsi="Times New Roman"/>
          <w:noProof/>
          <w:sz w:val="24"/>
        </w:rPr>
        <w:t>dne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eur</w:t>
      </w:r>
      <w:r w:rsidRPr="00BF1AA9">
        <w:rPr>
          <w:rFonts w:ascii="Times New Roman" w:hAnsi="Times New Roman"/>
          <w:noProof/>
          <w:sz w:val="24"/>
        </w:rPr>
        <w:t>opejską polityką powrotową. Należy zająć się utrzymującymi się wyzwaniami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integracji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eroperacyjności wynikającymi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róż</w:t>
      </w:r>
      <w:r w:rsidRPr="00BF1AA9">
        <w:rPr>
          <w:rFonts w:ascii="Times New Roman" w:hAnsi="Times New Roman"/>
          <w:noProof/>
          <w:sz w:val="24"/>
        </w:rPr>
        <w:t>nych technologii wykorzystywanych przez krajowe systemy powrotów oraz umożliwić powiązania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nar</w:t>
      </w:r>
      <w:r w:rsidRPr="00BF1AA9">
        <w:rPr>
          <w:rFonts w:ascii="Times New Roman" w:hAnsi="Times New Roman"/>
          <w:noProof/>
          <w:sz w:val="24"/>
        </w:rPr>
        <w:t>zędziami cyfrowymi na szczeblu UE.</w:t>
      </w:r>
    </w:p>
    <w:p w14:paraId="54E6C021" w14:textId="625A66A7"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Należy dalej rozwijać </w:t>
      </w:r>
      <w:r w:rsidRPr="00BF1AA9">
        <w:rPr>
          <w:rFonts w:ascii="Times New Roman" w:hAnsi="Times New Roman"/>
          <w:b/>
          <w:bCs/>
          <w:noProof/>
          <w:sz w:val="24"/>
        </w:rPr>
        <w:t>aplikację zintegrowanego zarządzania powrotami (IRMA)</w:t>
      </w:r>
      <w:r w:rsidRPr="00BF1AA9">
        <w:rPr>
          <w:rFonts w:ascii="Times New Roman" w:hAnsi="Times New Roman"/>
          <w:noProof/>
          <w:sz w:val="24"/>
        </w:rPr>
        <w:t>, aby usprawnić gromadzenie danych na temat operacji powrotowych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dmisji. Ułatwi to planowanie, wymianę istotnych informacji operacyjnych, organizację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lizację działań</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powrotów, readmisji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ntegracji prowadzonych przez państwa członkowskie. Pozwoli to również Fronteksowi na przyjęcie bardziej proaktywnej roli we wspieraniu planowania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org</w:t>
      </w:r>
      <w:r w:rsidRPr="00BF1AA9">
        <w:rPr>
          <w:rFonts w:ascii="Times New Roman" w:hAnsi="Times New Roman"/>
          <w:noProof/>
          <w:sz w:val="24"/>
        </w:rPr>
        <w:t>anizowania operacji powrotowych,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pomocy poprzedzającej powrót</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ntegracji.</w:t>
      </w:r>
    </w:p>
    <w:p w14:paraId="3365A741" w14:textId="2B871647"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dalej rozwijać aplikację zintegrowanego zarządzania powrotami (IRMA) Fronteksu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zapewnienia jej interoperacyjności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inf</w:t>
      </w:r>
      <w:r w:rsidRPr="00BF1AA9">
        <w:rPr>
          <w:rFonts w:ascii="Times New Roman" w:hAnsi="Times New Roman"/>
          <w:noProof/>
          <w:sz w:val="24"/>
        </w:rPr>
        <w:t>ormatycznymi systemami powrotów państw członkowskich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odpowiednimi narzędziami informatycznymi służącymi realizacji procedur powrotów, readmisji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ntegracji.</w:t>
      </w:r>
    </w:p>
    <w:p w14:paraId="5DCE265A" w14:textId="396E9DC8"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Wszystkie zainteresowane strony (Komisja, Frontex, państwa członkowskie) powinny pracować nad usprawnieniem gromadzenia danych dotyczących powrotów, reintegracji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dmisji oraz nad opracowaniem dostosowanych do potrzeb produktów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analityki, analizy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zna</w:t>
      </w:r>
      <w:r w:rsidRPr="00BF1AA9">
        <w:rPr>
          <w:rFonts w:ascii="Times New Roman" w:hAnsi="Times New Roman"/>
          <w:noProof/>
          <w:sz w:val="24"/>
        </w:rPr>
        <w:t>jomości sytuacji dotyczących funkcjonowania powrotów, co umożliwi proaktywne planowanie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 xml:space="preserve">dmisji. </w:t>
      </w:r>
    </w:p>
    <w:p w14:paraId="48A23E4F" w14:textId="1443A56B"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Państwa członkowskie powinny inwestować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uktury doradztwa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ntegracji, zapewniając dostępność doradztwa na wszystkich etapach procesu powrotu oraz odpowiednie przeszkolenie doradców. Doradztwo,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ami UE dotyczącymi doradztwa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powrotów, powinno być dostępne podczas procedur dobrowolnego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ymusowego powrotu (w tym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ośr</w:t>
      </w:r>
      <w:r w:rsidRPr="00BF1AA9">
        <w:rPr>
          <w:rFonts w:ascii="Times New Roman" w:hAnsi="Times New Roman"/>
          <w:noProof/>
          <w:sz w:val="24"/>
        </w:rPr>
        <w:t>odkach detencyjnych), aby zachęcić do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pom</w:t>
      </w:r>
      <w:r w:rsidRPr="00BF1AA9">
        <w:rPr>
          <w:rFonts w:ascii="Times New Roman" w:hAnsi="Times New Roman"/>
          <w:noProof/>
          <w:sz w:val="24"/>
        </w:rPr>
        <w:t>óc je zorganizować. Frontex opracował plan prac wspierający państwa członkowskie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doradztwa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ntegracji, który ma być wdrażany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ści</w:t>
      </w:r>
      <w:r w:rsidRPr="00BF1AA9">
        <w:rPr>
          <w:rFonts w:ascii="Times New Roman" w:hAnsi="Times New Roman"/>
          <w:noProof/>
          <w:sz w:val="24"/>
        </w:rPr>
        <w:t>słej współpracy</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członkowskimi.</w:t>
      </w:r>
    </w:p>
    <w:p w14:paraId="133D40F5" w14:textId="35AE578B"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Promowanie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zwi</w:t>
      </w:r>
      <w:r w:rsidRPr="00BF1AA9">
        <w:rPr>
          <w:rFonts w:ascii="Times New Roman" w:hAnsi="Times New Roman"/>
          <w:noProof/>
          <w:sz w:val="24"/>
        </w:rPr>
        <w:t>ększenie korzystania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dob</w:t>
      </w:r>
      <w:r w:rsidRPr="00BF1AA9">
        <w:rPr>
          <w:rFonts w:ascii="Times New Roman" w:hAnsi="Times New Roman"/>
          <w:noProof/>
          <w:sz w:val="24"/>
        </w:rPr>
        <w:t>rowolnych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ntegracji są integralną częścią wspólnego unijnego systemu powrotów, zgodnie ze strategią UE na rzecz dobrowolnych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ntegracji</w:t>
      </w:r>
      <w:r w:rsidRPr="00BF1AA9">
        <w:rPr>
          <w:rStyle w:val="FootnoteReference"/>
          <w:rFonts w:ascii="Times New Roman" w:eastAsia="Calibri" w:hAnsi="Times New Roman" w:cs="Times New Roman"/>
          <w:noProof/>
          <w:sz w:val="24"/>
          <w:szCs w:val="24"/>
        </w:rPr>
        <w:footnoteReference w:id="34"/>
      </w:r>
      <w:r w:rsidRPr="00BF1AA9">
        <w:rPr>
          <w:rFonts w:ascii="Times New Roman" w:hAnsi="Times New Roman"/>
          <w:noProof/>
          <w:sz w:val="24"/>
        </w:rPr>
        <w:t>. Wsparcie reintegracji będzie zachęcać do współpracy osoby powracające,</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propagować współpracę</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trzecimi, zwiększając ich poczucie odpowiedzialności za powrót, readmisję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ntegrację swoich obywateli.</w:t>
      </w:r>
    </w:p>
    <w:p w14:paraId="2FF1ABD4" w14:textId="455AF595"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Frontex opracował wspólne usługi reintegracyjne, które zapewniają państwom członkowskim wspólne usługi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rei</w:t>
      </w:r>
      <w:r w:rsidRPr="00BF1AA9">
        <w:rPr>
          <w:rFonts w:ascii="Times New Roman" w:hAnsi="Times New Roman"/>
          <w:noProof/>
          <w:sz w:val="24"/>
        </w:rPr>
        <w:t>ntegracji. Liczba państw objętych wspólnymi usługami reintegracyjnymi powinna zostać rozszerzona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zaspokojenia potrzeb państw członkowskich,</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 członkowskie powinny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korzystać</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tyc</w:t>
      </w:r>
      <w:r w:rsidRPr="00BF1AA9">
        <w:rPr>
          <w:rFonts w:ascii="Times New Roman" w:hAnsi="Times New Roman"/>
          <w:noProof/>
          <w:sz w:val="24"/>
        </w:rPr>
        <w:t>h usług</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udo</w:t>
      </w:r>
      <w:r w:rsidRPr="00BF1AA9">
        <w:rPr>
          <w:rFonts w:ascii="Times New Roman" w:hAnsi="Times New Roman"/>
          <w:noProof/>
          <w:sz w:val="24"/>
        </w:rPr>
        <w:t>stępniać je zarówno osobom powracającym dobrowolnie, jak</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ymusowo. Należy dążyć do synergii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cią</w:t>
      </w:r>
      <w:r w:rsidRPr="00BF1AA9">
        <w:rPr>
          <w:rFonts w:ascii="Times New Roman" w:hAnsi="Times New Roman"/>
          <w:noProof/>
          <w:sz w:val="24"/>
        </w:rPr>
        <w:t>głości między usługami świadczonymi przez wspólne usługi reintegracyjne Frontexu</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owiednimi krajowymi strukturami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mec</w:t>
      </w:r>
      <w:r w:rsidRPr="00BF1AA9">
        <w:rPr>
          <w:rFonts w:ascii="Times New Roman" w:hAnsi="Times New Roman"/>
          <w:noProof/>
          <w:sz w:val="24"/>
        </w:rPr>
        <w:t>hanizmami państw trzecich,</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ile</w:t>
      </w:r>
      <w:r w:rsidRPr="00BF1AA9">
        <w:rPr>
          <w:rFonts w:ascii="Times New Roman" w:hAnsi="Times New Roman"/>
          <w:noProof/>
          <w:sz w:val="24"/>
        </w:rPr>
        <w:t xml:space="preserve"> są one dostępne.</w:t>
      </w:r>
    </w:p>
    <w:p w14:paraId="6559C007" w14:textId="53196112"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Państwa członkowskie powinny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dopilnować, aby posiadały zdolności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udziału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eur</w:t>
      </w:r>
      <w:r w:rsidRPr="00BF1AA9">
        <w:rPr>
          <w:rFonts w:ascii="Times New Roman" w:hAnsi="Times New Roman"/>
          <w:noProof/>
          <w:sz w:val="24"/>
        </w:rPr>
        <w:t>opejskich operacjach powrotowych koordynowanych lub organizowanych przez Frontex, również</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zarze monitorowania powrotów. Państwa członkowskie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ntex powinny dalej rozwijać swoje zdolności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 xml:space="preserve">resie monitorowania wszystkich operacji powrotowych. </w:t>
      </w:r>
    </w:p>
    <w:p w14:paraId="3F28A87B" w14:textId="6617C5FB"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Państwa członkowskie muszą zapewnić wystarczającą zdolność do gromadzenia danych na temat ryzyka ucieczki oraz do opracowania analizy ryzyka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zastosowania środków detencyjnych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alt</w:t>
      </w:r>
      <w:r w:rsidRPr="00BF1AA9">
        <w:rPr>
          <w:rFonts w:ascii="Times New Roman" w:hAnsi="Times New Roman"/>
          <w:noProof/>
          <w:sz w:val="24"/>
        </w:rPr>
        <w:t>ernatywy dla środków detencyjnych, aby ograniczyć wtórne przemieszczanie się,</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rozwinąć potencjał techniczny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środków detencyjnych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wiązań alternatywnych dla środków detencyjnych. Warunki zatrzymania powinny spełniać wymogi określone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mię</w:t>
      </w:r>
      <w:r w:rsidRPr="00BF1AA9">
        <w:rPr>
          <w:rFonts w:ascii="Times New Roman" w:hAnsi="Times New Roman"/>
          <w:noProof/>
          <w:sz w:val="24"/>
        </w:rPr>
        <w:t>dzynarodowych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uni</w:t>
      </w:r>
      <w:r w:rsidRPr="00BF1AA9">
        <w:rPr>
          <w:rFonts w:ascii="Times New Roman" w:hAnsi="Times New Roman"/>
          <w:noProof/>
          <w:sz w:val="24"/>
        </w:rPr>
        <w:t>jnych aktach prawnych</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ułatwienia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yspieszenia procesu powrotu zachęca się państwa członkowskie do zapewnienia wzajemnego uznawania decyzji nakazujących powrót</w:t>
      </w:r>
      <w:r w:rsidRPr="00BF1AA9">
        <w:rPr>
          <w:rStyle w:val="FootnoteReference"/>
          <w:rFonts w:ascii="Times New Roman" w:eastAsia="Calibri" w:hAnsi="Times New Roman" w:cs="Times New Roman"/>
          <w:noProof/>
          <w:sz w:val="24"/>
          <w:szCs w:val="24"/>
        </w:rPr>
        <w:footnoteReference w:id="35"/>
      </w:r>
      <w:r w:rsidRPr="00BF1AA9">
        <w:rPr>
          <w:noProof/>
        </w:rPr>
        <w:t>.</w:t>
      </w:r>
    </w:p>
    <w:p w14:paraId="15D44BA8" w14:textId="11F4E519"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Również</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opa</w:t>
      </w:r>
      <w:r w:rsidRPr="00BF1AA9">
        <w:rPr>
          <w:rFonts w:ascii="Times New Roman" w:hAnsi="Times New Roman"/>
          <w:noProof/>
          <w:sz w:val="24"/>
        </w:rPr>
        <w:t>rciu</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dok</w:t>
      </w:r>
      <w:r w:rsidRPr="00BF1AA9">
        <w:rPr>
          <w:rFonts w:ascii="Times New Roman" w:hAnsi="Times New Roman"/>
          <w:noProof/>
          <w:sz w:val="24"/>
        </w:rPr>
        <w:t>ument programowy „W kierunku strategii operacyjnej na rzecz skuteczniejszych powrotów”, przyjęty przez Komisję 24 stycznia 2023</w:t>
      </w:r>
      <w:r w:rsidR="00BF1AA9" w:rsidRPr="00BF1AA9">
        <w:rPr>
          <w:rFonts w:ascii="Times New Roman" w:hAnsi="Times New Roman"/>
          <w:noProof/>
          <w:sz w:val="24"/>
        </w:rPr>
        <w:t> </w:t>
      </w:r>
      <w:r w:rsidRPr="00BF1AA9">
        <w:rPr>
          <w:rFonts w:ascii="Times New Roman" w:hAnsi="Times New Roman"/>
          <w:noProof/>
          <w:sz w:val="24"/>
        </w:rPr>
        <w:t>r.</w:t>
      </w:r>
      <w:r w:rsidRPr="00BF1AA9">
        <w:rPr>
          <w:rStyle w:val="FootnoteReference"/>
          <w:rFonts w:ascii="Times New Roman" w:eastAsia="Calibri" w:hAnsi="Times New Roman" w:cs="Times New Roman"/>
          <w:noProof/>
          <w:sz w:val="24"/>
          <w:szCs w:val="24"/>
        </w:rPr>
        <w:footnoteReference w:id="36"/>
      </w:r>
      <w:r w:rsidRPr="00BF1AA9">
        <w:rPr>
          <w:rFonts w:ascii="Times New Roman" w:hAnsi="Times New Roman"/>
          <w:noProof/>
          <w:sz w:val="24"/>
        </w:rPr>
        <w:t>, wszystkie zainteresowane strony powinny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korzystać</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usł</w:t>
      </w:r>
      <w:r w:rsidRPr="00BF1AA9">
        <w:rPr>
          <w:rFonts w:ascii="Times New Roman" w:hAnsi="Times New Roman"/>
          <w:noProof/>
          <w:sz w:val="24"/>
        </w:rPr>
        <w:t xml:space="preserve">ug </w:t>
      </w:r>
      <w:r w:rsidRPr="00BF1AA9">
        <w:rPr>
          <w:rFonts w:ascii="Times New Roman" w:hAnsi="Times New Roman"/>
          <w:b/>
          <w:noProof/>
          <w:sz w:val="24"/>
        </w:rPr>
        <w:t>unijnego koordynatora ds. powrotów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b/>
          <w:noProof/>
          <w:sz w:val="24"/>
        </w:rPr>
        <w:t>sie</w:t>
      </w:r>
      <w:r w:rsidRPr="00BF1AA9">
        <w:rPr>
          <w:rFonts w:ascii="Times New Roman" w:hAnsi="Times New Roman"/>
          <w:b/>
          <w:noProof/>
          <w:sz w:val="24"/>
        </w:rPr>
        <w:t>ci wysokiego szczebla ds. powrotów</w:t>
      </w:r>
      <w:r w:rsidRPr="00BF1AA9">
        <w:rPr>
          <w:rFonts w:ascii="Times New Roman" w:hAnsi="Times New Roman"/>
          <w:noProof/>
          <w:sz w:val="24"/>
        </w:rPr>
        <w:t>, aby wspierać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pagować praktyczną współpracę między państwami członkowskimi, Komisją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 xml:space="preserve">nteksem. </w:t>
      </w:r>
    </w:p>
    <w:p w14:paraId="0C671EC3" w14:textId="2DE1E181" w:rsidR="00F5602F" w:rsidRPr="00BF1AA9" w:rsidRDefault="00F5602F" w:rsidP="00377968">
      <w:pPr>
        <w:numPr>
          <w:ilvl w:val="0"/>
          <w:numId w:val="9"/>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Odnowiony System Informacyjny Schengen będzie zawierał wpisy dotyczące obywateli państw trzecich podlegających decyzjom nakazującym powrót – będzie to ważnym nowym narzędziem do dyspozycji państw członkowskich, służącym do monitorowania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egz</w:t>
      </w:r>
      <w:r w:rsidRPr="00BF1AA9">
        <w:rPr>
          <w:rFonts w:ascii="Times New Roman" w:hAnsi="Times New Roman"/>
          <w:noProof/>
          <w:sz w:val="24"/>
        </w:rPr>
        <w:t>ekwowania decyzji nakazujących powrót, torującym drogę do dalszej współpracy,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wzajemnego uznawania decyzji nakazujących powrót, oraz powstrzymującym nielegalne wtórne przemieszczanie się</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str</w:t>
      </w:r>
      <w:r w:rsidRPr="00BF1AA9">
        <w:rPr>
          <w:rFonts w:ascii="Times New Roman" w:hAnsi="Times New Roman"/>
          <w:noProof/>
          <w:sz w:val="24"/>
        </w:rPr>
        <w:t>efie Schengen. Państwo członkowskie powinno zapewnić właściwe wdrożenie tego środka,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zal</w:t>
      </w:r>
      <w:r w:rsidRPr="00BF1AA9">
        <w:rPr>
          <w:rFonts w:ascii="Times New Roman" w:hAnsi="Times New Roman"/>
          <w:noProof/>
          <w:sz w:val="24"/>
        </w:rPr>
        <w:t xml:space="preserve">eceniem Komisji. </w:t>
      </w:r>
    </w:p>
    <w:p w14:paraId="6B13D130" w14:textId="77777777" w:rsidR="00F5602F" w:rsidRPr="00BF1AA9" w:rsidRDefault="00F5602F" w:rsidP="00377968">
      <w:pPr>
        <w:spacing w:after="200" w:line="276" w:lineRule="auto"/>
        <w:contextualSpacing/>
        <w:jc w:val="both"/>
        <w:rPr>
          <w:rFonts w:ascii="Times New Roman" w:eastAsia="Calibri" w:hAnsi="Times New Roman" w:cs="Times New Roman"/>
          <w:noProof/>
          <w:sz w:val="24"/>
          <w:szCs w:val="24"/>
        </w:rPr>
      </w:pPr>
    </w:p>
    <w:p w14:paraId="724D2109" w14:textId="5EEDC697" w:rsidR="00F5602F" w:rsidRPr="00BF1AA9"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BF1AA9">
        <w:rPr>
          <w:rFonts w:ascii="Times New Roman" w:hAnsi="Times New Roman"/>
          <w:b/>
          <w:noProof/>
          <w:sz w:val="24"/>
        </w:rPr>
        <w:t>Element 10</w:t>
      </w:r>
      <w:r w:rsidRPr="00BF1AA9">
        <w:rPr>
          <w:rFonts w:ascii="Times New Roman" w:hAnsi="Times New Roman"/>
          <w:noProof/>
          <w:sz w:val="24"/>
        </w:rPr>
        <w:t>: „stosowani[e] najnowszej technologii,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wielkoskalowych systemów informacyjnych”</w:t>
      </w:r>
      <w:r w:rsidRPr="00BF1AA9">
        <w:rPr>
          <w:rFonts w:ascii="Times New Roman" w:eastAsia="Times New Roman" w:hAnsi="Times New Roman" w:cs="Times New Roman"/>
          <w:i/>
          <w:noProof/>
          <w:sz w:val="24"/>
          <w:szCs w:val="24"/>
          <w:vertAlign w:val="superscript"/>
          <w:lang w:eastAsia="en-GB"/>
        </w:rPr>
        <w:footnoteReference w:id="37"/>
      </w:r>
      <w:r w:rsidRPr="00BF1AA9">
        <w:rPr>
          <w:rFonts w:ascii="Times New Roman" w:hAnsi="Times New Roman"/>
          <w:noProof/>
          <w:sz w:val="24"/>
        </w:rPr>
        <w:t>.</w:t>
      </w:r>
    </w:p>
    <w:p w14:paraId="13F94731"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5D2CCC16"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Priorytety polityki</w:t>
      </w:r>
    </w:p>
    <w:p w14:paraId="1A9E450E"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44CBF47D" w14:textId="1CE5BF0B"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Do europejskiego zintegrowanego zarządzania granicami,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do odprawy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och</w:t>
      </w:r>
      <w:r w:rsidRPr="00BF1AA9">
        <w:rPr>
          <w:rFonts w:ascii="Times New Roman" w:hAnsi="Times New Roman"/>
          <w:noProof/>
          <w:sz w:val="24"/>
        </w:rPr>
        <w:t>rony granic, należy wykorzystywać zaawansowane, mobilne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eroperacyjne europejskie systemy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wiązania techniczne, które są kompatybilne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wie</w:t>
      </w:r>
      <w:r w:rsidRPr="00BF1AA9">
        <w:rPr>
          <w:rFonts w:ascii="Times New Roman" w:hAnsi="Times New Roman"/>
          <w:noProof/>
          <w:sz w:val="24"/>
        </w:rPr>
        <w:t>lkoskalowymi systemami informatycznymi UE. Ma to zagwarantować skuteczniejszą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bar</w:t>
      </w:r>
      <w:r w:rsidRPr="00BF1AA9">
        <w:rPr>
          <w:rFonts w:ascii="Times New Roman" w:hAnsi="Times New Roman"/>
          <w:noProof/>
          <w:sz w:val="24"/>
        </w:rPr>
        <w:t>dziej niezawodną kontrolę graniczną. Europejska Straż Graniczna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ybrzeżna powinna być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sta</w:t>
      </w:r>
      <w:r w:rsidRPr="00BF1AA9">
        <w:rPr>
          <w:rFonts w:ascii="Times New Roman" w:hAnsi="Times New Roman"/>
          <w:noProof/>
          <w:sz w:val="24"/>
        </w:rPr>
        <w:t>nie jak najlepiej wykorzystywać najnowsze technologie,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mechanizmy zabezpieczania danych.</w:t>
      </w:r>
    </w:p>
    <w:p w14:paraId="5F6F4769"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4B13657B"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4228ED76"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Wytyczne strategiczne</w:t>
      </w:r>
    </w:p>
    <w:p w14:paraId="372A902D"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lang w:eastAsia="en-GB"/>
        </w:rPr>
      </w:pPr>
    </w:p>
    <w:p w14:paraId="76E9CCAF" w14:textId="5E9BAB69" w:rsidR="00F5602F" w:rsidRPr="00BF1AA9"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Należy zwiększyć </w:t>
      </w:r>
      <w:r w:rsidRPr="00BF1AA9">
        <w:rPr>
          <w:rFonts w:ascii="Times New Roman" w:hAnsi="Times New Roman"/>
          <w:b/>
          <w:noProof/>
          <w:sz w:val="24"/>
        </w:rPr>
        <w:t>jakość informacji</w:t>
      </w:r>
      <w:r w:rsidRPr="00BF1AA9">
        <w:rPr>
          <w:rFonts w:ascii="Times New Roman" w:hAnsi="Times New Roman"/>
          <w:noProof/>
          <w:sz w:val="24"/>
        </w:rPr>
        <w:t xml:space="preserve"> wykorzystywanych do odprawy granicznej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istniejących systemów przez stosowanie praktycznych środków zapewniających dokładność danych,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za pomocą okresowej oceny tych informacji oraz dzięki wdrożeniu najnowszych technologii. </w:t>
      </w:r>
    </w:p>
    <w:p w14:paraId="025E5A93" w14:textId="658253E2" w:rsidR="00F5602F" w:rsidRPr="00BF1AA9"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Jak stwierdzono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wyt</w:t>
      </w:r>
      <w:r w:rsidRPr="00BF1AA9">
        <w:rPr>
          <w:rFonts w:ascii="Times New Roman" w:hAnsi="Times New Roman"/>
          <w:noProof/>
          <w:sz w:val="24"/>
        </w:rPr>
        <w:t>ycznej strategicznej nr</w:t>
      </w:r>
      <w:r w:rsidR="00BF1AA9" w:rsidRPr="00BF1AA9">
        <w:rPr>
          <w:rFonts w:ascii="Times New Roman" w:hAnsi="Times New Roman"/>
          <w:noProof/>
          <w:sz w:val="24"/>
        </w:rPr>
        <w:t> </w:t>
      </w:r>
      <w:r w:rsidRPr="00BF1AA9">
        <w:rPr>
          <w:rFonts w:ascii="Times New Roman" w:hAnsi="Times New Roman"/>
          <w:noProof/>
          <w:sz w:val="24"/>
        </w:rPr>
        <w:t xml:space="preserve">5 elementu dotyczącego współpracy na szczeblu UE, należy zapewnić </w:t>
      </w:r>
      <w:r w:rsidRPr="00BF1AA9">
        <w:rPr>
          <w:rFonts w:ascii="Times New Roman" w:hAnsi="Times New Roman"/>
          <w:b/>
          <w:noProof/>
          <w:sz w:val="24"/>
        </w:rPr>
        <w:t>interoperacyjność istniejących</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now</w:t>
      </w:r>
      <w:r w:rsidRPr="00BF1AA9">
        <w:rPr>
          <w:rFonts w:ascii="Times New Roman" w:hAnsi="Times New Roman"/>
          <w:b/>
          <w:noProof/>
          <w:sz w:val="24"/>
        </w:rPr>
        <w:t xml:space="preserve">ych wielkoskalowych systemów informatycznych </w:t>
      </w:r>
      <w:r w:rsidRPr="00BF1AA9">
        <w:rPr>
          <w:rFonts w:ascii="Times New Roman" w:hAnsi="Times New Roman"/>
          <w:noProof/>
          <w:sz w:val="24"/>
        </w:rPr>
        <w:t>(EES, VIS, ETIAS, zmodernizowany System Informacyjny Schengen),</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pełne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 xml:space="preserve">pleksowe wdrożenie niedawno zmodernizowanych systemów. </w:t>
      </w:r>
    </w:p>
    <w:p w14:paraId="78C57CC2" w14:textId="50FC2A5C" w:rsidR="00F5602F" w:rsidRPr="00BF1AA9"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Rozwój, utrzymanie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ługa centralnych elementów wielkoskalowych systemów informacyjnych stanowią główny cel eu-LISA – Agencji Unii Europejskiej ds. Zarządzania Operacyjnego Wielkoskalowymi Systemami Informatycznymi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estrzeni Wolności, Bezpieczeństwa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awiedliwości.</w:t>
      </w:r>
    </w:p>
    <w:p w14:paraId="4B5029FF" w14:textId="0C6D4FC0" w:rsidR="00F5602F" w:rsidRPr="00BF1AA9" w:rsidRDefault="00F5602F" w:rsidP="00D2739F">
      <w:pPr>
        <w:numPr>
          <w:ilvl w:val="0"/>
          <w:numId w:val="10"/>
        </w:numPr>
        <w:spacing w:after="200" w:line="276" w:lineRule="auto"/>
        <w:contextualSpacing/>
        <w:jc w:val="both"/>
        <w:rPr>
          <w:rFonts w:ascii="Times New Roman" w:hAnsi="Times New Roman"/>
          <w:noProof/>
          <w:sz w:val="24"/>
        </w:rPr>
      </w:pPr>
      <w:r w:rsidRPr="00BF1AA9">
        <w:rPr>
          <w:rFonts w:ascii="Times New Roman" w:hAnsi="Times New Roman"/>
          <w:noProof/>
          <w:sz w:val="24"/>
        </w:rPr>
        <w:t xml:space="preserve">Należy wykorzystać potencjał </w:t>
      </w:r>
      <w:r w:rsidRPr="00BF1AA9">
        <w:rPr>
          <w:rFonts w:ascii="Times New Roman" w:hAnsi="Times New Roman"/>
          <w:b/>
          <w:noProof/>
          <w:sz w:val="24"/>
        </w:rPr>
        <w:t>nowych, inteligentnych rozwiązań technicznych</w:t>
      </w:r>
      <w:r w:rsidRPr="00BF1AA9">
        <w:rPr>
          <w:rFonts w:ascii="Times New Roman" w:hAnsi="Times New Roman"/>
          <w:noProof/>
          <w:sz w:val="24"/>
        </w:rPr>
        <w:t xml:space="preserve"> (np. automatycznych odpraw granicznych/bramek służących do zautomatyzowanej kontroli granicznej) oraz interoperacyjność różnych systemów informatycznych dotyczących granic</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bez</w:t>
      </w:r>
      <w:r w:rsidRPr="00BF1AA9">
        <w:rPr>
          <w:rFonts w:ascii="Times New Roman" w:hAnsi="Times New Roman"/>
          <w:noProof/>
          <w:sz w:val="24"/>
        </w:rPr>
        <w:t>pieczeństwa (np. system FADO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sys</w:t>
      </w:r>
      <w:r w:rsidRPr="00BF1AA9">
        <w:rPr>
          <w:rFonts w:ascii="Times New Roman" w:hAnsi="Times New Roman"/>
          <w:noProof/>
          <w:sz w:val="24"/>
        </w:rPr>
        <w:t>tem elektronicznej biblioteki dokumentów Fronteksu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erpolu), aby zwiększyć bezpieczeństwo obywateli, ułatwić odprawy graniczne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ekraczanie granic zewnętrznych oraz zwalczać przestępczość transgraniczną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ter</w:t>
      </w:r>
      <w:r w:rsidRPr="00BF1AA9">
        <w:rPr>
          <w:rFonts w:ascii="Times New Roman" w:hAnsi="Times New Roman"/>
          <w:noProof/>
          <w:sz w:val="24"/>
        </w:rPr>
        <w:t>roryzm,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spo</w:t>
      </w:r>
      <w:r w:rsidRPr="00BF1AA9">
        <w:rPr>
          <w:rFonts w:ascii="Times New Roman" w:hAnsi="Times New Roman"/>
          <w:noProof/>
          <w:sz w:val="24"/>
        </w:rPr>
        <w:t>sób zapewniający pełne poszanowanie praw zarówno obywateli UE, jak</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oby</w:t>
      </w:r>
      <w:r w:rsidRPr="00BF1AA9">
        <w:rPr>
          <w:rFonts w:ascii="Times New Roman" w:hAnsi="Times New Roman"/>
          <w:noProof/>
          <w:sz w:val="24"/>
        </w:rPr>
        <w:t>wateli państw trzecich.</w:t>
      </w:r>
    </w:p>
    <w:p w14:paraId="5D67EE6E" w14:textId="751D6220" w:rsidR="00F5602F" w:rsidRPr="00BF1AA9"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 xml:space="preserve">ni wykorzystać potencjał </w:t>
      </w:r>
      <w:r w:rsidRPr="00BF1AA9">
        <w:rPr>
          <w:rFonts w:ascii="Times New Roman" w:hAnsi="Times New Roman"/>
          <w:b/>
          <w:noProof/>
          <w:sz w:val="24"/>
        </w:rPr>
        <w:t>nowoczesnych technologii</w:t>
      </w:r>
      <w:r w:rsidRPr="00BF1AA9">
        <w:rPr>
          <w:rFonts w:ascii="Times New Roman" w:hAnsi="Times New Roman"/>
          <w:noProof/>
          <w:sz w:val="24"/>
        </w:rPr>
        <w:t>, by zwiększyć europejskie zdolności nadzoru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gowania na granicach zewnętrznych. Należy dalej zwiększać wykorzystanie europejskich zdolności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nadzoru (np. usług satelitarnych), aby uzyskać kompleksowy obraz sytuacji.</w:t>
      </w:r>
    </w:p>
    <w:p w14:paraId="7732E725" w14:textId="4A077C85" w:rsidR="00F5602F" w:rsidRPr="00BF1AA9"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Należy dalej rozwijać </w:t>
      </w:r>
      <w:r w:rsidRPr="00BF1AA9">
        <w:rPr>
          <w:rFonts w:ascii="Times New Roman" w:hAnsi="Times New Roman"/>
          <w:b/>
          <w:noProof/>
          <w:sz w:val="24"/>
        </w:rPr>
        <w:t>zdolności</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zak</w:t>
      </w:r>
      <w:r w:rsidRPr="00BF1AA9">
        <w:rPr>
          <w:rFonts w:ascii="Times New Roman" w:hAnsi="Times New Roman"/>
          <w:b/>
          <w:noProof/>
          <w:sz w:val="24"/>
        </w:rPr>
        <w:t>resie nadzoru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iesieniu do zintegrowanych, interoperacyjnych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ela</w:t>
      </w:r>
      <w:r w:rsidRPr="00BF1AA9">
        <w:rPr>
          <w:rFonts w:ascii="Times New Roman" w:hAnsi="Times New Roman"/>
          <w:noProof/>
          <w:sz w:val="24"/>
        </w:rPr>
        <w:t>stycznych systemów obserwacji technicznej (stacjonarnych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mob</w:t>
      </w:r>
      <w:r w:rsidRPr="00BF1AA9">
        <w:rPr>
          <w:rFonts w:ascii="Times New Roman" w:hAnsi="Times New Roman"/>
          <w:noProof/>
          <w:sz w:val="24"/>
        </w:rPr>
        <w:t>ilnych) wykorzystywanych na granicach morskich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ląd</w:t>
      </w:r>
      <w:r w:rsidRPr="00BF1AA9">
        <w:rPr>
          <w:rFonts w:ascii="Times New Roman" w:hAnsi="Times New Roman"/>
          <w:noProof/>
          <w:sz w:val="24"/>
        </w:rPr>
        <w:t>owych. Powinno to obejmować rozwiązania techniczne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cesy robocze stosowane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róż</w:t>
      </w:r>
      <w:r w:rsidRPr="00BF1AA9">
        <w:rPr>
          <w:rFonts w:ascii="Times New Roman" w:hAnsi="Times New Roman"/>
          <w:noProof/>
          <w:sz w:val="24"/>
        </w:rPr>
        <w:t>nych ośrodkach operacyjnych (krajowe ośrodki koordynacji, ośrodki koordynacji poszukiwania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ownictwa oraz lokalne ośrodki koordynacji) oraz</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pos</w:t>
      </w:r>
      <w:r w:rsidRPr="00BF1AA9">
        <w:rPr>
          <w:rFonts w:ascii="Times New Roman" w:hAnsi="Times New Roman"/>
          <w:noProof/>
          <w:sz w:val="24"/>
        </w:rPr>
        <w:t>terunkach mobilnych.</w:t>
      </w:r>
    </w:p>
    <w:p w14:paraId="76DA79F0" w14:textId="6A7B6C8F" w:rsidR="00F5602F" w:rsidRPr="00BF1AA9"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Wkład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b/>
          <w:noProof/>
          <w:sz w:val="24"/>
        </w:rPr>
        <w:t>eur</w:t>
      </w:r>
      <w:r w:rsidRPr="00BF1AA9">
        <w:rPr>
          <w:rFonts w:ascii="Times New Roman" w:hAnsi="Times New Roman"/>
          <w:b/>
          <w:noProof/>
          <w:sz w:val="24"/>
        </w:rPr>
        <w:t>opejską autonomię</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zak</w:t>
      </w:r>
      <w:r w:rsidRPr="00BF1AA9">
        <w:rPr>
          <w:rFonts w:ascii="Times New Roman" w:hAnsi="Times New Roman"/>
          <w:b/>
          <w:noProof/>
          <w:sz w:val="24"/>
        </w:rPr>
        <w:t>resie technologii krytycznych</w:t>
      </w:r>
      <w:r w:rsidRPr="00BF1AA9">
        <w:rPr>
          <w:rFonts w:ascii="Times New Roman" w:eastAsia="Calibri" w:hAnsi="Times New Roman" w:cs="Times New Roman"/>
          <w:noProof/>
          <w:sz w:val="24"/>
          <w:szCs w:val="24"/>
          <w:vertAlign w:val="superscript"/>
        </w:rPr>
        <w:footnoteReference w:id="38"/>
      </w:r>
      <w:r w:rsidRPr="00BF1AA9">
        <w:rPr>
          <w:rFonts w:ascii="Times New Roman" w:hAnsi="Times New Roman"/>
          <w:noProof/>
          <w:sz w:val="24"/>
        </w:rPr>
        <w:t xml:space="preserve"> polega na zapewnieniu, aby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pla</w:t>
      </w:r>
      <w:r w:rsidRPr="00BF1AA9">
        <w:rPr>
          <w:rFonts w:ascii="Times New Roman" w:hAnsi="Times New Roman"/>
          <w:noProof/>
          <w:sz w:val="24"/>
        </w:rPr>
        <w:t>nowaniu rozwoju swoich zdolności uwzględniła cel, jakim jest zmniejszenie zależności od państw trzecich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zarze technologii krytycznych,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poprzez wykorzystanie wyników europejskich badań naukowych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zarze zarządzania granicami.</w:t>
      </w:r>
    </w:p>
    <w:p w14:paraId="3684E400" w14:textId="7D5AE230" w:rsidR="00F5602F" w:rsidRPr="00BF1AA9" w:rsidRDefault="00F5602F" w:rsidP="00377968">
      <w:pPr>
        <w:numPr>
          <w:ilvl w:val="0"/>
          <w:numId w:val="10"/>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Przetwarzanie danych osobowych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wyk</w:t>
      </w:r>
      <w:r w:rsidRPr="00BF1AA9">
        <w:rPr>
          <w:rFonts w:ascii="Times New Roman" w:hAnsi="Times New Roman"/>
          <w:noProof/>
          <w:sz w:val="24"/>
        </w:rPr>
        <w:t>orzystaniem nowych technologii musi być zgodne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wym</w:t>
      </w:r>
      <w:r w:rsidRPr="00BF1AA9">
        <w:rPr>
          <w:rFonts w:ascii="Times New Roman" w:hAnsi="Times New Roman"/>
          <w:noProof/>
          <w:sz w:val="24"/>
        </w:rPr>
        <w:t>ogami prawa UE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ochrony danych osobowych,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stosowania najnowocześniejszych technologii,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zabezpieczenia danych osobowych. Komisja, we współpracy z eu-LISA, powinna opracować plan działania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wiązania techniczne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zapewnienia państwom członkowskim wsparcia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obsługi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etwarzania dużych ilości danych przy pomocy nowych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naj</w:t>
      </w:r>
      <w:r w:rsidRPr="00BF1AA9">
        <w:rPr>
          <w:rFonts w:ascii="Times New Roman" w:hAnsi="Times New Roman"/>
          <w:noProof/>
          <w:sz w:val="24"/>
        </w:rPr>
        <w:t>nowocześniejszych technologii.</w:t>
      </w:r>
    </w:p>
    <w:p w14:paraId="232B9890" w14:textId="77777777" w:rsidR="00F5602F" w:rsidRPr="00BF1AA9" w:rsidRDefault="00F5602F" w:rsidP="00377968">
      <w:pPr>
        <w:spacing w:after="200" w:line="276" w:lineRule="auto"/>
        <w:contextualSpacing/>
        <w:jc w:val="both"/>
        <w:rPr>
          <w:rFonts w:ascii="Times New Roman" w:eastAsia="Calibri" w:hAnsi="Times New Roman" w:cs="Times New Roman"/>
          <w:noProof/>
          <w:sz w:val="24"/>
          <w:szCs w:val="24"/>
        </w:rPr>
      </w:pPr>
    </w:p>
    <w:p w14:paraId="5A888781" w14:textId="4DA1E2D1" w:rsidR="00F5602F" w:rsidRPr="00BF1AA9"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noProof/>
          <w:sz w:val="24"/>
          <w:szCs w:val="24"/>
        </w:rPr>
      </w:pPr>
      <w:r w:rsidRPr="00BF1AA9">
        <w:rPr>
          <w:rFonts w:ascii="Times New Roman" w:hAnsi="Times New Roman"/>
          <w:b/>
          <w:noProof/>
          <w:sz w:val="24"/>
        </w:rPr>
        <w:t xml:space="preserve">Element 11: </w:t>
      </w:r>
      <w:r w:rsidRPr="00BF1AA9">
        <w:rPr>
          <w:rFonts w:ascii="Times New Roman" w:hAnsi="Times New Roman"/>
          <w:noProof/>
          <w:sz w:val="24"/>
        </w:rPr>
        <w:t>„mechaniz[m] kontroli jakości,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mechaniz[m] oceny Schengen, oceny narażenia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ewe</w:t>
      </w:r>
      <w:r w:rsidRPr="00BF1AA9">
        <w:rPr>
          <w:rFonts w:ascii="Times New Roman" w:hAnsi="Times New Roman"/>
          <w:noProof/>
          <w:sz w:val="24"/>
        </w:rPr>
        <w:t>ntualn[e] mechanizm[y] krajow[e],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zapewnienia wdrażania przepisów Unii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zarządzania granicami”</w:t>
      </w:r>
      <w:r w:rsidRPr="00BF1AA9">
        <w:rPr>
          <w:rFonts w:ascii="Times New Roman" w:eastAsia="Times New Roman" w:hAnsi="Times New Roman" w:cs="Times New Roman"/>
          <w:i/>
          <w:noProof/>
          <w:sz w:val="24"/>
          <w:szCs w:val="24"/>
          <w:vertAlign w:val="superscript"/>
          <w:lang w:eastAsia="en-GB"/>
        </w:rPr>
        <w:footnoteReference w:id="39"/>
      </w:r>
      <w:r w:rsidRPr="00BF1AA9">
        <w:rPr>
          <w:rFonts w:ascii="Times New Roman" w:hAnsi="Times New Roman"/>
          <w:noProof/>
          <w:sz w:val="24"/>
        </w:rPr>
        <w:t>.</w:t>
      </w:r>
    </w:p>
    <w:p w14:paraId="42C34CBC"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lang w:eastAsia="en-GB"/>
        </w:rPr>
      </w:pPr>
    </w:p>
    <w:p w14:paraId="59639F36"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rPr>
      </w:pPr>
      <w:r w:rsidRPr="00BF1AA9">
        <w:rPr>
          <w:rFonts w:ascii="Times New Roman" w:hAnsi="Times New Roman"/>
          <w:noProof/>
          <w:sz w:val="24"/>
          <w:u w:val="single"/>
        </w:rPr>
        <w:t>Priorytety polityki</w:t>
      </w:r>
    </w:p>
    <w:p w14:paraId="5DDFCF6E" w14:textId="77777777" w:rsidR="00F5602F" w:rsidRPr="00BF1AA9" w:rsidRDefault="00F5602F" w:rsidP="00377968">
      <w:pPr>
        <w:keepNext/>
        <w:spacing w:after="0" w:line="240" w:lineRule="auto"/>
        <w:jc w:val="both"/>
        <w:rPr>
          <w:rFonts w:ascii="Times New Roman" w:eastAsia="Times New Roman" w:hAnsi="Times New Roman" w:cs="Times New Roman"/>
          <w:i/>
          <w:noProof/>
          <w:sz w:val="24"/>
          <w:szCs w:val="24"/>
          <w:lang w:eastAsia="en-GB"/>
        </w:rPr>
      </w:pPr>
    </w:p>
    <w:p w14:paraId="6E258F9E" w14:textId="0B7CAAB5"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Należy wprowadzić kompleksowy europejski system kontroli jakości, który umożliwi stałe monitorowanie wdrażania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jak</w:t>
      </w:r>
      <w:r w:rsidRPr="00BF1AA9">
        <w:rPr>
          <w:rFonts w:ascii="Times New Roman" w:hAnsi="Times New Roman"/>
          <w:noProof/>
          <w:sz w:val="24"/>
        </w:rPr>
        <w:t>ości europejskiego zintegrowanego zarządzania granicami na poziomie strategicznym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racyjnym. Wyniki kontroli jakości należy wykorzystywać do dalszego rozwijania europejskich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jowych systemów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fun</w:t>
      </w:r>
      <w:r w:rsidRPr="00BF1AA9">
        <w:rPr>
          <w:rFonts w:ascii="Times New Roman" w:hAnsi="Times New Roman"/>
          <w:noProof/>
          <w:sz w:val="24"/>
        </w:rPr>
        <w:t>kcji.</w:t>
      </w:r>
    </w:p>
    <w:p w14:paraId="32038661"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4C46F2F5"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Wytyczne strategiczne</w:t>
      </w:r>
    </w:p>
    <w:p w14:paraId="58E371ED"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28967188" w14:textId="1425C100" w:rsidR="00F5602F" w:rsidRPr="00BF1AA9"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 xml:space="preserve">ni uruchomić europejski mechanizm kontroli jakości, na który składają się: </w:t>
      </w:r>
      <w:r w:rsidRPr="00BF1AA9">
        <w:rPr>
          <w:rFonts w:ascii="Times New Roman" w:hAnsi="Times New Roman"/>
          <w:b/>
          <w:noProof/>
          <w:sz w:val="24"/>
        </w:rPr>
        <w:t>mechanizm oceny</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mon</w:t>
      </w:r>
      <w:r w:rsidRPr="00BF1AA9">
        <w:rPr>
          <w:rFonts w:ascii="Times New Roman" w:hAnsi="Times New Roman"/>
          <w:b/>
          <w:noProof/>
          <w:sz w:val="24"/>
        </w:rPr>
        <w:t>itorowania Schengen</w:t>
      </w:r>
      <w:r w:rsidRPr="00BF1AA9">
        <w:rPr>
          <w:rFonts w:ascii="Times New Roman" w:hAnsi="Times New Roman"/>
          <w:noProof/>
          <w:sz w:val="24"/>
        </w:rPr>
        <w:t xml:space="preserve">, </w:t>
      </w:r>
      <w:r w:rsidRPr="00BF1AA9">
        <w:rPr>
          <w:rFonts w:ascii="Times New Roman" w:hAnsi="Times New Roman"/>
          <w:b/>
          <w:noProof/>
          <w:sz w:val="24"/>
        </w:rPr>
        <w:t>oceny narażenia</w:t>
      </w:r>
      <w:r w:rsidRPr="00BF1AA9">
        <w:rPr>
          <w:rFonts w:ascii="Times New Roman" w:hAnsi="Times New Roman"/>
          <w:noProof/>
          <w:sz w:val="24"/>
        </w:rPr>
        <w:t xml:space="preserve"> dokonywane przez Frontex oraz </w:t>
      </w:r>
      <w:r w:rsidRPr="00BF1AA9">
        <w:rPr>
          <w:rFonts w:ascii="Times New Roman" w:hAnsi="Times New Roman"/>
          <w:b/>
          <w:noProof/>
          <w:sz w:val="24"/>
        </w:rPr>
        <w:t>krajowe mechanizmy kontroli jakości</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tyc</w:t>
      </w:r>
      <w:r w:rsidRPr="00BF1AA9">
        <w:rPr>
          <w:rFonts w:ascii="Times New Roman" w:hAnsi="Times New Roman"/>
          <w:noProof/>
          <w:sz w:val="24"/>
        </w:rPr>
        <w:t>h ramach Frontex powinien rozwijać zdolności techniczne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przeprowadzania ocen</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wer</w:t>
      </w:r>
      <w:r w:rsidRPr="00BF1AA9">
        <w:rPr>
          <w:rFonts w:ascii="Times New Roman" w:hAnsi="Times New Roman"/>
          <w:noProof/>
          <w:sz w:val="24"/>
        </w:rPr>
        <w:t>yfikacji zgodności dokumentów podróży wydanych przez państwa członkowskie, aby zapewnić zgodność zabezpieczeń</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nor</w:t>
      </w:r>
      <w:r w:rsidRPr="00BF1AA9">
        <w:rPr>
          <w:rFonts w:ascii="Times New Roman" w:hAnsi="Times New Roman"/>
          <w:noProof/>
          <w:sz w:val="24"/>
        </w:rPr>
        <w:t>mami ustanowionymi na szczeblu europejskim.</w:t>
      </w:r>
    </w:p>
    <w:p w14:paraId="2E8E3F7B" w14:textId="40183408" w:rsidR="00F5602F" w:rsidRPr="00BF1AA9"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Opierając się na regularnej wymianie informacji, należy zmaksymalizować </w:t>
      </w:r>
      <w:r w:rsidRPr="00BF1AA9">
        <w:rPr>
          <w:rFonts w:ascii="Times New Roman" w:hAnsi="Times New Roman"/>
          <w:b/>
          <w:noProof/>
          <w:sz w:val="24"/>
        </w:rPr>
        <w:t>synergie między oceną narażenia</w:t>
      </w:r>
      <w:r w:rsidR="00BF1AA9" w:rsidRPr="00BF1AA9">
        <w:rPr>
          <w:rFonts w:ascii="Times New Roman" w:hAnsi="Times New Roman"/>
          <w:b/>
          <w:noProof/>
          <w:sz w:val="24"/>
        </w:rPr>
        <w:t xml:space="preserve"> a</w:t>
      </w:r>
      <w:r w:rsidR="00BF1AA9">
        <w:rPr>
          <w:rFonts w:ascii="Times New Roman" w:hAnsi="Times New Roman"/>
          <w:b/>
          <w:noProof/>
          <w:sz w:val="24"/>
        </w:rPr>
        <w:t> </w:t>
      </w:r>
      <w:r w:rsidR="00BF1AA9" w:rsidRPr="00BF1AA9">
        <w:rPr>
          <w:rFonts w:ascii="Times New Roman" w:hAnsi="Times New Roman"/>
          <w:b/>
          <w:noProof/>
          <w:sz w:val="24"/>
        </w:rPr>
        <w:t>mec</w:t>
      </w:r>
      <w:r w:rsidRPr="00BF1AA9">
        <w:rPr>
          <w:rFonts w:ascii="Times New Roman" w:hAnsi="Times New Roman"/>
          <w:b/>
          <w:noProof/>
          <w:sz w:val="24"/>
        </w:rPr>
        <w:t>hanizmem oceny Schengen</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uzyskania lepszej znajomości sytuacji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funkcjonowania strefy Schengen. Powinno to pozwolić uniknąć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mia</w:t>
      </w:r>
      <w:r w:rsidRPr="00BF1AA9">
        <w:rPr>
          <w:rFonts w:ascii="Times New Roman" w:hAnsi="Times New Roman"/>
          <w:noProof/>
          <w:sz w:val="24"/>
        </w:rPr>
        <w:t>rę możliwości powielania wysiłków państw członkowskich oraz zapewnić lepszą koordynację wykorzystania odpowiednich instrumentów finansowych UE wspierających zarządzanie granicami zewnętrznymi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rotami.</w:t>
      </w:r>
    </w:p>
    <w:p w14:paraId="222619B1" w14:textId="761F03E5" w:rsidR="00F5602F" w:rsidRPr="00BF1AA9"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Wyniki uzyskane za pomocą mechanizmu kontroli jakości należy wykorzystać przy opracowywaniu krajowych systemów zarządzania granicami oraz przy ustalaniu priorytetów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kor</w:t>
      </w:r>
      <w:r w:rsidRPr="00BF1AA9">
        <w:rPr>
          <w:rFonts w:ascii="Times New Roman" w:hAnsi="Times New Roman"/>
          <w:noProof/>
          <w:sz w:val="24"/>
        </w:rPr>
        <w:t>zystaniu</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owiednich unijnych instrumentów finansowania (np. Funduszu Azylu, Migracji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egracji (FAMI), programów krajowych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Instrumentu na rzecz Zarządzania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Wiz</w:t>
      </w:r>
      <w:r w:rsidRPr="00BF1AA9">
        <w:rPr>
          <w:rFonts w:ascii="Times New Roman" w:hAnsi="Times New Roman"/>
          <w:noProof/>
          <w:sz w:val="24"/>
        </w:rPr>
        <w:t xml:space="preserve"> (IZGW) będącego częścią Funduszu Zintegrowanego Zarządzania Granicami lub okazjonalnie instrumentów tematycznych IZGW),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przy ocenie innego rodzaju finansowania zapewnianego przez Komisję.</w:t>
      </w:r>
    </w:p>
    <w:p w14:paraId="2AB46422" w14:textId="3D3EC153" w:rsidR="00F5602F" w:rsidRPr="00BF1AA9"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b/>
          <w:noProof/>
          <w:sz w:val="24"/>
        </w:rPr>
        <w:t>Państwa członkowskie</w:t>
      </w:r>
      <w:r w:rsidRPr="00BF1AA9">
        <w:rPr>
          <w:rFonts w:ascii="Times New Roman" w:hAnsi="Times New Roman"/>
          <w:noProof/>
          <w:sz w:val="24"/>
        </w:rPr>
        <w:t xml:space="preserve"> powinny utworzyć </w:t>
      </w:r>
      <w:r w:rsidRPr="00BF1AA9">
        <w:rPr>
          <w:rFonts w:ascii="Times New Roman" w:hAnsi="Times New Roman"/>
          <w:b/>
          <w:noProof/>
          <w:sz w:val="24"/>
        </w:rPr>
        <w:t>krajowe mechanizmy kontroli jakości</w:t>
      </w:r>
      <w:r w:rsidRPr="00BF1AA9">
        <w:rPr>
          <w:rFonts w:ascii="Times New Roman" w:hAnsi="Times New Roman"/>
          <w:noProof/>
          <w:sz w:val="24"/>
        </w:rPr>
        <w:t xml:space="preserve"> (krajowe „oceny Schengen”) obejmujące wszystkie elementy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fun</w:t>
      </w:r>
      <w:r w:rsidRPr="00BF1AA9">
        <w:rPr>
          <w:rFonts w:ascii="Times New Roman" w:hAnsi="Times New Roman"/>
          <w:noProof/>
          <w:sz w:val="24"/>
        </w:rPr>
        <w:t>kcje krajowego systemu zintegrowanego zarządzania granicami oraz włączające wszystkie organy zaangażowane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zin</w:t>
      </w:r>
      <w:r w:rsidRPr="00BF1AA9">
        <w:rPr>
          <w:rFonts w:ascii="Times New Roman" w:hAnsi="Times New Roman"/>
          <w:noProof/>
          <w:sz w:val="24"/>
        </w:rPr>
        <w:t>tegrowane zarządzanie granicami.</w:t>
      </w:r>
    </w:p>
    <w:p w14:paraId="6572351B" w14:textId="53D59BAC" w:rsidR="00F5602F" w:rsidRPr="00BF1AA9"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Państwa członkowskie muszą – zgodnie ze swoimi zobowiązaniami wynikającymi odpowiednio</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oceny Schengen</w:t>
      </w:r>
      <w:r w:rsidRPr="00BF1AA9">
        <w:rPr>
          <w:rStyle w:val="FootnoteReference"/>
          <w:rFonts w:ascii="Times New Roman" w:eastAsia="Calibri" w:hAnsi="Times New Roman" w:cs="Times New Roman"/>
          <w:noProof/>
          <w:sz w:val="24"/>
          <w:szCs w:val="24"/>
        </w:rPr>
        <w:footnoteReference w:id="40"/>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 aktywnie uczestniczyć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wiz</w:t>
      </w:r>
      <w:r w:rsidRPr="00BF1AA9">
        <w:rPr>
          <w:rFonts w:ascii="Times New Roman" w:hAnsi="Times New Roman"/>
          <w:noProof/>
          <w:sz w:val="24"/>
        </w:rPr>
        <w:t>ytach oceniających stosowanie dorobku Schengen koordynowanych przez Komisję oraz dostarczać terminowo wysokiej jakości dane na potrzeby ocen narażenia przeprowadzanych przez Frontex.</w:t>
      </w:r>
    </w:p>
    <w:p w14:paraId="696C34F5" w14:textId="7FB01036" w:rsidR="00F5602F" w:rsidRPr="00BF1AA9" w:rsidRDefault="00F5602F" w:rsidP="00377968">
      <w:pPr>
        <w:numPr>
          <w:ilvl w:val="0"/>
          <w:numId w:val="11"/>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porządzeniem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oceny Schengen ocena ta powinna obejmować wyniki operacyjne całej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zat</w:t>
      </w:r>
      <w:r w:rsidRPr="00BF1AA9">
        <w:rPr>
          <w:rFonts w:ascii="Times New Roman" w:hAnsi="Times New Roman"/>
          <w:noProof/>
          <w:sz w:val="24"/>
        </w:rPr>
        <w:t>em również ocenę działań operacyjnych Agencji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stwach członkowskich.</w:t>
      </w:r>
    </w:p>
    <w:p w14:paraId="77388746" w14:textId="77777777" w:rsidR="00F5602F" w:rsidRPr="00BF1AA9" w:rsidRDefault="00F5602F" w:rsidP="00377968">
      <w:pPr>
        <w:spacing w:after="200" w:line="276" w:lineRule="auto"/>
        <w:contextualSpacing/>
        <w:jc w:val="both"/>
        <w:rPr>
          <w:rFonts w:ascii="Times New Roman" w:eastAsia="Calibri" w:hAnsi="Times New Roman" w:cs="Times New Roman"/>
          <w:noProof/>
          <w:sz w:val="24"/>
          <w:szCs w:val="24"/>
        </w:rPr>
      </w:pPr>
    </w:p>
    <w:p w14:paraId="4EAA7453" w14:textId="03A37495" w:rsidR="00F5602F" w:rsidRPr="00BF1AA9" w:rsidRDefault="00F5602F" w:rsidP="00377968">
      <w:pPr>
        <w:pBdr>
          <w:top w:val="single" w:sz="4" w:space="1" w:color="auto"/>
          <w:left w:val="single" w:sz="4" w:space="4" w:color="auto"/>
          <w:bottom w:val="single" w:sz="4" w:space="1" w:color="auto"/>
          <w:right w:val="single" w:sz="4" w:space="4" w:color="auto"/>
        </w:pBdr>
        <w:shd w:val="clear" w:color="auto" w:fill="DAEEF3"/>
        <w:spacing w:after="0" w:line="240" w:lineRule="auto"/>
        <w:jc w:val="both"/>
        <w:rPr>
          <w:rFonts w:ascii="Times New Roman" w:eastAsia="Times New Roman" w:hAnsi="Times New Roman" w:cs="Times New Roman"/>
          <w:b/>
          <w:noProof/>
          <w:sz w:val="24"/>
          <w:szCs w:val="24"/>
        </w:rPr>
      </w:pPr>
      <w:r w:rsidRPr="00BF1AA9">
        <w:rPr>
          <w:rFonts w:ascii="Times New Roman" w:hAnsi="Times New Roman"/>
          <w:b/>
          <w:noProof/>
          <w:sz w:val="24"/>
        </w:rPr>
        <w:t xml:space="preserve">Element 12: </w:t>
      </w:r>
      <w:r w:rsidRPr="00BF1AA9">
        <w:rPr>
          <w:rFonts w:ascii="Times New Roman" w:hAnsi="Times New Roman"/>
          <w:noProof/>
          <w:sz w:val="24"/>
        </w:rPr>
        <w:t>„mechanizm[y] solidarnościow[e],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unijn[e] instrument[y] finansowania”</w:t>
      </w:r>
      <w:r w:rsidRPr="00BF1AA9">
        <w:rPr>
          <w:rFonts w:ascii="Times New Roman" w:eastAsia="Times New Roman" w:hAnsi="Times New Roman" w:cs="Times New Roman"/>
          <w:i/>
          <w:noProof/>
          <w:sz w:val="24"/>
          <w:szCs w:val="24"/>
          <w:vertAlign w:val="superscript"/>
          <w:lang w:eastAsia="en-GB"/>
        </w:rPr>
        <w:footnoteReference w:id="41"/>
      </w:r>
      <w:r w:rsidRPr="00BF1AA9">
        <w:rPr>
          <w:rFonts w:ascii="Times New Roman" w:hAnsi="Times New Roman"/>
          <w:noProof/>
          <w:sz w:val="24"/>
        </w:rPr>
        <w:t>.</w:t>
      </w:r>
    </w:p>
    <w:p w14:paraId="7C3D8391"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5EED55B3" w14:textId="77777777" w:rsidR="00F5602F" w:rsidRPr="00BF1AA9" w:rsidRDefault="00F5602F" w:rsidP="003A02AF">
      <w:pPr>
        <w:keepNext/>
        <w:spacing w:after="0" w:line="240" w:lineRule="auto"/>
        <w:jc w:val="both"/>
        <w:rPr>
          <w:rFonts w:ascii="Times New Roman" w:eastAsia="Times New Roman" w:hAnsi="Times New Roman" w:cs="Times New Roman"/>
          <w:noProof/>
          <w:sz w:val="24"/>
          <w:szCs w:val="24"/>
        </w:rPr>
      </w:pPr>
      <w:r w:rsidRPr="00BF1AA9">
        <w:rPr>
          <w:rFonts w:ascii="Times New Roman" w:hAnsi="Times New Roman"/>
          <w:noProof/>
          <w:sz w:val="24"/>
          <w:u w:val="single"/>
        </w:rPr>
        <w:t>Priorytety polityki</w:t>
      </w:r>
    </w:p>
    <w:p w14:paraId="51FD8FF7" w14:textId="77777777" w:rsidR="00F5602F" w:rsidRPr="00BF1AA9" w:rsidRDefault="00F5602F" w:rsidP="003A02AF">
      <w:pPr>
        <w:keepNext/>
        <w:spacing w:after="0" w:line="240" w:lineRule="auto"/>
        <w:jc w:val="both"/>
        <w:rPr>
          <w:rFonts w:ascii="Times New Roman" w:eastAsia="Times New Roman" w:hAnsi="Times New Roman" w:cs="Times New Roman"/>
          <w:i/>
          <w:noProof/>
          <w:sz w:val="24"/>
          <w:szCs w:val="24"/>
          <w:lang w:eastAsia="en-GB"/>
        </w:rPr>
      </w:pPr>
    </w:p>
    <w:p w14:paraId="0788CBB4" w14:textId="4C68406E"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Strategia EUIBM zostanie skutecznie wdrożona przy wsparciu specjalnego finansowania unijnego,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Ins</w:t>
      </w:r>
      <w:r w:rsidRPr="00BF1AA9">
        <w:rPr>
          <w:rFonts w:ascii="Times New Roman" w:hAnsi="Times New Roman"/>
          <w:noProof/>
          <w:sz w:val="24"/>
        </w:rPr>
        <w:t>trumentu na rzecz Zarządzania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Wiz</w:t>
      </w:r>
      <w:r w:rsidRPr="00BF1AA9">
        <w:rPr>
          <w:rFonts w:ascii="Times New Roman" w:hAnsi="Times New Roman"/>
          <w:noProof/>
          <w:sz w:val="24"/>
        </w:rPr>
        <w:t xml:space="preserve"> (IZGW) oraz FAMI. Środki finansowe UE posłużą do wsparcia działań</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europejskiego zintegrowanego zarządzania granicami na poziomie UE i na poziomie krajowym,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episami odpowiedniego funduszu UE. Aby uzyskać maksymalną europejską wartość dodaną, państwa członkowskie powinny dążyć do ustalenia swoich priorytetów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finansowania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spo</w:t>
      </w:r>
      <w:r w:rsidRPr="00BF1AA9">
        <w:rPr>
          <w:rFonts w:ascii="Times New Roman" w:hAnsi="Times New Roman"/>
          <w:noProof/>
          <w:sz w:val="24"/>
        </w:rPr>
        <w:t>sób, który pozwoli zapewnić pokrycie wszystkich elementów europejskiego zintegrowanego zarządzania granicami wynikających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jur</w:t>
      </w:r>
      <w:r w:rsidRPr="00BF1AA9">
        <w:rPr>
          <w:rFonts w:ascii="Times New Roman" w:hAnsi="Times New Roman"/>
          <w:noProof/>
          <w:sz w:val="24"/>
        </w:rPr>
        <w:t>ysdykcji UE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okr</w:t>
      </w:r>
      <w:r w:rsidRPr="00BF1AA9">
        <w:rPr>
          <w:rFonts w:ascii="Times New Roman" w:hAnsi="Times New Roman"/>
          <w:noProof/>
          <w:sz w:val="24"/>
        </w:rPr>
        <w:t>eślonych przez prawo Unii. Elementy europejskiego zintegrowanego zarządzania granicami regulowane prawem krajowym powinny najlepiej być finansowane ze środków krajowych.</w:t>
      </w:r>
    </w:p>
    <w:p w14:paraId="25FB6B1E"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3949369D" w14:textId="40EA9AF4"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Działania Fronteksu są prowadzone przy wykorzystaniu środków ze specjalnego budżetu Agencji wydzielonego</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bud</w:t>
      </w:r>
      <w:r w:rsidRPr="00BF1AA9">
        <w:rPr>
          <w:rFonts w:ascii="Times New Roman" w:hAnsi="Times New Roman"/>
          <w:noProof/>
          <w:sz w:val="24"/>
        </w:rPr>
        <w:t>żetu ogólnego UE. Agencja może również korzystać</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fin</w:t>
      </w:r>
      <w:r w:rsidRPr="00BF1AA9">
        <w:rPr>
          <w:rFonts w:ascii="Times New Roman" w:hAnsi="Times New Roman"/>
          <w:noProof/>
          <w:sz w:val="24"/>
        </w:rPr>
        <w:t>ansowania unijnego przeznaczonego na projekty pomocy technicznej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stwach trzecich,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jej</w:t>
      </w:r>
      <w:r w:rsidRPr="00BF1AA9">
        <w:rPr>
          <w:rFonts w:ascii="Times New Roman" w:hAnsi="Times New Roman"/>
          <w:noProof/>
          <w:sz w:val="24"/>
        </w:rPr>
        <w:t xml:space="preserve"> mandatem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episami odpowiednich instrumentów finansowania (Instrument Sąsiedztwa oraz Współpracy Międzynarodowej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wojowej – „Globalny wymiar Europy” oraz Instrument Pomocy Przedakcesyjnej – IPA III) ukierunkowanych na wspieranie realizacji zewnętrznego wymiaru polityki migracyjnej UE.</w:t>
      </w:r>
    </w:p>
    <w:p w14:paraId="48C10146"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2F5AA4E9"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Wytyczne strategiczne</w:t>
      </w:r>
    </w:p>
    <w:p w14:paraId="43754740"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053B3C78" w14:textId="47D7E6B2" w:rsidR="00F5602F" w:rsidRPr="00BF1AA9" w:rsidRDefault="00F5602F" w:rsidP="00377968">
      <w:pPr>
        <w:numPr>
          <w:ilvl w:val="0"/>
          <w:numId w:val="12"/>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Wykorzystanie </w:t>
      </w:r>
      <w:r w:rsidRPr="00BF1AA9">
        <w:rPr>
          <w:rFonts w:ascii="Times New Roman" w:hAnsi="Times New Roman"/>
          <w:b/>
          <w:bCs/>
          <w:noProof/>
          <w:sz w:val="24"/>
        </w:rPr>
        <w:t>unijnych instrumentów finansowania</w:t>
      </w:r>
      <w:r w:rsidRPr="00BF1AA9">
        <w:rPr>
          <w:rFonts w:ascii="Times New Roman" w:hAnsi="Times New Roman"/>
          <w:noProof/>
          <w:sz w:val="24"/>
        </w:rPr>
        <w:t xml:space="preserve"> (np. programów krajowych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IZGW) powinno być dostosowane do krajowych strategii, planów działania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pla</w:t>
      </w:r>
      <w:r w:rsidRPr="00BF1AA9">
        <w:rPr>
          <w:rFonts w:ascii="Times New Roman" w:hAnsi="Times New Roman"/>
          <w:noProof/>
          <w:sz w:val="24"/>
        </w:rPr>
        <w:t>nów budowania zdolności. Należy określić jasne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dob</w:t>
      </w:r>
      <w:r w:rsidRPr="00BF1AA9">
        <w:rPr>
          <w:rFonts w:ascii="Times New Roman" w:hAnsi="Times New Roman"/>
          <w:noProof/>
          <w:sz w:val="24"/>
        </w:rPr>
        <w:t>rze sprecyzowane priorytety krajowe (np. EUROSUR, rozwój zdolności) oparte na priorytetach UE, które pozwolą zmaksymalizować komplementarność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war</w:t>
      </w:r>
      <w:r w:rsidRPr="00BF1AA9">
        <w:rPr>
          <w:rFonts w:ascii="Times New Roman" w:hAnsi="Times New Roman"/>
          <w:noProof/>
          <w:sz w:val="24"/>
        </w:rPr>
        <w:t>tość dodaną funduszy UE.</w:t>
      </w:r>
    </w:p>
    <w:p w14:paraId="4C8B6F61" w14:textId="5A9B8CC8" w:rsidR="00F5602F" w:rsidRPr="00BF1AA9" w:rsidRDefault="00F5602F" w:rsidP="00377968">
      <w:pPr>
        <w:numPr>
          <w:ilvl w:val="0"/>
          <w:numId w:val="12"/>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Wyniki mechanizmu oceny Schengen</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oce</w:t>
      </w:r>
      <w:r w:rsidRPr="00BF1AA9">
        <w:rPr>
          <w:rFonts w:ascii="Times New Roman" w:hAnsi="Times New Roman"/>
          <w:noProof/>
          <w:sz w:val="24"/>
        </w:rPr>
        <w:t>ny narażenia powinny być uwzględniane przy ustalaniu priorytetów wykorzystania funduszy UE na szczeblu krajowym.</w:t>
      </w:r>
    </w:p>
    <w:p w14:paraId="1C3CC763" w14:textId="3FC6C348" w:rsidR="00F5602F" w:rsidRPr="00BF1AA9" w:rsidRDefault="00F5602F" w:rsidP="00377968">
      <w:pPr>
        <w:numPr>
          <w:ilvl w:val="0"/>
          <w:numId w:val="12"/>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Ścisła współpraca między Komisją</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nteksem powinna doprowadzić do wytworzenia synergii między działaniami Fronteksu</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ałaniami finansowanymi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ych unijnych instrumentów finansowania oraz zapobiec podwójnemu finansowaniu.</w:t>
      </w:r>
    </w:p>
    <w:p w14:paraId="62B9F110" w14:textId="5353748D" w:rsidR="00F5602F" w:rsidRPr="00BF1AA9" w:rsidRDefault="00F5602F" w:rsidP="00377968">
      <w:pPr>
        <w:numPr>
          <w:ilvl w:val="0"/>
          <w:numId w:val="12"/>
        </w:numPr>
        <w:spacing w:after="200" w:line="276" w:lineRule="auto"/>
        <w:contextualSpacing/>
        <w:jc w:val="both"/>
        <w:rPr>
          <w:rFonts w:ascii="Times New Roman" w:eastAsia="Times New Roman" w:hAnsi="Times New Roman" w:cs="Times New Roman"/>
          <w:b/>
          <w:noProof/>
          <w:sz w:val="24"/>
          <w:szCs w:val="24"/>
        </w:rPr>
      </w:pPr>
      <w:r w:rsidRPr="00BF1AA9">
        <w:rPr>
          <w:rFonts w:ascii="Times New Roman" w:hAnsi="Times New Roman"/>
          <w:noProof/>
          <w:sz w:val="24"/>
        </w:rPr>
        <w:t>Specjalne finansowanie unijne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ałań szczególnych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IZGW powinno pomóc państwom członkowskim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nab</w:t>
      </w:r>
      <w:r w:rsidRPr="00BF1AA9">
        <w:rPr>
          <w:rFonts w:ascii="Times New Roman" w:hAnsi="Times New Roman"/>
          <w:noProof/>
          <w:sz w:val="24"/>
        </w:rPr>
        <w:t>yciu wymaganego wyposażenia, które muszą oddać do dyspozycji Fronteksu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64 ust.</w:t>
      </w:r>
      <w:r w:rsidR="00BF1AA9" w:rsidRPr="00BF1AA9">
        <w:rPr>
          <w:rFonts w:ascii="Times New Roman" w:hAnsi="Times New Roman"/>
          <w:noProof/>
          <w:sz w:val="24"/>
        </w:rPr>
        <w:t> </w:t>
      </w:r>
      <w:r w:rsidRPr="00BF1AA9">
        <w:rPr>
          <w:rFonts w:ascii="Times New Roman" w:hAnsi="Times New Roman"/>
          <w:noProof/>
          <w:sz w:val="24"/>
        </w:rPr>
        <w:t>14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Zwiększy to zdolność Agencji do wspierania państw członkowskich potrzebujących pomocy.</w:t>
      </w:r>
    </w:p>
    <w:p w14:paraId="1261D353" w14:textId="77777777" w:rsidR="00F5602F" w:rsidRPr="00BF1AA9" w:rsidRDefault="00F5602F" w:rsidP="00377968">
      <w:pPr>
        <w:spacing w:after="0" w:line="240" w:lineRule="auto"/>
        <w:jc w:val="both"/>
        <w:rPr>
          <w:rFonts w:ascii="Times New Roman" w:eastAsia="Times New Roman" w:hAnsi="Times New Roman" w:cs="Times New Roman"/>
          <w:b/>
          <w:noProof/>
          <w:sz w:val="24"/>
          <w:szCs w:val="24"/>
          <w:lang w:eastAsia="en-GB"/>
        </w:rPr>
      </w:pPr>
    </w:p>
    <w:p w14:paraId="4DF4C8D4" w14:textId="77777777" w:rsidR="00F5602F" w:rsidRPr="00BF1AA9" w:rsidRDefault="00F5602F" w:rsidP="00377968">
      <w:pPr>
        <w:keepNext/>
        <w:pBdr>
          <w:top w:val="single" w:sz="4" w:space="1" w:color="auto"/>
          <w:left w:val="single" w:sz="4" w:space="4" w:color="auto"/>
          <w:bottom w:val="single" w:sz="4" w:space="1" w:color="auto"/>
          <w:right w:val="single" w:sz="4" w:space="4" w:color="auto"/>
        </w:pBdr>
        <w:shd w:val="clear" w:color="auto" w:fill="EAF1DD"/>
        <w:spacing w:after="0" w:line="240" w:lineRule="auto"/>
        <w:ind w:left="360"/>
        <w:jc w:val="both"/>
        <w:rPr>
          <w:rFonts w:ascii="Times New Roman" w:eastAsia="Times New Roman" w:hAnsi="Times New Roman" w:cs="Times New Roman"/>
          <w:noProof/>
          <w:sz w:val="24"/>
          <w:szCs w:val="24"/>
          <w:u w:val="single"/>
        </w:rPr>
      </w:pPr>
      <w:r w:rsidRPr="00BF1AA9">
        <w:rPr>
          <w:rFonts w:ascii="Times New Roman" w:hAnsi="Times New Roman"/>
          <w:b/>
          <w:noProof/>
          <w:sz w:val="24"/>
        </w:rPr>
        <w:t xml:space="preserve">Element 13: </w:t>
      </w:r>
      <w:r w:rsidRPr="00BF1AA9">
        <w:rPr>
          <w:rFonts w:ascii="Times New Roman" w:hAnsi="Times New Roman"/>
          <w:noProof/>
          <w:sz w:val="24"/>
        </w:rPr>
        <w:t>„prawa podstawowe</w:t>
      </w:r>
      <w:r w:rsidRPr="00BF1AA9">
        <w:rPr>
          <w:rFonts w:ascii="Times New Roman" w:eastAsia="Times New Roman" w:hAnsi="Times New Roman" w:cs="Times New Roman"/>
          <w:i/>
          <w:noProof/>
          <w:sz w:val="24"/>
          <w:szCs w:val="24"/>
          <w:vertAlign w:val="superscript"/>
          <w:lang w:eastAsia="en-GB"/>
        </w:rPr>
        <w:footnoteReference w:id="42"/>
      </w:r>
      <w:r w:rsidRPr="00BF1AA9">
        <w:rPr>
          <w:rFonts w:ascii="Times New Roman" w:hAnsi="Times New Roman"/>
          <w:noProof/>
          <w:sz w:val="24"/>
        </w:rPr>
        <w:t>”.</w:t>
      </w:r>
    </w:p>
    <w:p w14:paraId="42C95744"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lang w:eastAsia="en-GB"/>
        </w:rPr>
      </w:pPr>
    </w:p>
    <w:p w14:paraId="412594E9"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rPr>
      </w:pPr>
      <w:r w:rsidRPr="00BF1AA9">
        <w:rPr>
          <w:rFonts w:ascii="Times New Roman" w:hAnsi="Times New Roman"/>
          <w:noProof/>
          <w:sz w:val="24"/>
          <w:u w:val="single"/>
        </w:rPr>
        <w:t>Priorytety polityki</w:t>
      </w:r>
    </w:p>
    <w:p w14:paraId="59CE73E1" w14:textId="77777777" w:rsidR="00F5602F" w:rsidRPr="00BF1AA9" w:rsidRDefault="00F5602F" w:rsidP="00377968">
      <w:pPr>
        <w:spacing w:after="200" w:line="276" w:lineRule="auto"/>
        <w:contextualSpacing/>
        <w:jc w:val="both"/>
        <w:rPr>
          <w:rFonts w:ascii="Times New Roman" w:eastAsia="Calibri" w:hAnsi="Times New Roman" w:cs="Times New Roman"/>
          <w:b/>
          <w:i/>
          <w:noProof/>
          <w:sz w:val="24"/>
          <w:szCs w:val="24"/>
        </w:rPr>
      </w:pPr>
    </w:p>
    <w:p w14:paraId="60405248" w14:textId="7A6C5F54" w:rsidR="00F5602F" w:rsidRPr="00BF1AA9" w:rsidRDefault="00F5602F" w:rsidP="00377968">
      <w:p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Poszanowanie, ochrona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pagowanie praw podstawowych są centralnym elementem europejskiego zintegrowanego zarządzania granicami. Wdrażając europejskie zintegrowane zarządzanie granicami, Europejska Straż Graniczna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 xml:space="preserve">ybrzeżna musi zagwarantować ochronę praw podstawowych podczas wykonywania swoich zadań jako nadrzędne zobowiązanie prawne, zgodnie ze swoim mandatem. </w:t>
      </w:r>
    </w:p>
    <w:p w14:paraId="1EA1824E" w14:textId="77777777" w:rsidR="00F5602F" w:rsidRPr="00BF1AA9" w:rsidRDefault="00F5602F" w:rsidP="00377968">
      <w:pPr>
        <w:spacing w:after="200" w:line="276" w:lineRule="auto"/>
        <w:contextualSpacing/>
        <w:jc w:val="both"/>
        <w:rPr>
          <w:rFonts w:ascii="Times New Roman" w:eastAsia="Calibri" w:hAnsi="Times New Roman" w:cs="Times New Roman"/>
          <w:noProof/>
          <w:sz w:val="24"/>
          <w:szCs w:val="24"/>
        </w:rPr>
      </w:pPr>
    </w:p>
    <w:p w14:paraId="35109E43" w14:textId="7E5927C0" w:rsidR="00F5602F" w:rsidRPr="00BF1AA9" w:rsidRDefault="00F5602F" w:rsidP="00377968">
      <w:p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Działania podmiotów unijnych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powinny się odbywać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nej zgodności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episami UE,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z</w:t>
      </w:r>
      <w:r w:rsidR="00BF1AA9">
        <w:rPr>
          <w:rFonts w:ascii="Times New Roman" w:hAnsi="Times New Roman"/>
          <w:noProof/>
          <w:sz w:val="24"/>
        </w:rPr>
        <w:t> </w:t>
      </w:r>
      <w:r w:rsidR="00BF1AA9" w:rsidRPr="00BF1AA9">
        <w:rPr>
          <w:rFonts w:ascii="Times New Roman" w:hAnsi="Times New Roman"/>
          <w:noProof/>
          <w:sz w:val="24"/>
        </w:rPr>
        <w:t>Kar</w:t>
      </w:r>
      <w:r w:rsidRPr="00BF1AA9">
        <w:rPr>
          <w:rFonts w:ascii="Times New Roman" w:hAnsi="Times New Roman"/>
          <w:noProof/>
          <w:sz w:val="24"/>
        </w:rPr>
        <w:t>tą praw podstawowych Unii Europejskiej, oraz ze stosownym prawem międzynarodowym. Obejmuje ono Konwencję genewską dotyczącą statusu uchodźców</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2</w:t>
      </w:r>
      <w:r w:rsidRPr="00BF1AA9">
        <w:rPr>
          <w:rFonts w:ascii="Times New Roman" w:hAnsi="Times New Roman"/>
          <w:noProof/>
          <w:sz w:val="24"/>
        </w:rPr>
        <w:t>8 lipca 1951</w:t>
      </w:r>
      <w:r w:rsidR="00BF1AA9" w:rsidRPr="00BF1AA9">
        <w:rPr>
          <w:rFonts w:ascii="Times New Roman" w:hAnsi="Times New Roman"/>
          <w:noProof/>
          <w:sz w:val="24"/>
        </w:rPr>
        <w:t> </w:t>
      </w:r>
      <w:r w:rsidRPr="00BF1AA9">
        <w:rPr>
          <w:rFonts w:ascii="Times New Roman" w:hAnsi="Times New Roman"/>
          <w:noProof/>
          <w:sz w:val="24"/>
        </w:rPr>
        <w:t>r.</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tokół do niej</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1</w:t>
      </w:r>
      <w:r w:rsidRPr="00BF1AA9">
        <w:rPr>
          <w:rFonts w:ascii="Times New Roman" w:hAnsi="Times New Roman"/>
          <w:noProof/>
          <w:sz w:val="24"/>
        </w:rPr>
        <w:t>967</w:t>
      </w:r>
      <w:r w:rsidR="00BF1AA9" w:rsidRPr="00BF1AA9">
        <w:rPr>
          <w:rFonts w:ascii="Times New Roman" w:hAnsi="Times New Roman"/>
          <w:noProof/>
          <w:sz w:val="24"/>
        </w:rPr>
        <w:t> </w:t>
      </w:r>
      <w:r w:rsidRPr="00BF1AA9">
        <w:rPr>
          <w:rFonts w:ascii="Times New Roman" w:hAnsi="Times New Roman"/>
          <w:noProof/>
          <w:sz w:val="24"/>
        </w:rPr>
        <w:t>r. oraz Konwencję</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wach dziecka. Należy również</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peł</w:t>
      </w:r>
      <w:r w:rsidRPr="00BF1AA9">
        <w:rPr>
          <w:rFonts w:ascii="Times New Roman" w:hAnsi="Times New Roman"/>
          <w:noProof/>
          <w:sz w:val="24"/>
        </w:rPr>
        <w:t>ni przestrzegać obowiązków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dos</w:t>
      </w:r>
      <w:r w:rsidRPr="00BF1AA9">
        <w:rPr>
          <w:rFonts w:ascii="Times New Roman" w:hAnsi="Times New Roman"/>
          <w:noProof/>
          <w:sz w:val="24"/>
        </w:rPr>
        <w:t>tępem do ochrony międzynarodowej,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 xml:space="preserve">zególności zasady non-refoulement. </w:t>
      </w:r>
    </w:p>
    <w:p w14:paraId="59944575" w14:textId="77777777" w:rsidR="00F5602F" w:rsidRPr="00BF1AA9" w:rsidRDefault="00F5602F" w:rsidP="00377968">
      <w:pPr>
        <w:spacing w:after="200" w:line="276" w:lineRule="auto"/>
        <w:contextualSpacing/>
        <w:jc w:val="both"/>
        <w:rPr>
          <w:rFonts w:ascii="Times New Roman" w:eastAsia="Calibri" w:hAnsi="Times New Roman" w:cs="Times New Roman"/>
          <w:noProof/>
          <w:sz w:val="24"/>
          <w:szCs w:val="24"/>
        </w:rPr>
      </w:pPr>
    </w:p>
    <w:p w14:paraId="28398088" w14:textId="3D98AF17" w:rsidR="00F5602F" w:rsidRPr="00BF1AA9" w:rsidRDefault="00F5602F" w:rsidP="00377968">
      <w:p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 swoim wniosku dotyczącym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kontroli przesiewowej obywateli państw trzecich</w:t>
      </w:r>
      <w:r w:rsidRPr="00BF1AA9">
        <w:rPr>
          <w:rFonts w:ascii="Times New Roman" w:eastAsia="Calibri" w:hAnsi="Times New Roman" w:cs="Times New Roman"/>
          <w:noProof/>
          <w:sz w:val="24"/>
          <w:szCs w:val="24"/>
          <w:vertAlign w:val="superscript"/>
        </w:rPr>
        <w:footnoteReference w:id="43"/>
      </w:r>
      <w:r w:rsidRPr="00BF1AA9">
        <w:rPr>
          <w:rFonts w:ascii="Times New Roman" w:hAnsi="Times New Roman"/>
          <w:noProof/>
          <w:sz w:val="24"/>
        </w:rPr>
        <w:t xml:space="preserve"> Komisja zaproponowała, aby każde państwo członkowskie ustanowiło niezależny mechanizm monitorowania, tak by zagwarantować przestrzeganie praw podstawowych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zwi</w:t>
      </w:r>
      <w:r w:rsidRPr="00BF1AA9">
        <w:rPr>
          <w:rFonts w:ascii="Times New Roman" w:hAnsi="Times New Roman"/>
          <w:noProof/>
          <w:sz w:val="24"/>
        </w:rPr>
        <w:t>ązku</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trolą przesiewową na granicach zewnętrznych oraz właściwe zbadanie wszelkich powiązanych skarg dotyczących naruszenia praw podstawowych. Ten mechanizm monitorowania stanowiłby część zarządzania sytuacją migracyjną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jej</w:t>
      </w:r>
      <w:r w:rsidRPr="00BF1AA9">
        <w:rPr>
          <w:rFonts w:ascii="Times New Roman" w:hAnsi="Times New Roman"/>
          <w:noProof/>
          <w:sz w:val="24"/>
        </w:rPr>
        <w:t xml:space="preserve"> monitorowania przewidzianych we wniosku Komisji dotyczącym nowego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zarządzania azylem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mig</w:t>
      </w:r>
      <w:r w:rsidRPr="00BF1AA9">
        <w:rPr>
          <w:rFonts w:ascii="Times New Roman" w:hAnsi="Times New Roman"/>
          <w:noProof/>
          <w:sz w:val="24"/>
        </w:rPr>
        <w:t>racją</w:t>
      </w:r>
      <w:r w:rsidRPr="00BF1AA9">
        <w:rPr>
          <w:rFonts w:ascii="Times New Roman" w:eastAsia="Calibri" w:hAnsi="Times New Roman" w:cs="Times New Roman"/>
          <w:noProof/>
          <w:sz w:val="24"/>
          <w:szCs w:val="24"/>
          <w:vertAlign w:val="superscript"/>
        </w:rPr>
        <w:footnoteReference w:id="44"/>
      </w:r>
      <w:r w:rsidRPr="00BF1AA9">
        <w:rPr>
          <w:rFonts w:ascii="Times New Roman" w:hAnsi="Times New Roman"/>
          <w:noProof/>
          <w:sz w:val="24"/>
        </w:rPr>
        <w:t>.</w:t>
      </w:r>
    </w:p>
    <w:p w14:paraId="4104B1E1" w14:textId="77777777" w:rsidR="00F5602F" w:rsidRPr="00BF1AA9" w:rsidRDefault="00F5602F" w:rsidP="00377968">
      <w:pPr>
        <w:spacing w:after="200" w:line="276" w:lineRule="auto"/>
        <w:contextualSpacing/>
        <w:jc w:val="both"/>
        <w:rPr>
          <w:rFonts w:ascii="Times New Roman" w:eastAsia="Calibri" w:hAnsi="Times New Roman" w:cs="Times New Roman"/>
          <w:noProof/>
          <w:sz w:val="24"/>
          <w:szCs w:val="24"/>
        </w:rPr>
      </w:pPr>
    </w:p>
    <w:p w14:paraId="6C28E1B9"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rPr>
      </w:pPr>
      <w:r w:rsidRPr="00BF1AA9">
        <w:rPr>
          <w:rFonts w:ascii="Times New Roman" w:hAnsi="Times New Roman"/>
          <w:noProof/>
          <w:sz w:val="24"/>
          <w:u w:val="single"/>
        </w:rPr>
        <w:t>Wytyczne strategiczne</w:t>
      </w:r>
    </w:p>
    <w:p w14:paraId="77686001"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lang w:eastAsia="en-GB"/>
        </w:rPr>
      </w:pPr>
    </w:p>
    <w:p w14:paraId="7A37F27B" w14:textId="7872DC3D" w:rsidR="00F5602F" w:rsidRPr="00BF1AA9"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Europejska Straż Graniczna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ybrzeżna powinna we wszystkich działaniach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postępować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 xml:space="preserve">yjętą przez zarząd Fronteksu </w:t>
      </w:r>
      <w:r w:rsidRPr="00BF1AA9">
        <w:rPr>
          <w:rFonts w:ascii="Times New Roman" w:hAnsi="Times New Roman"/>
          <w:b/>
          <w:bCs/>
          <w:noProof/>
          <w:sz w:val="24"/>
        </w:rPr>
        <w:t>strategią</w:t>
      </w:r>
      <w:r w:rsidR="00BF1AA9" w:rsidRPr="00BF1AA9">
        <w:rPr>
          <w:rFonts w:ascii="Times New Roman" w:hAnsi="Times New Roman"/>
          <w:b/>
          <w:bCs/>
          <w:noProof/>
          <w:sz w:val="24"/>
        </w:rPr>
        <w:t xml:space="preserve"> w</w:t>
      </w:r>
      <w:r w:rsidR="00BF1AA9">
        <w:rPr>
          <w:rFonts w:ascii="Times New Roman" w:hAnsi="Times New Roman"/>
          <w:b/>
          <w:bCs/>
          <w:noProof/>
          <w:sz w:val="24"/>
        </w:rPr>
        <w:t> </w:t>
      </w:r>
      <w:r w:rsidR="00BF1AA9" w:rsidRPr="00BF1AA9">
        <w:rPr>
          <w:rFonts w:ascii="Times New Roman" w:hAnsi="Times New Roman"/>
          <w:b/>
          <w:bCs/>
          <w:noProof/>
          <w:sz w:val="24"/>
        </w:rPr>
        <w:t>zak</w:t>
      </w:r>
      <w:r w:rsidRPr="00BF1AA9">
        <w:rPr>
          <w:rFonts w:ascii="Times New Roman" w:hAnsi="Times New Roman"/>
          <w:b/>
          <w:bCs/>
          <w:noProof/>
          <w:sz w:val="24"/>
        </w:rPr>
        <w:t>resie praw podstawowych</w:t>
      </w:r>
      <w:r w:rsidRPr="00BF1AA9">
        <w:rPr>
          <w:rStyle w:val="FootnoteReference"/>
          <w:rFonts w:ascii="Times New Roman" w:eastAsia="Calibri" w:hAnsi="Times New Roman" w:cs="Times New Roman"/>
          <w:noProof/>
          <w:sz w:val="24"/>
          <w:szCs w:val="24"/>
        </w:rPr>
        <w:footnoteReference w:id="45"/>
      </w:r>
      <w:r w:rsidRPr="00BF1AA9">
        <w:rPr>
          <w:rFonts w:ascii="Times New Roman" w:hAnsi="Times New Roman"/>
          <w:b/>
          <w:bCs/>
          <w:noProof/>
          <w:sz w:val="24"/>
        </w:rPr>
        <w:t xml:space="preserve"> oraz towarzyszącym jej planem działania</w:t>
      </w:r>
      <w:r w:rsidRPr="00BF1AA9">
        <w:rPr>
          <w:rStyle w:val="FootnoteReference"/>
          <w:rFonts w:ascii="Times New Roman" w:eastAsia="Calibri" w:hAnsi="Times New Roman" w:cs="Times New Roman"/>
          <w:noProof/>
          <w:sz w:val="24"/>
          <w:szCs w:val="24"/>
        </w:rPr>
        <w:footnoteReference w:id="46"/>
      </w:r>
      <w:r w:rsidRPr="00BF1AA9">
        <w:rPr>
          <w:rFonts w:ascii="Times New Roman" w:hAnsi="Times New Roman"/>
          <w:noProof/>
          <w:sz w:val="24"/>
        </w:rPr>
        <w:t>. Na szczeblu krajowym cel ten można osiągnąć przez opracowanie dostosowanej do potrzeb krajowej strategii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pla</w:t>
      </w:r>
      <w:r w:rsidRPr="00BF1AA9">
        <w:rPr>
          <w:rFonts w:ascii="Times New Roman" w:hAnsi="Times New Roman"/>
          <w:noProof/>
          <w:sz w:val="24"/>
        </w:rPr>
        <w:t>nu działania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praw podstawowych lub przez ich kompleksowe włączenie do krajowej strategii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EUIBM.</w:t>
      </w:r>
    </w:p>
    <w:p w14:paraId="4F5E5D15" w14:textId="15BD4D58" w:rsidR="00F5602F" w:rsidRPr="00BF1AA9"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Frontex</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 członkowskie powinny wspierać kulturę EUIBM charakteryzującą się przestrzeganiem zobowiązań wynikających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wa UE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wa międzynarodowego,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zasady </w:t>
      </w:r>
      <w:r w:rsidRPr="00BF1AA9">
        <w:rPr>
          <w:rFonts w:ascii="Times New Roman" w:hAnsi="Times New Roman"/>
          <w:i/>
          <w:noProof/>
          <w:sz w:val="24"/>
        </w:rPr>
        <w:t>non-refoulement</w:t>
      </w:r>
      <w:r w:rsidRPr="00BF1AA9">
        <w:rPr>
          <w:rFonts w:ascii="Times New Roman" w:hAnsi="Times New Roman"/>
          <w:noProof/>
          <w:sz w:val="24"/>
        </w:rPr>
        <w:t>, pełnym poszanowaniem praw podstawowych oraz ochroną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pagowaniem zasad równości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nie</w:t>
      </w:r>
      <w:r w:rsidRPr="00BF1AA9">
        <w:rPr>
          <w:rFonts w:ascii="Times New Roman" w:hAnsi="Times New Roman"/>
          <w:noProof/>
          <w:sz w:val="24"/>
        </w:rPr>
        <w:t>dyskryminacji, wzajemnego szacunku, przejrzystości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dob</w:t>
      </w:r>
      <w:r w:rsidRPr="00BF1AA9">
        <w:rPr>
          <w:rFonts w:ascii="Times New Roman" w:hAnsi="Times New Roman"/>
          <w:noProof/>
          <w:sz w:val="24"/>
        </w:rPr>
        <w:t>rej administracji oraz wzajemnej współpracy. Ponieważ poszanowanie praw podstawowych jest horyzontalnym lub przekrojowym elementem europejskiego zintegrowanego zarządzania granicami, Frontex</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wła</w:t>
      </w:r>
      <w:r w:rsidRPr="00BF1AA9">
        <w:rPr>
          <w:rFonts w:ascii="Times New Roman" w:hAnsi="Times New Roman"/>
          <w:noProof/>
          <w:sz w:val="24"/>
        </w:rPr>
        <w:t xml:space="preserve">ściwe organy państw członkowskich powinny uwzględniać </w:t>
      </w:r>
      <w:r w:rsidRPr="00BF1AA9">
        <w:rPr>
          <w:rFonts w:ascii="Times New Roman" w:hAnsi="Times New Roman"/>
          <w:b/>
          <w:noProof/>
          <w:sz w:val="24"/>
        </w:rPr>
        <w:t>gwarancje praw podstawowych we wszystkich swoich działaniach</w:t>
      </w:r>
      <w:r w:rsidRPr="00BF1AA9">
        <w:rPr>
          <w:rFonts w:ascii="Times New Roman" w:hAnsi="Times New Roman"/>
          <w:noProof/>
          <w:sz w:val="24"/>
        </w:rPr>
        <w:t>,</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ałaniach operacyjnych, analizach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oce</w:t>
      </w:r>
      <w:r w:rsidRPr="00BF1AA9">
        <w:rPr>
          <w:rFonts w:ascii="Times New Roman" w:hAnsi="Times New Roman"/>
          <w:noProof/>
          <w:sz w:val="24"/>
        </w:rPr>
        <w:t>nach ryzyka, działaniach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pla</w:t>
      </w:r>
      <w:r w:rsidRPr="00BF1AA9">
        <w:rPr>
          <w:rFonts w:ascii="Times New Roman" w:hAnsi="Times New Roman"/>
          <w:noProof/>
          <w:sz w:val="24"/>
        </w:rPr>
        <w:t>nowaniem, działaniach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rotami, szkoleniach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woju,</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we współpracy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taktach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par</w:t>
      </w:r>
      <w:r w:rsidRPr="00BF1AA9">
        <w:rPr>
          <w:rFonts w:ascii="Times New Roman" w:hAnsi="Times New Roman"/>
          <w:noProof/>
          <w:sz w:val="24"/>
        </w:rPr>
        <w:t>tnerami zewnętrznymi. Ponadto Frontex</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 członkowskie powinny działać przy pełnym poszanowaniu praw podstawowych podczas całego cyklu operacyjnego wszystkich działań</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zarządzania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ałań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rotami.</w:t>
      </w:r>
    </w:p>
    <w:p w14:paraId="7225C6F7" w14:textId="260EF601" w:rsidR="00F5602F" w:rsidRPr="00BF1AA9"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Szczególną uwagę należy zwrócić na prawa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pot</w:t>
      </w:r>
      <w:r w:rsidRPr="00BF1AA9">
        <w:rPr>
          <w:rFonts w:ascii="Times New Roman" w:hAnsi="Times New Roman"/>
          <w:noProof/>
          <w:sz w:val="24"/>
        </w:rPr>
        <w:t>rzeby osób lub grup wymagających szczególnego traktowania oraz osób</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zególnie trudnej sytuacji,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dzieci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mał</w:t>
      </w:r>
      <w:r w:rsidRPr="00BF1AA9">
        <w:rPr>
          <w:rFonts w:ascii="Times New Roman" w:hAnsi="Times New Roman"/>
          <w:noProof/>
          <w:sz w:val="24"/>
        </w:rPr>
        <w:t>oletnich bez opieki. Należy położyć nacisk na rozwój zdolności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wczesnej identyfikacji, wsparcia, mediacji kulturowej, tłumaczeń ustnych oraz odpowiedniego kierowania do mechanizmów dochodzenia roszczeń lub ochrony. Jeżeli chodzi</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eci, Frontex</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 członkowskie powinny zawsze brać pod uwagę najlepszy interes dziecka jako podstawowy czynnik przy podejmowaniu wszelkich decyzji dotyczących dzieci. Państwa członkowskie powinny opracować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wsp</w:t>
      </w:r>
      <w:r w:rsidRPr="00BF1AA9">
        <w:rPr>
          <w:rFonts w:ascii="Times New Roman" w:hAnsi="Times New Roman"/>
          <w:noProof/>
          <w:sz w:val="24"/>
        </w:rPr>
        <w:t>ierać pod względem operacyjnym krajowy mechanizm monitorowania praw podstawowych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odn</w:t>
      </w:r>
      <w:r w:rsidRPr="00BF1AA9">
        <w:rPr>
          <w:rFonts w:ascii="Times New Roman" w:hAnsi="Times New Roman"/>
          <w:noProof/>
          <w:sz w:val="24"/>
        </w:rPr>
        <w:t>iesieniu do zarządzania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rotów. Mechanizm ten powinien dysponować zasobami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zdo</w:t>
      </w:r>
      <w:r w:rsidRPr="00BF1AA9">
        <w:rPr>
          <w:rFonts w:ascii="Times New Roman" w:hAnsi="Times New Roman"/>
          <w:noProof/>
          <w:sz w:val="24"/>
        </w:rPr>
        <w:t>lnościami, aby za jego pośrednictwem możliwe było udzielanie porad</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przestrzegania praw podstawowych, prowadzenie dochodzeń</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domniemanych naruszeń, prowadzenie szkoleń</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resu praw podstawowych, nadzorowanie istniejących mechanizmów odwoławczych (takich jak mechanizmy zgłaszania incydentów lub skargi) lub wnoszenie do nich wkładu,</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zapewnianie ogólnej zgodności operacyjnej działań</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Kar</w:t>
      </w:r>
      <w:r w:rsidRPr="00BF1AA9">
        <w:rPr>
          <w:rFonts w:ascii="Times New Roman" w:hAnsi="Times New Roman"/>
          <w:noProof/>
          <w:sz w:val="24"/>
        </w:rPr>
        <w:t>tą praw podstawowych Unii Europejskiej, prawem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mię</w:t>
      </w:r>
      <w:r w:rsidRPr="00BF1AA9">
        <w:rPr>
          <w:rFonts w:ascii="Times New Roman" w:hAnsi="Times New Roman"/>
          <w:noProof/>
          <w:sz w:val="24"/>
        </w:rPr>
        <w:t>dzynarodowym,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prawami podstawowymi. Należy zachęcać właściwe organy państw członkowskich do wyznaczania punktów kontaktowych ds. praw podstawowych we wszystkich departamentach, aby zapewnić wysoką skuteczność, koordynację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usp</w:t>
      </w:r>
      <w:r w:rsidRPr="00BF1AA9">
        <w:rPr>
          <w:rFonts w:ascii="Times New Roman" w:hAnsi="Times New Roman"/>
          <w:noProof/>
          <w:sz w:val="24"/>
        </w:rPr>
        <w:t>rawnienie doradztwa, szkoleń</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nad</w:t>
      </w:r>
      <w:r w:rsidRPr="00BF1AA9">
        <w:rPr>
          <w:rFonts w:ascii="Times New Roman" w:hAnsi="Times New Roman"/>
          <w:noProof/>
          <w:sz w:val="24"/>
        </w:rPr>
        <w:t>zoru</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praw podstawowych.</w:t>
      </w:r>
    </w:p>
    <w:p w14:paraId="2E4EF7DB" w14:textId="6488F8F8" w:rsidR="00F5602F" w:rsidRPr="00BF1AA9"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b/>
          <w:noProof/>
          <w:sz w:val="24"/>
        </w:rPr>
        <w:t>Obserwatorzy praw podstawowych</w:t>
      </w:r>
      <w:r w:rsidRPr="00BF1AA9">
        <w:rPr>
          <w:rFonts w:ascii="Times New Roman" w:hAnsi="Times New Roman"/>
          <w:noProof/>
          <w:sz w:val="24"/>
        </w:rPr>
        <w:t xml:space="preserve"> mają być aktywnie zaangażowani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och</w:t>
      </w:r>
      <w:r w:rsidRPr="00BF1AA9">
        <w:rPr>
          <w:rFonts w:ascii="Times New Roman" w:hAnsi="Times New Roman"/>
          <w:noProof/>
          <w:sz w:val="24"/>
        </w:rPr>
        <w:t>ronę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pagowanie poszanowania praw podstawowych jako kluczowego składnika wszystkich działań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każdego elementu europejskiego zintegrowanego zarządzania granicami. Obserwatorzy powinni mieć taki sam dostęp do obszarów operacyjnych jak wszyscy oddelegowani pracownicy. Wszyscy obserwatorzy powinni być dostępnymi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aktywnymi źródłami porad, informacji zwrotnych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wsp</w:t>
      </w:r>
      <w:r w:rsidRPr="00BF1AA9">
        <w:rPr>
          <w:rFonts w:ascii="Times New Roman" w:hAnsi="Times New Roman"/>
          <w:noProof/>
          <w:sz w:val="24"/>
        </w:rPr>
        <w:t>arcia we wspólnych wysiłkach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na rzecz przestrzegania prawa UE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pra</w:t>
      </w:r>
      <w:r w:rsidRPr="00BF1AA9">
        <w:rPr>
          <w:rFonts w:ascii="Times New Roman" w:hAnsi="Times New Roman"/>
          <w:noProof/>
          <w:sz w:val="24"/>
        </w:rPr>
        <w:t>wa międzynarodowego,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praw podstawowych.</w:t>
      </w:r>
    </w:p>
    <w:p w14:paraId="2687456E" w14:textId="168FDCF5" w:rsidR="00F5602F" w:rsidRPr="00BF1AA9"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Prawa podstawowe powinny stanowić zasadniczy element programu szkolenia na szczeblu UE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dla wszystkich osób uczestniczących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troli granicznej lub działaniach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rotami. Te działania szkoleniowe powinny koncentrować się na ochronie osób wymagających szczególnego traktowania,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dzieci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mał</w:t>
      </w:r>
      <w:r w:rsidRPr="00BF1AA9">
        <w:rPr>
          <w:rFonts w:ascii="Times New Roman" w:hAnsi="Times New Roman"/>
          <w:noProof/>
          <w:sz w:val="24"/>
        </w:rPr>
        <w:t xml:space="preserve">oletnich bez opieki. </w:t>
      </w:r>
    </w:p>
    <w:p w14:paraId="2E7F61A2" w14:textId="0A6BE4AC" w:rsidR="00F5602F" w:rsidRPr="00BF1AA9" w:rsidRDefault="00F5602F" w:rsidP="00377968">
      <w:pPr>
        <w:numPr>
          <w:ilvl w:val="0"/>
          <w:numId w:val="13"/>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Podczas ocen prowadzonych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zmienionego mechanizmu oceny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mon</w:t>
      </w:r>
      <w:r w:rsidRPr="00BF1AA9">
        <w:rPr>
          <w:rFonts w:ascii="Times New Roman" w:hAnsi="Times New Roman"/>
          <w:noProof/>
          <w:sz w:val="24"/>
        </w:rPr>
        <w:t>itorowania Schengen szczególną uwagę należy zwrócić na weryfikację poszanowania praw podstawowych przy stosowaniu dorobku Schengen.</w:t>
      </w:r>
    </w:p>
    <w:p w14:paraId="67D14111" w14:textId="77777777"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p>
    <w:p w14:paraId="61BA1260" w14:textId="77777777"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 </w:t>
      </w:r>
    </w:p>
    <w:p w14:paraId="3A5FC79D" w14:textId="4A2123E8" w:rsidR="00F5602F" w:rsidRPr="00BF1AA9" w:rsidRDefault="00F5602F" w:rsidP="00377968">
      <w:pPr>
        <w:keepNext/>
        <w:pBdr>
          <w:top w:val="single" w:sz="4" w:space="1" w:color="auto"/>
          <w:left w:val="single" w:sz="4" w:space="4" w:color="auto"/>
          <w:bottom w:val="single" w:sz="4" w:space="1" w:color="auto"/>
          <w:right w:val="single" w:sz="4" w:space="4" w:color="auto"/>
        </w:pBdr>
        <w:shd w:val="clear" w:color="auto" w:fill="EAF1DD"/>
        <w:spacing w:after="0" w:line="240" w:lineRule="auto"/>
        <w:ind w:left="360"/>
        <w:jc w:val="both"/>
        <w:rPr>
          <w:rFonts w:ascii="Times New Roman" w:eastAsia="Times New Roman" w:hAnsi="Times New Roman" w:cs="Times New Roman"/>
          <w:b/>
          <w:noProof/>
          <w:sz w:val="24"/>
          <w:szCs w:val="24"/>
        </w:rPr>
      </w:pPr>
      <w:r w:rsidRPr="00BF1AA9">
        <w:rPr>
          <w:rFonts w:ascii="Times New Roman" w:hAnsi="Times New Roman"/>
          <w:b/>
          <w:noProof/>
          <w:sz w:val="24"/>
        </w:rPr>
        <w:t xml:space="preserve">Element 14: </w:t>
      </w:r>
      <w:r w:rsidRPr="00BF1AA9">
        <w:rPr>
          <w:rFonts w:ascii="Times New Roman" w:hAnsi="Times New Roman"/>
          <w:noProof/>
          <w:sz w:val="24"/>
        </w:rPr>
        <w:t>„Kształcenie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szk</w:t>
      </w:r>
      <w:r w:rsidRPr="00BF1AA9">
        <w:rPr>
          <w:rFonts w:ascii="Times New Roman" w:hAnsi="Times New Roman"/>
          <w:noProof/>
          <w:sz w:val="24"/>
        </w:rPr>
        <w:t>olenia”</w:t>
      </w:r>
      <w:r w:rsidRPr="00BF1AA9">
        <w:rPr>
          <w:rFonts w:ascii="Times New Roman" w:eastAsia="Times New Roman" w:hAnsi="Times New Roman" w:cs="Times New Roman"/>
          <w:i/>
          <w:noProof/>
          <w:sz w:val="24"/>
          <w:szCs w:val="24"/>
          <w:vertAlign w:val="superscript"/>
          <w:lang w:eastAsia="en-GB"/>
        </w:rPr>
        <w:footnoteReference w:id="47"/>
      </w:r>
      <w:r w:rsidRPr="00BF1AA9">
        <w:rPr>
          <w:rFonts w:ascii="Times New Roman" w:hAnsi="Times New Roman"/>
          <w:noProof/>
          <w:sz w:val="24"/>
        </w:rPr>
        <w:t>.</w:t>
      </w:r>
    </w:p>
    <w:p w14:paraId="0779AA9B"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lang w:eastAsia="en-GB"/>
        </w:rPr>
      </w:pPr>
    </w:p>
    <w:p w14:paraId="6192A43E"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rPr>
      </w:pPr>
      <w:r w:rsidRPr="00BF1AA9">
        <w:rPr>
          <w:rFonts w:ascii="Times New Roman" w:hAnsi="Times New Roman"/>
          <w:noProof/>
          <w:sz w:val="24"/>
          <w:u w:val="single"/>
        </w:rPr>
        <w:t>Priorytety polityki</w:t>
      </w:r>
    </w:p>
    <w:p w14:paraId="51B3D79B" w14:textId="77777777" w:rsidR="00F5602F" w:rsidRPr="00BF1AA9" w:rsidRDefault="00F5602F" w:rsidP="00377968">
      <w:pPr>
        <w:spacing w:after="0" w:line="240" w:lineRule="auto"/>
        <w:jc w:val="both"/>
        <w:rPr>
          <w:rFonts w:ascii="Times New Roman" w:eastAsia="Times New Roman" w:hAnsi="Times New Roman" w:cs="Times New Roman"/>
          <w:b/>
          <w:i/>
          <w:noProof/>
          <w:sz w:val="24"/>
          <w:szCs w:val="24"/>
          <w:lang w:eastAsia="en-GB"/>
        </w:rPr>
      </w:pPr>
    </w:p>
    <w:p w14:paraId="7B634386" w14:textId="7DB64FD7" w:rsidR="00F5602F" w:rsidRPr="00BF1AA9" w:rsidRDefault="00F5602F" w:rsidP="00377968">
      <w:pPr>
        <w:spacing w:after="0" w:line="276" w:lineRule="auto"/>
        <w:jc w:val="both"/>
        <w:rPr>
          <w:rFonts w:ascii="Times New Roman" w:eastAsia="Times New Roman" w:hAnsi="Times New Roman" w:cs="Times New Roman"/>
          <w:bCs/>
          <w:noProof/>
          <w:sz w:val="24"/>
          <w:szCs w:val="24"/>
        </w:rPr>
      </w:pPr>
      <w:r w:rsidRPr="00BF1AA9">
        <w:rPr>
          <w:rFonts w:ascii="Times New Roman" w:hAnsi="Times New Roman"/>
          <w:noProof/>
          <w:sz w:val="24"/>
        </w:rPr>
        <w:t>We wszystkich obszarach europejskiego zintegrowanego zarządzania granicami na szczeblu UE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należy zapewnić dostępność wystarczającej liczby kompetentnych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wys</w:t>
      </w:r>
      <w:r w:rsidRPr="00BF1AA9">
        <w:rPr>
          <w:rFonts w:ascii="Times New Roman" w:hAnsi="Times New Roman"/>
          <w:noProof/>
          <w:sz w:val="24"/>
        </w:rPr>
        <w:t>zkolonych pracowników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dro</w:t>
      </w:r>
      <w:r w:rsidRPr="00BF1AA9">
        <w:rPr>
          <w:rFonts w:ascii="Times New Roman" w:hAnsi="Times New Roman"/>
          <w:noProof/>
          <w:sz w:val="24"/>
        </w:rPr>
        <w:t>dze ścisłej współpracy między akademiami szkoleniowymi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stwach członkowskich</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Fro</w:t>
      </w:r>
      <w:r w:rsidRPr="00BF1AA9">
        <w:rPr>
          <w:rFonts w:ascii="Times New Roman" w:hAnsi="Times New Roman"/>
          <w:noProof/>
          <w:sz w:val="24"/>
        </w:rPr>
        <w:t>nteksem.</w:t>
      </w:r>
    </w:p>
    <w:p w14:paraId="2A22734D" w14:textId="77777777" w:rsidR="00F5602F" w:rsidRPr="00BF1AA9" w:rsidRDefault="00F5602F" w:rsidP="00377968">
      <w:pPr>
        <w:spacing w:after="0" w:line="276" w:lineRule="auto"/>
        <w:jc w:val="both"/>
        <w:rPr>
          <w:rFonts w:ascii="Times New Roman" w:eastAsia="Times New Roman" w:hAnsi="Times New Roman" w:cs="Times New Roman"/>
          <w:bCs/>
          <w:noProof/>
          <w:sz w:val="24"/>
          <w:szCs w:val="24"/>
        </w:rPr>
      </w:pPr>
      <w:r w:rsidRPr="00BF1AA9">
        <w:rPr>
          <w:rFonts w:ascii="Times New Roman" w:hAnsi="Times New Roman"/>
          <w:noProof/>
          <w:sz w:val="24"/>
        </w:rPr>
        <w:t xml:space="preserve"> </w:t>
      </w:r>
    </w:p>
    <w:p w14:paraId="06AE2220" w14:textId="2AABF1F3" w:rsidR="00F5602F" w:rsidRPr="00BF1AA9" w:rsidRDefault="00F5602F" w:rsidP="00377968">
      <w:pPr>
        <w:spacing w:after="0" w:line="276" w:lineRule="auto"/>
        <w:jc w:val="both"/>
        <w:rPr>
          <w:rFonts w:ascii="Times New Roman" w:eastAsia="Times New Roman" w:hAnsi="Times New Roman" w:cs="Times New Roman"/>
          <w:bCs/>
          <w:noProof/>
          <w:sz w:val="24"/>
          <w:szCs w:val="24"/>
        </w:rPr>
      </w:pPr>
      <w:r w:rsidRPr="00BF1AA9">
        <w:rPr>
          <w:rFonts w:ascii="Times New Roman" w:hAnsi="Times New Roman"/>
          <w:noProof/>
          <w:sz w:val="24"/>
        </w:rPr>
        <w:t>Kształcenie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szk</w:t>
      </w:r>
      <w:r w:rsidRPr="00BF1AA9">
        <w:rPr>
          <w:rFonts w:ascii="Times New Roman" w:hAnsi="Times New Roman"/>
          <w:noProof/>
          <w:sz w:val="24"/>
        </w:rPr>
        <w:t>olenia powinny opierać się na zharmonizowanych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wys</w:t>
      </w:r>
      <w:r w:rsidRPr="00BF1AA9">
        <w:rPr>
          <w:rFonts w:ascii="Times New Roman" w:hAnsi="Times New Roman"/>
          <w:noProof/>
          <w:sz w:val="24"/>
        </w:rPr>
        <w:t>okiej jakości wspólnych standardach szkoleniowych dla stałej służby, uwzględniających potrzeby operacyjne, zadania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petencje prawne oraz kładących nacisk na jasne zrozumienie wartości zapisanych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Tra</w:t>
      </w:r>
      <w:r w:rsidRPr="00BF1AA9">
        <w:rPr>
          <w:rFonts w:ascii="Times New Roman" w:hAnsi="Times New Roman"/>
          <w:noProof/>
          <w:sz w:val="24"/>
        </w:rPr>
        <w:t>ktatach. Powinny propagować najwyższe standardy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naj</w:t>
      </w:r>
      <w:r w:rsidRPr="00BF1AA9">
        <w:rPr>
          <w:rFonts w:ascii="Times New Roman" w:hAnsi="Times New Roman"/>
          <w:noProof/>
          <w:sz w:val="24"/>
        </w:rPr>
        <w:t>lepsze praktyki podczas wdrażania unijnych przepisów dotyczących granic</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rotów, ze szczególnym naciskiem na odpowiednie informacje na temat ochrony międzynarodowej, ochrony osób wymagających szczególnego traktowania,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dzieci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mał</w:t>
      </w:r>
      <w:r w:rsidRPr="00BF1AA9">
        <w:rPr>
          <w:rFonts w:ascii="Times New Roman" w:hAnsi="Times New Roman"/>
          <w:noProof/>
          <w:sz w:val="24"/>
        </w:rPr>
        <w:t>oletnich bez opieki, oraz na poszanowanie praw podstawowych,</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powinny kształtować wspólną kulturę opartą na poszanowaniu praw podstawowych.</w:t>
      </w:r>
    </w:p>
    <w:p w14:paraId="615FCE3C" w14:textId="77777777" w:rsidR="00F5602F" w:rsidRPr="00BF1AA9" w:rsidRDefault="00F5602F" w:rsidP="00377968">
      <w:pPr>
        <w:spacing w:after="0" w:line="240" w:lineRule="auto"/>
        <w:jc w:val="both"/>
        <w:rPr>
          <w:rFonts w:ascii="Times New Roman" w:eastAsia="Times New Roman" w:hAnsi="Times New Roman" w:cs="Times New Roman"/>
          <w:i/>
          <w:noProof/>
          <w:sz w:val="24"/>
          <w:szCs w:val="24"/>
          <w:lang w:eastAsia="en-GB"/>
        </w:rPr>
      </w:pPr>
    </w:p>
    <w:p w14:paraId="3377BEDF" w14:textId="50998AD2" w:rsidR="00F5602F" w:rsidRPr="00BF1AA9" w:rsidRDefault="00F5602F" w:rsidP="00377968">
      <w:pPr>
        <w:spacing w:after="0" w:line="240" w:lineRule="auto"/>
        <w:jc w:val="both"/>
        <w:rPr>
          <w:rFonts w:ascii="Times New Roman" w:eastAsia="Times New Roman" w:hAnsi="Times New Roman" w:cs="Times New Roman"/>
          <w:noProof/>
          <w:sz w:val="24"/>
          <w:szCs w:val="24"/>
        </w:rPr>
      </w:pPr>
      <w:r w:rsidRPr="00BF1AA9">
        <w:rPr>
          <w:rFonts w:ascii="Times New Roman" w:hAnsi="Times New Roman"/>
          <w:noProof/>
          <w:sz w:val="24"/>
          <w:u w:val="single"/>
        </w:rPr>
        <w:t>Wytyczne strategiczne</w:t>
      </w:r>
    </w:p>
    <w:p w14:paraId="13E23A25" w14:textId="77777777"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p>
    <w:p w14:paraId="68DD5BB4" w14:textId="3FD56871" w:rsidR="00F5602F" w:rsidRPr="00BF1AA9"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Należy dalej rozwijać </w:t>
      </w:r>
      <w:r w:rsidRPr="00BF1AA9">
        <w:rPr>
          <w:rFonts w:ascii="Times New Roman" w:hAnsi="Times New Roman"/>
          <w:b/>
          <w:noProof/>
          <w:sz w:val="24"/>
        </w:rPr>
        <w:t>wspólne podstawowe programy szkoleń</w:t>
      </w:r>
      <w:r w:rsidRPr="00BF1AA9">
        <w:rPr>
          <w:rFonts w:ascii="Times New Roman" w:hAnsi="Times New Roman"/>
          <w:noProof/>
          <w:sz w:val="24"/>
        </w:rPr>
        <w:t xml:space="preserve"> oraz niezbędne narzędzia szkoleniowe na potrzeby zarządzania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dotyczące ochrony dzieci oraz innych osób</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zególnie trudnej sytuacji, wiedzę funkcjonariuszy straży granicznej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wykrywania podczas odprawy granicznej fałszywych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sfa</w:t>
      </w:r>
      <w:r w:rsidRPr="00BF1AA9">
        <w:rPr>
          <w:rFonts w:ascii="Times New Roman" w:hAnsi="Times New Roman"/>
          <w:noProof/>
          <w:sz w:val="24"/>
        </w:rPr>
        <w:t>łszowanych dokumentów,</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oszustów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osó</w:t>
      </w:r>
      <w:r w:rsidRPr="00BF1AA9">
        <w:rPr>
          <w:rFonts w:ascii="Times New Roman" w:hAnsi="Times New Roman"/>
          <w:noProof/>
          <w:sz w:val="24"/>
        </w:rPr>
        <w:t>b upodabniających się do innych, przy czym programy te powinny opierać się na wspólnych ogólnych ramach odniesienia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kwalifikacji opracowanych dla sektora (sektorowe ramy kwalifikacji dla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Produkty te powinny uwzględniać plan działania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zdolności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który jest corocznie zatwierdzany przez zarząd. Program powinien również oferować dodatkowe kursy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sem</w:t>
      </w:r>
      <w:r w:rsidRPr="00BF1AA9">
        <w:rPr>
          <w:rFonts w:ascii="Times New Roman" w:hAnsi="Times New Roman"/>
          <w:noProof/>
          <w:sz w:val="24"/>
        </w:rPr>
        <w:t>inaria szkoleniowe dotyczące zadań</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zintegrowanego zarządzania granicami, zarówno dla stałej służby, jak</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urz</w:t>
      </w:r>
      <w:r w:rsidRPr="00BF1AA9">
        <w:rPr>
          <w:rFonts w:ascii="Times New Roman" w:hAnsi="Times New Roman"/>
          <w:noProof/>
          <w:sz w:val="24"/>
        </w:rPr>
        <w:t>ędników właściwych organów krajowych.</w:t>
      </w:r>
    </w:p>
    <w:p w14:paraId="0F14066C" w14:textId="0DFE8E04" w:rsidR="00F5602F" w:rsidRPr="00BF1AA9"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Frontex,</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jego urzędnik ds. praw podstawowych, powinien</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dal</w:t>
      </w:r>
      <w:r w:rsidRPr="00BF1AA9">
        <w:rPr>
          <w:rFonts w:ascii="Times New Roman" w:hAnsi="Times New Roman"/>
          <w:noProof/>
          <w:sz w:val="24"/>
        </w:rPr>
        <w:t>szym ciągu rozwijać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wzb</w:t>
      </w:r>
      <w:r w:rsidRPr="00BF1AA9">
        <w:rPr>
          <w:rFonts w:ascii="Times New Roman" w:hAnsi="Times New Roman"/>
          <w:noProof/>
          <w:sz w:val="24"/>
        </w:rPr>
        <w:t xml:space="preserve">ogacać </w:t>
      </w:r>
      <w:r w:rsidRPr="00BF1AA9">
        <w:rPr>
          <w:rFonts w:ascii="Times New Roman" w:hAnsi="Times New Roman"/>
          <w:b/>
          <w:noProof/>
          <w:sz w:val="24"/>
        </w:rPr>
        <w:t>specjalne narzędzie szkoleniowe dla Europejskiej Straży Granicznej</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Prz</w:t>
      </w:r>
      <w:r w:rsidRPr="00BF1AA9">
        <w:rPr>
          <w:rFonts w:ascii="Times New Roman" w:hAnsi="Times New Roman"/>
          <w:b/>
          <w:noProof/>
          <w:sz w:val="24"/>
        </w:rPr>
        <w:t>ybrzeżnej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ści</w:t>
      </w:r>
      <w:r w:rsidRPr="00BF1AA9">
        <w:rPr>
          <w:rFonts w:ascii="Times New Roman" w:hAnsi="Times New Roman"/>
          <w:noProof/>
          <w:sz w:val="24"/>
        </w:rPr>
        <w:t>słej współpracy</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członkowskimi, Komisją, FRA, innymi odpowiednimi agencjami UE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zainteresowanymi stronami,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uwz</w:t>
      </w:r>
      <w:r w:rsidRPr="00BF1AA9">
        <w:rPr>
          <w:rFonts w:ascii="Times New Roman" w:hAnsi="Times New Roman"/>
          <w:noProof/>
          <w:sz w:val="24"/>
        </w:rPr>
        <w:t>ględnieniem odpowiednich wyników badań</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naj</w:t>
      </w:r>
      <w:r w:rsidRPr="00BF1AA9">
        <w:rPr>
          <w:rFonts w:ascii="Times New Roman" w:hAnsi="Times New Roman"/>
          <w:noProof/>
          <w:sz w:val="24"/>
        </w:rPr>
        <w:t>lepszych praktyk.</w:t>
      </w:r>
    </w:p>
    <w:p w14:paraId="0E4724A5" w14:textId="08BFC62A" w:rsidR="00F5602F" w:rsidRPr="00BF1AA9"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dal</w:t>
      </w:r>
      <w:r w:rsidRPr="00BF1AA9">
        <w:rPr>
          <w:rFonts w:ascii="Times New Roman" w:hAnsi="Times New Roman"/>
          <w:noProof/>
          <w:sz w:val="24"/>
        </w:rPr>
        <w:t xml:space="preserve">szym ciągu rozwijać </w:t>
      </w:r>
      <w:r w:rsidRPr="00BF1AA9">
        <w:rPr>
          <w:rFonts w:ascii="Times New Roman" w:hAnsi="Times New Roman"/>
          <w:b/>
          <w:noProof/>
          <w:sz w:val="24"/>
        </w:rPr>
        <w:t>specjalistyczne działania szkoleniowe</w:t>
      </w:r>
      <w:r w:rsidRPr="00BF1AA9">
        <w:rPr>
          <w:rFonts w:ascii="Times New Roman" w:hAnsi="Times New Roman"/>
          <w:noProof/>
          <w:sz w:val="24"/>
        </w:rPr>
        <w:t xml:space="preserve"> dostosowane do zadań</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upr</w:t>
      </w:r>
      <w:r w:rsidRPr="00BF1AA9">
        <w:rPr>
          <w:rFonts w:ascii="Times New Roman" w:hAnsi="Times New Roman"/>
          <w:noProof/>
          <w:sz w:val="24"/>
        </w:rPr>
        <w:t>awnień członków stałej służby, obserwatorów przymusowego powrotu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erwatorów praw podstawowych, aby zaspokoić potrzeby operacyjne. Funkcjonariusze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poz</w:t>
      </w:r>
      <w:r w:rsidRPr="00BF1AA9">
        <w:rPr>
          <w:rFonts w:ascii="Times New Roman" w:hAnsi="Times New Roman"/>
          <w:noProof/>
          <w:sz w:val="24"/>
        </w:rPr>
        <w:t>ostali członkowie zespołów powinni regularnie uczestniczyć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ćwi</w:t>
      </w:r>
      <w:r w:rsidRPr="00BF1AA9">
        <w:rPr>
          <w:rFonts w:ascii="Times New Roman" w:hAnsi="Times New Roman"/>
          <w:noProof/>
          <w:sz w:val="24"/>
        </w:rPr>
        <w:t>czeniach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har</w:t>
      </w:r>
      <w:r w:rsidRPr="00BF1AA9">
        <w:rPr>
          <w:rFonts w:ascii="Times New Roman" w:hAnsi="Times New Roman"/>
          <w:noProof/>
          <w:sz w:val="24"/>
        </w:rPr>
        <w:t>monogramem specjalistycznego szkolenia.</w:t>
      </w:r>
    </w:p>
    <w:p w14:paraId="5A558563" w14:textId="46A35680" w:rsidR="00F5602F" w:rsidRPr="00BF1AA9"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Wszystkim członkom stałej służby, którzy mają być oddelegowani do działań operacyjnych, niezależnie od ich kategorii, należy zapewnić jednakowy poziom szkoleń</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ochrony granic lub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rotami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Ma to zapewnić, aby wszyscy funkcjonariusze europejskich straży granicznych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ybrzeżnych byli profesjonalistami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uzy</w:t>
      </w:r>
      <w:r w:rsidRPr="00BF1AA9">
        <w:rPr>
          <w:rFonts w:ascii="Times New Roman" w:hAnsi="Times New Roman"/>
          <w:noProof/>
          <w:sz w:val="24"/>
        </w:rPr>
        <w:t>skali odpowiednie przeszkolenie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ich</w:t>
      </w:r>
      <w:r w:rsidRPr="00BF1AA9">
        <w:rPr>
          <w:rFonts w:ascii="Times New Roman" w:hAnsi="Times New Roman"/>
          <w:noProof/>
          <w:sz w:val="24"/>
        </w:rPr>
        <w:t xml:space="preserve"> specjalizacją.</w:t>
      </w:r>
    </w:p>
    <w:p w14:paraId="1DEB10B1" w14:textId="5B1C5F38" w:rsidR="00F5602F" w:rsidRPr="00BF1AA9"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Frontex powinien wdrożyć </w:t>
      </w:r>
      <w:r w:rsidRPr="00BF1AA9">
        <w:rPr>
          <w:rFonts w:ascii="Times New Roman" w:hAnsi="Times New Roman"/>
          <w:b/>
          <w:noProof/>
          <w:sz w:val="24"/>
        </w:rPr>
        <w:t>wewnętrzny mechanizm kontroli jakości</w:t>
      </w:r>
      <w:r w:rsidRPr="00BF1AA9">
        <w:rPr>
          <w:rFonts w:ascii="Times New Roman" w:hAnsi="Times New Roman"/>
          <w:noProof/>
          <w:sz w:val="24"/>
        </w:rPr>
        <w:t xml:space="preserve"> 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eur</w:t>
      </w:r>
      <w:r w:rsidRPr="00BF1AA9">
        <w:rPr>
          <w:rFonts w:ascii="Times New Roman" w:hAnsi="Times New Roman"/>
          <w:noProof/>
          <w:sz w:val="24"/>
        </w:rPr>
        <w:t>opejskimi normami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wyt</w:t>
      </w:r>
      <w:r w:rsidRPr="00BF1AA9">
        <w:rPr>
          <w:rFonts w:ascii="Times New Roman" w:hAnsi="Times New Roman"/>
          <w:noProof/>
          <w:sz w:val="24"/>
        </w:rPr>
        <w:t>ycznymi dotyczącymi kształcenia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szk</w:t>
      </w:r>
      <w:r w:rsidRPr="00BF1AA9">
        <w:rPr>
          <w:rFonts w:ascii="Times New Roman" w:hAnsi="Times New Roman"/>
          <w:noProof/>
          <w:sz w:val="24"/>
        </w:rPr>
        <w:t>olenia, aby zapewnić wysoki poziom szkoleń, wiedzy fachowej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fesjonalizmu personelu statutowego realizującego działania operacyjne Agencji. Stan wdrożenia tego mechanizmu powinien być przedstawiany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roc</w:t>
      </w:r>
      <w:r w:rsidRPr="00BF1AA9">
        <w:rPr>
          <w:rFonts w:ascii="Times New Roman" w:hAnsi="Times New Roman"/>
          <w:noProof/>
          <w:sz w:val="24"/>
        </w:rPr>
        <w:t>znym sprawozdaniu</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oce</w:t>
      </w:r>
      <w:r w:rsidRPr="00BF1AA9">
        <w:rPr>
          <w:rFonts w:ascii="Times New Roman" w:hAnsi="Times New Roman"/>
          <w:noProof/>
          <w:sz w:val="24"/>
        </w:rPr>
        <w:t>ny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zał</w:t>
      </w:r>
      <w:r w:rsidRPr="00BF1AA9">
        <w:rPr>
          <w:rFonts w:ascii="Times New Roman" w:hAnsi="Times New Roman"/>
          <w:noProof/>
          <w:sz w:val="24"/>
        </w:rPr>
        <w:t>ączany do rocznego sprawozdania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ałalności.</w:t>
      </w:r>
    </w:p>
    <w:p w14:paraId="5DEC1517" w14:textId="2621F6FA" w:rsidR="00F5602F" w:rsidRPr="00BF1AA9"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zachęcać do zdobywania wiedzy lub specjalistycznej wiedzy fachowej na podstawie doświadczenia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dob</w:t>
      </w:r>
      <w:r w:rsidRPr="00BF1AA9">
        <w:rPr>
          <w:rFonts w:ascii="Times New Roman" w:hAnsi="Times New Roman"/>
          <w:noProof/>
          <w:sz w:val="24"/>
        </w:rPr>
        <w:t>rych praktyk zdobytych za granicą podczas misji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racji związanych</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 państwie członkowskim. Taką możliwość należy zapewnić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poprzez program wymiany dla funkcjonariuszy straży granicznej uczestniczących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erwencjach powrotowych realizowanych przez Frontex.</w:t>
      </w:r>
    </w:p>
    <w:p w14:paraId="44F1F570" w14:textId="19AF74AC" w:rsidR="00F5602F" w:rsidRPr="00BF1AA9" w:rsidRDefault="00F5602F" w:rsidP="00377968">
      <w:pPr>
        <w:numPr>
          <w:ilvl w:val="0"/>
          <w:numId w:val="14"/>
        </w:numPr>
        <w:spacing w:after="20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Agencja powinna opracować </w:t>
      </w:r>
      <w:r w:rsidRPr="00BF1AA9">
        <w:rPr>
          <w:rFonts w:ascii="Times New Roman" w:hAnsi="Times New Roman"/>
          <w:b/>
          <w:noProof/>
          <w:sz w:val="24"/>
        </w:rPr>
        <w:t>trwałą</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kom</w:t>
      </w:r>
      <w:r w:rsidRPr="00BF1AA9">
        <w:rPr>
          <w:rFonts w:ascii="Times New Roman" w:hAnsi="Times New Roman"/>
          <w:b/>
          <w:noProof/>
          <w:sz w:val="24"/>
        </w:rPr>
        <w:t>pleksową koncepcję szkolenia</w:t>
      </w:r>
      <w:r w:rsidRPr="00BF1AA9">
        <w:rPr>
          <w:rFonts w:ascii="Times New Roman" w:hAnsi="Times New Roman"/>
          <w:noProof/>
          <w:sz w:val="24"/>
        </w:rPr>
        <w:t>,</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któ</w:t>
      </w:r>
      <w:r w:rsidRPr="00BF1AA9">
        <w:rPr>
          <w:rFonts w:ascii="Times New Roman" w:hAnsi="Times New Roman"/>
          <w:noProof/>
          <w:sz w:val="24"/>
        </w:rPr>
        <w:t>rej należy rozważyć ewentualne utworzenie ośrodka szkoleniowego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Fronteksu,</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należycie uwzględnić</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wyk</w:t>
      </w:r>
      <w:r w:rsidRPr="00BF1AA9">
        <w:rPr>
          <w:rFonts w:ascii="Times New Roman" w:hAnsi="Times New Roman"/>
          <w:noProof/>
          <w:sz w:val="24"/>
        </w:rPr>
        <w:t>orzystać bliższą współpracę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syn</w:t>
      </w:r>
      <w:r w:rsidRPr="00BF1AA9">
        <w:rPr>
          <w:rFonts w:ascii="Times New Roman" w:hAnsi="Times New Roman"/>
          <w:noProof/>
          <w:sz w:val="24"/>
        </w:rPr>
        <w:t>ergie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jowymi instytucjami szkoleniowymi państw członkowskich. Celem jest koordynacja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usp</w:t>
      </w:r>
      <w:r w:rsidRPr="00BF1AA9">
        <w:rPr>
          <w:rFonts w:ascii="Times New Roman" w:hAnsi="Times New Roman"/>
          <w:noProof/>
          <w:sz w:val="24"/>
        </w:rPr>
        <w:t>rawnienie rozwoju, realizacji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cer</w:t>
      </w:r>
      <w:r w:rsidRPr="00BF1AA9">
        <w:rPr>
          <w:rFonts w:ascii="Times New Roman" w:hAnsi="Times New Roman"/>
          <w:noProof/>
          <w:sz w:val="24"/>
        </w:rPr>
        <w:t>tyfikacji kształcenia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szk</w:t>
      </w:r>
      <w:r w:rsidRPr="00BF1AA9">
        <w:rPr>
          <w:rFonts w:ascii="Times New Roman" w:hAnsi="Times New Roman"/>
          <w:noProof/>
          <w:sz w:val="24"/>
        </w:rPr>
        <w:t>olenia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opa</w:t>
      </w:r>
      <w:r w:rsidRPr="00BF1AA9">
        <w:rPr>
          <w:rFonts w:ascii="Times New Roman" w:hAnsi="Times New Roman"/>
          <w:noProof/>
          <w:sz w:val="24"/>
        </w:rPr>
        <w:t>rciu</w:t>
      </w:r>
      <w:r w:rsidR="00BF1AA9" w:rsidRPr="00BF1AA9">
        <w:rPr>
          <w:rFonts w:ascii="Times New Roman" w:hAnsi="Times New Roman"/>
          <w:noProof/>
          <w:sz w:val="24"/>
        </w:rPr>
        <w:t xml:space="preserve"> o</w:t>
      </w:r>
      <w:r w:rsidR="00BF1AA9">
        <w:rPr>
          <w:rFonts w:ascii="Times New Roman" w:hAnsi="Times New Roman"/>
          <w:noProof/>
          <w:sz w:val="24"/>
        </w:rPr>
        <w:t> </w:t>
      </w:r>
      <w:r w:rsidR="00BF1AA9" w:rsidRPr="00BF1AA9">
        <w:rPr>
          <w:rFonts w:ascii="Times New Roman" w:hAnsi="Times New Roman"/>
          <w:noProof/>
          <w:sz w:val="24"/>
        </w:rPr>
        <w:t>eur</w:t>
      </w:r>
      <w:r w:rsidRPr="00BF1AA9">
        <w:rPr>
          <w:rFonts w:ascii="Times New Roman" w:hAnsi="Times New Roman"/>
          <w:noProof/>
          <w:sz w:val="24"/>
        </w:rPr>
        <w:t>opejskie normy zapewnienia jakości,</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dalsze ułatwianie włączania wspólnej kultury europejskiej do organizowanych szkoleń.</w:t>
      </w:r>
    </w:p>
    <w:p w14:paraId="11619A9D" w14:textId="77777777" w:rsidR="00F5602F" w:rsidRPr="00BF1AA9" w:rsidRDefault="00F5602F" w:rsidP="00377968">
      <w:pPr>
        <w:spacing w:after="200" w:line="276" w:lineRule="auto"/>
        <w:ind w:left="360"/>
        <w:contextualSpacing/>
        <w:jc w:val="both"/>
        <w:rPr>
          <w:rFonts w:ascii="Times New Roman" w:eastAsia="Calibri" w:hAnsi="Times New Roman" w:cs="Times New Roman"/>
          <w:noProof/>
          <w:sz w:val="24"/>
          <w:szCs w:val="24"/>
        </w:rPr>
      </w:pPr>
    </w:p>
    <w:p w14:paraId="6875331A" w14:textId="571C39AE" w:rsidR="00F5602F" w:rsidRPr="00BF1AA9" w:rsidRDefault="00F5602F" w:rsidP="00377968">
      <w:pPr>
        <w:pBdr>
          <w:top w:val="single" w:sz="4" w:space="1" w:color="auto"/>
          <w:left w:val="single" w:sz="4" w:space="4" w:color="auto"/>
          <w:bottom w:val="single" w:sz="4" w:space="1" w:color="auto"/>
          <w:right w:val="single" w:sz="4" w:space="4" w:color="auto"/>
        </w:pBdr>
        <w:shd w:val="clear" w:color="auto" w:fill="EAF1DD"/>
        <w:spacing w:after="0" w:line="240" w:lineRule="auto"/>
        <w:ind w:left="360"/>
        <w:jc w:val="both"/>
        <w:rPr>
          <w:rFonts w:ascii="Times New Roman" w:eastAsia="Times New Roman" w:hAnsi="Times New Roman" w:cs="Times New Roman"/>
          <w:b/>
          <w:noProof/>
          <w:sz w:val="24"/>
          <w:szCs w:val="24"/>
        </w:rPr>
      </w:pPr>
      <w:bookmarkStart w:id="3" w:name="_Hlk121393818"/>
      <w:bookmarkStart w:id="4" w:name="_Hlk121491775"/>
      <w:r w:rsidRPr="00BF1AA9">
        <w:rPr>
          <w:rFonts w:ascii="Times New Roman" w:hAnsi="Times New Roman"/>
          <w:b/>
          <w:noProof/>
          <w:sz w:val="24"/>
        </w:rPr>
        <w:t xml:space="preserve">Element 15: </w:t>
      </w:r>
      <w:r w:rsidRPr="00BF1AA9">
        <w:rPr>
          <w:rFonts w:ascii="Times New Roman" w:hAnsi="Times New Roman"/>
          <w:noProof/>
          <w:sz w:val="24"/>
        </w:rPr>
        <w:t>„Badania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owacje”</w:t>
      </w:r>
      <w:r w:rsidRPr="00BF1AA9">
        <w:rPr>
          <w:noProof/>
          <w:vertAlign w:val="superscript"/>
        </w:rPr>
        <w:footnoteReference w:id="48"/>
      </w:r>
      <w:r w:rsidRPr="00BF1AA9">
        <w:rPr>
          <w:rFonts w:ascii="Times New Roman" w:hAnsi="Times New Roman"/>
          <w:noProof/>
          <w:sz w:val="24"/>
        </w:rPr>
        <w:t>.</w:t>
      </w:r>
    </w:p>
    <w:p w14:paraId="733663E1"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08A29D1D"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Priorytety polityki</w:t>
      </w:r>
    </w:p>
    <w:p w14:paraId="61720413" w14:textId="77777777" w:rsidR="00F5602F" w:rsidRPr="00BF1AA9" w:rsidRDefault="00F5602F" w:rsidP="00377968">
      <w:pPr>
        <w:keepNext/>
        <w:spacing w:after="0" w:line="240" w:lineRule="auto"/>
        <w:jc w:val="both"/>
        <w:rPr>
          <w:rFonts w:ascii="Times New Roman" w:eastAsia="Times New Roman" w:hAnsi="Times New Roman" w:cs="Times New Roman"/>
          <w:i/>
          <w:noProof/>
          <w:sz w:val="24"/>
          <w:szCs w:val="24"/>
          <w:lang w:eastAsia="en-GB"/>
        </w:rPr>
      </w:pPr>
    </w:p>
    <w:p w14:paraId="6E1342FD" w14:textId="675778C7"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Badania naukowe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owacje mają kluczowe znaczenie dla wspierania zintegrowanego zarządzania granicami za pomocą najnowszych rozwiązań, technologii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wie</w:t>
      </w:r>
      <w:r w:rsidRPr="00BF1AA9">
        <w:rPr>
          <w:rFonts w:ascii="Times New Roman" w:hAnsi="Times New Roman"/>
          <w:noProof/>
          <w:sz w:val="24"/>
        </w:rPr>
        <w:t xml:space="preserve">dzy. </w:t>
      </w:r>
    </w:p>
    <w:p w14:paraId="73FDC7F0"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69EC2EE8" w14:textId="1DED3963"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Europejskie badania naukowe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owacje finansowane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kla</w:t>
      </w:r>
      <w:r w:rsidRPr="00BF1AA9">
        <w:rPr>
          <w:rFonts w:ascii="Times New Roman" w:hAnsi="Times New Roman"/>
          <w:noProof/>
          <w:sz w:val="24"/>
        </w:rPr>
        <w:t>stra „Bezpieczeństwo cywilne na rzecz społeczeństwa”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programu „Horyzont Europa” rozwinęły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nad</w:t>
      </w:r>
      <w:r w:rsidRPr="00BF1AA9">
        <w:rPr>
          <w:rFonts w:ascii="Times New Roman" w:hAnsi="Times New Roman"/>
          <w:noProof/>
          <w:sz w:val="24"/>
        </w:rPr>
        <w:t>al rozwijają zdolności wspierające dwanaście elementów tematycznych europejskiego zintegrowanego zarządzania granicami, takie jak zdolność do przeprowadzania kontroli tożsamości, zdrowia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bez</w:t>
      </w:r>
      <w:r w:rsidRPr="00BF1AA9">
        <w:rPr>
          <w:rFonts w:ascii="Times New Roman" w:hAnsi="Times New Roman"/>
          <w:noProof/>
          <w:sz w:val="24"/>
        </w:rPr>
        <w:t>pieczeństwa na granicach, ochrona funkcjonowania strefy Schengen przy jednoczesnym ułatwianiu podróży osobom podróżującym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dob</w:t>
      </w:r>
      <w:r w:rsidRPr="00BF1AA9">
        <w:rPr>
          <w:rFonts w:ascii="Times New Roman" w:hAnsi="Times New Roman"/>
          <w:noProof/>
          <w:sz w:val="24"/>
        </w:rPr>
        <w:t>rej wierze, poszanowanie praw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uwz</w:t>
      </w:r>
      <w:r w:rsidRPr="00BF1AA9">
        <w:rPr>
          <w:rFonts w:ascii="Times New Roman" w:hAnsi="Times New Roman"/>
          <w:noProof/>
          <w:sz w:val="24"/>
        </w:rPr>
        <w:t>ględnianie ewentualnych słabości osób</w:t>
      </w:r>
      <w:r w:rsidRPr="00BF1AA9">
        <w:rPr>
          <w:rStyle w:val="FootnoteReference"/>
          <w:rFonts w:ascii="Times New Roman" w:eastAsia="Times New Roman" w:hAnsi="Times New Roman" w:cs="Times New Roman"/>
          <w:noProof/>
          <w:sz w:val="24"/>
          <w:szCs w:val="24"/>
          <w:lang w:eastAsia="en-GB"/>
        </w:rPr>
        <w:footnoteReference w:id="49"/>
      </w:r>
      <w:r w:rsidRPr="00BF1AA9">
        <w:rPr>
          <w:rFonts w:ascii="Times New Roman" w:hAnsi="Times New Roman"/>
          <w:noProof/>
          <w:sz w:val="24"/>
        </w:rPr>
        <w:t>. Badania naukowe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owacje rozwijają również zdolności do zapewnienia ochrony granic</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zna</w:t>
      </w:r>
      <w:r w:rsidRPr="00BF1AA9">
        <w:rPr>
          <w:rFonts w:ascii="Times New Roman" w:hAnsi="Times New Roman"/>
          <w:noProof/>
          <w:sz w:val="24"/>
        </w:rPr>
        <w:t>jomości sytuacji</w:t>
      </w:r>
      <w:r w:rsidRPr="00BF1AA9">
        <w:rPr>
          <w:rStyle w:val="FootnoteReference"/>
          <w:rFonts w:ascii="Times New Roman" w:eastAsia="Times New Roman" w:hAnsi="Times New Roman" w:cs="Times New Roman"/>
          <w:noProof/>
          <w:sz w:val="24"/>
          <w:szCs w:val="24"/>
          <w:lang w:eastAsia="en-GB"/>
        </w:rPr>
        <w:footnoteReference w:id="50"/>
      </w:r>
      <w:r w:rsidRPr="00BF1AA9">
        <w:rPr>
          <w:rFonts w:ascii="Times New Roman" w:hAnsi="Times New Roman"/>
          <w:noProof/>
          <w:sz w:val="24"/>
        </w:rPr>
        <w:t>; zwalczania oszustw dotyczących tożsamości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estępstw przeciwko wiarygodności dokumentów</w:t>
      </w:r>
      <w:r w:rsidRPr="00BF1AA9">
        <w:rPr>
          <w:rStyle w:val="FootnoteReference"/>
          <w:rFonts w:ascii="Times New Roman" w:eastAsia="Times New Roman" w:hAnsi="Times New Roman" w:cs="Times New Roman"/>
          <w:noProof/>
          <w:sz w:val="24"/>
          <w:szCs w:val="24"/>
          <w:lang w:eastAsia="en-GB"/>
        </w:rPr>
        <w:footnoteReference w:id="51"/>
      </w:r>
      <w:r w:rsidRPr="00BF1AA9">
        <w:rPr>
          <w:rFonts w:ascii="Times New Roman" w:hAnsi="Times New Roman"/>
          <w:noProof/>
          <w:sz w:val="24"/>
        </w:rPr>
        <w:t>; wspierania najnowszych rozwiązań na potrzeby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interoperacyjności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wyd</w:t>
      </w:r>
      <w:r w:rsidRPr="00BF1AA9">
        <w:rPr>
          <w:rFonts w:ascii="Times New Roman" w:hAnsi="Times New Roman"/>
          <w:noProof/>
          <w:sz w:val="24"/>
        </w:rPr>
        <w:t>ajności wymiany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ana</w:t>
      </w:r>
      <w:r w:rsidRPr="00BF1AA9">
        <w:rPr>
          <w:rFonts w:ascii="Times New Roman" w:hAnsi="Times New Roman"/>
          <w:noProof/>
          <w:sz w:val="24"/>
        </w:rPr>
        <w:t>lizy danych w UE</w:t>
      </w:r>
      <w:r w:rsidRPr="00BF1AA9">
        <w:rPr>
          <w:rStyle w:val="FootnoteReference"/>
          <w:rFonts w:ascii="Times New Roman" w:eastAsia="Times New Roman" w:hAnsi="Times New Roman" w:cs="Times New Roman"/>
          <w:noProof/>
          <w:sz w:val="24"/>
          <w:szCs w:val="24"/>
          <w:lang w:eastAsia="en-GB"/>
        </w:rPr>
        <w:footnoteReference w:id="52"/>
      </w:r>
      <w:r w:rsidRPr="00BF1AA9">
        <w:rPr>
          <w:rFonts w:ascii="Times New Roman" w:hAnsi="Times New Roman"/>
          <w:noProof/>
          <w:sz w:val="24"/>
        </w:rPr>
        <w:t>; poprawy wykrywania zagrożeń, reagowania na incydenty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zap</w:t>
      </w:r>
      <w:r w:rsidRPr="00BF1AA9">
        <w:rPr>
          <w:rFonts w:ascii="Times New Roman" w:hAnsi="Times New Roman"/>
          <w:noProof/>
          <w:sz w:val="24"/>
        </w:rPr>
        <w:t>obiegania przestępczości</w:t>
      </w:r>
      <w:r w:rsidRPr="00BF1AA9">
        <w:rPr>
          <w:rStyle w:val="FootnoteReference"/>
          <w:rFonts w:ascii="Times New Roman" w:eastAsia="Times New Roman" w:hAnsi="Times New Roman" w:cs="Times New Roman"/>
          <w:noProof/>
          <w:sz w:val="24"/>
          <w:szCs w:val="24"/>
          <w:lang w:eastAsia="en-GB"/>
        </w:rPr>
        <w:footnoteReference w:id="53"/>
      </w:r>
      <w:r w:rsidRPr="00BF1AA9">
        <w:rPr>
          <w:rFonts w:ascii="Times New Roman" w:hAnsi="Times New Roman"/>
          <w:noProof/>
          <w:sz w:val="24"/>
        </w:rPr>
        <w:t>; zwiększenia europejskich zdolności cywilnych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bezpieczeństwa morskiego,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poszukiwania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rat</w:t>
      </w:r>
      <w:r w:rsidRPr="00BF1AA9">
        <w:rPr>
          <w:rFonts w:ascii="Times New Roman" w:hAnsi="Times New Roman"/>
          <w:noProof/>
          <w:sz w:val="24"/>
        </w:rPr>
        <w:t>ownictwa</w:t>
      </w:r>
      <w:r w:rsidRPr="00BF1AA9">
        <w:rPr>
          <w:rStyle w:val="FootnoteReference"/>
          <w:rFonts w:ascii="Times New Roman" w:eastAsia="Times New Roman" w:hAnsi="Times New Roman" w:cs="Times New Roman"/>
          <w:noProof/>
          <w:sz w:val="24"/>
          <w:szCs w:val="24"/>
          <w:lang w:eastAsia="en-GB"/>
        </w:rPr>
        <w:footnoteReference w:id="54"/>
      </w:r>
      <w:r w:rsidRPr="00BF1AA9">
        <w:rPr>
          <w:noProof/>
        </w:rPr>
        <w:t>.</w:t>
      </w:r>
      <w:r w:rsidRPr="00BF1AA9">
        <w:rPr>
          <w:rFonts w:ascii="Times New Roman" w:hAnsi="Times New Roman"/>
          <w:noProof/>
          <w:sz w:val="24"/>
        </w:rPr>
        <w:t xml:space="preserve"> Mają one również kluczowe znaczenie dla zwalczania zorganizowanych grup przestępczych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ter</w:t>
      </w:r>
      <w:r w:rsidRPr="00BF1AA9">
        <w:rPr>
          <w:rFonts w:ascii="Times New Roman" w:hAnsi="Times New Roman"/>
          <w:noProof/>
          <w:sz w:val="24"/>
        </w:rPr>
        <w:t>rorystów, którzy często sami stosują innowacje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wcz</w:t>
      </w:r>
      <w:r w:rsidRPr="00BF1AA9">
        <w:rPr>
          <w:rFonts w:ascii="Times New Roman" w:hAnsi="Times New Roman"/>
          <w:noProof/>
          <w:sz w:val="24"/>
        </w:rPr>
        <w:t>eśnie przyjmują technologie.</w:t>
      </w:r>
    </w:p>
    <w:p w14:paraId="24D069B4"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6A73D5AF" w14:textId="3A208676" w:rsidR="00F5602F" w:rsidRPr="00BF1AA9" w:rsidRDefault="00F5602F" w:rsidP="00377968">
      <w:pPr>
        <w:spacing w:after="0" w:line="276" w:lineRule="auto"/>
        <w:jc w:val="both"/>
        <w:rPr>
          <w:rFonts w:ascii="Times New Roman" w:eastAsia="Times New Roman" w:hAnsi="Times New Roman" w:cs="Times New Roman"/>
          <w:noProof/>
          <w:sz w:val="24"/>
          <w:szCs w:val="24"/>
        </w:rPr>
      </w:pPr>
      <w:r w:rsidRPr="00BF1AA9">
        <w:rPr>
          <w:rFonts w:ascii="Times New Roman" w:hAnsi="Times New Roman"/>
          <w:noProof/>
          <w:sz w:val="24"/>
        </w:rPr>
        <w:t>Badania naukowe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zarządzania granicami są również istotne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pun</w:t>
      </w:r>
      <w:r w:rsidRPr="00BF1AA9">
        <w:rPr>
          <w:rFonts w:ascii="Times New Roman" w:hAnsi="Times New Roman"/>
          <w:noProof/>
          <w:sz w:val="24"/>
        </w:rPr>
        <w:t>ktu widzenia europejskiej otwartej strategicznej autonomii,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zarach technologii krytycznych określonych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pla</w:t>
      </w:r>
      <w:r w:rsidRPr="00BF1AA9">
        <w:rPr>
          <w:rFonts w:ascii="Times New Roman" w:hAnsi="Times New Roman"/>
          <w:noProof/>
          <w:sz w:val="24"/>
        </w:rPr>
        <w:t>nie działania UE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 xml:space="preserve">resie synergii </w:t>
      </w:r>
      <w:r w:rsidRPr="00BF1AA9">
        <w:rPr>
          <w:rStyle w:val="normaltextrun"/>
          <w:rFonts w:ascii="Times New Roman" w:hAnsi="Times New Roman"/>
          <w:noProof/>
          <w:sz w:val="24"/>
        </w:rPr>
        <w:t>między przemysłem bezpieczeństwa cywilnego, przemysłem obronnym</w:t>
      </w:r>
      <w:r w:rsidR="00BF1AA9" w:rsidRPr="00BF1AA9">
        <w:rPr>
          <w:rStyle w:val="normaltextrun"/>
          <w:rFonts w:ascii="Times New Roman" w:hAnsi="Times New Roman"/>
          <w:noProof/>
          <w:sz w:val="24"/>
        </w:rPr>
        <w:t xml:space="preserve"> i</w:t>
      </w:r>
      <w:r w:rsidR="00BF1AA9">
        <w:rPr>
          <w:rStyle w:val="normaltextrun"/>
          <w:rFonts w:ascii="Times New Roman" w:hAnsi="Times New Roman"/>
          <w:noProof/>
          <w:sz w:val="24"/>
        </w:rPr>
        <w:t> </w:t>
      </w:r>
      <w:r w:rsidR="00BF1AA9" w:rsidRPr="00BF1AA9">
        <w:rPr>
          <w:rStyle w:val="normaltextrun"/>
          <w:rFonts w:ascii="Times New Roman" w:hAnsi="Times New Roman"/>
          <w:noProof/>
          <w:sz w:val="24"/>
        </w:rPr>
        <w:t>prz</w:t>
      </w:r>
      <w:r w:rsidRPr="00BF1AA9">
        <w:rPr>
          <w:rStyle w:val="normaltextrun"/>
          <w:rFonts w:ascii="Times New Roman" w:hAnsi="Times New Roman"/>
          <w:noProof/>
          <w:sz w:val="24"/>
        </w:rPr>
        <w:t>emysłem lotniczym</w:t>
      </w:r>
      <w:r w:rsidR="00BF1AA9" w:rsidRPr="00BF1AA9">
        <w:rPr>
          <w:rStyle w:val="normaltextrun"/>
          <w:rFonts w:ascii="Times New Roman" w:hAnsi="Times New Roman"/>
          <w:noProof/>
          <w:sz w:val="24"/>
        </w:rPr>
        <w:t xml:space="preserve"> i</w:t>
      </w:r>
      <w:r w:rsidR="00BF1AA9">
        <w:rPr>
          <w:rStyle w:val="normaltextrun"/>
          <w:rFonts w:ascii="Times New Roman" w:hAnsi="Times New Roman"/>
          <w:noProof/>
          <w:sz w:val="24"/>
        </w:rPr>
        <w:t> </w:t>
      </w:r>
      <w:r w:rsidR="00BF1AA9" w:rsidRPr="00BF1AA9">
        <w:rPr>
          <w:rStyle w:val="normaltextrun"/>
          <w:rFonts w:ascii="Times New Roman" w:hAnsi="Times New Roman"/>
          <w:noProof/>
          <w:sz w:val="24"/>
        </w:rPr>
        <w:t>kos</w:t>
      </w:r>
      <w:r w:rsidRPr="00BF1AA9">
        <w:rPr>
          <w:rStyle w:val="normaltextrun"/>
          <w:rFonts w:ascii="Times New Roman" w:hAnsi="Times New Roman"/>
          <w:noProof/>
          <w:sz w:val="24"/>
        </w:rPr>
        <w:t>micznym oraz ocenianych przez unijne obserwatorium technologii krytycznych.</w:t>
      </w:r>
    </w:p>
    <w:p w14:paraId="78D99CB9"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4F5E529A" w14:textId="7BC2273B" w:rsidR="00F5602F" w:rsidRPr="00BF1AA9" w:rsidRDefault="00F5602F" w:rsidP="00377968">
      <w:pPr>
        <w:spacing w:after="0" w:line="276"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rPr>
        <w:t>Na poziomie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 należy zapewnić terminowe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dob</w:t>
      </w:r>
      <w:r w:rsidRPr="00BF1AA9">
        <w:rPr>
          <w:rFonts w:ascii="Times New Roman" w:hAnsi="Times New Roman"/>
          <w:noProof/>
          <w:sz w:val="24"/>
        </w:rPr>
        <w:t>rze skoordynowane inwestycje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bad</w:t>
      </w:r>
      <w:r w:rsidRPr="00BF1AA9">
        <w:rPr>
          <w:rFonts w:ascii="Times New Roman" w:hAnsi="Times New Roman"/>
          <w:noProof/>
          <w:sz w:val="24"/>
        </w:rPr>
        <w:t>ania naukowe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zarządzania granicami</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dotyczy to programu „Horyzont Europa”; Europejskiego Funduszu Rozwoju Regionalnego; badań naukowych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jektów pilotażowych prowadzonych przez Frontex oraz krajowych programów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badań naukowych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owacji. Należy wykorzystać możliwości synergii między unijnymi badaniami naukowymi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owacjami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zarządzania granicami</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ymi unijnymi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jowymi instrumentami wspierającymi europejskich dostawców</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uży</w:t>
      </w:r>
      <w:r w:rsidRPr="00BF1AA9">
        <w:rPr>
          <w:rFonts w:ascii="Times New Roman" w:hAnsi="Times New Roman"/>
          <w:noProof/>
          <w:sz w:val="24"/>
        </w:rPr>
        <w:t>tkowników</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yjmowaniu innowacyjnych rozwiązań</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zarządzania granicami. Oznacza to przede wszystkim Instrument na rzecz Zarządzania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Wiz</w:t>
      </w:r>
      <w:r w:rsidRPr="00BF1AA9">
        <w:rPr>
          <w:rFonts w:ascii="Times New Roman" w:hAnsi="Times New Roman"/>
          <w:noProof/>
          <w:sz w:val="24"/>
        </w:rPr>
        <w:t xml:space="preserve"> (IZGW), ale także takie instrumenty jak Instrument Wsparcia Technicznego czy program „Cyfrowa Europa”.</w:t>
      </w:r>
    </w:p>
    <w:p w14:paraId="7093BF46" w14:textId="77777777" w:rsidR="00F5602F" w:rsidRPr="00BF1AA9" w:rsidRDefault="00F5602F" w:rsidP="00377968">
      <w:pPr>
        <w:spacing w:after="0" w:line="240" w:lineRule="auto"/>
        <w:jc w:val="both"/>
        <w:rPr>
          <w:rFonts w:ascii="Times New Roman" w:eastAsia="Times New Roman" w:hAnsi="Times New Roman" w:cs="Times New Roman"/>
          <w:noProof/>
          <w:sz w:val="24"/>
          <w:szCs w:val="24"/>
          <w:u w:val="single"/>
          <w:lang w:eastAsia="en-GB"/>
        </w:rPr>
      </w:pPr>
    </w:p>
    <w:p w14:paraId="6F1DDEC2"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rPr>
      </w:pPr>
      <w:r w:rsidRPr="00BF1AA9">
        <w:rPr>
          <w:rFonts w:ascii="Times New Roman" w:hAnsi="Times New Roman"/>
          <w:noProof/>
          <w:sz w:val="24"/>
          <w:u w:val="single"/>
        </w:rPr>
        <w:t>Wytyczne strategiczne</w:t>
      </w:r>
    </w:p>
    <w:p w14:paraId="67F79BE8" w14:textId="77777777" w:rsidR="00F5602F" w:rsidRPr="00BF1AA9" w:rsidRDefault="00F5602F" w:rsidP="00377968">
      <w:pPr>
        <w:keepNext/>
        <w:spacing w:after="0" w:line="240" w:lineRule="auto"/>
        <w:jc w:val="both"/>
        <w:rPr>
          <w:rFonts w:ascii="Times New Roman" w:eastAsia="Times New Roman" w:hAnsi="Times New Roman" w:cs="Times New Roman"/>
          <w:noProof/>
          <w:sz w:val="24"/>
          <w:szCs w:val="24"/>
          <w:u w:val="single"/>
          <w:lang w:eastAsia="en-GB"/>
        </w:rPr>
      </w:pPr>
    </w:p>
    <w:p w14:paraId="2124EE9F" w14:textId="222F820D" w:rsidR="00F5602F" w:rsidRPr="00BF1AA9"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rPr>
      </w:pPr>
      <w:r w:rsidRPr="00BF1AA9">
        <w:rPr>
          <w:rFonts w:ascii="Times New Roman" w:hAnsi="Times New Roman"/>
          <w:noProof/>
          <w:sz w:val="24"/>
        </w:rPr>
        <w:t>Operacje zarządzania granicami powinny korzystać</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bad</w:t>
      </w:r>
      <w:r w:rsidRPr="00BF1AA9">
        <w:rPr>
          <w:rFonts w:ascii="Times New Roman" w:hAnsi="Times New Roman"/>
          <w:noProof/>
          <w:sz w:val="24"/>
        </w:rPr>
        <w:t>ań naukowych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owacji oraz powinny być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nic</w:t>
      </w:r>
      <w:r w:rsidRPr="00BF1AA9">
        <w:rPr>
          <w:rFonts w:ascii="Times New Roman" w:hAnsi="Times New Roman"/>
          <w:noProof/>
          <w:sz w:val="24"/>
        </w:rPr>
        <w:t xml:space="preserve">h uwzględnione, aby stać się bardziej </w:t>
      </w:r>
      <w:r w:rsidRPr="00BF1AA9">
        <w:rPr>
          <w:rFonts w:ascii="Times New Roman" w:hAnsi="Times New Roman"/>
          <w:b/>
          <w:noProof/>
          <w:sz w:val="24"/>
        </w:rPr>
        <w:t>interoperacyjne</w:t>
      </w:r>
      <w:r w:rsidRPr="00BF1AA9">
        <w:rPr>
          <w:rFonts w:ascii="Times New Roman" w:hAnsi="Times New Roman"/>
          <w:noProof/>
          <w:sz w:val="24"/>
        </w:rPr>
        <w:t xml:space="preserve">, </w:t>
      </w:r>
      <w:r w:rsidRPr="00BF1AA9">
        <w:rPr>
          <w:rFonts w:ascii="Times New Roman" w:hAnsi="Times New Roman"/>
          <w:b/>
          <w:noProof/>
          <w:sz w:val="24"/>
        </w:rPr>
        <w:t>opłacalne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b/>
          <w:noProof/>
          <w:sz w:val="24"/>
        </w:rPr>
        <w:t>zró</w:t>
      </w:r>
      <w:r w:rsidRPr="00BF1AA9">
        <w:rPr>
          <w:rFonts w:ascii="Times New Roman" w:hAnsi="Times New Roman"/>
          <w:b/>
          <w:noProof/>
          <w:sz w:val="24"/>
        </w:rPr>
        <w:t>wnoważone</w:t>
      </w:r>
      <w:r w:rsidRPr="00BF1AA9">
        <w:rPr>
          <w:rFonts w:ascii="Times New Roman" w:hAnsi="Times New Roman"/>
          <w:noProof/>
          <w:sz w:val="24"/>
        </w:rPr>
        <w:t xml:space="preserve">. Służby graniczne państw członkowskich, Frontex i eu-LISA powinny </w:t>
      </w:r>
      <w:r w:rsidRPr="00BF1AA9">
        <w:rPr>
          <w:rFonts w:ascii="Times New Roman" w:hAnsi="Times New Roman"/>
          <w:b/>
          <w:noProof/>
          <w:sz w:val="24"/>
        </w:rPr>
        <w:t>monitorować</w:t>
      </w:r>
      <w:r w:rsidRPr="00BF1AA9">
        <w:rPr>
          <w:rFonts w:ascii="Times New Roman" w:hAnsi="Times New Roman"/>
          <w:noProof/>
          <w:sz w:val="24"/>
        </w:rPr>
        <w:t xml:space="preserve"> badania naukowe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owacje (prowadzone na poziomie krajowym,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bra</w:t>
      </w:r>
      <w:r w:rsidRPr="00BF1AA9">
        <w:rPr>
          <w:rFonts w:ascii="Times New Roman" w:hAnsi="Times New Roman"/>
          <w:noProof/>
          <w:sz w:val="24"/>
        </w:rPr>
        <w:t>nżowym,</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przez państwa trzecie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e organizacje)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zarach objętych zintegrowanym zarządzaniem granicami, rozwój technologii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ewidywane wyzwania,</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 xml:space="preserve">że wykorzystywać dostępne innowacyjne rozwiązania. </w:t>
      </w:r>
    </w:p>
    <w:p w14:paraId="20E30D59" w14:textId="13F2E8C3" w:rsidR="00F5602F" w:rsidRPr="00BF1AA9" w:rsidRDefault="00F5602F" w:rsidP="00377968">
      <w:pPr>
        <w:numPr>
          <w:ilvl w:val="0"/>
          <w:numId w:val="15"/>
        </w:numPr>
        <w:spacing w:after="0" w:line="276" w:lineRule="auto"/>
        <w:contextualSpacing/>
        <w:jc w:val="both"/>
        <w:rPr>
          <w:rFonts w:ascii="Times New Roman" w:eastAsia="Calibri" w:hAnsi="Times New Roman" w:cs="Times New Roman"/>
          <w:noProof/>
          <w:sz w:val="24"/>
          <w:szCs w:val="24"/>
        </w:rPr>
      </w:pPr>
      <w:r w:rsidRPr="00BF1AA9">
        <w:rPr>
          <w:rFonts w:ascii="Times New Roman" w:hAnsi="Times New Roman"/>
          <w:noProof/>
          <w:sz w:val="24"/>
        </w:rPr>
        <w:t>Należy dalej rozwijać współpracę między agencjami UE</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jed</w:t>
      </w:r>
      <w:r w:rsidRPr="00BF1AA9">
        <w:rPr>
          <w:rFonts w:ascii="Times New Roman" w:hAnsi="Times New Roman"/>
          <w:noProof/>
          <w:sz w:val="24"/>
        </w:rPr>
        <w:t>nostkami ds. badań naukowych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owacji służb granicznych państw członkowskich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obs</w:t>
      </w:r>
      <w:r w:rsidRPr="00BF1AA9">
        <w:rPr>
          <w:rFonts w:ascii="Times New Roman" w:hAnsi="Times New Roman"/>
          <w:noProof/>
          <w:sz w:val="24"/>
        </w:rPr>
        <w:t>zarach priorytetowych,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przez pracę </w:t>
      </w:r>
      <w:r w:rsidRPr="00BF1AA9">
        <w:rPr>
          <w:rFonts w:ascii="Times New Roman" w:hAnsi="Times New Roman"/>
          <w:b/>
          <w:noProof/>
          <w:sz w:val="24"/>
        </w:rPr>
        <w:t>europejskiego centrum innowacji na rzecz bezpieczeństwa wewnętrznego</w:t>
      </w:r>
      <w:r w:rsidRPr="00BF1AA9">
        <w:rPr>
          <w:rFonts w:ascii="Times New Roman" w:hAnsi="Times New Roman"/>
          <w:noProof/>
          <w:sz w:val="24"/>
        </w:rPr>
        <w:t>, które jest siecią współpracy laboratoriów innowacji wspierającą pracę podmiotów bezpieczeństwa wewnętrznego w UE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jej</w:t>
      </w:r>
      <w:r w:rsidRPr="00BF1AA9">
        <w:rPr>
          <w:rFonts w:ascii="Times New Roman" w:hAnsi="Times New Roman"/>
          <w:noProof/>
          <w:sz w:val="24"/>
        </w:rPr>
        <w:t xml:space="preserve"> państwach członkowskich. </w:t>
      </w:r>
    </w:p>
    <w:p w14:paraId="4183E307" w14:textId="3E00FBF4" w:rsidR="00F5602F" w:rsidRPr="00BF1AA9"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rPr>
      </w:pPr>
      <w:r w:rsidRPr="00BF1AA9">
        <w:rPr>
          <w:rFonts w:ascii="Times New Roman" w:hAnsi="Times New Roman"/>
          <w:noProof/>
          <w:sz w:val="24"/>
        </w:rPr>
        <w:t>Planując badania naukowe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zarządzania granicami, Komisja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 xml:space="preserve">stwa członkowskie uwzględnią </w:t>
      </w:r>
      <w:r w:rsidRPr="00BF1AA9">
        <w:rPr>
          <w:rFonts w:ascii="Times New Roman" w:hAnsi="Times New Roman"/>
          <w:b/>
          <w:noProof/>
          <w:sz w:val="24"/>
        </w:rPr>
        <w:t>długoterminowe elementy planu działania</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zak</w:t>
      </w:r>
      <w:r w:rsidRPr="00BF1AA9">
        <w:rPr>
          <w:rFonts w:ascii="Times New Roman" w:hAnsi="Times New Roman"/>
          <w:b/>
          <w:noProof/>
          <w:sz w:val="24"/>
        </w:rPr>
        <w:t>resie zdolności</w:t>
      </w:r>
      <w:r w:rsidRPr="00BF1AA9">
        <w:rPr>
          <w:rFonts w:ascii="Times New Roman" w:hAnsi="Times New Roman"/>
          <w:noProof/>
          <w:sz w:val="24"/>
        </w:rPr>
        <w:t xml:space="preserv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p>
    <w:p w14:paraId="7BA95942" w14:textId="23F78E8F" w:rsidR="00F5602F" w:rsidRPr="00BF1AA9" w:rsidRDefault="00F5602F" w:rsidP="00377968">
      <w:pPr>
        <w:numPr>
          <w:ilvl w:val="0"/>
          <w:numId w:val="15"/>
        </w:numPr>
        <w:spacing w:after="0" w:line="276" w:lineRule="auto"/>
        <w:contextualSpacing/>
        <w:jc w:val="both"/>
        <w:rPr>
          <w:noProof/>
        </w:rPr>
      </w:pPr>
      <w:r w:rsidRPr="00BF1AA9">
        <w:rPr>
          <w:rFonts w:ascii="Times New Roman" w:hAnsi="Times New Roman"/>
          <w:noProof/>
          <w:sz w:val="24"/>
        </w:rPr>
        <w:t>Frontex powinien wspierać państwa członkowskie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isję</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pro</w:t>
      </w:r>
      <w:r w:rsidRPr="00BF1AA9">
        <w:rPr>
          <w:rFonts w:ascii="Times New Roman" w:hAnsi="Times New Roman"/>
          <w:noProof/>
          <w:sz w:val="24"/>
        </w:rPr>
        <w:t>cesie opracowywania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rea</w:t>
      </w:r>
      <w:r w:rsidRPr="00BF1AA9">
        <w:rPr>
          <w:rFonts w:ascii="Times New Roman" w:hAnsi="Times New Roman"/>
          <w:noProof/>
          <w:sz w:val="24"/>
        </w:rPr>
        <w:t>lizacji właściwych programów ramowych Unii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działalności badawczej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owacyjnej związanej ze zintegrowanym zarządzaniem granicami, tj.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 xml:space="preserve">ach klastra </w:t>
      </w:r>
      <w:r w:rsidRPr="00BF1AA9">
        <w:rPr>
          <w:rFonts w:ascii="Times New Roman" w:hAnsi="Times New Roman"/>
          <w:b/>
          <w:noProof/>
          <w:sz w:val="24"/>
        </w:rPr>
        <w:t>„Bezpieczeństwo cywilne na rzecz społeczeństwa”</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ram</w:t>
      </w:r>
      <w:r w:rsidRPr="00BF1AA9">
        <w:rPr>
          <w:rFonts w:ascii="Times New Roman" w:hAnsi="Times New Roman"/>
          <w:b/>
          <w:noProof/>
          <w:sz w:val="24"/>
        </w:rPr>
        <w:t>ach programu „Horyzont Europa”</w:t>
      </w:r>
      <w:r w:rsidRPr="00BF1AA9">
        <w:rPr>
          <w:rFonts w:ascii="Times New Roman" w:hAnsi="Times New Roman"/>
          <w:noProof/>
          <w:sz w:val="24"/>
        </w:rPr>
        <w:t>.</w:t>
      </w:r>
    </w:p>
    <w:p w14:paraId="2AD23163" w14:textId="55CA18A2" w:rsidR="00F5602F" w:rsidRPr="00BF1AA9"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rPr>
      </w:pPr>
      <w:r w:rsidRPr="00BF1AA9">
        <w:rPr>
          <w:rFonts w:ascii="Times New Roman" w:hAnsi="Times New Roman"/>
          <w:noProof/>
          <w:sz w:val="24"/>
        </w:rPr>
        <w:t>Frontex powinien pomagać państwom członkowskim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b/>
          <w:noProof/>
          <w:sz w:val="24"/>
        </w:rPr>
        <w:t>ide</w:t>
      </w:r>
      <w:r w:rsidRPr="00BF1AA9">
        <w:rPr>
          <w:rFonts w:ascii="Times New Roman" w:hAnsi="Times New Roman"/>
          <w:b/>
          <w:noProof/>
          <w:sz w:val="24"/>
        </w:rPr>
        <w:t>ntyfikacji, ocenie</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pro</w:t>
      </w:r>
      <w:r w:rsidRPr="00BF1AA9">
        <w:rPr>
          <w:rFonts w:ascii="Times New Roman" w:hAnsi="Times New Roman"/>
          <w:b/>
          <w:noProof/>
          <w:sz w:val="24"/>
        </w:rPr>
        <w:t>mowaniu przyjmowania</w:t>
      </w:r>
      <w:r w:rsidRPr="00BF1AA9">
        <w:rPr>
          <w:rFonts w:ascii="Times New Roman" w:hAnsi="Times New Roman"/>
          <w:noProof/>
          <w:sz w:val="24"/>
        </w:rPr>
        <w:t xml:space="preserve"> (walidacja, testowanie, transfer, integracja lub wdrożenie) innowacyjnych rozwiązań opracowanych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działań</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resu badań naukowych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przez angażowanie państw członkowskich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sie</w:t>
      </w:r>
      <w:r w:rsidRPr="00BF1AA9">
        <w:rPr>
          <w:rFonts w:ascii="Times New Roman" w:hAnsi="Times New Roman"/>
          <w:noProof/>
          <w:sz w:val="24"/>
        </w:rPr>
        <w:t xml:space="preserve">ci innowacji. </w:t>
      </w:r>
    </w:p>
    <w:p w14:paraId="5CBD78E8" w14:textId="548DDD51" w:rsidR="00F5602F" w:rsidRPr="00BF1AA9"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Komisja będzie </w:t>
      </w:r>
      <w:r w:rsidRPr="00BF1AA9">
        <w:rPr>
          <w:rFonts w:ascii="Times New Roman" w:hAnsi="Times New Roman"/>
          <w:b/>
          <w:noProof/>
          <w:sz w:val="24"/>
        </w:rPr>
        <w:t>propagować wyniki badań naukowych</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inn</w:t>
      </w:r>
      <w:r w:rsidRPr="00BF1AA9">
        <w:rPr>
          <w:rFonts w:ascii="Times New Roman" w:hAnsi="Times New Roman"/>
          <w:b/>
          <w:noProof/>
          <w:sz w:val="24"/>
        </w:rPr>
        <w:t>owacji</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zak</w:t>
      </w:r>
      <w:r w:rsidRPr="00BF1AA9">
        <w:rPr>
          <w:rFonts w:ascii="Times New Roman" w:hAnsi="Times New Roman"/>
          <w:b/>
          <w:noProof/>
          <w:sz w:val="24"/>
        </w:rPr>
        <w:t>resie zarządzania granicami UE</w:t>
      </w:r>
      <w:r w:rsidRPr="00BF1AA9">
        <w:rPr>
          <w:rFonts w:ascii="Times New Roman" w:hAnsi="Times New Roman"/>
          <w:noProof/>
          <w:sz w:val="24"/>
        </w:rPr>
        <w:t>,</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 w</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tekście wspólnoty na rzecz europejskich badań naukowych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edzinie bezpieczeństwa (CERIS) oraz corocznej konferencji dotyczącej badań</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dzi</w:t>
      </w:r>
      <w:r w:rsidRPr="00BF1AA9">
        <w:rPr>
          <w:rFonts w:ascii="Times New Roman" w:hAnsi="Times New Roman"/>
          <w:noProof/>
          <w:sz w:val="24"/>
        </w:rPr>
        <w:t xml:space="preserve">edzinie bezpieczeństwa (SRE). </w:t>
      </w:r>
    </w:p>
    <w:p w14:paraId="6BD4433B" w14:textId="02C4F658" w:rsidR="00F5602F" w:rsidRPr="00BF1AA9"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rPr>
      </w:pPr>
      <w:r w:rsidRPr="00BF1AA9">
        <w:rPr>
          <w:rFonts w:ascii="Times New Roman" w:hAnsi="Times New Roman"/>
          <w:noProof/>
          <w:sz w:val="24"/>
        </w:rPr>
        <w:t>Unijne obserwatorium technologii krytycznych powinno zapewnić monitorowanie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ana</w:t>
      </w:r>
      <w:r w:rsidRPr="00BF1AA9">
        <w:rPr>
          <w:rFonts w:ascii="Times New Roman" w:hAnsi="Times New Roman"/>
          <w:noProof/>
          <w:sz w:val="24"/>
        </w:rPr>
        <w:t>lizę technologii krytycznych dla europejskiego zintegrowanego zarządzania granicami, ich potencjalnych zastosowań, łańcuchów wartości, niezbędnej infrastruktury testowej, istniejących luk</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zal</w:t>
      </w:r>
      <w:r w:rsidRPr="00BF1AA9">
        <w:rPr>
          <w:rFonts w:ascii="Times New Roman" w:hAnsi="Times New Roman"/>
          <w:noProof/>
          <w:sz w:val="24"/>
        </w:rPr>
        <w:t>eżności oraz zapewnić wkład</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pla</w:t>
      </w:r>
      <w:r w:rsidRPr="00BF1AA9">
        <w:rPr>
          <w:rFonts w:ascii="Times New Roman" w:hAnsi="Times New Roman"/>
          <w:noProof/>
          <w:sz w:val="24"/>
        </w:rPr>
        <w:t>ny działania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technologii.</w:t>
      </w:r>
    </w:p>
    <w:p w14:paraId="49241E4D" w14:textId="0F25218F" w:rsidR="00F5602F" w:rsidRPr="00BF1AA9"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rPr>
      </w:pPr>
      <w:r w:rsidRPr="00BF1AA9">
        <w:rPr>
          <w:rFonts w:ascii="Times New Roman" w:hAnsi="Times New Roman"/>
          <w:noProof/>
          <w:sz w:val="24"/>
        </w:rPr>
        <w:t>Innowacyjne rozwiązania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zarządzania granicami, które są wdrażane po zakończeniu działań</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resu badań naukowych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owacji, muszą spełniać wymogi prawa unijnego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jowego; propagować prawa podstawowe podróżnych (zarówno obywateli UE, jak</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oby</w:t>
      </w:r>
      <w:r w:rsidRPr="00BF1AA9">
        <w:rPr>
          <w:rFonts w:ascii="Times New Roman" w:hAnsi="Times New Roman"/>
          <w:noProof/>
          <w:sz w:val="24"/>
        </w:rPr>
        <w:t>wateli państw trzecich)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ich</w:t>
      </w:r>
      <w:r w:rsidRPr="00BF1AA9">
        <w:rPr>
          <w:rFonts w:ascii="Times New Roman" w:hAnsi="Times New Roman"/>
          <w:noProof/>
          <w:sz w:val="24"/>
        </w:rPr>
        <w:t xml:space="preserve"> przestrzegać,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zapewniać ochronę danych osobowych, etykę badań,</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tak</w:t>
      </w:r>
      <w:r w:rsidRPr="00BF1AA9">
        <w:rPr>
          <w:rFonts w:ascii="Times New Roman" w:hAnsi="Times New Roman"/>
          <w:noProof/>
          <w:sz w:val="24"/>
        </w:rPr>
        <w:t>że być zrozumiałe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akc</w:t>
      </w:r>
      <w:r w:rsidRPr="00BF1AA9">
        <w:rPr>
          <w:rFonts w:ascii="Times New Roman" w:hAnsi="Times New Roman"/>
          <w:noProof/>
          <w:sz w:val="24"/>
        </w:rPr>
        <w:t xml:space="preserve">eptowane przez społeczeństwo. </w:t>
      </w:r>
    </w:p>
    <w:p w14:paraId="09AB5129" w14:textId="242AD33E" w:rsidR="00F5602F" w:rsidRPr="00BF1AA9" w:rsidRDefault="00F5602F" w:rsidP="00377968">
      <w:pPr>
        <w:numPr>
          <w:ilvl w:val="0"/>
          <w:numId w:val="15"/>
        </w:numPr>
        <w:spacing w:after="0" w:line="276" w:lineRule="auto"/>
        <w:ind w:left="357" w:hanging="357"/>
        <w:contextualSpacing/>
        <w:jc w:val="both"/>
        <w:rPr>
          <w:rFonts w:ascii="Times New Roman" w:eastAsia="Calibri" w:hAnsi="Times New Roman" w:cs="Times New Roman"/>
          <w:noProof/>
          <w:sz w:val="24"/>
          <w:szCs w:val="24"/>
        </w:rPr>
      </w:pPr>
      <w:r w:rsidRPr="00BF1AA9">
        <w:rPr>
          <w:rFonts w:ascii="Times New Roman" w:hAnsi="Times New Roman"/>
          <w:noProof/>
          <w:sz w:val="24"/>
        </w:rPr>
        <w:t xml:space="preserve">Należy wykorzystać możliwości oferowane przez </w:t>
      </w:r>
      <w:r w:rsidRPr="00BF1AA9">
        <w:rPr>
          <w:rFonts w:ascii="Times New Roman" w:hAnsi="Times New Roman"/>
          <w:b/>
          <w:noProof/>
          <w:sz w:val="24"/>
        </w:rPr>
        <w:t>sztuczną inteligencję</w:t>
      </w:r>
      <w:r w:rsidRPr="00BF1AA9">
        <w:rPr>
          <w:rFonts w:ascii="Times New Roman" w:hAnsi="Times New Roman"/>
          <w:noProof/>
          <w:sz w:val="24"/>
        </w:rPr>
        <w:t xml:space="preserve"> oraz wymieniać rozwiązania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naj</w:t>
      </w:r>
      <w:r w:rsidRPr="00BF1AA9">
        <w:rPr>
          <w:rFonts w:ascii="Times New Roman" w:hAnsi="Times New Roman"/>
          <w:noProof/>
          <w:sz w:val="24"/>
        </w:rPr>
        <w:t>lepsze praktyki. Rozwiązania wykorzystujące sztuczną inteligencję mogą być postrzegane jako wrażliwe, złożone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pot</w:t>
      </w:r>
      <w:r w:rsidRPr="00BF1AA9">
        <w:rPr>
          <w:rFonts w:ascii="Times New Roman" w:hAnsi="Times New Roman"/>
          <w:noProof/>
          <w:sz w:val="24"/>
        </w:rPr>
        <w:t>encjalnie niosące ryzyko. Etyka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wia</w:t>
      </w:r>
      <w:r w:rsidRPr="00BF1AA9">
        <w:rPr>
          <w:rFonts w:ascii="Times New Roman" w:hAnsi="Times New Roman"/>
          <w:noProof/>
          <w:sz w:val="24"/>
        </w:rPr>
        <w:t>rygodność narzędzi sztucznej inteligencji powinny mieć najwyższy priorytet</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fin</w:t>
      </w:r>
      <w:r w:rsidRPr="00BF1AA9">
        <w:rPr>
          <w:rFonts w:ascii="Times New Roman" w:hAnsi="Times New Roman"/>
          <w:noProof/>
          <w:sz w:val="24"/>
        </w:rPr>
        <w:t>ansowanych przez UE badaniach naukowych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owacjach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zarządzania granicami,</w:t>
      </w:r>
      <w:r w:rsidR="00BF1AA9" w:rsidRPr="00BF1AA9">
        <w:rPr>
          <w:rFonts w:ascii="Times New Roman" w:hAnsi="Times New Roman"/>
          <w:noProof/>
          <w:sz w:val="24"/>
        </w:rPr>
        <w:t xml:space="preserve"> a</w:t>
      </w:r>
      <w:r w:rsidR="00BF1AA9">
        <w:rPr>
          <w:rFonts w:ascii="Times New Roman" w:hAnsi="Times New Roman"/>
          <w:noProof/>
          <w:sz w:val="24"/>
        </w:rPr>
        <w:t> </w:t>
      </w:r>
      <w:r w:rsidR="00BF1AA9" w:rsidRPr="00BF1AA9">
        <w:rPr>
          <w:rFonts w:ascii="Times New Roman" w:hAnsi="Times New Roman"/>
          <w:noProof/>
          <w:sz w:val="24"/>
        </w:rPr>
        <w:t>w</w:t>
      </w:r>
      <w:r w:rsidR="00BF1AA9">
        <w:rPr>
          <w:rFonts w:ascii="Times New Roman" w:hAnsi="Times New Roman"/>
          <w:noProof/>
          <w:sz w:val="24"/>
        </w:rPr>
        <w:t> </w:t>
      </w:r>
      <w:r w:rsidR="00BF1AA9" w:rsidRPr="00BF1AA9">
        <w:rPr>
          <w:rFonts w:ascii="Times New Roman" w:hAnsi="Times New Roman"/>
          <w:noProof/>
          <w:sz w:val="24"/>
        </w:rPr>
        <w:t>roz</w:t>
      </w:r>
      <w:r w:rsidRPr="00BF1AA9">
        <w:rPr>
          <w:rFonts w:ascii="Times New Roman" w:hAnsi="Times New Roman"/>
          <w:noProof/>
          <w:sz w:val="24"/>
        </w:rPr>
        <w:t>wiązaniach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zarządzania granicami wykorzystujących sztuczną inteligencję należy stosować wszystkie niezbędne zabezpieczenia,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zabezpieczenia wymagane przez proponowany akt</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sztucznej inteligencji, gdy zostanie zatwierdzony przez współprawodawców.</w:t>
      </w:r>
    </w:p>
    <w:bookmarkEnd w:id="3"/>
    <w:bookmarkEnd w:id="4"/>
    <w:p w14:paraId="0C553590" w14:textId="77777777" w:rsidR="00F5602F" w:rsidRPr="00BF1AA9" w:rsidRDefault="00F5602F" w:rsidP="00377968">
      <w:pPr>
        <w:jc w:val="both"/>
        <w:rPr>
          <w:noProof/>
        </w:rPr>
      </w:pPr>
    </w:p>
    <w:p w14:paraId="3BF49A79" w14:textId="61FE1F82" w:rsidR="00F5602F" w:rsidRPr="00BF1AA9" w:rsidRDefault="00F5602F" w:rsidP="00874A74">
      <w:pPr>
        <w:spacing w:after="200" w:line="276" w:lineRule="auto"/>
        <w:jc w:val="center"/>
        <w:rPr>
          <w:rFonts w:ascii="Calibri Light" w:eastAsia="Times New Roman" w:hAnsi="Calibri Light" w:cs="Times New Roman"/>
          <w:noProof/>
          <w:sz w:val="28"/>
          <w:szCs w:val="28"/>
        </w:rPr>
      </w:pPr>
      <w:r w:rsidRPr="00BF1AA9">
        <w:rPr>
          <w:noProof/>
        </w:rPr>
        <w:br w:type="page"/>
      </w:r>
      <w:r w:rsidRPr="00BF1AA9">
        <w:rPr>
          <w:rFonts w:ascii="Times New Roman" w:hAnsi="Times New Roman"/>
          <w:b/>
          <w:noProof/>
          <w:sz w:val="28"/>
          <w:u w:val="single"/>
        </w:rPr>
        <w:t>ZAŁĄCZNIK II</w:t>
      </w:r>
      <w:r w:rsidRPr="00BF1AA9">
        <w:rPr>
          <w:noProof/>
        </w:rPr>
        <w:t xml:space="preserve"> </w:t>
      </w:r>
      <w:r w:rsidRPr="00BF1AA9">
        <w:rPr>
          <w:noProof/>
        </w:rPr>
        <w:br/>
      </w:r>
      <w:r w:rsidRPr="00BF1AA9">
        <w:rPr>
          <w:rFonts w:ascii="Times New Roman" w:hAnsi="Times New Roman"/>
          <w:b/>
          <w:noProof/>
          <w:sz w:val="28"/>
          <w:u w:val="single"/>
        </w:rPr>
        <w:t>Wdrażanie wieloletniego cyklu polityki</w:t>
      </w:r>
      <w:r w:rsidR="00BF1AA9" w:rsidRPr="00BF1AA9">
        <w:rPr>
          <w:rFonts w:ascii="Times New Roman" w:hAnsi="Times New Roman"/>
          <w:b/>
          <w:noProof/>
          <w:sz w:val="28"/>
          <w:u w:val="single"/>
        </w:rPr>
        <w:t xml:space="preserve"> w</w:t>
      </w:r>
      <w:r w:rsidR="00BF1AA9">
        <w:rPr>
          <w:rFonts w:ascii="Times New Roman" w:hAnsi="Times New Roman"/>
          <w:b/>
          <w:noProof/>
          <w:sz w:val="28"/>
          <w:u w:val="single"/>
        </w:rPr>
        <w:t> </w:t>
      </w:r>
      <w:r w:rsidR="00BF1AA9" w:rsidRPr="00BF1AA9">
        <w:rPr>
          <w:rFonts w:ascii="Times New Roman" w:hAnsi="Times New Roman"/>
          <w:b/>
          <w:noProof/>
          <w:sz w:val="28"/>
          <w:u w:val="single"/>
        </w:rPr>
        <w:t>zak</w:t>
      </w:r>
      <w:r w:rsidRPr="00BF1AA9">
        <w:rPr>
          <w:rFonts w:ascii="Times New Roman" w:hAnsi="Times New Roman"/>
          <w:b/>
          <w:noProof/>
          <w:sz w:val="28"/>
          <w:u w:val="single"/>
        </w:rPr>
        <w:t>resie EUIBM</w:t>
      </w:r>
    </w:p>
    <w:p w14:paraId="31D6E089" w14:textId="77777777" w:rsidR="00F5602F" w:rsidRPr="00BF1AA9" w:rsidRDefault="00F5602F" w:rsidP="00377968">
      <w:pPr>
        <w:spacing w:line="259" w:lineRule="auto"/>
        <w:jc w:val="both"/>
        <w:rPr>
          <w:rFonts w:ascii="Times New Roman" w:eastAsia="Times New Roman" w:hAnsi="Times New Roman" w:cs="Times New Roman"/>
          <w:i/>
          <w:noProof/>
          <w:sz w:val="24"/>
          <w:szCs w:val="24"/>
          <w:lang w:eastAsia="en-GB"/>
        </w:rPr>
      </w:pPr>
    </w:p>
    <w:p w14:paraId="1B70B3AD" w14:textId="3CAAE443" w:rsidR="00F5602F" w:rsidRPr="00BF1AA9" w:rsidRDefault="00F5602F" w:rsidP="00377968">
      <w:pPr>
        <w:spacing w:after="0" w:line="276" w:lineRule="auto"/>
        <w:jc w:val="both"/>
        <w:rPr>
          <w:rFonts w:ascii="Times New Roman" w:eastAsia="Calibri" w:hAnsi="Times New Roman" w:cs="Times New Roman"/>
          <w:noProof/>
          <w:sz w:val="24"/>
          <w:szCs w:val="24"/>
        </w:rPr>
      </w:pPr>
      <w:r w:rsidRPr="00BF1AA9">
        <w:rPr>
          <w:rFonts w:ascii="Times New Roman" w:hAnsi="Times New Roman"/>
          <w:noProof/>
          <w:sz w:val="24"/>
        </w:rPr>
        <w:t>Polityka strategiczna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EUIBM będzie musiała zostać wdrożona za pomocą strategii technicznej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EUIBM przyjętej przez zarząd Fronteksu oraz za pomocą strategii krajowych, które zostaną ustanowione przez państwa członkowskie</w:t>
      </w:r>
      <w:r w:rsidRPr="00BF1AA9">
        <w:rPr>
          <w:rFonts w:ascii="Times New Roman" w:eastAsia="Calibri" w:hAnsi="Times New Roman" w:cs="Times New Roman"/>
          <w:noProof/>
          <w:sz w:val="24"/>
          <w:szCs w:val="24"/>
          <w:vertAlign w:val="superscript"/>
        </w:rPr>
        <w:footnoteReference w:id="55"/>
      </w:r>
      <w:r w:rsidRPr="00BF1AA9">
        <w:rPr>
          <w:rFonts w:ascii="Times New Roman" w:hAnsi="Times New Roman"/>
          <w:noProof/>
          <w:sz w:val="24"/>
        </w:rPr>
        <w:t>. Na rys.</w:t>
      </w:r>
      <w:r w:rsidR="00BF1AA9" w:rsidRPr="00BF1AA9">
        <w:rPr>
          <w:rFonts w:ascii="Times New Roman" w:hAnsi="Times New Roman"/>
          <w:noProof/>
          <w:sz w:val="24"/>
        </w:rPr>
        <w:t> </w:t>
      </w:r>
      <w:r w:rsidRPr="00BF1AA9">
        <w:rPr>
          <w:rFonts w:ascii="Times New Roman" w:hAnsi="Times New Roman"/>
          <w:noProof/>
          <w:sz w:val="24"/>
        </w:rPr>
        <w:t>1 przedstawiono poszczególne etapy wieloletniego cyklu polityki strategicznej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EUIBM.</w:t>
      </w:r>
    </w:p>
    <w:p w14:paraId="4DA9A766" w14:textId="77777777" w:rsidR="00F5602F" w:rsidRPr="00BF1AA9" w:rsidRDefault="00F5602F" w:rsidP="00377968">
      <w:pPr>
        <w:spacing w:line="259" w:lineRule="auto"/>
        <w:jc w:val="both"/>
        <w:rPr>
          <w:rFonts w:ascii="Times New Roman" w:eastAsia="Times New Roman" w:hAnsi="Times New Roman" w:cs="Times New Roman"/>
          <w:i/>
          <w:noProof/>
          <w:sz w:val="24"/>
          <w:szCs w:val="24"/>
          <w:lang w:eastAsia="en-GB"/>
        </w:rPr>
      </w:pPr>
    </w:p>
    <w:p w14:paraId="0087CCB3" w14:textId="0870B0C1" w:rsidR="00F5602F" w:rsidRPr="00BF1AA9" w:rsidRDefault="00F5602F" w:rsidP="00377968">
      <w:pPr>
        <w:spacing w:line="259" w:lineRule="auto"/>
        <w:jc w:val="both"/>
        <w:rPr>
          <w:rFonts w:ascii="Times New Roman" w:eastAsia="Times New Roman" w:hAnsi="Times New Roman" w:cs="Times New Roman"/>
          <w:noProof/>
          <w:color w:val="000000"/>
          <w:sz w:val="24"/>
          <w:szCs w:val="24"/>
          <w:bdr w:val="none" w:sz="0" w:space="0" w:color="auto" w:frame="1"/>
          <w:shd w:val="clear" w:color="auto" w:fill="FFFFFF"/>
        </w:rPr>
      </w:pPr>
      <w:r w:rsidRPr="00BF1AA9">
        <w:rPr>
          <w:rFonts w:ascii="Times New Roman" w:hAnsi="Times New Roman"/>
          <w:i/>
          <w:noProof/>
          <w:sz w:val="24"/>
        </w:rPr>
        <w:t>Rysunek 1: Wieloletni cykl polityki strategicznej</w:t>
      </w:r>
      <w:r w:rsidR="00BF1AA9" w:rsidRPr="00BF1AA9">
        <w:rPr>
          <w:rFonts w:ascii="Times New Roman" w:hAnsi="Times New Roman"/>
          <w:i/>
          <w:noProof/>
          <w:sz w:val="24"/>
        </w:rPr>
        <w:t xml:space="preserve"> w</w:t>
      </w:r>
      <w:r w:rsidR="00BF1AA9">
        <w:rPr>
          <w:rFonts w:ascii="Times New Roman" w:hAnsi="Times New Roman"/>
          <w:i/>
          <w:noProof/>
          <w:sz w:val="24"/>
        </w:rPr>
        <w:t> </w:t>
      </w:r>
      <w:r w:rsidR="00BF1AA9" w:rsidRPr="00BF1AA9">
        <w:rPr>
          <w:rFonts w:ascii="Times New Roman" w:hAnsi="Times New Roman"/>
          <w:i/>
          <w:noProof/>
          <w:sz w:val="24"/>
        </w:rPr>
        <w:t>zak</w:t>
      </w:r>
      <w:r w:rsidRPr="00BF1AA9">
        <w:rPr>
          <w:rFonts w:ascii="Times New Roman" w:hAnsi="Times New Roman"/>
          <w:i/>
          <w:noProof/>
          <w:sz w:val="24"/>
        </w:rPr>
        <w:t>resie EUIBM</w:t>
      </w:r>
    </w:p>
    <w:p w14:paraId="74C49DEE" w14:textId="77777777" w:rsidR="00F5602F" w:rsidRPr="00BF1AA9" w:rsidRDefault="00F5602F" w:rsidP="00377968">
      <w:pPr>
        <w:spacing w:after="0" w:line="276" w:lineRule="auto"/>
        <w:jc w:val="both"/>
        <w:rPr>
          <w:rFonts w:ascii="Times New Roman" w:eastAsia="Times New Roman" w:hAnsi="Times New Roman" w:cs="Times New Roman"/>
          <w:noProof/>
          <w:sz w:val="24"/>
          <w:szCs w:val="24"/>
          <w:lang w:eastAsia="en-GB"/>
        </w:rPr>
      </w:pPr>
    </w:p>
    <w:p w14:paraId="35EBA86D" w14:textId="77777777" w:rsidR="004E2BED" w:rsidRPr="00BF1AA9" w:rsidRDefault="004373E9" w:rsidP="00377968">
      <w:pPr>
        <w:spacing w:after="200" w:line="276" w:lineRule="auto"/>
        <w:jc w:val="both"/>
        <w:rPr>
          <w:noProof/>
        </w:rPr>
      </w:pPr>
      <w:r w:rsidRPr="00BF1AA9">
        <w:rPr>
          <w:noProof/>
          <w:lang w:val="en-GB" w:eastAsia="en-GB"/>
        </w:rPr>
        <w:drawing>
          <wp:inline distT="0" distB="0" distL="0" distR="0" wp14:anchorId="3A78ED01" wp14:editId="4C290CB0">
            <wp:extent cx="5756275" cy="4041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275" cy="4041775"/>
                    </a:xfrm>
                    <a:prstGeom prst="rect">
                      <a:avLst/>
                    </a:prstGeom>
                    <a:noFill/>
                    <a:ln>
                      <a:noFill/>
                    </a:ln>
                  </pic:spPr>
                </pic:pic>
              </a:graphicData>
            </a:graphic>
          </wp:inline>
        </w:drawing>
      </w:r>
    </w:p>
    <w:p w14:paraId="2CA93172" w14:textId="72ED7A37" w:rsidR="00F5602F" w:rsidRPr="00BF1AA9" w:rsidRDefault="00F5602F" w:rsidP="00377968">
      <w:pPr>
        <w:spacing w:after="200" w:line="276" w:lineRule="auto"/>
        <w:ind w:firstLine="720"/>
        <w:jc w:val="both"/>
        <w:rPr>
          <w:rFonts w:ascii="Times New Roman" w:eastAsia="Calibri" w:hAnsi="Times New Roman" w:cs="Times New Roman"/>
          <w:i/>
          <w:noProof/>
          <w:sz w:val="24"/>
          <w:szCs w:val="24"/>
        </w:rPr>
      </w:pPr>
      <w:r w:rsidRPr="00BF1AA9">
        <w:rPr>
          <w:rFonts w:ascii="Times New Roman" w:hAnsi="Times New Roman"/>
          <w:noProof/>
          <w:sz w:val="24"/>
        </w:rPr>
        <w:t xml:space="preserve">a) </w:t>
      </w:r>
      <w:r w:rsidRPr="00BF1AA9">
        <w:rPr>
          <w:rFonts w:ascii="Times New Roman" w:hAnsi="Times New Roman"/>
          <w:i/>
          <w:noProof/>
          <w:sz w:val="24"/>
        </w:rPr>
        <w:t>Strategia techniczna</w:t>
      </w:r>
      <w:r w:rsidR="00BF1AA9" w:rsidRPr="00BF1AA9">
        <w:rPr>
          <w:rFonts w:ascii="Times New Roman" w:hAnsi="Times New Roman"/>
          <w:i/>
          <w:noProof/>
          <w:sz w:val="24"/>
        </w:rPr>
        <w:t xml:space="preserve"> i</w:t>
      </w:r>
      <w:r w:rsidR="00BF1AA9">
        <w:rPr>
          <w:rFonts w:ascii="Times New Roman" w:hAnsi="Times New Roman"/>
          <w:i/>
          <w:noProof/>
          <w:sz w:val="24"/>
        </w:rPr>
        <w:t> </w:t>
      </w:r>
      <w:r w:rsidR="00BF1AA9" w:rsidRPr="00BF1AA9">
        <w:rPr>
          <w:rFonts w:ascii="Times New Roman" w:hAnsi="Times New Roman"/>
          <w:i/>
          <w:noProof/>
          <w:sz w:val="24"/>
        </w:rPr>
        <w:t>ope</w:t>
      </w:r>
      <w:r w:rsidRPr="00BF1AA9">
        <w:rPr>
          <w:rFonts w:ascii="Times New Roman" w:hAnsi="Times New Roman"/>
          <w:i/>
          <w:noProof/>
          <w:sz w:val="24"/>
        </w:rPr>
        <w:t>racyjna</w:t>
      </w:r>
      <w:r w:rsidR="00BF1AA9" w:rsidRPr="00BF1AA9">
        <w:rPr>
          <w:rFonts w:ascii="Times New Roman" w:hAnsi="Times New Roman"/>
          <w:i/>
          <w:noProof/>
          <w:sz w:val="24"/>
        </w:rPr>
        <w:t xml:space="preserve"> w</w:t>
      </w:r>
      <w:r w:rsidR="00BF1AA9">
        <w:rPr>
          <w:rFonts w:ascii="Times New Roman" w:hAnsi="Times New Roman"/>
          <w:i/>
          <w:noProof/>
          <w:sz w:val="24"/>
        </w:rPr>
        <w:t> </w:t>
      </w:r>
      <w:r w:rsidR="00BF1AA9" w:rsidRPr="00BF1AA9">
        <w:rPr>
          <w:rFonts w:ascii="Times New Roman" w:hAnsi="Times New Roman"/>
          <w:i/>
          <w:noProof/>
          <w:sz w:val="24"/>
        </w:rPr>
        <w:t>zak</w:t>
      </w:r>
      <w:r w:rsidRPr="00BF1AA9">
        <w:rPr>
          <w:rFonts w:ascii="Times New Roman" w:hAnsi="Times New Roman"/>
          <w:i/>
          <w:noProof/>
          <w:sz w:val="24"/>
        </w:rPr>
        <w:t>resie europejskiego zintegrowanego zarządzania granicami opracowana przez Frontex</w:t>
      </w:r>
    </w:p>
    <w:p w14:paraId="71DA9FB4" w14:textId="269E2CD5" w:rsidR="00F5602F" w:rsidRPr="00BF1AA9" w:rsidRDefault="00F5602F" w:rsidP="00377968">
      <w:pPr>
        <w:spacing w:after="200" w:line="276" w:lineRule="auto"/>
        <w:jc w:val="both"/>
        <w:rPr>
          <w:rFonts w:ascii="Times New Roman" w:eastAsia="Calibri" w:hAnsi="Times New Roman" w:cs="Times New Roman"/>
          <w:noProof/>
          <w:sz w:val="24"/>
          <w:szCs w:val="24"/>
        </w:rPr>
      </w:pPr>
      <w:r w:rsidRPr="00BF1AA9">
        <w:rPr>
          <w:rFonts w:ascii="Times New Roman" w:hAnsi="Times New Roman"/>
          <w:noProof/>
          <w:sz w:val="24"/>
        </w:rPr>
        <w:t>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8 ust.</w:t>
      </w:r>
      <w:r w:rsidR="00BF1AA9" w:rsidRPr="00BF1AA9">
        <w:rPr>
          <w:rFonts w:ascii="Times New Roman" w:hAnsi="Times New Roman"/>
          <w:noProof/>
          <w:sz w:val="24"/>
        </w:rPr>
        <w:t> </w:t>
      </w:r>
      <w:r w:rsidRPr="00BF1AA9">
        <w:rPr>
          <w:rFonts w:ascii="Times New Roman" w:hAnsi="Times New Roman"/>
          <w:noProof/>
          <w:sz w:val="24"/>
        </w:rPr>
        <w:t>5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Frontex jest odpowiedzialny za ustanowienie, decyzją swojego zarządu podejmowaną na podstawie wniosku dyrektora wykonawczego, strategii technicznej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europejskiego zintegrowanego zarządzania granicami. Strategia ta musi zostać przygotowana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ści</w:t>
      </w:r>
      <w:r w:rsidRPr="00BF1AA9">
        <w:rPr>
          <w:rFonts w:ascii="Times New Roman" w:hAnsi="Times New Roman"/>
          <w:noProof/>
          <w:sz w:val="24"/>
        </w:rPr>
        <w:t>słej współpracy</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stwami członkowskimi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Kom</w:t>
      </w:r>
      <w:r w:rsidRPr="00BF1AA9">
        <w:rPr>
          <w:rFonts w:ascii="Times New Roman" w:hAnsi="Times New Roman"/>
          <w:noProof/>
          <w:sz w:val="24"/>
        </w:rPr>
        <w:t>isją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mus</w:t>
      </w:r>
      <w:r w:rsidRPr="00BF1AA9">
        <w:rPr>
          <w:rFonts w:ascii="Times New Roman" w:hAnsi="Times New Roman"/>
          <w:noProof/>
          <w:sz w:val="24"/>
        </w:rPr>
        <w:t>i być zgodna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3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uza</w:t>
      </w:r>
      <w:r w:rsidRPr="00BF1AA9">
        <w:rPr>
          <w:rFonts w:ascii="Times New Roman" w:hAnsi="Times New Roman"/>
          <w:noProof/>
          <w:sz w:val="24"/>
        </w:rPr>
        <w:t>sadnionych przypadkach Agencja musi wziąć pod uwagę specyficzną sytuację państw członkowskich,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szc</w:t>
      </w:r>
      <w:r w:rsidRPr="00BF1AA9">
        <w:rPr>
          <w:rFonts w:ascii="Times New Roman" w:hAnsi="Times New Roman"/>
          <w:noProof/>
          <w:sz w:val="24"/>
        </w:rPr>
        <w:t>zególności ich położenie geograficzne. Strategia techniczna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racyjna powinna opierać się na niniejszym komunikacie, ale także uwzględniać odpowiednie wymogi obowiązującego prawodawstwa Schengen.</w:t>
      </w:r>
    </w:p>
    <w:tbl>
      <w:tblPr>
        <w:tblStyle w:val="TableGrid1"/>
        <w:tblW w:w="0" w:type="auto"/>
        <w:tblLook w:val="04A0" w:firstRow="1" w:lastRow="0" w:firstColumn="1" w:lastColumn="0" w:noHBand="0" w:noVBand="1"/>
      </w:tblPr>
      <w:tblGrid>
        <w:gridCol w:w="9288"/>
      </w:tblGrid>
      <w:tr w:rsidR="00F5602F" w:rsidRPr="00BF1AA9" w14:paraId="5241C0A4" w14:textId="77777777" w:rsidTr="00A52BB3">
        <w:tc>
          <w:tcPr>
            <w:tcW w:w="9288" w:type="dxa"/>
            <w:tcBorders>
              <w:top w:val="single" w:sz="4" w:space="0" w:color="auto"/>
              <w:left w:val="single" w:sz="4" w:space="0" w:color="auto"/>
              <w:bottom w:val="single" w:sz="4" w:space="0" w:color="auto"/>
              <w:right w:val="single" w:sz="4" w:space="0" w:color="auto"/>
            </w:tcBorders>
            <w:shd w:val="pct25" w:color="auto" w:fill="auto"/>
            <w:hideMark/>
          </w:tcPr>
          <w:p w14:paraId="6B2DAC8E" w14:textId="00D097DE" w:rsidR="00F5602F" w:rsidRPr="00BF1AA9" w:rsidRDefault="00F5602F" w:rsidP="00377968">
            <w:pPr>
              <w:jc w:val="both"/>
              <w:rPr>
                <w:rFonts w:ascii="Times New Roman" w:eastAsia="Calibri" w:hAnsi="Times New Roman" w:cs="Times New Roman"/>
                <w:b/>
                <w:noProof/>
                <w:sz w:val="24"/>
                <w:szCs w:val="24"/>
              </w:rPr>
            </w:pPr>
            <w:r w:rsidRPr="00BF1AA9">
              <w:rPr>
                <w:rFonts w:ascii="Times New Roman" w:hAnsi="Times New Roman"/>
                <w:b/>
                <w:noProof/>
                <w:sz w:val="24"/>
              </w:rPr>
              <w:t>Wymogi dotyczące strategii technicznej</w:t>
            </w:r>
            <w:r w:rsidR="00BF1AA9" w:rsidRPr="00BF1AA9">
              <w:rPr>
                <w:rFonts w:ascii="Times New Roman" w:hAnsi="Times New Roman"/>
                <w:b/>
                <w:noProof/>
                <w:sz w:val="24"/>
              </w:rPr>
              <w:t xml:space="preserve"> i</w:t>
            </w:r>
            <w:r w:rsidR="00BF1AA9">
              <w:rPr>
                <w:rFonts w:ascii="Times New Roman" w:hAnsi="Times New Roman"/>
                <w:b/>
                <w:noProof/>
                <w:sz w:val="24"/>
              </w:rPr>
              <w:t> </w:t>
            </w:r>
            <w:r w:rsidR="00BF1AA9" w:rsidRPr="00BF1AA9">
              <w:rPr>
                <w:rFonts w:ascii="Times New Roman" w:hAnsi="Times New Roman"/>
                <w:b/>
                <w:noProof/>
                <w:sz w:val="24"/>
              </w:rPr>
              <w:t>ope</w:t>
            </w:r>
            <w:r w:rsidRPr="00BF1AA9">
              <w:rPr>
                <w:rFonts w:ascii="Times New Roman" w:hAnsi="Times New Roman"/>
                <w:b/>
                <w:noProof/>
                <w:sz w:val="24"/>
              </w:rPr>
              <w:t>racyjnej</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zak</w:t>
            </w:r>
            <w:r w:rsidRPr="00BF1AA9">
              <w:rPr>
                <w:rFonts w:ascii="Times New Roman" w:hAnsi="Times New Roman"/>
                <w:b/>
                <w:noProof/>
                <w:sz w:val="24"/>
              </w:rPr>
              <w:t>resie europejskiego zintegrowanego zarządzania granicami</w:t>
            </w:r>
          </w:p>
        </w:tc>
      </w:tr>
      <w:tr w:rsidR="00F5602F" w:rsidRPr="00BF1AA9" w14:paraId="59428857" w14:textId="77777777" w:rsidTr="00A52BB3">
        <w:tc>
          <w:tcPr>
            <w:tcW w:w="9288" w:type="dxa"/>
            <w:tcBorders>
              <w:top w:val="single" w:sz="4" w:space="0" w:color="auto"/>
              <w:left w:val="single" w:sz="4" w:space="0" w:color="auto"/>
              <w:bottom w:val="single" w:sz="4" w:space="0" w:color="auto"/>
              <w:right w:val="single" w:sz="4" w:space="0" w:color="auto"/>
            </w:tcBorders>
            <w:hideMark/>
          </w:tcPr>
          <w:p w14:paraId="3F883390" w14:textId="30967F80"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Zarząd Fronteksu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jeg</w:t>
            </w:r>
            <w:r w:rsidRPr="00BF1AA9">
              <w:rPr>
                <w:rFonts w:ascii="Times New Roman" w:hAnsi="Times New Roman"/>
                <w:noProof/>
                <w:sz w:val="24"/>
              </w:rPr>
              <w:t>o specjalna grupa robocza ds. EUIBM powinny nadawać kierunek rozwojowi strategii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jej</w:t>
            </w:r>
            <w:r w:rsidRPr="00BF1AA9">
              <w:rPr>
                <w:rFonts w:ascii="Times New Roman" w:hAnsi="Times New Roman"/>
                <w:noProof/>
                <w:sz w:val="24"/>
              </w:rPr>
              <w:t xml:space="preserve"> realizacji oraz je monitorować.</w:t>
            </w:r>
          </w:p>
          <w:p w14:paraId="672EE8F0" w14:textId="6039F6C7"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Zgodnie</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kon</w:t>
            </w:r>
            <w:r w:rsidRPr="00BF1AA9">
              <w:rPr>
                <w:rFonts w:ascii="Times New Roman" w:hAnsi="Times New Roman"/>
                <w:noProof/>
                <w:sz w:val="24"/>
              </w:rPr>
              <w:t>kluzjami Rady</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2</w:t>
            </w:r>
            <w:r w:rsidRPr="00BF1AA9">
              <w:rPr>
                <w:rFonts w:ascii="Times New Roman" w:hAnsi="Times New Roman"/>
                <w:noProof/>
                <w:sz w:val="24"/>
              </w:rPr>
              <w:t>020</w:t>
            </w:r>
            <w:r w:rsidR="00BF1AA9" w:rsidRPr="00BF1AA9">
              <w:rPr>
                <w:rFonts w:ascii="Times New Roman" w:hAnsi="Times New Roman"/>
                <w:noProof/>
                <w:sz w:val="24"/>
              </w:rPr>
              <w:t> </w:t>
            </w:r>
            <w:r w:rsidRPr="00BF1AA9">
              <w:rPr>
                <w:rFonts w:ascii="Times New Roman" w:hAnsi="Times New Roman"/>
                <w:noProof/>
                <w:sz w:val="24"/>
              </w:rPr>
              <w:t>r. strategia techniczna</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EUIBM powinna opierać się na ustaleniach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zal</w:t>
            </w:r>
            <w:r w:rsidRPr="00BF1AA9">
              <w:rPr>
                <w:rFonts w:ascii="Times New Roman" w:hAnsi="Times New Roman"/>
                <w:noProof/>
                <w:sz w:val="24"/>
              </w:rPr>
              <w:t>eceniach wydanych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tematycznej oceny Schengen za lata 2019–2020 dotyczącej krajowych strategii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 xml:space="preserve">resie EUIBM. </w:t>
            </w:r>
          </w:p>
          <w:p w14:paraId="0DAB1FEC" w14:textId="7796E4E5"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Strategia powinna być skonstruowana wokół 15 elementów określonych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3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w:t>
            </w:r>
          </w:p>
          <w:p w14:paraId="78F46750" w14:textId="6979E5C1"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Strategia powinna być zgodna</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kie</w:t>
            </w:r>
            <w:r w:rsidRPr="00BF1AA9">
              <w:rPr>
                <w:rFonts w:ascii="Times New Roman" w:hAnsi="Times New Roman"/>
                <w:noProof/>
                <w:sz w:val="24"/>
              </w:rPr>
              <w:t>runkiem politycznym nadanym przez instytucje Unii Europejskiej.</w:t>
            </w:r>
          </w:p>
          <w:p w14:paraId="532C6C4F" w14:textId="0568279C"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Jednolita strategia dla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powinna obejmować zarówno Frontex, jak</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jowe organy zarządzania granicami państw członkowskich.</w:t>
            </w:r>
          </w:p>
          <w:p w14:paraId="6A440377" w14:textId="7D143E2D"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Strategia powinna obejmować działania nie tylko na szczeblu UE, ale również na szczeblu krajowym,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działania mające na celu harmonizację praktyk, standaryzację środków technicznych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eroperacyjność</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wym</w:t>
            </w:r>
            <w:r w:rsidRPr="00BF1AA9">
              <w:rPr>
                <w:rFonts w:ascii="Times New Roman" w:hAnsi="Times New Roman"/>
                <w:noProof/>
                <w:sz w:val="24"/>
              </w:rPr>
              <w:t>iarze operacyjnym.</w:t>
            </w:r>
          </w:p>
          <w:p w14:paraId="4E45D43B" w14:textId="64C0FB29"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Strategia powinna obejmować okres pięciu lat,</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uwz</w:t>
            </w:r>
            <w:r w:rsidRPr="00BF1AA9">
              <w:rPr>
                <w:rFonts w:ascii="Times New Roman" w:hAnsi="Times New Roman"/>
                <w:noProof/>
                <w:sz w:val="24"/>
              </w:rPr>
              <w:t>ględnieniem cyklu programowania wieloletnich ram finansowych.</w:t>
            </w:r>
          </w:p>
          <w:p w14:paraId="67EBB9C4" w14:textId="2E180CA6"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Należy do niej dołączyć plan działania określający kluczowe środki, ramy czasowe, cele pośrednie, niezbędne zasoby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ust</w:t>
            </w:r>
            <w:r w:rsidRPr="00BF1AA9">
              <w:rPr>
                <w:rFonts w:ascii="Times New Roman" w:hAnsi="Times New Roman"/>
                <w:noProof/>
                <w:sz w:val="24"/>
              </w:rPr>
              <w:t xml:space="preserve">alenia dotyczące monitorowania. </w:t>
            </w:r>
          </w:p>
        </w:tc>
      </w:tr>
    </w:tbl>
    <w:p w14:paraId="68756046" w14:textId="77777777" w:rsidR="00F5602F" w:rsidRPr="00BF1AA9" w:rsidRDefault="00F5602F" w:rsidP="00377968">
      <w:pPr>
        <w:spacing w:after="200" w:line="276" w:lineRule="auto"/>
        <w:jc w:val="both"/>
        <w:rPr>
          <w:rFonts w:ascii="Times New Roman" w:eastAsia="Calibri" w:hAnsi="Times New Roman" w:cs="Times New Roman"/>
          <w:noProof/>
          <w:sz w:val="24"/>
          <w:szCs w:val="24"/>
        </w:rPr>
      </w:pPr>
    </w:p>
    <w:p w14:paraId="79FB4221" w14:textId="28512944" w:rsidR="00F5602F" w:rsidRPr="00BF1AA9" w:rsidRDefault="00F5602F" w:rsidP="00377968">
      <w:pPr>
        <w:spacing w:after="200" w:line="276" w:lineRule="auto"/>
        <w:jc w:val="both"/>
        <w:rPr>
          <w:rFonts w:ascii="Times New Roman" w:eastAsia="Calibri" w:hAnsi="Times New Roman" w:cs="Times New Roman"/>
          <w:noProof/>
          <w:sz w:val="24"/>
          <w:szCs w:val="24"/>
        </w:rPr>
      </w:pPr>
      <w:r w:rsidRPr="00BF1AA9">
        <w:rPr>
          <w:rFonts w:ascii="Times New Roman" w:hAnsi="Times New Roman"/>
          <w:noProof/>
          <w:sz w:val="24"/>
        </w:rPr>
        <w:t xml:space="preserve">b) </w:t>
      </w:r>
      <w:r w:rsidRPr="00BF1AA9">
        <w:rPr>
          <w:rFonts w:ascii="Times New Roman" w:hAnsi="Times New Roman"/>
          <w:i/>
          <w:noProof/>
          <w:sz w:val="24"/>
        </w:rPr>
        <w:t>Krajowe strategie</w:t>
      </w:r>
      <w:r w:rsidR="00BF1AA9" w:rsidRPr="00BF1AA9">
        <w:rPr>
          <w:rFonts w:ascii="Times New Roman" w:hAnsi="Times New Roman"/>
          <w:i/>
          <w:noProof/>
          <w:sz w:val="24"/>
        </w:rPr>
        <w:t xml:space="preserve"> w</w:t>
      </w:r>
      <w:r w:rsidR="00BF1AA9">
        <w:rPr>
          <w:rFonts w:ascii="Times New Roman" w:hAnsi="Times New Roman"/>
          <w:i/>
          <w:noProof/>
          <w:sz w:val="24"/>
        </w:rPr>
        <w:t> </w:t>
      </w:r>
      <w:r w:rsidR="00BF1AA9" w:rsidRPr="00BF1AA9">
        <w:rPr>
          <w:rFonts w:ascii="Times New Roman" w:hAnsi="Times New Roman"/>
          <w:i/>
          <w:noProof/>
          <w:sz w:val="24"/>
        </w:rPr>
        <w:t>zak</w:t>
      </w:r>
      <w:r w:rsidRPr="00BF1AA9">
        <w:rPr>
          <w:rFonts w:ascii="Times New Roman" w:hAnsi="Times New Roman"/>
          <w:i/>
          <w:noProof/>
          <w:sz w:val="24"/>
        </w:rPr>
        <w:t>resie europejskiego zintegrowanego zarządzania granicami</w:t>
      </w:r>
    </w:p>
    <w:p w14:paraId="3724F0FD" w14:textId="5CB7EF30" w:rsidR="00F5602F" w:rsidRPr="00BF1AA9" w:rsidRDefault="00F5602F" w:rsidP="00377968">
      <w:pPr>
        <w:spacing w:after="200" w:line="276" w:lineRule="auto"/>
        <w:jc w:val="both"/>
        <w:rPr>
          <w:rFonts w:ascii="Times New Roman" w:eastAsia="Calibri" w:hAnsi="Times New Roman" w:cs="Times New Roman"/>
          <w:i/>
          <w:noProof/>
          <w:sz w:val="24"/>
          <w:szCs w:val="24"/>
        </w:rPr>
      </w:pPr>
      <w:r w:rsidRPr="00BF1AA9">
        <w:rPr>
          <w:rFonts w:ascii="Times New Roman" w:hAnsi="Times New Roman"/>
          <w:noProof/>
          <w:sz w:val="24"/>
        </w:rPr>
        <w:t>Na państwach członkowskich spoczywa główna odpowiedzialność za zarządzanie własnymi granicami zewnętrznymi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int</w:t>
      </w:r>
      <w:r w:rsidRPr="00BF1AA9">
        <w:rPr>
          <w:rFonts w:ascii="Times New Roman" w:hAnsi="Times New Roman"/>
          <w:noProof/>
          <w:sz w:val="24"/>
        </w:rPr>
        <w:t>eresie swoim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wsz</w:t>
      </w:r>
      <w:r w:rsidRPr="00BF1AA9">
        <w:rPr>
          <w:rFonts w:ascii="Times New Roman" w:hAnsi="Times New Roman"/>
          <w:noProof/>
          <w:sz w:val="24"/>
        </w:rPr>
        <w:t>ystkich państw członkowskich</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zwi</w:t>
      </w:r>
      <w:r w:rsidRPr="00BF1AA9">
        <w:rPr>
          <w:rFonts w:ascii="Times New Roman" w:hAnsi="Times New Roman"/>
          <w:noProof/>
          <w:sz w:val="24"/>
        </w:rPr>
        <w:t>ązku</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skuteczna realizacja europejskiego zintegrowanego zarządzania granicami wymaga przełożenia strategii ustanowionych na szczeblu UE na szczebel krajowy</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8 ust.</w:t>
      </w:r>
      <w:r w:rsidR="00BF1AA9" w:rsidRPr="00BF1AA9">
        <w:rPr>
          <w:rFonts w:ascii="Times New Roman" w:hAnsi="Times New Roman"/>
          <w:noProof/>
          <w:sz w:val="24"/>
        </w:rPr>
        <w:t> </w:t>
      </w:r>
      <w:r w:rsidRPr="00BF1AA9">
        <w:rPr>
          <w:rFonts w:ascii="Times New Roman" w:hAnsi="Times New Roman"/>
          <w:noProof/>
          <w:sz w:val="24"/>
        </w:rPr>
        <w:t>6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nałożono zatem na państwa członkowskie obowiązek ustanowienia krajowych strategii</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 xml:space="preserve">resie europejskiego zintegrowanego zarządzania granicami. </w:t>
      </w:r>
    </w:p>
    <w:tbl>
      <w:tblPr>
        <w:tblStyle w:val="TableGrid1"/>
        <w:tblW w:w="0" w:type="auto"/>
        <w:tblLook w:val="04A0" w:firstRow="1" w:lastRow="0" w:firstColumn="1" w:lastColumn="0" w:noHBand="0" w:noVBand="1"/>
      </w:tblPr>
      <w:tblGrid>
        <w:gridCol w:w="9133"/>
        <w:gridCol w:w="155"/>
      </w:tblGrid>
      <w:tr w:rsidR="00F5602F" w:rsidRPr="00BF1AA9" w14:paraId="235E8539" w14:textId="77777777" w:rsidTr="00A52BB3">
        <w:trPr>
          <w:gridAfter w:val="1"/>
          <w:wAfter w:w="158" w:type="dxa"/>
        </w:trPr>
        <w:tc>
          <w:tcPr>
            <w:tcW w:w="9288" w:type="dxa"/>
            <w:tcBorders>
              <w:top w:val="single" w:sz="4" w:space="0" w:color="auto"/>
              <w:left w:val="single" w:sz="4" w:space="0" w:color="auto"/>
              <w:bottom w:val="single" w:sz="4" w:space="0" w:color="auto"/>
              <w:right w:val="single" w:sz="4" w:space="0" w:color="auto"/>
            </w:tcBorders>
            <w:shd w:val="pct25" w:color="auto" w:fill="auto"/>
            <w:hideMark/>
          </w:tcPr>
          <w:p w14:paraId="1F3DDD46" w14:textId="169080AC" w:rsidR="00F5602F" w:rsidRPr="00BF1AA9" w:rsidRDefault="00F5602F" w:rsidP="00377968">
            <w:pPr>
              <w:jc w:val="both"/>
              <w:rPr>
                <w:rFonts w:ascii="Times New Roman" w:eastAsia="Calibri" w:hAnsi="Times New Roman" w:cs="Times New Roman"/>
                <w:b/>
                <w:noProof/>
                <w:sz w:val="24"/>
                <w:szCs w:val="24"/>
              </w:rPr>
            </w:pPr>
            <w:r w:rsidRPr="00BF1AA9">
              <w:rPr>
                <w:rFonts w:ascii="Calibri" w:hAnsi="Calibri"/>
                <w:noProof/>
                <w:sz w:val="24"/>
              </w:rPr>
              <w:t xml:space="preserve"> </w:t>
            </w:r>
            <w:r w:rsidRPr="00BF1AA9">
              <w:rPr>
                <w:rFonts w:ascii="Times New Roman" w:hAnsi="Times New Roman"/>
                <w:b/>
                <w:noProof/>
                <w:sz w:val="24"/>
              </w:rPr>
              <w:t>Wymogi dotyczące krajowych strategii</w:t>
            </w:r>
            <w:r w:rsidR="00BF1AA9" w:rsidRPr="00BF1AA9">
              <w:rPr>
                <w:rFonts w:ascii="Times New Roman" w:hAnsi="Times New Roman"/>
                <w:b/>
                <w:noProof/>
                <w:sz w:val="24"/>
              </w:rPr>
              <w:t xml:space="preserve"> w</w:t>
            </w:r>
            <w:r w:rsidR="00BF1AA9">
              <w:rPr>
                <w:rFonts w:ascii="Times New Roman" w:hAnsi="Times New Roman"/>
                <w:b/>
                <w:noProof/>
                <w:sz w:val="24"/>
              </w:rPr>
              <w:t> </w:t>
            </w:r>
            <w:r w:rsidR="00BF1AA9" w:rsidRPr="00BF1AA9">
              <w:rPr>
                <w:rFonts w:ascii="Times New Roman" w:hAnsi="Times New Roman"/>
                <w:b/>
                <w:noProof/>
                <w:sz w:val="24"/>
              </w:rPr>
              <w:t>zak</w:t>
            </w:r>
            <w:r w:rsidRPr="00BF1AA9">
              <w:rPr>
                <w:rFonts w:ascii="Times New Roman" w:hAnsi="Times New Roman"/>
                <w:b/>
                <w:noProof/>
                <w:sz w:val="24"/>
              </w:rPr>
              <w:t xml:space="preserve">resie EUIBM </w:t>
            </w:r>
          </w:p>
        </w:tc>
      </w:tr>
      <w:tr w:rsidR="00F5602F" w:rsidRPr="00BF1AA9" w14:paraId="3190E0CA" w14:textId="77777777" w:rsidTr="00A52BB3">
        <w:tc>
          <w:tcPr>
            <w:tcW w:w="9288" w:type="dxa"/>
            <w:gridSpan w:val="2"/>
            <w:tcBorders>
              <w:top w:val="single" w:sz="4" w:space="0" w:color="auto"/>
              <w:left w:val="single" w:sz="4" w:space="0" w:color="auto"/>
              <w:bottom w:val="single" w:sz="4" w:space="0" w:color="auto"/>
              <w:right w:val="single" w:sz="4" w:space="0" w:color="auto"/>
            </w:tcBorders>
            <w:hideMark/>
          </w:tcPr>
          <w:p w14:paraId="7C29976C" w14:textId="77777777"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W odniesieniu do każdego państwa członkowskiego powinna istnieć jedna strategia krajowa.</w:t>
            </w:r>
          </w:p>
          <w:p w14:paraId="62A30185" w14:textId="49B1B579"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Należy</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nie</w:t>
            </w:r>
            <w:r w:rsidRPr="00BF1AA9">
              <w:rPr>
                <w:rFonts w:ascii="Times New Roman" w:hAnsi="Times New Roman"/>
                <w:noProof/>
                <w:sz w:val="24"/>
              </w:rPr>
              <w:t>j ustanowić krajową scentralizowaną strukturę zarządzania EUIBM, koordynującą wszystkie odpowiednie organy zaangażowane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zar</w:t>
            </w:r>
            <w:r w:rsidRPr="00BF1AA9">
              <w:rPr>
                <w:rFonts w:ascii="Times New Roman" w:hAnsi="Times New Roman"/>
                <w:noProof/>
                <w:sz w:val="24"/>
              </w:rPr>
              <w:t>ządzanie granicami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pow</w:t>
            </w:r>
            <w:r w:rsidRPr="00BF1AA9">
              <w:rPr>
                <w:rFonts w:ascii="Times New Roman" w:hAnsi="Times New Roman"/>
                <w:noProof/>
                <w:sz w:val="24"/>
              </w:rPr>
              <w:t>roty oraz uwzględniającą implikacje innych polityk UE wdrażanych na granicach zewnętrznych państwa członkowskiego przez właściwe organy krajowe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ich mandatów, takie jak policja, organy celne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org</w:t>
            </w:r>
            <w:r w:rsidRPr="00BF1AA9">
              <w:rPr>
                <w:rFonts w:ascii="Times New Roman" w:hAnsi="Times New Roman"/>
                <w:noProof/>
                <w:sz w:val="24"/>
              </w:rPr>
              <w:t>any kontroli sanitarnej.</w:t>
            </w:r>
          </w:p>
          <w:p w14:paraId="227E2BC0" w14:textId="7B72B1ED"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Strategia krajowa musi zostać opracowana zgodnie ze strategią polityczną przyjętą przez instytucje Unii Europejskiej, strategią techniczną</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ope</w:t>
            </w:r>
            <w:r w:rsidRPr="00BF1AA9">
              <w:rPr>
                <w:rFonts w:ascii="Times New Roman" w:hAnsi="Times New Roman"/>
                <w:noProof/>
                <w:sz w:val="24"/>
              </w:rPr>
              <w:t>racyjną Agencji oraz wymogami dorobku prawnego UE</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 xml:space="preserve">resie Schengen. </w:t>
            </w:r>
          </w:p>
          <w:p w14:paraId="5D6135D2" w14:textId="6F60B727"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Musi opierać się na ustaleniach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zal</w:t>
            </w:r>
            <w:r w:rsidRPr="00BF1AA9">
              <w:rPr>
                <w:rFonts w:ascii="Times New Roman" w:hAnsi="Times New Roman"/>
                <w:noProof/>
                <w:sz w:val="24"/>
              </w:rPr>
              <w:t>eceniach wydanych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tematycznej oceny Schengen za lata 2019–2020 dotyczącej strategii krajowych.</w:t>
            </w:r>
          </w:p>
          <w:p w14:paraId="755AA7A8" w14:textId="75283F4B"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Strategia krajowa powinna opierać się na</w:t>
            </w:r>
            <w:r w:rsidR="00BF1AA9" w:rsidRPr="00BF1AA9">
              <w:rPr>
                <w:rFonts w:ascii="Times New Roman" w:hAnsi="Times New Roman"/>
                <w:noProof/>
                <w:sz w:val="24"/>
              </w:rPr>
              <w:t> </w:t>
            </w:r>
            <w:r w:rsidRPr="00BF1AA9">
              <w:rPr>
                <w:rFonts w:ascii="Times New Roman" w:hAnsi="Times New Roman"/>
                <w:noProof/>
                <w:sz w:val="24"/>
              </w:rPr>
              <w:t>15 elementach określonych</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art</w:t>
            </w:r>
            <w:r w:rsidRPr="00BF1AA9">
              <w:rPr>
                <w:rFonts w:ascii="Times New Roman" w:hAnsi="Times New Roman"/>
                <w:noProof/>
                <w:sz w:val="24"/>
              </w:rPr>
              <w:t>.</w:t>
            </w:r>
            <w:r w:rsidR="00BF1AA9" w:rsidRPr="00BF1AA9">
              <w:rPr>
                <w:rFonts w:ascii="Times New Roman" w:hAnsi="Times New Roman"/>
                <w:noProof/>
                <w:sz w:val="24"/>
              </w:rPr>
              <w:t> </w:t>
            </w:r>
            <w:r w:rsidRPr="00BF1AA9">
              <w:rPr>
                <w:rFonts w:ascii="Times New Roman" w:hAnsi="Times New Roman"/>
                <w:noProof/>
                <w:sz w:val="24"/>
              </w:rPr>
              <w:t>3 rozporządzenia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Europejskiej Straży Granicznej</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Prz</w:t>
            </w:r>
            <w:r w:rsidRPr="00BF1AA9">
              <w:rPr>
                <w:rFonts w:ascii="Times New Roman" w:hAnsi="Times New Roman"/>
                <w:noProof/>
                <w:sz w:val="24"/>
              </w:rPr>
              <w:t>ybrzeżnej, ale może również obejmować obszary kompetencji krajowych, jeżeli zostanie to uznane za właściwe.</w:t>
            </w:r>
          </w:p>
          <w:p w14:paraId="31DEC73A" w14:textId="51BE8CDD"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W strategii krajowej należy określić krajowe struktury koordynacji zarządzania granicami oraz udział państwa członkowskiego</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odp</w:t>
            </w:r>
            <w:r w:rsidRPr="00BF1AA9">
              <w:rPr>
                <w:rFonts w:ascii="Times New Roman" w:hAnsi="Times New Roman"/>
                <w:noProof/>
                <w:sz w:val="24"/>
              </w:rPr>
              <w:t>owiednich mechanizmach UE koordynowanych przez Frontex</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inn</w:t>
            </w:r>
            <w:r w:rsidRPr="00BF1AA9">
              <w:rPr>
                <w:rFonts w:ascii="Times New Roman" w:hAnsi="Times New Roman"/>
                <w:noProof/>
                <w:sz w:val="24"/>
              </w:rPr>
              <w:t>e właściwe podmioty UE.</w:t>
            </w:r>
          </w:p>
          <w:p w14:paraId="4A8DC4D3" w14:textId="679CDAE3"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Powinna precyzować bieżący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pla</w:t>
            </w:r>
            <w:r w:rsidRPr="00BF1AA9">
              <w:rPr>
                <w:rFonts w:ascii="Times New Roman" w:hAnsi="Times New Roman"/>
                <w:noProof/>
                <w:sz w:val="24"/>
              </w:rPr>
              <w:t>nowany przydział zasobów ludzkich</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fin</w:t>
            </w:r>
            <w:r w:rsidRPr="00BF1AA9">
              <w:rPr>
                <w:rFonts w:ascii="Times New Roman" w:hAnsi="Times New Roman"/>
                <w:noProof/>
                <w:sz w:val="24"/>
              </w:rPr>
              <w:t>ansowych oraz główne etapy rozwoju niezbędnej infrastruktury.</w:t>
            </w:r>
          </w:p>
          <w:p w14:paraId="3BC4BACE" w14:textId="414AA8BF"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Powinna ustanowić mechanizm przeglądu</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mon</w:t>
            </w:r>
            <w:r w:rsidRPr="00BF1AA9">
              <w:rPr>
                <w:rFonts w:ascii="Times New Roman" w:hAnsi="Times New Roman"/>
                <w:noProof/>
                <w:sz w:val="24"/>
              </w:rPr>
              <w:t>itorowania.</w:t>
            </w:r>
          </w:p>
          <w:p w14:paraId="053F36BF" w14:textId="56E9E790"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Strategia krajowa powinna obejmować okres kilku lat, najlepiej</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uwz</w:t>
            </w:r>
            <w:r w:rsidRPr="00BF1AA9">
              <w:rPr>
                <w:rFonts w:ascii="Times New Roman" w:hAnsi="Times New Roman"/>
                <w:noProof/>
                <w:sz w:val="24"/>
              </w:rPr>
              <w:t>ględnieniem cyklu programowania wieloletnich ram finansowych.</w:t>
            </w:r>
          </w:p>
          <w:p w14:paraId="652402EB" w14:textId="4A7B98FB" w:rsidR="00F5602F" w:rsidRPr="00BF1AA9" w:rsidRDefault="00F5602F" w:rsidP="00377968">
            <w:pPr>
              <w:numPr>
                <w:ilvl w:val="0"/>
                <w:numId w:val="16"/>
              </w:numPr>
              <w:spacing w:after="0" w:line="240" w:lineRule="auto"/>
              <w:jc w:val="both"/>
              <w:rPr>
                <w:rFonts w:ascii="Times New Roman" w:eastAsia="Calibri" w:hAnsi="Times New Roman" w:cs="Times New Roman"/>
                <w:noProof/>
                <w:sz w:val="24"/>
                <w:szCs w:val="24"/>
              </w:rPr>
            </w:pPr>
            <w:r w:rsidRPr="00BF1AA9">
              <w:rPr>
                <w:rFonts w:ascii="Times New Roman" w:hAnsi="Times New Roman"/>
                <w:noProof/>
                <w:sz w:val="24"/>
              </w:rPr>
              <w:t>Powinien jej towarzyszyć plan działania określający kluczowe środki, ramy czasowe, cele pośrednie, niezbędne zasoby</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ust</w:t>
            </w:r>
            <w:r w:rsidRPr="00BF1AA9">
              <w:rPr>
                <w:rFonts w:ascii="Times New Roman" w:hAnsi="Times New Roman"/>
                <w:noProof/>
                <w:sz w:val="24"/>
              </w:rPr>
              <w:t>alenia dotyczące monitorowania.</w:t>
            </w:r>
          </w:p>
        </w:tc>
      </w:tr>
    </w:tbl>
    <w:p w14:paraId="1E0C830C" w14:textId="77777777" w:rsidR="00F5602F" w:rsidRPr="00BF1AA9" w:rsidRDefault="00F5602F" w:rsidP="00377968">
      <w:pPr>
        <w:spacing w:after="200" w:line="276" w:lineRule="auto"/>
        <w:jc w:val="both"/>
        <w:rPr>
          <w:rFonts w:ascii="Times New Roman" w:eastAsia="Calibri" w:hAnsi="Times New Roman" w:cs="Times New Roman"/>
          <w:noProof/>
          <w:sz w:val="24"/>
          <w:szCs w:val="24"/>
        </w:rPr>
      </w:pPr>
    </w:p>
    <w:p w14:paraId="610C18C8" w14:textId="77777777" w:rsidR="00F5602F" w:rsidRPr="00BF1AA9" w:rsidRDefault="00F5602F" w:rsidP="00377968">
      <w:pPr>
        <w:spacing w:after="200" w:line="276" w:lineRule="auto"/>
        <w:ind w:firstLine="720"/>
        <w:jc w:val="both"/>
        <w:rPr>
          <w:rFonts w:ascii="Times New Roman" w:eastAsia="Calibri" w:hAnsi="Times New Roman" w:cs="Times New Roman"/>
          <w:noProof/>
          <w:sz w:val="24"/>
          <w:szCs w:val="24"/>
        </w:rPr>
      </w:pPr>
      <w:r w:rsidRPr="00BF1AA9">
        <w:rPr>
          <w:rFonts w:ascii="Times New Roman" w:hAnsi="Times New Roman"/>
          <w:noProof/>
          <w:sz w:val="24"/>
        </w:rPr>
        <w:t xml:space="preserve">c) </w:t>
      </w:r>
      <w:r w:rsidRPr="00BF1AA9">
        <w:rPr>
          <w:rFonts w:ascii="Times New Roman" w:hAnsi="Times New Roman"/>
          <w:i/>
          <w:noProof/>
          <w:sz w:val="24"/>
        </w:rPr>
        <w:t>Ocena cyklu EUIBM</w:t>
      </w:r>
    </w:p>
    <w:p w14:paraId="281F9E0E" w14:textId="63E61158" w:rsidR="00377968" w:rsidRPr="00BF1AA9" w:rsidRDefault="00377968" w:rsidP="00377968">
      <w:pPr>
        <w:spacing w:after="200" w:line="276" w:lineRule="auto"/>
        <w:jc w:val="both"/>
        <w:rPr>
          <w:rFonts w:ascii="Times New Roman" w:eastAsia="Calibri" w:hAnsi="Times New Roman" w:cs="Times New Roman"/>
          <w:b/>
          <w:i/>
          <w:noProof/>
          <w:sz w:val="24"/>
          <w:szCs w:val="24"/>
          <w:u w:val="single"/>
        </w:rPr>
      </w:pPr>
      <w:r w:rsidRPr="00BF1AA9">
        <w:rPr>
          <w:rFonts w:ascii="Times New Roman" w:hAnsi="Times New Roman"/>
          <w:noProof/>
          <w:sz w:val="24"/>
        </w:rPr>
        <w:t>Cztery lata po przyjęciu niniejszego komunikatu Komisja przeprowadzi szczegółową ocenę realizacji tej polityki przez wszystkie zainteresowane strony na szczeblu unijnym</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kra</w:t>
      </w:r>
      <w:r w:rsidRPr="00BF1AA9">
        <w:rPr>
          <w:rFonts w:ascii="Times New Roman" w:hAnsi="Times New Roman"/>
          <w:noProof/>
          <w:sz w:val="24"/>
        </w:rPr>
        <w:t>jowym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przygotowania kolejnego wieloletniego cyklu polityki strategicznej</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ram</w:t>
      </w:r>
      <w:r w:rsidRPr="00BF1AA9">
        <w:rPr>
          <w:rFonts w:ascii="Times New Roman" w:hAnsi="Times New Roman"/>
          <w:noProof/>
          <w:sz w:val="24"/>
        </w:rPr>
        <w:t>ach oceny przeanalizowana zostanie skuteczność realizacji przez Agencję</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pań</w:t>
      </w:r>
      <w:r w:rsidRPr="00BF1AA9">
        <w:rPr>
          <w:rFonts w:ascii="Times New Roman" w:hAnsi="Times New Roman"/>
          <w:noProof/>
          <w:sz w:val="24"/>
        </w:rPr>
        <w:t>stwa członkowskie wieloletniej polityki strategicznej</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zak</w:t>
      </w:r>
      <w:r w:rsidRPr="00BF1AA9">
        <w:rPr>
          <w:rFonts w:ascii="Times New Roman" w:hAnsi="Times New Roman"/>
          <w:noProof/>
          <w:sz w:val="24"/>
        </w:rPr>
        <w:t>resie EUIBM,</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zac</w:t>
      </w:r>
      <w:r w:rsidRPr="00BF1AA9">
        <w:rPr>
          <w:rFonts w:ascii="Times New Roman" w:hAnsi="Times New Roman"/>
          <w:noProof/>
          <w:sz w:val="24"/>
        </w:rPr>
        <w:t>howaniem spójnego, zintegrowanego</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sys</w:t>
      </w:r>
      <w:r w:rsidRPr="00BF1AA9">
        <w:rPr>
          <w:rFonts w:ascii="Times New Roman" w:hAnsi="Times New Roman"/>
          <w:noProof/>
          <w:sz w:val="24"/>
        </w:rPr>
        <w:t>tematycznego podejścia</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cel</w:t>
      </w:r>
      <w:r w:rsidRPr="00BF1AA9">
        <w:rPr>
          <w:rFonts w:ascii="Times New Roman" w:hAnsi="Times New Roman"/>
          <w:noProof/>
          <w:sz w:val="24"/>
        </w:rPr>
        <w:t>u uzyskania europejskiej wartości dodanej. Zasadnicze znaczenie będzie miał przy tym stopień zbieżności</w:t>
      </w:r>
      <w:r w:rsidR="00BF1AA9" w:rsidRPr="00BF1AA9">
        <w:rPr>
          <w:rFonts w:ascii="Times New Roman" w:hAnsi="Times New Roman"/>
          <w:noProof/>
          <w:sz w:val="24"/>
        </w:rPr>
        <w:t xml:space="preserve"> z</w:t>
      </w:r>
      <w:r w:rsidR="00BF1AA9">
        <w:rPr>
          <w:rFonts w:ascii="Times New Roman" w:hAnsi="Times New Roman"/>
          <w:noProof/>
          <w:sz w:val="24"/>
        </w:rPr>
        <w:t> </w:t>
      </w:r>
      <w:r w:rsidR="00BF1AA9" w:rsidRPr="00BF1AA9">
        <w:rPr>
          <w:rFonts w:ascii="Times New Roman" w:hAnsi="Times New Roman"/>
          <w:noProof/>
          <w:sz w:val="24"/>
        </w:rPr>
        <w:t>pri</w:t>
      </w:r>
      <w:r w:rsidRPr="00BF1AA9">
        <w:rPr>
          <w:rFonts w:ascii="Times New Roman" w:hAnsi="Times New Roman"/>
          <w:noProof/>
          <w:sz w:val="24"/>
        </w:rPr>
        <w:t>orytetami politycznymi</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wyt</w:t>
      </w:r>
      <w:r w:rsidRPr="00BF1AA9">
        <w:rPr>
          <w:rFonts w:ascii="Times New Roman" w:hAnsi="Times New Roman"/>
          <w:noProof/>
          <w:sz w:val="24"/>
        </w:rPr>
        <w:t>ycznymi strategicznymi elementów EUIBM</w:t>
      </w:r>
      <w:r w:rsidR="00BF1AA9" w:rsidRPr="00BF1AA9">
        <w:rPr>
          <w:rFonts w:ascii="Times New Roman" w:hAnsi="Times New Roman"/>
          <w:noProof/>
          <w:sz w:val="24"/>
        </w:rPr>
        <w:t>. W</w:t>
      </w:r>
      <w:r w:rsidR="00BF1AA9">
        <w:rPr>
          <w:rFonts w:ascii="Times New Roman" w:hAnsi="Times New Roman"/>
          <w:noProof/>
          <w:sz w:val="24"/>
        </w:rPr>
        <w:t> </w:t>
      </w:r>
      <w:r w:rsidR="00BF1AA9" w:rsidRPr="00BF1AA9">
        <w:rPr>
          <w:rFonts w:ascii="Times New Roman" w:hAnsi="Times New Roman"/>
          <w:noProof/>
          <w:sz w:val="24"/>
        </w:rPr>
        <w:t>oce</w:t>
      </w:r>
      <w:r w:rsidRPr="00BF1AA9">
        <w:rPr>
          <w:rFonts w:ascii="Times New Roman" w:hAnsi="Times New Roman"/>
          <w:noProof/>
          <w:sz w:val="24"/>
        </w:rPr>
        <w:t>nie tej zostaną uwzględnione prace nad cyklem Schengen,</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tym</w:t>
      </w:r>
      <w:r w:rsidRPr="00BF1AA9">
        <w:rPr>
          <w:rFonts w:ascii="Times New Roman" w:hAnsi="Times New Roman"/>
          <w:noProof/>
          <w:sz w:val="24"/>
        </w:rPr>
        <w:t xml:space="preserve"> sprawozdaniem</w:t>
      </w:r>
      <w:r w:rsidR="00BF1AA9" w:rsidRPr="00BF1AA9">
        <w:rPr>
          <w:rFonts w:ascii="Times New Roman" w:hAnsi="Times New Roman"/>
          <w:noProof/>
          <w:sz w:val="24"/>
        </w:rPr>
        <w:t xml:space="preserve"> w</w:t>
      </w:r>
      <w:r w:rsidR="00BF1AA9">
        <w:rPr>
          <w:rFonts w:ascii="Times New Roman" w:hAnsi="Times New Roman"/>
          <w:noProof/>
          <w:sz w:val="24"/>
        </w:rPr>
        <w:t> </w:t>
      </w:r>
      <w:r w:rsidR="00BF1AA9" w:rsidRPr="00BF1AA9">
        <w:rPr>
          <w:rFonts w:ascii="Times New Roman" w:hAnsi="Times New Roman"/>
          <w:noProof/>
          <w:sz w:val="24"/>
        </w:rPr>
        <w:t>spr</w:t>
      </w:r>
      <w:r w:rsidRPr="00BF1AA9">
        <w:rPr>
          <w:rFonts w:ascii="Times New Roman" w:hAnsi="Times New Roman"/>
          <w:noProof/>
          <w:sz w:val="24"/>
        </w:rPr>
        <w:t>awie stanu strefy Schengen, uzupełnione informacjami, które mają być dostarczone przez państwa członkowskie</w:t>
      </w:r>
      <w:r w:rsidR="00BF1AA9" w:rsidRPr="00BF1AA9">
        <w:rPr>
          <w:rFonts w:ascii="Times New Roman" w:hAnsi="Times New Roman"/>
          <w:noProof/>
          <w:sz w:val="24"/>
        </w:rPr>
        <w:t xml:space="preserve"> i</w:t>
      </w:r>
      <w:r w:rsidR="00BF1AA9">
        <w:rPr>
          <w:rFonts w:ascii="Times New Roman" w:hAnsi="Times New Roman"/>
          <w:noProof/>
          <w:sz w:val="24"/>
        </w:rPr>
        <w:t> </w:t>
      </w:r>
      <w:r w:rsidR="00BF1AA9" w:rsidRPr="00BF1AA9">
        <w:rPr>
          <w:rFonts w:ascii="Times New Roman" w:hAnsi="Times New Roman"/>
          <w:noProof/>
          <w:sz w:val="24"/>
        </w:rPr>
        <w:t>Age</w:t>
      </w:r>
      <w:r w:rsidRPr="00BF1AA9">
        <w:rPr>
          <w:rFonts w:ascii="Times New Roman" w:hAnsi="Times New Roman"/>
          <w:noProof/>
          <w:sz w:val="24"/>
        </w:rPr>
        <w:t>ncję.</w:t>
      </w:r>
    </w:p>
    <w:p w14:paraId="5FFF3A0E" w14:textId="77777777" w:rsidR="00F5602F" w:rsidRPr="00BF1AA9" w:rsidRDefault="00F5602F" w:rsidP="00377968">
      <w:pPr>
        <w:spacing w:after="200" w:line="276" w:lineRule="auto"/>
        <w:jc w:val="both"/>
        <w:rPr>
          <w:noProof/>
        </w:rPr>
      </w:pPr>
    </w:p>
    <w:sectPr w:rsidR="00F5602F" w:rsidRPr="00BF1AA9">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B6488" w14:textId="77777777" w:rsidR="00F5602F" w:rsidRPr="00BF1AA9" w:rsidRDefault="00F5602F" w:rsidP="00F5602F">
      <w:pPr>
        <w:spacing w:after="0" w:line="240" w:lineRule="auto"/>
      </w:pPr>
      <w:r w:rsidRPr="00BF1AA9">
        <w:separator/>
      </w:r>
    </w:p>
  </w:endnote>
  <w:endnote w:type="continuationSeparator" w:id="0">
    <w:p w14:paraId="2BA195E4" w14:textId="77777777" w:rsidR="00F5602F" w:rsidRPr="00BF1AA9" w:rsidRDefault="00F5602F" w:rsidP="00F5602F">
      <w:pPr>
        <w:spacing w:after="0" w:line="240" w:lineRule="auto"/>
      </w:pPr>
      <w:r w:rsidRPr="00BF1A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07AFB" w14:textId="4C1EB1F1" w:rsidR="00BF1AA9" w:rsidRPr="00A90553" w:rsidRDefault="00BF1AA9" w:rsidP="00A90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0C954" w14:textId="4A17C10B" w:rsidR="00BF1AA9" w:rsidRPr="00A90553" w:rsidRDefault="00A90553" w:rsidP="00A90553">
    <w:pPr>
      <w:pStyle w:val="FooterCoverPage"/>
      <w:rPr>
        <w:rFonts w:ascii="Arial" w:hAnsi="Arial" w:cs="Arial"/>
        <w:b/>
        <w:sz w:val="48"/>
      </w:rPr>
    </w:pPr>
    <w:r w:rsidRPr="00A90553">
      <w:rPr>
        <w:rFonts w:ascii="Arial" w:hAnsi="Arial" w:cs="Arial"/>
        <w:b/>
        <w:sz w:val="48"/>
      </w:rPr>
      <w:t>PL</w:t>
    </w:r>
    <w:r w:rsidRPr="00A90553">
      <w:rPr>
        <w:rFonts w:ascii="Arial" w:hAnsi="Arial" w:cs="Arial"/>
        <w:b/>
        <w:sz w:val="48"/>
      </w:rPr>
      <w:tab/>
    </w:r>
    <w:r w:rsidRPr="00A90553">
      <w:rPr>
        <w:rFonts w:ascii="Arial" w:hAnsi="Arial" w:cs="Arial"/>
        <w:b/>
        <w:sz w:val="48"/>
      </w:rPr>
      <w:tab/>
    </w:r>
    <w:r w:rsidRPr="00A90553">
      <w:tab/>
    </w:r>
    <w:r w:rsidRPr="00A90553">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7D7A0" w14:textId="77777777" w:rsidR="00A90553" w:rsidRPr="00A90553" w:rsidRDefault="00A90553" w:rsidP="00A9055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486E" w14:textId="77777777" w:rsidR="00F5602F" w:rsidRDefault="00F560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258197"/>
      <w:docPartObj>
        <w:docPartGallery w:val="Page Numbers (Bottom of Page)"/>
        <w:docPartUnique/>
      </w:docPartObj>
    </w:sdtPr>
    <w:sdtEndPr>
      <w:rPr>
        <w:noProof/>
      </w:rPr>
    </w:sdtEndPr>
    <w:sdtContent>
      <w:p w14:paraId="0B0F05C5" w14:textId="2FCAD1BB" w:rsidR="00377968" w:rsidRDefault="00377968">
        <w:pPr>
          <w:pStyle w:val="Footer"/>
          <w:jc w:val="right"/>
        </w:pPr>
        <w:r>
          <w:fldChar w:fldCharType="begin"/>
        </w:r>
        <w:r>
          <w:instrText xml:space="preserve"> PAGE   \* MERGEFORMAT </w:instrText>
        </w:r>
        <w:r>
          <w:fldChar w:fldCharType="separate"/>
        </w:r>
        <w:r w:rsidR="00A90553">
          <w:rPr>
            <w:noProof/>
          </w:rPr>
          <w:t>1</w:t>
        </w:r>
        <w:r>
          <w:fldChar w:fldCharType="end"/>
        </w:r>
      </w:p>
    </w:sdtContent>
  </w:sdt>
  <w:p w14:paraId="5A5D1B93" w14:textId="77777777" w:rsidR="00F5602F" w:rsidRDefault="00F560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8CB2D" w14:textId="77777777" w:rsidR="00F5602F" w:rsidRDefault="00F56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1A6F6" w14:textId="77777777" w:rsidR="00F5602F" w:rsidRPr="00BF1AA9" w:rsidRDefault="00F5602F" w:rsidP="00F5602F">
      <w:pPr>
        <w:spacing w:after="0" w:line="240" w:lineRule="auto"/>
      </w:pPr>
      <w:r w:rsidRPr="00BF1AA9">
        <w:separator/>
      </w:r>
    </w:p>
  </w:footnote>
  <w:footnote w:type="continuationSeparator" w:id="0">
    <w:p w14:paraId="24994F88" w14:textId="77777777" w:rsidR="00F5602F" w:rsidRPr="00BF1AA9" w:rsidRDefault="00F5602F" w:rsidP="00F5602F">
      <w:pPr>
        <w:spacing w:after="0" w:line="240" w:lineRule="auto"/>
      </w:pPr>
      <w:r w:rsidRPr="00BF1AA9">
        <w:continuationSeparator/>
      </w:r>
    </w:p>
  </w:footnote>
  <w:footnote w:id="1">
    <w:p w14:paraId="651815B8" w14:textId="76951E72" w:rsidR="00F5602F" w:rsidRPr="00BF1AA9" w:rsidRDefault="00F5602F" w:rsidP="00F5602F">
      <w:pPr>
        <w:pStyle w:val="FootnoteText"/>
        <w:jc w:val="both"/>
      </w:pPr>
      <w:r w:rsidRPr="00BF1AA9">
        <w:rPr>
          <w:rStyle w:val="FootnoteReference"/>
        </w:rPr>
        <w:footnoteRef/>
      </w:r>
      <w:r w:rsidRPr="00BF1AA9">
        <w:t xml:space="preserve"> </w:t>
      </w:r>
      <w:r w:rsidRPr="00BF1AA9">
        <w:rPr>
          <w:rFonts w:ascii="Times New Roman" w:hAnsi="Times New Roman"/>
        </w:rPr>
        <w:t>12</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nic</w:t>
      </w:r>
      <w:r w:rsidRPr="00BF1AA9">
        <w:rPr>
          <w:rFonts w:ascii="Times New Roman" w:hAnsi="Times New Roman"/>
        </w:rPr>
        <w:t>h to elementy tematyczne: 1) kontrola graniczna,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tym</w:t>
      </w:r>
      <w:r w:rsidRPr="00BF1AA9">
        <w:rPr>
          <w:rFonts w:ascii="Times New Roman" w:hAnsi="Times New Roman"/>
        </w:rPr>
        <w:t xml:space="preserve"> zwalczanie przestępczości transgranicznej, 2) poszukiwanie</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rat</w:t>
      </w:r>
      <w:r w:rsidRPr="00BF1AA9">
        <w:rPr>
          <w:rFonts w:ascii="Times New Roman" w:hAnsi="Times New Roman"/>
        </w:rPr>
        <w:t>ownictwo</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syt</w:t>
      </w:r>
      <w:r w:rsidRPr="00BF1AA9">
        <w:rPr>
          <w:rFonts w:ascii="Times New Roman" w:hAnsi="Times New Roman"/>
        </w:rPr>
        <w:t>uacjach, które mogą wystąpić podczas operacji ochrony granic morskich, 3) analiza ryzyka, 4) wymiana informacji między państwami członkowskimi oraz między państwami członkowskimi</w:t>
      </w:r>
      <w:r w:rsidR="00BF1AA9" w:rsidRPr="00BF1AA9">
        <w:rPr>
          <w:rFonts w:ascii="Times New Roman" w:hAnsi="Times New Roman"/>
        </w:rPr>
        <w:t xml:space="preserve"> a</w:t>
      </w:r>
      <w:r w:rsidR="00BF1AA9">
        <w:rPr>
          <w:rFonts w:ascii="Times New Roman" w:hAnsi="Times New Roman"/>
        </w:rPr>
        <w:t> </w:t>
      </w:r>
      <w:r w:rsidR="00BF1AA9" w:rsidRPr="00BF1AA9">
        <w:rPr>
          <w:rFonts w:ascii="Times New Roman" w:hAnsi="Times New Roman"/>
        </w:rPr>
        <w:t>Eur</w:t>
      </w:r>
      <w:r w:rsidRPr="00BF1AA9">
        <w:rPr>
          <w:rFonts w:ascii="Times New Roman" w:hAnsi="Times New Roman"/>
        </w:rPr>
        <w:t>opejską Agencją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 (Frontex), 5) współpraca międzyagencyjna na poziomie krajowym, 6) współpraca między odpowiednimi instytucjami, organami</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jed</w:t>
      </w:r>
      <w:r w:rsidRPr="00BF1AA9">
        <w:rPr>
          <w:rFonts w:ascii="Times New Roman" w:hAnsi="Times New Roman"/>
        </w:rPr>
        <w:t>nostkami organizacyjnymi Unii, 7) współpraca</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pań</w:t>
      </w:r>
      <w:r w:rsidRPr="00BF1AA9">
        <w:rPr>
          <w:rFonts w:ascii="Times New Roman" w:hAnsi="Times New Roman"/>
        </w:rPr>
        <w:t>stwami trzecimi, 8) środki</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obr</w:t>
      </w:r>
      <w:r w:rsidRPr="00BF1AA9">
        <w:rPr>
          <w:rFonts w:ascii="Times New Roman" w:hAnsi="Times New Roman"/>
        </w:rPr>
        <w:t>ębie strefy Schengen, 9) powroty obywateli państw trzecich, którzy nie mają prawa do pozostania, 10) stosowanie najnowszej technologii, 11) mechanizm kontroli jakości Schengen oraz 12) mechanizmy solidarnościowe,</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szc</w:t>
      </w:r>
      <w:r w:rsidRPr="00BF1AA9">
        <w:rPr>
          <w:rFonts w:ascii="Times New Roman" w:hAnsi="Times New Roman"/>
        </w:rPr>
        <w:t>zególności unijne instrumenty finansowania. Ponadto określono trzy nadrzędne elementy: 13) prawa podstawowe, 14) badania</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inn</w:t>
      </w:r>
      <w:r w:rsidRPr="00BF1AA9">
        <w:rPr>
          <w:rFonts w:ascii="Times New Roman" w:hAnsi="Times New Roman"/>
        </w:rPr>
        <w:t>owacje oraz 15) kształcenie</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szk</w:t>
      </w:r>
      <w:r w:rsidRPr="00BF1AA9">
        <w:rPr>
          <w:rFonts w:ascii="Times New Roman" w:hAnsi="Times New Roman"/>
        </w:rPr>
        <w:t>olenia.</w:t>
      </w:r>
    </w:p>
  </w:footnote>
  <w:footnote w:id="2">
    <w:p w14:paraId="680618C5" w14:textId="05C93D8A" w:rsidR="00F5602F" w:rsidRPr="00BF1AA9" w:rsidRDefault="00F5602F" w:rsidP="00B05909">
      <w:pPr>
        <w:pStyle w:val="FootnoteText"/>
        <w:jc w:val="both"/>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Ocena przeprowadzona przez Komisję, państwa członkowskie</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wsp</w:t>
      </w:r>
      <w:r w:rsidRPr="00BF1AA9">
        <w:rPr>
          <w:rFonts w:ascii="Times New Roman" w:hAnsi="Times New Roman"/>
        </w:rPr>
        <w:t>ierana przez Frontex oraz Agencję Praw Podstawowych Unii Europejskiej.</w:t>
      </w:r>
    </w:p>
  </w:footnote>
  <w:footnote w:id="3">
    <w:p w14:paraId="4CF1311B" w14:textId="6F91081E" w:rsidR="00C807E5" w:rsidRPr="00BF1AA9" w:rsidRDefault="00C807E5" w:rsidP="00C807E5">
      <w:pPr>
        <w:pStyle w:val="FootnoteText"/>
        <w:jc w:val="both"/>
        <w:rPr>
          <w:rFonts w:ascii="Times New Roman" w:eastAsia="Calibri" w:hAnsi="Times New Roman" w:cs="Times New Roman"/>
        </w:rPr>
      </w:pPr>
      <w:r w:rsidRPr="00BF1AA9">
        <w:rPr>
          <w:rStyle w:val="FootnoteReference"/>
        </w:rPr>
        <w:footnoteRef/>
      </w:r>
      <w:r w:rsidRPr="00BF1AA9">
        <w:t xml:space="preserve"> </w:t>
      </w:r>
      <w:bookmarkStart w:id="2" w:name="_Hlk129359200"/>
      <w:r w:rsidRPr="00BF1AA9">
        <w:rPr>
          <w:rFonts w:ascii="Times New Roman" w:hAnsi="Times New Roman"/>
        </w:rPr>
        <w:t>W przypadku gdy jest to istotne dla wdrażania elementów, można zwrócić się</w:t>
      </w:r>
      <w:r w:rsidR="00BF1AA9" w:rsidRPr="00BF1AA9">
        <w:rPr>
          <w:rFonts w:ascii="Times New Roman" w:hAnsi="Times New Roman"/>
        </w:rPr>
        <w:t xml:space="preserve"> o</w:t>
      </w:r>
      <w:r w:rsidR="00BF1AA9">
        <w:rPr>
          <w:rFonts w:ascii="Times New Roman" w:hAnsi="Times New Roman"/>
        </w:rPr>
        <w:t> </w:t>
      </w:r>
      <w:r w:rsidR="00BF1AA9" w:rsidRPr="00BF1AA9">
        <w:rPr>
          <w:rFonts w:ascii="Times New Roman" w:hAnsi="Times New Roman"/>
        </w:rPr>
        <w:t>wsp</w:t>
      </w:r>
      <w:r w:rsidRPr="00BF1AA9">
        <w:rPr>
          <w:rFonts w:ascii="Times New Roman" w:hAnsi="Times New Roman"/>
        </w:rPr>
        <w:t>arcie techniczne</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ram</w:t>
      </w:r>
      <w:r w:rsidRPr="00BF1AA9">
        <w:rPr>
          <w:rFonts w:ascii="Times New Roman" w:hAnsi="Times New Roman"/>
        </w:rPr>
        <w:t>ach Instrumentu Wsparcia Technicznego ustanowionego na mocy rozporządzenia Parlamentu Europejskiego</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Rad</w:t>
      </w:r>
      <w:r w:rsidRPr="00BF1AA9">
        <w:rPr>
          <w:rFonts w:ascii="Times New Roman" w:hAnsi="Times New Roman"/>
        </w:rPr>
        <w:t>y (UE) 2021/240</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dni</w:t>
      </w:r>
      <w:r w:rsidRPr="00BF1AA9">
        <w:rPr>
          <w:rFonts w:ascii="Times New Roman" w:hAnsi="Times New Roman"/>
        </w:rPr>
        <w:t>a 10 lutego 2021</w:t>
      </w:r>
      <w:r w:rsidR="00BF1AA9" w:rsidRPr="00BF1AA9">
        <w:rPr>
          <w:rFonts w:ascii="Times New Roman" w:hAnsi="Times New Roman"/>
        </w:rPr>
        <w:t> </w:t>
      </w:r>
      <w:r w:rsidRPr="00BF1AA9">
        <w:rPr>
          <w:rFonts w:ascii="Times New Roman" w:hAnsi="Times New Roman"/>
        </w:rPr>
        <w:t>r. ustanawiającego Instrument Wsparcia Technicznego, Dz.U. L 57</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1</w:t>
      </w:r>
      <w:r w:rsidRPr="00BF1AA9">
        <w:rPr>
          <w:rFonts w:ascii="Times New Roman" w:hAnsi="Times New Roman"/>
        </w:rPr>
        <w:t xml:space="preserve">8.2.2021, s. 1. </w:t>
      </w:r>
      <w:bookmarkEnd w:id="2"/>
    </w:p>
  </w:footnote>
  <w:footnote w:id="4">
    <w:p w14:paraId="5BF5B618" w14:textId="04838FC5" w:rsidR="00F5602F" w:rsidRPr="00BF1AA9" w:rsidRDefault="00F5602F" w:rsidP="00F5602F">
      <w:pPr>
        <w:pStyle w:val="FootnoteText1"/>
        <w:jc w:val="both"/>
        <w:rPr>
          <w:rFonts w:ascii="Times New Roman" w:hAnsi="Times New Roman" w:cs="Times New Roman"/>
        </w:rPr>
      </w:pPr>
      <w:r w:rsidRPr="00BF1AA9">
        <w:rPr>
          <w:rStyle w:val="FootnoteReference"/>
        </w:rPr>
        <w:footnoteRef/>
      </w:r>
      <w:r w:rsidRPr="00BF1AA9">
        <w:t xml:space="preserve"> </w:t>
      </w:r>
      <w:r w:rsidRPr="00BF1AA9">
        <w:rPr>
          <w:rFonts w:ascii="Times New Roman" w:hAnsi="Times New Roman"/>
        </w:rPr>
        <w:t>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a) rozporządzenia (UE) 2019/1896.</w:t>
      </w:r>
    </w:p>
  </w:footnote>
  <w:footnote w:id="5">
    <w:p w14:paraId="7C579606" w14:textId="5AC46F5C" w:rsidR="00F5602F" w:rsidRPr="00BF1AA9" w:rsidRDefault="00F5602F" w:rsidP="00B05909">
      <w:pPr>
        <w:pStyle w:val="FootnoteText"/>
        <w:jc w:val="both"/>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Art. 15 kodeksu granicznego Schengen stanowi, że „[p]aństwa członkowskie rozmieszczają odpowiedni personel</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zas</w:t>
      </w:r>
      <w:r w:rsidRPr="00BF1AA9">
        <w:rPr>
          <w:rFonts w:ascii="Times New Roman" w:hAnsi="Times New Roman"/>
        </w:rPr>
        <w:t>oby</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ilo</w:t>
      </w:r>
      <w:r w:rsidRPr="00BF1AA9">
        <w:rPr>
          <w:rFonts w:ascii="Times New Roman" w:hAnsi="Times New Roman"/>
        </w:rPr>
        <w:t>ści dostatecznej dla przeprowadzania kontroli granicznej na granicach zewnętrznych [...]</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spo</w:t>
      </w:r>
      <w:r w:rsidRPr="00BF1AA9">
        <w:rPr>
          <w:rFonts w:ascii="Times New Roman" w:hAnsi="Times New Roman"/>
        </w:rPr>
        <w:t>sób zapewniający skuteczny, wysoki</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jed</w:t>
      </w:r>
      <w:r w:rsidRPr="00BF1AA9">
        <w:rPr>
          <w:rFonts w:ascii="Times New Roman" w:hAnsi="Times New Roman"/>
        </w:rPr>
        <w:t>nolity poziom kontroli na ich granicach zewnętrznych”.</w:t>
      </w:r>
    </w:p>
  </w:footnote>
  <w:footnote w:id="6">
    <w:p w14:paraId="4723662E" w14:textId="77777777" w:rsidR="00F5602F" w:rsidRPr="00BF1AA9" w:rsidRDefault="00F5602F" w:rsidP="00F5602F">
      <w:pPr>
        <w:pStyle w:val="FootnoteText"/>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COM/2020/612 final.</w:t>
      </w:r>
    </w:p>
  </w:footnote>
  <w:footnote w:id="7">
    <w:p w14:paraId="3413D23F" w14:textId="3C1DF79E" w:rsidR="00F5602F" w:rsidRPr="00BF1AA9" w:rsidRDefault="00F5602F" w:rsidP="00B05909">
      <w:pPr>
        <w:pStyle w:val="FootnoteText1"/>
        <w:ind w:left="142" w:hanging="142"/>
        <w:jc w:val="both"/>
        <w:rPr>
          <w:rFonts w:ascii="Times New Roman" w:hAnsi="Times New Roman" w:cs="Times New Roman"/>
        </w:rPr>
      </w:pPr>
      <w:r w:rsidRPr="00BF1AA9">
        <w:rPr>
          <w:rStyle w:val="FootnoteReference"/>
          <w:rFonts w:ascii="Times New Roman" w:hAnsi="Times New Roman"/>
        </w:rPr>
        <w:footnoteRef/>
      </w:r>
      <w:r w:rsidRPr="00BF1AA9">
        <w:rPr>
          <w:rFonts w:ascii="Times New Roman" w:hAnsi="Times New Roman"/>
        </w:rPr>
        <w:t xml:space="preserve"> Rozporządzenie Parlamentu Europejskiego</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Rad</w:t>
      </w:r>
      <w:r w:rsidRPr="00BF1AA9">
        <w:rPr>
          <w:rFonts w:ascii="Times New Roman" w:hAnsi="Times New Roman"/>
        </w:rPr>
        <w:t>y (UE) 2016/399</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dni</w:t>
      </w:r>
      <w:r w:rsidRPr="00BF1AA9">
        <w:rPr>
          <w:rFonts w:ascii="Times New Roman" w:hAnsi="Times New Roman"/>
        </w:rPr>
        <w:t>a 9 marca 2016</w:t>
      </w:r>
      <w:r w:rsidR="00BF1AA9" w:rsidRPr="00BF1AA9">
        <w:rPr>
          <w:rFonts w:ascii="Times New Roman" w:hAnsi="Times New Roman"/>
        </w:rPr>
        <w:t> </w:t>
      </w:r>
      <w:r w:rsidRPr="00BF1AA9">
        <w:rPr>
          <w:rFonts w:ascii="Times New Roman" w:hAnsi="Times New Roman"/>
        </w:rPr>
        <w:t>r.</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unijnego kodeksu zasad regulujących przepływ osób przez granice (kodeks graniczny Schengen).</w:t>
      </w:r>
    </w:p>
  </w:footnote>
  <w:footnote w:id="8">
    <w:p w14:paraId="77758510" w14:textId="7EA43F1C"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rPr>
          <w:rFonts w:ascii="Times New Roman" w:hAnsi="Times New Roman"/>
        </w:rPr>
        <w:t xml:space="preserve"> 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b)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9">
    <w:p w14:paraId="727EB045" w14:textId="62C4BB83" w:rsidR="00F5602F" w:rsidRPr="00BF1AA9" w:rsidRDefault="00F5602F" w:rsidP="00B05909">
      <w:pPr>
        <w:pStyle w:val="FootnoteText"/>
        <w:jc w:val="both"/>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Międzynarodowa konwencja</w:t>
      </w:r>
      <w:r w:rsidR="00BF1AA9" w:rsidRPr="00BF1AA9">
        <w:rPr>
          <w:rFonts w:ascii="Times New Roman" w:hAnsi="Times New Roman"/>
        </w:rPr>
        <w:t xml:space="preserve"> o</w:t>
      </w:r>
      <w:r w:rsidR="00BF1AA9">
        <w:rPr>
          <w:rFonts w:ascii="Times New Roman" w:hAnsi="Times New Roman"/>
        </w:rPr>
        <w:t> </w:t>
      </w:r>
      <w:r w:rsidR="00BF1AA9" w:rsidRPr="00BF1AA9">
        <w:rPr>
          <w:rFonts w:ascii="Times New Roman" w:hAnsi="Times New Roman"/>
        </w:rPr>
        <w:t>pos</w:t>
      </w:r>
      <w:r w:rsidRPr="00BF1AA9">
        <w:rPr>
          <w:rFonts w:ascii="Times New Roman" w:hAnsi="Times New Roman"/>
        </w:rPr>
        <w:t>zukiwaniu</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rat</w:t>
      </w:r>
      <w:r w:rsidRPr="00BF1AA9">
        <w:rPr>
          <w:rFonts w:ascii="Times New Roman" w:hAnsi="Times New Roman"/>
        </w:rPr>
        <w:t>ownictwie morskim (SAR), 1979.</w:t>
      </w:r>
    </w:p>
  </w:footnote>
  <w:footnote w:id="10">
    <w:p w14:paraId="013D31D8" w14:textId="421D7388" w:rsidR="00F5602F" w:rsidRPr="00BF1AA9" w:rsidRDefault="00F5602F" w:rsidP="00F5602F">
      <w:pPr>
        <w:pStyle w:val="FootnoteText1"/>
        <w:ind w:left="142" w:hanging="142"/>
        <w:jc w:val="both"/>
        <w:rPr>
          <w:rFonts w:ascii="Times New Roman" w:hAnsi="Times New Roman" w:cs="Times New Roman"/>
          <w:i/>
        </w:rPr>
      </w:pPr>
      <w:r w:rsidRPr="00BF1AA9">
        <w:rPr>
          <w:rStyle w:val="FootnoteReference"/>
          <w:rFonts w:ascii="Times New Roman" w:hAnsi="Times New Roman"/>
        </w:rPr>
        <w:footnoteRef/>
      </w:r>
      <w:r w:rsidRPr="00BF1AA9">
        <w:rPr>
          <w:rFonts w:ascii="Times New Roman" w:hAnsi="Times New Roman"/>
        </w:rPr>
        <w:t xml:space="preserve"> Zalecenie Komisji (UE) 2020/1365 dotyczące współpracy państw członkowskich</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zak</w:t>
      </w:r>
      <w:r w:rsidRPr="00BF1AA9">
        <w:rPr>
          <w:rFonts w:ascii="Times New Roman" w:hAnsi="Times New Roman"/>
        </w:rPr>
        <w:t>resie operacji prowadzonych przez statki należące do podmiotów prywatnych lub przez nie eksploatowane</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cel</w:t>
      </w:r>
      <w:r w:rsidRPr="00BF1AA9">
        <w:rPr>
          <w:rFonts w:ascii="Times New Roman" w:hAnsi="Times New Roman"/>
        </w:rPr>
        <w:t>ach poszukiwawczo-ratowniczych.</w:t>
      </w:r>
    </w:p>
  </w:footnote>
  <w:footnote w:id="11">
    <w:p w14:paraId="23ADD8CD" w14:textId="1E9B1A56" w:rsidR="00F5602F" w:rsidRPr="00BF1AA9" w:rsidRDefault="00F5602F" w:rsidP="00B05909">
      <w:pPr>
        <w:pStyle w:val="FootnoteText"/>
        <w:jc w:val="both"/>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Plan działania UE dotyczący środkowego regionu Morza Śródziemnego, wniosek Komisji</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dni</w:t>
      </w:r>
      <w:r w:rsidRPr="00BF1AA9">
        <w:rPr>
          <w:rFonts w:ascii="Times New Roman" w:hAnsi="Times New Roman"/>
        </w:rPr>
        <w:t>a 21 listopada 2022</w:t>
      </w:r>
      <w:r w:rsidR="00BF1AA9" w:rsidRPr="00BF1AA9">
        <w:rPr>
          <w:rFonts w:ascii="Times New Roman" w:hAnsi="Times New Roman"/>
        </w:rPr>
        <w:t> </w:t>
      </w:r>
      <w:r w:rsidRPr="00BF1AA9">
        <w:rPr>
          <w:rFonts w:ascii="Times New Roman" w:hAnsi="Times New Roman"/>
        </w:rPr>
        <w:t>r.</w:t>
      </w:r>
    </w:p>
  </w:footnote>
  <w:footnote w:id="12">
    <w:p w14:paraId="5F630631" w14:textId="57489535" w:rsidR="00F5602F" w:rsidRPr="00BF1AA9" w:rsidRDefault="00F5602F" w:rsidP="00B05909">
      <w:pPr>
        <w:pStyle w:val="FootnoteText1"/>
        <w:tabs>
          <w:tab w:val="left" w:pos="284"/>
        </w:tabs>
        <w:ind w:left="142" w:hanging="142"/>
        <w:jc w:val="both"/>
        <w:rPr>
          <w:rFonts w:ascii="Times New Roman" w:hAnsi="Times New Roman" w:cs="Times New Roman"/>
        </w:rPr>
      </w:pPr>
      <w:r w:rsidRPr="00BF1AA9">
        <w:rPr>
          <w:rStyle w:val="FootnoteReference"/>
          <w:rFonts w:ascii="Times New Roman" w:hAnsi="Times New Roman"/>
        </w:rPr>
        <w:footnoteRef/>
      </w:r>
      <w:r w:rsidRPr="00BF1AA9">
        <w:t xml:space="preserve"> </w:t>
      </w:r>
      <w:r w:rsidRPr="00BF1AA9">
        <w:rPr>
          <w:rFonts w:ascii="Times New Roman" w:hAnsi="Times New Roman"/>
        </w:rPr>
        <w:t>Rozporządzenie wykonawcze Komisji (UE) 2021/581</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dni</w:t>
      </w:r>
      <w:r w:rsidRPr="00BF1AA9">
        <w:rPr>
          <w:rFonts w:ascii="Times New Roman" w:hAnsi="Times New Roman"/>
        </w:rPr>
        <w:t>a 9 kwietnia 2021</w:t>
      </w:r>
      <w:r w:rsidR="00BF1AA9" w:rsidRPr="00BF1AA9">
        <w:rPr>
          <w:rFonts w:ascii="Times New Roman" w:hAnsi="Times New Roman"/>
        </w:rPr>
        <w:t> </w:t>
      </w:r>
      <w:r w:rsidRPr="00BF1AA9">
        <w:rPr>
          <w:rFonts w:ascii="Times New Roman" w:hAnsi="Times New Roman"/>
        </w:rPr>
        <w:t>r.</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obrazów sytuacji europejskiego systemu nadzorowania granic (EUROSUR).</w:t>
      </w:r>
    </w:p>
  </w:footnote>
  <w:footnote w:id="13">
    <w:p w14:paraId="74F16359" w14:textId="5E6EA735" w:rsidR="00F5602F" w:rsidRPr="00BF1AA9" w:rsidRDefault="00F5602F" w:rsidP="00B05909">
      <w:pPr>
        <w:pStyle w:val="FootnoteText1"/>
        <w:jc w:val="both"/>
        <w:rPr>
          <w:rFonts w:ascii="Times New Roman" w:hAnsi="Times New Roman"/>
        </w:rPr>
      </w:pPr>
      <w:r w:rsidRPr="00BF1AA9">
        <w:rPr>
          <w:rStyle w:val="FootnoteReference"/>
          <w:rFonts w:ascii="Times New Roman" w:hAnsi="Times New Roman"/>
        </w:rPr>
        <w:footnoteRef/>
      </w:r>
      <w:r w:rsidRPr="00BF1AA9">
        <w:t xml:space="preserve"> </w:t>
      </w:r>
      <w:r w:rsidRPr="00BF1AA9">
        <w:rPr>
          <w:rFonts w:ascii="Times New Roman" w:hAnsi="Times New Roman"/>
        </w:rPr>
        <w:t>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c)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14">
    <w:p w14:paraId="6B7D31E2" w14:textId="24C48297" w:rsidR="00F5602F" w:rsidRPr="00BF1AA9" w:rsidRDefault="00F5602F" w:rsidP="00F5602F">
      <w:pPr>
        <w:pStyle w:val="FootnoteText1"/>
        <w:ind w:left="142" w:hanging="142"/>
        <w:jc w:val="both"/>
        <w:rPr>
          <w:rFonts w:ascii="Calibri" w:hAnsi="Calibri"/>
          <w:sz w:val="22"/>
        </w:rPr>
      </w:pPr>
      <w:r w:rsidRPr="00BF1AA9">
        <w:rPr>
          <w:rStyle w:val="FootnoteReference"/>
          <w:rFonts w:ascii="Times New Roman" w:hAnsi="Times New Roman"/>
        </w:rPr>
        <w:footnoteRef/>
      </w:r>
      <w:r w:rsidRPr="00BF1AA9">
        <w:rPr>
          <w:rFonts w:ascii="Times New Roman" w:hAnsi="Times New Roman"/>
        </w:rPr>
        <w:tab/>
        <w:t xml:space="preserve"> Decyzja zarządu Fronteksu nr</w:t>
      </w:r>
      <w:r w:rsidR="00BF1AA9" w:rsidRPr="00BF1AA9">
        <w:rPr>
          <w:rFonts w:ascii="Times New Roman" w:hAnsi="Times New Roman"/>
        </w:rPr>
        <w:t> </w:t>
      </w:r>
      <w:r w:rsidRPr="00BF1AA9">
        <w:rPr>
          <w:rFonts w:ascii="Times New Roman" w:hAnsi="Times New Roman"/>
        </w:rPr>
        <w:t>50/2021</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dni</w:t>
      </w:r>
      <w:r w:rsidRPr="00BF1AA9">
        <w:rPr>
          <w:rFonts w:ascii="Times New Roman" w:hAnsi="Times New Roman"/>
        </w:rPr>
        <w:t>a 21 września 2021</w:t>
      </w:r>
      <w:r w:rsidR="00BF1AA9" w:rsidRPr="00BF1AA9">
        <w:rPr>
          <w:rFonts w:ascii="Times New Roman" w:hAnsi="Times New Roman"/>
        </w:rPr>
        <w:t> </w:t>
      </w:r>
      <w:r w:rsidRPr="00BF1AA9">
        <w:rPr>
          <w:rFonts w:ascii="Times New Roman" w:hAnsi="Times New Roman"/>
        </w:rPr>
        <w:t>r. ustanawiająca wspólny zintegrowany model analizy ryzyka.</w:t>
      </w:r>
    </w:p>
  </w:footnote>
  <w:footnote w:id="15">
    <w:p w14:paraId="3CEFA250" w14:textId="4BF70A6E" w:rsidR="00F5602F" w:rsidRPr="00BF1AA9" w:rsidRDefault="00F5602F" w:rsidP="00F5602F">
      <w:pPr>
        <w:pStyle w:val="FootnoteText1"/>
        <w:ind w:left="142" w:hanging="142"/>
        <w:jc w:val="both"/>
        <w:rPr>
          <w:rFonts w:ascii="Times New Roman" w:hAnsi="Times New Roman"/>
        </w:rPr>
      </w:pPr>
      <w:r w:rsidRPr="00BF1AA9">
        <w:rPr>
          <w:rStyle w:val="FootnoteReference"/>
          <w:rFonts w:ascii="Times New Roman" w:hAnsi="Times New Roman"/>
        </w:rPr>
        <w:footnoteRef/>
      </w:r>
      <w:r w:rsidRPr="00BF1AA9">
        <w:rPr>
          <w:rFonts w:ascii="Times New Roman" w:hAnsi="Times New Roman"/>
        </w:rPr>
        <w:t xml:space="preserve"> </w:t>
      </w:r>
      <w:hyperlink r:id="rId1" w:history="1">
        <w:r w:rsidRPr="00BF1AA9">
          <w:rPr>
            <w:rStyle w:val="Hyperlink"/>
            <w:rFonts w:ascii="Times New Roman" w:hAnsi="Times New Roman"/>
          </w:rPr>
          <w:t>Ocena zagrożenia poważną</w:t>
        </w:r>
        <w:r w:rsidR="00BF1AA9" w:rsidRPr="00BF1AA9">
          <w:rPr>
            <w:rStyle w:val="Hyperlink"/>
            <w:rFonts w:ascii="Times New Roman" w:hAnsi="Times New Roman"/>
          </w:rPr>
          <w:t xml:space="preserve"> i</w:t>
        </w:r>
        <w:r w:rsidR="00BF1AA9">
          <w:rPr>
            <w:rStyle w:val="Hyperlink"/>
            <w:rFonts w:ascii="Times New Roman" w:hAnsi="Times New Roman"/>
          </w:rPr>
          <w:t> </w:t>
        </w:r>
        <w:r w:rsidR="00BF1AA9" w:rsidRPr="00BF1AA9">
          <w:rPr>
            <w:rStyle w:val="Hyperlink"/>
            <w:rFonts w:ascii="Times New Roman" w:hAnsi="Times New Roman"/>
          </w:rPr>
          <w:t>zor</w:t>
        </w:r>
        <w:r w:rsidRPr="00BF1AA9">
          <w:rPr>
            <w:rStyle w:val="Hyperlink"/>
            <w:rFonts w:ascii="Times New Roman" w:hAnsi="Times New Roman"/>
          </w:rPr>
          <w:t xml:space="preserve">ganizowaną przestępczością (SOCTA) </w:t>
        </w:r>
      </w:hyperlink>
      <w:hyperlink r:id="rId2" w:history="1">
        <w:r w:rsidRPr="00BF1AA9">
          <w:rPr>
            <w:rStyle w:val="Hyperlink"/>
            <w:rFonts w:ascii="Times New Roman" w:hAnsi="Times New Roman"/>
          </w:rPr>
          <w:t>Europol (europa.eu)</w:t>
        </w:r>
      </w:hyperlink>
    </w:p>
  </w:footnote>
  <w:footnote w:id="16">
    <w:p w14:paraId="5032B09A" w14:textId="1DC09AC3" w:rsidR="00F5602F" w:rsidRPr="00BF1AA9" w:rsidRDefault="00F5602F" w:rsidP="00F5602F">
      <w:pPr>
        <w:pStyle w:val="FootnoteText1"/>
        <w:ind w:left="142" w:hanging="142"/>
        <w:jc w:val="both"/>
        <w:rPr>
          <w:rFonts w:ascii="Times New Roman" w:hAnsi="Times New Roman"/>
        </w:rPr>
      </w:pPr>
      <w:r w:rsidRPr="00BF1AA9">
        <w:rPr>
          <w:rStyle w:val="FootnoteReference"/>
          <w:rFonts w:ascii="Times New Roman" w:hAnsi="Times New Roman"/>
        </w:rPr>
        <w:footnoteRef/>
      </w:r>
      <w:r w:rsidRPr="00BF1AA9">
        <w:rPr>
          <w:rFonts w:ascii="Times New Roman" w:hAnsi="Times New Roman"/>
        </w:rPr>
        <w:t xml:space="preserve"> Rozporządzenie Parlamentu Europejskiego</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Rad</w:t>
      </w:r>
      <w:r w:rsidRPr="00BF1AA9">
        <w:rPr>
          <w:rFonts w:ascii="Times New Roman" w:hAnsi="Times New Roman"/>
        </w:rPr>
        <w:t>y (UE) nr</w:t>
      </w:r>
      <w:r w:rsidR="00BF1AA9" w:rsidRPr="00BF1AA9">
        <w:rPr>
          <w:rFonts w:ascii="Times New Roman" w:hAnsi="Times New Roman"/>
        </w:rPr>
        <w:t> </w:t>
      </w:r>
      <w:r w:rsidRPr="00BF1AA9">
        <w:rPr>
          <w:rFonts w:ascii="Times New Roman" w:hAnsi="Times New Roman"/>
        </w:rPr>
        <w:t>258/2012</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dni</w:t>
      </w:r>
      <w:r w:rsidRPr="00BF1AA9">
        <w:rPr>
          <w:rFonts w:ascii="Times New Roman" w:hAnsi="Times New Roman"/>
        </w:rPr>
        <w:t>a 14 marca 2012</w:t>
      </w:r>
      <w:r w:rsidR="00BF1AA9" w:rsidRPr="00BF1AA9">
        <w:rPr>
          <w:rFonts w:ascii="Times New Roman" w:hAnsi="Times New Roman"/>
        </w:rPr>
        <w:t> </w:t>
      </w:r>
      <w:r w:rsidRPr="00BF1AA9">
        <w:rPr>
          <w:rFonts w:ascii="Times New Roman" w:hAnsi="Times New Roman"/>
        </w:rPr>
        <w:t>r. wdrażające art.</w:t>
      </w:r>
      <w:r w:rsidR="00BF1AA9" w:rsidRPr="00BF1AA9">
        <w:rPr>
          <w:rFonts w:ascii="Times New Roman" w:hAnsi="Times New Roman"/>
        </w:rPr>
        <w:t> </w:t>
      </w:r>
      <w:r w:rsidRPr="00BF1AA9">
        <w:rPr>
          <w:rFonts w:ascii="Times New Roman" w:hAnsi="Times New Roman"/>
        </w:rPr>
        <w:t>10 Protokołu Narodów Zjednoczonych przeciwko nielegalnemu wytwarzaniu</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obr</w:t>
      </w:r>
      <w:r w:rsidRPr="00BF1AA9">
        <w:rPr>
          <w:rFonts w:ascii="Times New Roman" w:hAnsi="Times New Roman"/>
        </w:rPr>
        <w:t>otowi bronią palną, jej częściami</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kom</w:t>
      </w:r>
      <w:r w:rsidRPr="00BF1AA9">
        <w:rPr>
          <w:rFonts w:ascii="Times New Roman" w:hAnsi="Times New Roman"/>
        </w:rPr>
        <w:t>ponentami oraz amunicją, uzupełniającego Konwencję Narodów Zjednoczonych przeciwko międzynarodowej przestępczości zorganizowanej (protokół NZ</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broni palnej), oraz ustanawiające zezwolenia na wywóz</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śro</w:t>
      </w:r>
      <w:r w:rsidRPr="00BF1AA9">
        <w:rPr>
          <w:rFonts w:ascii="Times New Roman" w:hAnsi="Times New Roman"/>
        </w:rPr>
        <w:t>dki dotyczące przywozu</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tra</w:t>
      </w:r>
      <w:r w:rsidRPr="00BF1AA9">
        <w:rPr>
          <w:rFonts w:ascii="Times New Roman" w:hAnsi="Times New Roman"/>
        </w:rPr>
        <w:t>nzytu dla broni palnej, jej części</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kom</w:t>
      </w:r>
      <w:r w:rsidRPr="00BF1AA9">
        <w:rPr>
          <w:rFonts w:ascii="Times New Roman" w:hAnsi="Times New Roman"/>
        </w:rPr>
        <w:t>ponentów oraz amunicji, Dz.U. L 94</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3</w:t>
      </w:r>
      <w:r w:rsidRPr="00BF1AA9">
        <w:rPr>
          <w:rFonts w:ascii="Times New Roman" w:hAnsi="Times New Roman"/>
        </w:rPr>
        <w:t>0.3.2012, s. 1.</w:t>
      </w:r>
    </w:p>
  </w:footnote>
  <w:footnote w:id="17">
    <w:p w14:paraId="43ADE01B" w14:textId="148369A3" w:rsidR="00F5602F" w:rsidRPr="00BF1AA9" w:rsidRDefault="00F5602F" w:rsidP="00F5602F">
      <w:pPr>
        <w:pStyle w:val="FootnoteText1"/>
        <w:jc w:val="both"/>
        <w:rPr>
          <w:rFonts w:ascii="Times New Roman" w:hAnsi="Times New Roman"/>
          <w:sz w:val="22"/>
          <w:szCs w:val="22"/>
        </w:rPr>
      </w:pPr>
      <w:r w:rsidRPr="00BF1AA9">
        <w:rPr>
          <w:rStyle w:val="FootnoteReference"/>
          <w:rFonts w:ascii="Times New Roman" w:hAnsi="Times New Roman"/>
        </w:rPr>
        <w:footnoteRef/>
      </w:r>
      <w:r w:rsidRPr="00BF1AA9">
        <w:t xml:space="preserve"> </w:t>
      </w:r>
      <w:r w:rsidRPr="00BF1AA9">
        <w:rPr>
          <w:rFonts w:ascii="Times New Roman" w:hAnsi="Times New Roman"/>
        </w:rPr>
        <w:t>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d)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18">
    <w:p w14:paraId="007B55B0" w14:textId="48ABBCE2"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t xml:space="preserve"> </w:t>
      </w:r>
      <w:r w:rsidRPr="00BF1AA9">
        <w:rPr>
          <w:rFonts w:ascii="Times New Roman" w:hAnsi="Times New Roman"/>
        </w:rPr>
        <w:t>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e)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19">
    <w:p w14:paraId="1692E74E" w14:textId="77777777" w:rsidR="00F5602F" w:rsidRPr="00BF1AA9" w:rsidRDefault="00F5602F" w:rsidP="00F5602F">
      <w:pPr>
        <w:pStyle w:val="FootnoteText"/>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w:t>
      </w:r>
      <w:hyperlink r:id="rId3" w:history="1">
        <w:r w:rsidRPr="00BF1AA9">
          <w:rPr>
            <w:rStyle w:val="Hyperlink"/>
            <w:rFonts w:ascii="Times New Roman" w:hAnsi="Times New Roman"/>
          </w:rPr>
          <w:t>https://www.consilium.europa.eu/pl/policies/eu-fight-against-crime/</w:t>
        </w:r>
      </w:hyperlink>
      <w:r w:rsidRPr="00BF1AA9">
        <w:rPr>
          <w:rFonts w:ascii="Times New Roman" w:hAnsi="Times New Roman"/>
        </w:rPr>
        <w:t xml:space="preserve"> </w:t>
      </w:r>
    </w:p>
  </w:footnote>
  <w:footnote w:id="20">
    <w:p w14:paraId="1CC04ED1" w14:textId="06065F21" w:rsidR="00F5602F" w:rsidRPr="00BF1AA9" w:rsidRDefault="00F5602F" w:rsidP="00F5602F">
      <w:pPr>
        <w:pStyle w:val="FootnoteText1"/>
        <w:jc w:val="both"/>
        <w:rPr>
          <w:rFonts w:ascii="Times New Roman" w:hAnsi="Times New Roman" w:cs="Times New Roman"/>
        </w:rPr>
      </w:pPr>
      <w:r w:rsidRPr="00BF1AA9">
        <w:rPr>
          <w:rStyle w:val="FootnoteReference"/>
          <w:rFonts w:ascii="Times New Roman" w:hAnsi="Times New Roman"/>
        </w:rPr>
        <w:footnoteRef/>
      </w:r>
      <w:r w:rsidRPr="00BF1AA9">
        <w:t xml:space="preserve"> </w:t>
      </w:r>
      <w:r w:rsidRPr="00BF1AA9">
        <w:rPr>
          <w:rFonts w:ascii="Times New Roman" w:hAnsi="Times New Roman"/>
        </w:rPr>
        <w:t>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f)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21">
    <w:p w14:paraId="189C5EBD" w14:textId="14F6BB91" w:rsidR="00F5602F" w:rsidRPr="00BF1AA9" w:rsidRDefault="00F5602F" w:rsidP="00F5602F">
      <w:pPr>
        <w:pStyle w:val="FootnoteText1"/>
        <w:ind w:left="142" w:hanging="142"/>
        <w:jc w:val="both"/>
        <w:rPr>
          <w:rFonts w:ascii="Times New Roman" w:hAnsi="Times New Roman"/>
        </w:rPr>
      </w:pPr>
      <w:r w:rsidRPr="00BF1AA9">
        <w:rPr>
          <w:rStyle w:val="FootnoteReference"/>
          <w:rFonts w:ascii="Times New Roman" w:hAnsi="Times New Roman"/>
        </w:rPr>
        <w:footnoteRef/>
      </w:r>
      <w:r w:rsidRPr="00BF1AA9">
        <w:t xml:space="preserve"> </w:t>
      </w:r>
      <w:r w:rsidRPr="00BF1AA9">
        <w:rPr>
          <w:rFonts w:ascii="Times New Roman" w:hAnsi="Times New Roman"/>
        </w:rPr>
        <w:t>Zalecenie Komisji ustanawiające praktyczny podręcznik dotyczący współpracy europejskiej</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zak</w:t>
      </w:r>
      <w:r w:rsidRPr="00BF1AA9">
        <w:rPr>
          <w:rFonts w:ascii="Times New Roman" w:hAnsi="Times New Roman"/>
        </w:rPr>
        <w:t>resie funkcji straży przybrzeżnej, C(2021) 5310 final.</w:t>
      </w:r>
    </w:p>
  </w:footnote>
  <w:footnote w:id="22">
    <w:p w14:paraId="41EB3A56" w14:textId="77ACEA83" w:rsidR="00F5602F" w:rsidRPr="00BF1AA9" w:rsidRDefault="00F5602F" w:rsidP="00F5602F">
      <w:pPr>
        <w:pStyle w:val="FootnoteText"/>
        <w:rPr>
          <w:rFonts w:ascii="Times New Roman" w:eastAsia="Calibri" w:hAnsi="Times New Roman" w:cs="Times New Roman"/>
        </w:rPr>
      </w:pPr>
      <w:r w:rsidRPr="00BF1AA9">
        <w:rPr>
          <w:rStyle w:val="FootnoteReference"/>
        </w:rPr>
        <w:footnoteRef/>
      </w:r>
      <w:r w:rsidRPr="00BF1AA9">
        <w:t xml:space="preserve"> </w:t>
      </w:r>
      <w:r w:rsidRPr="00BF1AA9">
        <w:rPr>
          <w:rFonts w:ascii="Times New Roman" w:hAnsi="Times New Roman"/>
        </w:rPr>
        <w:t>Komunikat Komisji</w:t>
      </w:r>
      <w:r w:rsidRPr="00BF1AA9">
        <w:t xml:space="preserve"> </w:t>
      </w:r>
      <w:r w:rsidRPr="00BF1AA9">
        <w:rPr>
          <w:rFonts w:ascii="Times New Roman" w:hAnsi="Times New Roman"/>
        </w:rPr>
        <w:t>– Europejski program</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zak</w:t>
      </w:r>
      <w:r w:rsidRPr="00BF1AA9">
        <w:rPr>
          <w:rFonts w:ascii="Times New Roman" w:hAnsi="Times New Roman"/>
        </w:rPr>
        <w:t>resie migracji, COM(2015) 240 final.</w:t>
      </w:r>
    </w:p>
  </w:footnote>
  <w:footnote w:id="23">
    <w:p w14:paraId="7829C3E0" w14:textId="419B7F8A" w:rsidR="00F5602F" w:rsidRPr="00BF1AA9" w:rsidRDefault="00F5602F" w:rsidP="00B05909">
      <w:pPr>
        <w:pStyle w:val="FootnoteText"/>
        <w:jc w:val="both"/>
      </w:pPr>
      <w:r w:rsidRPr="00BF1AA9">
        <w:rPr>
          <w:rStyle w:val="FootnoteReference"/>
          <w:rFonts w:ascii="Times New Roman" w:hAnsi="Times New Roman" w:cs="Times New Roman"/>
        </w:rPr>
        <w:footnoteRef/>
      </w:r>
      <w:r w:rsidRPr="00BF1AA9">
        <w:rPr>
          <w:rFonts w:ascii="Times New Roman" w:hAnsi="Times New Roman"/>
        </w:rPr>
        <w:t xml:space="preserve"> Konkluzje Rady</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stałej kontynuacji cyklu polityki unijnej dotyczącej poważnej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zor</w:t>
      </w:r>
      <w:r w:rsidRPr="00BF1AA9">
        <w:rPr>
          <w:rFonts w:ascii="Times New Roman" w:hAnsi="Times New Roman"/>
        </w:rPr>
        <w:t>ganizowanej przestępczości międzynarodowej: EMPACT 2022 +, 6481/21.</w:t>
      </w:r>
    </w:p>
  </w:footnote>
  <w:footnote w:id="24">
    <w:p w14:paraId="754C6D98" w14:textId="57A5ABA1"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t xml:space="preserve"> </w:t>
      </w:r>
      <w:r w:rsidRPr="00BF1AA9">
        <w:rPr>
          <w:rFonts w:ascii="Times New Roman" w:hAnsi="Times New Roman"/>
        </w:rPr>
        <w:t>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g)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25">
    <w:p w14:paraId="10155EED" w14:textId="77777777"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rPr>
          <w:rFonts w:ascii="Times New Roman" w:hAnsi="Times New Roman"/>
        </w:rPr>
        <w:t xml:space="preserve"> C(2022) 300 final.</w:t>
      </w:r>
    </w:p>
  </w:footnote>
  <w:footnote w:id="26">
    <w:p w14:paraId="1EE76392" w14:textId="77777777" w:rsidR="00F5602F" w:rsidRPr="00BF1AA9" w:rsidRDefault="00F5602F" w:rsidP="00F5602F">
      <w:pPr>
        <w:pStyle w:val="FootnoteText1"/>
        <w:jc w:val="both"/>
        <w:rPr>
          <w:rFonts w:ascii="Times New Roman" w:hAnsi="Times New Roman"/>
          <w:sz w:val="22"/>
        </w:rPr>
      </w:pPr>
      <w:r w:rsidRPr="00BF1AA9">
        <w:rPr>
          <w:rStyle w:val="FootnoteReference"/>
          <w:rFonts w:ascii="Times New Roman" w:hAnsi="Times New Roman"/>
        </w:rPr>
        <w:footnoteRef/>
      </w:r>
      <w:r w:rsidRPr="00BF1AA9">
        <w:rPr>
          <w:rFonts w:ascii="Times New Roman" w:hAnsi="Times New Roman"/>
        </w:rPr>
        <w:t xml:space="preserve"> COM(2021) 829 final i COM(2021) 830 final.</w:t>
      </w:r>
    </w:p>
  </w:footnote>
  <w:footnote w:id="27">
    <w:p w14:paraId="2DE397BB" w14:textId="77777777" w:rsidR="00F5602F" w:rsidRPr="00BF1AA9" w:rsidRDefault="00F5602F" w:rsidP="00F5602F">
      <w:pPr>
        <w:pStyle w:val="FootnoteText"/>
      </w:pPr>
      <w:r w:rsidRPr="00BF1AA9">
        <w:rPr>
          <w:rStyle w:val="FootnoteReference"/>
        </w:rPr>
        <w:footnoteRef/>
      </w:r>
      <w:r w:rsidRPr="00BF1AA9">
        <w:t xml:space="preserve"> </w:t>
      </w:r>
      <w:r w:rsidRPr="00BF1AA9">
        <w:rPr>
          <w:rFonts w:ascii="Times New Roman" w:hAnsi="Times New Roman"/>
        </w:rPr>
        <w:t>COM(2021) 591 final.</w:t>
      </w:r>
    </w:p>
  </w:footnote>
  <w:footnote w:id="28">
    <w:p w14:paraId="0F40A38C" w14:textId="754ED6C8" w:rsidR="00F5602F" w:rsidRPr="00BF1AA9" w:rsidRDefault="00F5602F" w:rsidP="00B05909">
      <w:pPr>
        <w:pStyle w:val="FootnoteText"/>
        <w:jc w:val="both"/>
      </w:pPr>
      <w:r w:rsidRPr="00BF1AA9">
        <w:rPr>
          <w:rStyle w:val="FootnoteReference"/>
        </w:rPr>
        <w:footnoteRef/>
      </w:r>
      <w:r w:rsidRPr="00BF1AA9">
        <w:t xml:space="preserve"> </w:t>
      </w:r>
      <w:r w:rsidRPr="00BF1AA9">
        <w:rPr>
          <w:rFonts w:ascii="Times New Roman" w:hAnsi="Times New Roman"/>
        </w:rPr>
        <w:t>Partnerstwa operacyjne na rzecz przeciwdziałania przemytowi nawiązano dotychczas</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Mar</w:t>
      </w:r>
      <w:r w:rsidRPr="00BF1AA9">
        <w:rPr>
          <w:rFonts w:ascii="Times New Roman" w:hAnsi="Times New Roman"/>
        </w:rPr>
        <w:t>okiem, Nigrem</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Bał</w:t>
      </w:r>
      <w:r w:rsidRPr="00BF1AA9">
        <w:rPr>
          <w:rFonts w:ascii="Times New Roman" w:hAnsi="Times New Roman"/>
        </w:rPr>
        <w:t>kanami Zachodnimi.</w:t>
      </w:r>
    </w:p>
  </w:footnote>
  <w:footnote w:id="29">
    <w:p w14:paraId="3DCEF7B1" w14:textId="58E82E0E" w:rsidR="00F5602F" w:rsidRPr="00BF1AA9" w:rsidRDefault="00F5602F" w:rsidP="00B05909">
      <w:pPr>
        <w:pStyle w:val="FootnoteText"/>
        <w:jc w:val="both"/>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Takich jak projekty pomocy technicznej dla państw trzecich</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dzi</w:t>
      </w:r>
      <w:r w:rsidRPr="00BF1AA9">
        <w:rPr>
          <w:rFonts w:ascii="Times New Roman" w:hAnsi="Times New Roman"/>
        </w:rPr>
        <w:t>edzinie powrotu, readmisji</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rei</w:t>
      </w:r>
      <w:r w:rsidRPr="00BF1AA9">
        <w:rPr>
          <w:rFonts w:ascii="Times New Roman" w:hAnsi="Times New Roman"/>
        </w:rPr>
        <w:t>ntegracji – TAP4RRR</w:t>
      </w:r>
      <w:r w:rsidRPr="00BF1AA9">
        <w:t>.</w:t>
      </w:r>
    </w:p>
  </w:footnote>
  <w:footnote w:id="30">
    <w:p w14:paraId="4801263B" w14:textId="7A285D23" w:rsidR="00F5602F" w:rsidRPr="00BF1AA9" w:rsidRDefault="00F5602F" w:rsidP="00F5602F">
      <w:pPr>
        <w:pStyle w:val="FootnoteText1"/>
        <w:jc w:val="both"/>
        <w:rPr>
          <w:rFonts w:ascii="Times New Roman" w:hAnsi="Times New Roman" w:cs="Times New Roman"/>
        </w:rPr>
      </w:pPr>
      <w:r w:rsidRPr="00BF1AA9">
        <w:rPr>
          <w:rStyle w:val="FootnoteReference"/>
          <w:rFonts w:ascii="Times New Roman" w:hAnsi="Times New Roman"/>
        </w:rPr>
        <w:footnoteRef/>
      </w:r>
      <w:r w:rsidRPr="00BF1AA9">
        <w:t xml:space="preserve"> </w:t>
      </w:r>
      <w:r w:rsidRPr="00BF1AA9">
        <w:rPr>
          <w:rFonts w:ascii="Times New Roman" w:hAnsi="Times New Roman"/>
        </w:rPr>
        <w:t>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h)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31">
    <w:p w14:paraId="6F24729B" w14:textId="569D0522"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t xml:space="preserve"> </w:t>
      </w:r>
      <w:r w:rsidRPr="00BF1AA9">
        <w:rPr>
          <w:rFonts w:ascii="Times New Roman" w:hAnsi="Times New Roman"/>
        </w:rPr>
        <w:t>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i)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32">
    <w:p w14:paraId="644DA7F5" w14:textId="6C081E05" w:rsidR="00F5602F" w:rsidRPr="00BF1AA9" w:rsidRDefault="00F5602F" w:rsidP="00F5602F">
      <w:pPr>
        <w:pStyle w:val="FootnoteText"/>
      </w:pPr>
      <w:r w:rsidRPr="00BF1AA9">
        <w:rPr>
          <w:rStyle w:val="FootnoteReference"/>
          <w:rFonts w:ascii="Times New Roman" w:hAnsi="Times New Roman" w:cs="Times New Roman"/>
        </w:rPr>
        <w:footnoteRef/>
      </w:r>
      <w:r w:rsidRPr="00BF1AA9">
        <w:rPr>
          <w:rFonts w:ascii="Times New Roman" w:hAnsi="Times New Roman"/>
        </w:rPr>
        <w:t xml:space="preserve"> COM(20220) 609 final</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2</w:t>
      </w:r>
      <w:r w:rsidRPr="00BF1AA9">
        <w:rPr>
          <w:rFonts w:ascii="Times New Roman" w:hAnsi="Times New Roman"/>
        </w:rPr>
        <w:t>3.9.2020.</w:t>
      </w:r>
    </w:p>
  </w:footnote>
  <w:footnote w:id="33">
    <w:p w14:paraId="12314164" w14:textId="77777777" w:rsidR="00F5602F" w:rsidRPr="00BF1AA9" w:rsidRDefault="00F5602F" w:rsidP="00F5602F">
      <w:pPr>
        <w:pStyle w:val="FootnoteText"/>
      </w:pPr>
      <w:r w:rsidRPr="00BF1AA9">
        <w:rPr>
          <w:rStyle w:val="FootnoteReference"/>
        </w:rPr>
        <w:footnoteRef/>
      </w:r>
      <w:r w:rsidRPr="00BF1AA9">
        <w:t xml:space="preserve"> </w:t>
      </w:r>
      <w:r w:rsidRPr="00BF1AA9">
        <w:rPr>
          <w:rFonts w:ascii="Times New Roman" w:hAnsi="Times New Roman"/>
        </w:rPr>
        <w:t>COM(2021) 120</w:t>
      </w:r>
      <w:r w:rsidRPr="00BF1AA9">
        <w:t xml:space="preserve">. </w:t>
      </w:r>
    </w:p>
  </w:footnote>
  <w:footnote w:id="34">
    <w:p w14:paraId="06A65593" w14:textId="1CFADEE0" w:rsidR="00F5602F" w:rsidRPr="00BF1AA9" w:rsidRDefault="00F5602F" w:rsidP="00B05909">
      <w:pPr>
        <w:pStyle w:val="FootnoteText"/>
        <w:jc w:val="both"/>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Komunikat Komisji do Parlamentu Europejskiego</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Rad</w:t>
      </w:r>
      <w:r w:rsidRPr="00BF1AA9">
        <w:rPr>
          <w:rFonts w:ascii="Times New Roman" w:hAnsi="Times New Roman"/>
        </w:rPr>
        <w:t>y „Strategia UE na rzecz dobrowolnych powrotów</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rei</w:t>
      </w:r>
      <w:r w:rsidRPr="00BF1AA9">
        <w:rPr>
          <w:rFonts w:ascii="Times New Roman" w:hAnsi="Times New Roman"/>
        </w:rPr>
        <w:t>ntegracji”, COM(2021)120 final.</w:t>
      </w:r>
    </w:p>
  </w:footnote>
  <w:footnote w:id="35">
    <w:p w14:paraId="362D9D61" w14:textId="4E5692B1" w:rsidR="00F5602F" w:rsidRPr="00BF1AA9" w:rsidRDefault="00F5602F" w:rsidP="00776FD0">
      <w:pPr>
        <w:pStyle w:val="FootnoteText"/>
        <w:jc w:val="both"/>
      </w:pPr>
      <w:r w:rsidRPr="00BF1AA9">
        <w:rPr>
          <w:rStyle w:val="FootnoteReference"/>
        </w:rPr>
        <w:footnoteRef/>
      </w:r>
      <w:r w:rsidRPr="00BF1AA9">
        <w:t xml:space="preserve"> </w:t>
      </w:r>
      <w:r w:rsidRPr="00BF1AA9">
        <w:rPr>
          <w:rFonts w:ascii="Times New Roman" w:hAnsi="Times New Roman"/>
        </w:rPr>
        <w:t>Zalecenie Komisji</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wzajemnego uznawania decyzji nakazujących powrót</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yspieszonych powrotów podczas wdrażania dyrektywy Parlamentu Europejskiego</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Rad</w:t>
      </w:r>
      <w:r w:rsidRPr="00BF1AA9">
        <w:rPr>
          <w:rFonts w:ascii="Times New Roman" w:hAnsi="Times New Roman"/>
        </w:rPr>
        <w:t>y 200/115/WE, C(2023) 1763.</w:t>
      </w:r>
    </w:p>
  </w:footnote>
  <w:footnote w:id="36">
    <w:p w14:paraId="0EFB55D4" w14:textId="6EB7482E" w:rsidR="00462AF7" w:rsidRPr="00BF1AA9" w:rsidRDefault="00462AF7" w:rsidP="00776FD0">
      <w:pPr>
        <w:pStyle w:val="FootnoteText"/>
        <w:jc w:val="both"/>
        <w:rPr>
          <w:rFonts w:ascii="Times New Roman" w:hAnsi="Times New Roman" w:cs="Times New Roman"/>
        </w:rPr>
      </w:pPr>
      <w:r w:rsidRPr="00BF1AA9">
        <w:rPr>
          <w:rStyle w:val="FootnoteReference"/>
        </w:rPr>
        <w:footnoteRef/>
      </w:r>
      <w:r w:rsidRPr="00BF1AA9">
        <w:t xml:space="preserve"> </w:t>
      </w:r>
      <w:r w:rsidRPr="00BF1AA9">
        <w:rPr>
          <w:rFonts w:ascii="Times New Roman" w:hAnsi="Times New Roman"/>
        </w:rPr>
        <w:t>Dokument programowy „W kierunku strategii operacyjnej na rzecz skuteczniejszych powrotów”</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2</w:t>
      </w:r>
      <w:r w:rsidRPr="00BF1AA9">
        <w:rPr>
          <w:rFonts w:ascii="Times New Roman" w:hAnsi="Times New Roman"/>
        </w:rPr>
        <w:t>4 stycznia 2023</w:t>
      </w:r>
      <w:r w:rsidR="00BF1AA9" w:rsidRPr="00BF1AA9">
        <w:rPr>
          <w:rFonts w:ascii="Times New Roman" w:hAnsi="Times New Roman"/>
        </w:rPr>
        <w:t> </w:t>
      </w:r>
      <w:r w:rsidRPr="00BF1AA9">
        <w:rPr>
          <w:rFonts w:ascii="Times New Roman" w:hAnsi="Times New Roman"/>
        </w:rPr>
        <w:t>r., COM(2023) 45 final.</w:t>
      </w:r>
    </w:p>
  </w:footnote>
  <w:footnote w:id="37">
    <w:p w14:paraId="5B185359" w14:textId="2E2A2285" w:rsidR="00F5602F" w:rsidRPr="00BF1AA9" w:rsidRDefault="00F5602F" w:rsidP="00F5602F">
      <w:pPr>
        <w:pStyle w:val="FootnoteText1"/>
        <w:jc w:val="both"/>
        <w:rPr>
          <w:rFonts w:ascii="Calibri" w:hAnsi="Calibri" w:cs="Times New Roman"/>
        </w:rPr>
      </w:pPr>
      <w:r w:rsidRPr="00BF1AA9">
        <w:rPr>
          <w:rStyle w:val="FootnoteReference"/>
          <w:rFonts w:ascii="Times New Roman" w:eastAsia="Calibri" w:hAnsi="Times New Roman" w:cs="Times New Roman"/>
        </w:rPr>
        <w:footnoteRef/>
      </w:r>
      <w:r w:rsidRPr="00BF1AA9">
        <w:t xml:space="preserve"> </w:t>
      </w:r>
      <w:r w:rsidRPr="00BF1AA9">
        <w:rPr>
          <w:rFonts w:ascii="Times New Roman" w:hAnsi="Times New Roman"/>
        </w:rPr>
        <w:t>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j)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r w:rsidRPr="00BF1AA9">
        <w:rPr>
          <w:rFonts w:ascii="Calibri" w:hAnsi="Calibri"/>
        </w:rPr>
        <w:t xml:space="preserve"> </w:t>
      </w:r>
    </w:p>
  </w:footnote>
  <w:footnote w:id="38">
    <w:p w14:paraId="4F42530D" w14:textId="3388ED4B"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t xml:space="preserve"> </w:t>
      </w:r>
      <w:r w:rsidRPr="00BF1AA9">
        <w:rPr>
          <w:rFonts w:ascii="Times New Roman" w:hAnsi="Times New Roman"/>
        </w:rPr>
        <w:t xml:space="preserve">Oświadczenie członków </w:t>
      </w:r>
      <w:hyperlink r:id="rId4" w:history="1">
        <w:r w:rsidRPr="00BF1AA9">
          <w:rPr>
            <w:rStyle w:val="Hyperlink1"/>
            <w:rFonts w:ascii="Times New Roman" w:hAnsi="Times New Roman"/>
          </w:rPr>
          <w:t>Rady Europejskiej</w:t>
        </w:r>
        <w:r w:rsidR="00BF1AA9" w:rsidRPr="00BF1AA9">
          <w:rPr>
            <w:rStyle w:val="Hyperlink1"/>
            <w:rFonts w:ascii="Times New Roman" w:hAnsi="Times New Roman"/>
          </w:rPr>
          <w:t xml:space="preserve"> z</w:t>
        </w:r>
        <w:r w:rsidR="00BF1AA9">
          <w:rPr>
            <w:rStyle w:val="Hyperlink1"/>
            <w:rFonts w:ascii="Times New Roman" w:hAnsi="Times New Roman"/>
          </w:rPr>
          <w:t> </w:t>
        </w:r>
        <w:r w:rsidR="00BF1AA9" w:rsidRPr="00BF1AA9">
          <w:rPr>
            <w:rStyle w:val="Hyperlink1"/>
            <w:rFonts w:ascii="Times New Roman" w:hAnsi="Times New Roman"/>
          </w:rPr>
          <w:t>2</w:t>
        </w:r>
        <w:r w:rsidRPr="00BF1AA9">
          <w:rPr>
            <w:rStyle w:val="Hyperlink1"/>
            <w:rFonts w:ascii="Times New Roman" w:hAnsi="Times New Roman"/>
          </w:rPr>
          <w:t>5–26 lutego 2021</w:t>
        </w:r>
        <w:r w:rsidR="00BF1AA9" w:rsidRPr="00BF1AA9">
          <w:rPr>
            <w:rStyle w:val="Hyperlink1"/>
            <w:rFonts w:ascii="Times New Roman" w:hAnsi="Times New Roman"/>
          </w:rPr>
          <w:t> </w:t>
        </w:r>
        <w:r w:rsidRPr="00BF1AA9">
          <w:rPr>
            <w:rStyle w:val="Hyperlink1"/>
            <w:rFonts w:ascii="Times New Roman" w:hAnsi="Times New Roman"/>
          </w:rPr>
          <w:t>r.</w:t>
        </w:r>
      </w:hyperlink>
    </w:p>
  </w:footnote>
  <w:footnote w:id="39">
    <w:p w14:paraId="3E78EBC5" w14:textId="1A3373EC" w:rsidR="00F5602F" w:rsidRPr="00BF1AA9" w:rsidRDefault="00F5602F" w:rsidP="00F5602F">
      <w:pPr>
        <w:pStyle w:val="FootnoteText1"/>
        <w:jc w:val="both"/>
        <w:rPr>
          <w:rFonts w:ascii="Times New Roman" w:hAnsi="Times New Roman"/>
          <w:sz w:val="22"/>
        </w:rPr>
      </w:pPr>
      <w:r w:rsidRPr="00BF1AA9">
        <w:rPr>
          <w:rStyle w:val="FootnoteReference"/>
          <w:rFonts w:ascii="Times New Roman" w:hAnsi="Times New Roman"/>
        </w:rPr>
        <w:footnoteRef/>
      </w:r>
      <w:r w:rsidRPr="00BF1AA9">
        <w:rPr>
          <w:rFonts w:ascii="Times New Roman" w:hAnsi="Times New Roman"/>
        </w:rPr>
        <w:t xml:space="preserve"> 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k)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40">
    <w:p w14:paraId="3FF9BA6F" w14:textId="6C2855E5" w:rsidR="00F5602F" w:rsidRPr="00BF1AA9" w:rsidRDefault="00F5602F" w:rsidP="00776FD0">
      <w:pPr>
        <w:pStyle w:val="FootnoteText"/>
        <w:jc w:val="both"/>
      </w:pPr>
      <w:r w:rsidRPr="00BF1AA9">
        <w:rPr>
          <w:rStyle w:val="FootnoteReference"/>
        </w:rPr>
        <w:footnoteRef/>
      </w:r>
      <w:r w:rsidR="00CB0430" w:rsidRPr="00BF1AA9">
        <w:t xml:space="preserve"> </w:t>
      </w:r>
      <w:r w:rsidRPr="00BF1AA9">
        <w:rPr>
          <w:rFonts w:ascii="Times New Roman" w:hAnsi="Times New Roman"/>
        </w:rPr>
        <w:t>Rozporządzenie Rady (UE) 2022/922</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dni</w:t>
      </w:r>
      <w:r w:rsidRPr="00BF1AA9">
        <w:rPr>
          <w:rFonts w:ascii="Times New Roman" w:hAnsi="Times New Roman"/>
        </w:rPr>
        <w:t>a 9 czerwca 2022</w:t>
      </w:r>
      <w:r w:rsidR="00BF1AA9" w:rsidRPr="00BF1AA9">
        <w:rPr>
          <w:rFonts w:ascii="Times New Roman" w:hAnsi="Times New Roman"/>
        </w:rPr>
        <w:t> </w:t>
      </w:r>
      <w:r w:rsidRPr="00BF1AA9">
        <w:rPr>
          <w:rFonts w:ascii="Times New Roman" w:hAnsi="Times New Roman"/>
        </w:rPr>
        <w:t>r.</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ustanowienia</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fun</w:t>
      </w:r>
      <w:r w:rsidRPr="00BF1AA9">
        <w:rPr>
          <w:rFonts w:ascii="Times New Roman" w:hAnsi="Times New Roman"/>
        </w:rPr>
        <w:t>kcjonowania mechanizmu oceny</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mon</w:t>
      </w:r>
      <w:r w:rsidRPr="00BF1AA9">
        <w:rPr>
          <w:rFonts w:ascii="Times New Roman" w:hAnsi="Times New Roman"/>
        </w:rPr>
        <w:t>itorowania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cel</w:t>
      </w:r>
      <w:r w:rsidRPr="00BF1AA9">
        <w:rPr>
          <w:rFonts w:ascii="Times New Roman" w:hAnsi="Times New Roman"/>
        </w:rPr>
        <w:t>u weryfikacji stosowania dorobku Schengen oraz</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uchylenia rozporządzenia (UE) nr</w:t>
      </w:r>
      <w:r w:rsidR="00BF1AA9" w:rsidRPr="00BF1AA9">
        <w:rPr>
          <w:rFonts w:ascii="Times New Roman" w:hAnsi="Times New Roman"/>
        </w:rPr>
        <w:t> </w:t>
      </w:r>
      <w:r w:rsidRPr="00BF1AA9">
        <w:rPr>
          <w:rFonts w:ascii="Times New Roman" w:hAnsi="Times New Roman"/>
        </w:rPr>
        <w:t>1053/2013, Dz.U. L 160</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1</w:t>
      </w:r>
      <w:r w:rsidRPr="00BF1AA9">
        <w:rPr>
          <w:rFonts w:ascii="Times New Roman" w:hAnsi="Times New Roman"/>
        </w:rPr>
        <w:t>5.6.2022, s. 1.</w:t>
      </w:r>
    </w:p>
  </w:footnote>
  <w:footnote w:id="41">
    <w:p w14:paraId="6A72144E" w14:textId="5BD89EFB" w:rsidR="00F5602F" w:rsidRPr="00BF1AA9" w:rsidRDefault="00F5602F" w:rsidP="00776FD0">
      <w:pPr>
        <w:pStyle w:val="FootnoteText1"/>
        <w:rPr>
          <w:rFonts w:ascii="Times New Roman" w:hAnsi="Times New Roman"/>
        </w:rPr>
      </w:pPr>
      <w:r w:rsidRPr="00BF1AA9">
        <w:rPr>
          <w:rStyle w:val="FootnoteReference"/>
          <w:rFonts w:ascii="Times New Roman" w:hAnsi="Times New Roman"/>
        </w:rPr>
        <w:footnoteRef/>
      </w:r>
      <w:r w:rsidRPr="00BF1AA9">
        <w:rPr>
          <w:rFonts w:ascii="Times New Roman" w:hAnsi="Times New Roman"/>
        </w:rPr>
        <w:t xml:space="preserve"> Art. 3 ust.</w:t>
      </w:r>
      <w:r w:rsidR="00BF1AA9" w:rsidRPr="00BF1AA9">
        <w:rPr>
          <w:rFonts w:ascii="Times New Roman" w:hAnsi="Times New Roman"/>
        </w:rPr>
        <w:t> </w:t>
      </w:r>
      <w:r w:rsidRPr="00BF1AA9">
        <w:rPr>
          <w:rFonts w:ascii="Times New Roman" w:hAnsi="Times New Roman"/>
        </w:rPr>
        <w:t>1 lit.</w:t>
      </w:r>
      <w:r w:rsidR="00BF1AA9" w:rsidRPr="00BF1AA9">
        <w:rPr>
          <w:rFonts w:ascii="Times New Roman" w:hAnsi="Times New Roman"/>
        </w:rPr>
        <w:t> </w:t>
      </w:r>
      <w:r w:rsidRPr="00BF1AA9">
        <w:rPr>
          <w:rFonts w:ascii="Times New Roman" w:hAnsi="Times New Roman"/>
        </w:rPr>
        <w:t>l)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42">
    <w:p w14:paraId="3581E853" w14:textId="22281AE4"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rPr>
          <w:rFonts w:ascii="Times New Roman" w:hAnsi="Times New Roman"/>
        </w:rPr>
        <w:t xml:space="preserve"> Art. 3 ust.</w:t>
      </w:r>
      <w:r w:rsidR="00BF1AA9" w:rsidRPr="00BF1AA9">
        <w:rPr>
          <w:rFonts w:ascii="Times New Roman" w:hAnsi="Times New Roman"/>
        </w:rPr>
        <w:t> </w:t>
      </w:r>
      <w:r w:rsidRPr="00BF1AA9">
        <w:rPr>
          <w:rFonts w:ascii="Times New Roman" w:hAnsi="Times New Roman"/>
        </w:rPr>
        <w:t>2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43">
    <w:p w14:paraId="53BA98E2" w14:textId="543D29A5"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rPr>
          <w:rFonts w:ascii="Times New Roman" w:hAnsi="Times New Roman"/>
        </w:rPr>
        <w:t xml:space="preserve"> COM(2020) 612</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2</w:t>
      </w:r>
      <w:r w:rsidRPr="00BF1AA9">
        <w:rPr>
          <w:rFonts w:ascii="Times New Roman" w:hAnsi="Times New Roman"/>
        </w:rPr>
        <w:t>3.9.2020.</w:t>
      </w:r>
    </w:p>
  </w:footnote>
  <w:footnote w:id="44">
    <w:p w14:paraId="3888030C" w14:textId="10E9780C"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rPr>
          <w:rFonts w:ascii="Times New Roman" w:hAnsi="Times New Roman"/>
        </w:rPr>
        <w:t xml:space="preserve"> COM(2020) 610</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2</w:t>
      </w:r>
      <w:r w:rsidRPr="00BF1AA9">
        <w:rPr>
          <w:rFonts w:ascii="Times New Roman" w:hAnsi="Times New Roman"/>
        </w:rPr>
        <w:t>3.9.2020.</w:t>
      </w:r>
    </w:p>
  </w:footnote>
  <w:footnote w:id="45">
    <w:p w14:paraId="54E9C13E" w14:textId="1035C4B1" w:rsidR="00F5602F" w:rsidRPr="00BF1AA9" w:rsidRDefault="00F5602F" w:rsidP="00B05909">
      <w:pPr>
        <w:pStyle w:val="FootnoteText"/>
        <w:jc w:val="both"/>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Strategia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zak</w:t>
      </w:r>
      <w:r w:rsidRPr="00BF1AA9">
        <w:rPr>
          <w:rFonts w:ascii="Times New Roman" w:hAnsi="Times New Roman"/>
        </w:rPr>
        <w:t>resie praw podstawowych Europejskiej Agencji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 2021.</w:t>
      </w:r>
    </w:p>
  </w:footnote>
  <w:footnote w:id="46">
    <w:p w14:paraId="26A75838" w14:textId="31A35BE9" w:rsidR="00F5602F" w:rsidRPr="00BF1AA9" w:rsidRDefault="00F5602F" w:rsidP="00B05909">
      <w:pPr>
        <w:pStyle w:val="FootnoteText"/>
        <w:jc w:val="both"/>
      </w:pPr>
      <w:r w:rsidRPr="00BF1AA9">
        <w:rPr>
          <w:rStyle w:val="FootnoteReference"/>
          <w:rFonts w:ascii="Times New Roman" w:hAnsi="Times New Roman" w:cs="Times New Roman"/>
        </w:rPr>
        <w:footnoteRef/>
      </w:r>
      <w:r w:rsidRPr="00BF1AA9">
        <w:rPr>
          <w:rFonts w:ascii="Times New Roman" w:hAnsi="Times New Roman"/>
        </w:rPr>
        <w:t xml:space="preserve"> Decyzja zarządu nr</w:t>
      </w:r>
      <w:r w:rsidR="00BF1AA9" w:rsidRPr="00BF1AA9">
        <w:rPr>
          <w:rFonts w:ascii="Times New Roman" w:hAnsi="Times New Roman"/>
        </w:rPr>
        <w:t> </w:t>
      </w:r>
      <w:r w:rsidRPr="00BF1AA9">
        <w:rPr>
          <w:rFonts w:ascii="Times New Roman" w:hAnsi="Times New Roman"/>
        </w:rPr>
        <w:t>61/2021</w:t>
      </w:r>
      <w:r w:rsidR="00BF1AA9" w:rsidRPr="00BF1AA9">
        <w:rPr>
          <w:rFonts w:ascii="Times New Roman" w:hAnsi="Times New Roman"/>
        </w:rPr>
        <w:t xml:space="preserve"> z</w:t>
      </w:r>
      <w:r w:rsidR="00BF1AA9">
        <w:rPr>
          <w:rFonts w:ascii="Times New Roman" w:hAnsi="Times New Roman"/>
        </w:rPr>
        <w:t> </w:t>
      </w:r>
      <w:r w:rsidR="00BF1AA9" w:rsidRPr="00BF1AA9">
        <w:rPr>
          <w:rFonts w:ascii="Times New Roman" w:hAnsi="Times New Roman"/>
        </w:rPr>
        <w:t>dni</w:t>
      </w:r>
      <w:r w:rsidRPr="00BF1AA9">
        <w:rPr>
          <w:rFonts w:ascii="Times New Roman" w:hAnsi="Times New Roman"/>
        </w:rPr>
        <w:t>a 9 listopada 2021</w:t>
      </w:r>
      <w:r w:rsidR="00BF1AA9" w:rsidRPr="00BF1AA9">
        <w:rPr>
          <w:rFonts w:ascii="Times New Roman" w:hAnsi="Times New Roman"/>
        </w:rPr>
        <w:t> </w:t>
      </w:r>
      <w:r w:rsidRPr="00BF1AA9">
        <w:rPr>
          <w:rFonts w:ascii="Times New Roman" w:hAnsi="Times New Roman"/>
        </w:rPr>
        <w:t>r. przyjmująca plan działania dotyczący praw podstawowych na rzecz wdrożenia strategii</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zak</w:t>
      </w:r>
      <w:r w:rsidRPr="00BF1AA9">
        <w:rPr>
          <w:rFonts w:ascii="Times New Roman" w:hAnsi="Times New Roman"/>
        </w:rPr>
        <w:t>resie praw podstawowych.</w:t>
      </w:r>
    </w:p>
  </w:footnote>
  <w:footnote w:id="47">
    <w:p w14:paraId="7CF01702" w14:textId="5C64A93D"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rPr>
          <w:rFonts w:ascii="Times New Roman" w:hAnsi="Times New Roman"/>
        </w:rPr>
        <w:t xml:space="preserve"> Art. 3 ust.</w:t>
      </w:r>
      <w:r w:rsidR="00BF1AA9" w:rsidRPr="00BF1AA9">
        <w:rPr>
          <w:rFonts w:ascii="Times New Roman" w:hAnsi="Times New Roman"/>
        </w:rPr>
        <w:t> </w:t>
      </w:r>
      <w:r w:rsidRPr="00BF1AA9">
        <w:rPr>
          <w:rFonts w:ascii="Times New Roman" w:hAnsi="Times New Roman"/>
        </w:rPr>
        <w:t>2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48">
    <w:p w14:paraId="21AFB08C" w14:textId="6CF12D35" w:rsidR="00F5602F" w:rsidRPr="00BF1AA9" w:rsidRDefault="00F5602F" w:rsidP="00F5602F">
      <w:pPr>
        <w:pStyle w:val="FootnoteText1"/>
        <w:jc w:val="both"/>
        <w:rPr>
          <w:rFonts w:ascii="Times New Roman" w:hAnsi="Times New Roman"/>
        </w:rPr>
      </w:pPr>
      <w:r w:rsidRPr="00BF1AA9">
        <w:rPr>
          <w:rStyle w:val="FootnoteReference"/>
          <w:rFonts w:ascii="Times New Roman" w:hAnsi="Times New Roman"/>
        </w:rPr>
        <w:footnoteRef/>
      </w:r>
      <w:r w:rsidRPr="00BF1AA9">
        <w:rPr>
          <w:rFonts w:ascii="Times New Roman" w:hAnsi="Times New Roman"/>
        </w:rPr>
        <w:t xml:space="preserve"> Art. 3 ust.</w:t>
      </w:r>
      <w:r w:rsidR="00BF1AA9" w:rsidRPr="00BF1AA9">
        <w:rPr>
          <w:rFonts w:ascii="Times New Roman" w:hAnsi="Times New Roman"/>
        </w:rPr>
        <w:t> </w:t>
      </w:r>
      <w:r w:rsidRPr="00BF1AA9">
        <w:rPr>
          <w:rFonts w:ascii="Times New Roman" w:hAnsi="Times New Roman"/>
        </w:rPr>
        <w:t>2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 w:id="49">
    <w:p w14:paraId="6C14B868" w14:textId="77777777" w:rsidR="00F5602F" w:rsidRPr="00BF1AA9" w:rsidRDefault="00F5602F" w:rsidP="00F5602F">
      <w:pPr>
        <w:pStyle w:val="FootnoteText"/>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Przykłady obejmują ABC4EU (</w:t>
      </w:r>
      <w:hyperlink r:id="rId5" w:history="1">
        <w:r w:rsidRPr="00BF1AA9">
          <w:rPr>
            <w:rStyle w:val="Hyperlink"/>
            <w:rFonts w:ascii="Times New Roman" w:hAnsi="Times New Roman"/>
          </w:rPr>
          <w:t>https://cordis.europa.eu/project/id/312797</w:t>
        </w:r>
      </w:hyperlink>
      <w:r w:rsidRPr="00BF1AA9">
        <w:rPr>
          <w:rFonts w:ascii="Times New Roman" w:hAnsi="Times New Roman"/>
        </w:rPr>
        <w:t>), BODEGA (</w:t>
      </w:r>
      <w:hyperlink r:id="rId6" w:history="1">
        <w:r w:rsidRPr="00BF1AA9">
          <w:rPr>
            <w:rStyle w:val="Hyperlink"/>
            <w:rFonts w:ascii="Times New Roman" w:hAnsi="Times New Roman"/>
          </w:rPr>
          <w:t>https://cordis.europa.eu/project/id/653676</w:t>
        </w:r>
      </w:hyperlink>
      <w:r w:rsidRPr="00BF1AA9">
        <w:rPr>
          <w:rFonts w:ascii="Times New Roman" w:hAnsi="Times New Roman"/>
        </w:rPr>
        <w:t>), D4FLY (</w:t>
      </w:r>
      <w:hyperlink r:id="rId7" w:history="1">
        <w:r w:rsidRPr="00BF1AA9">
          <w:rPr>
            <w:rStyle w:val="Hyperlink"/>
            <w:rFonts w:ascii="Times New Roman" w:hAnsi="Times New Roman"/>
          </w:rPr>
          <w:t>https://cordis.europa.eu/project/id/833704/pl</w:t>
        </w:r>
      </w:hyperlink>
      <w:r w:rsidRPr="00BF1AA9">
        <w:rPr>
          <w:rFonts w:ascii="Times New Roman" w:hAnsi="Times New Roman"/>
        </w:rPr>
        <w:t>), FASTPASS (</w:t>
      </w:r>
      <w:hyperlink r:id="rId8" w:history="1">
        <w:r w:rsidRPr="00BF1AA9">
          <w:rPr>
            <w:rStyle w:val="Hyperlink"/>
            <w:rFonts w:ascii="Times New Roman" w:hAnsi="Times New Roman"/>
          </w:rPr>
          <w:t>https://cordis.europa.eu/project/id/312583</w:t>
        </w:r>
      </w:hyperlink>
      <w:r w:rsidRPr="00BF1AA9">
        <w:rPr>
          <w:rFonts w:ascii="Times New Roman" w:hAnsi="Times New Roman"/>
        </w:rPr>
        <w:t>), XP-DITE (</w:t>
      </w:r>
      <w:hyperlink r:id="rId9" w:history="1">
        <w:r w:rsidRPr="00BF1AA9">
          <w:rPr>
            <w:rStyle w:val="Hyperlink"/>
            <w:rFonts w:ascii="Times New Roman" w:hAnsi="Times New Roman"/>
          </w:rPr>
          <w:t>https://cordis.europa.eu/project/id/285311</w:t>
        </w:r>
      </w:hyperlink>
      <w:r w:rsidRPr="00BF1AA9">
        <w:rPr>
          <w:rFonts w:ascii="Times New Roman" w:hAnsi="Times New Roman"/>
        </w:rPr>
        <w:t>)</w:t>
      </w:r>
      <w:r w:rsidRPr="00BF1AA9">
        <w:t>.</w:t>
      </w:r>
      <w:r w:rsidRPr="00BF1AA9">
        <w:rPr>
          <w:rFonts w:ascii="Times New Roman" w:hAnsi="Times New Roman"/>
        </w:rPr>
        <w:t xml:space="preserve"> </w:t>
      </w:r>
    </w:p>
  </w:footnote>
  <w:footnote w:id="50">
    <w:p w14:paraId="71F36DE8" w14:textId="77777777" w:rsidR="00F5602F" w:rsidRPr="00BF1AA9" w:rsidRDefault="00F5602F" w:rsidP="00F5602F">
      <w:pPr>
        <w:pStyle w:val="FootnoteText"/>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Przykłady obejmują ALFA (</w:t>
      </w:r>
      <w:hyperlink r:id="rId10" w:history="1">
        <w:r w:rsidRPr="00BF1AA9">
          <w:rPr>
            <w:rStyle w:val="Hyperlink"/>
            <w:rFonts w:ascii="Times New Roman" w:hAnsi="Times New Roman"/>
          </w:rPr>
          <w:t>https://cordis.europa.eu/project/id/700002</w:t>
        </w:r>
      </w:hyperlink>
      <w:r w:rsidRPr="00BF1AA9">
        <w:rPr>
          <w:rFonts w:ascii="Times New Roman" w:hAnsi="Times New Roman"/>
        </w:rPr>
        <w:t>), EWISA (</w:t>
      </w:r>
      <w:hyperlink r:id="rId11" w:history="1">
        <w:r w:rsidRPr="00BF1AA9">
          <w:rPr>
            <w:rStyle w:val="Hyperlink"/>
            <w:rFonts w:ascii="Times New Roman" w:hAnsi="Times New Roman"/>
          </w:rPr>
          <w:t>https://cordis.europa.eu/project/id/608174</w:t>
        </w:r>
      </w:hyperlink>
      <w:r w:rsidRPr="00BF1AA9">
        <w:rPr>
          <w:rFonts w:ascii="Times New Roman" w:hAnsi="Times New Roman"/>
        </w:rPr>
        <w:t>), FOLDOUT (</w:t>
      </w:r>
      <w:hyperlink r:id="rId12" w:history="1">
        <w:r w:rsidRPr="00BF1AA9">
          <w:rPr>
            <w:rStyle w:val="Hyperlink"/>
            <w:rFonts w:ascii="Times New Roman" w:hAnsi="Times New Roman"/>
          </w:rPr>
          <w:t>https://cordis.europa.eu/project/id/787021</w:t>
        </w:r>
      </w:hyperlink>
      <w:r w:rsidRPr="00BF1AA9">
        <w:rPr>
          <w:rFonts w:ascii="Times New Roman" w:hAnsi="Times New Roman"/>
        </w:rPr>
        <w:t>)</w:t>
      </w:r>
      <w:r w:rsidRPr="00BF1AA9">
        <w:t>.</w:t>
      </w:r>
      <w:r w:rsidRPr="00BF1AA9">
        <w:rPr>
          <w:rFonts w:ascii="Times New Roman" w:hAnsi="Times New Roman"/>
        </w:rPr>
        <w:t xml:space="preserve"> </w:t>
      </w:r>
    </w:p>
  </w:footnote>
  <w:footnote w:id="51">
    <w:p w14:paraId="22CC4E80" w14:textId="77777777" w:rsidR="00F5602F" w:rsidRPr="00BF1AA9" w:rsidRDefault="00F5602F" w:rsidP="00F5602F">
      <w:pPr>
        <w:pStyle w:val="FootnoteText"/>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Przykłady obejmują FIDELITY (</w:t>
      </w:r>
      <w:hyperlink r:id="rId13" w:history="1">
        <w:r w:rsidRPr="00BF1AA9">
          <w:rPr>
            <w:rStyle w:val="Hyperlink"/>
            <w:rFonts w:ascii="Times New Roman" w:hAnsi="Times New Roman"/>
          </w:rPr>
          <w:t>https://cordis.europa.eu/project/id/284862</w:t>
        </w:r>
      </w:hyperlink>
      <w:r w:rsidRPr="00BF1AA9">
        <w:rPr>
          <w:rFonts w:ascii="Times New Roman" w:hAnsi="Times New Roman"/>
        </w:rPr>
        <w:t>), iMARS (</w:t>
      </w:r>
      <w:hyperlink r:id="rId14" w:history="1">
        <w:r w:rsidRPr="00BF1AA9">
          <w:rPr>
            <w:rStyle w:val="Hyperlink"/>
            <w:rFonts w:ascii="Times New Roman" w:hAnsi="Times New Roman"/>
          </w:rPr>
          <w:t>https://cordis.europa.eu/project/id/607379</w:t>
        </w:r>
      </w:hyperlink>
      <w:r w:rsidRPr="00BF1AA9">
        <w:rPr>
          <w:rFonts w:ascii="Times New Roman" w:hAnsi="Times New Roman"/>
        </w:rPr>
        <w:t>)</w:t>
      </w:r>
      <w:r w:rsidRPr="00BF1AA9">
        <w:t>.</w:t>
      </w:r>
      <w:r w:rsidRPr="00BF1AA9">
        <w:rPr>
          <w:rFonts w:ascii="Times New Roman" w:hAnsi="Times New Roman"/>
        </w:rPr>
        <w:t xml:space="preserve"> </w:t>
      </w:r>
    </w:p>
  </w:footnote>
  <w:footnote w:id="52">
    <w:p w14:paraId="12EC49A9" w14:textId="77777777" w:rsidR="00F5602F" w:rsidRPr="00BF1AA9" w:rsidRDefault="00F5602F" w:rsidP="00F5602F">
      <w:pPr>
        <w:pStyle w:val="FootnoteText"/>
      </w:pPr>
      <w:r w:rsidRPr="00BF1AA9">
        <w:rPr>
          <w:rStyle w:val="FootnoteReference"/>
        </w:rPr>
        <w:footnoteRef/>
      </w:r>
      <w:r w:rsidRPr="00BF1AA9">
        <w:t xml:space="preserve"> </w:t>
      </w:r>
      <w:r w:rsidRPr="00BF1AA9">
        <w:rPr>
          <w:rFonts w:ascii="Times New Roman" w:hAnsi="Times New Roman"/>
        </w:rPr>
        <w:t>Przykłady obejmują ANDROMEDA (</w:t>
      </w:r>
      <w:hyperlink r:id="rId15" w:history="1">
        <w:r w:rsidRPr="00BF1AA9">
          <w:rPr>
            <w:rStyle w:val="Hyperlink"/>
            <w:rFonts w:ascii="Times New Roman" w:hAnsi="Times New Roman"/>
          </w:rPr>
          <w:t>https://cordis.europa.eu/project/id/833881/pl</w:t>
        </w:r>
      </w:hyperlink>
      <w:r w:rsidRPr="00BF1AA9">
        <w:t>).</w:t>
      </w:r>
    </w:p>
  </w:footnote>
  <w:footnote w:id="53">
    <w:p w14:paraId="0DD2A4FA" w14:textId="77777777" w:rsidR="00F5602F" w:rsidRPr="00BF1AA9" w:rsidRDefault="00F5602F" w:rsidP="00F5602F">
      <w:pPr>
        <w:pStyle w:val="FootnoteText"/>
        <w:rPr>
          <w:rFonts w:ascii="Times New Roman" w:hAnsi="Times New Roman" w:cs="Times New Roman"/>
        </w:rPr>
      </w:pPr>
      <w:r w:rsidRPr="00BF1AA9">
        <w:rPr>
          <w:rStyle w:val="FootnoteReference"/>
          <w:rFonts w:ascii="Times New Roman" w:hAnsi="Times New Roman" w:cs="Times New Roman"/>
        </w:rPr>
        <w:footnoteRef/>
      </w:r>
      <w:r w:rsidRPr="00BF1AA9">
        <w:rPr>
          <w:rFonts w:ascii="Times New Roman" w:hAnsi="Times New Roman"/>
        </w:rPr>
        <w:t xml:space="preserve"> Przykłady obejmują TRESSPASS (</w:t>
      </w:r>
      <w:hyperlink r:id="rId16" w:history="1">
        <w:r w:rsidRPr="00BF1AA9">
          <w:rPr>
            <w:rStyle w:val="Hyperlink"/>
            <w:rFonts w:ascii="Times New Roman" w:hAnsi="Times New Roman"/>
          </w:rPr>
          <w:t>https://cordis.europa.eu/project/id/787120</w:t>
        </w:r>
      </w:hyperlink>
      <w:r w:rsidRPr="00BF1AA9">
        <w:rPr>
          <w:rFonts w:ascii="Times New Roman" w:hAnsi="Times New Roman"/>
        </w:rPr>
        <w:t>)</w:t>
      </w:r>
      <w:r w:rsidRPr="00BF1AA9">
        <w:t>.</w:t>
      </w:r>
      <w:r w:rsidRPr="00BF1AA9">
        <w:rPr>
          <w:rFonts w:ascii="Times New Roman" w:hAnsi="Times New Roman"/>
        </w:rPr>
        <w:t xml:space="preserve"> </w:t>
      </w:r>
    </w:p>
  </w:footnote>
  <w:footnote w:id="54">
    <w:p w14:paraId="650FB05C" w14:textId="77777777" w:rsidR="00F5602F" w:rsidRPr="00BF1AA9" w:rsidRDefault="00F5602F" w:rsidP="00F5602F">
      <w:pPr>
        <w:pStyle w:val="FootnoteText"/>
      </w:pPr>
      <w:r w:rsidRPr="00BF1AA9">
        <w:rPr>
          <w:rStyle w:val="FootnoteReference"/>
          <w:rFonts w:ascii="Times New Roman" w:hAnsi="Times New Roman" w:cs="Times New Roman"/>
        </w:rPr>
        <w:footnoteRef/>
      </w:r>
      <w:r w:rsidRPr="00BF1AA9">
        <w:rPr>
          <w:rFonts w:ascii="Times New Roman" w:hAnsi="Times New Roman"/>
        </w:rPr>
        <w:t xml:space="preserve"> Przykłady obejmują CLOSEYE (</w:t>
      </w:r>
      <w:hyperlink r:id="rId17" w:history="1">
        <w:r w:rsidRPr="00BF1AA9">
          <w:rPr>
            <w:rStyle w:val="Hyperlink"/>
            <w:rFonts w:ascii="Times New Roman" w:hAnsi="Times New Roman"/>
          </w:rPr>
          <w:t>https://cordis.europa.eu/project/id/313184</w:t>
        </w:r>
      </w:hyperlink>
      <w:r w:rsidRPr="00BF1AA9">
        <w:rPr>
          <w:rFonts w:ascii="Times New Roman" w:hAnsi="Times New Roman"/>
        </w:rPr>
        <w:t>), COMPASS2020 (</w:t>
      </w:r>
      <w:hyperlink r:id="rId18" w:history="1">
        <w:r w:rsidRPr="00BF1AA9">
          <w:rPr>
            <w:rStyle w:val="Hyperlink"/>
            <w:rFonts w:ascii="Times New Roman" w:hAnsi="Times New Roman"/>
          </w:rPr>
          <w:t>https://cordis.europa.eu/project/id/833650</w:t>
        </w:r>
      </w:hyperlink>
      <w:r w:rsidRPr="00BF1AA9">
        <w:rPr>
          <w:rFonts w:ascii="Times New Roman" w:hAnsi="Times New Roman"/>
        </w:rPr>
        <w:t>), EFFECTOR (</w:t>
      </w:r>
      <w:hyperlink r:id="rId19" w:history="1">
        <w:r w:rsidRPr="00BF1AA9">
          <w:rPr>
            <w:rStyle w:val="Hyperlink"/>
            <w:rFonts w:ascii="Times New Roman" w:hAnsi="Times New Roman"/>
          </w:rPr>
          <w:t>https://cordis.europa.eu/project/id/883374</w:t>
        </w:r>
      </w:hyperlink>
      <w:r w:rsidRPr="00BF1AA9">
        <w:rPr>
          <w:rFonts w:ascii="Times New Roman" w:hAnsi="Times New Roman"/>
        </w:rPr>
        <w:t>), EUCISE2020 (</w:t>
      </w:r>
      <w:hyperlink r:id="rId20" w:history="1">
        <w:r w:rsidRPr="00BF1AA9">
          <w:rPr>
            <w:rStyle w:val="Hyperlink"/>
            <w:rFonts w:ascii="Times New Roman" w:hAnsi="Times New Roman"/>
          </w:rPr>
          <w:t>https://cordis.europa.eu/project/id/883374</w:t>
        </w:r>
      </w:hyperlink>
      <w:r w:rsidRPr="00BF1AA9">
        <w:rPr>
          <w:rFonts w:ascii="Times New Roman" w:hAnsi="Times New Roman"/>
        </w:rPr>
        <w:t>), MARISA (</w:t>
      </w:r>
      <w:hyperlink r:id="rId21" w:history="1">
        <w:r w:rsidRPr="00BF1AA9">
          <w:rPr>
            <w:rStyle w:val="Hyperlink"/>
            <w:rFonts w:ascii="Times New Roman" w:hAnsi="Times New Roman"/>
          </w:rPr>
          <w:t>https://cordis.europa.eu/project/id/740698</w:t>
        </w:r>
      </w:hyperlink>
      <w:r w:rsidRPr="00BF1AA9">
        <w:rPr>
          <w:rFonts w:ascii="Times New Roman" w:hAnsi="Times New Roman"/>
        </w:rPr>
        <w:t>), SAFESHORE (</w:t>
      </w:r>
      <w:hyperlink r:id="rId22" w:history="1">
        <w:r w:rsidRPr="00BF1AA9">
          <w:rPr>
            <w:rStyle w:val="Hyperlink"/>
            <w:rFonts w:ascii="Times New Roman" w:hAnsi="Times New Roman"/>
          </w:rPr>
          <w:t>https://cordis.europa.eu/project/id/700643</w:t>
        </w:r>
      </w:hyperlink>
      <w:r w:rsidRPr="00BF1AA9">
        <w:rPr>
          <w:rFonts w:ascii="Times New Roman" w:hAnsi="Times New Roman"/>
        </w:rPr>
        <w:t>)</w:t>
      </w:r>
      <w:r w:rsidRPr="00BF1AA9">
        <w:t>.</w:t>
      </w:r>
      <w:r w:rsidRPr="00BF1AA9">
        <w:rPr>
          <w:rFonts w:ascii="Times New Roman" w:hAnsi="Times New Roman"/>
          <w:sz w:val="24"/>
        </w:rPr>
        <w:t xml:space="preserve"> </w:t>
      </w:r>
    </w:p>
  </w:footnote>
  <w:footnote w:id="55">
    <w:p w14:paraId="25ED9356" w14:textId="584BA5BF" w:rsidR="00F5602F" w:rsidRPr="00BF1AA9" w:rsidRDefault="00F5602F" w:rsidP="00F5602F">
      <w:pPr>
        <w:pStyle w:val="FootnoteText"/>
      </w:pPr>
      <w:r w:rsidRPr="00BF1AA9">
        <w:rPr>
          <w:rStyle w:val="FootnoteReference"/>
        </w:rPr>
        <w:footnoteRef/>
      </w:r>
      <w:r w:rsidRPr="00BF1AA9">
        <w:rPr>
          <w:rFonts w:ascii="Times New Roman" w:hAnsi="Times New Roman"/>
        </w:rPr>
        <w:t xml:space="preserve"> Art. 8 ust.</w:t>
      </w:r>
      <w:r w:rsidR="00BF1AA9" w:rsidRPr="00BF1AA9">
        <w:rPr>
          <w:rFonts w:ascii="Times New Roman" w:hAnsi="Times New Roman"/>
        </w:rPr>
        <w:t> </w:t>
      </w:r>
      <w:r w:rsidRPr="00BF1AA9">
        <w:rPr>
          <w:rFonts w:ascii="Times New Roman" w:hAnsi="Times New Roman"/>
        </w:rPr>
        <w:t>5–6 rozporządzenia</w:t>
      </w:r>
      <w:r w:rsidR="00BF1AA9" w:rsidRPr="00BF1AA9">
        <w:rPr>
          <w:rFonts w:ascii="Times New Roman" w:hAnsi="Times New Roman"/>
        </w:rPr>
        <w:t xml:space="preserve"> w</w:t>
      </w:r>
      <w:r w:rsidR="00BF1AA9">
        <w:rPr>
          <w:rFonts w:ascii="Times New Roman" w:hAnsi="Times New Roman"/>
        </w:rPr>
        <w:t> </w:t>
      </w:r>
      <w:r w:rsidR="00BF1AA9" w:rsidRPr="00BF1AA9">
        <w:rPr>
          <w:rFonts w:ascii="Times New Roman" w:hAnsi="Times New Roman"/>
        </w:rPr>
        <w:t>spr</w:t>
      </w:r>
      <w:r w:rsidRPr="00BF1AA9">
        <w:rPr>
          <w:rFonts w:ascii="Times New Roman" w:hAnsi="Times New Roman"/>
        </w:rPr>
        <w:t>awie Europejskiej Straży Granicznej</w:t>
      </w:r>
      <w:r w:rsidR="00BF1AA9" w:rsidRPr="00BF1AA9">
        <w:rPr>
          <w:rFonts w:ascii="Times New Roman" w:hAnsi="Times New Roman"/>
        </w:rPr>
        <w:t xml:space="preserve"> i</w:t>
      </w:r>
      <w:r w:rsidR="00BF1AA9">
        <w:rPr>
          <w:rFonts w:ascii="Times New Roman" w:hAnsi="Times New Roman"/>
        </w:rPr>
        <w:t> </w:t>
      </w:r>
      <w:r w:rsidR="00BF1AA9" w:rsidRPr="00BF1AA9">
        <w:rPr>
          <w:rFonts w:ascii="Times New Roman" w:hAnsi="Times New Roman"/>
        </w:rPr>
        <w:t>Prz</w:t>
      </w:r>
      <w:r w:rsidRPr="00BF1AA9">
        <w:rPr>
          <w:rFonts w:ascii="Times New Roman" w:hAnsi="Times New Roman"/>
        </w:rPr>
        <w:t>ybrzeżnej.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72E65" w14:textId="77777777" w:rsidR="00A90553" w:rsidRPr="00A90553" w:rsidRDefault="00A90553" w:rsidP="00A90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F6F1" w14:textId="77777777" w:rsidR="00A90553" w:rsidRPr="00A90553" w:rsidRDefault="00A90553" w:rsidP="00A9055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4FB4" w14:textId="77777777" w:rsidR="00A90553" w:rsidRPr="00A90553" w:rsidRDefault="00A90553" w:rsidP="00A9055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2E55" w14:textId="77777777" w:rsidR="00F5602F" w:rsidRDefault="00F560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A232" w14:textId="77777777" w:rsidR="00F5602F" w:rsidRDefault="00F560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D58EC" w14:textId="77777777" w:rsidR="00F5602F" w:rsidRDefault="00F56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3659"/>
    <w:multiLevelType w:val="hybridMultilevel"/>
    <w:tmpl w:val="41A487D6"/>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8B18A8"/>
    <w:multiLevelType w:val="hybridMultilevel"/>
    <w:tmpl w:val="185C0432"/>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2792FAB"/>
    <w:multiLevelType w:val="hybridMultilevel"/>
    <w:tmpl w:val="C8F2A0AC"/>
    <w:lvl w:ilvl="0" w:tplc="0409000F">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884086F"/>
    <w:multiLevelType w:val="hybridMultilevel"/>
    <w:tmpl w:val="723CFA04"/>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2040B5D"/>
    <w:multiLevelType w:val="hybridMultilevel"/>
    <w:tmpl w:val="5FCCB07A"/>
    <w:lvl w:ilvl="0" w:tplc="0409000F">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DB0573D"/>
    <w:multiLevelType w:val="hybridMultilevel"/>
    <w:tmpl w:val="29D8C92E"/>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E016922"/>
    <w:multiLevelType w:val="hybridMultilevel"/>
    <w:tmpl w:val="C93820FE"/>
    <w:lvl w:ilvl="0" w:tplc="0C404A74">
      <w:start w:val="1"/>
      <w:numFmt w:val="decimal"/>
      <w:lvlText w:val="%1."/>
      <w:lvlJc w:val="left"/>
      <w:pPr>
        <w:ind w:left="360" w:hanging="360"/>
      </w:pPr>
      <w:rPr>
        <w:b w:val="0"/>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42923AF"/>
    <w:multiLevelType w:val="hybridMultilevel"/>
    <w:tmpl w:val="56985BDA"/>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71A061F"/>
    <w:multiLevelType w:val="hybridMultilevel"/>
    <w:tmpl w:val="F87419A8"/>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CB87C81"/>
    <w:multiLevelType w:val="hybridMultilevel"/>
    <w:tmpl w:val="FF946854"/>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F192AED"/>
    <w:multiLevelType w:val="hybridMultilevel"/>
    <w:tmpl w:val="47A25E62"/>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550240F"/>
    <w:multiLevelType w:val="hybridMultilevel"/>
    <w:tmpl w:val="29D8C92E"/>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3235043"/>
    <w:multiLevelType w:val="hybridMultilevel"/>
    <w:tmpl w:val="B218EC64"/>
    <w:lvl w:ilvl="0" w:tplc="0409000F">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A502D9C"/>
    <w:multiLevelType w:val="hybridMultilevel"/>
    <w:tmpl w:val="1A1E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F3405"/>
    <w:multiLevelType w:val="hybridMultilevel"/>
    <w:tmpl w:val="A2F8A79E"/>
    <w:lvl w:ilvl="0" w:tplc="0409000F">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C5B046D"/>
    <w:multiLevelType w:val="hybridMultilevel"/>
    <w:tmpl w:val="05806F18"/>
    <w:lvl w:ilvl="0" w:tplc="D61447AC">
      <w:start w:val="1"/>
      <w:numFmt w:val="decimal"/>
      <w:lvlText w:val="%1."/>
      <w:lvlJc w:val="left"/>
      <w:pPr>
        <w:ind w:left="360" w:hanging="360"/>
      </w:pPr>
      <w:rPr>
        <w:i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lvlOverride w:ilvl="2"/>
    <w:lvlOverride w:ilvl="3"/>
    <w:lvlOverride w:ilvl="4"/>
    <w:lvlOverride w:ilvl="5"/>
    <w:lvlOverride w:ilvl="6"/>
    <w:lvlOverride w:ilvl="7"/>
    <w:lvlOverride w:ilvl="8"/>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o"/>
    <w:docVar w:name="LW_ANNEX_NBR_FIRST" w:val="1"/>
    <w:docVar w:name="LW_ANNEX_NBR_LAST" w:val="2"/>
    <w:docVar w:name="LW_ANNEX_UNIQUE" w:val="0"/>
    <w:docVar w:name="LW_CORRIGENDUM" w:val="&lt;UNUSED&gt;"/>
    <w:docVar w:name="LW_COVERPAGE_EXISTS" w:val="True"/>
    <w:docVar w:name="LW_COVERPAGE_GUID" w:val="CB15D2A0-63A8-4561-855C-50BCFB3E9C96"/>
    <w:docVar w:name="LW_COVERPAGE_TYPE" w:val="1"/>
    <w:docVar w:name="LW_CROSSREFERENCE" w:val="&lt;UNUSED&gt;"/>
    <w:docVar w:name="LW_DocType" w:val="NORMAL"/>
    <w:docVar w:name="LW_EMISSION" w:val="14.3.2023"/>
    <w:docVar w:name="LW_EMISSION_ISODATE" w:val="2023-03-14"/>
    <w:docVar w:name="LW_EMISSION_LOCATION" w:val="STR"/>
    <w:docVar w:name="LW_EMISSION_PREFIX" w:val="Strasburg, dnia "/>
    <w:docVar w:name="LW_EMISSION_SUFFIX" w:val=" r."/>
    <w:docVar w:name="LW_ID_DOCTYPE_NONLW" w:val="CP-039"/>
    <w:docVar w:name="LW_LANGUE" w:val="PL"/>
    <w:docVar w:name="LW_LEVEL_OF_SENSITIVITY" w:val="Standard treatment"/>
    <w:docVar w:name="LW_NOM.INST" w:val="KOMISJA EUROPEJSKA"/>
    <w:docVar w:name="LW_NOM.INST_JOINTDOC" w:val="&lt;EMPTY&gt;"/>
    <w:docVar w:name="LW_OBJETACTEPRINCIPAL.CP" w:val="ustanawiającego wieloletnią politykę strategiczną w zakresie europejskiego zintegrowanego zarządzania granicami"/>
    <w:docVar w:name="LW_PART_NBR" w:val="&lt;UNUSED&gt;"/>
    <w:docVar w:name="LW_PART_NBR_TOTAL" w:val="&lt;UNUSED&gt;"/>
    <w:docVar w:name="LW_REF.INST.NEW" w:val="COM"/>
    <w:docVar w:name="LW_REF.INST.NEW_ADOPTED" w:val="final"/>
    <w:docVar w:name="LW_REF.INST.NEW_TEXT" w:val="(2023) 1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ZAŁĄCZNIKI_x000b_"/>
    <w:docVar w:name="LW_TYPEACTEPRINCIPAL.CP" w:val="KOMUNIKATU KOMISJI DO PARLAMENTU EUROPEJSKIEGO I RADY"/>
    <w:docVar w:name="LwApiVersions" w:val="LW4CoDe 1.23.2.0; LW 8.0, Build 20211117"/>
  </w:docVars>
  <w:rsids>
    <w:rsidRoot w:val="00F5602F"/>
    <w:rsid w:val="00055B90"/>
    <w:rsid w:val="00084198"/>
    <w:rsid w:val="000A494E"/>
    <w:rsid w:val="000B09AD"/>
    <w:rsid w:val="000F7FD9"/>
    <w:rsid w:val="00112509"/>
    <w:rsid w:val="0012611C"/>
    <w:rsid w:val="00126960"/>
    <w:rsid w:val="001431E4"/>
    <w:rsid w:val="00192D44"/>
    <w:rsid w:val="001B45DE"/>
    <w:rsid w:val="001C4D57"/>
    <w:rsid w:val="00227ED8"/>
    <w:rsid w:val="0027438D"/>
    <w:rsid w:val="002C45FA"/>
    <w:rsid w:val="003353C0"/>
    <w:rsid w:val="0035081F"/>
    <w:rsid w:val="00377968"/>
    <w:rsid w:val="003A02AF"/>
    <w:rsid w:val="003F5687"/>
    <w:rsid w:val="00406C1D"/>
    <w:rsid w:val="004373E9"/>
    <w:rsid w:val="00462AF7"/>
    <w:rsid w:val="00476CD6"/>
    <w:rsid w:val="004E2BED"/>
    <w:rsid w:val="00521B5D"/>
    <w:rsid w:val="005F28CC"/>
    <w:rsid w:val="005F7613"/>
    <w:rsid w:val="00686AC4"/>
    <w:rsid w:val="006A3BB6"/>
    <w:rsid w:val="006D2088"/>
    <w:rsid w:val="006F5262"/>
    <w:rsid w:val="007009B2"/>
    <w:rsid w:val="00760D18"/>
    <w:rsid w:val="00776FD0"/>
    <w:rsid w:val="007833D5"/>
    <w:rsid w:val="007C237F"/>
    <w:rsid w:val="00806FF1"/>
    <w:rsid w:val="00837402"/>
    <w:rsid w:val="00874A74"/>
    <w:rsid w:val="008952E7"/>
    <w:rsid w:val="00895361"/>
    <w:rsid w:val="008D4E19"/>
    <w:rsid w:val="00901AEF"/>
    <w:rsid w:val="00916054"/>
    <w:rsid w:val="009E010B"/>
    <w:rsid w:val="00A04A1B"/>
    <w:rsid w:val="00A763D8"/>
    <w:rsid w:val="00A90553"/>
    <w:rsid w:val="00B05909"/>
    <w:rsid w:val="00B26605"/>
    <w:rsid w:val="00B30AB5"/>
    <w:rsid w:val="00BE2689"/>
    <w:rsid w:val="00BF1AA9"/>
    <w:rsid w:val="00C0474B"/>
    <w:rsid w:val="00C13141"/>
    <w:rsid w:val="00C359A3"/>
    <w:rsid w:val="00C62301"/>
    <w:rsid w:val="00C6440A"/>
    <w:rsid w:val="00C807E5"/>
    <w:rsid w:val="00C91B4E"/>
    <w:rsid w:val="00CA52F9"/>
    <w:rsid w:val="00CB0430"/>
    <w:rsid w:val="00CB0AF2"/>
    <w:rsid w:val="00CE2CDF"/>
    <w:rsid w:val="00D07D55"/>
    <w:rsid w:val="00D2739F"/>
    <w:rsid w:val="00DE646D"/>
    <w:rsid w:val="00E66B02"/>
    <w:rsid w:val="00E71A58"/>
    <w:rsid w:val="00EC0084"/>
    <w:rsid w:val="00EE5911"/>
    <w:rsid w:val="00F14B22"/>
    <w:rsid w:val="00F22C86"/>
    <w:rsid w:val="00F23E9F"/>
    <w:rsid w:val="00F5602F"/>
    <w:rsid w:val="00F57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662C41D"/>
  <w15:chartTrackingRefBased/>
  <w15:docId w15:val="{CAC17E93-2916-4A2F-9FF8-69E4FC27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2F"/>
    <w:pPr>
      <w:spacing w:after="160"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602F"/>
    <w:rPr>
      <w:color w:val="0000FF" w:themeColor="hyperlink"/>
      <w:u w:val="single"/>
    </w:rPr>
  </w:style>
  <w:style w:type="paragraph" w:styleId="FootnoteText">
    <w:name w:val="footnote text"/>
    <w:basedOn w:val="Normal"/>
    <w:link w:val="FootnoteTextChar1"/>
    <w:uiPriority w:val="99"/>
    <w:semiHidden/>
    <w:unhideWhenUsed/>
    <w:rsid w:val="00F5602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F5602F"/>
    <w:rPr>
      <w:sz w:val="20"/>
      <w:szCs w:val="20"/>
      <w:lang w:val="pl-PL"/>
    </w:rPr>
  </w:style>
  <w:style w:type="paragraph" w:styleId="Title">
    <w:name w:val="Title"/>
    <w:basedOn w:val="Normal"/>
    <w:next w:val="Normal"/>
    <w:link w:val="TitleChar"/>
    <w:uiPriority w:val="10"/>
    <w:qFormat/>
    <w:rsid w:val="00F560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02F"/>
    <w:rPr>
      <w:rFonts w:asciiTheme="majorHAnsi" w:eastAsiaTheme="majorEastAsia" w:hAnsiTheme="majorHAnsi" w:cstheme="majorBidi"/>
      <w:spacing w:val="-10"/>
      <w:kern w:val="28"/>
      <w:sz w:val="56"/>
      <w:szCs w:val="56"/>
      <w:lang w:val="pl-PL"/>
    </w:rPr>
  </w:style>
  <w:style w:type="paragraph" w:customStyle="1" w:styleId="FootnoteText1">
    <w:name w:val="Footnote Text1"/>
    <w:basedOn w:val="Normal"/>
    <w:next w:val="FootnoteText"/>
    <w:link w:val="FootnoteTextChar"/>
    <w:uiPriority w:val="99"/>
    <w:qFormat/>
    <w:rsid w:val="00F5602F"/>
    <w:pPr>
      <w:spacing w:after="0" w:line="240" w:lineRule="auto"/>
    </w:pPr>
    <w:rPr>
      <w:sz w:val="20"/>
      <w:szCs w:val="20"/>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Times 10 Poi, BVI fnr"/>
    <w:basedOn w:val="DefaultParagraphFont"/>
    <w:link w:val="BVIfnrChar"/>
    <w:uiPriority w:val="99"/>
    <w:unhideWhenUsed/>
    <w:qFormat/>
    <w:rsid w:val="00F5602F"/>
    <w:rPr>
      <w:vertAlign w:val="superscript"/>
    </w:rPr>
  </w:style>
  <w:style w:type="paragraph" w:customStyle="1" w:styleId="BVIfnrChar">
    <w:name w:val="BVI fnr Char"/>
    <w:aliases w:val="Appel note de bas de p.,BVI fnr Car Car Car Car,BVI fnr Car Car,BVI fnr Car,BVI fnr Car Car Car Car Char,Appel note de bas de p..BVI fnr Car Car Car Car"/>
    <w:basedOn w:val="Normal"/>
    <w:link w:val="FootnoteReference"/>
    <w:uiPriority w:val="99"/>
    <w:rsid w:val="00F5602F"/>
    <w:pPr>
      <w:spacing w:line="240" w:lineRule="exact"/>
    </w:pPr>
    <w:rPr>
      <w:vertAlign w:val="superscript"/>
    </w:rPr>
  </w:style>
  <w:style w:type="character" w:styleId="CommentReference">
    <w:name w:val="annotation reference"/>
    <w:basedOn w:val="DefaultParagraphFont"/>
    <w:uiPriority w:val="99"/>
    <w:semiHidden/>
    <w:unhideWhenUsed/>
    <w:rsid w:val="00F5602F"/>
    <w:rPr>
      <w:sz w:val="16"/>
      <w:szCs w:val="16"/>
    </w:rPr>
  </w:style>
  <w:style w:type="character" w:customStyle="1" w:styleId="Hyperlink1">
    <w:name w:val="Hyperlink1"/>
    <w:basedOn w:val="DefaultParagraphFont"/>
    <w:uiPriority w:val="99"/>
    <w:rsid w:val="00F5602F"/>
    <w:rPr>
      <w:color w:val="0000FF"/>
      <w:u w:val="single"/>
    </w:rPr>
  </w:style>
  <w:style w:type="character" w:customStyle="1" w:styleId="FootnoteTextChar1">
    <w:name w:val="Footnote Text Char1"/>
    <w:basedOn w:val="DefaultParagraphFont"/>
    <w:link w:val="FootnoteText"/>
    <w:uiPriority w:val="99"/>
    <w:semiHidden/>
    <w:locked/>
    <w:rsid w:val="00F5602F"/>
    <w:rPr>
      <w:sz w:val="20"/>
      <w:szCs w:val="20"/>
      <w:lang w:val="pl-PL"/>
    </w:rPr>
  </w:style>
  <w:style w:type="character" w:customStyle="1" w:styleId="normaltextrun">
    <w:name w:val="normaltextrun"/>
    <w:basedOn w:val="DefaultParagraphFont"/>
    <w:rsid w:val="00F5602F"/>
  </w:style>
  <w:style w:type="character" w:customStyle="1" w:styleId="Marker">
    <w:name w:val="Marker"/>
    <w:basedOn w:val="DefaultParagraphFont"/>
    <w:rsid w:val="00F5602F"/>
    <w:rPr>
      <w:color w:val="0000FF"/>
      <w:shd w:val="clear" w:color="auto" w:fill="auto"/>
    </w:rPr>
  </w:style>
  <w:style w:type="paragraph" w:customStyle="1" w:styleId="Pagedecouverture">
    <w:name w:val="Page de couverture"/>
    <w:basedOn w:val="Normal"/>
    <w:next w:val="Normal"/>
    <w:rsid w:val="00F5602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F56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02F"/>
    <w:rPr>
      <w:lang w:val="pl-PL"/>
    </w:rPr>
  </w:style>
  <w:style w:type="paragraph" w:styleId="Footer">
    <w:name w:val="footer"/>
    <w:basedOn w:val="Normal"/>
    <w:link w:val="FooterChar"/>
    <w:uiPriority w:val="99"/>
    <w:unhideWhenUsed/>
    <w:rsid w:val="00F56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02F"/>
    <w:rPr>
      <w:lang w:val="pl-PL"/>
    </w:rPr>
  </w:style>
  <w:style w:type="paragraph" w:customStyle="1" w:styleId="FooterCoverPage">
    <w:name w:val="Footer Cover Page"/>
    <w:basedOn w:val="Normal"/>
    <w:link w:val="FooterCoverPageChar"/>
    <w:rsid w:val="00F5602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TitleChar"/>
    <w:link w:val="FooterCoverPage"/>
    <w:rsid w:val="00F5602F"/>
    <w:rPr>
      <w:rFonts w:ascii="Times New Roman" w:eastAsiaTheme="majorEastAsia" w:hAnsi="Times New Roman" w:cs="Times New Roman"/>
      <w:spacing w:val="-10"/>
      <w:kern w:val="28"/>
      <w:sz w:val="24"/>
      <w:szCs w:val="56"/>
      <w:lang w:val="pl-PL"/>
    </w:rPr>
  </w:style>
  <w:style w:type="paragraph" w:customStyle="1" w:styleId="FooterSensitivity">
    <w:name w:val="Footer Sensitivity"/>
    <w:basedOn w:val="Normal"/>
    <w:link w:val="FooterSensitivityChar"/>
    <w:rsid w:val="00F5602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sid w:val="00F5602F"/>
    <w:rPr>
      <w:rFonts w:ascii="Times New Roman" w:eastAsiaTheme="majorEastAsia" w:hAnsi="Times New Roman" w:cs="Times New Roman"/>
      <w:b/>
      <w:spacing w:val="-10"/>
      <w:kern w:val="28"/>
      <w:sz w:val="32"/>
      <w:szCs w:val="56"/>
      <w:lang w:val="pl-PL"/>
    </w:rPr>
  </w:style>
  <w:style w:type="paragraph" w:customStyle="1" w:styleId="HeaderCoverPage">
    <w:name w:val="Header Cover Page"/>
    <w:basedOn w:val="Normal"/>
    <w:link w:val="HeaderCoverPageChar"/>
    <w:rsid w:val="00F5602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itleChar"/>
    <w:link w:val="HeaderCoverPage"/>
    <w:rsid w:val="00F5602F"/>
    <w:rPr>
      <w:rFonts w:ascii="Times New Roman" w:eastAsiaTheme="majorEastAsia" w:hAnsi="Times New Roman" w:cs="Times New Roman"/>
      <w:spacing w:val="-10"/>
      <w:kern w:val="28"/>
      <w:sz w:val="24"/>
      <w:szCs w:val="56"/>
      <w:lang w:val="pl-PL"/>
    </w:rPr>
  </w:style>
  <w:style w:type="paragraph" w:customStyle="1" w:styleId="HeaderSensitivity">
    <w:name w:val="Header Sensitivity"/>
    <w:basedOn w:val="Normal"/>
    <w:link w:val="HeaderSensitivityChar"/>
    <w:rsid w:val="00F5602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sid w:val="00F5602F"/>
    <w:rPr>
      <w:rFonts w:ascii="Times New Roman" w:eastAsiaTheme="majorEastAsia" w:hAnsi="Times New Roman" w:cs="Times New Roman"/>
      <w:b/>
      <w:spacing w:val="-10"/>
      <w:kern w:val="28"/>
      <w:sz w:val="32"/>
      <w:szCs w:val="56"/>
      <w:lang w:val="pl-PL"/>
    </w:rPr>
  </w:style>
  <w:style w:type="paragraph" w:customStyle="1" w:styleId="HeaderSensitivityRight">
    <w:name w:val="Header Sensitivity Right"/>
    <w:basedOn w:val="Normal"/>
    <w:link w:val="HeaderSensitivityRightChar"/>
    <w:rsid w:val="00F5602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itleChar"/>
    <w:link w:val="HeaderSensitivityRight"/>
    <w:rsid w:val="00F5602F"/>
    <w:rPr>
      <w:rFonts w:ascii="Times New Roman" w:eastAsiaTheme="majorEastAsia" w:hAnsi="Times New Roman" w:cs="Times New Roman"/>
      <w:spacing w:val="-10"/>
      <w:kern w:val="28"/>
      <w:sz w:val="28"/>
      <w:szCs w:val="56"/>
      <w:lang w:val="pl-PL"/>
    </w:rPr>
  </w:style>
  <w:style w:type="table" w:customStyle="1" w:styleId="TableGrid1">
    <w:name w:val="Table Grid1"/>
    <w:basedOn w:val="TableNormal"/>
    <w:next w:val="TableGrid"/>
    <w:uiPriority w:val="59"/>
    <w:rsid w:val="00F5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5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74A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4A74"/>
    <w:rPr>
      <w:rFonts w:eastAsiaTheme="minorEastAsia"/>
      <w:color w:val="5A5A5A" w:themeColor="text1" w:themeTint="A5"/>
      <w:spacing w:val="15"/>
      <w:lang w:val="pl-PL"/>
    </w:rPr>
  </w:style>
  <w:style w:type="paragraph" w:styleId="BalloonText">
    <w:name w:val="Balloon Text"/>
    <w:basedOn w:val="Normal"/>
    <w:link w:val="BalloonTextChar"/>
    <w:uiPriority w:val="99"/>
    <w:semiHidden/>
    <w:unhideWhenUsed/>
    <w:rsid w:val="00C80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7E5"/>
    <w:rPr>
      <w:rFonts w:ascii="Segoe UI" w:hAnsi="Segoe UI" w:cs="Segoe UI"/>
      <w:sz w:val="18"/>
      <w:szCs w:val="18"/>
      <w:lang w:val="pl-PL"/>
    </w:rPr>
  </w:style>
  <w:style w:type="character" w:styleId="FollowedHyperlink">
    <w:name w:val="FollowedHyperlink"/>
    <w:basedOn w:val="DefaultParagraphFont"/>
    <w:uiPriority w:val="99"/>
    <w:semiHidden/>
    <w:unhideWhenUsed/>
    <w:rsid w:val="00CB04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6796">
      <w:bodyDiv w:val="1"/>
      <w:marLeft w:val="0"/>
      <w:marRight w:val="0"/>
      <w:marTop w:val="0"/>
      <w:marBottom w:val="0"/>
      <w:divBdr>
        <w:top w:val="none" w:sz="0" w:space="0" w:color="auto"/>
        <w:left w:val="none" w:sz="0" w:space="0" w:color="auto"/>
        <w:bottom w:val="none" w:sz="0" w:space="0" w:color="auto"/>
        <w:right w:val="none" w:sz="0" w:space="0" w:color="auto"/>
      </w:divBdr>
    </w:div>
    <w:div w:id="951404188">
      <w:bodyDiv w:val="1"/>
      <w:marLeft w:val="0"/>
      <w:marRight w:val="0"/>
      <w:marTop w:val="0"/>
      <w:marBottom w:val="0"/>
      <w:divBdr>
        <w:top w:val="none" w:sz="0" w:space="0" w:color="auto"/>
        <w:left w:val="none" w:sz="0" w:space="0" w:color="auto"/>
        <w:bottom w:val="none" w:sz="0" w:space="0" w:color="auto"/>
        <w:right w:val="none" w:sz="0" w:space="0" w:color="auto"/>
      </w:divBdr>
    </w:div>
    <w:div w:id="1461067970">
      <w:bodyDiv w:val="1"/>
      <w:marLeft w:val="0"/>
      <w:marRight w:val="0"/>
      <w:marTop w:val="0"/>
      <w:marBottom w:val="0"/>
      <w:divBdr>
        <w:top w:val="none" w:sz="0" w:space="0" w:color="auto"/>
        <w:left w:val="none" w:sz="0" w:space="0" w:color="auto"/>
        <w:bottom w:val="none" w:sz="0" w:space="0" w:color="auto"/>
        <w:right w:val="none" w:sz="0" w:space="0" w:color="auto"/>
      </w:divBdr>
    </w:div>
    <w:div w:id="181424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rdis.europa.eu/project/id/312583" TargetMode="External"/><Relationship Id="rId13" Type="http://schemas.openxmlformats.org/officeDocument/2006/relationships/hyperlink" Target="https://cordis.europa.eu/project/id/284862" TargetMode="External"/><Relationship Id="rId18" Type="http://schemas.openxmlformats.org/officeDocument/2006/relationships/hyperlink" Target="https://cordis.europa.eu/project/id/833650" TargetMode="External"/><Relationship Id="rId3" Type="http://schemas.openxmlformats.org/officeDocument/2006/relationships/hyperlink" Target="https://www.consilium.europa.eu/pl/policies/eu-fight-against-crime/" TargetMode="External"/><Relationship Id="rId21" Type="http://schemas.openxmlformats.org/officeDocument/2006/relationships/hyperlink" Target="https://cordis.europa.eu/project/id/740698" TargetMode="External"/><Relationship Id="rId7" Type="http://schemas.openxmlformats.org/officeDocument/2006/relationships/hyperlink" Target="https://cordis.europa.eu/project/id/833704/pl" TargetMode="External"/><Relationship Id="rId12" Type="http://schemas.openxmlformats.org/officeDocument/2006/relationships/hyperlink" Target="https://cordis.europa.eu/project/id/787021" TargetMode="External"/><Relationship Id="rId17" Type="http://schemas.openxmlformats.org/officeDocument/2006/relationships/hyperlink" Target="https://cordis.europa.eu/project/id/313184" TargetMode="External"/><Relationship Id="rId2" Type="http://schemas.openxmlformats.org/officeDocument/2006/relationships/hyperlink" Target="https://www.europol.europa.eu/publications-events/main-reports/socta-report" TargetMode="External"/><Relationship Id="rId16" Type="http://schemas.openxmlformats.org/officeDocument/2006/relationships/hyperlink" Target="https://cordis.europa.eu/project/id/787120" TargetMode="External"/><Relationship Id="rId20" Type="http://schemas.openxmlformats.org/officeDocument/2006/relationships/hyperlink" Target="https://cordis.europa.eu/project/id/883374" TargetMode="External"/><Relationship Id="rId1" Type="http://schemas.openxmlformats.org/officeDocument/2006/relationships/hyperlink" Target="https://www.europol.europa.eu/publications-events/main-reports/socta-report" TargetMode="External"/><Relationship Id="rId6" Type="http://schemas.openxmlformats.org/officeDocument/2006/relationships/hyperlink" Target="https://cordis.europa.eu/project/id/653676" TargetMode="External"/><Relationship Id="rId11" Type="http://schemas.openxmlformats.org/officeDocument/2006/relationships/hyperlink" Target="https://cordis.europa.eu/project/id/608174" TargetMode="External"/><Relationship Id="rId5" Type="http://schemas.openxmlformats.org/officeDocument/2006/relationships/hyperlink" Target="https://cordis.europa.eu/project/id/312797" TargetMode="External"/><Relationship Id="rId15" Type="http://schemas.openxmlformats.org/officeDocument/2006/relationships/hyperlink" Target="https://cordis.europa.eu/project/id/833881/pl" TargetMode="External"/><Relationship Id="rId10" Type="http://schemas.openxmlformats.org/officeDocument/2006/relationships/hyperlink" Target="https://cordis.europa.eu/project/id/700002" TargetMode="External"/><Relationship Id="rId19" Type="http://schemas.openxmlformats.org/officeDocument/2006/relationships/hyperlink" Target="https://cordis.europa.eu/project/id/883374" TargetMode="External"/><Relationship Id="rId4" Type="http://schemas.openxmlformats.org/officeDocument/2006/relationships/hyperlink" Target="https://www.consilium.europa.eu/media/48644/2526-02-21-euco-statement-pl.pdf" TargetMode="External"/><Relationship Id="rId9" Type="http://schemas.openxmlformats.org/officeDocument/2006/relationships/hyperlink" Target="https://cordis.europa.eu/project/id/285311" TargetMode="External"/><Relationship Id="rId14" Type="http://schemas.openxmlformats.org/officeDocument/2006/relationships/hyperlink" Target="https://cordis.europa.eu/project/id/607379" TargetMode="External"/><Relationship Id="rId22" Type="http://schemas.openxmlformats.org/officeDocument/2006/relationships/hyperlink" Target="https://cordis.europa.eu/project/id/700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25</Pages>
  <Words>14615</Words>
  <Characters>83311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MICHALSKA-SACHS Beata (HOME)</dc:creator>
  <cp:keywords/>
  <dc:description/>
  <cp:lastModifiedBy>EC CoDe</cp:lastModifiedBy>
  <cp:revision>37</cp:revision>
  <dcterms:created xsi:type="dcterms:W3CDTF">2023-03-10T16:58:00Z</dcterms:created>
  <dcterms:modified xsi:type="dcterms:W3CDTF">2023-04-26T12:23:00Z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2</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9.0, Build 20230317</vt:lpwstr>
  </property>
  <property fmtid="{D5CDD505-2E9C-101B-9397-08002B2CF9AE}" pid="11" name="Created using">
    <vt:lpwstr>LW 9.0, Build 20230317</vt:lpwstr>
  </property>
  <property fmtid="{D5CDD505-2E9C-101B-9397-08002B2CF9AE}" pid="12" name="MSIP_Label_6bd9ddd1-4d20-43f6-abfa-fc3c07406f94_Enabled">
    <vt:lpwstr>true</vt:lpwstr>
  </property>
  <property fmtid="{D5CDD505-2E9C-101B-9397-08002B2CF9AE}" pid="13" name="MSIP_Label_6bd9ddd1-4d20-43f6-abfa-fc3c07406f94_SetDate">
    <vt:lpwstr>2023-04-25T12:00:25Z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e433dc3d-6ee8-46a7-8aa9-557c02c8af67</vt:lpwstr>
  </property>
  <property fmtid="{D5CDD505-2E9C-101B-9397-08002B2CF9AE}" pid="18" name="MSIP_Label_6bd9ddd1-4d20-43f6-abfa-fc3c07406f94_ContentBits">
    <vt:lpwstr>0</vt:lpwstr>
  </property>
</Properties>
</file>