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217BF8" w14:textId="6175312E" w:rsidR="004D4777" w:rsidRPr="002D7798" w:rsidRDefault="007D2204" w:rsidP="007D2204">
      <w:pPr>
        <w:pStyle w:val="Pagedecouverture"/>
        <w:rPr>
          <w:noProof/>
        </w:rPr>
      </w:pPr>
      <w:r>
        <w:rPr>
          <w:noProof/>
        </w:rPr>
        <w:pict w14:anchorId="4EDB4D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alt="20FEB315-299A-41E1-A227-E0CE6E1654A1" style="width:455.25pt;height:441pt">
            <v:imagedata r:id="rId8" o:title=""/>
          </v:shape>
        </w:pict>
      </w:r>
    </w:p>
    <w:p w14:paraId="51D05297" w14:textId="77777777" w:rsidR="00976265" w:rsidRPr="002D7798" w:rsidRDefault="00976265">
      <w:pPr>
        <w:rPr>
          <w:noProof/>
        </w:rPr>
        <w:sectPr w:rsidR="00976265" w:rsidRPr="002D7798" w:rsidSect="007D2204">
          <w:footerReference w:type="default" r:id="rId9"/>
          <w:pgSz w:w="11907" w:h="16839"/>
          <w:pgMar w:top="1134" w:right="1417" w:bottom="1134" w:left="1417" w:header="709" w:footer="709" w:gutter="0"/>
          <w:pgNumType w:start="0"/>
          <w:cols w:space="720"/>
          <w:docGrid w:linePitch="360"/>
        </w:sectPr>
      </w:pPr>
    </w:p>
    <w:p w14:paraId="3FFD4CC9" w14:textId="77777777" w:rsidR="00976265" w:rsidRPr="002D7798" w:rsidRDefault="0064263D">
      <w:pPr>
        <w:pStyle w:val="Exposdesmotifstitre"/>
        <w:rPr>
          <w:noProof/>
        </w:rPr>
      </w:pPr>
      <w:bookmarkStart w:id="0" w:name="_GoBack"/>
      <w:bookmarkEnd w:id="0"/>
      <w:r w:rsidRPr="002D7798">
        <w:rPr>
          <w:noProof/>
        </w:rPr>
        <w:lastRenderedPageBreak/>
        <w:t>DŮVODOVÁ ZPRÁVA</w:t>
      </w:r>
    </w:p>
    <w:p w14:paraId="7377A45E" w14:textId="77777777" w:rsidR="00976265" w:rsidRPr="002D7798" w:rsidRDefault="00976265">
      <w:pPr>
        <w:rPr>
          <w:noProof/>
        </w:rPr>
      </w:pPr>
    </w:p>
    <w:p w14:paraId="4FE992D3" w14:textId="77777777" w:rsidR="00976265" w:rsidRPr="002D7798" w:rsidRDefault="0064263D">
      <w:pPr>
        <w:pStyle w:val="ManualHeading1"/>
        <w:rPr>
          <w:noProof/>
        </w:rPr>
      </w:pPr>
      <w:bookmarkStart w:id="1" w:name="_Toc128753738"/>
      <w:r w:rsidRPr="002D7798">
        <w:rPr>
          <w:noProof/>
        </w:rPr>
        <w:t>1.</w:t>
      </w:r>
      <w:r w:rsidRPr="002D7798">
        <w:rPr>
          <w:noProof/>
        </w:rPr>
        <w:tab/>
        <w:t>SOUVISLOSTI NÁVRHU</w:t>
      </w:r>
      <w:bookmarkEnd w:id="1"/>
    </w:p>
    <w:p w14:paraId="4EB2790D" w14:textId="77777777" w:rsidR="00976265" w:rsidRPr="002D7798" w:rsidRDefault="0064263D">
      <w:pPr>
        <w:pStyle w:val="ManualHeading2"/>
        <w:rPr>
          <w:noProof/>
        </w:rPr>
      </w:pPr>
      <w:bookmarkStart w:id="2" w:name="_Toc128753739"/>
      <w:r w:rsidRPr="002D7798">
        <w:rPr>
          <w:noProof/>
          <w:u w:color="000000"/>
          <w:bdr w:val="nil"/>
        </w:rPr>
        <w:t>•</w:t>
      </w:r>
      <w:r w:rsidRPr="002D7798">
        <w:rPr>
          <w:noProof/>
        </w:rPr>
        <w:tab/>
        <w:t>Odůvodnění a cíle návrhu</w:t>
      </w:r>
      <w:bookmarkEnd w:id="2"/>
    </w:p>
    <w:p w14:paraId="2FDABDBE" w14:textId="563F1207" w:rsidR="00976265" w:rsidRPr="002D7798" w:rsidRDefault="00451FE6" w:rsidP="00451FE6">
      <w:pPr>
        <w:pStyle w:val="ManualNumPar2"/>
        <w:rPr>
          <w:noProof/>
        </w:rPr>
      </w:pPr>
      <w:r w:rsidRPr="00451FE6">
        <w:t>1.1.</w:t>
      </w:r>
      <w:r w:rsidRPr="00451FE6">
        <w:tab/>
      </w:r>
      <w:r w:rsidR="0064263D" w:rsidRPr="002D7798">
        <w:rPr>
          <w:noProof/>
        </w:rPr>
        <w:t>Politické souvislosti</w:t>
      </w:r>
    </w:p>
    <w:p w14:paraId="75ADE994" w14:textId="77777777" w:rsidR="00976265" w:rsidRPr="002D7798" w:rsidRDefault="0064263D" w:rsidP="48C1E657">
      <w:pPr>
        <w:spacing w:line="360" w:lineRule="auto"/>
        <w:rPr>
          <w:rFonts w:eastAsia="Times New Roman"/>
          <w:noProof/>
        </w:rPr>
      </w:pPr>
      <w:r w:rsidRPr="002D7798">
        <w:rPr>
          <w:noProof/>
        </w:rPr>
        <w:t>Ceny energie se v průběhu let 2021 a 2022 výrazně zvýšily. Důvodem bylo snížení dodávek plynu, zejména po začátku ruské války proti Ukrajině a zneužívání energie jako zbraně, jakož i domácí nedostatky energie, pokud jde o hydroelektrickou a jadernou energii. Nárůst cen byl rovněž způsoben zvýšenou poptávkou po energii, neboť po pandemii COVID-19 došlo k oživení světové ekonomiky. Domácnosti, průmysl a podniky v celé EU tento nárůst cen rychle pocítily a vlády okamžitě podnikly kroky k jeho zmírnění. Na evropské úrovni poskytla EU urychleně soubor nástrojů</w:t>
      </w:r>
      <w:r w:rsidRPr="002D7798">
        <w:rPr>
          <w:rStyle w:val="FootnoteReference"/>
          <w:rFonts w:eastAsia="Times New Roman"/>
          <w:noProof/>
        </w:rPr>
        <w:footnoteReference w:id="2"/>
      </w:r>
      <w:r w:rsidRPr="002D7798">
        <w:rPr>
          <w:noProof/>
        </w:rPr>
        <w:t xml:space="preserve"> souvisejících s cenami energie obsahující opatření k řešení vysokých cen, zejména pro nejzranitelnější spotřebitele (včetně podpory příjmů, daňových úlev a opatření týkající se úspor a uskladňování zemního plynu), jakož i plán REPowerEU</w:t>
      </w:r>
      <w:r w:rsidRPr="002D7798">
        <w:rPr>
          <w:rStyle w:val="FootnoteReference"/>
          <w:rFonts w:eastAsia="Times New Roman"/>
          <w:noProof/>
        </w:rPr>
        <w:footnoteReference w:id="3"/>
      </w:r>
      <w:r w:rsidRPr="002D7798">
        <w:rPr>
          <w:noProof/>
        </w:rPr>
        <w:t xml:space="preserve"> s dalšími opatřeními a financováním na podporu energetické účinnosti a energie z obnovitelných zdrojů za účelem snížení závislosti na ruských fosilních palivech. Následovalo vytvoření dočasného režimu státní podpory</w:t>
      </w:r>
      <w:r w:rsidRPr="002D7798">
        <w:rPr>
          <w:rStyle w:val="FootnoteReference"/>
          <w:rFonts w:eastAsia="Times New Roman"/>
          <w:noProof/>
        </w:rPr>
        <w:footnoteReference w:id="4"/>
      </w:r>
      <w:r w:rsidRPr="002D7798">
        <w:rPr>
          <w:noProof/>
        </w:rPr>
        <w:t>, který umožnil přijmout určitá opatření ke zmírnění dopadu vysokých cen, vytvoření přísného režimu uskladňování zemního plynu</w:t>
      </w:r>
      <w:r w:rsidRPr="002D7798">
        <w:rPr>
          <w:rStyle w:val="FootnoteReference"/>
          <w:rFonts w:eastAsia="Times New Roman"/>
          <w:noProof/>
        </w:rPr>
        <w:footnoteReference w:id="5"/>
      </w:r>
      <w:r w:rsidRPr="002D7798">
        <w:rPr>
          <w:noProof/>
        </w:rPr>
        <w:t>, zavedení účinných opatření ke snížení poptávky po plynu</w:t>
      </w:r>
      <w:r w:rsidRPr="002D7798">
        <w:rPr>
          <w:rStyle w:val="FootnoteReference"/>
          <w:rFonts w:eastAsia="Times New Roman"/>
          <w:noProof/>
        </w:rPr>
        <w:footnoteReference w:id="6"/>
      </w:r>
      <w:r w:rsidRPr="002D7798">
        <w:rPr>
          <w:noProof/>
        </w:rPr>
        <w:t xml:space="preserve"> a elektřině</w:t>
      </w:r>
      <w:r w:rsidRPr="002D7798">
        <w:rPr>
          <w:rStyle w:val="FootnoteReference"/>
          <w:rFonts w:eastAsia="Times New Roman"/>
          <w:noProof/>
        </w:rPr>
        <w:footnoteReference w:id="7"/>
      </w:r>
      <w:r w:rsidRPr="002D7798">
        <w:rPr>
          <w:noProof/>
        </w:rPr>
        <w:t>, rychlejších procesů povolování energie z obnovitelných zdrojů a připojení k elektrizační soustavě</w:t>
      </w:r>
      <w:r w:rsidRPr="002D7798">
        <w:rPr>
          <w:rStyle w:val="FootnoteReference"/>
          <w:rFonts w:eastAsia="Times New Roman"/>
          <w:noProof/>
        </w:rPr>
        <w:footnoteReference w:id="8"/>
      </w:r>
      <w:r w:rsidRPr="002D7798">
        <w:rPr>
          <w:noProof/>
        </w:rPr>
        <w:t xml:space="preserve"> a zavedení režimů omezování cen, aby se zabránilo neočekávaným ziskům na trhu s plynem i elektřinou</w:t>
      </w:r>
      <w:r w:rsidRPr="002D7798">
        <w:rPr>
          <w:rStyle w:val="FootnoteReference"/>
          <w:rFonts w:eastAsia="Times New Roman"/>
          <w:noProof/>
        </w:rPr>
        <w:footnoteReference w:id="9"/>
      </w:r>
      <w:r w:rsidRPr="002D7798">
        <w:rPr>
          <w:noProof/>
        </w:rPr>
        <w:t xml:space="preserve">. </w:t>
      </w:r>
    </w:p>
    <w:p w14:paraId="2BE6BE84" w14:textId="77777777" w:rsidR="00976265" w:rsidRPr="002D7798" w:rsidRDefault="65903BA4">
      <w:pPr>
        <w:spacing w:line="360" w:lineRule="auto"/>
        <w:rPr>
          <w:rFonts w:eastAsia="Times New Roman"/>
          <w:noProof/>
        </w:rPr>
      </w:pPr>
      <w:r w:rsidRPr="002D7798">
        <w:rPr>
          <w:noProof/>
        </w:rPr>
        <w:t>Tato krátkodobá opatření pomohla členským státům vypořádat se s bezprostředními dopady energetické krize. Během krize se však ukázalo, jak jsou proti těmto cenám nechráněni spotřebitelé a průmyslová odvětví a jak nemáme dostatečnou odolnost vůči prudkému nárůstu cen energie. Podniky a občané považovali dopad výroby energie z fosilních paliv na stanovení cen elektřiny za přehnaný, zatímco schopnost členských států tlumit krátkodobé výkyvy cen pomocí dlouhodobějších smluv se zdála být nedostatečná. Z tohoto důvodu předsedkyně Evropské komise v projevu o stavu Unie v roce 2022</w:t>
      </w:r>
      <w:r w:rsidRPr="002D7798">
        <w:rPr>
          <w:rStyle w:val="FootnoteReference"/>
          <w:rFonts w:eastAsia="Times New Roman"/>
          <w:noProof/>
        </w:rPr>
        <w:footnoteReference w:id="10"/>
      </w:r>
      <w:r w:rsidRPr="002D7798">
        <w:rPr>
          <w:noProof/>
        </w:rPr>
        <w:t xml:space="preserve"> oznámila potřebu zásadní reformy uspořádání trhu s elektřinou.</w:t>
      </w:r>
    </w:p>
    <w:p w14:paraId="4E278939" w14:textId="77777777" w:rsidR="00976265" w:rsidRPr="002D7798" w:rsidRDefault="0064263D">
      <w:pPr>
        <w:spacing w:line="360" w:lineRule="auto"/>
        <w:rPr>
          <w:rFonts w:eastAsia="Times New Roman"/>
          <w:noProof/>
        </w:rPr>
      </w:pPr>
      <w:r w:rsidRPr="002D7798">
        <w:rPr>
          <w:noProof/>
        </w:rPr>
        <w:t xml:space="preserve">Přestože vnitřní trh s energií EU přináší obrovské zisky a růst v celé Evropě, nedávná energetická krize ukázala, že krátkodobé zaměření trhu s energií může odvádět pozornost od širších a dlouhodobějších cílů. Promítnutí krátkodobých cen do účtů spotřebitelů vedlo k cenovým otřesům, kdy se účty mnoha spotřebitelů za energii ztrojnásobily nebo zčtyřnásobily, přestože náklady na větrnou a solární energii klesaly; náhlé vystavení kolísavým a vysokým cenám vedlo k úpadku některých dodavatelů; mnoho průmyslových podniků v energeticky náročných odvětvích bylo nuceno svou činnost ukončit. Návrh proto obsahuje soubor opatření, jejichž cílem je vytvořit nárazníkové pásmo mezi krátkodobými trhy a účty za elektřinu hrazenými spotřebiteli, zejména prostřednictvím podpory uzavírání dlouhodobějších smluv, zlepšit fungování krátkodobých trhů za účelem lepší integrace elektřiny z obnovitelných zdrojů, zlepšit flexibilitu a posílit ochranu a postavení spotřebitelů. </w:t>
      </w:r>
    </w:p>
    <w:p w14:paraId="5DC81D2E" w14:textId="77777777" w:rsidR="00976265" w:rsidRPr="002D7798" w:rsidRDefault="65903BA4">
      <w:pPr>
        <w:spacing w:line="360" w:lineRule="auto"/>
        <w:rPr>
          <w:rFonts w:eastAsia="Times New Roman"/>
          <w:noProof/>
        </w:rPr>
      </w:pPr>
      <w:r w:rsidRPr="002D7798">
        <w:rPr>
          <w:noProof/>
        </w:rPr>
        <w:t xml:space="preserve">Nedávné kolísání cen rovněž poukázalo na nedostatečnou flexibilitu elektrizační soustavy, kdy jsou ceny příliš často stanovovány na základě výroby elektřiny z plynu a obecně chybí flexibilní nabídka nízkouhlíkové energie, odezva strany poptávky a možnosti ukládání energie. Vzhledem k tomu, že do systému vstupuje více větrné a solární energie, budou zapotřebí nízkouhlíkové flexibilní technologie, které budou vyvažovat proměnlivou nabídku s proměnlivou poptávkou. Souběžně s tímto návrhem vydává Komise doporučení pro dosažení pokroku v oblasti inovací, technologií a kapacit skladování. </w:t>
      </w:r>
    </w:p>
    <w:p w14:paraId="611466DE" w14:textId="0E3EB0D6" w:rsidR="00976265" w:rsidRPr="002D7798" w:rsidRDefault="0064263D">
      <w:pPr>
        <w:spacing w:line="360" w:lineRule="auto"/>
        <w:rPr>
          <w:rFonts w:eastAsia="Times New Roman"/>
          <w:noProof/>
        </w:rPr>
      </w:pPr>
      <w:r w:rsidRPr="002D7798">
        <w:rPr>
          <w:noProof/>
        </w:rPr>
        <w:t>Citlivost ceny elektřiny na ceny fosilních paliv obecně zdůraznila potřebu urychlit zavádění elektřiny z obnovitelných zdrojů energie spolu se zvýšením flexibility energetického systému, aby bylo možné nahradit fosilní paliva. Plán REPowerEU podporuje energii z obnovitelných zdrojů a s ní i hospodářský růst a tvorbu kvalitních pracovních míst. Plán navazuje na Zelenou dohodu pro Evropu posílením úsilí o zlepšení evropské konkurenceschopnosti prostřednictvím inovací a přechodu na klimaticky neutrální hospodářství a je úzce v souladu s průmyslovým plánem Zelené dohody, který představila Komise. Pro usnadnění investic, které jsou nezbytné vzhledem k nedávnému kolísání cen, nekoordinovaným regulačním zásahům a překážkám vstupu na trh souvisejícím s energetickou sítí a právní úpravou, je zapotřebí zásadní reforma. Ve Zprávě o konečném výsledku Konference o budoucnosti Evropy občané požádali orgány EU, aby přijaly opatření ke „zvýšení evropské energetické bezpečnosti a dosáhnutí energetické nezávislosti EU“ a „snížení závislosti EU na zahraničních subjektech v hospodářsky strategických odvětvích“, včetně energetiky</w:t>
      </w:r>
      <w:r w:rsidRPr="002D7798">
        <w:rPr>
          <w:rStyle w:val="FootnoteReference"/>
          <w:noProof/>
        </w:rPr>
        <w:footnoteReference w:id="11"/>
      </w:r>
      <w:r w:rsidRPr="002D7798">
        <w:rPr>
          <w:noProof/>
        </w:rPr>
        <w:t>.</w:t>
      </w:r>
    </w:p>
    <w:p w14:paraId="66BB47D6" w14:textId="468E2570" w:rsidR="00976265" w:rsidRPr="002D7798" w:rsidRDefault="00451FE6" w:rsidP="00451FE6">
      <w:pPr>
        <w:pStyle w:val="ManualNumPar2"/>
        <w:rPr>
          <w:rFonts w:eastAsia="Times New Roman"/>
          <w:bCs/>
          <w:noProof/>
        </w:rPr>
      </w:pPr>
      <w:r w:rsidRPr="00451FE6">
        <w:t>1.2.</w:t>
      </w:r>
      <w:r w:rsidRPr="00451FE6">
        <w:tab/>
      </w:r>
      <w:r w:rsidR="0064263D" w:rsidRPr="002D7798">
        <w:rPr>
          <w:noProof/>
        </w:rPr>
        <w:t>Cíle návrhu</w:t>
      </w:r>
    </w:p>
    <w:p w14:paraId="39BFB9E1" w14:textId="77777777" w:rsidR="00976265" w:rsidRPr="002D7798" w:rsidRDefault="0064263D">
      <w:pPr>
        <w:spacing w:line="360" w:lineRule="auto"/>
        <w:rPr>
          <w:rFonts w:eastAsiaTheme="minorEastAsia"/>
          <w:noProof/>
        </w:rPr>
      </w:pPr>
      <w:r w:rsidRPr="002D7798">
        <w:rPr>
          <w:noProof/>
        </w:rPr>
        <w:t>Návrh řeší obavy spotřebitelů, průmyslu a investorů z vystavení nestálým krátkodobým cenám způsobeným vysokými cenami fosilních paliv. Optimalizuje uspořádání trhu s elektřinou tím, že doplní krátkodobé trhy zvětšením úlohy dlouhodobějších nástrojů, a umožní tak spotřebitelům využívat smlouvy s pevnějšími cenami a usnadní investice do čistých technologií. To bude v konečném důsledku znamenat, že bude zapotřebí méně fosilních paliv, což při případné budoucí krizi v oblasti fosilních paliv díky nízkým provozním nákladům na obnovitelnou a nízkouhlíkovou energii zajistí nižší ceny pro spotřebitele.</w:t>
      </w:r>
    </w:p>
    <w:p w14:paraId="0B4ABE1D" w14:textId="77777777" w:rsidR="00976265" w:rsidRPr="002D7798" w:rsidRDefault="0064263D">
      <w:pPr>
        <w:spacing w:line="360" w:lineRule="auto"/>
        <w:rPr>
          <w:rFonts w:eastAsiaTheme="minorEastAsia"/>
          <w:noProof/>
        </w:rPr>
      </w:pPr>
      <w:r w:rsidRPr="002D7798">
        <w:rPr>
          <w:noProof/>
        </w:rPr>
        <w:t>Návrh předkládá opatření na ochranu spotřebitelů před touto volatilitou, posiluje jejich možnosti volby při uzavírání smluv a zajišťuje přímější přístup k obnovitelné a nízkouhlíkové energii. Za účelem zlepšení investičních podmínek pro podniky, zejména ty, které usilují o dekarbonizaci, návrh předkládá opatření proti vystavení krátkodobým prudkým nárůstům cen prostřednictvím smluv o nákupu elektřiny a přísnějších obezřetnostních povinností pro dodavatele energie. Navrhuje rovněž opatření ke zlepšení způsobu, jakým jsou intermitentní obnovitelné zdroje energie a nízkouhlíková energie začleněny na krátkodobém trhu. To mimo jiné zahrnuje opatření podporující využívání odezvy strany poptávky a skladování mimo jiné formy flexibility energie z obnovitelných zdrojů. Návrh rovněž zlepšuje a vyjasňuje přístup k dlouhodobějším smlouvám pro zhotovitele projektů (ať jde o státem podporované smlouvy, jako jsou rozdílové smlouvy, nebo o soukromé smlouvy, jako jsou smlouvy o nákupu elektřiny), aby se zhotovitelům projektů v oblasti obnovitelné a nízkouhlíkové energie zajistily bezpečné a stabilní příjmy a snížily se rizikové a investiční náklady a zároveň se zabránilo neočekávaným ziskům v obdobích vysokých cen.</w:t>
      </w:r>
    </w:p>
    <w:p w14:paraId="4D6C1C0D" w14:textId="68C2931A" w:rsidR="00976265" w:rsidRPr="002D7798" w:rsidRDefault="0064263D">
      <w:pPr>
        <w:spacing w:line="360" w:lineRule="auto"/>
        <w:rPr>
          <w:noProof/>
        </w:rPr>
      </w:pPr>
      <w:r w:rsidRPr="002D7798">
        <w:rPr>
          <w:noProof/>
        </w:rPr>
        <w:t>Přestože současné uspořádání trhu po mnoho desetiletí zajišťovalo účinný a stále integrovanější trh, energetická krize poukázala na řadu nedostatků týkajících se: i) nedostatečných nástrojů na ochranu spotřebitelů, včetně podniků, před vysokými krátkodobými cenami; ii) nadměrného vlivu cen fosilních paliv na ceny elektřiny a nemožnosti lépe zohlednit nízké náklady na obnovitelnou a nízkouhlíkovou energii ve vyúčtováních za elektřinu; iii) dopadu extrémního kolísání cen a regulačních zásahů na investice; iv) nedostatečné flexibility energie z obnovitelných zdrojů (např. skladování nebo odezva strany poptávky), která by mohla snížit závislost na výrobě elektřiny z plynu; v) omezeného výběru typů smluv s dodavateli; vi) obtíží s přímým přístupem k energii z obnovitelných zdrojů prostřednictvím sdílení energie a vii) potřeby důkladného monitorování trhu s energií za účelem zajištění lepší ochrany před zneužíváním trhu.</w:t>
      </w:r>
    </w:p>
    <w:p w14:paraId="477CFD6F" w14:textId="04CD226A" w:rsidR="00976265" w:rsidRPr="002D7798" w:rsidRDefault="0064263D" w:rsidP="006F5642">
      <w:pPr>
        <w:spacing w:line="360" w:lineRule="auto"/>
        <w:rPr>
          <w:noProof/>
        </w:rPr>
      </w:pPr>
      <w:r w:rsidRPr="002D7798">
        <w:rPr>
          <w:b/>
          <w:noProof/>
          <w:u w:val="single"/>
        </w:rPr>
        <w:t>Aby byli spotřebitelé chráněni</w:t>
      </w:r>
      <w:r w:rsidRPr="002D7798">
        <w:rPr>
          <w:noProof/>
        </w:rPr>
        <w:t xml:space="preserve"> před kolísavými cenami, návrh stanoví právo na uzavírání smluv s pevnými cenami, jakož i smluv s dynamickým určováním ceny, právo na uzavření více smluv a na lepší a jasnější informace o smlouvách. Spotřebitelům bude nabízena široká škála smluv, které nejlépe odpovídají jejich situaci. Tímto způsobem mohou spotřebitelé, včetně malých podniků, dosáhnout fixace bezpečné, dlouhodobé ceny, aby zmírnili dopad náhlých cenových výkyvů, a/nebo se mohou rozhodnout uzavřít s dodavateli smlouvy s dynamickým určováním cen, pokud chtějí kolísání cen využít a odebírat elektřinu v době, kdy je její cena nižší (např. pro nabíjení elektromobilů nebo používání tepelných čerpadel). Tato kombinace dynamicky určených cen a pevných cen umožňuje zachovat tržní pobídky pro spotřebitele, aby upravili svou poptávku po elektřině, a zároveň poskytuje větší jistotu a stabilitu nákladů těm, kteří chtějí investovat do obnovitelných zdrojů energie (např. do střešních solárních panelů). Kromě stávajícího rámce ochrany spotřebitelů trpících energetickou chudobou a zranitelných spotřebitelů návrh rovněž poskytne přístup k regulovaným maloobchodním cenám pro domácnosti a spotřebitele z řad malých a středních podniků v případě krize a stabilizuje dodavatelský průmysl tím, že bude vyžadovat, aby dodavatelé vyvinuli větší úsilí na ochranu proti prudkému nárůstu cen prostřednictvím toho, že budou více využívat forwardové smlouvy s výrobci (fixace budoucích cen), a dále bude vyžadovat, aby členské státy zavedly režim pro dodavatele poslední instance. Návrh posílí postavení spotřebitelů tím, že vytvoří právo přímo sdílet energii z obnovitelných zdrojů, aniž by bylo nutné vytvářet energetická společenství. Větší míra sdílení energie (např. sdílení přebytečné energie ze střešních solárních panelů se sousedem) může zlepšit využívání nízkonákladové energie z obnovitelných zdrojů a poskytnout lepší přístup k přímému využívání energie z obnovitelných zdrojů pro spotřebitele, kteří by jinak takový přístup neměli. </w:t>
      </w:r>
    </w:p>
    <w:p w14:paraId="21135595" w14:textId="4CADEE7C" w:rsidR="00976265" w:rsidRPr="002D7798" w:rsidRDefault="65903BA4">
      <w:pPr>
        <w:spacing w:line="360" w:lineRule="auto"/>
        <w:rPr>
          <w:rFonts w:eastAsia="Times New Roman"/>
          <w:noProof/>
        </w:rPr>
      </w:pPr>
      <w:r w:rsidRPr="002D7798">
        <w:rPr>
          <w:b/>
          <w:noProof/>
          <w:u w:val="single"/>
        </w:rPr>
        <w:t>Aby se posílila stabilita a předvídatelnost nákladů na energii, což přispěje ke konkurenceschopnosti hospodářství EU</w:t>
      </w:r>
      <w:r w:rsidRPr="002D7798">
        <w:rPr>
          <w:noProof/>
        </w:rPr>
        <w:t>, které čelí nadměrným kolísavým cenám, má návrh zlepšit přístup na trh ke stabilnějším dlouhodobějším smlouvám a trhům. Smlouvy o nákupu elektřiny – dlouhodobé soukromé smlouvy mezi výrobcem (obvykle obnovitelné nebo nízkouhlíkové energie) a spotřebitelem – mohou chránit před kolísáním cen, avšak v současné době jsou většinou dostupné pouze velkým spotřebitelům energie ve velmi malém počtu členských států. Překážkou růstu tohoto trhu je úvěrové riziko spočívající v tom, že spotřebitel nebude vždy schopen nakupovat elektřinu po celé období. Za tímto účelem by členské státy měly zajistit, aby nástroje ke snížení finančních rizik spojených se selháním odběratele v rámci smluv o nákupu elektřiny, včetně systémů záruk za tržní ceny, byly dostupné společnostem, které čelí překážkám vstupu na trh se smlouvami o nákupu elektřiny a nemají finanční obtíže. Aby se dále podpořil růst trhu s těmito smlouvami, mělo by být zhotovitelům projektů v oblasti obnovitelné a nízkouhlíkové energie, kteří se o podporu ucházejí v rámci zadávacího řízení na veřejnou podporu, umožněno vyhradit si podíl výroby pro prodej prostřednictvím smluv o nákupu elektřiny. Kromě toho by členské státy měly usilovat o to, aby se v některých zadávacích řízeních uplatnila hodnotící kritéria za účelem zlepšení přístupu na trh se smlouvami o nákupu elektřiny pro zákazníky, kteří v tomto ohledu čelí překážkám. Povinnost dodavatelů vhodným způsobem se zajistit může také zvýšit poptávku po smlouvách o nákupu elektřiny (které představují způsob fixace budoucích cen).</w:t>
      </w:r>
    </w:p>
    <w:p w14:paraId="7DC6E8D3" w14:textId="387DF3D3" w:rsidR="00976265" w:rsidRPr="002D7798" w:rsidRDefault="65903BA4">
      <w:pPr>
        <w:spacing w:line="360" w:lineRule="auto"/>
        <w:rPr>
          <w:rFonts w:eastAsia="Times New Roman"/>
          <w:noProof/>
        </w:rPr>
      </w:pPr>
      <w:r w:rsidRPr="002D7798">
        <w:rPr>
          <w:noProof/>
        </w:rPr>
        <w:t xml:space="preserve">Některé formy veřejné podpory zaručují výrobci energie minimální cenu ze strany vlády, ale umožňují mu rovněž získat plnou tržní cenu, i když je tato tržní cena velmi vysoká. Během nedávného období vysokých cen byla velká část (levné) energie podporované z veřejných zdrojů prodávána za tyto vysoké tržní ceny. Aby se toto dále nedělo a ceny se stabilizovaly, měla by být investiční podpora strukturována jako „dvousměrná“ (dvousměrná rozdílová smlouva) a stanovit minimální cenu, ale také maximální cenu, aby byly vráceny příjmy přesahující stanovený strop. Návrh se bude vztahovat na nové investice do výroby elektřiny, které zahrnují investice do nových výroben elektřiny, investice zaměřené na modernizaci stávajících výroben elektřiny, investice zaměřené na rozšíření stávajících výroben elektřiny nebo na prodloužení jejich životnosti. Návrh bude navíc vyžadovat, aby tyto peníze byly následně směrovány na podporu všech spotřebitelů elektřiny v poměru k jejich spotřebě za účelem zmírnění dopadů vysokých cen. </w:t>
      </w:r>
    </w:p>
    <w:p w14:paraId="52DEF397" w14:textId="77777777" w:rsidR="00976265" w:rsidRPr="002D7798" w:rsidRDefault="0064263D">
      <w:pPr>
        <w:spacing w:line="360" w:lineRule="auto"/>
        <w:rPr>
          <w:rFonts w:eastAsia="Times New Roman"/>
          <w:noProof/>
        </w:rPr>
      </w:pPr>
      <w:r w:rsidRPr="002D7798">
        <w:rPr>
          <w:noProof/>
        </w:rPr>
        <w:t xml:space="preserve">Dalším prostředkem ochrany před kolísáním cen je používání dlouhodobých smluv, které fixují budoucí ceny (dále jen „forwardové smlouvy“). Tento trh vykazuje v mnoha členských státech nízkou likviditu, ale mohl by být v celé EU posílen, aby se více dodavatelů nebo spotřebitelů mohlo před příliš kolísavými cenami chránit po delší časová období. Návrh vytvoří regionální referenční ceny stanovené prostřednictvím centra za účelem zvýšit transparentnost cen a uložit provozovatelům soustav povinnost umožnit přenosová práva na dobu delší než jeden rok, aby byl přenos elektřiny zajištěn i v případě, že se jedná o forwardovou smlouvu mezi stranami z jiných regionů nebo států. </w:t>
      </w:r>
    </w:p>
    <w:p w14:paraId="4E33DB52" w14:textId="77777777" w:rsidR="00976265" w:rsidRPr="002D7798" w:rsidRDefault="0064263D">
      <w:pPr>
        <w:spacing w:line="360" w:lineRule="auto"/>
        <w:rPr>
          <w:rFonts w:eastAsia="Times New Roman"/>
          <w:noProof/>
        </w:rPr>
      </w:pPr>
      <w:r w:rsidRPr="002D7798">
        <w:rPr>
          <w:noProof/>
        </w:rPr>
        <w:t xml:space="preserve">V neposlední řadě bude posílena schopnost regulačních orgánů monitorovat integritu a transparentnost trhu s energií, aby se zajistila konkurenceschopnost trhů a transparentní stanovování cen. </w:t>
      </w:r>
    </w:p>
    <w:p w14:paraId="3671AF1B" w14:textId="77777777" w:rsidR="00976265" w:rsidRPr="002D7798" w:rsidRDefault="0064263D">
      <w:pPr>
        <w:spacing w:line="360" w:lineRule="auto"/>
        <w:rPr>
          <w:rFonts w:eastAsia="Times New Roman"/>
          <w:noProof/>
        </w:rPr>
      </w:pPr>
      <w:r w:rsidRPr="002D7798">
        <w:rPr>
          <w:noProof/>
        </w:rPr>
        <w:t xml:space="preserve">Třetím cílem je </w:t>
      </w:r>
      <w:r w:rsidRPr="002D7798">
        <w:rPr>
          <w:b/>
          <w:noProof/>
          <w:u w:val="single"/>
        </w:rPr>
        <w:t>podpořit investice do energie z obnovitelných zdrojů</w:t>
      </w:r>
      <w:r w:rsidRPr="002D7798">
        <w:rPr>
          <w:b/>
          <w:noProof/>
        </w:rPr>
        <w:t xml:space="preserve"> </w:t>
      </w:r>
      <w:r w:rsidRPr="002D7798">
        <w:rPr>
          <w:noProof/>
        </w:rPr>
        <w:t xml:space="preserve">k zajištění toho, aby se v souladu s cíli Zelené dohody pro Evropu míra zavádění obnovitelné energie ztrojnásobila. Toho bude částečně dosaženo posílením trhů s dlouhodobými smlouvami. Nejen že smlouvy o nákupu elektřiny a rozdílové smlouvy poskytují spotřebitelům stabilní ceny, ale také zajišťují dodavatelům obnovitelné energie spolehlivé příjmy. To snižuje jejich finanční riziko a značně omezuje jejich investiční náklady. Vytváří se tak pozitivní cyklus, v němž stabilní příjmy snižují náklady a zvyšují poptávku po obnovitelné energii.  </w:t>
      </w:r>
    </w:p>
    <w:p w14:paraId="4257823D" w14:textId="07EAF72D" w:rsidR="00976265" w:rsidRPr="002D7798" w:rsidRDefault="65903BA4">
      <w:pPr>
        <w:spacing w:line="360" w:lineRule="auto"/>
        <w:rPr>
          <w:rFonts w:eastAsia="Times New Roman"/>
          <w:noProof/>
        </w:rPr>
      </w:pPr>
      <w:r w:rsidRPr="002D7798">
        <w:rPr>
          <w:noProof/>
        </w:rPr>
        <w:t>Energie z obnovitelných zdrojů je rovněž lepší investicí, pokud její schopnost produkovat výkon není omezena v důsledku technických omezení systému. Čím pružnější je systém (možnost výrobu rychle spustit nebo zastavit, skladování umožňující energii přijímat nebo ji dodávat do systému nebo reagující spotřebitelé, kteří mohou zvýšit nebo snížit svou poptávku po energii), tím stabilnější mohou být ceny a tím více obnovitelné energie může systém integrovat. Z tohoto důvodu návrh vyžaduje, aby členské státy posoudily své potřeby flexibility energetického systému a stanovily cíle ke splnění těchto potřeb. Členské státy mohou navrhnout nebo přepracovat kapacitní mechanismy, aby podpořily nízkouhlíkovou flexibilitu. Návrh navíc otevírá členským státům možnost zavést nové režimy podpory pro nefosilní flexibilitu, kterou představuje například odezva strany poptávky a skladování.</w:t>
      </w:r>
    </w:p>
    <w:p w14:paraId="322C396D" w14:textId="5C1934C4" w:rsidR="00976265" w:rsidRPr="002D7798" w:rsidRDefault="65903BA4">
      <w:pPr>
        <w:spacing w:line="360" w:lineRule="auto"/>
        <w:rPr>
          <w:rFonts w:eastAsia="Times New Roman"/>
          <w:noProof/>
        </w:rPr>
      </w:pPr>
      <w:r w:rsidRPr="002D7798">
        <w:rPr>
          <w:noProof/>
        </w:rPr>
        <w:t xml:space="preserve">Provozovatelé soustav by rovněž měli hrát větší úlohu při začleňování elektřiny z obnovitelných zdrojů do sítě, a to částečně zvýšením transparentnosti týkající se dostupnosti kapacity připojení k síti. Za prvé, vyjasnění informací by zvýšilo schopnost zhotovitelů projektů v oblasti obnovitelné energie rozvíjet obnovitelné zdroje v oblastech, kde je síť méně přetížená. Za druhé, s obnovitelnými zdroji energie lze v systému účinněji obchodovat a mohou být účinněji vyváženy, pokud se obchody mezi účastníky trhu mohou uskutečnit blíže „reálnému času“. Pokud jsou nabídky dodávek elektřiny podávány v řádu minut před spotřebou spíš než v řádu hodin před spotřebou, nabídky výrobců větrné a solární energie jsou přesnější, množství spotřebované větrné a solární energie se může zvýšit a „náklady spojené s nerovnováhou systému“ se sníží. Lhůty pro uzavírání obchodů se tak přiblíží reálnému času. </w:t>
      </w:r>
    </w:p>
    <w:p w14:paraId="571E60CC" w14:textId="77777777" w:rsidR="21D997FA" w:rsidRPr="002D7798" w:rsidRDefault="21D997FA" w:rsidP="21D997FA">
      <w:pPr>
        <w:spacing w:line="360" w:lineRule="auto"/>
        <w:rPr>
          <w:rFonts w:eastAsia="Times New Roman"/>
          <w:noProof/>
        </w:rPr>
      </w:pPr>
    </w:p>
    <w:p w14:paraId="43744774" w14:textId="77777777" w:rsidR="00976265" w:rsidRPr="002D7798" w:rsidRDefault="0064263D">
      <w:pPr>
        <w:spacing w:line="360" w:lineRule="auto"/>
        <w:rPr>
          <w:rFonts w:eastAsia="Times New Roman"/>
          <w:b/>
          <w:bCs/>
          <w:noProof/>
        </w:rPr>
      </w:pPr>
      <w:r w:rsidRPr="002D7798">
        <w:rPr>
          <w:b/>
          <w:noProof/>
        </w:rPr>
        <w:t xml:space="preserve">Soulad s platnými předpisy v této oblasti politiky </w:t>
      </w:r>
    </w:p>
    <w:p w14:paraId="5EE602B5" w14:textId="77777777" w:rsidR="00976265" w:rsidRPr="002D7798" w:rsidRDefault="0064263D">
      <w:pPr>
        <w:spacing w:line="360" w:lineRule="auto"/>
        <w:rPr>
          <w:rFonts w:eastAsia="Times New Roman"/>
          <w:noProof/>
        </w:rPr>
      </w:pPr>
      <w:r w:rsidRPr="002D7798">
        <w:rPr>
          <w:noProof/>
        </w:rPr>
        <w:t xml:space="preserve">Předkládaný podnět úzce souvisí s legislativními návrhy předloženými v souvislosti s balíčkem Zelené dohody pro Evropu a urychluje cíle v oblasti snižování emisí uhlíku stanovené v plánu REPowerEU, zejména pokud jde o návrh na revizi směrnice o obnovitelných zdrojích energie („směrnice RED II“), což je hlavní nástroj EU zabývající se podporou energie z obnovitelných zdrojů. Předkládaný podnět uvedenou legislativu doplňuje v tom, že jeho cílem je umožnit rychlejší využívání energie z obnovitelných zdrojů. Cílem návrhu je zajistit stabilnější dlouhodobé zdroje příjmů a uvolnit další investice do obnovitelné a nízkouhlíkové energie a zároveň zlepšit fungování krátkodobých trhů, které jsou klíčové pro integraci obnovitelných zdrojů energie do elektrizační soustavy. Kromě toho se návrh snaží umožnit sdílení energie, aby se spotřebitelé mohli na trhu více zapojovat a pomohli urychlit transformaci energetiky.  </w:t>
      </w:r>
    </w:p>
    <w:p w14:paraId="3902C43A" w14:textId="77777777" w:rsidR="00976265" w:rsidRPr="002D7798" w:rsidRDefault="0064263D">
      <w:pPr>
        <w:spacing w:line="360" w:lineRule="auto"/>
        <w:rPr>
          <w:rFonts w:eastAsia="Times New Roman"/>
          <w:noProof/>
        </w:rPr>
      </w:pPr>
      <w:r w:rsidRPr="002D7798">
        <w:rPr>
          <w:noProof/>
        </w:rPr>
        <w:t>Snížení spotřeby energie prostřednictvím cenových signálů, opatření v oblasti energetické účinnosti nebo dobrovolného úsilí může být často nejlevnější, nejbezpečnější a nejčistší způsob, jak snížit naši závislost na fosilních palivech, podpořit bezpečnost dodávek energie a snížit účty za energii. Návrh usnadní aktivní účast spotřebitelů na trhu a rozvoj jejich odezvy strany poptávky. Umožní rovněž, aby nefosilní flexibilita, jako je flexibilita na straně poptávky nebo skladování, byla za rovných podmínek konkurenceschopná, a tím se postupně snižovala úloha zemního plynu při zajišťování flexibility na krátkodobém trhu. Návrh je proto v souladu s navrhovaným zvýšením cíle v oblasti energetické účinnosti pro rok 2030 na 13 %, jak stanovují pozměňovací návrhy směrnice o obnovitelných zdrojích energie, směrnice o energetické náročnosti budov a směrnice o energetické účinnosti</w:t>
      </w:r>
      <w:r w:rsidRPr="002D7798">
        <w:rPr>
          <w:rStyle w:val="FootnoteReference"/>
          <w:rFonts w:eastAsia="Times New Roman"/>
          <w:noProof/>
        </w:rPr>
        <w:footnoteReference w:id="12"/>
      </w:r>
      <w:r w:rsidRPr="002D7798">
        <w:rPr>
          <w:noProof/>
        </w:rPr>
        <w:t>, které doprovázejí plán REPowerEU</w:t>
      </w:r>
      <w:r w:rsidRPr="002D7798">
        <w:rPr>
          <w:rStyle w:val="FootnoteReference"/>
          <w:rFonts w:eastAsia="Times New Roman"/>
          <w:noProof/>
        </w:rPr>
        <w:footnoteReference w:id="13"/>
      </w:r>
      <w:r w:rsidRPr="002D7798">
        <w:rPr>
          <w:noProof/>
        </w:rPr>
        <w:t xml:space="preserve">. </w:t>
      </w:r>
    </w:p>
    <w:p w14:paraId="3A2EC32E" w14:textId="77777777" w:rsidR="00976265" w:rsidRPr="002D7798" w:rsidRDefault="0064263D">
      <w:pPr>
        <w:spacing w:line="360" w:lineRule="auto"/>
        <w:rPr>
          <w:rFonts w:eastAsia="Times New Roman"/>
          <w:noProof/>
        </w:rPr>
      </w:pPr>
      <w:r w:rsidRPr="002D7798">
        <w:rPr>
          <w:noProof/>
        </w:rPr>
        <w:t xml:space="preserve">Existuje rovněž důležitá vazba mezi návrhem a směrnicí o energetické náročnosti budov, jež je hlavním nástrojem EU, který pomáhá dosáhnout cílů v oblasti výstavby a renovací budov stanovených v Zelené dohodě pro Evropu. Návrh je úzce spjat zejména s ustanoveními týkajícími se dílčích měření a odezvy strany poptávky, a to vedle návrhu Komise, který je součástí balíčku Zelené dohody pro Evropu a je vyjádřen ve sdělení Strategie EU pro solární energii, a s ustanoveními o postupné povinné integraci solární fotovoltaiky za účelem dosažení klimatické neutrality veřejných, komerčních a obytných budov. </w:t>
      </w:r>
    </w:p>
    <w:p w14:paraId="2F029AF2" w14:textId="77777777" w:rsidR="00976265" w:rsidRPr="002D7798" w:rsidRDefault="0064263D">
      <w:pPr>
        <w:pStyle w:val="ManualHeading2"/>
        <w:rPr>
          <w:rFonts w:eastAsia="Arial Unicode MS"/>
          <w:noProof/>
        </w:rPr>
      </w:pPr>
      <w:bookmarkStart w:id="3" w:name="_Toc128753740"/>
      <w:r w:rsidRPr="002D7798">
        <w:rPr>
          <w:noProof/>
          <w:bdr w:val="nil"/>
        </w:rPr>
        <w:t>•</w:t>
      </w:r>
      <w:r w:rsidRPr="002D7798">
        <w:rPr>
          <w:noProof/>
        </w:rPr>
        <w:tab/>
        <w:t>Soulad s ostatními politikami Unie</w:t>
      </w:r>
      <w:bookmarkEnd w:id="3"/>
    </w:p>
    <w:p w14:paraId="11FF0A96" w14:textId="77777777" w:rsidR="00976265" w:rsidRPr="002D7798" w:rsidRDefault="65903BA4" w:rsidP="208CACCC">
      <w:pPr>
        <w:spacing w:line="360" w:lineRule="auto"/>
        <w:rPr>
          <w:rFonts w:eastAsia="Times New Roman"/>
          <w:noProof/>
          <w:szCs w:val="24"/>
        </w:rPr>
      </w:pPr>
      <w:r w:rsidRPr="002D7798">
        <w:rPr>
          <w:noProof/>
        </w:rPr>
        <w:t>Cíle návrhu týkající se ochrany a posílení postavení spotřebitelů, zlepšení konkurenceschopnosti průmyslu EU a podpory investic do obnovitelných zdrojů energie a nízkouhlíkových technologií jsou zcela v souladu s rámcem Zelené dohody pro Evropu a jsou soudržné se stávajícími iniciativami a doplňují je, včetně legislativního návrhu aktu o průmyslu s nulovými čistými emisemi, který se přijímá souběžně s tímto návrhem. Reaguje na problémy</w:t>
      </w:r>
      <w:r w:rsidRPr="002D7798">
        <w:rPr>
          <w:noProof/>
          <w:shd w:val="clear" w:color="auto" w:fill="E6E6E6"/>
        </w:rPr>
        <w:t xml:space="preserve"> </w:t>
      </w:r>
      <w:r w:rsidRPr="002D7798">
        <w:rPr>
          <w:noProof/>
        </w:rPr>
        <w:t>popsané ve sdělení Komise ze dne 1. února 2023, které představilo „Průmyslový plán Zelené dohody pro věk s nulovými čistými emisemi“</w:t>
      </w:r>
      <w:r w:rsidRPr="002D7798">
        <w:rPr>
          <w:rStyle w:val="FootnoteReference"/>
          <w:rFonts w:eastAsia="Times New Roman"/>
          <w:noProof/>
        </w:rPr>
        <w:footnoteReference w:id="14"/>
      </w:r>
      <w:r w:rsidRPr="002D7798">
        <w:rPr>
          <w:rStyle w:val="FootnoteReference"/>
          <w:rFonts w:eastAsia="Times New Roman"/>
          <w:noProof/>
          <w:vertAlign w:val="baseline"/>
        </w:rPr>
        <w:t xml:space="preserve">, </w:t>
      </w:r>
      <w:r w:rsidRPr="002D7798">
        <w:rPr>
          <w:rStyle w:val="FootnoteReference"/>
          <w:noProof/>
          <w:vertAlign w:val="baseline"/>
        </w:rPr>
        <w:t xml:space="preserve">, </w:t>
      </w:r>
      <w:r w:rsidRPr="002D7798">
        <w:rPr>
          <w:noProof/>
        </w:rPr>
        <w:t>konkrétně na to, že konkurenceschopnost mnoha podniků byla výrazně oslabena vysokými cenami energie a že k předvídatelnějším a nižším nákladům na energii z obnovitelných zdrojů pro odběratele elektřiny by mohly významně přispět dlouhodobé cenové smlouvy. V neposlední řadě tento legislativní návrh doplňuje probíhající revizi příslušných nařízení o finančních trzích, jako je nařízení o zneužívání trhu</w:t>
      </w:r>
      <w:r w:rsidRPr="002D7798">
        <w:rPr>
          <w:rStyle w:val="FootnoteReference"/>
          <w:rFonts w:eastAsia="Times New Roman"/>
          <w:noProof/>
        </w:rPr>
        <w:footnoteReference w:id="15"/>
      </w:r>
      <w:r w:rsidRPr="002D7798">
        <w:rPr>
          <w:noProof/>
        </w:rPr>
        <w:t>. Návrh rovněž vychází z doporučení Rady ohledně zajištění spravedlivé transformace na klimatickou neutralitu, v němž se členské státy vyzývají, aby i nadále mobilizovaly veřejnou a soukromou finanční podporu pro investice do energie z obnovitelných zdrojů, řešily problémy v oblasti mobility a podporovaly příležitosti k úsporám nákladů spojené s oběhovým hospodářstvím</w:t>
      </w:r>
      <w:r w:rsidRPr="002D7798">
        <w:rPr>
          <w:rStyle w:val="FootnoteReference"/>
          <w:rFonts w:eastAsia="Times New Roman"/>
          <w:noProof/>
          <w:szCs w:val="24"/>
        </w:rPr>
        <w:footnoteReference w:id="16"/>
      </w:r>
      <w:r w:rsidRPr="002D7798">
        <w:rPr>
          <w:noProof/>
        </w:rPr>
        <w:t>.</w:t>
      </w:r>
    </w:p>
    <w:p w14:paraId="0045D9B6" w14:textId="77777777" w:rsidR="00976265" w:rsidRPr="002D7798" w:rsidRDefault="0064263D">
      <w:pPr>
        <w:pStyle w:val="ManualHeading1"/>
        <w:spacing w:line="360" w:lineRule="auto"/>
        <w:rPr>
          <w:rFonts w:eastAsia="Arial Unicode MS"/>
          <w:noProof/>
        </w:rPr>
      </w:pPr>
      <w:bookmarkStart w:id="4" w:name="_Toc128753741"/>
      <w:r w:rsidRPr="002D7798">
        <w:rPr>
          <w:noProof/>
        </w:rPr>
        <w:t>2.</w:t>
      </w:r>
      <w:r w:rsidRPr="002D7798">
        <w:rPr>
          <w:noProof/>
        </w:rPr>
        <w:tab/>
        <w:t>PRÁVNÍ ZÁKLAD, SUBSIDIARITA A PROPORCIONALITA</w:t>
      </w:r>
      <w:bookmarkEnd w:id="4"/>
    </w:p>
    <w:p w14:paraId="12BDDDF5" w14:textId="77777777" w:rsidR="00976265" w:rsidRPr="002D7798" w:rsidRDefault="0064263D">
      <w:pPr>
        <w:pStyle w:val="ManualHeading2"/>
        <w:rPr>
          <w:rFonts w:eastAsia="Arial Unicode MS"/>
          <w:noProof/>
          <w:bdr w:val="nil"/>
        </w:rPr>
      </w:pPr>
      <w:bookmarkStart w:id="5" w:name="_Toc128753742"/>
      <w:r w:rsidRPr="002D7798">
        <w:rPr>
          <w:noProof/>
          <w:bdr w:val="nil"/>
        </w:rPr>
        <w:t>•</w:t>
      </w:r>
      <w:r w:rsidRPr="002D7798">
        <w:rPr>
          <w:noProof/>
        </w:rPr>
        <w:tab/>
      </w:r>
      <w:r w:rsidRPr="002D7798">
        <w:rPr>
          <w:noProof/>
          <w:bdr w:val="nil"/>
        </w:rPr>
        <w:t>Právní základ</w:t>
      </w:r>
      <w:bookmarkEnd w:id="5"/>
    </w:p>
    <w:p w14:paraId="18F8B462" w14:textId="77777777" w:rsidR="00976265" w:rsidRPr="002D7798" w:rsidRDefault="0064263D">
      <w:pPr>
        <w:spacing w:line="360" w:lineRule="auto"/>
        <w:rPr>
          <w:rFonts w:eastAsia="Times New Roman"/>
          <w:noProof/>
        </w:rPr>
      </w:pPr>
      <w:r w:rsidRPr="002D7798">
        <w:rPr>
          <w:noProof/>
        </w:rPr>
        <w:t>Návrh vychází z čl. 194 odst. 2 Smlouvy o fungování Evropské unie, který poskytuje právní základ pro navrhování opatření, jejichž cílem je mimo jiné zajistit fungování trhu s energií, podpořit energetickou účinnost a úspory energie a rozvoj nových a obnovitelných forem energie</w:t>
      </w:r>
      <w:r w:rsidRPr="002D7798">
        <w:rPr>
          <w:rStyle w:val="FootnoteReference"/>
          <w:noProof/>
        </w:rPr>
        <w:footnoteReference w:id="17"/>
      </w:r>
      <w:r w:rsidRPr="002D7798">
        <w:rPr>
          <w:noProof/>
        </w:rPr>
        <w:t>. V oblasti energetiky má EU sdílenou pravomoc podle čl. 4 odst. 2 písm. i) Smlouvy o fungování EU.</w:t>
      </w:r>
    </w:p>
    <w:p w14:paraId="182CD42C" w14:textId="77777777" w:rsidR="00976265" w:rsidRPr="002D7798" w:rsidRDefault="0064263D">
      <w:pPr>
        <w:pStyle w:val="ManualHeading2"/>
        <w:rPr>
          <w:rFonts w:eastAsia="Arial Unicode MS"/>
          <w:noProof/>
          <w:bdr w:val="nil"/>
        </w:rPr>
      </w:pPr>
      <w:bookmarkStart w:id="6" w:name="_Toc128753743"/>
      <w:r w:rsidRPr="002D7798">
        <w:rPr>
          <w:noProof/>
          <w:bdr w:val="nil"/>
        </w:rPr>
        <w:t>•</w:t>
      </w:r>
      <w:r w:rsidRPr="002D7798">
        <w:rPr>
          <w:noProof/>
        </w:rPr>
        <w:tab/>
      </w:r>
      <w:r w:rsidRPr="002D7798">
        <w:rPr>
          <w:noProof/>
          <w:bdr w:val="nil"/>
        </w:rPr>
        <w:t>Subsidiarita (v případě nevýlučné pravomoci)</w:t>
      </w:r>
      <w:bookmarkEnd w:id="6"/>
      <w:r w:rsidRPr="002D7798">
        <w:rPr>
          <w:noProof/>
          <w:bdr w:val="nil"/>
        </w:rPr>
        <w:t xml:space="preserve"> </w:t>
      </w:r>
    </w:p>
    <w:p w14:paraId="0AD46D57" w14:textId="77777777" w:rsidR="00976265" w:rsidRPr="002D7798" w:rsidRDefault="00976265">
      <w:pPr>
        <w:pStyle w:val="Text1"/>
        <w:ind w:left="720"/>
        <w:rPr>
          <w:noProof/>
        </w:rPr>
      </w:pPr>
    </w:p>
    <w:p w14:paraId="127367F9" w14:textId="77777777" w:rsidR="00976265" w:rsidRPr="002D7798" w:rsidRDefault="0064263D">
      <w:pPr>
        <w:spacing w:line="360" w:lineRule="auto"/>
        <w:rPr>
          <w:rFonts w:eastAsia="Times New Roman"/>
          <w:b/>
          <w:noProof/>
        </w:rPr>
      </w:pPr>
      <w:r w:rsidRPr="002D7798">
        <w:rPr>
          <w:b/>
          <w:noProof/>
        </w:rPr>
        <w:t>Potřeba činnosti na úrovni EU</w:t>
      </w:r>
    </w:p>
    <w:p w14:paraId="70687E6C" w14:textId="77777777" w:rsidR="00976265" w:rsidRPr="002D7798" w:rsidRDefault="0064263D">
      <w:pPr>
        <w:spacing w:line="360" w:lineRule="auto"/>
        <w:rPr>
          <w:rFonts w:eastAsia="Times New Roman"/>
          <w:noProof/>
        </w:rPr>
      </w:pPr>
      <w:r w:rsidRPr="002D7798">
        <w:rPr>
          <w:noProof/>
        </w:rPr>
        <w:t>Bezprecedentní povaha krize cen energie obrátila všeobecnou pozornost na trhy s elektřinou v EU. Navzdory rostoucímu podílu levné elektřiny z obnovitelných zdrojů v celé EU vliv elektřiny vyrobené z fosilních paliv na celkové účty za energii přetrvává. Domácnosti a podniky v celé EU se během krize potýkaly s prudce rostoucími cenami energie.</w:t>
      </w:r>
    </w:p>
    <w:p w14:paraId="73C6E5C1" w14:textId="77777777" w:rsidR="00976265" w:rsidRPr="002D7798" w:rsidRDefault="0064263D">
      <w:pPr>
        <w:spacing w:line="360" w:lineRule="auto"/>
        <w:rPr>
          <w:rFonts w:eastAsia="Times New Roman"/>
          <w:noProof/>
        </w:rPr>
      </w:pPr>
      <w:r w:rsidRPr="002D7798">
        <w:rPr>
          <w:noProof/>
        </w:rPr>
        <w:t xml:space="preserve">Jedná se o problém celoevropského významu, který lze řešit pouze opatřeními na úrovni EU. Větší integrace trhů s elektřinou v EU vyžaduje užší koordinaci mezi vnitrostátními subjekty, a to i v souvislosti s dohledem nad trhem a jeho monitorováním. Vnitrostátní politické zásahy v odvětví elektřiny mají přímý dopad na sousední členské státy v důsledku vzájemné energetické závislosti, propojení sítě a pokračující integrace trhu s elektřinou. Aby se zachovalo fungování elektrizační soustavy a přeshraniční obchod a investice a aby se koordinovaným způsobem urychlila transformace energetiky směrem k integrovanějšímu a energeticky účinnějšímu energetickému systému založenému na výrobě energie z obnovitelných zdrojů, je zapotřebí společný přístup. </w:t>
      </w:r>
    </w:p>
    <w:p w14:paraId="30691E84" w14:textId="77777777" w:rsidR="00976265" w:rsidRPr="002D7798" w:rsidRDefault="0064263D">
      <w:pPr>
        <w:spacing w:line="360" w:lineRule="auto"/>
        <w:rPr>
          <w:rFonts w:eastAsia="Times New Roman"/>
          <w:noProof/>
        </w:rPr>
      </w:pPr>
      <w:r w:rsidRPr="002D7798">
        <w:rPr>
          <w:noProof/>
        </w:rPr>
        <w:t>Navrhované změny zajišťují rovnováhu mezi povinnostmi členských států a flexibilitou, která je jim ponechána, pokud jde o způsob, jakým dosáhnou hlavních sledovaných cílů, které spočívají v zajištění toho, aby se nižší náklady na elektřinu z obnovitelných zdrojů odrazily v účtech spotřebitelů, a v podpoře zavádění energie z obnovitelných zdrojů.</w:t>
      </w:r>
    </w:p>
    <w:p w14:paraId="4BC47C1A" w14:textId="77777777" w:rsidR="00976265" w:rsidRPr="002D7798" w:rsidRDefault="0064263D">
      <w:pPr>
        <w:spacing w:line="360" w:lineRule="auto"/>
        <w:rPr>
          <w:rFonts w:eastAsia="Times New Roman"/>
          <w:noProof/>
        </w:rPr>
      </w:pPr>
      <w:r w:rsidRPr="002D7798">
        <w:rPr>
          <w:noProof/>
        </w:rPr>
        <w:t>Cíle navrhovaných opatření lze navíc dosáhnout pouze opatřením na úrovni EU, nikoli na úrovni jednotlivých členských států, neboť navrhované opatření vyžaduje změny stávajícího celounijního rámce pro uspořádání trhu s elektřinou, jak je stanoven nařízením o elektřině (EU) 2019/943 a směrnici o elektřině (EU) 2019/944, jakož i stávajícího rámce nařízení REMIT.</w:t>
      </w:r>
    </w:p>
    <w:p w14:paraId="4BD9DC98" w14:textId="77777777" w:rsidR="00976265" w:rsidRPr="002D7798" w:rsidRDefault="0064263D">
      <w:pPr>
        <w:pStyle w:val="ManualHeading2"/>
        <w:rPr>
          <w:rFonts w:eastAsia="Times New Roman"/>
          <w:b w:val="0"/>
          <w:noProof/>
        </w:rPr>
      </w:pPr>
      <w:r w:rsidRPr="002D7798">
        <w:rPr>
          <w:noProof/>
          <w:bdr w:val="nil"/>
        </w:rPr>
        <w:t>•</w:t>
      </w:r>
      <w:r w:rsidRPr="002D7798">
        <w:rPr>
          <w:noProof/>
        </w:rPr>
        <w:tab/>
        <w:t>Přidaná hodnota EU</w:t>
      </w:r>
    </w:p>
    <w:p w14:paraId="7FF08350" w14:textId="77777777" w:rsidR="00976265" w:rsidRPr="002D7798" w:rsidRDefault="0064263D">
      <w:pPr>
        <w:spacing w:line="360" w:lineRule="auto"/>
        <w:rPr>
          <w:rFonts w:eastAsia="Times New Roman"/>
          <w:noProof/>
        </w:rPr>
      </w:pPr>
      <w:r w:rsidRPr="002D7798">
        <w:rPr>
          <w:noProof/>
        </w:rPr>
        <w:t>Opatření EU k řešení nedostatků stávajícího uspořádání trhu s elektřinou přináší přidanou hodnotu, protože je efektivnější a účinnější než opatření přijatá jednotlivými členskými státy, a proto zamezí roztříštěnému přístupu. Navrhovaná opatření k odstranění zjištěných nedostatků budou ambicióznější a nákladově efektivnější, pokud budou vycházet ze společného právního a politického rámce. Kromě toho by opatření na úrovni členských států bylo možné přijmout pouze v rámci omezení stávajícího celounijního rámce pro uspořádání trhu s elektřinou, jak je stanoven v nařízení o elektřině a ve směrnici o elektřině, jakož i v nařízení REMIT, a nebyla by schopna dosáhnout nezbytných změn tohoto rámce. Cílů tohoto podnětu proto nemůže být dosaženo samotnými členskými státy, a právě v tomto spočívá přidaná hodnota opatření na úrovni EU.</w:t>
      </w:r>
    </w:p>
    <w:p w14:paraId="48EA9AEF" w14:textId="77777777" w:rsidR="00976265" w:rsidRPr="002D7798" w:rsidRDefault="0064263D">
      <w:pPr>
        <w:pStyle w:val="ManualHeading2"/>
        <w:rPr>
          <w:rFonts w:eastAsia="Arial Unicode MS"/>
          <w:noProof/>
          <w:bdr w:val="nil"/>
        </w:rPr>
      </w:pPr>
      <w:bookmarkStart w:id="7" w:name="_Toc128753744"/>
      <w:r w:rsidRPr="002D7798">
        <w:rPr>
          <w:noProof/>
          <w:bdr w:val="nil"/>
        </w:rPr>
        <w:t>•</w:t>
      </w:r>
      <w:r w:rsidRPr="002D7798">
        <w:rPr>
          <w:noProof/>
        </w:rPr>
        <w:tab/>
      </w:r>
      <w:r w:rsidRPr="002D7798">
        <w:rPr>
          <w:noProof/>
          <w:bdr w:val="nil"/>
        </w:rPr>
        <w:t>Proporcionalita</w:t>
      </w:r>
      <w:bookmarkEnd w:id="7"/>
    </w:p>
    <w:p w14:paraId="6B469ADD" w14:textId="77777777" w:rsidR="00976265" w:rsidRPr="002D7798" w:rsidRDefault="0064263D">
      <w:pPr>
        <w:spacing w:line="360" w:lineRule="auto"/>
        <w:rPr>
          <w:rFonts w:eastAsia="Times New Roman"/>
          <w:noProof/>
          <w:highlight w:val="yellow"/>
        </w:rPr>
      </w:pPr>
      <w:r w:rsidRPr="002D7798">
        <w:rPr>
          <w:noProof/>
        </w:rPr>
        <w:t xml:space="preserve">Navrhované změny nařízení o elektřině, směrnice o elektřině, nařízení REMIT a nařízení o agentuře ACER se považují za přiměřené. </w:t>
      </w:r>
    </w:p>
    <w:p w14:paraId="0EAFFA89" w14:textId="77777777" w:rsidR="00976265" w:rsidRPr="002D7798" w:rsidRDefault="0064263D">
      <w:pPr>
        <w:spacing w:line="360" w:lineRule="auto"/>
        <w:rPr>
          <w:rFonts w:eastAsia="Times New Roman"/>
          <w:noProof/>
        </w:rPr>
      </w:pPr>
      <w:r w:rsidRPr="002D7798">
        <w:rPr>
          <w:noProof/>
        </w:rPr>
        <w:t>Navrhovaná opatření na podporu využívání dlouhodobých smluv, jako jsou smlouvy o nákupu elektřiny a dvousměrné rozdílové smlouvy, mohou vést ke zvýšení administrativních nákladů a zátěže pro podniky a vnitrostátní správní orgány. Předpokládané hospodářské dopady jsou však nezbytné a přiměřené pro dosažení cíle, kterým je podpora využívání těchto dlouhodobých smluv a zajištění toho, aby účty za energii evropských domácností a podniků a příjmy z technologií s nízkými variabilními náklady, které nevyužívají fosilní paliva, byly méně závislé na kolísání cen na krátkodobých trzích, a tudíž stabilnější v delších časových obdobích.</w:t>
      </w:r>
    </w:p>
    <w:p w14:paraId="102B2321" w14:textId="4E0A1E9D" w:rsidR="00976265" w:rsidRPr="002D7798" w:rsidRDefault="65903BA4">
      <w:pPr>
        <w:spacing w:line="360" w:lineRule="auto"/>
        <w:rPr>
          <w:rFonts w:eastAsia="Times New Roman"/>
          <w:noProof/>
        </w:rPr>
      </w:pPr>
      <w:r w:rsidRPr="002D7798">
        <w:rPr>
          <w:noProof/>
        </w:rPr>
        <w:t xml:space="preserve">Plánovaná opatření ke zlepšení likvidity a integrace trhů mohou mít také určitý krátkodobý dopad na podniky, které by se musely přizpůsobit novým režimům obchodování. Tyto dopady jsou však považovány za nezbytné pro dosažení plánovaných cílů, jimiž je zajištění lepší integrace energie z obnovitelných a nízkouhlíkových zdrojů a snížení závislosti na fosilních palivech, pokud jde o flexibilitu, a v konečném důsledku dosažení uhlíkové neutrality v Unii s nižšími náklady pro spotřebitele. Jsou rovněž přiměřené těmto cílům, neboť dopad na podniky se ve srovnání se stávajícím rámcem jeví jako minimální a hospodářské přínosy reformy by do značné míry předčily náklady na jakoukoli krátkodobou nebo dlouhodobou administrativní reorganizaci. </w:t>
      </w:r>
    </w:p>
    <w:p w14:paraId="61EF55CB" w14:textId="77777777" w:rsidR="4FA3D596" w:rsidRPr="002D7798" w:rsidRDefault="4FA3D596">
      <w:pPr>
        <w:spacing w:line="360" w:lineRule="auto"/>
        <w:rPr>
          <w:rFonts w:eastAsia="Times New Roman"/>
          <w:noProof/>
        </w:rPr>
      </w:pPr>
      <w:r w:rsidRPr="002D7798">
        <w:rPr>
          <w:noProof/>
        </w:rPr>
        <w:t>Vzhledem ke sledovaným cílům je rovněž přiměřené nezvažovat opatření, kterými se mění stávající ustanovení nařízení o elektřině a směrnice o elektřině, pokud lze jakékoli zjištěné problémy týkající se stávajících ustanovení řešit v rámci toho, jakým způsobem jsou tyto předpisy uplatňovány nebo prováděny. Jeden takový případ se týká opatření týkajících se zdrojové přiměřenosti v kapitole IV nařízení o elektřině, zejména postupu členských států při zavádění kapacitních mechanismů, který by mohl být zjednodušen bez změny příslušných ustanovení.</w:t>
      </w:r>
    </w:p>
    <w:p w14:paraId="35BB3E6A" w14:textId="77777777" w:rsidR="00976265" w:rsidRPr="002D7798" w:rsidRDefault="0064263D">
      <w:pPr>
        <w:spacing w:line="360" w:lineRule="auto"/>
        <w:rPr>
          <w:rFonts w:eastAsia="Times New Roman"/>
          <w:noProof/>
        </w:rPr>
      </w:pPr>
      <w:r w:rsidRPr="002D7798">
        <w:rPr>
          <w:noProof/>
        </w:rPr>
        <w:t xml:space="preserve">Plánovaná opatření k posílení postavení, práv a ochrany spotřebitelů rozšíří povinnosti uložené dodavatelům a provozovatelům sítí. Dodatečná zátěž je však nezbytná a přiměřená k dosažení cíle, kterým je zajištění přístupu spotřebitelů k lepším informacím a zajištění větší různorodosti nabídek, oddělení jejich účtů za elektřinu od krátkodobých pohybů na trzích s energií a obnovení rovnováhy mezi dodavateli a spotřebiteli. </w:t>
      </w:r>
    </w:p>
    <w:p w14:paraId="6B563109" w14:textId="77777777" w:rsidR="00976265" w:rsidRPr="002D7798" w:rsidRDefault="0064263D">
      <w:pPr>
        <w:spacing w:line="360" w:lineRule="auto"/>
        <w:rPr>
          <w:rFonts w:eastAsia="Times New Roman"/>
          <w:noProof/>
        </w:rPr>
      </w:pPr>
      <w:r w:rsidRPr="002D7798">
        <w:rPr>
          <w:noProof/>
        </w:rPr>
        <w:t xml:space="preserve">Plánovaná opatření ke zlepšení rámce REMIT mohou zvýšit povinnosti účastníků trhu související s podáváním zpráv vzhledem k širší oblasti působnosti nařízení REMIT. Tato opatření jsou nezbytná pro dosažení cíle zvýšení transparentnosti a monitorovací kapacity a zajištění účinnějšího vyšetřování a vymáhání přeshraničních případů v EU tak, aby spotřebitelé a účastníci trhu měli důvěru v integritu trhů s energií, ceny odrážely spravedlivou a konkurenční interakci mezi nabídkou a poptávkou a ze zneužívání trhu nemohly plynout žádné zisky. Jsou rovněž přiměřená tomuto cíli, neboť přínosy z hlediska kvality monitorování trhu a dohledu nad ním by byly vyšší než jakékoli krátkodobé nebo dlouhodobé administrativní náklady.  </w:t>
      </w:r>
    </w:p>
    <w:p w14:paraId="64A41FE0" w14:textId="77777777" w:rsidR="00976265" w:rsidRPr="002D7798" w:rsidRDefault="0064263D">
      <w:pPr>
        <w:spacing w:line="360" w:lineRule="auto"/>
        <w:rPr>
          <w:rFonts w:eastAsia="Times New Roman"/>
          <w:noProof/>
        </w:rPr>
      </w:pPr>
      <w:r w:rsidRPr="002D7798">
        <w:rPr>
          <w:noProof/>
        </w:rPr>
        <w:t>A konečně celý balíček navrhovaných opatření je považován za vhodný vzhledem k obecnému požadavku dosáhnout klimatické neutrality s nejnižšími náklady pro spotřebitele a zároveň zajistit bezpečnost dodávek energie.</w:t>
      </w:r>
    </w:p>
    <w:p w14:paraId="0767CD17" w14:textId="77777777" w:rsidR="00976265" w:rsidRPr="002D7798" w:rsidRDefault="0064263D">
      <w:pPr>
        <w:pStyle w:val="ManualHeading2"/>
        <w:rPr>
          <w:rFonts w:eastAsia="Arial Unicode MS"/>
          <w:noProof/>
          <w:u w:color="000000"/>
          <w:bdr w:val="nil"/>
        </w:rPr>
      </w:pPr>
      <w:bookmarkStart w:id="8" w:name="_Toc128753745"/>
      <w:r w:rsidRPr="002D7798">
        <w:rPr>
          <w:noProof/>
          <w:u w:color="000000"/>
          <w:bdr w:val="nil"/>
        </w:rPr>
        <w:t>•</w:t>
      </w:r>
      <w:r w:rsidRPr="002D7798">
        <w:rPr>
          <w:noProof/>
        </w:rPr>
        <w:tab/>
      </w:r>
      <w:r w:rsidRPr="002D7798">
        <w:rPr>
          <w:noProof/>
          <w:u w:color="000000"/>
          <w:bdr w:val="nil"/>
        </w:rPr>
        <w:t>Volba nástroje</w:t>
      </w:r>
      <w:bookmarkEnd w:id="8"/>
    </w:p>
    <w:p w14:paraId="3433905F" w14:textId="77777777" w:rsidR="00976265" w:rsidRPr="002D7798" w:rsidRDefault="0064263D">
      <w:pPr>
        <w:spacing w:line="360" w:lineRule="auto"/>
        <w:rPr>
          <w:rFonts w:eastAsia="Times New Roman"/>
          <w:noProof/>
        </w:rPr>
      </w:pPr>
      <w:r w:rsidRPr="002D7798">
        <w:rPr>
          <w:noProof/>
        </w:rPr>
        <w:t>Návrh zavádí změny nařízení o elektřině, směrnice o elektřině, nařízení REMIT, nařízení o agentuře ACER a směrnice o obnovitelných zdrojích energie. Vzhledem k tomu, že cílem návrhu je doplnit omezený soubor nových ustanovení a změnit omezený soubor stávajících ustanovení v těchto nástrojích, je použití pozměňujícího aktu přiměřené. Ze stejného důvodu se rovněž zdá vhodné použít nástroj pozměňujícího nařízení k provedení změn stávajících nařízení a stávajících směrnic.</w:t>
      </w:r>
    </w:p>
    <w:p w14:paraId="39365C03" w14:textId="77777777" w:rsidR="00976265" w:rsidRPr="002D7798" w:rsidRDefault="0064263D">
      <w:pPr>
        <w:pStyle w:val="ManualHeading1"/>
        <w:rPr>
          <w:rFonts w:eastAsia="Times New Roman"/>
          <w:noProof/>
        </w:rPr>
      </w:pPr>
      <w:bookmarkStart w:id="9" w:name="_Toc128753746"/>
      <w:r w:rsidRPr="002D7798">
        <w:rPr>
          <w:noProof/>
        </w:rPr>
        <w:t>3.</w:t>
      </w:r>
      <w:r w:rsidRPr="002D7798">
        <w:rPr>
          <w:noProof/>
        </w:rPr>
        <w:tab/>
        <w:t>KONZULTACE SE ZÚČASTNĚNÝMI STRANAMI A PRACOVNÍ DOKUMENT ÚTVARŮ KOMISE</w:t>
      </w:r>
      <w:bookmarkEnd w:id="9"/>
    </w:p>
    <w:p w14:paraId="7574AE36" w14:textId="77777777" w:rsidR="00976265" w:rsidRPr="002D7798" w:rsidRDefault="0064263D">
      <w:pPr>
        <w:pStyle w:val="ManualHeading2"/>
        <w:ind w:left="360" w:firstLine="0"/>
        <w:rPr>
          <w:rFonts w:eastAsia="Arial Unicode MS"/>
          <w:noProof/>
          <w:u w:color="000000"/>
          <w:bdr w:val="nil"/>
        </w:rPr>
      </w:pPr>
      <w:bookmarkStart w:id="10" w:name="_Toc128753747"/>
      <w:r w:rsidRPr="002D7798">
        <w:rPr>
          <w:noProof/>
          <w:u w:color="000000"/>
          <w:bdr w:val="nil"/>
        </w:rPr>
        <w:t>•</w:t>
      </w:r>
      <w:r w:rsidRPr="002D7798">
        <w:rPr>
          <w:noProof/>
        </w:rPr>
        <w:tab/>
      </w:r>
      <w:r w:rsidRPr="002D7798">
        <w:rPr>
          <w:noProof/>
          <w:u w:color="000000"/>
          <w:bdr w:val="nil"/>
        </w:rPr>
        <w:t>Konzultace se zúčastněnými stranami</w:t>
      </w:r>
      <w:bookmarkEnd w:id="10"/>
    </w:p>
    <w:p w14:paraId="184C46A1" w14:textId="77777777" w:rsidR="00976265" w:rsidRPr="002D7798" w:rsidRDefault="0064263D">
      <w:pPr>
        <w:spacing w:line="360" w:lineRule="auto"/>
        <w:rPr>
          <w:rFonts w:eastAsia="Times New Roman"/>
          <w:noProof/>
        </w:rPr>
      </w:pPr>
      <w:r w:rsidRPr="002D7798">
        <w:rPr>
          <w:noProof/>
        </w:rPr>
        <w:t>V rámci přípravy tohoto podnětu provedla Komise od 23. ledna 2023 do 13. února 2023 veřejnou konzultaci. Do konzultace se mohl zapojit kdokoli.</w:t>
      </w:r>
    </w:p>
    <w:p w14:paraId="413E4F74" w14:textId="77777777" w:rsidR="00976265" w:rsidRPr="002D7798" w:rsidRDefault="0064263D">
      <w:pPr>
        <w:spacing w:line="360" w:lineRule="auto"/>
        <w:rPr>
          <w:rFonts w:eastAsia="Times New Roman"/>
          <w:noProof/>
        </w:rPr>
      </w:pPr>
      <w:r w:rsidRPr="002D7798">
        <w:rPr>
          <w:noProof/>
        </w:rPr>
        <w:t xml:space="preserve">Komise v rámci této konzultace obdržela 1 369 odpovědí. Více než 700 z nich pochází od občanů, přibližně 450 od podniků a hospodářských sdružení, přibližně 40 od vnitrostátních nebo místních správních orgánů nebo od vnitrostátních regulačních orgánů a přibližně 70 od provozovatelů sítí. Konzultace se zúčastnilo také přibližně 20 energetických společenství, 15 odborových svazů a 20 spotřebitelských organizací. Odpovědi poskytl také značný počet nevládních organizací, expertních skupin a výzkumných či jiných akademických organizací. Přehled stanovisek zúčastněných stran je k dispozici v pracovním dokumentu útvarů Komise připojeném k tomuto legislativnímu podnětu. </w:t>
      </w:r>
    </w:p>
    <w:p w14:paraId="0E7ADB21" w14:textId="77777777" w:rsidR="00976265" w:rsidRPr="002D7798" w:rsidRDefault="0064263D">
      <w:pPr>
        <w:spacing w:line="360" w:lineRule="auto"/>
        <w:rPr>
          <w:rFonts w:eastAsia="Times New Roman"/>
          <w:noProof/>
        </w:rPr>
      </w:pPr>
      <w:r w:rsidRPr="002D7798">
        <w:rPr>
          <w:noProof/>
        </w:rPr>
        <w:t xml:space="preserve">Kromě toho Komise dne 15. února 2023 uspořádala online cílené setkání v rámci konzultace se zúčastněnými stranami, jehož se zúčastnilo přibližně 70 subjektů působících na trhu, nevládní organizace, provozovatelé sítí, zástupci agentury ACER a vnitrostátních regulačních orgánů, zástupci expertních skupin a akademičtí pracovníci. Konzultace celkově zdůraznila tyto názory zúčastněných stran: </w:t>
      </w:r>
    </w:p>
    <w:p w14:paraId="1A352721" w14:textId="77777777" w:rsidR="00976265" w:rsidRPr="002D7798" w:rsidRDefault="0064263D" w:rsidP="00BC16CB">
      <w:pPr>
        <w:pStyle w:val="Tiret0"/>
        <w:numPr>
          <w:ilvl w:val="0"/>
          <w:numId w:val="23"/>
        </w:numPr>
        <w:spacing w:line="360" w:lineRule="auto"/>
        <w:rPr>
          <w:noProof/>
        </w:rPr>
      </w:pPr>
      <w:r w:rsidRPr="002D7798">
        <w:rPr>
          <w:noProof/>
        </w:rPr>
        <w:t>Krátkodobé trhy a cenový mechanismus založený na marginálním ocenění by měly být zachovány, neboť fungují dobře a poskytují správné cenové signály. Krátkodobé (denní a vnitrodenní) trhy jsou dobře rozvinuté a vycházejí z mnohaletého provádění právních předpisů EU v oblasti energetiky.</w:t>
      </w:r>
    </w:p>
    <w:p w14:paraId="042AE1ED" w14:textId="77777777" w:rsidR="00976265" w:rsidRPr="002D7798" w:rsidRDefault="0064263D" w:rsidP="00BC16CB">
      <w:pPr>
        <w:pStyle w:val="Tiret0"/>
        <w:numPr>
          <w:ilvl w:val="0"/>
          <w:numId w:val="24"/>
        </w:numPr>
        <w:spacing w:line="360" w:lineRule="auto"/>
        <w:rPr>
          <w:noProof/>
        </w:rPr>
      </w:pPr>
      <w:r w:rsidRPr="002D7798">
        <w:rPr>
          <w:noProof/>
        </w:rPr>
        <w:t xml:space="preserve">Krátkodobé trhy musí být doplněny o nástroje podněcující dlouhodobější cenové signály, jako jsou nástroje uvedené v konzultaci Komise, zejména smlouvy o nákupu elektřiny (PPA), rozdílové smlouvy a posílené dlouhodobé trhy. Je potřeba vytvořit správnou rovnováhu mezi jednotlivými nástroji. Neměly by se však zavádět povinné systémy a svoboda ve volbě příslušných smluv by měla být zachována.  </w:t>
      </w:r>
    </w:p>
    <w:p w14:paraId="7C29F8C4" w14:textId="77777777" w:rsidR="00976265" w:rsidRPr="002D7798" w:rsidRDefault="0064263D" w:rsidP="00574A33">
      <w:pPr>
        <w:pStyle w:val="Tiret0"/>
        <w:spacing w:line="360" w:lineRule="auto"/>
        <w:rPr>
          <w:noProof/>
        </w:rPr>
      </w:pPr>
      <w:r w:rsidRPr="002D7798">
        <w:rPr>
          <w:noProof/>
        </w:rPr>
        <w:t>Byly uznány přínosy flexibilních řešení využívajících obnovitelné zdroje energie, jako je odezva strany poptávky a skladování, a to zejména v souvislosti s rostoucím podílem obnovitelných zdrojů energie. Jejich účast na trhu by měla být usnadněna.</w:t>
      </w:r>
    </w:p>
    <w:p w14:paraId="713975D4" w14:textId="01322938" w:rsidR="00976265" w:rsidRPr="002D7798" w:rsidRDefault="65903BA4" w:rsidP="00574A33">
      <w:pPr>
        <w:pStyle w:val="Tiret0"/>
        <w:spacing w:line="360" w:lineRule="auto"/>
        <w:rPr>
          <w:noProof/>
        </w:rPr>
      </w:pPr>
      <w:r w:rsidRPr="002D7798">
        <w:rPr>
          <w:noProof/>
        </w:rPr>
        <w:t>Budoucí trhy s elektřinou budou muset být přizpůsobeny vysokému podílu obnovitelné energie. Kromě toho by měl být kladen větší důraz na místní rozměr a rozvoj sítě. Řešení těchto výzev by mohly přinést návrhy představené v rámci veřejné konzultace.</w:t>
      </w:r>
    </w:p>
    <w:p w14:paraId="446A4552" w14:textId="77777777" w:rsidR="00976265" w:rsidRPr="002D7798" w:rsidRDefault="0064263D" w:rsidP="00574A33">
      <w:pPr>
        <w:pStyle w:val="Tiret0"/>
        <w:spacing w:line="360" w:lineRule="auto"/>
        <w:rPr>
          <w:noProof/>
        </w:rPr>
      </w:pPr>
      <w:r w:rsidRPr="002D7798">
        <w:rPr>
          <w:noProof/>
        </w:rPr>
        <w:t>Přestože má ochrana spotřebitele zásadní význam, stejně jako cenová dostupnost energie, neméně důležité je také zachování signálů pro odezvu strany poptávky. Mělo by být umožněno a podporováno využívání nově vznikajících řešení, jako jsou energetická společenství, vlastní spotřeba a sdílení energie.</w:t>
      </w:r>
    </w:p>
    <w:p w14:paraId="3BF225A5" w14:textId="48E081F9" w:rsidR="00976265" w:rsidRPr="002D7798" w:rsidRDefault="0064263D" w:rsidP="00034D87">
      <w:pPr>
        <w:pStyle w:val="ManualHeading2"/>
        <w:ind w:left="360" w:firstLine="0"/>
        <w:rPr>
          <w:rFonts w:eastAsia="Arial Unicode MS"/>
          <w:noProof/>
          <w:u w:color="000000"/>
          <w:bdr w:val="nil"/>
        </w:rPr>
      </w:pPr>
      <w:r w:rsidRPr="002D7798">
        <w:rPr>
          <w:noProof/>
          <w:u w:color="000000"/>
          <w:bdr w:val="nil"/>
        </w:rPr>
        <w:t>•</w:t>
      </w:r>
      <w:r w:rsidRPr="002D7798">
        <w:rPr>
          <w:noProof/>
        </w:rPr>
        <w:tab/>
      </w:r>
      <w:r w:rsidRPr="002D7798">
        <w:rPr>
          <w:noProof/>
          <w:u w:color="000000"/>
          <w:bdr w:val="nil"/>
        </w:rPr>
        <w:t>Pracovní dokument útvarů Komise</w:t>
      </w:r>
    </w:p>
    <w:p w14:paraId="539AF006" w14:textId="225CDC2C" w:rsidR="00976265" w:rsidRPr="002D7798" w:rsidRDefault="65903BA4">
      <w:pPr>
        <w:spacing w:line="360" w:lineRule="auto"/>
        <w:rPr>
          <w:noProof/>
        </w:rPr>
      </w:pPr>
      <w:r w:rsidRPr="002D7798">
        <w:rPr>
          <w:noProof/>
        </w:rPr>
        <w:t>Vzhledem k naléhavosti tohoto podnětu byl namísto posouzení dopadů vypracován pracovní dokument útvarů Komise. V pracovním dokumentu útvarů Komise, z něhož tento návrh vychází, je uvedeno vysvětlení a odůvodnění návrhů Komise týkajících se strukturální reakce na vysoké ceny energie, se kterými se potýkají domácnosti a podniky, a zajištění bezpečné, čisté a cenově dostupné energie pro domácnosti a podniky do budoucna, jakož i dostupné důkazy relevantní pro navrhovaná opatření.</w:t>
      </w:r>
    </w:p>
    <w:p w14:paraId="79F70226" w14:textId="77777777" w:rsidR="00976265" w:rsidRPr="002D7798" w:rsidRDefault="0064263D">
      <w:pPr>
        <w:spacing w:line="360" w:lineRule="auto"/>
        <w:rPr>
          <w:rFonts w:eastAsia="Times New Roman"/>
          <w:noProof/>
          <w:szCs w:val="24"/>
        </w:rPr>
      </w:pPr>
      <w:r w:rsidRPr="002D7798">
        <w:rPr>
          <w:noProof/>
        </w:rPr>
        <w:t>V pracovním dokumentu útvarů Komise se v závěru uvádí, že balíček navrhovaných reforem by měl výrazně zlepšit strukturu a fungování evropského trhu s elektřinou. Dokument představuje další stavební kámen, který umožňuje plnění cílů Zelené dohody, a kromě toho hodnotí nedostatky odhalené energetickou krizí a snaží se je řešit.</w:t>
      </w:r>
    </w:p>
    <w:p w14:paraId="141A6232" w14:textId="34218598" w:rsidR="00976265" w:rsidRPr="002D7798" w:rsidRDefault="65903BA4">
      <w:pPr>
        <w:spacing w:line="360" w:lineRule="auto"/>
        <w:rPr>
          <w:rFonts w:eastAsia="Times New Roman"/>
          <w:noProof/>
        </w:rPr>
      </w:pPr>
      <w:r w:rsidRPr="002D7798">
        <w:rPr>
          <w:noProof/>
        </w:rPr>
        <w:t xml:space="preserve">Dokument ukazuje, že reforma přispěje k ochraně a posílení postavení spotřebitelů, kteří v současné době čelí vysokým a kolísavým cenám, vytvořením nárazníkového pásma mezi spotřebiteli a krátkodobými trhy. Tento návrh povede k oddělení vysokých cen technologií fosilních paliv provozovaných na trhu s elektřinou od účtů za energii spotřebitelů a podniků. Příležitosti uzavírat dlouhodobější smlouvy v podobě smluv o nákupu elektřiny, rozdílových smluv a smluv na dlouhodobých trzích zajistí, že část účtů za elektřinu vystavenou krátkodobým trhům lze výrazně zmenšit. Zahrnutí povinnosti dodavatelů zajistit se a povinnosti nabízet rovněž smlouvy s pevně stanovenou cenou výrazně zvýší možnosti, jak snížit vystavení účtů za elektřinu kolísání cen. Spotřebitelé rovněž získají lepší informace o nabídkách před podpisem smlouvy a členské státy budou mít povinnost zřídit dodavatele poslední instance. Kromě toho mohou v krizi umožnit přístup k regulovaným maloobchodním cenám. Právo sdílet energii je novým prvkem, který posílí postavení spotřebitelů a podpoří decentralizované zavádění obnovitelné energie, neboť spotřebitelům poskytuje větší kontrolu nad jejich účty za energii. </w:t>
      </w:r>
    </w:p>
    <w:p w14:paraId="5335CB57" w14:textId="559CC630" w:rsidR="00976265" w:rsidRPr="002D7798" w:rsidRDefault="65903BA4" w:rsidP="68951435">
      <w:pPr>
        <w:spacing w:line="360" w:lineRule="auto"/>
        <w:rPr>
          <w:rFonts w:eastAsia="Times New Roman"/>
          <w:noProof/>
        </w:rPr>
      </w:pPr>
      <w:r w:rsidRPr="002D7798">
        <w:rPr>
          <w:noProof/>
        </w:rPr>
        <w:t>Pracovní dokument útvarů Komise vysvětluje, jak tato reforma rovněž posílí konkurenceschopnost průmyslu EU způsobem, který plně doplňuje akt o průmyslu s nulovými čistými emisemi. Členské státy budou muset zajistit, aby existovaly správné podmínky pro rozvoj trhů se smlouvami o nákupu elektřiny, a poskytnout tak průmyslu dlouhodobý přístup k cenově dostupné a čisté elektřině. Zlepšení dlouhodobých trhů poskytne průmyslovým odvětvím a dodavatelům mnohem větší přístup k přeshraniční energii z obnovitelných zdrojů až tři roky dopředu, což představuje významné zlepšení oproti současné situaci. Celkově režimy veřejné podpory pro energii z obnovitelných zdrojů zvýší energetickou nezávislost v členských státech a pronikání obnovitelných zdrojů do systému a zároveň podpoří místní pracovní místa a dovednosti.</w:t>
      </w:r>
    </w:p>
    <w:p w14:paraId="51C6A4C4" w14:textId="1BF92273" w:rsidR="00976265" w:rsidRPr="002D7798" w:rsidRDefault="0064263D">
      <w:pPr>
        <w:spacing w:line="360" w:lineRule="auto"/>
        <w:rPr>
          <w:rFonts w:eastAsia="Times New Roman"/>
          <w:noProof/>
        </w:rPr>
      </w:pPr>
      <w:r w:rsidRPr="002D7798">
        <w:rPr>
          <w:noProof/>
        </w:rPr>
        <w:t xml:space="preserve">Dokument ukazuje, že tato reforma urychlí zavádění obnovitelných zdrojů energie a využití plného potenciálu pevné výrobní kapacity a flexibilních řešení, což členským státům umožní integrovat obnovitelné zdroje energie na stále vyšších úrovních. Komise navrhuje, aby členské státy posoudily svou potřebu flexibility energetického systému a umožnily zavedení nových režimů podpory pro odezvu strany poptávky a skladování. Návrh rovněž zavádí další možnosti obchodování s elektřinou z obnovitelných zdrojů blíže reálnému času na přeshraniční a vnitrostátní úrovni. Tímto způsobem může trh lépe podpořit integraci elektřiny z obnovitelných zdrojů a ekonomické důvody pro flexibilní řešení, která mohou přispět k bezpečnosti dodávek energie. </w:t>
      </w:r>
    </w:p>
    <w:p w14:paraId="4CABDD14" w14:textId="77777777" w:rsidR="00976265" w:rsidRPr="002D7798" w:rsidRDefault="0064263D">
      <w:pPr>
        <w:spacing w:line="360" w:lineRule="auto"/>
        <w:rPr>
          <w:noProof/>
        </w:rPr>
      </w:pPr>
      <w:r w:rsidRPr="002D7798">
        <w:rPr>
          <w:noProof/>
        </w:rPr>
        <w:t xml:space="preserve">Pracovní dokument útvarů Komise rovněž popisuje, jak tento návrh reaguje na žádost Evropské rady o posouzení způsobů optimalizace fungování uspořádání trhu s elektřinou v souvislosti s energetickou krizí. Jeho cílem je chránit spotřebitele tím, že vytvoří nárazníkové pásmo mezi nimi a krátkodobými trhy s elektřinou prostřednictvím uzavírání dlouhodobějších smluv a zajistí, aby tyto krátkodobé trhy fungovaly účinnějším způsobem pro řešení v oblasti obnovitelných zdrojů energie a flexibility s lepším regulačním dohledem. Tento návrh zajišťuje, že tržní pravidla budou i nadále vhodná pro účely podpory nákladově efektivní dekarbonizace odvětví elektřiny a zvýšení jeho odolnosti vůči kolísání cen energie. </w:t>
      </w:r>
    </w:p>
    <w:p w14:paraId="784D14FD" w14:textId="77777777" w:rsidR="00976265" w:rsidRPr="002D7798" w:rsidRDefault="0064263D">
      <w:pPr>
        <w:pStyle w:val="ManualHeading2"/>
        <w:spacing w:line="360" w:lineRule="auto"/>
        <w:rPr>
          <w:rFonts w:eastAsia="Times New Roman"/>
          <w:noProof/>
        </w:rPr>
      </w:pPr>
      <w:bookmarkStart w:id="11" w:name="_Toc128753748"/>
      <w:r w:rsidRPr="002D7798">
        <w:rPr>
          <w:noProof/>
          <w:bdr w:val="nil"/>
        </w:rPr>
        <w:t>•</w:t>
      </w:r>
      <w:r w:rsidRPr="002D7798">
        <w:rPr>
          <w:noProof/>
        </w:rPr>
        <w:tab/>
      </w:r>
      <w:r w:rsidRPr="002D7798">
        <w:rPr>
          <w:noProof/>
          <w:bdr w:val="nil"/>
        </w:rPr>
        <w:t>Sběr a využití výsledků odborných konzultací</w:t>
      </w:r>
      <w:bookmarkEnd w:id="11"/>
      <w:r w:rsidRPr="002D7798">
        <w:rPr>
          <w:noProof/>
          <w:bdr w:val="nil"/>
        </w:rPr>
        <w:t xml:space="preserve"> </w:t>
      </w:r>
    </w:p>
    <w:p w14:paraId="402B2E1D" w14:textId="77777777" w:rsidR="00976265" w:rsidRPr="002D7798" w:rsidRDefault="0064263D">
      <w:pPr>
        <w:spacing w:line="360" w:lineRule="auto"/>
        <w:rPr>
          <w:rFonts w:eastAsia="Times New Roman"/>
          <w:noProof/>
        </w:rPr>
      </w:pPr>
      <w:r w:rsidRPr="002D7798">
        <w:rPr>
          <w:noProof/>
        </w:rPr>
        <w:t xml:space="preserve">Příprava tohoto legislativního návrhu a pracovního dokumentu útvarů Komise vychází z velkého množství materiálů, které jsou uvedeny v poznámkách pod čarou v pracovním dokumentu útvarů Komise, a z odpovědí získaných v rámci veřejné konzultace. </w:t>
      </w:r>
    </w:p>
    <w:p w14:paraId="5394E048" w14:textId="77777777" w:rsidR="00976265" w:rsidRPr="002D7798" w:rsidRDefault="0064263D">
      <w:pPr>
        <w:pStyle w:val="ManualHeading2"/>
        <w:spacing w:line="360" w:lineRule="auto"/>
        <w:rPr>
          <w:rFonts w:eastAsia="Times New Roman"/>
          <w:noProof/>
        </w:rPr>
      </w:pPr>
      <w:bookmarkStart w:id="12" w:name="_Toc128753749"/>
      <w:r w:rsidRPr="002D7798">
        <w:rPr>
          <w:noProof/>
          <w:bdr w:val="nil"/>
        </w:rPr>
        <w:t>•</w:t>
      </w:r>
      <w:r w:rsidRPr="002D7798">
        <w:rPr>
          <w:noProof/>
        </w:rPr>
        <w:tab/>
        <w:t>Základní práva</w:t>
      </w:r>
      <w:bookmarkEnd w:id="12"/>
      <w:r w:rsidRPr="002D7798">
        <w:rPr>
          <w:noProof/>
        </w:rPr>
        <w:t xml:space="preserve"> </w:t>
      </w:r>
    </w:p>
    <w:p w14:paraId="116D0A84" w14:textId="77777777" w:rsidR="00976265" w:rsidRPr="002D7798" w:rsidRDefault="0064263D">
      <w:pPr>
        <w:spacing w:line="360" w:lineRule="auto"/>
        <w:rPr>
          <w:rFonts w:eastAsia="Times New Roman"/>
          <w:noProof/>
        </w:rPr>
      </w:pPr>
      <w:r w:rsidRPr="002D7798">
        <w:rPr>
          <w:noProof/>
        </w:rPr>
        <w:t>Tento návrh může mít vliv na řadu základních práv zakotvených v Listině základních práv Evropské unie, zejména na: svobodu podnikání (článek 16) a právo na vlastnictví (článek 17). Nicméně jak je vysvětleno výše, v rozsahu, v jakém navrhovaná opatření omezují výkon těchto práv, jsou tyto dopady považovány za nezbytné a přiměřené pro dosažení cílů návrhu, a proto představují legitimní omezení těchto práv, jak to Listina připouští.</w:t>
      </w:r>
    </w:p>
    <w:p w14:paraId="1F39340F" w14:textId="77777777" w:rsidR="00976265" w:rsidRPr="002D7798" w:rsidRDefault="0064263D">
      <w:pPr>
        <w:spacing w:line="360" w:lineRule="auto"/>
        <w:rPr>
          <w:rFonts w:eastAsia="Times New Roman"/>
          <w:noProof/>
        </w:rPr>
      </w:pPr>
      <w:r w:rsidRPr="002D7798">
        <w:rPr>
          <w:noProof/>
        </w:rPr>
        <w:t>Návrh naopak posiluje ochranu základních práv, jako je respektování soukromého a rodinného života (článek 7), právo na ochranu osobních údajů (článek 8), zákaz diskriminace (článek 21), přístup ke službám obecného hospodářského zájmu (článek 36), začlenění vysoké úrovně ochrany životního prostředí (článek 37) a právo na účinnou právní ochranu (článek 47), zejména prostřednictvím řady ustanovení týkajících se posílení postavení, práv a ochrany spotřebitelů.</w:t>
      </w:r>
    </w:p>
    <w:p w14:paraId="708EEF93" w14:textId="77777777" w:rsidR="00976265" w:rsidRPr="002D7798" w:rsidRDefault="0064263D">
      <w:pPr>
        <w:pStyle w:val="ManualHeading2"/>
        <w:rPr>
          <w:rFonts w:eastAsia="Arial Unicode MS"/>
          <w:noProof/>
          <w:bdr w:val="nil"/>
        </w:rPr>
      </w:pPr>
      <w:bookmarkStart w:id="13" w:name="_Toc128753750"/>
      <w:r w:rsidRPr="002D7798">
        <w:rPr>
          <w:noProof/>
          <w:bdr w:val="nil"/>
        </w:rPr>
        <w:t>•</w:t>
      </w:r>
      <w:r w:rsidRPr="002D7798">
        <w:rPr>
          <w:noProof/>
        </w:rPr>
        <w:tab/>
      </w:r>
      <w:r w:rsidRPr="002D7798">
        <w:rPr>
          <w:noProof/>
          <w:bdr w:val="nil"/>
        </w:rPr>
        <w:t>Účelnost právních předpisů a zjednodušení</w:t>
      </w:r>
      <w:bookmarkEnd w:id="13"/>
    </w:p>
    <w:p w14:paraId="3689C939" w14:textId="77777777" w:rsidR="00976265" w:rsidRPr="002D7798" w:rsidRDefault="0064263D">
      <w:pPr>
        <w:spacing w:line="360" w:lineRule="auto"/>
        <w:rPr>
          <w:rFonts w:eastAsia="Times New Roman"/>
          <w:noProof/>
        </w:rPr>
      </w:pPr>
      <w:r w:rsidRPr="002D7798">
        <w:rPr>
          <w:noProof/>
        </w:rPr>
        <w:t>Navrhované změny směrnice o elektřině, nařízení o elektřině, nařízení REMIT a nařízení o agentuře ACER se zaměřují na to, co je považováno za nezbytné k řešení nedostatků stávajícího uspořádání trhu s elektřinou v souvislosti s energetickou krizí a co nákladově efektivním způsobem přispěje k ambicím Unie v oblasti klimatu. Změny nepředstavují úplnou revizi těchto nástrojů.</w:t>
      </w:r>
    </w:p>
    <w:p w14:paraId="5EF95C0F" w14:textId="77777777" w:rsidR="00976265" w:rsidRPr="002D7798" w:rsidRDefault="0064263D">
      <w:pPr>
        <w:spacing w:line="360" w:lineRule="auto"/>
        <w:rPr>
          <w:rFonts w:eastAsia="Times New Roman"/>
          <w:noProof/>
        </w:rPr>
      </w:pPr>
      <w:r w:rsidRPr="002D7798">
        <w:rPr>
          <w:noProof/>
        </w:rPr>
        <w:t>Návrh může zvýšit administrativní požadavky na vnitrostátní správní orgány a podniky, avšak pouze v přiměřeném rozsahu, jak je vysvětleno výše. Navrhovaná opatření na podporu využívání dlouhodobých smluv, jako jsou smlouvy o nákupu elektřiny a dvousměrné rozdílové smlouvy, mohou například vést ke zvýšení administrativních nákladů a zátěže pro podniky a vnitrostátní správní orgány. Předpokládané hospodářské dopady však budou mít pro podniky a spotřebitele pozitivní přínos.</w:t>
      </w:r>
    </w:p>
    <w:p w14:paraId="1F4D88D0" w14:textId="77777777" w:rsidR="00976265" w:rsidRPr="002D7798" w:rsidRDefault="0064263D">
      <w:pPr>
        <w:spacing w:line="360" w:lineRule="auto"/>
        <w:rPr>
          <w:rFonts w:eastAsia="Times New Roman"/>
          <w:noProof/>
        </w:rPr>
      </w:pPr>
      <w:r w:rsidRPr="002D7798">
        <w:rPr>
          <w:noProof/>
        </w:rPr>
        <w:t>Plánovaná opatření ke zlepšení likvidity a integrace trhů mohou mít také určitý krátkodobý dopad na podniky, které by se musely přizpůsobit novým režimům obchodování. Ty jsou však ve srovnání se stávajícím rámcem považovány za minimální, neboť hospodářské přínosy reformy by do značné míry předčily náklady na jakoukoli krátkodobou nebo dlouhodobou administrativní reorganizaci.</w:t>
      </w:r>
    </w:p>
    <w:p w14:paraId="7C865379" w14:textId="77777777" w:rsidR="00976265" w:rsidRPr="002D7798" w:rsidRDefault="0064263D">
      <w:pPr>
        <w:spacing w:line="360" w:lineRule="auto"/>
        <w:rPr>
          <w:rFonts w:eastAsia="Times New Roman"/>
          <w:noProof/>
        </w:rPr>
      </w:pPr>
      <w:r w:rsidRPr="002D7798">
        <w:rPr>
          <w:noProof/>
        </w:rPr>
        <w:t>Plánovaná opatření k posílení postavení, práv a ochrany spotřebitelů rozšíří povinnosti uložené dodavatelům a provozovatelům sítí s cílem zlepšit možnosti výběru, zvýšit ochranu a usnadnit spotřebitelům, zejména domácnostem, aktivní účast na trhu. Dodatečná zátěž je však minimální, protože tyto rámce jsou zaváděny v celé Evropě, což vyžaduje zjednodušení pravidel.</w:t>
      </w:r>
    </w:p>
    <w:p w14:paraId="483D46D6" w14:textId="77777777" w:rsidR="00976265" w:rsidRPr="002D7798" w:rsidRDefault="0064263D">
      <w:pPr>
        <w:spacing w:line="360" w:lineRule="auto"/>
        <w:rPr>
          <w:rFonts w:eastAsia="Times New Roman"/>
          <w:noProof/>
        </w:rPr>
      </w:pPr>
      <w:r w:rsidRPr="002D7798">
        <w:rPr>
          <w:noProof/>
        </w:rPr>
        <w:t xml:space="preserve">Plánovaná opatření ke zlepšení rámce REMIT mohou zvýšit povinnosti některých účastníků trhu související s podáváním zpráv, avšak pouze v přiměřené míře. Ve srovnání se stávajícím rámcem jsou však tyto povinnosti považovány za minimální, neboť přínosy z hlediska kvality monitorování trhu a dohledu nad ním by předčily jakékoli krátkodobé nebo dlouhodobé administrativní náklady.  </w:t>
      </w:r>
    </w:p>
    <w:p w14:paraId="71D35F93" w14:textId="77777777" w:rsidR="00976265" w:rsidRPr="002D7798" w:rsidRDefault="0064263D">
      <w:pPr>
        <w:pStyle w:val="ManualHeading1"/>
        <w:spacing w:line="360" w:lineRule="auto"/>
        <w:rPr>
          <w:noProof/>
        </w:rPr>
      </w:pPr>
      <w:bookmarkStart w:id="14" w:name="_Toc128753751"/>
      <w:r w:rsidRPr="002D7798">
        <w:rPr>
          <w:noProof/>
        </w:rPr>
        <w:t>4.</w:t>
      </w:r>
      <w:r w:rsidRPr="002D7798">
        <w:rPr>
          <w:noProof/>
        </w:rPr>
        <w:tab/>
        <w:t>ROZPOČTOVÉ DŮSLEDKY</w:t>
      </w:r>
      <w:bookmarkEnd w:id="14"/>
    </w:p>
    <w:p w14:paraId="55067074" w14:textId="7C6813EE" w:rsidR="00976265" w:rsidRPr="002D7798" w:rsidRDefault="0064263D" w:rsidP="47723A09">
      <w:pPr>
        <w:spacing w:line="360" w:lineRule="auto"/>
        <w:rPr>
          <w:rFonts w:eastAsia="Times New Roman"/>
          <w:noProof/>
        </w:rPr>
      </w:pPr>
      <w:r w:rsidRPr="002D7798">
        <w:rPr>
          <w:noProof/>
        </w:rPr>
        <w:t>Rozpočtový dopad související s návrhem na zlepšení uspořádání trhu s elektřinou v EU se týká zdrojů Agentury Evropské unie pro spolupráci energetických regulačních orgánů (ACER) a Generálního ředitelství pro energetiku, které jsou popsány v legislativním finančním výkazu, který je k návrhu připojen.  Aby agentura ACER plnila nové úkoly, budou v zásadě od roku 2025 zapotřebí 4 dodatečné plné pracovní úvazky pro agenturu ACER, jakož i odpovídající finanční zdroje. Pracovní zátěž Generálního ředitelství pro energetiku se zvýší o 3 plné pracovní úvazky.</w:t>
      </w:r>
    </w:p>
    <w:p w14:paraId="7314FB43" w14:textId="77777777" w:rsidR="24267477" w:rsidRPr="002D7798" w:rsidRDefault="24267477" w:rsidP="24B86FA0">
      <w:pPr>
        <w:spacing w:line="360" w:lineRule="auto"/>
        <w:rPr>
          <w:rFonts w:eastAsia="Times New Roman"/>
          <w:noProof/>
          <w:szCs w:val="24"/>
        </w:rPr>
      </w:pPr>
      <w:r w:rsidRPr="002D7798">
        <w:rPr>
          <w:noProof/>
        </w:rPr>
        <w:t>Rozpočtový dopad související s návrhem, kterým se mění nařízení REMIT, se týká zdrojů Agentury Evropské unie pro spolupráci energetických regulačních orgánů (ACER) a Generálního ředitelství pro energetiku, které jsou popsány v legislativním finančním výkazu, který je k návrhu připojen.  Nové úkoly, které má agentura ACER plnit, zejména pokud jde o posílené vyšetřovací pravomoci, v zásadě vyžadují postupné zavedení dalších 25 plných pracovních úvazků v agentuře ACER od roku 2025, jakož i odpovídající finanční zdroje, ačkoli většina nových zaměstnanců bude financována z vybraných poplatků. Za tímto účelem bude třeba změnit rozhodnutí Komise (EU) 2020/2152 ze dne 17. prosince 2020 o poplatcích splatných agentuře ACER za úkoly v rámci nařízení REMIT. Pracovní zátěž Generálního ředitelství pro energetiku se zvýší o 2 plné pracovní úvazky.</w:t>
      </w:r>
    </w:p>
    <w:p w14:paraId="06F8337A" w14:textId="77777777" w:rsidR="24B86FA0" w:rsidRPr="002D7798" w:rsidRDefault="24B86FA0" w:rsidP="24B86FA0">
      <w:pPr>
        <w:spacing w:line="360" w:lineRule="auto"/>
        <w:rPr>
          <w:rFonts w:eastAsia="Times New Roman"/>
          <w:noProof/>
        </w:rPr>
      </w:pPr>
    </w:p>
    <w:p w14:paraId="7ADB85CA" w14:textId="77777777" w:rsidR="00976265" w:rsidRPr="002D7798" w:rsidRDefault="0064263D" w:rsidP="38109D3F">
      <w:pPr>
        <w:pStyle w:val="ManualHeading1"/>
        <w:spacing w:line="360" w:lineRule="auto"/>
        <w:rPr>
          <w:rFonts w:eastAsia="Times New Roman"/>
          <w:noProof/>
        </w:rPr>
      </w:pPr>
      <w:bookmarkStart w:id="15" w:name="_Toc128753752"/>
      <w:r w:rsidRPr="002D7798">
        <w:rPr>
          <w:noProof/>
        </w:rPr>
        <w:t>5.</w:t>
      </w:r>
      <w:r w:rsidRPr="002D7798">
        <w:rPr>
          <w:noProof/>
        </w:rPr>
        <w:tab/>
        <w:t>DALŠÍ PRVKY</w:t>
      </w:r>
      <w:bookmarkEnd w:id="15"/>
    </w:p>
    <w:p w14:paraId="52A8989B" w14:textId="77777777" w:rsidR="00976265" w:rsidRPr="002D7798" w:rsidRDefault="0064263D">
      <w:pPr>
        <w:pStyle w:val="ManualHeading2"/>
        <w:rPr>
          <w:rFonts w:eastAsia="Arial Unicode MS"/>
          <w:noProof/>
          <w:bdr w:val="nil"/>
        </w:rPr>
      </w:pPr>
      <w:bookmarkStart w:id="16" w:name="_Toc128753753"/>
      <w:r w:rsidRPr="002D7798">
        <w:rPr>
          <w:noProof/>
          <w:bdr w:val="nil"/>
        </w:rPr>
        <w:t>•</w:t>
      </w:r>
      <w:r w:rsidRPr="002D7798">
        <w:rPr>
          <w:noProof/>
        </w:rPr>
        <w:tab/>
      </w:r>
      <w:r w:rsidRPr="002D7798">
        <w:rPr>
          <w:noProof/>
          <w:bdr w:val="nil"/>
        </w:rPr>
        <w:t>Plány provádění a způsob monitorování, hodnocení a podávání zpráv</w:t>
      </w:r>
      <w:bookmarkEnd w:id="16"/>
    </w:p>
    <w:p w14:paraId="28F366D3" w14:textId="77777777" w:rsidR="00976265" w:rsidRPr="002D7798" w:rsidRDefault="0064263D">
      <w:pPr>
        <w:spacing w:line="360" w:lineRule="auto"/>
        <w:rPr>
          <w:rFonts w:eastAsia="Times New Roman"/>
          <w:noProof/>
          <w:highlight w:val="lightGray"/>
        </w:rPr>
      </w:pPr>
      <w:r w:rsidRPr="002D7798">
        <w:rPr>
          <w:noProof/>
        </w:rPr>
        <w:t xml:space="preserve">Komise bude monitorovat provádění a dodržování opatření, která mají být nakonec přijata, ze strany členských států a dalších subjektů a v případě potřeby přijme donucovací opatření. Pro účely monitorování a provádění bude Komisi podporovat agentura ACER, zejména v souvislosti s nařízením REMIT. Komise bude rovněž spolupracovat s agenturou ACER a vnitrostátními regulačními orgány v souvislosti s nařízením o elektřině a směrnici o elektřině. </w:t>
      </w:r>
    </w:p>
    <w:p w14:paraId="1CBC7170" w14:textId="77777777" w:rsidR="00976265" w:rsidRPr="002D7798" w:rsidRDefault="0064263D">
      <w:pPr>
        <w:spacing w:line="360" w:lineRule="auto"/>
        <w:rPr>
          <w:rFonts w:eastAsia="Times New Roman"/>
          <w:noProof/>
        </w:rPr>
      </w:pPr>
      <w:r w:rsidRPr="002D7798">
        <w:rPr>
          <w:noProof/>
        </w:rPr>
        <w:t xml:space="preserve">Kromě toho bude Komise v zájmu snazšího provádění v případě konkrétních otázek k dispozici pro dvoustranné schůzky a jednání se zástupci členských států. </w:t>
      </w:r>
    </w:p>
    <w:p w14:paraId="0458A5CA" w14:textId="77777777" w:rsidR="00976265" w:rsidRPr="002D7798" w:rsidRDefault="00976265">
      <w:pPr>
        <w:spacing w:line="360" w:lineRule="auto"/>
        <w:rPr>
          <w:rFonts w:eastAsia="Times New Roman"/>
          <w:noProof/>
        </w:rPr>
      </w:pPr>
    </w:p>
    <w:p w14:paraId="57DCF087" w14:textId="6853DD83" w:rsidR="00976265" w:rsidRPr="002D7798" w:rsidRDefault="0064263D">
      <w:pPr>
        <w:pStyle w:val="ManualHeading2"/>
        <w:rPr>
          <w:rFonts w:eastAsia="Arial Unicode MS"/>
          <w:noProof/>
          <w:bdr w:val="nil"/>
        </w:rPr>
      </w:pPr>
      <w:bookmarkStart w:id="17" w:name="_Toc128753754"/>
      <w:r w:rsidRPr="002D7798">
        <w:rPr>
          <w:noProof/>
          <w:bdr w:val="nil"/>
        </w:rPr>
        <w:t>•</w:t>
      </w:r>
      <w:r w:rsidRPr="002D7798">
        <w:rPr>
          <w:noProof/>
        </w:rPr>
        <w:tab/>
      </w:r>
      <w:r w:rsidRPr="002D7798">
        <w:rPr>
          <w:noProof/>
          <w:bdr w:val="nil"/>
        </w:rPr>
        <w:t xml:space="preserve">Vysvětlení konkrétních ustanovení návrhu </w:t>
      </w:r>
      <w:bookmarkEnd w:id="17"/>
      <w:r w:rsidRPr="002D7798">
        <w:rPr>
          <w:noProof/>
          <w:bdr w:val="nil"/>
        </w:rPr>
        <w:t xml:space="preserve"> </w:t>
      </w:r>
    </w:p>
    <w:p w14:paraId="52044315" w14:textId="77777777" w:rsidR="00976265" w:rsidRPr="002D7798" w:rsidRDefault="788F5868">
      <w:pPr>
        <w:spacing w:line="360" w:lineRule="auto"/>
        <w:rPr>
          <w:rFonts w:eastAsia="Times New Roman"/>
          <w:noProof/>
        </w:rPr>
      </w:pPr>
      <w:r w:rsidRPr="002D7798">
        <w:rPr>
          <w:noProof/>
        </w:rPr>
        <w:t>Změny týkající se nařízení o elektřině objasňují oblast působnosti a předmět nařízení a zdůrazňují význam nezkreslených tržních signálů pro zajištění větší flexibility, jakož i roli dlouhodobých investic při zmírnění vlivu volatility krátkodobých tržních cen na účty spotřebitelů, včetně energeticky náročných průmyslových odvětví, malých a středních podniků a domácností. Návrh objasňuje některé hlavní zásady obchodování na denních a vnitrodenních trzích. Stanovuje nová pravidla týkající se obstarávání odezvy strany poptávky ze strany provozovatelů přenosových soustav ve formě produktů pro snížení spotřeby ve špičkách a pravidla umožňující provozovatelům přenosové soustavy a provozovatelům distribuční soustavy používat údaje z vyhrazených měřicích zařízení. Návrh stanovuje nová pravidla týkající se dlouhodobých trhů s elektřinou, aby se zlepšila jejich likvidita. Obsahuje nová pravidla, jejichž cílem je vyjasnit úlohu dlouhodobějších smluv ve formě smluv o nákupu elektřiny a dvousměrných rozdílových smluv a podporovat jejich využívání. Stanovuje nová pravidla, pokud jde o posuzování potřeb flexibility členskými státy, možnost členských států zavést režimy podpory flexibility a koncepční zásady těchto režimů podpory flexibility. Zavádí rovněž nové požadavky na transparentnost pro provozovatele přenosové soustavy, pokud jde o kapacitu dostupnou pro nová připojení k síti.</w:t>
      </w:r>
    </w:p>
    <w:p w14:paraId="088E66E2" w14:textId="130A9851" w:rsidR="00181B9A" w:rsidRPr="002D7798" w:rsidRDefault="39BC9F1A" w:rsidP="76C550FD">
      <w:pPr>
        <w:spacing w:line="360" w:lineRule="auto"/>
        <w:rPr>
          <w:rFonts w:eastAsia="Times New Roman"/>
          <w:noProof/>
        </w:rPr>
      </w:pPr>
      <w:r w:rsidRPr="002D7798">
        <w:rPr>
          <w:noProof/>
        </w:rPr>
        <w:t xml:space="preserve">Změny týkající se směrnice o elektřině stanoví nová pravidla pro ochranu a posílení postavení spotřebitelů. Změna týkající se svobodného výběru dodavatele zavádí nové požadavky, které mají zajistit, aby zákazníci mohli ve svých prostorách využívat více než jednoho dodavatele, a to tím, že pro jedno místo připojení umožní více elektroměrů (někdy nazývaných dílčí elektroměry). </w:t>
      </w:r>
    </w:p>
    <w:p w14:paraId="5A0D8EF1" w14:textId="77777777" w:rsidR="004C75A8" w:rsidRPr="002D7798" w:rsidRDefault="004C75A8" w:rsidP="76C550FD">
      <w:pPr>
        <w:spacing w:line="360" w:lineRule="auto"/>
        <w:rPr>
          <w:noProof/>
        </w:rPr>
      </w:pPr>
      <w:r w:rsidRPr="002D7798">
        <w:rPr>
          <w:noProof/>
        </w:rPr>
        <w:t xml:space="preserve">Změny týkající se posílení postavení a ochrany spotřebitelů zajišťují, aby zákazníkům byla nabídnuta řada smluv, které nejlépe odpovídají jejich situaci a zajišťují, aby všichni zákazníci měli nejméně jednu nabídku pevné ceny na dobu určitou. Kromě toho musí být zákazníkům poskytnuty jasné předsmluvní informace o těchto nabídkách. </w:t>
      </w:r>
    </w:p>
    <w:p w14:paraId="55319F26" w14:textId="77777777" w:rsidR="00F94E09" w:rsidRPr="002D7798" w:rsidRDefault="004C75A8" w:rsidP="004C75A8">
      <w:pPr>
        <w:spacing w:line="360" w:lineRule="auto"/>
        <w:rPr>
          <w:rFonts w:eastAsia="Times New Roman"/>
          <w:noProof/>
        </w:rPr>
      </w:pPr>
      <w:r w:rsidRPr="002D7798">
        <w:rPr>
          <w:noProof/>
        </w:rPr>
        <w:t>Pro domácnosti a malé a střední podniky je rovněž stanoveno nové právo podílet se na sdílení energie, tj. právo aktivních zákazníků na vlastní spotřebu energie z obnovitelných zdrojů vyrobenou nebo ukládanou mimo místo odběru buď ze zařízení, která vlastní nebo pronajímají, ať už zcela, nebo zčásti, nebo energie, která jim byla převedena jiným aktivním zákazníkem.</w:t>
      </w:r>
    </w:p>
    <w:p w14:paraId="6BB34859" w14:textId="18821619" w:rsidR="00F94E09" w:rsidRPr="002D7798" w:rsidRDefault="00F94E09" w:rsidP="004C75A8">
      <w:pPr>
        <w:spacing w:line="360" w:lineRule="auto"/>
        <w:rPr>
          <w:rFonts w:eastAsia="Times New Roman"/>
          <w:noProof/>
        </w:rPr>
      </w:pPr>
      <w:r w:rsidRPr="002D7798">
        <w:rPr>
          <w:noProof/>
        </w:rPr>
        <w:t xml:space="preserve">Zavádí se rovněž nové důležité systémy ochrany zákazníků s cílem zajistit nepřetržité dodávky elektřiny – zejména požadavek, aby členské státy jmenovaly dodavatele poslední instance, kteří převezmou odpovědnost za zákazníky dodavatelů, kteří se ocitnou v problémech, a ochrana zranitelných zákazníků před odpojením od sítě. Dodavatelé budou rovněž muset zavést systémy řízení rizik k omezení rizika selhání zavedením vhodných zajišťovacích strategií. Na tyto strategie budou dohlížet vnitrostátní regulační orgány.  </w:t>
      </w:r>
    </w:p>
    <w:p w14:paraId="57EB6C7A" w14:textId="77777777" w:rsidR="4AE6CA1C" w:rsidRPr="002D7798" w:rsidRDefault="4AE6CA1C" w:rsidP="491EB03B">
      <w:pPr>
        <w:spacing w:line="360" w:lineRule="auto"/>
        <w:rPr>
          <w:rFonts w:eastAsia="Times New Roman"/>
          <w:noProof/>
        </w:rPr>
      </w:pPr>
      <w:r w:rsidRPr="002D7798">
        <w:rPr>
          <w:noProof/>
        </w:rPr>
        <w:t>Změny směrnice o elektřině zavádějí nové požadavky na transparentnost pro provozovatele distribuční soustavy, pokud jde o kapacitu dostupnou pro nová připojení k síti. Návrh objasňuje úlohu regulačních orgánů, pokud jde o jednotnou platformu pro přidělování zřízenou v souladu s nařízením (EU) 2016/1719.</w:t>
      </w:r>
    </w:p>
    <w:p w14:paraId="7DAD5EC1" w14:textId="77777777" w:rsidR="0F5A4371" w:rsidRPr="002D7798" w:rsidRDefault="2ECF6051" w:rsidP="7B14B35F">
      <w:pPr>
        <w:spacing w:line="360" w:lineRule="auto"/>
        <w:rPr>
          <w:rFonts w:eastAsia="Times New Roman"/>
          <w:noProof/>
        </w:rPr>
      </w:pPr>
      <w:r w:rsidRPr="002D7798">
        <w:rPr>
          <w:noProof/>
        </w:rPr>
        <w:t>Změny nařízení REMIT přizpůsobují oblast jeho působnosti současným a vyvíjejícím se tržním podmínkám, mimo jiné rozšířením rozsahu vykazování údajů na nové trhy pro zajišťování výkonové rovnováhy elektřiny a propojené trhy, jakož i algoritmické obchodování. Návrh zajišťuje silnější, pravidelnější a lépe zavedenou spolupráci mezi energetickými a finančními regulačními orgány, včetně agentury ACER a Evropského orgánu pro cenné papíry a trhy (ESMA), pokud jde o derivátové velkoobchodní energetické produkty. Zlepší rovněž proces shromažďování důvěrných informací a transparentnost trhu tím, že posílí dohled nad agenturou ACER a upraví definici důvěrných informací. Změny nařízení REMIT posilují dohled nad oznamujícími stranami, například prostřednictvím registrovaných mechanismů pro hlášení obchodů a určení osob, které v rámci své profese sjednávají transakce. Změny zlepšují možnosti sdílení údajů mezi agenturou ACER, příslušnými vnitrostátními orgány a Komisí. Změna nařízení REMIT posiluje úlohu agentury ACER při vyšetřování významných přeshraničních případů v rámci boje proti porušování nařízení REMIT. Stanoví rovněž rámec pro harmonizaci pokut stanovených regulačními orgány na vnitrostátní úrovni.</w:t>
      </w:r>
    </w:p>
    <w:p w14:paraId="7F191B87" w14:textId="77777777" w:rsidR="00705EE6" w:rsidRPr="002D7798" w:rsidRDefault="6C1F6375" w:rsidP="1533B72A">
      <w:pPr>
        <w:spacing w:line="360" w:lineRule="auto"/>
        <w:rPr>
          <w:rFonts w:eastAsia="Times New Roman"/>
          <w:noProof/>
        </w:rPr>
      </w:pPr>
      <w:r w:rsidRPr="002D7798">
        <w:rPr>
          <w:noProof/>
        </w:rPr>
        <w:t>Cílem změn týkajících se nařízení o agentuře ACER je vyjasnit její úlohu, pokud jde o jednotnou platformu pro přidělování zřízenou v souladu s nařízením (EU) 2016/1719 a pokud jde o nová pravidla zavedená do nařízení o elektřině, která se týkají dlouhodobých trhů a režimů podpory flexibility. Návrh rovněž vyjasňuje úlohu a pravomoci agentury ACER v souladu se změnou nařízení REMIT. Cílem změny směrnice RED II je vyjasnit oblast působnosti pravidel týkajících se druhů režimů přímé podpory cen pro obnovitelné zdroje energie, které mohou členské státy zavést.</w:t>
      </w:r>
    </w:p>
    <w:p w14:paraId="01420F58" w14:textId="77777777" w:rsidR="6C1F6375" w:rsidRPr="002D7798" w:rsidRDefault="6713B61B" w:rsidP="1533B72A">
      <w:pPr>
        <w:spacing w:line="360" w:lineRule="auto"/>
        <w:rPr>
          <w:rFonts w:eastAsia="Times New Roman"/>
          <w:noProof/>
        </w:rPr>
        <w:sectPr w:rsidR="6C1F6375" w:rsidRPr="002D7798" w:rsidSect="007D2204">
          <w:footerReference w:type="default" r:id="rId10"/>
          <w:footerReference w:type="first" r:id="rId11"/>
          <w:pgSz w:w="11907" w:h="16839"/>
          <w:pgMar w:top="1134" w:right="1417" w:bottom="1134" w:left="1417" w:header="709" w:footer="709" w:gutter="0"/>
          <w:cols w:space="708"/>
          <w:docGrid w:linePitch="360"/>
        </w:sectPr>
      </w:pPr>
      <w:r w:rsidRPr="002D7798">
        <w:rPr>
          <w:noProof/>
        </w:rPr>
        <w:t xml:space="preserve"> </w:t>
      </w:r>
    </w:p>
    <w:p w14:paraId="26411C64" w14:textId="2A752969" w:rsidR="005C3415" w:rsidRPr="002D7798" w:rsidRDefault="006A1317" w:rsidP="006A1317">
      <w:pPr>
        <w:pStyle w:val="Rfrenceinterinstitutionnelle"/>
        <w:rPr>
          <w:noProof/>
        </w:rPr>
      </w:pPr>
      <w:r w:rsidRPr="006A1317">
        <w:t>2023/0077 (COD)</w:t>
      </w:r>
    </w:p>
    <w:p w14:paraId="5E535BD6" w14:textId="53236D30" w:rsidR="00976265" w:rsidRPr="002D7798" w:rsidRDefault="002D7798" w:rsidP="002D7798">
      <w:pPr>
        <w:pStyle w:val="Statut"/>
        <w:rPr>
          <w:noProof/>
        </w:rPr>
      </w:pPr>
      <w:r w:rsidRPr="002D7798">
        <w:rPr>
          <w:noProof/>
        </w:rPr>
        <w:t>Návrh</w:t>
      </w:r>
    </w:p>
    <w:p w14:paraId="3EF71BC7" w14:textId="2FA962AB" w:rsidR="00976265" w:rsidRPr="002D7798" w:rsidRDefault="002D7798" w:rsidP="002D7798">
      <w:pPr>
        <w:pStyle w:val="Typedudocument"/>
        <w:rPr>
          <w:noProof/>
        </w:rPr>
      </w:pPr>
      <w:r w:rsidRPr="002D7798">
        <w:rPr>
          <w:noProof/>
        </w:rPr>
        <w:t>NAŘÍZENÍ EVROPSKÉHO PARLAMENTU A RADY,</w:t>
      </w:r>
    </w:p>
    <w:p w14:paraId="28F169FA" w14:textId="06B0F185" w:rsidR="00976265" w:rsidRPr="002D7798" w:rsidRDefault="002D7798" w:rsidP="002D7798">
      <w:pPr>
        <w:pStyle w:val="Titreobjet"/>
        <w:rPr>
          <w:noProof/>
        </w:rPr>
      </w:pPr>
      <w:r w:rsidRPr="002D7798">
        <w:rPr>
          <w:noProof/>
        </w:rPr>
        <w:t xml:space="preserve">kterým se mění nařízení (EU) 2019/943 a (EU) 2019/942 a směrnice (EU) 2018/2001 a (EU) 2019/944 s cílem zlepšit uspořádání trhu Unie s elektřinou </w:t>
      </w:r>
      <w:r w:rsidRPr="002D7798">
        <w:rPr>
          <w:noProof/>
        </w:rPr>
        <w:br/>
        <w:t xml:space="preserve"> </w:t>
      </w:r>
      <w:r w:rsidRPr="002D7798">
        <w:rPr>
          <w:noProof/>
        </w:rPr>
        <w:br/>
      </w:r>
    </w:p>
    <w:p w14:paraId="507B56A3" w14:textId="00BA486E" w:rsidR="00976265" w:rsidRPr="002D7798" w:rsidRDefault="002D7798" w:rsidP="002D7798">
      <w:pPr>
        <w:pStyle w:val="IntrtEEE"/>
        <w:rPr>
          <w:noProof/>
        </w:rPr>
      </w:pPr>
      <w:r w:rsidRPr="002D7798">
        <w:rPr>
          <w:noProof/>
        </w:rPr>
        <w:t>(Text s významem pro EHP)</w:t>
      </w:r>
    </w:p>
    <w:p w14:paraId="26B79B9C" w14:textId="77777777" w:rsidR="00976265" w:rsidRPr="002D7798" w:rsidRDefault="0064263D">
      <w:pPr>
        <w:pStyle w:val="Institutionquiagit"/>
        <w:rPr>
          <w:noProof/>
        </w:rPr>
      </w:pPr>
      <w:r w:rsidRPr="002D7798">
        <w:rPr>
          <w:noProof/>
        </w:rPr>
        <w:t>EVROPSKÝ PARLAMENT A RADA EVROPSKÉ UNIE,</w:t>
      </w:r>
    </w:p>
    <w:p w14:paraId="6CD974D4" w14:textId="77777777" w:rsidR="00976265" w:rsidRPr="002D7798" w:rsidRDefault="0064263D">
      <w:pPr>
        <w:rPr>
          <w:rFonts w:eastAsia="Times New Roman"/>
          <w:noProof/>
        </w:rPr>
      </w:pPr>
      <w:r w:rsidRPr="002D7798">
        <w:rPr>
          <w:noProof/>
        </w:rPr>
        <w:t>s ohledem na Smlouvu o fungování Evropské unie, a zejména na čl. 194 odst. 2 uvedené smlouvy,</w:t>
      </w:r>
    </w:p>
    <w:p w14:paraId="6D63DBF4" w14:textId="77777777" w:rsidR="00976265" w:rsidRPr="002D7798" w:rsidRDefault="0064263D">
      <w:pPr>
        <w:rPr>
          <w:rFonts w:eastAsia="Times New Roman"/>
          <w:noProof/>
        </w:rPr>
      </w:pPr>
      <w:r w:rsidRPr="002D7798">
        <w:rPr>
          <w:noProof/>
        </w:rPr>
        <w:t>s ohledem na návrh Evropské komise,</w:t>
      </w:r>
    </w:p>
    <w:p w14:paraId="2AFA120F" w14:textId="77777777" w:rsidR="00976265" w:rsidRPr="002D7798" w:rsidRDefault="0064263D">
      <w:pPr>
        <w:pStyle w:val="Normal1"/>
        <w:rPr>
          <w:noProof/>
        </w:rPr>
      </w:pPr>
      <w:r w:rsidRPr="002D7798">
        <w:rPr>
          <w:noProof/>
        </w:rPr>
        <w:t>po postoupení návrhu legislativního aktu vnitrostátním parlamentům,</w:t>
      </w:r>
    </w:p>
    <w:p w14:paraId="56938B03" w14:textId="77777777" w:rsidR="00976265" w:rsidRPr="002D7798" w:rsidRDefault="0064263D">
      <w:pPr>
        <w:pStyle w:val="Normal1"/>
        <w:rPr>
          <w:noProof/>
        </w:rPr>
      </w:pPr>
      <w:r w:rsidRPr="002D7798">
        <w:rPr>
          <w:noProof/>
        </w:rPr>
        <w:t xml:space="preserve">s ohledem na stanovisko Evropského hospodářského a sociálního výboru, </w:t>
      </w:r>
    </w:p>
    <w:p w14:paraId="7548C974" w14:textId="77777777" w:rsidR="00976265" w:rsidRPr="002D7798" w:rsidRDefault="0064263D">
      <w:pPr>
        <w:pStyle w:val="Normal1"/>
        <w:rPr>
          <w:noProof/>
        </w:rPr>
      </w:pPr>
      <w:r w:rsidRPr="002D7798">
        <w:rPr>
          <w:noProof/>
        </w:rPr>
        <w:t xml:space="preserve">s ohledem na stanovisko Výboru regionů, </w:t>
      </w:r>
    </w:p>
    <w:p w14:paraId="04655F68" w14:textId="77777777" w:rsidR="00976265" w:rsidRPr="002D7798" w:rsidRDefault="0064263D">
      <w:pPr>
        <w:rPr>
          <w:rFonts w:eastAsia="Times New Roman"/>
          <w:noProof/>
        </w:rPr>
      </w:pPr>
      <w:r w:rsidRPr="002D7798">
        <w:rPr>
          <w:noProof/>
        </w:rPr>
        <w:t>v souladu s řádným legislativním postupem,</w:t>
      </w:r>
    </w:p>
    <w:p w14:paraId="4009BA6D" w14:textId="77777777" w:rsidR="00976265" w:rsidRPr="002D7798" w:rsidRDefault="0064263D">
      <w:pPr>
        <w:rPr>
          <w:rFonts w:eastAsia="Times New Roman"/>
          <w:noProof/>
        </w:rPr>
      </w:pPr>
      <w:r w:rsidRPr="002D7798">
        <w:rPr>
          <w:noProof/>
        </w:rPr>
        <w:t>vzhledem k těmto důvodům:</w:t>
      </w:r>
    </w:p>
    <w:p w14:paraId="5041B06D" w14:textId="070E3183" w:rsidR="00976265" w:rsidRPr="002D7798" w:rsidRDefault="00451FE6" w:rsidP="00451FE6">
      <w:pPr>
        <w:pStyle w:val="ManualConsidrant"/>
        <w:rPr>
          <w:noProof/>
        </w:rPr>
      </w:pPr>
      <w:r w:rsidRPr="00451FE6">
        <w:t>(1)</w:t>
      </w:r>
      <w:r w:rsidRPr="00451FE6">
        <w:tab/>
      </w:r>
      <w:r w:rsidR="0064263D" w:rsidRPr="002D7798">
        <w:rPr>
          <w:noProof/>
        </w:rPr>
        <w:t xml:space="preserve">Od září 2021 </w:t>
      </w:r>
      <w:r w:rsidR="002D7798">
        <w:rPr>
          <w:noProof/>
        </w:rPr>
        <w:t>lze</w:t>
      </w:r>
      <w:r w:rsidR="0064263D" w:rsidRPr="002D7798">
        <w:rPr>
          <w:noProof/>
        </w:rPr>
        <w:t xml:space="preserve"> na trzích s elektřinou pozorov</w:t>
      </w:r>
      <w:r w:rsidR="002D7798">
        <w:rPr>
          <w:noProof/>
        </w:rPr>
        <w:t>at</w:t>
      </w:r>
      <w:r w:rsidR="0064263D" w:rsidRPr="002D7798">
        <w:rPr>
          <w:noProof/>
        </w:rPr>
        <w:t xml:space="preserve"> velmi vysoké ceny a jejich kolísání. Jak uvedla Agentura Evropské unie pro spolupráci energetických regulačních orgánů (dále jen „agentura ACER“) ve svém posouzení uspořádání velkoobchodního trhu s elektřinou v EU z dubna 2022</w:t>
      </w:r>
      <w:r w:rsidR="0064263D" w:rsidRPr="002D7798">
        <w:rPr>
          <w:rStyle w:val="FootnoteReference"/>
          <w:b/>
          <w:bCs/>
          <w:noProof/>
        </w:rPr>
        <w:footnoteReference w:id="18"/>
      </w:r>
      <w:r w:rsidR="0064263D" w:rsidRPr="002D7798">
        <w:rPr>
          <w:noProof/>
        </w:rPr>
        <w:t xml:space="preserve">, jedná se především o důsledek vysoké ceny plynu, který se používá jako surovina při výrobě elektřiny.  </w:t>
      </w:r>
    </w:p>
    <w:p w14:paraId="031A34B8" w14:textId="2B7D756A" w:rsidR="00976265" w:rsidRPr="002D7798" w:rsidRDefault="00451FE6" w:rsidP="00451FE6">
      <w:pPr>
        <w:pStyle w:val="ManualConsidrant"/>
        <w:rPr>
          <w:noProof/>
        </w:rPr>
      </w:pPr>
      <w:r w:rsidRPr="00451FE6">
        <w:t>(2)</w:t>
      </w:r>
      <w:r w:rsidRPr="00451FE6">
        <w:tab/>
      </w:r>
      <w:r w:rsidR="65903BA4" w:rsidRPr="002D7798">
        <w:rPr>
          <w:noProof/>
        </w:rPr>
        <w:t>Eskalace ruské vojenské agrese vůči Ukrajině, která je smluvní stranou Energetického společenství, a související mezinárodní sankce narušily od února 2022 globální trhy s energií, umocnily problém vysokých cen plynu a měly významný dopad na ceny elektřiny. Ruská invaze na Ukrajinu rovněž způsobila nejistotu ohledně dodávek dalších komodit, jako je černé uhlí a ropa, které jsou rovněž využívány zařízeními na výrobu elektřiny. To vedlo k dalšímu podstatnému zvýšení volatility cen elektřiny.</w:t>
      </w:r>
    </w:p>
    <w:p w14:paraId="1F6538A2" w14:textId="1C3EACF2" w:rsidR="00976265" w:rsidRPr="002D7798" w:rsidRDefault="00451FE6" w:rsidP="00451FE6">
      <w:pPr>
        <w:pStyle w:val="ManualConsidrant"/>
        <w:rPr>
          <w:noProof/>
        </w:rPr>
      </w:pPr>
      <w:r w:rsidRPr="00451FE6">
        <w:t>(3)</w:t>
      </w:r>
      <w:r w:rsidRPr="00451FE6">
        <w:tab/>
      </w:r>
      <w:r w:rsidR="65903BA4" w:rsidRPr="002D7798">
        <w:rPr>
          <w:noProof/>
        </w:rPr>
        <w:t>V reakci na tuto situaci obsahovalo sdělení Komise o cenách energie zveřejněné v říjnu 2021 soubor opatření, která mohou EU a její členské státy použít k řešení bezprostředního dopadu vysokých cen energie na domácnosti a podniky (včetně podpory příjmů, daňových úlev a opatření týkající se úspor a uskladňování zemního plynu) a k posílení odolnosti vůči budoucím cenovým otřesům. Ve svém sdělení ze dne 8. března 2022 nazvaném „REPowerEU: společná evropská akce pro cenově dostupnější, bezpečnější a udržitelnější energii“</w:t>
      </w:r>
      <w:r w:rsidR="65903BA4" w:rsidRPr="002D7798">
        <w:rPr>
          <w:rStyle w:val="FootnoteReference"/>
          <w:b/>
          <w:bCs/>
          <w:noProof/>
        </w:rPr>
        <w:footnoteReference w:id="19"/>
      </w:r>
      <w:r w:rsidR="65903BA4" w:rsidRPr="002D7798">
        <w:rPr>
          <w:noProof/>
        </w:rPr>
        <w:t xml:space="preserve"> Komise nastínila řadu dalších opatření s cílem posílit soubor nástrojů a reagovat na rostoucí ceny energie. Dne 23. března 2022 Komise rovněž zavedla dočasný režim státní podpory, který má umožnit určité subvence ke zmírnění dopadu vysokých cen energie</w:t>
      </w:r>
      <w:r w:rsidR="65903BA4" w:rsidRPr="002D7798">
        <w:rPr>
          <w:rStyle w:val="FootnoteReference"/>
          <w:b/>
          <w:bCs/>
          <w:noProof/>
        </w:rPr>
        <w:footnoteReference w:id="20"/>
      </w:r>
      <w:r w:rsidR="65903BA4" w:rsidRPr="002D7798">
        <w:rPr>
          <w:noProof/>
        </w:rPr>
        <w:t>.</w:t>
      </w:r>
    </w:p>
    <w:p w14:paraId="093A64C4" w14:textId="4E0E78D7" w:rsidR="00976265" w:rsidRPr="002D7798" w:rsidRDefault="00451FE6" w:rsidP="00451FE6">
      <w:pPr>
        <w:pStyle w:val="ManualConsidrant"/>
        <w:rPr>
          <w:noProof/>
        </w:rPr>
      </w:pPr>
      <w:r w:rsidRPr="00451FE6">
        <w:t>(4)</w:t>
      </w:r>
      <w:r w:rsidRPr="00451FE6">
        <w:tab/>
      </w:r>
      <w:r w:rsidR="65903BA4" w:rsidRPr="002D7798">
        <w:rPr>
          <w:noProof/>
        </w:rPr>
        <w:t>Dne 18. května 2022 předložila Komise plán REPowerEU</w:t>
      </w:r>
      <w:r w:rsidR="65903BA4" w:rsidRPr="002D7798">
        <w:rPr>
          <w:rStyle w:val="FootnoteReference"/>
          <w:noProof/>
        </w:rPr>
        <w:footnoteReference w:id="21"/>
      </w:r>
      <w:r w:rsidR="65903BA4" w:rsidRPr="002D7798">
        <w:rPr>
          <w:rStyle w:val="FootnoteReference"/>
          <w:noProof/>
        </w:rPr>
        <w:t xml:space="preserve"> </w:t>
      </w:r>
      <w:r w:rsidR="65903BA4" w:rsidRPr="002D7798">
        <w:rPr>
          <w:noProof/>
        </w:rPr>
        <w:t>,</w:t>
      </w:r>
      <w:r w:rsidR="65903BA4" w:rsidRPr="002D7798">
        <w:rPr>
          <w:rStyle w:val="FootnoteReference"/>
          <w:noProof/>
        </w:rPr>
        <w:t xml:space="preserve"> </w:t>
      </w:r>
      <w:r w:rsidR="65903BA4" w:rsidRPr="002D7798">
        <w:rPr>
          <w:noProof/>
        </w:rPr>
        <w:t>kterým byla zavedena další opatření zaměřená na úspory energie, diverzifikaci dodávek energie a urychlené zavádění energie z obnovitelných zdrojů s cílem ukončit závislost Unie na ruských fosilních palivech, včetně návrhu na zvýšení cíle Unie v oblasti obnovitelných zdrojů energie do roku 2030 na 45 %.  Sdělení o krátkodobé intervenci na trhu s energií a dlouhodobém zlepšení uspořádání trhu s elektřinou</w:t>
      </w:r>
      <w:r w:rsidR="65903BA4" w:rsidRPr="002D7798">
        <w:rPr>
          <w:rStyle w:val="FootnoteReference"/>
          <w:noProof/>
        </w:rPr>
        <w:footnoteReference w:id="22"/>
      </w:r>
      <w:r w:rsidR="65903BA4" w:rsidRPr="002D7798">
        <w:rPr>
          <w:noProof/>
        </w:rPr>
        <w:t xml:space="preserve"> kromě stanovení dodatečných krátkodobých opatření k řešení vysokých cen energie dále určilo potenciální oblasti pro zlepšení uspořádání trhu s elektřinou a představilo záměr posoudit tyto oblasti s cílem změnit legislativní rámec.</w:t>
      </w:r>
    </w:p>
    <w:p w14:paraId="20386961" w14:textId="6D396617" w:rsidR="00976265" w:rsidRPr="002D7798" w:rsidRDefault="00451FE6" w:rsidP="00451FE6">
      <w:pPr>
        <w:pStyle w:val="ManualConsidrant"/>
        <w:rPr>
          <w:noProof/>
        </w:rPr>
      </w:pPr>
      <w:r w:rsidRPr="00451FE6">
        <w:t>(5)</w:t>
      </w:r>
      <w:r w:rsidRPr="00451FE6">
        <w:tab/>
      </w:r>
      <w:r w:rsidR="65903BA4" w:rsidRPr="002D7798">
        <w:rPr>
          <w:noProof/>
        </w:rPr>
        <w:t>Za účelem naléhavého řešení cenové krize a bezpečnostních problémů a řešení nárůstu cen pro občany a na základě řady návrhů Komise přijala Unie silný režim uskladňování zemního plynu</w:t>
      </w:r>
      <w:r w:rsidR="65903BA4" w:rsidRPr="002D7798">
        <w:rPr>
          <w:rStyle w:val="FootnoteReference"/>
          <w:noProof/>
        </w:rPr>
        <w:footnoteReference w:id="23"/>
      </w:r>
      <w:r w:rsidR="65903BA4" w:rsidRPr="002D7798">
        <w:rPr>
          <w:noProof/>
        </w:rPr>
        <w:t>, účinná opatření ke snížení poptávky po plynu a elektřině</w:t>
      </w:r>
      <w:r w:rsidR="65903BA4" w:rsidRPr="002D7798">
        <w:rPr>
          <w:rStyle w:val="FootnoteReference"/>
          <w:rFonts w:eastAsiaTheme="minorEastAsia"/>
          <w:noProof/>
          <w:szCs w:val="24"/>
        </w:rPr>
        <w:footnoteReference w:id="24"/>
      </w:r>
      <w:r w:rsidR="65903BA4" w:rsidRPr="002D7798">
        <w:rPr>
          <w:noProof/>
        </w:rPr>
        <w:t>, režimy pro omezení cen, aby se zabránilo neočekávaným ziskům na trzích s plynem a elektřinou</w:t>
      </w:r>
      <w:r w:rsidR="65903BA4" w:rsidRPr="002D7798">
        <w:rPr>
          <w:rStyle w:val="FootnoteReference"/>
          <w:rFonts w:eastAsiaTheme="minorEastAsia"/>
          <w:noProof/>
          <w:szCs w:val="24"/>
        </w:rPr>
        <w:footnoteReference w:id="25"/>
      </w:r>
      <w:r w:rsidR="65903BA4" w:rsidRPr="002D7798">
        <w:rPr>
          <w:noProof/>
        </w:rPr>
        <w:t>, a opatření k urychlení povolovacích postupů pro zařízení na výrobu energie z obnovitelných zdrojů</w:t>
      </w:r>
      <w:r w:rsidR="65903BA4" w:rsidRPr="002D7798">
        <w:rPr>
          <w:rStyle w:val="FootnoteReference"/>
          <w:rFonts w:eastAsiaTheme="minorEastAsia"/>
          <w:noProof/>
          <w:szCs w:val="24"/>
        </w:rPr>
        <w:footnoteReference w:id="26"/>
      </w:r>
      <w:r w:rsidR="65903BA4" w:rsidRPr="002D7798">
        <w:rPr>
          <w:noProof/>
        </w:rPr>
        <w:t>.</w:t>
      </w:r>
    </w:p>
    <w:p w14:paraId="2F2F6E3A" w14:textId="44D2FCCF" w:rsidR="00976265" w:rsidRPr="002D7798" w:rsidRDefault="00451FE6" w:rsidP="00451FE6">
      <w:pPr>
        <w:pStyle w:val="ManualConsidrant"/>
        <w:rPr>
          <w:noProof/>
        </w:rPr>
      </w:pPr>
      <w:r w:rsidRPr="00451FE6">
        <w:t>(6)</w:t>
      </w:r>
      <w:r w:rsidRPr="00451FE6">
        <w:tab/>
      </w:r>
      <w:r w:rsidR="65903BA4" w:rsidRPr="002D7798">
        <w:rPr>
          <w:noProof/>
        </w:rPr>
        <w:t>Dobře integrovaný trh, který vychází z balíčku opatření nazvaného Čistá energie pro všechny Evropany přijatého v letech 2018 a 2019</w:t>
      </w:r>
      <w:r w:rsidR="65903BA4" w:rsidRPr="002D7798">
        <w:rPr>
          <w:rStyle w:val="FootnoteReference"/>
          <w:noProof/>
        </w:rPr>
        <w:footnoteReference w:id="27"/>
      </w:r>
      <w:r w:rsidR="65903BA4" w:rsidRPr="002D7798">
        <w:rPr>
          <w:noProof/>
        </w:rPr>
        <w:t xml:space="preserve">, by měl Unii umožnit těžit z hospodářských přínosů jednotného trhu s energií za běžných tržních podmínek, zajistit bezpečnost dodávek energie a udržet proces dekarbonizace. Přeshraniční propojení rovněž zajišťuje bezpečnější, spolehlivější a účinnější provoz energetického systému. </w:t>
      </w:r>
    </w:p>
    <w:p w14:paraId="49A4858E" w14:textId="6FA9168C" w:rsidR="00976265" w:rsidRPr="002D7798" w:rsidRDefault="00451FE6" w:rsidP="00451FE6">
      <w:pPr>
        <w:pStyle w:val="ManualConsidrant"/>
        <w:rPr>
          <w:noProof/>
        </w:rPr>
      </w:pPr>
      <w:r w:rsidRPr="00451FE6">
        <w:t>(7)</w:t>
      </w:r>
      <w:r w:rsidRPr="00451FE6">
        <w:tab/>
      </w:r>
      <w:r w:rsidR="65903BA4" w:rsidRPr="002D7798">
        <w:rPr>
          <w:noProof/>
        </w:rPr>
        <w:t>Současné uspořádání trhu s elektřinou rovněž napomohlo vzniku nových a inovativních produktů, služeb a opatření na maloobchodních trzích s elektřinou, podpořilo energetickou účinnost a využívání energie z obnovitelných zdrojů a rozšířilo možnosti výběru s cílem pomoci spotřebitelům snížit jejich účty za energii, a to i prostřednictvím malých výrobních zařízení a nově vznikajících služeb pro zajištění odezvy strany poptávky. Klíčovým prvkem našich budoucích trhů s elektřinou a elektrizační soustavy by mělo být využití potenciálu digitalizace energetického systému, například prostřednictvím aktivní účasti spotřebitelů. Zároveň je třeba respektovat volbu spotřebitelů a umožnit jim využívat výhody nejrůznějších smluvních nabídek.</w:t>
      </w:r>
    </w:p>
    <w:p w14:paraId="47A4744C" w14:textId="0EF1DC9C" w:rsidR="00976265" w:rsidRPr="002D7798" w:rsidRDefault="00451FE6" w:rsidP="00451FE6">
      <w:pPr>
        <w:pStyle w:val="ManualConsidrant"/>
        <w:rPr>
          <w:noProof/>
        </w:rPr>
      </w:pPr>
      <w:r w:rsidRPr="00451FE6">
        <w:t>(8)</w:t>
      </w:r>
      <w:r w:rsidRPr="00451FE6">
        <w:tab/>
      </w:r>
      <w:r w:rsidR="65903BA4" w:rsidRPr="002D7798">
        <w:rPr>
          <w:noProof/>
        </w:rPr>
        <w:t xml:space="preserve">V souvislosti s energetickou krizí však současné uspořádání trhu s elektřinou rovněž odhalilo řadu významných nedostatků souvisejících s dopadem vysokých a kolísavých cen fosilních paliv na krátkodobé trhy s elektřinou, které vystavují domácnosti a podniky značnému nárůstu cen, jež se promítají do jejich účtů za elektřinu. </w:t>
      </w:r>
    </w:p>
    <w:p w14:paraId="0B0E6E0A" w14:textId="22AAD674" w:rsidR="00976265" w:rsidRPr="002D7798" w:rsidRDefault="00451FE6" w:rsidP="00451FE6">
      <w:pPr>
        <w:pStyle w:val="ManualConsidrant"/>
        <w:rPr>
          <w:noProof/>
        </w:rPr>
      </w:pPr>
      <w:r w:rsidRPr="00451FE6">
        <w:t>(9)</w:t>
      </w:r>
      <w:r w:rsidRPr="00451FE6">
        <w:tab/>
      </w:r>
      <w:r w:rsidR="65903BA4" w:rsidRPr="002D7798">
        <w:rPr>
          <w:noProof/>
        </w:rPr>
        <w:t xml:space="preserve">Rychlejší zavádění energie z obnovitelných zdrojů a čistých flexibilních technologií představuje nejudržitelnější a nákladově nejefektivnější způsob, jak strukturálně snížit poptávku po fosilních palivech pro výrobu elektřiny a po přímé spotřebě prostřednictvím elektrifikace a integrace energetického systému. Díky nízkým provozním nákladům mohou obnovitelné zdroje pozitivně ovlivnit ceny elektřiny v celé Unii a snížit přímou spotřebu fosilních paliv. </w:t>
      </w:r>
    </w:p>
    <w:p w14:paraId="43A034B9" w14:textId="74921133" w:rsidR="00976265" w:rsidRPr="002D7798" w:rsidRDefault="00451FE6" w:rsidP="00451FE6">
      <w:pPr>
        <w:pStyle w:val="ManualConsidrant"/>
        <w:rPr>
          <w:noProof/>
        </w:rPr>
      </w:pPr>
      <w:r w:rsidRPr="00451FE6">
        <w:t>(10)</w:t>
      </w:r>
      <w:r w:rsidRPr="00451FE6">
        <w:tab/>
      </w:r>
      <w:r w:rsidR="65903BA4" w:rsidRPr="002D7798">
        <w:rPr>
          <w:noProof/>
        </w:rPr>
        <w:t xml:space="preserve">Změny uspořádání trhu s elektřinou by měly zajistit, aby výhody plynoucí z posilování zavádění energie z obnovitelných zdrojů a transformace energetiky jako celku měli spotřebitelé, včetně těch nejzranitelnějších, a v konečném důsledku je ochránily před energetickými krizemi a zabránily tomu, aby se více domácností ocitlo v pasti energetické chudoby. Změny by měly zmírnit dopad vysokých cen fosilních paliv, zejména cen plynu, na ceny elektřiny, aby domácnostem a podnikům umožnily v dlouhodobém horizontu využívat výhod cenově dostupné a bezpečné energie z udržitelných obnovitelných a nízkouhlíkových zdrojů. </w:t>
      </w:r>
    </w:p>
    <w:p w14:paraId="741374CC" w14:textId="1D342592" w:rsidR="00976265" w:rsidRPr="002D7798" w:rsidRDefault="00451FE6" w:rsidP="00451FE6">
      <w:pPr>
        <w:pStyle w:val="ManualConsidrant"/>
        <w:rPr>
          <w:noProof/>
        </w:rPr>
      </w:pPr>
      <w:r w:rsidRPr="00451FE6">
        <w:t>(11)</w:t>
      </w:r>
      <w:r w:rsidRPr="00451FE6">
        <w:tab/>
      </w:r>
      <w:r w:rsidR="65903BA4" w:rsidRPr="002D7798">
        <w:rPr>
          <w:noProof/>
        </w:rPr>
        <w:t xml:space="preserve">Reforma uspořádání trhu s elektřinou by měla být přínosem nejen pro spotřebitele v domácnostech, ale také pro konkurenceschopnost průmyslových odvětví Unie, protože usnadní jejich možnosti investovat do čistých technologií, které potřebují ke splnění svých plánů přechodu k nulovým čistým emisím. Základem transformace energetiky v Unii musí být silná výroba využívající čisté technologie. Tyto reformy podpoří cenově dostupnou elektrifikaci průmyslu a vedoucí postavení Unie v celosvětovém měřítku, pokud jde o výzkum a inovace v oblasti čistých technologií.  </w:t>
      </w:r>
    </w:p>
    <w:p w14:paraId="29749CEA" w14:textId="3EDF7263" w:rsidR="00976265" w:rsidRPr="002D7798" w:rsidRDefault="00451FE6" w:rsidP="00451FE6">
      <w:pPr>
        <w:pStyle w:val="ManualConsidrant"/>
        <w:rPr>
          <w:noProof/>
        </w:rPr>
      </w:pPr>
      <w:r w:rsidRPr="00451FE6">
        <w:t>(12)</w:t>
      </w:r>
      <w:r w:rsidRPr="00451FE6">
        <w:tab/>
      </w:r>
      <w:r w:rsidR="65903BA4" w:rsidRPr="002D7798">
        <w:rPr>
          <w:noProof/>
        </w:rPr>
        <w:t xml:space="preserve">Dobře fungující a účinné krátkodobé trhy jsou klíčovým nástrojem pro integraci zdrojů obnovitelné energie a flexibility na trhu a usnadňují nákladově efektivní integraci energetického systému. </w:t>
      </w:r>
    </w:p>
    <w:p w14:paraId="79B47893" w14:textId="16DD324D" w:rsidR="00976265" w:rsidRPr="002D7798" w:rsidRDefault="00451FE6" w:rsidP="00451FE6">
      <w:pPr>
        <w:pStyle w:val="ManualConsidrant"/>
        <w:rPr>
          <w:noProof/>
        </w:rPr>
      </w:pPr>
      <w:r w:rsidRPr="00451FE6">
        <w:t>(13)</w:t>
      </w:r>
      <w:r w:rsidRPr="00451FE6">
        <w:tab/>
      </w:r>
      <w:r w:rsidR="65903BA4" w:rsidRPr="002D7798">
        <w:rPr>
          <w:noProof/>
        </w:rPr>
        <w:t xml:space="preserve">Vnitrodenní trhy jsou obzvláště důležité pro integraci intermitentních obnovitelných zdrojů energie do elektrizační soustavy s nejnižšími náklady, neboť účastníkům trhu umožňují obchodovat s nedostatkem nebo přebytkem elektřiny blíže k okamžiku jejího dodání.  Vzhledem k tomu, že výrobci elektřiny z intermitentních obnovitelných zdrojů energie jsou schopni přesně odhadnout svou výrobu blízko k okamžiku dodání elektřiny, je zásadní, aby měli maximální obchodní příležitosti prostřednictvím přístupu na likvidní trh, který se co nejvíce blíží době dodání elektřiny. </w:t>
      </w:r>
    </w:p>
    <w:p w14:paraId="1B8288C1" w14:textId="0F5DA705" w:rsidR="00976265" w:rsidRPr="002D7798" w:rsidRDefault="00451FE6" w:rsidP="00451FE6">
      <w:pPr>
        <w:pStyle w:val="ManualConsidrant"/>
        <w:rPr>
          <w:noProof/>
        </w:rPr>
      </w:pPr>
      <w:r w:rsidRPr="00451FE6">
        <w:t>(14)</w:t>
      </w:r>
      <w:r w:rsidRPr="00451FE6">
        <w:tab/>
      </w:r>
      <w:r w:rsidR="65903BA4" w:rsidRPr="002D7798">
        <w:rPr>
          <w:noProof/>
        </w:rPr>
        <w:t xml:space="preserve">Je proto důležité, aby se vnitrodenní trhy přizpůsobily účasti technologií, které využívají intermitentní obnovitelné zdroje energie, jako je solární a větrná energie, jakož i účasti odezvy strany poptávky a skladování. Likvidita vnitrodenních trhů by se měla zlepšit sdílením evidence příkazů mezi organizátory trhu v nabídkové zóně, a to i v případě, že jsou kapacity mezi zónami nastaveny na nulu nebo po uzávěrce obchodování na vnitrodenním trhu. Kromě toho by uzávěrka obchodování na vnitrodenním trhu s elektřinou měla být stanovena blíže době dodání, aby se maximalizovaly příležitosti účastníků trhu k obchodování s nedostatkem a přebytkem elektřiny a přispělo se k lepšímu začlenění intermitentních obnovitelných zdrojů energie do elektrizační soustavy. </w:t>
      </w:r>
    </w:p>
    <w:p w14:paraId="79C51692" w14:textId="239B1411" w:rsidR="00976265" w:rsidRPr="002D7798" w:rsidRDefault="00451FE6" w:rsidP="00451FE6">
      <w:pPr>
        <w:pStyle w:val="ManualConsidrant"/>
        <w:rPr>
          <w:noProof/>
        </w:rPr>
      </w:pPr>
      <w:r w:rsidRPr="00451FE6">
        <w:t>(15)</w:t>
      </w:r>
      <w:r w:rsidRPr="00451FE6">
        <w:tab/>
      </w:r>
      <w:r w:rsidR="65903BA4" w:rsidRPr="002D7798">
        <w:rPr>
          <w:noProof/>
        </w:rPr>
        <w:t xml:space="preserve">Snížením minimální velikosti nabídky by krátkodobé trhy s elektřinou dále měly zajistit, aby se malí poskytovatelé služeb flexibility mohli účastnit obchodování na trhu. </w:t>
      </w:r>
    </w:p>
    <w:p w14:paraId="18FFE3AA" w14:textId="6DA9BBEB" w:rsidR="00976265" w:rsidRPr="002D7798" w:rsidRDefault="00451FE6" w:rsidP="00451FE6">
      <w:pPr>
        <w:pStyle w:val="ManualConsidrant"/>
        <w:rPr>
          <w:noProof/>
        </w:rPr>
      </w:pPr>
      <w:r w:rsidRPr="00451FE6">
        <w:t>(16)</w:t>
      </w:r>
      <w:r w:rsidRPr="00451FE6">
        <w:tab/>
      </w:r>
      <w:r w:rsidR="65903BA4" w:rsidRPr="002D7798">
        <w:rPr>
          <w:noProof/>
        </w:rPr>
        <w:t xml:space="preserve">K zajištění účinné integrace elektřiny vyrobené z intermitentních obnovitelných zdrojů energie a v zájmu snížení potřeby výroby elektřiny z fosilních paliv v době vysoké poptávky po elektřině v kombinaci s nízkou úrovní výroby elektřiny z intermitentních obnovitelných zdrojů energie, by měli mít provozovatelé přenosových soustav možnost navrhnout produkt pro snížení spotřeby ve špičkách umožňující odezvu strany poptávky, která přispěje ke snížení špiček spotřeby v elektrizační soustavě v určitých hodinách dne. Produkt pro snížení spotřeby ve špičkách by měl přispět k maximalizaci integrace elektřiny vyrobené z obnovitelných zdrojů do systému tím, že se spotřeba elektřiny přesouvá do částí dne s vyšší výrobou elektřiny z obnovitelných zdrojů. Jelikož cílem produktu pro snížení spotřeby ve špičkách je snížit a přesunout spotřebu elektřiny, měl by být rozsah tohoto produktu omezen na odezvu strany poptávky. Obstarávání produktu pro snížení spotřeby ve špičkách by mělo probíhat tak, aby se nepřekrývalo s aktivací produktů výkonové rovnováhy, jejichž cílem je zachovat stabilní frekvenci elektrizační soustavy. Aby bylo možné ověřit objemy aktivovaného snížení poptávky, měl by provozovatel přenosové soustavy použít výchozí hodnotu odrážející očekávanou spotřebu elektřiny bez aktivace produktu pro snížení spotřeby ve špičkách. </w:t>
      </w:r>
    </w:p>
    <w:p w14:paraId="2BCDB7B7" w14:textId="0E299E47" w:rsidR="00976265" w:rsidRPr="002D7798" w:rsidRDefault="00451FE6" w:rsidP="00451FE6">
      <w:pPr>
        <w:pStyle w:val="ManualConsidrant"/>
        <w:rPr>
          <w:noProof/>
        </w:rPr>
      </w:pPr>
      <w:r w:rsidRPr="00451FE6">
        <w:t>(17)</w:t>
      </w:r>
      <w:r w:rsidRPr="00451FE6">
        <w:tab/>
      </w:r>
      <w:r w:rsidR="65903BA4" w:rsidRPr="002D7798">
        <w:rPr>
          <w:noProof/>
        </w:rPr>
        <w:t xml:space="preserve">Spotřebitelé jsou postupně vybavování inteligentními měřicími systémy, aby se mohli aktivně účastnit na trzích s elektřinou a byla zajištěna flexibilita trhů. V řadě členských států je však zavádění inteligentních měřicích systémů stále pomalé. V případech, kdy inteligentní měřicí systémy dosud nejsou instalovány nebo pokud neposkytují dostatečnou úroveň granularity dat, by provozovatelé přenosových a distribučních soustav měli mít možnost využívat údaje z vyhrazených měřicích zařízení pro sledování a zúčtování služeb flexibility, jako je odezva strany poptávky a ukládání energie. Umožnění používání údajů z vyhrazených měřicích zařízení pro sledování a zúčtování by mělo usnadnit aktivní účast spotřebitelů na trhu a rozvoj jejich odezvy strany poptávky. Používání údajů z těchto vyhrazených měřicích zařízení by mělo podpořit požadavky na kvalitu těchto údajů.   </w:t>
      </w:r>
    </w:p>
    <w:p w14:paraId="0E0DC1D9" w14:textId="2293762F" w:rsidR="61D45D33" w:rsidRPr="002D7798" w:rsidRDefault="00451FE6" w:rsidP="00451FE6">
      <w:pPr>
        <w:pStyle w:val="ManualConsidrant"/>
        <w:rPr>
          <w:noProof/>
        </w:rPr>
      </w:pPr>
      <w:r w:rsidRPr="00451FE6">
        <w:t>(18)</w:t>
      </w:r>
      <w:r w:rsidRPr="00451FE6">
        <w:tab/>
      </w:r>
      <w:r w:rsidR="0824BE3C" w:rsidRPr="002D7798">
        <w:rPr>
          <w:noProof/>
        </w:rPr>
        <w:t>Toto nařízení stanoví právní základ pro zpracování osobních údajů v souladu s čl. 6 odst. 1 písm. c) obecného nařízení o ochraně osobních údajů (GDPR). Členské státy by měly zajistit, aby byly splněny všechny zásady a povinnosti v oblasti ochrany osobních údajů stanovené v nařízení GDPR, včetně minimalizace údajů. Pokud lze cílů tohoto nařízení dosáhnout bez zpracování osobních údajů, měli by se poskytovatelé spolehnout na anonymizované a agregované údaje.</w:t>
      </w:r>
    </w:p>
    <w:p w14:paraId="40D2578E" w14:textId="27E1F57D" w:rsidR="00976265" w:rsidRPr="002D7798" w:rsidRDefault="00451FE6" w:rsidP="00451FE6">
      <w:pPr>
        <w:pStyle w:val="ManualConsidrant"/>
        <w:rPr>
          <w:noProof/>
        </w:rPr>
      </w:pPr>
      <w:r w:rsidRPr="00451FE6">
        <w:t>(19)</w:t>
      </w:r>
      <w:r w:rsidRPr="00451FE6">
        <w:tab/>
      </w:r>
      <w:r w:rsidR="3D0DC5CE" w:rsidRPr="002D7798">
        <w:rPr>
          <w:noProof/>
        </w:rPr>
        <w:t xml:space="preserve">Spotřebitelé a dodavatelé potřebují účinné a účelné dlouhodobé trhy, aby pokryli své dlouhodobé cenové riziko a snížili závislost na krátkodobých cenách. Aby se zajistilo, že zákazníci v celé EU budou moci plně využívat výhod integrovaných trhů s elektřinou a hospodářské soutěže v celé Unii, mělo by se fungování trhu Unie s elektřinou zlepšit zřízením regionálních virtuálních uzlů s cílem překonat stávající roztříštěnost trhu a nízkou likviditu mnoha nabídkových zón. Regionální virtuální uzly by měly pokrývat více nabídkových zón a zároveň zajišťovat odpovídající cenovou korelaci. Některé nabídkové zóny nemusí být pokryty virtuálním uzlem, pokud jde o přispění k referenční ceně uzlu. Účastníci trhu z těchto nabídkových zón by však měli mít i nadále možnost prostřednictvím centra získat zajištění. </w:t>
      </w:r>
    </w:p>
    <w:p w14:paraId="6075C57D" w14:textId="6B4A9924" w:rsidR="00976265" w:rsidRPr="002D7798" w:rsidRDefault="00451FE6" w:rsidP="00451FE6">
      <w:pPr>
        <w:pStyle w:val="ManualConsidrant"/>
        <w:rPr>
          <w:noProof/>
        </w:rPr>
      </w:pPr>
      <w:r w:rsidRPr="00451FE6">
        <w:t>(20)</w:t>
      </w:r>
      <w:r w:rsidRPr="00451FE6">
        <w:tab/>
      </w:r>
      <w:r w:rsidR="3D0DC5CE" w:rsidRPr="002D7798">
        <w:rPr>
          <w:noProof/>
        </w:rPr>
        <w:t xml:space="preserve">Virtuální uzly by měly odrážet agregovanou cenu několika nabídkových zón a poskytovat referenční cenu, kterou by organizátoři trhu měli používat k nabízení termínovaných zajišťovacích produktů. V tomto rozsahu by virtuální uzly neměly být chápány jako subjekty, které sjednávají nebo provádějí transakce. Poskytováním referenčního cenového indexu by regionální virtuální uzly měly umožnit sdružování likvidity a poskytnout účastníkům trhu lepší možnosti zajištění. </w:t>
      </w:r>
    </w:p>
    <w:p w14:paraId="212643A0" w14:textId="352BC5A8" w:rsidR="00976265" w:rsidRPr="002D7798" w:rsidRDefault="00451FE6" w:rsidP="00451FE6">
      <w:pPr>
        <w:pStyle w:val="ManualConsidrant"/>
        <w:rPr>
          <w:noProof/>
        </w:rPr>
      </w:pPr>
      <w:r w:rsidRPr="00451FE6">
        <w:t>(21)</w:t>
      </w:r>
      <w:r w:rsidRPr="00451FE6">
        <w:tab/>
      </w:r>
      <w:r w:rsidR="3D0DC5CE" w:rsidRPr="002D7798">
        <w:rPr>
          <w:noProof/>
        </w:rPr>
        <w:t>Za účelem posílení možností účastníků trhu v oblasti zajištění by měla být rozšířena úloha jednotné platformy pro přidělování zřízené v souladu s nařízením Komise (EU) 2016/1719. Jednotná platforma pro přidělování by měla nabízet obchodování s dlouhodobými finančními přenosovými právy mezi různými nabídkovými zónami a regionálními virtuálními uzly. Příkazy zadané účastníky trhu ve vztahu k finančním přenosovým právům budou spárovány souběžným přidělením dlouhodobé kapacity mezi zónami. Toto párování a přidělení by mělo být prováděno pravidelně, aby se zajistila dostatečná likvidita, a tím i účinné možnosti zajištění pro účastníky trhu. Dlouhodobá přenosová práva by měla být vydávána s častými splatnostmi (od jednoho měsíce do alespoň tří let dopředu), aby byla sladěna s typickým časovým horizontem zajištění účastníků trhu. Jednotná platforma pro přidělování by měla podléhat monitorování a vymáhání, aby bylo zajištěno řádné plnění jejích úkolů.</w:t>
      </w:r>
    </w:p>
    <w:p w14:paraId="53FD043A" w14:textId="0580B1A5" w:rsidR="00976265" w:rsidRPr="002D7798" w:rsidRDefault="00451FE6" w:rsidP="00451FE6">
      <w:pPr>
        <w:pStyle w:val="ManualConsidrant"/>
        <w:rPr>
          <w:noProof/>
        </w:rPr>
      </w:pPr>
      <w:r w:rsidRPr="00451FE6">
        <w:t>(22)</w:t>
      </w:r>
      <w:r w:rsidRPr="00451FE6">
        <w:tab/>
      </w:r>
      <w:r w:rsidR="3D0DC5CE" w:rsidRPr="002D7798">
        <w:rPr>
          <w:noProof/>
        </w:rPr>
        <w:t xml:space="preserve">Síťové tarify by měly provozovatele přenosových a distribučních soustav motivovat k využívání služeb flexibility prostřednictvím dalšího vývoje inovativních řešení pro optimalizaci stávající sítě a pořizování služeb flexibility, zejména odezvy strany poptávky nebo skladování. Za tímto účelem by měly být síťové tarify navrženy tak, aby zohledňovaly provozní a kapitálové výdaje provozovatelů soustav nebo účinnou kombinaci, aby mohli elektrizační soustavu provozovat nákladově efektivním způsobem. To by dále přispělo k integraci obnovitelných zdrojů energie s nejnižšími náklady pro elektrizační soustavu a umožnilo by konečným zákazníkům zhodnotit jejich flexibilní řešení.    </w:t>
      </w:r>
    </w:p>
    <w:p w14:paraId="2C97FA44" w14:textId="749B5109" w:rsidR="00976265" w:rsidRPr="002D7798" w:rsidRDefault="00451FE6" w:rsidP="00451FE6">
      <w:pPr>
        <w:pStyle w:val="ManualConsidrant"/>
        <w:rPr>
          <w:noProof/>
        </w:rPr>
      </w:pPr>
      <w:r w:rsidRPr="00451FE6">
        <w:t>(23)</w:t>
      </w:r>
      <w:r w:rsidRPr="00451FE6">
        <w:tab/>
      </w:r>
      <w:r w:rsidR="3D0DC5CE" w:rsidRPr="002D7798">
        <w:rPr>
          <w:noProof/>
        </w:rPr>
        <w:t>Mořské obnovitelné zdroje energie, jako je větrná energie na moři, obnovitelná energie z moří a plovoucí fotovoltaické elektrárny, budou hrát zásadní úlohu při budování energetického systému, který je z velké části založen na obnovitelných zdrojích energie, a při zajišťování klimatické neutrality do roku 2050. Existují však značné překážky pro jejich širší a účinné zavádění, které brání masivnímu rozšíření potřebnému k dosažení těchto cílů. Podobné překážky by mohly v budoucnu vzniknout i u jiných mořských technologií. Mezi tyto překážky patří investiční rizika spojená s jedinečnou topografickou situací hybridních projektů na moři spojených s více než jedním trhem. Aby se snížilo investiční riziko pro zhotovitele těchto projektů na moři a zajistilo se, že projekty v nabídkové zóně na moři budou mít plný přístup na okolní trhy, měli by provozovatelé přenosových soustav zaručit přístup projektu na moři ke kapacitě příslušného hybridního propojovacího vedení pro všechny obchodní intervaly. Pokud jsou dostupné přenosové kapacity sníženy do té míry, že celé množství vyrobené elektřiny, které by jinak projekt na moři mohl vyvážet, nemůže být dodáno na trh, mělo by být provozovateli přenosové soustavy nebo provozovatelům odpovědným za nutnost omezit kapacitu v budoucnu umožněno kompenzovat provozovateli projektu na moři úměrné využití příjmu z přetížení. Tato kompenzace by se měla týkat pouze výrobní kapacitě dostupné na trhu, která může záviset na počasí, a nezahrnuje odstávky a údržbu projektu na moři. Podrobnosti, včetně podmínek, za nichž může opatření pozbýt platnosti, budou definovány v prováděcím nařízení.</w:t>
      </w:r>
    </w:p>
    <w:p w14:paraId="5D68CA55" w14:textId="48620D0C" w:rsidR="00976265" w:rsidRPr="002D7798" w:rsidRDefault="00451FE6" w:rsidP="00451FE6">
      <w:pPr>
        <w:pStyle w:val="ManualConsidrant"/>
        <w:rPr>
          <w:noProof/>
        </w:rPr>
      </w:pPr>
      <w:r w:rsidRPr="00451FE6">
        <w:t>(24)</w:t>
      </w:r>
      <w:r w:rsidRPr="00451FE6">
        <w:tab/>
      </w:r>
      <w:r w:rsidR="3D0DC5CE" w:rsidRPr="002D7798">
        <w:rPr>
          <w:noProof/>
        </w:rPr>
        <w:t>Na velkoobchodním denním trhu se nejprve nasazují elektrárny s nižšími mezními náklady, avšak cena, kterou obdrží všichni účastníci trhu, je stanovena podle poslední elektrárny potřebné k pokrytí poptávky, což je elektrárna s nejvyššími mezními náklady po zúčtování trhu. V této souvislosti energetická krize ukázala, že prudký nárůst cen plynu a černého uhlí se může promítnout do výjimečného a trvajícího růstu cen, za které plynové a uhelné elektrárny nabízejí elektřinu na velkoobchodním denním trhu. To zase vedlo k mimořádně vysokým cenám na denním trhu v celé Unii, neboť plynové a uhelné elektrárny jsou často elektrárnami s nejvyššími mezními náklady potřebnými k uspokojení poptávky po elektřině.</w:t>
      </w:r>
    </w:p>
    <w:p w14:paraId="18271199" w14:textId="2338780B" w:rsidR="00976265" w:rsidRPr="002D7798" w:rsidRDefault="00451FE6" w:rsidP="00451FE6">
      <w:pPr>
        <w:pStyle w:val="ManualConsidrant"/>
        <w:rPr>
          <w:noProof/>
        </w:rPr>
      </w:pPr>
      <w:r w:rsidRPr="00451FE6">
        <w:t>(25)</w:t>
      </w:r>
      <w:r w:rsidRPr="00451FE6">
        <w:tab/>
      </w:r>
      <w:r w:rsidR="3D0DC5CE" w:rsidRPr="002D7798">
        <w:rPr>
          <w:noProof/>
        </w:rPr>
        <w:t>Vzhledem k úloze ceny na denním trhu jako referenční hodnoty pro stanovení ceny na jiných velkoobchodních trzích s elektřinou a ke skutečnosti, že všichni účastníci trhu obdrží zúčtovací cenu, zaznamenaly technologie s výrazně nižšími mezními náklady trvale vysoké příjmy.</w:t>
      </w:r>
    </w:p>
    <w:p w14:paraId="2DDAD195" w14:textId="6F1F6A28" w:rsidR="00976265" w:rsidRPr="002D7798" w:rsidRDefault="00451FE6" w:rsidP="00451FE6">
      <w:pPr>
        <w:pStyle w:val="ManualConsidrant"/>
        <w:rPr>
          <w:noProof/>
        </w:rPr>
      </w:pPr>
      <w:r w:rsidRPr="00451FE6">
        <w:t>(26)</w:t>
      </w:r>
      <w:r w:rsidRPr="00451FE6">
        <w:tab/>
      </w:r>
      <w:r w:rsidR="3D0DC5CE" w:rsidRPr="002D7798">
        <w:rPr>
          <w:noProof/>
        </w:rPr>
        <w:t>Má-li být dosaženo cílů Unie v oblasti dekarbonizace a cílů plánu REPowerEU, aby se stala energeticky nezávislejší, musí Unie výrazně urychlit zavádění obnovitelných zdrojů. S ohledem na investiční potřeby nezbytné k dosažení těchto cílů by trh měl zajistit vytvoření dlouhodobého cenového signálu.</w:t>
      </w:r>
    </w:p>
    <w:p w14:paraId="3EA7010B" w14:textId="744751F0" w:rsidR="00976265" w:rsidRPr="002D7798" w:rsidRDefault="00451FE6" w:rsidP="00451FE6">
      <w:pPr>
        <w:pStyle w:val="ManualConsidrant"/>
        <w:rPr>
          <w:noProof/>
        </w:rPr>
      </w:pPr>
      <w:r w:rsidRPr="00451FE6">
        <w:t>(27)</w:t>
      </w:r>
      <w:r w:rsidRPr="00451FE6">
        <w:tab/>
      </w:r>
      <w:r w:rsidR="3D0DC5CE" w:rsidRPr="002D7798">
        <w:rPr>
          <w:noProof/>
        </w:rPr>
        <w:t xml:space="preserve">V tomto rámci by členské státy měly usilovat o vytvoření správných tržních podmínek pro dlouhodobé tržní nástroje, jako jsou smlouvy o nákupu elektřiny. Smlouvy o nákupu elektřiny jsou dvoustranné smlouvy o nákupu mezi výrobci a odběrateli elektřiny. Poskytují zákazníkovi dlouhodobou cenovou stabilitu a výrobci nezbytnou jistotu, kterou potřebuje k přijetí investičního rozhodnutí. Nicméně pouze několik členských států má aktivní trhy se smlouvami o nákupu elektřiny a výběr kupujících je obvykle omezen na velké společnosti, v neposlední řadě proto, že smlouvy o nákupu elektřiny čelí řadě překážek, zejména v tom, že je u těchto dlouhodobých smluv obtížné pokrýt riziko platební neschopnosti kupujícího. Členské státy by měly při stanovování politik k dosažení cílů dekarbonizace energetiky stanovených v jejich integrovaných vnitrostátních plánech v oblasti energetiky a klimatu zohlednit potřebu vytvořit dynamický trh se smlouvami o nákupu elektřiny. </w:t>
      </w:r>
    </w:p>
    <w:p w14:paraId="27DFDA84" w14:textId="5661780C" w:rsidR="00976265" w:rsidRPr="002D7798" w:rsidRDefault="00451FE6" w:rsidP="00451FE6">
      <w:pPr>
        <w:pStyle w:val="ManualConsidrant"/>
        <w:rPr>
          <w:noProof/>
        </w:rPr>
      </w:pPr>
      <w:r w:rsidRPr="00451FE6">
        <w:t>(28)</w:t>
      </w:r>
      <w:r w:rsidRPr="00451FE6">
        <w:tab/>
      </w:r>
      <w:r w:rsidR="3D0DC5CE" w:rsidRPr="002D7798">
        <w:rPr>
          <w:noProof/>
        </w:rPr>
        <w:t xml:space="preserve">Podle čl. 15 odst. 8 směrnice Evropského parlamentu a Rady (EU) 2018/2001 členské státy posoudí regulační a administrativní překážky pro dlouhodobé smlouvy o nákupu elektřiny z obnovitelných zdrojů, odstraní neodůvodněné překážky a usnadní přijímání těchto dohod. Kromě toho mají členské státy popsat politiky a opatření usnadňující přijímání smluv o nákupu elektřiny z obnovitelných zdrojů ve svých integrovaných vnitrostátních plánech v oblasti energetiky a klimatu.  Aniž je dotčena povinnost podávat zprávy o právním rámci ovlivňujícím trh se smlouvami o nákupu elektřiny, měly by členské státy zajistit, aby nástroje ke snížení finančních rizik spojených s neplněním dlouhodobých platebních závazků kupujícího v rámci smluv o nákupu elektřiny byly přístupné společnostem, které čelí překážkám vstupu na trh se smlouvami o nákupu elektřiny a nejsou ve finančních obtížích v souladu s články 107 a 108 Smlouvy o fungování EU. Členské státy by se mohly rozhodnout zřídit systém záruk za tržní ceny. Členské státy by měly přijmout ustanovení, která zabrání snížení likvidity na trzích s elektřinou, například využíváním finančních smluv o nákupu elektřiny. Členské státy by neměly poskytovat podporu smlouvám o nákupu elektřiny, na jejichž základě se kupuje elektřina vyrobená z fosilních paliv. Přestože základním přístupem by měla být nediskriminace mezi spotřebiteli, členské státy by se mohly rozhodnout zaměřit tyto nástroje na konkrétní kategorie spotřebitelů, přičemž by uplatňovaly objektivní a nediskriminační kritéria. V tomto rámci by členské státy měly zohlednit potenciální úlohu nástrojů poskytovaných na úrovni Unie, například Evropskou investiční bankou (dále jen „EIB“). </w:t>
      </w:r>
    </w:p>
    <w:p w14:paraId="51CEB36C" w14:textId="2505462A" w:rsidR="00976265" w:rsidRPr="002D7798" w:rsidRDefault="00451FE6" w:rsidP="00451FE6">
      <w:pPr>
        <w:pStyle w:val="ManualConsidrant"/>
        <w:rPr>
          <w:noProof/>
        </w:rPr>
      </w:pPr>
      <w:r w:rsidRPr="00451FE6">
        <w:t>(29)</w:t>
      </w:r>
      <w:r w:rsidRPr="00451FE6">
        <w:tab/>
      </w:r>
      <w:r w:rsidR="3D0DC5CE" w:rsidRPr="002D7798">
        <w:rPr>
          <w:noProof/>
        </w:rPr>
        <w:t xml:space="preserve">Členské státy mají k dispozici několik nástrojů na podporu rozvoje trhů se smlouvami o nákupu elektřiny při navrhování a přidělování veřejné podpory. Pokud by bylo zhotovitelům projektů v oblasti energie z obnovitelných zdrojů, kteří se účastní veřejného výběrového řízení, umožněno vyhradit část výroby k prodeji prostřednictvím smluv o nákupu elektřiny, přispělo by se tím k rozvoji a růstu trhů se smlouvami o nákupu elektřiny. Kromě toho by členské státy měly v rámci těchto hodnocení výběrových řízení usilovat o uplatňování kritérií, která budou motivovat k přístupu na trh se smlouvami o nákupu elektřiny subjekty, jež čelí překážkám vstupu na tento trh, jako jsou malé a střední podniky, přičemž by měly upřednostňovat uchazeče, kteří předloží závazek podepsat smlouvu o nákupu elektřiny ve vztahu k části elektřiny vyrobené v projektu od jednoho nebo několika potenciálních kupujících, kteří se potýkají s obtížemi při přístupu na trh se smlouvami o nákupu elektřiny. </w:t>
      </w:r>
    </w:p>
    <w:p w14:paraId="01C61C4A" w14:textId="00ED2731" w:rsidR="00976265" w:rsidRPr="002D7798" w:rsidRDefault="00451FE6" w:rsidP="00451FE6">
      <w:pPr>
        <w:pStyle w:val="ManualConsidrant"/>
        <w:rPr>
          <w:noProof/>
        </w:rPr>
      </w:pPr>
      <w:r w:rsidRPr="00451FE6">
        <w:t>(30)</w:t>
      </w:r>
      <w:r w:rsidRPr="00451FE6">
        <w:tab/>
      </w:r>
      <w:r w:rsidR="75DBE9D9" w:rsidRPr="002D7798">
        <w:rPr>
          <w:noProof/>
        </w:rPr>
        <w:t xml:space="preserve">Pokud se členské státy rozhodnou podporovat z veřejných prostředků nové investice (dále jen „režimy přímé podpory cen“) do výroby elektřiny z nízkouhlíkových nefosilních paliv za účelem dosažení cílů Unie v oblasti dekarbonizace, měly by být tyto režimy strukturovány formou dvoustranných rozdílových smluv, aby kromě záruky příjmů zahrnovaly omezení horní hranice tržních příjmů dotčených výrobních zařízení. </w:t>
      </w:r>
      <w:bookmarkStart w:id="18" w:name="_Hlk129619654"/>
      <w:r w:rsidR="75DBE9D9" w:rsidRPr="002D7798">
        <w:rPr>
          <w:noProof/>
        </w:rPr>
        <w:t>Nové investice do výroby elektřiny, které by měly zahrnovat investice do nových výroben elektřiny, investice zaměřené na modernizaci stávajících výroben elektřiny, investice zaměřené na rozšíření stávajících výroben elektřiny nebo na prodloužení jejich životnosti.</w:t>
      </w:r>
      <w:bookmarkEnd w:id="18"/>
    </w:p>
    <w:p w14:paraId="2838057F" w14:textId="6D1605E6" w:rsidR="00976265" w:rsidRPr="002D7798" w:rsidRDefault="00451FE6" w:rsidP="00451FE6">
      <w:pPr>
        <w:pStyle w:val="ManualConsidrant"/>
        <w:rPr>
          <w:noProof/>
        </w:rPr>
      </w:pPr>
      <w:r w:rsidRPr="00451FE6">
        <w:t>(31)</w:t>
      </w:r>
      <w:r w:rsidRPr="00451FE6">
        <w:tab/>
      </w:r>
      <w:r w:rsidR="3D0DC5CE" w:rsidRPr="002D7798">
        <w:rPr>
          <w:noProof/>
        </w:rPr>
        <w:t xml:space="preserve">Tyto dvousměrné rozdílové smlouvy by zajistily, že příjmy výrobců využívajících veřejnou podporu, které pocházejí z nových investic do výroby elektřiny, budou méně závislé na kolísavých cenách výroby elektřiny z fosilních paliv, která obvykle určuje cenu na denním trhu. </w:t>
      </w:r>
    </w:p>
    <w:p w14:paraId="08379EFA" w14:textId="4756EEDA" w:rsidR="00976265" w:rsidRPr="002D7798" w:rsidRDefault="00451FE6" w:rsidP="00451FE6">
      <w:pPr>
        <w:pStyle w:val="ManualConsidrant"/>
        <w:rPr>
          <w:noProof/>
        </w:rPr>
      </w:pPr>
      <w:r w:rsidRPr="00451FE6">
        <w:t>(32)</w:t>
      </w:r>
      <w:r w:rsidRPr="00451FE6">
        <w:tab/>
      </w:r>
      <w:r w:rsidR="65135877" w:rsidRPr="002D7798">
        <w:rPr>
          <w:noProof/>
        </w:rPr>
        <w:t>Vzhledem k tomu, že omezení týkající se stanovení režimů přímé podpory cen ve formě dvousměrných rozdílových smluv zužuje množství typů režimů přímé podpory cen, které členské státy mohou přijmout, pokud jde o obnovitelné zdroje energie, režimy by měly být omezeny na nízkouhlíkové nefosilní technologie s nízkými a stabilními provozními náklady a na technologie, které obvykle neposkytují flexibilitu elektrizační soustavě, přičemž by měly být vyloučeny technologie, které jsou v počátečních fázích uvádění na trh. To je nezbytné k zajištění toho, aby nebyla ohrožena hospodářská životaschopnost výrobních technologií s vysokými mezními náklady, a k zachování pobídek pro technologie, které mohou elektrizační soustavě nabídnout flexibilitu, aby podávaly nabídky na trhu s elektřinou na základě svých nákladů příležitosti. Omezení týkající se stanovení režimů přímé podpory cen ve formě dvousměrných rozdílových smluv by se navíc nemělo vztahovat na nově vznikající technologie, u nichž mohou mít jiné typy režimů přímé podpory cen lepší předpoklady k podpoře jejich využívání. Tímto omezením by neměla být dotčena případná výjimka pro malá zařízení a demonstrační projekty podle čl. 4 odst. 3 směrnice Evropského parlamentu a Rady (EU) 2018/2001 a měla by být zohledněna specifika společenství pro obnovitelné zdroje v souladu s čl. 22 odst. 7 uvedené směrnice.</w:t>
      </w:r>
    </w:p>
    <w:p w14:paraId="58DA8C06" w14:textId="2B49BFFC" w:rsidR="00976265" w:rsidRPr="002D7798" w:rsidRDefault="00451FE6" w:rsidP="00451FE6">
      <w:pPr>
        <w:pStyle w:val="ManualConsidrant"/>
        <w:rPr>
          <w:noProof/>
        </w:rPr>
      </w:pPr>
      <w:r w:rsidRPr="00451FE6">
        <w:t>(33)</w:t>
      </w:r>
      <w:r w:rsidRPr="00451FE6">
        <w:tab/>
      </w:r>
      <w:r w:rsidR="3D0DC5CE" w:rsidRPr="002D7798">
        <w:rPr>
          <w:noProof/>
        </w:rPr>
        <w:t>S ohledem na potřebu poskytnout výrobcům regulační jistotu by se povinnost členských států uplatňovat režimy přímé podpory cen pro výrobu elektřiny v podobě dvousměrných rozdílových smluv měla vztahovat pouze na nové investice do výroby elektřiny ze zdrojů uvedených v bodě odůvodnění uvedeném výše.</w:t>
      </w:r>
    </w:p>
    <w:p w14:paraId="533AACA7" w14:textId="37008DB9" w:rsidR="00976265" w:rsidRPr="002D7798" w:rsidRDefault="00451FE6" w:rsidP="00451FE6">
      <w:pPr>
        <w:pStyle w:val="ManualConsidrant"/>
        <w:rPr>
          <w:noProof/>
        </w:rPr>
      </w:pPr>
      <w:r w:rsidRPr="00451FE6">
        <w:t>(34)</w:t>
      </w:r>
      <w:r w:rsidRPr="00451FE6">
        <w:tab/>
      </w:r>
      <w:r w:rsidR="3D0DC5CE" w:rsidRPr="002D7798">
        <w:rPr>
          <w:noProof/>
        </w:rPr>
        <w:t>Díky stanovení horní hranice tržních příjmů by režimy přímé podpory cen v podobě dvousměrných rozdílových smluv měly být dalším zdrojem příjmů pro členské státy v obdobích vysokých cen energie. Aby se dále zmírnil dopad vysokých cen elektřiny na účty spotřebitelů za energii, měly by členské státy zajistit, že z příjmů výrobců, na něž se vztahují režimy přímé podpory cen ve formě dvousměrných rozdílových smluv, budou mít prospěch všichni koneční odběratelé elektřiny, včetně domácností, malých a středních podniků a průmyslových spotřebitelů, a to na základě jejich spotřeby. Přerozdělení příjmů by mělo být provedeno tak, aby bylo zajištěno, že spotřebitelé budou stále do určité míry vystaveni cenovému signálu a v době vysokých cen sníží svou spotřebu nebo ji přesunou do období nižších cen (což jsou obvykle období s vyšším podílem výroby energie z obnovitelných zdrojů). Členské státy by měly zajistit, aby přerozdělováním příjmů konečným spotřebitelům elektřiny nebyly dotčeny rovné podmínky a hospodářská soutěž mezi různými dodavateli.</w:t>
      </w:r>
    </w:p>
    <w:p w14:paraId="0CFE60C8" w14:textId="5DA250BF" w:rsidR="00976265" w:rsidRPr="002D7798" w:rsidRDefault="00451FE6" w:rsidP="00451FE6">
      <w:pPr>
        <w:pStyle w:val="ManualConsidrant"/>
        <w:rPr>
          <w:noProof/>
        </w:rPr>
      </w:pPr>
      <w:r w:rsidRPr="00451FE6">
        <w:t>(35)</w:t>
      </w:r>
      <w:r w:rsidRPr="00451FE6">
        <w:tab/>
      </w:r>
      <w:r w:rsidR="65903BA4" w:rsidRPr="002D7798">
        <w:rPr>
          <w:noProof/>
        </w:rPr>
        <w:t xml:space="preserve">Dále by členské státy měly zajistit, aby režimy přímé podpory cen, bez ohledu na jejich formu, nenarušovaly účinné, konkurenceschopné a likvidní fungování trhů s elektřinou a zachovaly pobídky, které motivují výrobce reagovat na tržní signály, zejména zastavit výrobu, pokud jsou ceny elektřiny nižší než jejich provozní náklady, a které motivují konečné zákazníky snižovat spotřebu, jsou-li ceny elektřiny vysoké. Členské státy by měly zajistit, aby režimy podpory nepředstavovaly překážku pro rozvoj obchodních smluv, jako jsou smlouvy o nákupu elektřiny. </w:t>
      </w:r>
    </w:p>
    <w:p w14:paraId="15D39188" w14:textId="314921CC" w:rsidR="00976265" w:rsidRPr="002D7798" w:rsidRDefault="00451FE6" w:rsidP="00451FE6">
      <w:pPr>
        <w:pStyle w:val="ManualConsidrant"/>
        <w:rPr>
          <w:noProof/>
        </w:rPr>
      </w:pPr>
      <w:r w:rsidRPr="00451FE6">
        <w:t>(36)</w:t>
      </w:r>
      <w:r w:rsidRPr="00451FE6">
        <w:tab/>
      </w:r>
      <w:r w:rsidR="65903BA4" w:rsidRPr="002D7798">
        <w:rPr>
          <w:noProof/>
        </w:rPr>
        <w:t xml:space="preserve">Dvousměrné rozdílové smlouvy a smlouvy o nákupu elektřiny se tak vzájemně doplňují při prosazování transformace energetiky a přinášení výhod obnovitelné a nízkouhlíkové energie spotřebitelům. S výhradou požadavků stanovených v tomto nařízení by členské státy měly mít možnost rozhodnout, které nástroje použijí k dosažení svých cílů v oblasti dekarbonizace. Soukromí investoři prostřednictvím smluv o nákupu elektřiny přispívají k dalšímu zavádění obnovitelné a nízkouhlíkové energie a zároveň dlouhodobé fixaci nízkých a stabilních cen elektřiny. Stejně tak prostřednictvím dvousměrných rozdílových smluv dosahují stejného cíle veřejné subjekty jménem spotřebitelů. Oba nástroje jsou nezbytné k dosažení cílů Unie týkajících se dekarbonizace prostřednictvím zavádění obnovitelné a nízkouhlíkové energie a zároveň k dosažení přínosů nízkonákladové výroby elektřiny pro spotřebitele. </w:t>
      </w:r>
    </w:p>
    <w:p w14:paraId="628E75B2" w14:textId="1A14F6B4" w:rsidR="00976265" w:rsidRPr="002D7798" w:rsidRDefault="00451FE6" w:rsidP="00451FE6">
      <w:pPr>
        <w:pStyle w:val="ManualConsidrant"/>
        <w:rPr>
          <w:noProof/>
        </w:rPr>
      </w:pPr>
      <w:r w:rsidRPr="00451FE6">
        <w:t>(37)</w:t>
      </w:r>
      <w:r w:rsidRPr="00451FE6">
        <w:tab/>
      </w:r>
      <w:r w:rsidR="3D0DC5CE" w:rsidRPr="002D7798">
        <w:rPr>
          <w:noProof/>
        </w:rPr>
        <w:t xml:space="preserve">Urychlené zavádění obnovitelných zdrojů energie vyžaduje rostoucí dostupnost flexibilních řešení, aby byla zajištěna jejich integrace do sítě a aby se elektrizační soustava a rozvodná síť mohly přizpůsobit proměnlivosti výroby a spotřeby elektřiny v různých časových horizontech. Regulační orgány by měly pravidelně posuzovat potřebu flexibility v elektrizační soustavě na základě vstupů od provozovatelů přenosových a distribučních soustav. Posouzení potřeb flexibility elektrizační soustavy by mělo zohlednit všechny stávající a plánované investice (včetně stávajících výrobních zařízení, která dosud nejsou připojena k síti) do zdrojů flexibility, jako je flexibilní výroba elektřiny, propojovací vedení, odezva strany poptávky, ukládání energie nebo výroba obnovitelných paliv, s ohledem na potřebu dekarbonizovat energetický systém. Na tomto základě by členské státy měly vymezit vnitrostátní cíl v oblasti nefosilní flexibility, jako je odezva strany poptávky a skladování, což by se mělo rovněž odrazit v jejich integrovaných vnitrostátních plánech v oblasti energetiky a klimatu. </w:t>
      </w:r>
    </w:p>
    <w:p w14:paraId="0E4616F1" w14:textId="46071DF4" w:rsidR="00976265" w:rsidRPr="002D7798" w:rsidRDefault="00451FE6" w:rsidP="00451FE6">
      <w:pPr>
        <w:pStyle w:val="ManualConsidrant"/>
        <w:rPr>
          <w:noProof/>
        </w:rPr>
      </w:pPr>
      <w:r w:rsidRPr="00451FE6">
        <w:t>(38)</w:t>
      </w:r>
      <w:r w:rsidRPr="00451FE6">
        <w:tab/>
      </w:r>
      <w:r w:rsidR="3D0DC5CE" w:rsidRPr="002D7798">
        <w:rPr>
          <w:noProof/>
        </w:rPr>
        <w:t xml:space="preserve">K dosažení vnitrostátního cíle v oblasti nefosilní flexibility, jako je potřeba investic do odezvy strany poptávky a do skladování, mohou členské státy navrhnout nebo přepracovat kapacitní mechanismy tak, aby vytvořily ekologický a flexibilní kapacitní mechanismus. Členské státy, které uplatňují kapacitní mechanismus v souladu se stávajícími pravidly, by měly podporovat využívání nefosilní flexibility, jako je odezva strany poptávky a skladování, zavedením dodatečných kritérií nebo prvků v návrhu mechanismu. </w:t>
      </w:r>
    </w:p>
    <w:p w14:paraId="31EAD6E5" w14:textId="53B446A6" w:rsidR="00976265" w:rsidRPr="002D7798" w:rsidRDefault="00451FE6" w:rsidP="00451FE6">
      <w:pPr>
        <w:pStyle w:val="ManualConsidrant"/>
        <w:rPr>
          <w:noProof/>
        </w:rPr>
      </w:pPr>
      <w:r w:rsidRPr="00451FE6">
        <w:t>(39)</w:t>
      </w:r>
      <w:r w:rsidRPr="00451FE6">
        <w:tab/>
      </w:r>
      <w:r w:rsidR="3D0DC5CE" w:rsidRPr="002D7798">
        <w:rPr>
          <w:noProof/>
        </w:rPr>
        <w:t>Na podporu cílů v oblasti ochrany životního prostředí by mezní hodnota emisí CO2 stanovená v čl. 22 odst. 4 nařízení Evropského parlamentu a Rady (EU) 2019/943 měla být považována za horní hranici. Členské státy by proto mohly stanovit technické výkonnostní normy a mezní hodnoty emisí CO2, které omezují účast v kapacitních mechanismech na flexibilní technologie využívající obnovitelné zdroje v plném souladu s Pokyny pro státní podporu v oblasti klimatu, životního prostředí a energetiky</w:t>
      </w:r>
      <w:r w:rsidR="3D0DC5CE" w:rsidRPr="002D7798">
        <w:rPr>
          <w:rStyle w:val="FootnoteReference"/>
          <w:noProof/>
        </w:rPr>
        <w:footnoteReference w:id="28"/>
      </w:r>
      <w:r w:rsidR="3D0DC5CE" w:rsidRPr="002D7798">
        <w:rPr>
          <w:noProof/>
        </w:rPr>
        <w:t>, které povzbuzují členské státy k zavádění ekologických kritérií do kapacitních mechanismů.</w:t>
      </w:r>
    </w:p>
    <w:p w14:paraId="1942E3A3" w14:textId="4AAC6BE6" w:rsidR="00976265" w:rsidRPr="002D7798" w:rsidRDefault="00451FE6" w:rsidP="00451FE6">
      <w:pPr>
        <w:pStyle w:val="ManualConsidrant"/>
        <w:rPr>
          <w:noProof/>
        </w:rPr>
      </w:pPr>
      <w:r w:rsidRPr="00451FE6">
        <w:t>(40)</w:t>
      </w:r>
      <w:r w:rsidRPr="00451FE6">
        <w:tab/>
      </w:r>
      <w:r w:rsidR="3D0DC5CE" w:rsidRPr="002D7798">
        <w:rPr>
          <w:noProof/>
        </w:rPr>
        <w:t>Kromě toho, pokud členské státy neuplatňují kapacitní mechanismus nebo pokud dodatečná kritéria nebo prvky v návrhu jejich kapacitního mechanismu nepostačují k dosažení vnitrostátního cíle v oblasti potřeb investic do odezvy strany poptávky a do skladování, mohly by uplatňovat režimy podpory flexibility spočívající v platbách za dostupnou kapacitu nefosilní flexibility, jako je odezva strany poptávky a skladování.</w:t>
      </w:r>
    </w:p>
    <w:p w14:paraId="3623B2E4" w14:textId="5580D65C" w:rsidR="00976265" w:rsidRPr="002D7798" w:rsidRDefault="00451FE6" w:rsidP="00451FE6">
      <w:pPr>
        <w:pStyle w:val="ManualConsidrant"/>
        <w:rPr>
          <w:noProof/>
        </w:rPr>
      </w:pPr>
      <w:r w:rsidRPr="00451FE6">
        <w:t>(41)</w:t>
      </w:r>
      <w:r w:rsidRPr="00451FE6">
        <w:tab/>
      </w:r>
      <w:r w:rsidR="65903BA4" w:rsidRPr="002D7798">
        <w:rPr>
          <w:noProof/>
        </w:rPr>
        <w:t>Připojení nových výrobních a odběrných zařízení, zejména zařízení na výrobu energie z obnovitelných zdrojů, je často komplikováno průtahy v postupech pro připojení k síti. Jedním z důvodů těchto průtahů je nedostatek dostupné kapacity sítě v místě zvoleném investorem, což znamená, že bezpečné připojení zařízení k soustavě vyžaduje rozšíření nebo posílení sítě. Nový požadavek, aby provozovatelé elektrizačních soustav, a to jak na úrovni přenosu, tak na úrovni distribuce, zveřejňovali a aktualizovali informace o kapacitě sítě dostupné v oblastech jejich působení, by přispěl k rozhodování investorů na základě informací o dostupnosti kapacity sítě v rámci soustavy, a tím i k požadovanému urychlení zavádění energie z obnovitelných zdrojů.</w:t>
      </w:r>
    </w:p>
    <w:p w14:paraId="1292A408" w14:textId="78D9C5A9" w:rsidR="21D997FA" w:rsidRPr="002D7798" w:rsidRDefault="00451FE6" w:rsidP="00451FE6">
      <w:pPr>
        <w:pStyle w:val="ManualConsidrant"/>
        <w:rPr>
          <w:rFonts w:eastAsia="Times New Roman"/>
          <w:noProof/>
        </w:rPr>
      </w:pPr>
      <w:r w:rsidRPr="00451FE6">
        <w:t>(42)</w:t>
      </w:r>
      <w:r w:rsidRPr="00451FE6">
        <w:tab/>
      </w:r>
      <w:r w:rsidR="2621A923" w:rsidRPr="002D7798">
        <w:rPr>
          <w:noProof/>
        </w:rPr>
        <w:t>Kromě toho by provozovatelé přenosových a distribučních soustav měli uživatelům soustavy poskytovat jasné a transparentní informace o stavu a vyřizování jejich žádostí o připojení, aby se vyřešil problém dlouhého čekání na odpovědi týkající se žádostí o připojení. Provozovatelé přenosových a distribučních soustav by měli usilovat o to, aby tyto informace poskytli do tří měsíců od podání žádosti.</w:t>
      </w:r>
    </w:p>
    <w:p w14:paraId="1EAB7A29" w14:textId="39E09C52" w:rsidR="00976265" w:rsidRPr="002D7798" w:rsidRDefault="00451FE6" w:rsidP="00451FE6">
      <w:pPr>
        <w:pStyle w:val="ManualConsidrant"/>
        <w:rPr>
          <w:noProof/>
        </w:rPr>
      </w:pPr>
      <w:r w:rsidRPr="00451FE6">
        <w:t>(43)</w:t>
      </w:r>
      <w:r w:rsidRPr="00451FE6">
        <w:tab/>
      </w:r>
      <w:r w:rsidR="65127193" w:rsidRPr="002D7798">
        <w:rPr>
          <w:noProof/>
        </w:rPr>
        <w:t>Během energetické krize byli spotřebitelé vystaveni extrémně kolísavým velkoobchodním cenám energie a měli omezené možnosti zapojit se do trhu s energií. V důsledku toho se mnoho domácností potýká s obtížemi při placení svých účtů. Nejvíce zasaženi jsou zranitelní spotřebitelé a osoby trpící energetickou chudobou</w:t>
      </w:r>
      <w:r w:rsidR="65127193" w:rsidRPr="002D7798">
        <w:rPr>
          <w:rStyle w:val="FootnoteReference"/>
          <w:noProof/>
        </w:rPr>
        <w:footnoteReference w:id="29"/>
      </w:r>
      <w:r w:rsidR="65127193" w:rsidRPr="002D7798">
        <w:rPr>
          <w:noProof/>
        </w:rPr>
        <w:t>, nicméně problémům se nevyhnuly ani domácnosti se středními příjmy. Je proto důležité aktualizovat práva a ochranu spotřebitelů, aby spotřebitelé mohli těžit z transformace energetiky, oddělit své účty za elektřinu od krátkodobých pohybů cen na trzích s energií a vyvážit rizika mezi dodavateli a spotřebiteli.</w:t>
      </w:r>
    </w:p>
    <w:p w14:paraId="337A33AA" w14:textId="52B9B84F" w:rsidR="00976265" w:rsidRPr="002D7798" w:rsidRDefault="00451FE6" w:rsidP="00451FE6">
      <w:pPr>
        <w:pStyle w:val="ManualConsidrant"/>
        <w:rPr>
          <w:noProof/>
        </w:rPr>
      </w:pPr>
      <w:r w:rsidRPr="00451FE6">
        <w:t>(44)</w:t>
      </w:r>
      <w:r w:rsidRPr="00451FE6">
        <w:tab/>
      </w:r>
      <w:r w:rsidR="3D0DC5CE" w:rsidRPr="002D7798">
        <w:rPr>
          <w:noProof/>
        </w:rPr>
        <w:t>Spotřebitelé by měli mít přístup k široké škále nabídek, aby si mohli vybrat smlouvu podle svých potřeb. Dodavatelé však svou nabídku zúžili, smlouvy s fixní cenou jsou vzácné a výběr nabídek je omezený. Spotřebitelé by měli mít vždy možnost zvolit si dostupnou pevnou cenu a smlouvu na dobu určitou a dodavatelé by neměli jednostranně měnit obchodní podmínky dříve, než skončí platnost takové smlouvy.</w:t>
      </w:r>
    </w:p>
    <w:p w14:paraId="721CC025" w14:textId="30128D0B" w:rsidR="00976265" w:rsidRPr="002D7798" w:rsidRDefault="00451FE6" w:rsidP="00451FE6">
      <w:pPr>
        <w:pStyle w:val="ManualConsidrant"/>
        <w:rPr>
          <w:noProof/>
        </w:rPr>
      </w:pPr>
      <w:r w:rsidRPr="00451FE6">
        <w:t>(45)</w:t>
      </w:r>
      <w:r w:rsidRPr="00451FE6">
        <w:tab/>
      </w:r>
      <w:r w:rsidR="3D0DC5CE" w:rsidRPr="002D7798">
        <w:rPr>
          <w:noProof/>
        </w:rPr>
        <w:t xml:space="preserve">Pokud dodavatelé své portfolio elektřiny dostatečně nezajistí, změny velkoobchodních cen elektřiny je mohou finančně ohrozit a v důsledku selhání dodavatelů jsou náklady přenášeny na spotřebitele a další uživatele sítě. Proto by mělo být zajištěno, aby byli dodavatelé nabízející smlouvy s pevně stanovenou cenou náležitě zajištěni. Vhodná zajišťovací strategie by měla zohledňovat přístup dodavatelů k jejich vlastní výrobě elektřiny a její kapitalizaci, jakož i jejich vystavení změnám velkoobchodních tržních cen.  </w:t>
      </w:r>
    </w:p>
    <w:p w14:paraId="54043EE8" w14:textId="699263FB" w:rsidR="00976265" w:rsidRPr="002D7798" w:rsidRDefault="00451FE6" w:rsidP="00451FE6">
      <w:pPr>
        <w:pStyle w:val="ManualConsidrant"/>
        <w:rPr>
          <w:noProof/>
        </w:rPr>
      </w:pPr>
      <w:r w:rsidRPr="00451FE6">
        <w:t>(46)</w:t>
      </w:r>
      <w:r w:rsidRPr="00451FE6">
        <w:tab/>
      </w:r>
      <w:r w:rsidR="65903BA4" w:rsidRPr="002D7798">
        <w:rPr>
          <w:noProof/>
        </w:rPr>
        <w:t xml:space="preserve">Spotřebitelé by měli mít možnost zvolit si dodavatele, který jim nabízí cenu a službu, které nejlépe vyhovují jejich potřebám. Pokrok v technologii měření a dílčího měření v kombinaci s informačními a komunikačními technologiemi znamená, že je v současnosti technicky možné mít více dodavatelů pro jedny prostory.  Pokud si to zákazníci přejí, mělo by jim být umožněno těchto možností využít k výběru samostatného dodavatele, zejména pokud jde o elektřinu k napájení spotřebičů, jako jsou tepelná čerpadla nebo elektrická vozidla, které mají obzvláště vysokou spotřebu nebo které jsou rovněž schopny automaticky změnit spotřebu elektřiny v reakci na cenové signály. Kromě toho díky vyhrazeným měřicím zařízením s rychlou odezvou, která jsou připojena ke spotřebičům s flexibilním a kontrolovatelným zatížením nebo jsou v nich zabudována, se koneční zákazníci mohou zapojit do dalších pobídkových režimů odezvy strany poptávky, které poskytují flexibilní služby na trhu s elektřinou a provozovatelům přenosových a distribučních soustav. Celkově by tato opatření měla přispět k většímu využívání odezvy strany poptávky a k posílení postavení spotřebitelů, což jim umožní získat větší kontrolu nad jejich spotřebou elektřiny a nad účty a zároveň poskytnout elektrizační soustavě dodatečnou flexibilitu, aby bylo možné čelit výkyvům poptávky a nabídky.  </w:t>
      </w:r>
    </w:p>
    <w:p w14:paraId="41EE20AC" w14:textId="5A6180AD" w:rsidR="00976265" w:rsidRPr="002D7798" w:rsidRDefault="00451FE6" w:rsidP="00451FE6">
      <w:pPr>
        <w:pStyle w:val="ManualConsidrant"/>
        <w:rPr>
          <w:noProof/>
        </w:rPr>
      </w:pPr>
      <w:r w:rsidRPr="00451FE6">
        <w:t>(47)</w:t>
      </w:r>
      <w:r w:rsidRPr="00451FE6">
        <w:tab/>
      </w:r>
      <w:r w:rsidR="3D0DC5CE" w:rsidRPr="002D7798">
        <w:rPr>
          <w:noProof/>
        </w:rPr>
        <w:t>Vzhledem k rostoucí složitosti nabídek energie a různým marketingovým praktikám mají spotřebitelé často potíže plně pochopit, k čemu se podpisem smlouvy zavazují. Zejména není jasné, jak se stanovuje cena, podmínky pro obnovení smlouvy, důsledky vypovězení smlouvy nebo důvody pro změnu podmínek ze strany dodavatele. Proto by dodavatelé nebo účastníci trhu zapojení do agregace měli spotřebitelům poskytovat klíčové informace o nabídkách energie ve stručné a snadno srozumitelné podobě před podpisem smlouvy.</w:t>
      </w:r>
    </w:p>
    <w:p w14:paraId="676850E1" w14:textId="620AFB8F" w:rsidR="00976265" w:rsidRPr="002D7798" w:rsidRDefault="00451FE6" w:rsidP="00451FE6">
      <w:pPr>
        <w:pStyle w:val="ManualConsidrant"/>
        <w:rPr>
          <w:noProof/>
        </w:rPr>
      </w:pPr>
      <w:r w:rsidRPr="00451FE6">
        <w:t>(48)</w:t>
      </w:r>
      <w:r w:rsidRPr="00451FE6">
        <w:tab/>
      </w:r>
      <w:r w:rsidR="3D0DC5CE" w:rsidRPr="002D7798">
        <w:rPr>
          <w:noProof/>
        </w:rPr>
        <w:t xml:space="preserve">Aby byla zajištěna kontinuita dodávek pro spotřebitele v případě selhání poskytovatele, měly by být členské státy povinny určit dodavatele poslední instance, kteří mohou být považováni za poskytovatele univerzální služby. Tímto dodavatelem může být obchodní jednotka vertikálně integrovaného podniku, který též plní distribuční funkci, pokud splňuje požadavky ohledně oddělení stanovené v článku 35 směrnice Evropského parlamentu a Rady (EU) 2019/944. Z toho však nevyplývá povinnost členských států poskytovat dodávky za určitou pevně stanovenou minimální cenu.  </w:t>
      </w:r>
    </w:p>
    <w:p w14:paraId="27F3C53F" w14:textId="73320C33" w:rsidR="00976265" w:rsidRPr="002D7798" w:rsidRDefault="00451FE6" w:rsidP="00451FE6">
      <w:pPr>
        <w:pStyle w:val="ManualConsidrant"/>
        <w:rPr>
          <w:noProof/>
        </w:rPr>
      </w:pPr>
      <w:r w:rsidRPr="00451FE6">
        <w:t>(49)</w:t>
      </w:r>
      <w:r w:rsidRPr="00451FE6">
        <w:tab/>
      </w:r>
      <w:r w:rsidR="3D0DC5CE" w:rsidRPr="002D7798">
        <w:rPr>
          <w:noProof/>
        </w:rPr>
        <w:t xml:space="preserve">Sdílení energie může vytvořit odolnost vůči dopadům vysokých a kolísavých velkoobchodních tržních cen na účty spotřebitelů za energii, posílí postavení širší skupiny spotřebitelů, kteří jinak nemají možnost stát se aktivním zákazníkem kvůli finančním nebo prostorovým omezením, jako jsou spotřebitelé trpící energetickou chudobou a zranitelní spotřebitelé, a povede k většímu využívání energie z obnovitelných zdrojů díky mobilizaci dodatečných soukromých kapitálových investic a diverzifikaci způsobů odměňování. Díky začlenění vhodných cenových signálů a zařízení pro ukládání energie může sdílení elektřiny pomoci položit základy pro využití potenciálu flexibility menších spotřebitelů. </w:t>
      </w:r>
    </w:p>
    <w:p w14:paraId="4DE2BEE1" w14:textId="615E2158" w:rsidR="00976265" w:rsidRPr="002D7798" w:rsidRDefault="00451FE6" w:rsidP="00451FE6">
      <w:pPr>
        <w:pStyle w:val="ManualConsidrant"/>
        <w:rPr>
          <w:noProof/>
        </w:rPr>
      </w:pPr>
      <w:r w:rsidRPr="00451FE6">
        <w:t>(50)</w:t>
      </w:r>
      <w:r w:rsidRPr="00451FE6">
        <w:tab/>
      </w:r>
      <w:r w:rsidR="3D0DC5CE" w:rsidRPr="002D7798">
        <w:rPr>
          <w:noProof/>
        </w:rPr>
        <w:t>Aktivní zákazníci, kteří vlastní nebo si pronajímají zařízení pro ukládání nebo výrobu energie, by měli mít právo sdílet přebytečnou produkci a umožnit ostatním spotřebitelům, aby se stali aktivními, nebo sdílet energii z obnovitelných zdrojů vyrobenou nebo uskladněnou ve společně pronajatých nebo vlastněných zařízeních, a to buď přímo, nebo prostřednictvím nezávislého zprostředkovatele. Ujednání o sdílení energie je založeno buď na soukromé smluvní dohodě mezi aktivními zákazníky, nebo je organizováno prostřednictvím právnické osoby. Právnická osoba, která splňuje kritéria společenství pro obnovitelné zdroje ve smyslu směrnice Evropského parlamentu a Rady (EU) 2018/2001 nebo občanského energetického společenství ve smyslu směrnice Evropského parlamentu a Rady (EU) 2019/944, může se svými členy sdílet elektřinu vyrobenou ze zařízení, která plně vlastní. Rámec pro ochranu a posílení postavení pro sdílení energie by měl věnovat zvláštní pozornost osobám trpícím energetickou chudobou a zranitelným spotřebitelům.</w:t>
      </w:r>
    </w:p>
    <w:p w14:paraId="0EC19209" w14:textId="7E8C246B" w:rsidR="00976265" w:rsidRPr="002D7798" w:rsidRDefault="00451FE6" w:rsidP="00451FE6">
      <w:pPr>
        <w:pStyle w:val="ManualConsidrant"/>
        <w:rPr>
          <w:noProof/>
        </w:rPr>
      </w:pPr>
      <w:r w:rsidRPr="00451FE6">
        <w:t>(51)</w:t>
      </w:r>
      <w:r w:rsidRPr="00451FE6">
        <w:tab/>
      </w:r>
      <w:r w:rsidR="3D0DC5CE" w:rsidRPr="002D7798">
        <w:rPr>
          <w:noProof/>
        </w:rPr>
        <w:t>Sdílení energie uvádí do praxe kolektivní spotřebu elektřiny vyrobené z vlastních zdrojů nebo uložené elektřiny dodané do sítě několika společně jednajícími aktivními zákazníky. Členské státy by měly pro účely výpočtu energetické složky účtu za energii zavést odpovídající IT infrastrukturu, která umožní v určitém časovém rámci sladit spotřebu s vlastní výrobou nebo ukládáním energie z obnovitelných zdrojů. Výstup těchto zařízení by měl být rozdělen mezi agregované profily zatížení spotřebitele na základě statických, proměnlivých nebo dynamických metod výpočtu, které mohou být předem definovány nebo dohodnuty aktivními zákazníky.</w:t>
      </w:r>
    </w:p>
    <w:p w14:paraId="330C2402" w14:textId="455C3C8F" w:rsidR="00976265" w:rsidRPr="002D7798" w:rsidRDefault="00451FE6" w:rsidP="00451FE6">
      <w:pPr>
        <w:pStyle w:val="ManualConsidrant"/>
        <w:rPr>
          <w:noProof/>
        </w:rPr>
      </w:pPr>
      <w:r w:rsidRPr="00451FE6">
        <w:t>(52)</w:t>
      </w:r>
      <w:r w:rsidRPr="00451FE6">
        <w:tab/>
      </w:r>
      <w:r w:rsidR="3D0DC5CE" w:rsidRPr="002D7798">
        <w:rPr>
          <w:noProof/>
        </w:rPr>
        <w:t>Zranitelní zákazníci by měli být odpovídajícím způsobem chráněni před odpojením elektřiny a rovněž by se neměli dostat do situace, která by je nutila odpojit se. Úloha dodavatelů a všech příslušných vnitrostátních orgánů při určování vhodných krátkodobých i dlouhodobých opatření, která by měla být poskytnuta zranitelným zákazníkům za účelem řízení jejich spotřeby energie a nákladů, je i nadále zásadní, a to i prostřednictvím úzké spolupráce se systémy sociálního zabezpečení.</w:t>
      </w:r>
    </w:p>
    <w:p w14:paraId="73CE382A" w14:textId="6924D715" w:rsidR="00976265" w:rsidRPr="002D7798" w:rsidRDefault="00451FE6" w:rsidP="00451FE6">
      <w:pPr>
        <w:pStyle w:val="ManualConsidrant"/>
        <w:rPr>
          <w:noProof/>
        </w:rPr>
      </w:pPr>
      <w:r w:rsidRPr="00451FE6">
        <w:t>(53)</w:t>
      </w:r>
      <w:r w:rsidRPr="00451FE6">
        <w:tab/>
      </w:r>
      <w:r w:rsidR="41B86B76" w:rsidRPr="002D7798">
        <w:rPr>
          <w:noProof/>
        </w:rPr>
        <w:t xml:space="preserve">Veřejné zásahy do stanovování cen za dodávky elektřiny představují v zásadě opatření narušující trh. Takové zásahy proto mohou být prováděny pouze jako závazky veřejné služby a podléhají zvláštním podmínkám. Podle tohoto nařízení jsou regulované ceny přípustné pro domácnosti trpící energetickou chudobou a zranitelné domácnosti, a to i pod úrovní nákladů, a jako přechodné opatření pro domácnosti a mikropodniky. V době krize, kdy velkoobchodní a maloobchodní ceny elektřiny výrazně narůstají, což má negativní dopad na širší hospodářství, by členské státy měly mít možnost dočasně rozšířit uplatňování regulovaných cen i na malé a střední podniky. Členským státům by mělo být dočasně umožněno stanovit regulované ceny pod úrovní nákladů jak pro domácnosti, tak pro malé a střední podniky, pokud tím nedojde k narušení mezi dodavateli a dodavatelům bude poskytnuta náhrada nákladů na dodávky pod úrovní nákladů. Je však potřeba zajistit, aby tato regulace cen byla cílená a nevytvářela pobídky ke zvýšení spotřeby. Tato cenová regulace by proto měla být omezena na 80 % mediánu spotřeby domácností v případě domácností a na 70 % spotřeby v předchozím roce u malých a středních podniků. Komise by měla určit, kdy taková krize cen elektřiny nastane a kdy bude možné tato opatření přijmout. Komise by měla rovněž upřesnit platnost tohoto určení, během něhož se uplatňuje dočasné prodloužení regulovaných cen, které může trvat až jeden rok. V rozsahu, v jakém kterékoli z opatření uvedených v tomto nařízení představuje státní podporu, není ustanoveními týkajícími se těchto opatření dotčeno použití článků 107 a 108 Smlouvy o fungování EU. </w:t>
      </w:r>
    </w:p>
    <w:p w14:paraId="494DA27C" w14:textId="1878B0D7" w:rsidR="00976265" w:rsidRPr="002D7798" w:rsidRDefault="00451FE6" w:rsidP="00451FE6">
      <w:pPr>
        <w:pStyle w:val="ManualConsidrant"/>
        <w:rPr>
          <w:noProof/>
        </w:rPr>
      </w:pPr>
      <w:r w:rsidRPr="00451FE6">
        <w:t>(54)</w:t>
      </w:r>
      <w:r w:rsidRPr="00451FE6">
        <w:tab/>
      </w:r>
      <w:r w:rsidR="3D0DC5CE" w:rsidRPr="002D7798">
        <w:rPr>
          <w:noProof/>
        </w:rPr>
        <w:t xml:space="preserve">Opatřeními navrhovanými tímto nařízením není dotčeno ani uplatňování směrnice 2014/65/EU, nařízení (EU) 2016/1011 a nařízení (EU) 648/2012. </w:t>
      </w:r>
    </w:p>
    <w:p w14:paraId="425F595F" w14:textId="7EF502C8" w:rsidR="00976265" w:rsidRPr="002D7798" w:rsidRDefault="00451FE6" w:rsidP="00451FE6">
      <w:pPr>
        <w:pStyle w:val="ManualConsidrant"/>
        <w:rPr>
          <w:noProof/>
        </w:rPr>
      </w:pPr>
      <w:r w:rsidRPr="00451FE6">
        <w:t>(55)</w:t>
      </w:r>
      <w:r w:rsidRPr="00451FE6">
        <w:tab/>
      </w:r>
      <w:r w:rsidR="3D0DC5CE" w:rsidRPr="002D7798">
        <w:rPr>
          <w:noProof/>
        </w:rPr>
        <w:t>Nařízení Evropského parlamentu a Rady (EU) 2019/942, nařízení Evropského parlamentu a Rady (EU) 2019/943, směrnice Evropského parlamentu a Rady (EU) 2019/944 a směrnice Evropského parlamentu a Rady (EU) 2018/2001 by měly být odpovídajícím způsobem změněny.</w:t>
      </w:r>
    </w:p>
    <w:p w14:paraId="5EF461AF" w14:textId="3EA94626" w:rsidR="00976265" w:rsidRPr="002D7798" w:rsidRDefault="00451FE6" w:rsidP="00451FE6">
      <w:pPr>
        <w:pStyle w:val="ManualConsidrant"/>
        <w:rPr>
          <w:noProof/>
        </w:rPr>
      </w:pPr>
      <w:r w:rsidRPr="00451FE6">
        <w:t>(56)</w:t>
      </w:r>
      <w:r w:rsidRPr="00451FE6">
        <w:tab/>
      </w:r>
      <w:r w:rsidR="3D0DC5CE" w:rsidRPr="002D7798">
        <w:rPr>
          <w:noProof/>
        </w:rPr>
        <w:t>Jelikož cílů tohoto nařízení nemůže být dosaženo uspokojivě členskými státy, ale spíše může být lépe dosaženo na úrovni Unie, může Unie přijmout opatření v souladu se zásadou subsidiarity stanovenou v článku 5 Smlouvy o Evropské unii. V souladu se zásadou proporcionality stanovenou v uvedeném článku toto nařízení nepřekračuje rámec toho, co je nezbytné pro dosažení uvedených cílů,</w:t>
      </w:r>
    </w:p>
    <w:p w14:paraId="60545E0C" w14:textId="77777777" w:rsidR="00976265" w:rsidRPr="002D7798" w:rsidRDefault="0064263D">
      <w:pPr>
        <w:rPr>
          <w:rFonts w:eastAsia="Times New Roman"/>
          <w:noProof/>
        </w:rPr>
      </w:pPr>
      <w:r w:rsidRPr="002D7798">
        <w:rPr>
          <w:noProof/>
        </w:rPr>
        <w:br w:type="page"/>
      </w:r>
    </w:p>
    <w:p w14:paraId="1FA8ECA5" w14:textId="77777777" w:rsidR="00976265" w:rsidRPr="002D7798" w:rsidRDefault="0064263D">
      <w:pPr>
        <w:pStyle w:val="Formuledadoption"/>
        <w:rPr>
          <w:rFonts w:eastAsia="Times New Roman"/>
          <w:noProof/>
        </w:rPr>
      </w:pPr>
      <w:r w:rsidRPr="002D7798">
        <w:rPr>
          <w:noProof/>
        </w:rPr>
        <w:t>PŘIJALY TOTO NAŘÍZENÍ:</w:t>
      </w:r>
    </w:p>
    <w:p w14:paraId="2E8B3A34" w14:textId="77777777" w:rsidR="00976265" w:rsidRPr="002D7798" w:rsidRDefault="0064263D">
      <w:pPr>
        <w:pStyle w:val="Titrearticle"/>
        <w:spacing w:line="360" w:lineRule="auto"/>
        <w:rPr>
          <w:noProof/>
        </w:rPr>
      </w:pPr>
      <w:r w:rsidRPr="002D7798">
        <w:rPr>
          <w:noProof/>
        </w:rPr>
        <w:t>Článek 1</w:t>
      </w:r>
    </w:p>
    <w:p w14:paraId="2E44A293" w14:textId="77777777" w:rsidR="00976265" w:rsidRPr="002D7798" w:rsidRDefault="0064263D">
      <w:pPr>
        <w:spacing w:line="360" w:lineRule="auto"/>
        <w:rPr>
          <w:noProof/>
        </w:rPr>
      </w:pPr>
      <w:r w:rsidRPr="002D7798">
        <w:rPr>
          <w:noProof/>
        </w:rPr>
        <w:t>Změny nařízení Evropského parlamentu a Rady (EU) 2019/943 ze dne 5. června 2019 o vnitřním trhu s elektřinou.</w:t>
      </w:r>
    </w:p>
    <w:p w14:paraId="1A1DB866" w14:textId="77777777" w:rsidR="00976265" w:rsidRPr="002D7798" w:rsidRDefault="0064263D">
      <w:pPr>
        <w:spacing w:line="360" w:lineRule="auto"/>
        <w:rPr>
          <w:rFonts w:eastAsia="Times New Roman"/>
          <w:noProof/>
        </w:rPr>
      </w:pPr>
      <w:r w:rsidRPr="002D7798">
        <w:rPr>
          <w:noProof/>
        </w:rPr>
        <w:t xml:space="preserve">Nařízení (EU) 2019/943 se mění takto: </w:t>
      </w:r>
    </w:p>
    <w:p w14:paraId="0137D01D" w14:textId="77777777" w:rsidR="00976265" w:rsidRPr="002D7798" w:rsidRDefault="00976265">
      <w:pPr>
        <w:spacing w:after="160" w:line="360" w:lineRule="auto"/>
        <w:rPr>
          <w:rFonts w:eastAsia="Times New Roman"/>
          <w:noProof/>
        </w:rPr>
      </w:pPr>
    </w:p>
    <w:p w14:paraId="55379EB5" w14:textId="77777777" w:rsidR="00976265" w:rsidRPr="002D7798" w:rsidRDefault="0064263D">
      <w:pPr>
        <w:spacing w:after="160" w:line="360" w:lineRule="auto"/>
        <w:rPr>
          <w:rFonts w:eastAsia="Times New Roman"/>
          <w:noProof/>
        </w:rPr>
      </w:pPr>
      <w:r w:rsidRPr="002D7798">
        <w:rPr>
          <w:noProof/>
        </w:rPr>
        <w:t>1) článek 1 se mění takto:</w:t>
      </w:r>
    </w:p>
    <w:p w14:paraId="51D06C1B" w14:textId="77777777" w:rsidR="00976265" w:rsidRPr="002D7798" w:rsidRDefault="0064263D">
      <w:pPr>
        <w:spacing w:after="160" w:line="360" w:lineRule="auto"/>
        <w:ind w:firstLine="720"/>
        <w:rPr>
          <w:rFonts w:eastAsia="Times New Roman"/>
          <w:noProof/>
        </w:rPr>
      </w:pPr>
      <w:r w:rsidRPr="002D7798">
        <w:rPr>
          <w:noProof/>
        </w:rPr>
        <w:t>[a] písmeno b) se nahrazuje tímto:</w:t>
      </w:r>
    </w:p>
    <w:p w14:paraId="43D031C2" w14:textId="0D074DC3" w:rsidR="00976265" w:rsidRPr="002D7798" w:rsidRDefault="0064263D" w:rsidP="16436A17">
      <w:pPr>
        <w:spacing w:after="160" w:line="360" w:lineRule="auto"/>
        <w:rPr>
          <w:rFonts w:eastAsia="Times New Roman"/>
          <w:noProof/>
        </w:rPr>
      </w:pPr>
      <w:r w:rsidRPr="002D7798">
        <w:rPr>
          <w:noProof/>
        </w:rPr>
        <w:t>„b) stanovit základní zásady pro dobře fungující integrované trhy s elektřinou, které umožní nediskriminační přístup na trh všem poskytovatelům zdrojů a odběratelům elektřiny, umožní rozvoj dlouhodobých trhů s elektřinou, aby se poskytovatelé a odběratelé mohli zajistit nebo chránit před rizikem budoucí volatility cen elektřiny, posílí postavení spotřebitelů, zajistí konkurenceschopnost na globálním trhu, zvýší flexibilitu prostřednictvím odezvy strany poptávky, ukládání energie a dalších nefosilních flexibilních řešení, zajistí energetickou účinnost, usnadní agregaci distribuované poptávky a nabídky a umožní tržní a odvětvovou integraci, jakož i tržní úhradu za elektřinu z obnovitelných zdrojů;“;</w:t>
      </w:r>
    </w:p>
    <w:p w14:paraId="2511B32C" w14:textId="77777777" w:rsidR="00976265" w:rsidRPr="002D7798" w:rsidRDefault="0064263D">
      <w:pPr>
        <w:spacing w:after="160" w:line="360" w:lineRule="auto"/>
        <w:ind w:firstLine="720"/>
        <w:rPr>
          <w:rFonts w:eastAsia="Times New Roman"/>
          <w:noProof/>
        </w:rPr>
      </w:pPr>
      <w:r w:rsidRPr="002D7798">
        <w:rPr>
          <w:noProof/>
        </w:rPr>
        <w:t>[b] doplňuje se písmeno, které zní:</w:t>
      </w:r>
    </w:p>
    <w:p w14:paraId="331374B4" w14:textId="77777777" w:rsidR="00976265" w:rsidRPr="002D7798" w:rsidRDefault="0064263D" w:rsidP="16436A17">
      <w:pPr>
        <w:spacing w:after="160" w:line="360" w:lineRule="auto"/>
        <w:rPr>
          <w:rFonts w:eastAsia="Times New Roman"/>
          <w:noProof/>
        </w:rPr>
      </w:pPr>
      <w:r w:rsidRPr="002D7798">
        <w:rPr>
          <w:noProof/>
        </w:rPr>
        <w:t>„e)</w:t>
      </w:r>
      <w:r w:rsidRPr="002D7798">
        <w:rPr>
          <w:noProof/>
        </w:rPr>
        <w:tab/>
        <w:t>podporovat dlouhodobé investice do výroby energie z obnovitelných zdrojů a umožnit spotřebitelům, aby snížili závislost svých účtů za energii na kolísání krátkodobých tržních cen elektřiny, zejména cen fosilních paliv ve střednědobém až dlouhodobém horizontu.“;</w:t>
      </w:r>
    </w:p>
    <w:p w14:paraId="0C70EF71" w14:textId="77777777" w:rsidR="00976265" w:rsidRPr="002D7798" w:rsidRDefault="00976265">
      <w:pPr>
        <w:spacing w:line="360" w:lineRule="auto"/>
        <w:rPr>
          <w:rFonts w:eastAsia="Times New Roman"/>
          <w:noProof/>
        </w:rPr>
      </w:pPr>
    </w:p>
    <w:p w14:paraId="639E718E" w14:textId="77777777" w:rsidR="00976265" w:rsidRPr="002D7798" w:rsidRDefault="0064263D">
      <w:pPr>
        <w:spacing w:line="360" w:lineRule="auto"/>
        <w:rPr>
          <w:noProof/>
        </w:rPr>
      </w:pPr>
      <w:r w:rsidRPr="002D7798">
        <w:rPr>
          <w:noProof/>
        </w:rPr>
        <w:t>2) v článku 2 se doplňují nové body, které znějí:</w:t>
      </w:r>
    </w:p>
    <w:p w14:paraId="50773492" w14:textId="6C3EEB75" w:rsidR="00976265" w:rsidRPr="002D7798" w:rsidRDefault="0064263D" w:rsidP="16436A17">
      <w:pPr>
        <w:spacing w:after="160" w:line="360" w:lineRule="auto"/>
        <w:rPr>
          <w:rFonts w:eastAsia="Times New Roman"/>
          <w:noProof/>
        </w:rPr>
      </w:pPr>
      <w:r w:rsidRPr="002D7798">
        <w:rPr>
          <w:noProof/>
        </w:rPr>
        <w:t xml:space="preserve">„72) „špičkou“ hodina s nejvyšší spotřebou elektřiny v kombinaci s nízkou úrovní elektřiny vyrobené z obnovitelných zdrojů energie, s přihlédnutím k výměnám mezi zónami; </w:t>
      </w:r>
    </w:p>
    <w:p w14:paraId="082892AB" w14:textId="44DBDB7E" w:rsidR="00976265" w:rsidRPr="002D7798" w:rsidRDefault="0064263D" w:rsidP="16436A17">
      <w:pPr>
        <w:spacing w:after="160" w:line="360" w:lineRule="auto"/>
        <w:rPr>
          <w:rFonts w:eastAsia="Times New Roman"/>
          <w:noProof/>
        </w:rPr>
      </w:pPr>
      <w:r w:rsidRPr="002D7798">
        <w:rPr>
          <w:noProof/>
        </w:rPr>
        <w:t>73) „snížením spotřeby ve špičkách“ schopnost účastníků trhu snížit spotřebu elektřiny ve špičkách, které určí provozovatel přenosové soustavy;</w:t>
      </w:r>
    </w:p>
    <w:p w14:paraId="178F647E" w14:textId="41805182" w:rsidR="00976265" w:rsidRPr="002D7798" w:rsidRDefault="0064263D" w:rsidP="16436A17">
      <w:pPr>
        <w:spacing w:after="160" w:line="360" w:lineRule="auto"/>
        <w:rPr>
          <w:rFonts w:eastAsia="Times New Roman"/>
          <w:noProof/>
        </w:rPr>
      </w:pPr>
      <w:r w:rsidRPr="002D7798">
        <w:rPr>
          <w:noProof/>
        </w:rPr>
        <w:t>74) „produktem pro snížení spotřeby ve špičkách“ tržní produkt, jehož prostřednictvím mohou účastníci trhu zajistit provozovatelům přenosových soustav snížení v době špičky;</w:t>
      </w:r>
    </w:p>
    <w:p w14:paraId="730EFC5A" w14:textId="58161915" w:rsidR="00976265" w:rsidRPr="002D7798" w:rsidRDefault="0064263D" w:rsidP="16436A17">
      <w:pPr>
        <w:spacing w:after="160" w:line="360" w:lineRule="auto"/>
        <w:rPr>
          <w:rFonts w:eastAsia="Times New Roman"/>
          <w:noProof/>
          <w:highlight w:val="lightGray"/>
        </w:rPr>
      </w:pPr>
      <w:r w:rsidRPr="002D7798">
        <w:rPr>
          <w:noProof/>
        </w:rPr>
        <w:t>75) „virtuálním uzlem“ nefyzická oblast zahrnující více než jednu nabídkovou zónu, pro kterou je na základě metodiky stanovena cena indexu;</w:t>
      </w:r>
    </w:p>
    <w:p w14:paraId="20F40CF2" w14:textId="62CD2B65" w:rsidR="00976265" w:rsidRPr="002D7798" w:rsidRDefault="0064263D" w:rsidP="16436A17">
      <w:pPr>
        <w:spacing w:after="160" w:line="360" w:lineRule="auto"/>
        <w:rPr>
          <w:rFonts w:eastAsia="Times New Roman"/>
          <w:noProof/>
          <w:highlight w:val="green"/>
        </w:rPr>
      </w:pPr>
      <w:r w:rsidRPr="002D7798">
        <w:rPr>
          <w:noProof/>
        </w:rPr>
        <w:t>76) „dvousměrnou rozdílovou smlouvou“ smlouva podepsaná mezi provozovatelem výrobny elektřiny a protistranou, obvykle veřejným subjektem, která poskytuje jak záruku minimální odměny, tak omezení nadměrné odměny; smlouva je koncipována tak, aby motivovala výrobnu k účinnému provozu a účasti na trzích s elektřinou, a je v souladu se zásadami stanovenými v čl. 4 odst. 2 a čl. 4 odst. 3 prvním a třetím pododstavci směrnice (EU) 2018/2001;</w:t>
      </w:r>
    </w:p>
    <w:p w14:paraId="4DA16A51" w14:textId="7406A9B0" w:rsidR="00976265" w:rsidRPr="002D7798" w:rsidRDefault="0064263D" w:rsidP="16436A17">
      <w:pPr>
        <w:spacing w:after="160" w:line="360" w:lineRule="auto"/>
        <w:rPr>
          <w:rFonts w:eastAsia="Times New Roman"/>
          <w:noProof/>
        </w:rPr>
      </w:pPr>
      <w:r w:rsidRPr="002D7798">
        <w:rPr>
          <w:noProof/>
        </w:rPr>
        <w:t>77) „smlouvou o nákupu elektřiny“ smlouva, kterou se fyzická nebo právnická osoba zavazuje k nákupu elektřiny od jejího výrobce na tržním základě;</w:t>
      </w:r>
    </w:p>
    <w:p w14:paraId="44788D6D" w14:textId="3EA8C9A3" w:rsidR="00976265" w:rsidRPr="002D7798" w:rsidRDefault="0064263D" w:rsidP="16436A17">
      <w:pPr>
        <w:spacing w:after="160" w:line="360" w:lineRule="auto"/>
        <w:rPr>
          <w:rFonts w:eastAsia="Times New Roman"/>
          <w:noProof/>
        </w:rPr>
      </w:pPr>
      <w:r w:rsidRPr="002D7798">
        <w:rPr>
          <w:noProof/>
        </w:rPr>
        <w:t>78) „tržním příjmem“ realizovaný příjem, který výrobce elektřiny obdrží výměnou za prodej a dodávku elektřiny v Unii, bez ohledu na smluvní formu, v níž k takové výměně dochází, s vyloučením jakékoli podpory poskytované členskými státy;</w:t>
      </w:r>
    </w:p>
    <w:p w14:paraId="5FD66CEE" w14:textId="6C4C4010" w:rsidR="00976265" w:rsidRPr="002D7798" w:rsidRDefault="0064263D" w:rsidP="16436A17">
      <w:pPr>
        <w:autoSpaceDE w:val="0"/>
        <w:autoSpaceDN w:val="0"/>
        <w:spacing w:before="40" w:after="40" w:line="360" w:lineRule="auto"/>
        <w:rPr>
          <w:noProof/>
        </w:rPr>
      </w:pPr>
      <w:r w:rsidRPr="002D7798">
        <w:rPr>
          <w:noProof/>
        </w:rPr>
        <w:t>79) „vyhrazeným měřicím zařízením“ zařízení připojené ke spotřebiči nebo v něm zabudované, které prodává odezvu strany poptávky nebo služby flexibility na trhu s elektřinou nebo provozovatelům přenosových a distribučních soustav;</w:t>
      </w:r>
    </w:p>
    <w:p w14:paraId="401DDA9A" w14:textId="56F3472C" w:rsidR="00976265" w:rsidRPr="002D7798" w:rsidRDefault="0064263D" w:rsidP="16436A17">
      <w:pPr>
        <w:autoSpaceDE w:val="0"/>
        <w:autoSpaceDN w:val="0"/>
        <w:spacing w:before="40" w:after="40" w:line="360" w:lineRule="auto"/>
        <w:rPr>
          <w:noProof/>
        </w:rPr>
      </w:pPr>
      <w:r w:rsidRPr="002D7798">
        <w:rPr>
          <w:noProof/>
        </w:rPr>
        <w:t>80) „flexibilitou“ schopnost elektrizační soustavy přizpůsobit se proměnlivosti výroby a spotřeby a dostupnosti sítě</w:t>
      </w:r>
      <w:r w:rsidRPr="002D7798">
        <w:rPr>
          <w:noProof/>
          <w:shd w:val="clear" w:color="auto" w:fill="E6E6E6"/>
        </w:rPr>
        <w:t xml:space="preserve"> </w:t>
      </w:r>
      <w:r w:rsidRPr="002D7798">
        <w:rPr>
          <w:noProof/>
        </w:rPr>
        <w:t>v příslušných časových rámcích trhu.“;</w:t>
      </w:r>
    </w:p>
    <w:p w14:paraId="54580E40" w14:textId="77777777" w:rsidR="00976265" w:rsidRPr="002D7798" w:rsidRDefault="0064263D">
      <w:pPr>
        <w:rPr>
          <w:noProof/>
        </w:rPr>
      </w:pPr>
      <w:r w:rsidRPr="002D7798">
        <w:rPr>
          <w:noProof/>
        </w:rPr>
        <w:t xml:space="preserve"> </w:t>
      </w:r>
      <w:r w:rsidRPr="002D7798">
        <w:rPr>
          <w:noProof/>
        </w:rPr>
        <w:br/>
        <w:t>3) článek 7 se mění takto:</w:t>
      </w:r>
    </w:p>
    <w:p w14:paraId="512791F4" w14:textId="77777777" w:rsidR="00976265" w:rsidRPr="002D7798" w:rsidRDefault="0064263D">
      <w:pPr>
        <w:spacing w:after="160" w:line="360" w:lineRule="auto"/>
        <w:rPr>
          <w:rFonts w:eastAsia="Times New Roman"/>
          <w:noProof/>
          <w:szCs w:val="24"/>
        </w:rPr>
      </w:pPr>
      <w:r w:rsidRPr="002D7798">
        <w:rPr>
          <w:noProof/>
        </w:rPr>
        <w:t>[a] odstavec 1 se nahrazuje tímto:</w:t>
      </w:r>
    </w:p>
    <w:p w14:paraId="76171C46" w14:textId="77777777" w:rsidR="00976265" w:rsidRPr="002D7798" w:rsidRDefault="0064263D" w:rsidP="16436A17">
      <w:pPr>
        <w:spacing w:after="160" w:line="360" w:lineRule="auto"/>
        <w:rPr>
          <w:rFonts w:eastAsia="Times New Roman"/>
          <w:noProof/>
        </w:rPr>
      </w:pPr>
      <w:r w:rsidRPr="002D7798">
        <w:rPr>
          <w:noProof/>
        </w:rPr>
        <w:t>„1.</w:t>
      </w:r>
      <w:r w:rsidRPr="002D7798">
        <w:rPr>
          <w:noProof/>
        </w:rPr>
        <w:tab/>
        <w:t>Provozovatelé přenosových soustav nebo subjekty jimi určené a nominovaní organizátoři trhu s elektřinou společně organizují řízení integrovaných denních a vnitrodenních trhů v souladu s nařízením (EU) 2015/1222. Provozovatelé přenosových soustav a nominovaní organizátoři trhu s elektřinou spolupracují na úrovni Unie, nebo pokud je to vhodnější, na regionální úrovni s cílem maximalizovat účinnost a efektivitu denního a vnitrodenního obchodování s elektřinou v Unii. Povinností spolupracovat není dotčeno uplatňování práva Unie v oblasti hospodářské soutěže. Provozovatelé přenosových soustav a nominovaní organizátoři trhu s elektřinou podléhají ve svých funkcích souvisejících s obchodováním s elektřinou dohledu regulačních orgánů podle článku 59 směrnice (EU) 2019/944 a dohledu ACER podle článků 4 a 8 nařízení (EU) 2019/942.“;</w:t>
      </w:r>
    </w:p>
    <w:p w14:paraId="6FA49313" w14:textId="77777777" w:rsidR="00976265" w:rsidRPr="002D7798" w:rsidRDefault="0064263D">
      <w:pPr>
        <w:spacing w:after="160" w:line="360" w:lineRule="auto"/>
        <w:rPr>
          <w:rFonts w:eastAsia="Times New Roman"/>
          <w:noProof/>
        </w:rPr>
      </w:pPr>
      <w:r w:rsidRPr="002D7798">
        <w:rPr>
          <w:noProof/>
        </w:rPr>
        <w:t>[b] odstavec 2 se mění takto:</w:t>
      </w:r>
    </w:p>
    <w:p w14:paraId="17AB449A" w14:textId="77777777" w:rsidR="00976265" w:rsidRPr="002D7798" w:rsidRDefault="0064263D">
      <w:pPr>
        <w:spacing w:after="160" w:line="360" w:lineRule="auto"/>
        <w:rPr>
          <w:rFonts w:eastAsia="Times New Roman"/>
          <w:noProof/>
        </w:rPr>
      </w:pPr>
      <w:r w:rsidRPr="002D7798">
        <w:rPr>
          <w:noProof/>
        </w:rPr>
        <w:t>i) písmeno c) se nahrazuje tímto:</w:t>
      </w:r>
    </w:p>
    <w:p w14:paraId="207395CC" w14:textId="77777777" w:rsidR="00976265" w:rsidRPr="002D7798" w:rsidRDefault="0064263D">
      <w:pPr>
        <w:spacing w:after="160" w:line="360" w:lineRule="auto"/>
        <w:rPr>
          <w:rFonts w:eastAsia="Times New Roman"/>
          <w:noProof/>
        </w:rPr>
      </w:pPr>
      <w:r w:rsidRPr="002D7798">
        <w:rPr>
          <w:noProof/>
        </w:rPr>
        <w:t>„c) maximalizovat příležitosti pro všechny účastníky trhu účastnit se nediskriminačního obchodování mezi zónami a uvnitř zón co nejblíže reálnému času mezi všemi nabídkovými zónami a uvnitř těchto zón;“;</w:t>
      </w:r>
    </w:p>
    <w:p w14:paraId="0D468263" w14:textId="77777777" w:rsidR="00976265" w:rsidRPr="002D7798" w:rsidRDefault="0064263D">
      <w:pPr>
        <w:spacing w:after="160" w:line="360" w:lineRule="auto"/>
        <w:rPr>
          <w:rFonts w:eastAsia="Times New Roman"/>
          <w:noProof/>
        </w:rPr>
      </w:pPr>
      <w:r w:rsidRPr="002D7798">
        <w:rPr>
          <w:noProof/>
        </w:rPr>
        <w:t xml:space="preserve">ii) vkládá se nové písmeno ca), které zní: </w:t>
      </w:r>
    </w:p>
    <w:p w14:paraId="6504CA2F" w14:textId="77777777" w:rsidR="00976265" w:rsidRPr="002D7798" w:rsidRDefault="0064263D" w:rsidP="16436A17">
      <w:pPr>
        <w:spacing w:after="160" w:line="360" w:lineRule="auto"/>
        <w:rPr>
          <w:rFonts w:eastAsia="Times New Roman"/>
          <w:noProof/>
        </w:rPr>
      </w:pPr>
      <w:r w:rsidRPr="002D7798">
        <w:rPr>
          <w:noProof/>
        </w:rPr>
        <w:t>„ca) být organizovány tak, aby bylo zajištěno sdílení likvidity mezi všemi nominovanými organizátory trhu s elektřinou, a to jak pro obchod mezi zónami, tak uvnitř zón;“;</w:t>
      </w:r>
    </w:p>
    <w:p w14:paraId="03CD4C16" w14:textId="77777777" w:rsidR="00976265" w:rsidRPr="002D7798" w:rsidRDefault="00976265">
      <w:pPr>
        <w:spacing w:after="160" w:line="360" w:lineRule="auto"/>
        <w:rPr>
          <w:rFonts w:eastAsia="Times New Roman"/>
          <w:i/>
          <w:iCs/>
          <w:noProof/>
          <w:highlight w:val="yellow"/>
        </w:rPr>
      </w:pPr>
    </w:p>
    <w:p w14:paraId="75ECA7C1" w14:textId="77777777" w:rsidR="00976265" w:rsidRPr="002D7798" w:rsidRDefault="0064263D">
      <w:pPr>
        <w:spacing w:after="160" w:line="360" w:lineRule="auto"/>
        <w:rPr>
          <w:rFonts w:eastAsia="Times New Roman"/>
          <w:noProof/>
        </w:rPr>
      </w:pPr>
      <w:r w:rsidRPr="002D7798">
        <w:rPr>
          <w:noProof/>
        </w:rPr>
        <w:t>4) vkládají se nové články 7a a 7b, které znějí:</w:t>
      </w:r>
    </w:p>
    <w:p w14:paraId="12EC870F" w14:textId="77777777" w:rsidR="00976265" w:rsidRPr="002D7798" w:rsidRDefault="0064263D" w:rsidP="16436A17">
      <w:pPr>
        <w:spacing w:after="160" w:line="360" w:lineRule="auto"/>
        <w:ind w:left="720"/>
        <w:contextualSpacing/>
        <w:jc w:val="center"/>
        <w:rPr>
          <w:rFonts w:eastAsia="Times New Roman"/>
          <w:noProof/>
        </w:rPr>
      </w:pPr>
      <w:r w:rsidRPr="002D7798">
        <w:rPr>
          <w:noProof/>
        </w:rPr>
        <w:t>„Článek 7a</w:t>
      </w:r>
    </w:p>
    <w:p w14:paraId="17060C50" w14:textId="77777777" w:rsidR="00976265" w:rsidRPr="002D7798" w:rsidRDefault="0064263D" w:rsidP="16436A17">
      <w:pPr>
        <w:spacing w:after="160" w:line="360" w:lineRule="auto"/>
        <w:ind w:left="720"/>
        <w:contextualSpacing/>
        <w:jc w:val="center"/>
        <w:rPr>
          <w:rFonts w:eastAsia="Times New Roman"/>
          <w:noProof/>
        </w:rPr>
      </w:pPr>
      <w:r w:rsidRPr="002D7798">
        <w:rPr>
          <w:noProof/>
        </w:rPr>
        <w:t>Produkt pro snížení spotřeby ve špičkách</w:t>
      </w:r>
    </w:p>
    <w:p w14:paraId="5E1325F0" w14:textId="277B4240" w:rsidR="00976265" w:rsidRPr="002D7798" w:rsidRDefault="00451FE6" w:rsidP="00451FE6">
      <w:pPr>
        <w:pStyle w:val="ManualNumPar1"/>
        <w:rPr>
          <w:noProof/>
        </w:rPr>
      </w:pPr>
      <w:r w:rsidRPr="00451FE6">
        <w:t>1.</w:t>
      </w:r>
      <w:r w:rsidRPr="00451FE6">
        <w:tab/>
      </w:r>
      <w:r w:rsidR="65903BA4" w:rsidRPr="002D7798">
        <w:rPr>
          <w:noProof/>
        </w:rPr>
        <w:t>Aniž je dotčen čl. 40 odst. 5 a 6 směrnice o elektřině, mohou provozovatelé přenosových soustav pořizovat produkty pro snížení spotřeby ve špičkách za účelem dosažení snížení poptávky po elektřině během špiček.</w:t>
      </w:r>
      <w:r w:rsidR="65903BA4" w:rsidRPr="002D7798">
        <w:rPr>
          <w:noProof/>
          <w:u w:val="single"/>
        </w:rPr>
        <w:t xml:space="preserve"> </w:t>
      </w:r>
    </w:p>
    <w:p w14:paraId="1FA34FF7" w14:textId="462C2B05" w:rsidR="00976265" w:rsidRPr="002D7798" w:rsidRDefault="00451FE6" w:rsidP="00451FE6">
      <w:pPr>
        <w:pStyle w:val="ManualNumPar1"/>
        <w:rPr>
          <w:noProof/>
          <w:u w:val="single"/>
        </w:rPr>
      </w:pPr>
      <w:r w:rsidRPr="00451FE6">
        <w:t>2.</w:t>
      </w:r>
      <w:r w:rsidRPr="00451FE6">
        <w:tab/>
      </w:r>
      <w:r w:rsidR="65903BA4" w:rsidRPr="002D7798">
        <w:rPr>
          <w:noProof/>
        </w:rPr>
        <w:t>Provozovatelé přenosových soustav, kteří si chtějí obstarat produkt pro snížení spotřeby ve špičkách, předloží regulačnímu orgánu dotčeného členského státu návrh, v němž bude uvedeno dimenzování a podmínky obstarání produktu pro snížení spotřeby ve špičkách. Návrh provozovatele přenosové soustavy musí splňovat tyto požadavky:</w:t>
      </w:r>
    </w:p>
    <w:p w14:paraId="573F8029" w14:textId="6DA8519C" w:rsidR="00976265" w:rsidRPr="002D7798" w:rsidRDefault="00667462" w:rsidP="00667462">
      <w:pPr>
        <w:pStyle w:val="Point1"/>
        <w:rPr>
          <w:noProof/>
        </w:rPr>
      </w:pPr>
      <w:r>
        <w:rPr>
          <w:noProof/>
        </w:rPr>
        <w:t>a)</w:t>
      </w:r>
      <w:r>
        <w:rPr>
          <w:noProof/>
        </w:rPr>
        <w:tab/>
      </w:r>
      <w:r w:rsidR="65903BA4" w:rsidRPr="002D7798">
        <w:rPr>
          <w:noProof/>
        </w:rPr>
        <w:t>dimenzování produktu pro snížení spotřeby ve špičkách musí být založeno na analýze potřeby dodatečné služby k zajištění bezpečnosti dodávek energie. Analýza zohlední normu spolehlivosti nebo objektivní a transparentní kritéria stability sítě schválená regulačním orgánem. Dimenzování zohlední prognózu poptávky, prognózu elektřiny vyrobené z obnovitelných zdrojů energie a prognózu dalších zdrojů flexibility v soustavě. Dimenzování produktu pro snížení spotřeby ve špičkách musí být omezeno tak, aby se zajistilo, že očekávané přínosy produktu nepřesáhnou předpokládané náklady;</w:t>
      </w:r>
    </w:p>
    <w:p w14:paraId="3A247F09" w14:textId="7E37C2B5" w:rsidR="00976265" w:rsidRPr="002D7798" w:rsidRDefault="00667462" w:rsidP="00667462">
      <w:pPr>
        <w:pStyle w:val="Point1"/>
        <w:rPr>
          <w:noProof/>
        </w:rPr>
      </w:pPr>
      <w:r>
        <w:rPr>
          <w:noProof/>
        </w:rPr>
        <w:t>b)</w:t>
      </w:r>
      <w:r>
        <w:rPr>
          <w:noProof/>
        </w:rPr>
        <w:tab/>
      </w:r>
      <w:r w:rsidR="0064263D" w:rsidRPr="002D7798">
        <w:rPr>
          <w:noProof/>
        </w:rPr>
        <w:t>obstarání produktu pro snížení spotřeby ve špičkách musí být založeno na objektivních, transparentních a nediskriminačních kritériích a musí být omezeno na odezvu strany poptávky;</w:t>
      </w:r>
      <w:r w:rsidR="0064263D" w:rsidRPr="002D7798">
        <w:rPr>
          <w:noProof/>
          <w:u w:val="single"/>
        </w:rPr>
        <w:t xml:space="preserve"> </w:t>
      </w:r>
    </w:p>
    <w:p w14:paraId="252A4374" w14:textId="6BDEE423" w:rsidR="00976265" w:rsidRPr="002D7798" w:rsidRDefault="00667462" w:rsidP="00667462">
      <w:pPr>
        <w:pStyle w:val="Point1"/>
        <w:rPr>
          <w:noProof/>
        </w:rPr>
      </w:pPr>
      <w:r>
        <w:rPr>
          <w:noProof/>
        </w:rPr>
        <w:t>c)</w:t>
      </w:r>
      <w:r>
        <w:rPr>
          <w:noProof/>
        </w:rPr>
        <w:tab/>
      </w:r>
      <w:r w:rsidR="65903BA4" w:rsidRPr="002D7798">
        <w:rPr>
          <w:noProof/>
        </w:rPr>
        <w:t>obstarání produktu pro snížení spotřeby ve špičkách probíhá na základě soutěžního nabídkového řízení, přičemž pro výběr jsou rozhodující nejnižší náklady na splnění předem stanovených technických a environmentálních kritérií;</w:t>
      </w:r>
    </w:p>
    <w:p w14:paraId="616A820B" w14:textId="4905AE4D" w:rsidR="00976265" w:rsidRPr="002D7798" w:rsidRDefault="00667462" w:rsidP="00667462">
      <w:pPr>
        <w:pStyle w:val="Point1"/>
        <w:rPr>
          <w:noProof/>
        </w:rPr>
      </w:pPr>
      <w:r>
        <w:rPr>
          <w:noProof/>
        </w:rPr>
        <w:t>d)</w:t>
      </w:r>
      <w:r>
        <w:rPr>
          <w:noProof/>
        </w:rPr>
        <w:tab/>
      </w:r>
      <w:r w:rsidR="65903BA4" w:rsidRPr="002D7798">
        <w:rPr>
          <w:noProof/>
        </w:rPr>
        <w:t>smlouvy týkající se produktu pro snížení spotřeby ve špičkách nesmí být uzavřeny více než dva dny před jeho aktivací a délka smluvního období nepřesáhne jeden den;</w:t>
      </w:r>
      <w:r w:rsidR="65903BA4" w:rsidRPr="002D7798">
        <w:rPr>
          <w:noProof/>
          <w:u w:val="single"/>
        </w:rPr>
        <w:t xml:space="preserve"> </w:t>
      </w:r>
    </w:p>
    <w:p w14:paraId="4E0BD615" w14:textId="03C52A74" w:rsidR="00976265" w:rsidRPr="002D7798" w:rsidRDefault="00667462" w:rsidP="00667462">
      <w:pPr>
        <w:pStyle w:val="Point1"/>
        <w:rPr>
          <w:noProof/>
        </w:rPr>
      </w:pPr>
      <w:r>
        <w:rPr>
          <w:noProof/>
        </w:rPr>
        <w:t>e)</w:t>
      </w:r>
      <w:r>
        <w:rPr>
          <w:noProof/>
        </w:rPr>
        <w:tab/>
      </w:r>
      <w:r w:rsidR="0064263D" w:rsidRPr="002D7798">
        <w:rPr>
          <w:noProof/>
        </w:rPr>
        <w:t>aktivace produktu pro snížení spotřeby ve špičkách nesníží kapacitu mezi zónami;</w:t>
      </w:r>
    </w:p>
    <w:p w14:paraId="3720C7A9" w14:textId="77420C3A" w:rsidR="00976265" w:rsidRPr="002D7798" w:rsidRDefault="00667462" w:rsidP="00667462">
      <w:pPr>
        <w:pStyle w:val="Point1"/>
        <w:rPr>
          <w:noProof/>
        </w:rPr>
      </w:pPr>
      <w:r>
        <w:rPr>
          <w:noProof/>
        </w:rPr>
        <w:t>f)</w:t>
      </w:r>
      <w:r>
        <w:rPr>
          <w:noProof/>
        </w:rPr>
        <w:tab/>
      </w:r>
      <w:r w:rsidR="0064263D" w:rsidRPr="002D7798">
        <w:rPr>
          <w:noProof/>
        </w:rPr>
        <w:t>k aktivaci produktu pro snížení spotřeby ve špičkách dojde po uzavření denního trhu a před otevřením trhu pro zajišťování výkonové rovnováhy;</w:t>
      </w:r>
    </w:p>
    <w:p w14:paraId="7F9864AC" w14:textId="6CE766D0" w:rsidR="00976265" w:rsidRPr="002D7798" w:rsidRDefault="00667462" w:rsidP="00667462">
      <w:pPr>
        <w:pStyle w:val="Point1"/>
        <w:rPr>
          <w:noProof/>
        </w:rPr>
      </w:pPr>
      <w:r>
        <w:rPr>
          <w:noProof/>
        </w:rPr>
        <w:t>g)</w:t>
      </w:r>
      <w:r>
        <w:rPr>
          <w:noProof/>
        </w:rPr>
        <w:tab/>
      </w:r>
      <w:r w:rsidR="0064263D" w:rsidRPr="002D7798">
        <w:rPr>
          <w:noProof/>
        </w:rPr>
        <w:t>produkt pro snížení spotřeby ve špičkách neznamená zahájení výroby za bodem měření.</w:t>
      </w:r>
    </w:p>
    <w:p w14:paraId="145B293A" w14:textId="7C258354" w:rsidR="00976265" w:rsidRPr="002D7798" w:rsidRDefault="00451FE6" w:rsidP="00451FE6">
      <w:pPr>
        <w:pStyle w:val="ManualNumPar1"/>
        <w:rPr>
          <w:noProof/>
        </w:rPr>
      </w:pPr>
      <w:r w:rsidRPr="00451FE6">
        <w:t>3.</w:t>
      </w:r>
      <w:r w:rsidRPr="00451FE6">
        <w:tab/>
      </w:r>
      <w:r w:rsidR="65903BA4" w:rsidRPr="002D7798">
        <w:rPr>
          <w:noProof/>
        </w:rPr>
        <w:t>Skutečné snížení spotřeby vyplývající z aktivace produktu pro snížení spotřeby ve špičkách se měří ve srovnání s výchozím scénářem, který odráží očekávanou spotřebu elektrické energie bez aktivace produktu pro snížení spotřeby ve špičkách. Provozovatelé přenosových soustav vypracují po konzultaci s účastníky trhu metodiku výchozího scénáře a předloží ji regulačnímu orgánu.</w:t>
      </w:r>
    </w:p>
    <w:p w14:paraId="08494A99" w14:textId="6C75BECC" w:rsidR="00976265" w:rsidRPr="002D7798" w:rsidRDefault="00451FE6" w:rsidP="00451FE6">
      <w:pPr>
        <w:pStyle w:val="ManualNumPar1"/>
        <w:rPr>
          <w:noProof/>
        </w:rPr>
      </w:pPr>
      <w:r w:rsidRPr="00451FE6">
        <w:t>4.</w:t>
      </w:r>
      <w:r w:rsidRPr="00451FE6">
        <w:tab/>
      </w:r>
      <w:r w:rsidR="65903BA4" w:rsidRPr="002D7798">
        <w:rPr>
          <w:noProof/>
        </w:rPr>
        <w:t>Regulační orgány schválí návrh provozovatelů přenosových soustav, kteří se snaží získat produkt pro snížení spotřeby ve špičkách, a metodiku výchozího scénáře předloženou v souladu s odstavci 2 a 3, nebo požádají provozovatele přenosových soustav, aby návrh změnili, pokud nesplňuje požadavky stanovené v těchto odstavcích.</w:t>
      </w:r>
    </w:p>
    <w:p w14:paraId="7EBF8FB8" w14:textId="77777777" w:rsidR="00976265" w:rsidRPr="002D7798" w:rsidRDefault="00976265" w:rsidP="16436A17">
      <w:pPr>
        <w:rPr>
          <w:noProof/>
        </w:rPr>
      </w:pPr>
    </w:p>
    <w:p w14:paraId="15F97245" w14:textId="77777777" w:rsidR="00976265" w:rsidRPr="002D7798" w:rsidRDefault="0064263D" w:rsidP="16436A17">
      <w:pPr>
        <w:spacing w:after="160" w:line="257" w:lineRule="auto"/>
        <w:ind w:left="360" w:hanging="360"/>
        <w:jc w:val="center"/>
        <w:rPr>
          <w:rFonts w:eastAsia="Times New Roman"/>
          <w:noProof/>
        </w:rPr>
      </w:pPr>
      <w:r w:rsidRPr="002D7798">
        <w:rPr>
          <w:noProof/>
        </w:rPr>
        <w:t>Článek 7b</w:t>
      </w:r>
    </w:p>
    <w:p w14:paraId="1DA16E40" w14:textId="77777777" w:rsidR="00976265" w:rsidRPr="002D7798" w:rsidRDefault="0064263D" w:rsidP="16436A17">
      <w:pPr>
        <w:ind w:left="720"/>
        <w:jc w:val="center"/>
        <w:rPr>
          <w:noProof/>
          <w:u w:val="single"/>
        </w:rPr>
      </w:pPr>
      <w:r w:rsidRPr="002D7798">
        <w:rPr>
          <w:noProof/>
        </w:rPr>
        <w:t>Vyhrazené měřicí zařízení</w:t>
      </w:r>
    </w:p>
    <w:p w14:paraId="550F5508" w14:textId="783D8DCC" w:rsidR="00976265" w:rsidRPr="002D7798" w:rsidRDefault="00451FE6" w:rsidP="00451FE6">
      <w:pPr>
        <w:pStyle w:val="ManualNumPar1"/>
        <w:rPr>
          <w:noProof/>
        </w:rPr>
      </w:pPr>
      <w:r w:rsidRPr="00451FE6">
        <w:t>1.</w:t>
      </w:r>
      <w:r w:rsidRPr="00451FE6">
        <w:tab/>
      </w:r>
      <w:r w:rsidR="0064263D" w:rsidRPr="002D7798">
        <w:rPr>
          <w:noProof/>
        </w:rPr>
        <w:t>Členské státy umožní provozovatelům přenosových soustav a provozovatelům distribučních soustav používat údaje z vyhrazených měřicích zařízení pro pozorovatelnost a zúčtování odezvy strany poptávky a služeb flexibility, a to i ze systémů pro uchovávání energie.</w:t>
      </w:r>
    </w:p>
    <w:p w14:paraId="483DEE32" w14:textId="30AD024A" w:rsidR="00976265" w:rsidRPr="002D7798" w:rsidRDefault="00451FE6" w:rsidP="00451FE6">
      <w:pPr>
        <w:pStyle w:val="ManualNumPar1"/>
        <w:rPr>
          <w:noProof/>
        </w:rPr>
      </w:pPr>
      <w:r w:rsidRPr="00451FE6">
        <w:t>2.</w:t>
      </w:r>
      <w:r w:rsidRPr="00451FE6">
        <w:tab/>
      </w:r>
      <w:r w:rsidR="0064263D" w:rsidRPr="002D7798">
        <w:rPr>
          <w:noProof/>
        </w:rPr>
        <w:t>Členské státy stanoví požadavky na postup ověřování údajů z vyhrazeného měřicího zařízení za účelem ověření a zajištění kvality příslušných údajů.“;</w:t>
      </w:r>
    </w:p>
    <w:p w14:paraId="0AE7C949" w14:textId="77777777" w:rsidR="00976265" w:rsidRPr="002D7798" w:rsidRDefault="00976265">
      <w:pPr>
        <w:spacing w:after="160" w:line="360" w:lineRule="auto"/>
        <w:rPr>
          <w:noProof/>
        </w:rPr>
      </w:pPr>
    </w:p>
    <w:p w14:paraId="7921B62E" w14:textId="58E0C3ED" w:rsidR="00976265" w:rsidRPr="002D7798" w:rsidRDefault="0064263D">
      <w:pPr>
        <w:spacing w:after="160" w:line="360" w:lineRule="auto"/>
        <w:contextualSpacing/>
        <w:rPr>
          <w:rFonts w:eastAsia="Times New Roman"/>
          <w:noProof/>
        </w:rPr>
      </w:pPr>
      <w:r w:rsidRPr="002D7798">
        <w:rPr>
          <w:noProof/>
        </w:rPr>
        <w:t>5) článek 8 se mění takto:</w:t>
      </w:r>
    </w:p>
    <w:p w14:paraId="1D56F98D" w14:textId="77777777" w:rsidR="16C1F0C0" w:rsidRPr="002D7798" w:rsidRDefault="16C1F0C0" w:rsidP="16436A17">
      <w:pPr>
        <w:spacing w:after="160" w:line="360" w:lineRule="auto"/>
        <w:contextualSpacing/>
        <w:rPr>
          <w:rFonts w:eastAsia="Times New Roman"/>
          <w:noProof/>
        </w:rPr>
      </w:pPr>
      <w:r w:rsidRPr="002D7798">
        <w:rPr>
          <w:noProof/>
        </w:rPr>
        <w:t>a) odstavec 1 se nahrazuje tímto:</w:t>
      </w:r>
    </w:p>
    <w:p w14:paraId="2CB04CFF" w14:textId="77777777" w:rsidR="00976265" w:rsidRPr="002D7798" w:rsidRDefault="0064263D" w:rsidP="16436A17">
      <w:pPr>
        <w:spacing w:line="360" w:lineRule="auto"/>
        <w:rPr>
          <w:rFonts w:eastAsia="Times New Roman"/>
          <w:b/>
          <w:bCs/>
          <w:i/>
          <w:iCs/>
          <w:noProof/>
          <w:u w:val="single"/>
        </w:rPr>
      </w:pPr>
      <w:r w:rsidRPr="002D7798">
        <w:rPr>
          <w:noProof/>
        </w:rPr>
        <w:t>„Nominovaní organizátoři trhu s elektřinou umožňují účastníkům trhu obchodovat s energií co nejblíže reálnému času a alespoň do uzávěrky přidělování vnitrodenní kapacity mezi zónami. Do 1. ledna 2028 bude uzávěrka přidělování vnitrodenní kapacity mezi zónami nejdříve 30 minut před reálným časem.“;</w:t>
      </w:r>
    </w:p>
    <w:p w14:paraId="0286A403" w14:textId="77777777" w:rsidR="00976265" w:rsidRPr="002D7798" w:rsidRDefault="0064263D">
      <w:pPr>
        <w:spacing w:after="160" w:line="360" w:lineRule="auto"/>
        <w:contextualSpacing/>
        <w:rPr>
          <w:noProof/>
        </w:rPr>
      </w:pPr>
      <w:r w:rsidRPr="002D7798">
        <w:rPr>
          <w:noProof/>
        </w:rPr>
        <w:t>b) odstavec 3 se nahrazuje tímto:</w:t>
      </w:r>
    </w:p>
    <w:p w14:paraId="024EC49C" w14:textId="4788C525" w:rsidR="00976265" w:rsidRPr="002D7798" w:rsidRDefault="0064263D">
      <w:pPr>
        <w:spacing w:line="360" w:lineRule="auto"/>
        <w:rPr>
          <w:noProof/>
        </w:rPr>
      </w:pPr>
      <w:r w:rsidRPr="002D7798">
        <w:rPr>
          <w:noProof/>
        </w:rPr>
        <w:t>„Nominovaní organizátoři trhu s elektřinou poskytují produkty pro obchodování na denních a vnitrodenních trzích, jejichž velikost je dostatečně malá, přičemž minimální velikost nabídky činí 100 kW nebo méně, aby byla umožněna efektivní účast odezvy strany poptávky, ukládání energie a energie z obnovitelných zdrojů v malém rozsahu, včetně přímé účasti zákazníků.“;</w:t>
      </w:r>
    </w:p>
    <w:p w14:paraId="22D94D06" w14:textId="77777777" w:rsidR="00976265" w:rsidRPr="002D7798" w:rsidRDefault="00976265">
      <w:pPr>
        <w:spacing w:line="360" w:lineRule="auto"/>
        <w:rPr>
          <w:rFonts w:eastAsia="Times New Roman"/>
          <w:i/>
          <w:iCs/>
          <w:noProof/>
          <w:highlight w:val="yellow"/>
        </w:rPr>
      </w:pPr>
    </w:p>
    <w:p w14:paraId="056C9A13" w14:textId="64FFE725" w:rsidR="00976265" w:rsidRPr="002D7798" w:rsidRDefault="0064263D">
      <w:pPr>
        <w:spacing w:after="160" w:line="360" w:lineRule="auto"/>
        <w:rPr>
          <w:rFonts w:eastAsia="Times New Roman"/>
          <w:noProof/>
        </w:rPr>
      </w:pPr>
      <w:r w:rsidRPr="002D7798">
        <w:rPr>
          <w:noProof/>
        </w:rPr>
        <w:t>[6] článek 9 se nahrazuje tímto:</w:t>
      </w:r>
    </w:p>
    <w:p w14:paraId="325F6DE5" w14:textId="77777777" w:rsidR="00976265" w:rsidRPr="002D7798" w:rsidRDefault="00976265">
      <w:pPr>
        <w:spacing w:after="160" w:line="360" w:lineRule="auto"/>
        <w:contextualSpacing/>
        <w:rPr>
          <w:rFonts w:eastAsia="Times New Roman"/>
          <w:b/>
          <w:bCs/>
          <w:noProof/>
          <w:u w:val="single"/>
        </w:rPr>
      </w:pPr>
    </w:p>
    <w:p w14:paraId="1207BD5D" w14:textId="77777777" w:rsidR="00976265" w:rsidRPr="002D7798" w:rsidRDefault="0064263D" w:rsidP="16436A17">
      <w:pPr>
        <w:ind w:left="720"/>
        <w:jc w:val="center"/>
        <w:rPr>
          <w:noProof/>
        </w:rPr>
      </w:pPr>
      <w:r w:rsidRPr="002D7798">
        <w:rPr>
          <w:noProof/>
        </w:rPr>
        <w:t>„Článek 9</w:t>
      </w:r>
    </w:p>
    <w:p w14:paraId="4DF86416" w14:textId="77777777" w:rsidR="00976265" w:rsidRPr="002D7798" w:rsidRDefault="0064263D" w:rsidP="16436A17">
      <w:pPr>
        <w:ind w:left="720"/>
        <w:jc w:val="center"/>
        <w:rPr>
          <w:noProof/>
        </w:rPr>
      </w:pPr>
      <w:r w:rsidRPr="002D7798">
        <w:rPr>
          <w:noProof/>
        </w:rPr>
        <w:t>Dlouhodobé trhy</w:t>
      </w:r>
    </w:p>
    <w:p w14:paraId="4D248EE3" w14:textId="3EE34A7A" w:rsidR="00976265" w:rsidRPr="002D7798" w:rsidRDefault="00451FE6" w:rsidP="00451FE6">
      <w:pPr>
        <w:pStyle w:val="ManualNumPar1"/>
        <w:rPr>
          <w:noProof/>
        </w:rPr>
      </w:pPr>
      <w:r w:rsidRPr="00451FE6">
        <w:t>1.</w:t>
      </w:r>
      <w:r w:rsidRPr="00451FE6">
        <w:tab/>
      </w:r>
      <w:r w:rsidR="0064263D" w:rsidRPr="002D7798">
        <w:rPr>
          <w:noProof/>
        </w:rPr>
        <w:t>Do 1. prosince 2024 předloží síť ENTSO pro elektřinu agentuře ACER po konzultaci s orgánem ESMA návrh na zřízení regionálních virtuálních uzlů pro dlouhodobý trh. Tento návrh musí:</w:t>
      </w:r>
      <w:r w:rsidR="0064263D" w:rsidRPr="002D7798">
        <w:rPr>
          <w:noProof/>
          <w:u w:val="single"/>
        </w:rPr>
        <w:t xml:space="preserve"> </w:t>
      </w:r>
    </w:p>
    <w:p w14:paraId="0E8A6DB7" w14:textId="537844C9" w:rsidR="00976265" w:rsidRPr="002D7798" w:rsidRDefault="00667462" w:rsidP="00667462">
      <w:pPr>
        <w:pStyle w:val="Point1"/>
        <w:rPr>
          <w:noProof/>
        </w:rPr>
      </w:pPr>
      <w:r>
        <w:rPr>
          <w:noProof/>
        </w:rPr>
        <w:t>a)</w:t>
      </w:r>
      <w:r>
        <w:rPr>
          <w:noProof/>
        </w:rPr>
        <w:tab/>
      </w:r>
      <w:r w:rsidR="0064263D" w:rsidRPr="002D7798">
        <w:rPr>
          <w:noProof/>
        </w:rPr>
        <w:t>vymezovat zeměpisnou působnost virtuálních uzlů pro dlouhodobý trh, včetně nabídkových zón, které tato centra tvoří, za účelem maximalizace cenové korelace mezi referenčními cenami a cenami nabídkových zón tvořících virtuální centra;</w:t>
      </w:r>
    </w:p>
    <w:p w14:paraId="6F9FB163" w14:textId="0D6AE3A5" w:rsidR="00976265" w:rsidRPr="002D7798" w:rsidRDefault="00667462" w:rsidP="00667462">
      <w:pPr>
        <w:pStyle w:val="Point1"/>
        <w:rPr>
          <w:noProof/>
        </w:rPr>
      </w:pPr>
      <w:r>
        <w:rPr>
          <w:noProof/>
        </w:rPr>
        <w:t>b)</w:t>
      </w:r>
      <w:r>
        <w:rPr>
          <w:noProof/>
        </w:rPr>
        <w:tab/>
      </w:r>
      <w:r w:rsidR="0064263D" w:rsidRPr="002D7798">
        <w:rPr>
          <w:noProof/>
        </w:rPr>
        <w:t>zahrnovat metodiku pro výpočet referenčních cen virtuálních uzlů pro dlouhodobý trh za účelem maximalizace korelace mezi referenční cenou a cenami nabídkových zón tvořících virtuální uzel; tato metodika se použije na všechny virtuální uzly a bude založena na předem stanovených objektivních kritériích;</w:t>
      </w:r>
      <w:r w:rsidR="0064263D" w:rsidRPr="002D7798">
        <w:rPr>
          <w:noProof/>
          <w:u w:val="single"/>
        </w:rPr>
        <w:t xml:space="preserve"> </w:t>
      </w:r>
    </w:p>
    <w:p w14:paraId="5C650DBC" w14:textId="52F3C053" w:rsidR="00976265" w:rsidRPr="002D7798" w:rsidRDefault="00667462" w:rsidP="00667462">
      <w:pPr>
        <w:pStyle w:val="Point1"/>
        <w:rPr>
          <w:noProof/>
        </w:rPr>
      </w:pPr>
      <w:r>
        <w:rPr>
          <w:noProof/>
        </w:rPr>
        <w:t>c)</w:t>
      </w:r>
      <w:r>
        <w:rPr>
          <w:noProof/>
        </w:rPr>
        <w:tab/>
      </w:r>
      <w:r w:rsidR="0064263D" w:rsidRPr="002D7798">
        <w:rPr>
          <w:noProof/>
        </w:rPr>
        <w:t>zahrnovat definici dlouhodobých finančních přenosových práv z nabídkových zón do virtuálních uzlů pro dlouhodobý trh;</w:t>
      </w:r>
    </w:p>
    <w:p w14:paraId="2BCCDF5B" w14:textId="4C4BD708" w:rsidR="00976265" w:rsidRPr="002D7798" w:rsidRDefault="00667462" w:rsidP="00667462">
      <w:pPr>
        <w:pStyle w:val="Point1"/>
        <w:rPr>
          <w:noProof/>
        </w:rPr>
      </w:pPr>
      <w:r>
        <w:rPr>
          <w:noProof/>
        </w:rPr>
        <w:t>d)</w:t>
      </w:r>
      <w:r>
        <w:rPr>
          <w:noProof/>
        </w:rPr>
        <w:tab/>
      </w:r>
      <w:r w:rsidR="0064263D" w:rsidRPr="002D7798">
        <w:rPr>
          <w:noProof/>
        </w:rPr>
        <w:t>maximalizovat obchodní příležitosti pro zajišťovací produkty</w:t>
      </w:r>
      <w:r w:rsidR="0064263D" w:rsidRPr="002D7798">
        <w:rPr>
          <w:noProof/>
          <w:shd w:val="clear" w:color="auto" w:fill="E6E6E6"/>
        </w:rPr>
        <w:t xml:space="preserve"> </w:t>
      </w:r>
      <w:r w:rsidR="0064263D" w:rsidRPr="002D7798">
        <w:rPr>
          <w:noProof/>
        </w:rPr>
        <w:t>odkazující na virtuální uzly pro dlouhodobý trh, jakož i pro dlouhodobá přenosová práva z nabídkových zón do virtuálních uzlů.</w:t>
      </w:r>
    </w:p>
    <w:p w14:paraId="6DA17BC6" w14:textId="77777777" w:rsidR="00976265" w:rsidRPr="002D7798" w:rsidRDefault="00976265" w:rsidP="16436A17">
      <w:pPr>
        <w:spacing w:after="160" w:line="360" w:lineRule="auto"/>
        <w:ind w:left="720"/>
        <w:rPr>
          <w:rFonts w:eastAsia="Times New Roman"/>
          <w:noProof/>
        </w:rPr>
      </w:pPr>
    </w:p>
    <w:p w14:paraId="67165356" w14:textId="4D7C9169" w:rsidR="00976265" w:rsidRPr="002D7798" w:rsidRDefault="00451FE6" w:rsidP="00451FE6">
      <w:pPr>
        <w:pStyle w:val="ManualNumPar1"/>
        <w:rPr>
          <w:noProof/>
        </w:rPr>
      </w:pPr>
      <w:r w:rsidRPr="00451FE6">
        <w:t>2.</w:t>
      </w:r>
      <w:r w:rsidRPr="00451FE6">
        <w:tab/>
      </w:r>
      <w:r w:rsidR="65903BA4" w:rsidRPr="002D7798">
        <w:rPr>
          <w:noProof/>
        </w:rPr>
        <w:t>Agentura ACER návrh na zřízení regionálních virtuálních uzlů pro dlouhodobý trh do šesti měsíců od obdržení vyhodnotí a buď jej schválí, nebo pozmění. Pokud navrhne změny návrhu, konzultuje je před jejich přijetím se sítí ENTSO pro elektřinu. Přijatý návrh se zveřejňuje na internetových stránkách agentury ACER.</w:t>
      </w:r>
    </w:p>
    <w:p w14:paraId="5E88068C" w14:textId="18F36BD5" w:rsidR="00976265" w:rsidRPr="002D7798" w:rsidRDefault="00451FE6" w:rsidP="00451FE6">
      <w:pPr>
        <w:pStyle w:val="ManualNumPar1"/>
        <w:rPr>
          <w:noProof/>
        </w:rPr>
      </w:pPr>
      <w:r w:rsidRPr="00451FE6">
        <w:t>3.</w:t>
      </w:r>
      <w:r w:rsidRPr="00451FE6">
        <w:tab/>
      </w:r>
      <w:r w:rsidR="0064263D" w:rsidRPr="002D7798">
        <w:rPr>
          <w:noProof/>
        </w:rPr>
        <w:t>Jednotná platforma pro přidělování zřízená v souladu s nařízením (EU) 2016/1719 má právní formu uvedenou v příloze II směrnice Evropského parlamentu a Rady (EU) 2017/1132.</w:t>
      </w:r>
    </w:p>
    <w:p w14:paraId="23700FD0" w14:textId="32AC5987" w:rsidR="00976265" w:rsidRPr="002D7798" w:rsidRDefault="00451FE6" w:rsidP="00451FE6">
      <w:pPr>
        <w:pStyle w:val="ManualNumPar1"/>
        <w:rPr>
          <w:noProof/>
        </w:rPr>
      </w:pPr>
      <w:r w:rsidRPr="00451FE6">
        <w:t>4.</w:t>
      </w:r>
      <w:r w:rsidRPr="00451FE6">
        <w:tab/>
      </w:r>
      <w:r w:rsidR="0064263D" w:rsidRPr="002D7798">
        <w:rPr>
          <w:noProof/>
        </w:rPr>
        <w:t>Jednotná platforma pro přidělování musí:</w:t>
      </w:r>
    </w:p>
    <w:p w14:paraId="1D1B6812" w14:textId="6FEC7562" w:rsidR="00976265" w:rsidRPr="002D7798" w:rsidRDefault="00667462" w:rsidP="00667462">
      <w:pPr>
        <w:pStyle w:val="Point1"/>
        <w:rPr>
          <w:noProof/>
          <w:u w:val="single"/>
        </w:rPr>
      </w:pPr>
      <w:r>
        <w:rPr>
          <w:noProof/>
        </w:rPr>
        <w:t>a)</w:t>
      </w:r>
      <w:r>
        <w:rPr>
          <w:noProof/>
        </w:rPr>
        <w:tab/>
      </w:r>
      <w:r w:rsidR="65903BA4" w:rsidRPr="002D7798">
        <w:rPr>
          <w:noProof/>
        </w:rPr>
        <w:t>nabízet obchodování s dlouhodobými přenosovými právy mezi jednotlivými nabídkovými zónami a virtuálním uzlem; pokud nabídková zóna není součástí virtuálního uzlu, může virtuálnímu uzlu nebo jiným nabídkovým zónám, které jsou součástí téhož regionu pro výpočet kapacity, vydat dlouhodobá finanční přenosová práva;</w:t>
      </w:r>
    </w:p>
    <w:p w14:paraId="3F743549" w14:textId="77C9C6AB" w:rsidR="00976265" w:rsidRPr="002D7798" w:rsidRDefault="00667462" w:rsidP="00667462">
      <w:pPr>
        <w:pStyle w:val="Point1"/>
        <w:rPr>
          <w:noProof/>
        </w:rPr>
      </w:pPr>
      <w:r>
        <w:rPr>
          <w:noProof/>
        </w:rPr>
        <w:t>b)</w:t>
      </w:r>
      <w:r>
        <w:rPr>
          <w:noProof/>
        </w:rPr>
        <w:tab/>
      </w:r>
      <w:r w:rsidR="0064263D" w:rsidRPr="002D7798">
        <w:rPr>
          <w:noProof/>
        </w:rPr>
        <w:t>přidělovat dlouhodobou kapacitu mezi zónami pravidelně, transparentním, tržním a nediskriminačním způsobem; četnost přidělování dlouhodobé kapacity mezi zónami musí podporovat účinné fungování dlouhodobého trhu;</w:t>
      </w:r>
    </w:p>
    <w:p w14:paraId="682CF494" w14:textId="1C850AB5" w:rsidR="00976265" w:rsidRPr="002D7798" w:rsidRDefault="00667462" w:rsidP="00667462">
      <w:pPr>
        <w:pStyle w:val="Point1"/>
        <w:rPr>
          <w:rFonts w:eastAsia="Times New Roman"/>
          <w:noProof/>
        </w:rPr>
      </w:pPr>
      <w:r>
        <w:rPr>
          <w:noProof/>
        </w:rPr>
        <w:t>c)</w:t>
      </w:r>
      <w:r>
        <w:rPr>
          <w:noProof/>
        </w:rPr>
        <w:tab/>
      </w:r>
      <w:r w:rsidR="0064263D" w:rsidRPr="002D7798">
        <w:rPr>
          <w:noProof/>
        </w:rPr>
        <w:t>nabízet obchodování s finančními přenosovými právy, která jejich držitelům umožní odstranit expozici vůči kladným a záporným cenovým rozpětím s častými splatnostmi alespoň na tři roku dopředu.</w:t>
      </w:r>
    </w:p>
    <w:p w14:paraId="1FAFC169" w14:textId="7E844086" w:rsidR="00976265" w:rsidRPr="002D7798" w:rsidRDefault="00451FE6" w:rsidP="00451FE6">
      <w:pPr>
        <w:pStyle w:val="ManualNumPar1"/>
        <w:rPr>
          <w:noProof/>
        </w:rPr>
      </w:pPr>
      <w:r w:rsidRPr="00451FE6">
        <w:t>5.</w:t>
      </w:r>
      <w:r w:rsidRPr="00451FE6">
        <w:tab/>
      </w:r>
      <w:r w:rsidR="65903BA4" w:rsidRPr="002D7798">
        <w:rPr>
          <w:noProof/>
        </w:rPr>
        <w:t>Pokud se regulační orgán domnívá, že účastníci trhu nemají k dispozici dostatečné možnosti zajištění, a po konzultaci s příslušnými orgány finančního trhu v případě, že se dlouhodobé trhy týkají finančních nástrojů definovaných v čl. 4 odst. 1 bodě 15, může požadovat, aby energetické burzy nebo provozovatelé přenosových soustav zavedli dodatečná opatření, jako jsou činnosti tvorby trhu, ke zlepšení likvidity dlouhodobého trhu. S výhradou dodržení práva Unie v oblasti hospodářské soutěže a směrnice (EU) 2014/65 a nařízení (EU) 648/2012 a 600/2014 mohou organizátoři trhu vyvíjet progresivní termínované zajišťovací produkty, včetně dlouhodobých zajišťovacích produktů, aby se účastníci trhu, včetně vlastníků výroben elektřiny využívajících obnovitelné zdroje energie, mohli vhodně zajistit proti finančním rizikům vyplývajícím z výkyvů cen. Členské státy nevyžadují, aby se tyto činnosti v oblasti dlouhodobého zajištění omezovaly na obchody uzavírané uvnitř jednoho členského státu nebo nabídkové zóny.“;</w:t>
      </w:r>
    </w:p>
    <w:p w14:paraId="272CD8A2" w14:textId="7BA5BED1" w:rsidR="00976265" w:rsidRPr="002D7798" w:rsidRDefault="00976265">
      <w:pPr>
        <w:spacing w:after="160" w:line="360" w:lineRule="auto"/>
        <w:rPr>
          <w:rFonts w:eastAsia="Times New Roman"/>
          <w:i/>
          <w:iCs/>
          <w:noProof/>
          <w:highlight w:val="red"/>
        </w:rPr>
      </w:pPr>
    </w:p>
    <w:p w14:paraId="7E7F959D" w14:textId="77777777" w:rsidR="00976265" w:rsidRPr="002D7798" w:rsidRDefault="52153823">
      <w:pPr>
        <w:spacing w:after="160" w:line="360" w:lineRule="auto"/>
        <w:rPr>
          <w:rFonts w:eastAsia="Times New Roman"/>
          <w:noProof/>
        </w:rPr>
      </w:pPr>
      <w:r w:rsidRPr="002D7798">
        <w:rPr>
          <w:noProof/>
        </w:rPr>
        <w:t>7) článek 18 se mění takto:</w:t>
      </w:r>
    </w:p>
    <w:p w14:paraId="7F9BB545" w14:textId="77777777" w:rsidR="00976265" w:rsidRPr="002D7798" w:rsidRDefault="0064263D">
      <w:pPr>
        <w:spacing w:after="160" w:line="360" w:lineRule="auto"/>
        <w:ind w:left="720"/>
        <w:rPr>
          <w:rFonts w:eastAsia="Times New Roman"/>
          <w:noProof/>
        </w:rPr>
      </w:pPr>
      <w:r w:rsidRPr="002D7798">
        <w:rPr>
          <w:noProof/>
        </w:rPr>
        <w:t>[a] odstavec 2 se nahrazuje tímto:</w:t>
      </w:r>
    </w:p>
    <w:p w14:paraId="13862768" w14:textId="43F06E07" w:rsidR="00976265" w:rsidRPr="002D7798" w:rsidRDefault="0064263D" w:rsidP="5579B2EF">
      <w:pPr>
        <w:spacing w:after="160" w:line="360" w:lineRule="auto"/>
        <w:rPr>
          <w:rFonts w:eastAsia="Times New Roman"/>
          <w:b/>
          <w:bCs/>
          <w:i/>
          <w:iCs/>
          <w:noProof/>
        </w:rPr>
      </w:pPr>
      <w:r w:rsidRPr="002D7798">
        <w:rPr>
          <w:noProof/>
        </w:rPr>
        <w:t>„2.</w:t>
      </w:r>
      <w:r w:rsidRPr="002D7798">
        <w:rPr>
          <w:noProof/>
        </w:rPr>
        <w:tab/>
        <w:t xml:space="preserve">Metodiky pro stanovení tarifů musí odrážet stálé náklady provozovatelů přenosových soustav a provozovatelů distribučních soustav a zohledňovat kapitálové i provozní výdaje, aby jim poskytovaly vhodné krátkodobé i dlouhodobé pobídky, včetně předběžných investic, ke zvyšování účinnosti, včetně energetické účinnosti, na podporu integrace trhu a bezpečnosti dodávek energie, na podporu využívání služeb flexibility, účinných investic, včetně řešení pro optimalizaci stávající sítě a usnadnění odezvy strany poptávky a souvisejících výzkumných činností a k usnadnění inovací v zájmu spotřebitelů v oblastech, jako jsou digitalizace, služby flexibility a propojení.“; </w:t>
      </w:r>
    </w:p>
    <w:p w14:paraId="1CA286B1" w14:textId="77777777" w:rsidR="00976265" w:rsidRPr="002D7798" w:rsidRDefault="0064263D">
      <w:pPr>
        <w:spacing w:after="160" w:line="360" w:lineRule="auto"/>
        <w:ind w:left="720"/>
        <w:rPr>
          <w:rFonts w:eastAsia="Times New Roman"/>
          <w:noProof/>
        </w:rPr>
      </w:pPr>
      <w:r w:rsidRPr="002D7798">
        <w:rPr>
          <w:noProof/>
        </w:rPr>
        <w:t>[b] odstavec 8 se nahrazuje tímto:</w:t>
      </w:r>
    </w:p>
    <w:p w14:paraId="2215F9D6" w14:textId="4485B0A3" w:rsidR="00976265" w:rsidRPr="002D7798" w:rsidRDefault="0064263D" w:rsidP="5579B2EF">
      <w:pPr>
        <w:spacing w:after="160" w:line="360" w:lineRule="auto"/>
        <w:rPr>
          <w:rFonts w:eastAsia="Times New Roman"/>
          <w:noProof/>
        </w:rPr>
      </w:pPr>
      <w:r w:rsidRPr="002D7798">
        <w:rPr>
          <w:noProof/>
        </w:rPr>
        <w:t>„8. Metodiky pro stanovení distribučních a přenosových tarifů musí provozovatelům přenosových a distribučních soustav poskytovat pobídky k co nejefektivnějšímu provozu a rozvoji svých sítí, mimo jiné prostřednictvím zadávání zakázek na služby. Za tímto účelem regulační orgány uznávají příslušné náklady za způsobilé a zohledňují je v přenosových a distribučních tarifech a zavedou výkonnostní cíle, aby byly vytvořeny pobídky pro provozovatele přenosových a distribučních soustav ke zvýšení efektivity jejich sítí, mimo jiné prostřednictvím energetické účinnosti, využívání služeb flexibility a zavádění inteligentních sítí a inteligentních měřicích systémů.“;</w:t>
      </w:r>
    </w:p>
    <w:p w14:paraId="401E4FCC" w14:textId="77777777" w:rsidR="00976265" w:rsidRPr="002D7798" w:rsidRDefault="0064263D">
      <w:pPr>
        <w:spacing w:after="160" w:line="360" w:lineRule="auto"/>
        <w:rPr>
          <w:rFonts w:eastAsia="Times New Roman"/>
          <w:noProof/>
        </w:rPr>
      </w:pPr>
      <w:r w:rsidRPr="002D7798">
        <w:rPr>
          <w:noProof/>
        </w:rPr>
        <w:tab/>
        <w:t>[c] v odstavci 9 se písmeno f) nahrazuje tímto:</w:t>
      </w:r>
    </w:p>
    <w:p w14:paraId="65E822C5" w14:textId="77777777" w:rsidR="00976265" w:rsidRPr="002D7798" w:rsidRDefault="0064263D">
      <w:pPr>
        <w:spacing w:after="160" w:line="360" w:lineRule="auto"/>
        <w:rPr>
          <w:rFonts w:eastAsia="Times New Roman"/>
          <w:noProof/>
        </w:rPr>
      </w:pPr>
      <w:r w:rsidRPr="002D7798">
        <w:rPr>
          <w:noProof/>
        </w:rPr>
        <w:t>„f) metod k zajištění transparentnosti stanovování a struktury tarifů, včetně předběžných investic;“;</w:t>
      </w:r>
    </w:p>
    <w:p w14:paraId="158ABB5B" w14:textId="57D64151" w:rsidR="00976265" w:rsidRPr="002D7798" w:rsidRDefault="0064263D">
      <w:pPr>
        <w:spacing w:after="160" w:line="360" w:lineRule="auto"/>
        <w:rPr>
          <w:rFonts w:eastAsia="Times New Roman"/>
          <w:noProof/>
        </w:rPr>
      </w:pPr>
      <w:r w:rsidRPr="002D7798">
        <w:rPr>
          <w:noProof/>
        </w:rPr>
        <w:tab/>
        <w:t>[d] v odstavci 9 se doplňuje nové písmeno i), které zní:</w:t>
      </w:r>
    </w:p>
    <w:p w14:paraId="06425918" w14:textId="77777777" w:rsidR="00976265" w:rsidRPr="002D7798" w:rsidRDefault="0064263D" w:rsidP="5579B2EF">
      <w:pPr>
        <w:spacing w:after="160" w:line="360" w:lineRule="auto"/>
        <w:rPr>
          <w:rFonts w:eastAsia="Times New Roman"/>
          <w:noProof/>
        </w:rPr>
      </w:pPr>
      <w:r w:rsidRPr="002D7798">
        <w:rPr>
          <w:noProof/>
        </w:rPr>
        <w:t>„i) pobídek pro účinné investice do sítí, včetně zdrojů flexibility a dohod o flexibilním připojení.“;</w:t>
      </w:r>
    </w:p>
    <w:p w14:paraId="3A60A8B0" w14:textId="77777777" w:rsidR="00976265" w:rsidRPr="002D7798" w:rsidRDefault="00976265">
      <w:pPr>
        <w:spacing w:after="160" w:line="360" w:lineRule="auto"/>
        <w:rPr>
          <w:rFonts w:eastAsia="Times New Roman"/>
          <w:noProof/>
        </w:rPr>
      </w:pPr>
    </w:p>
    <w:p w14:paraId="29343FE8" w14:textId="5194B40A" w:rsidR="00976265" w:rsidRPr="002D7798" w:rsidRDefault="0064263D">
      <w:pPr>
        <w:spacing w:after="160" w:line="360" w:lineRule="auto"/>
        <w:rPr>
          <w:rFonts w:eastAsia="Times New Roman"/>
          <w:noProof/>
        </w:rPr>
      </w:pPr>
      <w:r w:rsidRPr="002D7798">
        <w:rPr>
          <w:noProof/>
        </w:rPr>
        <w:t>[8] v článku 19 se odstavec 2 mění takto:</w:t>
      </w:r>
    </w:p>
    <w:p w14:paraId="54846432" w14:textId="77777777" w:rsidR="00976265" w:rsidRPr="002D7798" w:rsidRDefault="0064263D">
      <w:pPr>
        <w:spacing w:after="160" w:line="360" w:lineRule="auto"/>
        <w:rPr>
          <w:rFonts w:eastAsia="Times New Roman"/>
          <w:noProof/>
        </w:rPr>
      </w:pPr>
      <w:r w:rsidRPr="002D7798">
        <w:rPr>
          <w:noProof/>
        </w:rPr>
        <w:t>[a] písmeno b) se nahrazuje tímto:</w:t>
      </w:r>
    </w:p>
    <w:p w14:paraId="7604C5DA" w14:textId="77777777" w:rsidR="00976265" w:rsidRPr="002D7798" w:rsidRDefault="0064263D">
      <w:pPr>
        <w:spacing w:after="160" w:line="360" w:lineRule="auto"/>
        <w:ind w:left="720"/>
        <w:rPr>
          <w:rFonts w:eastAsia="Times New Roman"/>
          <w:noProof/>
        </w:rPr>
      </w:pPr>
      <w:r w:rsidRPr="002D7798">
        <w:rPr>
          <w:noProof/>
        </w:rPr>
        <w:t>„b) udržování nebo zvyšování kapacity mezi zónami prostřednictvím optimalizace využívání stávajících propojovacích vedení pomocí koordinovaných nápravných opatření, je-li to relevantní, nebo pokrytí nákladů vzniklých v souvislosti s investicemi do sítě, které mají význam pro snížení přetížení propojovacího vedení; nebo“;</w:t>
      </w:r>
    </w:p>
    <w:p w14:paraId="3027276B" w14:textId="77777777" w:rsidR="00976265" w:rsidRPr="002D7798" w:rsidRDefault="0064263D">
      <w:pPr>
        <w:spacing w:after="160" w:line="360" w:lineRule="auto"/>
        <w:rPr>
          <w:rFonts w:eastAsia="Times New Roman"/>
          <w:noProof/>
        </w:rPr>
      </w:pPr>
      <w:r w:rsidRPr="002D7798">
        <w:rPr>
          <w:noProof/>
        </w:rPr>
        <w:t>[b] doplňuje se nové písmeno c), které zní:</w:t>
      </w:r>
    </w:p>
    <w:p w14:paraId="69200B03" w14:textId="77777777" w:rsidR="00976265" w:rsidRPr="002D7798" w:rsidRDefault="0064263D" w:rsidP="5579B2EF">
      <w:pPr>
        <w:spacing w:after="160" w:line="360" w:lineRule="auto"/>
        <w:ind w:left="720"/>
        <w:rPr>
          <w:rFonts w:eastAsia="Times New Roman"/>
          <w:noProof/>
        </w:rPr>
      </w:pPr>
      <w:r w:rsidRPr="002D7798">
        <w:rPr>
          <w:noProof/>
        </w:rPr>
        <w:t>„c) kompenzace provozovatelům výrobních zařízení na moři v nabídkové zóně na moři, pokud byl přístup k propojeným trhům omezen tak, že jeden nebo více provozovatelů přenosových soustav neposkytli dostatečnou kapacitu na propojovacím vedení nebo kritických prvcích sítě ovlivňujících kapacitu propojovacího vedení, v důsledku čehož provozovatel zařízení na moři není schopen vyvážet svou kapacitu výroby elektřiny na trh.“;</w:t>
      </w:r>
    </w:p>
    <w:p w14:paraId="0D535573" w14:textId="77777777" w:rsidR="00976265" w:rsidRPr="002D7798" w:rsidRDefault="00976265">
      <w:pPr>
        <w:spacing w:line="360" w:lineRule="auto"/>
        <w:rPr>
          <w:rFonts w:eastAsia="Times New Roman"/>
          <w:i/>
          <w:iCs/>
          <w:noProof/>
        </w:rPr>
      </w:pPr>
    </w:p>
    <w:p w14:paraId="5101CAB5" w14:textId="34C02AA7" w:rsidR="00976265" w:rsidRPr="002D7798" w:rsidRDefault="0064263D">
      <w:pPr>
        <w:spacing w:after="160" w:line="360" w:lineRule="auto"/>
        <w:rPr>
          <w:rFonts w:eastAsia="Times New Roman"/>
          <w:noProof/>
        </w:rPr>
      </w:pPr>
      <w:r w:rsidRPr="002D7798">
        <w:rPr>
          <w:noProof/>
        </w:rPr>
        <w:t xml:space="preserve">[9] vkládá se nová kapitola IIIa, která zní: </w:t>
      </w:r>
    </w:p>
    <w:p w14:paraId="4CCA68DB" w14:textId="77777777" w:rsidR="00976265" w:rsidRPr="002D7798" w:rsidRDefault="0064263D" w:rsidP="5579B2EF">
      <w:pPr>
        <w:spacing w:after="160" w:line="360" w:lineRule="auto"/>
        <w:jc w:val="center"/>
        <w:rPr>
          <w:rFonts w:eastAsia="Times New Roman"/>
          <w:noProof/>
        </w:rPr>
      </w:pPr>
      <w:r w:rsidRPr="002D7798">
        <w:rPr>
          <w:noProof/>
        </w:rPr>
        <w:t xml:space="preserve">„Kapitola IIIa </w:t>
      </w:r>
    </w:p>
    <w:p w14:paraId="0C257101" w14:textId="77777777" w:rsidR="00976265" w:rsidRPr="002D7798" w:rsidRDefault="0064263D" w:rsidP="5579B2EF">
      <w:pPr>
        <w:spacing w:after="160" w:line="360" w:lineRule="auto"/>
        <w:jc w:val="center"/>
        <w:rPr>
          <w:rFonts w:eastAsia="Times New Roman"/>
          <w:noProof/>
        </w:rPr>
      </w:pPr>
      <w:r w:rsidRPr="002D7798">
        <w:rPr>
          <w:noProof/>
        </w:rPr>
        <w:t xml:space="preserve">Specifické investiční pobídky k dosažení cílů Unie v oblasti dekarbonizace </w:t>
      </w:r>
    </w:p>
    <w:p w14:paraId="136CE5DE" w14:textId="77777777" w:rsidR="00976265" w:rsidRPr="002D7798" w:rsidRDefault="0064263D" w:rsidP="00864F43">
      <w:pPr>
        <w:ind w:left="720"/>
        <w:jc w:val="center"/>
        <w:rPr>
          <w:noProof/>
        </w:rPr>
      </w:pPr>
      <w:r w:rsidRPr="002D7798">
        <w:rPr>
          <w:noProof/>
        </w:rPr>
        <w:t>Článek 19a</w:t>
      </w:r>
    </w:p>
    <w:p w14:paraId="53BB3975" w14:textId="77777777" w:rsidR="00976265" w:rsidRPr="002D7798" w:rsidRDefault="0064263D" w:rsidP="00864F43">
      <w:pPr>
        <w:ind w:left="720"/>
        <w:jc w:val="center"/>
        <w:rPr>
          <w:noProof/>
        </w:rPr>
      </w:pPr>
      <w:r w:rsidRPr="002D7798">
        <w:rPr>
          <w:noProof/>
        </w:rPr>
        <w:t>Smlouvy o nákupu elektřiny</w:t>
      </w:r>
    </w:p>
    <w:p w14:paraId="5098261A" w14:textId="6F753522" w:rsidR="00976265" w:rsidRPr="002D7798" w:rsidRDefault="00451FE6" w:rsidP="00451FE6">
      <w:pPr>
        <w:pStyle w:val="ManualNumPar1"/>
        <w:rPr>
          <w:noProof/>
          <w:u w:val="single"/>
        </w:rPr>
      </w:pPr>
      <w:r w:rsidRPr="00451FE6">
        <w:t>1.</w:t>
      </w:r>
      <w:r w:rsidRPr="00451FE6">
        <w:tab/>
      </w:r>
      <w:r w:rsidR="0064263D" w:rsidRPr="002D7798">
        <w:rPr>
          <w:noProof/>
        </w:rPr>
        <w:t>Členské státy usnadní uzavírání smluv o nákupu elektřiny za účelem dosažení cílů stanovených v jejich integrovaném vnitrostátním plánu v oblasti energetiky a klimatu, pokud jde o rozměr snižování emisí uhlíku uvedený v čl. 4 písm. a) nařízení (EU) 2018/1999, při zachování konkurenceschopných a likvidních trhů s elektřinou.</w:t>
      </w:r>
    </w:p>
    <w:p w14:paraId="77FAA329" w14:textId="589F39B2" w:rsidR="00976265" w:rsidRPr="002D7798" w:rsidRDefault="00451FE6" w:rsidP="00451FE6">
      <w:pPr>
        <w:pStyle w:val="ManualNumPar1"/>
        <w:rPr>
          <w:rFonts w:eastAsia="Times New Roman"/>
          <w:noProof/>
        </w:rPr>
      </w:pPr>
      <w:r w:rsidRPr="00451FE6">
        <w:t>2.</w:t>
      </w:r>
      <w:r w:rsidRPr="00451FE6">
        <w:tab/>
      </w:r>
      <w:r w:rsidR="65903BA4" w:rsidRPr="002D7798">
        <w:rPr>
          <w:noProof/>
        </w:rPr>
        <w:t>Členské státy zajistí, aby byly v souladu s články 107 a 108 Smlouvy o fungování EU zavedeny nástroje ke snížení finančních rizik spojených se selháním odběratele v rámci smluv o nákupu elektřiny, jako jsou systémy záruk za tržní ceny, a aby byly dostupné zákazníkům, kteří čelí překážkám vstupu na trh se smlouvami o nákupu elektřiny a nemají finanční obtíže. Za tímto účelem členské státy zohlední nástroje na úrovni Unie. Členské státy za použití nediskriminačních kritérií určí, na které kategorie zákazníků se tyto nástroje zaměřují.</w:t>
      </w:r>
    </w:p>
    <w:p w14:paraId="6552556D" w14:textId="563F61FE" w:rsidR="00976265" w:rsidRPr="002D7798" w:rsidRDefault="00451FE6" w:rsidP="00451FE6">
      <w:pPr>
        <w:pStyle w:val="ManualNumPar1"/>
        <w:rPr>
          <w:rFonts w:eastAsia="Times New Roman"/>
          <w:noProof/>
        </w:rPr>
      </w:pPr>
      <w:r w:rsidRPr="00451FE6">
        <w:t>3.</w:t>
      </w:r>
      <w:r w:rsidRPr="00451FE6">
        <w:tab/>
      </w:r>
      <w:r w:rsidR="47C3CC76" w:rsidRPr="002D7798">
        <w:rPr>
          <w:noProof/>
        </w:rPr>
        <w:t>Systémy záruk pro smlouvy o nákupu elektřiny podporované členskými státy musí obsahovat ustanovení, která zabrání snížení likvidity na trzích s elektřinou, a nesmí podporovat nákupy elektřiny vyrobené z fosilních paliv.</w:t>
      </w:r>
    </w:p>
    <w:p w14:paraId="22A4286A" w14:textId="7C8004A6" w:rsidR="00976265" w:rsidRPr="002D7798" w:rsidRDefault="00451FE6" w:rsidP="00451FE6">
      <w:pPr>
        <w:pStyle w:val="ManualNumPar1"/>
        <w:rPr>
          <w:rFonts w:eastAsia="Times New Roman"/>
          <w:noProof/>
        </w:rPr>
      </w:pPr>
      <w:r w:rsidRPr="00451FE6">
        <w:t>4.</w:t>
      </w:r>
      <w:r w:rsidRPr="00451FE6">
        <w:tab/>
      </w:r>
      <w:r w:rsidR="0064263D" w:rsidRPr="002D7798">
        <w:rPr>
          <w:noProof/>
        </w:rPr>
        <w:t>Při navrhování režimů podpory pro elektřinu z obnovitelných zdrojů členské státy umožní účast projektů, které vyhrazují část elektřiny k prodeji na základě smlouvy o nákupu elektřiny nebo jiných tržních ujednání, a budou usilovat o využití hodnotících kritérií, aby motivovaly k přístupu na trh se smlouvami o nákupu elektřiny zákazníky, kteří čelí překážkám vstupu na trh. Tato hodnotící kritéria mohou zejména upřednostnit uchazeče, kteří předloží podepsanou smlouvu o nákupu elektřiny nebo závazek smlouvu o nákupu elektřiny podepsat ve vztahu k části elektřiny vyrobené v projektu od jednoho nebo několika potenciálních kupujících, kteří čelí překážkám vstupu na trh se smlouvami o nákupu elektřiny.</w:t>
      </w:r>
    </w:p>
    <w:p w14:paraId="0EAF40FA" w14:textId="725686D8" w:rsidR="00976265" w:rsidRPr="002D7798" w:rsidRDefault="00451FE6" w:rsidP="00451FE6">
      <w:pPr>
        <w:pStyle w:val="ManualNumPar1"/>
        <w:rPr>
          <w:rFonts w:eastAsia="Times New Roman"/>
          <w:noProof/>
        </w:rPr>
      </w:pPr>
      <w:r w:rsidRPr="00451FE6">
        <w:t>5.</w:t>
      </w:r>
      <w:r w:rsidRPr="00451FE6">
        <w:tab/>
      </w:r>
      <w:r w:rsidR="0064263D" w:rsidRPr="002D7798">
        <w:rPr>
          <w:noProof/>
        </w:rPr>
        <w:t>Smlouvy o nákupu elektřiny stanoví nabídkovou zónu dodávky a odpovědnost za zajištění přenosových práv mezi zónami v případě změny nabídkové zóny v souladu s článkem 14.</w:t>
      </w:r>
    </w:p>
    <w:p w14:paraId="745C81D2" w14:textId="1EF32EC9" w:rsidR="00976265" w:rsidRPr="002D7798" w:rsidRDefault="00451FE6" w:rsidP="00451FE6">
      <w:pPr>
        <w:pStyle w:val="ManualNumPar1"/>
        <w:rPr>
          <w:rFonts w:eastAsia="Times New Roman"/>
          <w:noProof/>
        </w:rPr>
      </w:pPr>
      <w:r w:rsidRPr="00451FE6">
        <w:t>6.</w:t>
      </w:r>
      <w:r w:rsidRPr="00451FE6">
        <w:tab/>
      </w:r>
      <w:r w:rsidR="0064263D" w:rsidRPr="002D7798">
        <w:rPr>
          <w:noProof/>
        </w:rPr>
        <w:t>Smlouvy o nákupu elektřiny stanoví v souladu s právem Unie v oblasti hospodářské soutěže podmínky, za nichž mohou zákazníci a výrobci od smluv o nákupu elektřiny odstoupit, jako jsou případné výstupní poplatky a výpovědní lhůty.</w:t>
      </w:r>
    </w:p>
    <w:p w14:paraId="1BED4EAD" w14:textId="77777777" w:rsidR="00976265" w:rsidRPr="002D7798" w:rsidRDefault="00976265" w:rsidP="5579B2EF">
      <w:pPr>
        <w:spacing w:after="160" w:line="360" w:lineRule="auto"/>
        <w:jc w:val="left"/>
        <w:rPr>
          <w:rFonts w:eastAsia="Times New Roman"/>
          <w:noProof/>
        </w:rPr>
      </w:pPr>
    </w:p>
    <w:p w14:paraId="79F00036" w14:textId="77777777" w:rsidR="00976265" w:rsidRPr="002D7798" w:rsidRDefault="0064263D" w:rsidP="00864F43">
      <w:pPr>
        <w:ind w:left="720"/>
        <w:jc w:val="center"/>
        <w:rPr>
          <w:noProof/>
        </w:rPr>
      </w:pPr>
      <w:r w:rsidRPr="002D7798">
        <w:rPr>
          <w:noProof/>
        </w:rPr>
        <w:t xml:space="preserve">Článek 19b </w:t>
      </w:r>
    </w:p>
    <w:p w14:paraId="07450EC2" w14:textId="77777777" w:rsidR="00976265" w:rsidRPr="002D7798" w:rsidRDefault="0064263D" w:rsidP="00864F43">
      <w:pPr>
        <w:ind w:left="720"/>
        <w:jc w:val="center"/>
        <w:rPr>
          <w:noProof/>
        </w:rPr>
      </w:pPr>
      <w:r w:rsidRPr="002D7798">
        <w:rPr>
          <w:noProof/>
        </w:rPr>
        <w:t>Režimy přímé podpory cen pro nové investice do výroby</w:t>
      </w:r>
    </w:p>
    <w:p w14:paraId="7F53D4C1" w14:textId="50D538DC" w:rsidR="009838A0" w:rsidRPr="002D7798" w:rsidRDefault="00451FE6" w:rsidP="00451FE6">
      <w:pPr>
        <w:pStyle w:val="ManualNumPar1"/>
        <w:rPr>
          <w:noProof/>
        </w:rPr>
      </w:pPr>
      <w:r w:rsidRPr="00451FE6">
        <w:t>1.</w:t>
      </w:r>
      <w:r w:rsidRPr="00451FE6">
        <w:tab/>
      </w:r>
      <w:r w:rsidR="0064263D" w:rsidRPr="002D7798">
        <w:rPr>
          <w:noProof/>
        </w:rPr>
        <w:t>Režimy přímé podpory cen pro nové investice do výroby elektřiny ze zdrojů uvedených v odstavci 2 mají podobu dvousměrné rozdílové smlouvy. Nové investice do výroby elektřiny zahrnují investice do nových výroben elektřiny, investice zaměřené na modernizaci stávajících výroben elektřiny, investice zaměřené na rozšíření stávajících výroben elektřiny nebo na prodloužení jejich životnosti.</w:t>
      </w:r>
    </w:p>
    <w:p w14:paraId="4E15FDBA" w14:textId="4204E515" w:rsidR="00BA31AC" w:rsidRPr="002D7798" w:rsidRDefault="00451FE6" w:rsidP="00451FE6">
      <w:pPr>
        <w:pStyle w:val="ManualNumPar1"/>
        <w:rPr>
          <w:rFonts w:eastAsia="Times New Roman"/>
          <w:noProof/>
        </w:rPr>
      </w:pPr>
      <w:r w:rsidRPr="00451FE6">
        <w:t>2.</w:t>
      </w:r>
      <w:r w:rsidRPr="00451FE6">
        <w:tab/>
      </w:r>
      <w:r w:rsidR="0064263D" w:rsidRPr="002D7798">
        <w:rPr>
          <w:noProof/>
        </w:rPr>
        <w:t>Odstavec 1 se použije na nové investice do výroby elektřiny z těchto zdrojů:</w:t>
      </w:r>
    </w:p>
    <w:p w14:paraId="3CB3AE19" w14:textId="0FC6F858" w:rsidR="00976265" w:rsidRPr="002D7798" w:rsidRDefault="00667462" w:rsidP="00667462">
      <w:pPr>
        <w:pStyle w:val="Point1"/>
        <w:rPr>
          <w:rFonts w:eastAsia="Times New Roman"/>
          <w:noProof/>
          <w:u w:val="single"/>
        </w:rPr>
      </w:pPr>
      <w:r>
        <w:rPr>
          <w:noProof/>
        </w:rPr>
        <w:t>a)</w:t>
      </w:r>
      <w:r>
        <w:rPr>
          <w:noProof/>
        </w:rPr>
        <w:tab/>
      </w:r>
      <w:r w:rsidR="0064263D" w:rsidRPr="002D7798">
        <w:rPr>
          <w:noProof/>
        </w:rPr>
        <w:t>větrné energie;</w:t>
      </w:r>
    </w:p>
    <w:p w14:paraId="542AD3A4" w14:textId="3F74AB8E" w:rsidR="00976265" w:rsidRPr="002D7798" w:rsidRDefault="00667462" w:rsidP="00667462">
      <w:pPr>
        <w:pStyle w:val="Point1"/>
        <w:rPr>
          <w:noProof/>
        </w:rPr>
      </w:pPr>
      <w:r>
        <w:rPr>
          <w:noProof/>
        </w:rPr>
        <w:t>b)</w:t>
      </w:r>
      <w:r>
        <w:rPr>
          <w:noProof/>
        </w:rPr>
        <w:tab/>
      </w:r>
      <w:r w:rsidR="0064263D" w:rsidRPr="002D7798">
        <w:rPr>
          <w:noProof/>
        </w:rPr>
        <w:t>solární energie;</w:t>
      </w:r>
    </w:p>
    <w:p w14:paraId="0A061D43" w14:textId="19949DDE" w:rsidR="00976265" w:rsidRPr="002D7798" w:rsidRDefault="00667462" w:rsidP="00667462">
      <w:pPr>
        <w:pStyle w:val="Point1"/>
        <w:rPr>
          <w:noProof/>
        </w:rPr>
      </w:pPr>
      <w:r>
        <w:rPr>
          <w:noProof/>
        </w:rPr>
        <w:t>c)</w:t>
      </w:r>
      <w:r>
        <w:rPr>
          <w:noProof/>
        </w:rPr>
        <w:tab/>
      </w:r>
      <w:r w:rsidR="0064263D" w:rsidRPr="002D7798">
        <w:rPr>
          <w:noProof/>
        </w:rPr>
        <w:t>geotermální energie;</w:t>
      </w:r>
    </w:p>
    <w:p w14:paraId="279D4F49" w14:textId="1ABEE8D3" w:rsidR="00976265" w:rsidRPr="002D7798" w:rsidRDefault="00667462" w:rsidP="00667462">
      <w:pPr>
        <w:pStyle w:val="Point1"/>
        <w:rPr>
          <w:noProof/>
        </w:rPr>
      </w:pPr>
      <w:r>
        <w:rPr>
          <w:noProof/>
        </w:rPr>
        <w:t>d)</w:t>
      </w:r>
      <w:r>
        <w:rPr>
          <w:noProof/>
        </w:rPr>
        <w:tab/>
      </w:r>
      <w:r w:rsidR="0064263D" w:rsidRPr="002D7798">
        <w:rPr>
          <w:noProof/>
        </w:rPr>
        <w:t>vodní energie bez využití přehradní nádrže;</w:t>
      </w:r>
    </w:p>
    <w:p w14:paraId="58F762FC" w14:textId="2F29C608" w:rsidR="00976265" w:rsidRPr="002D7798" w:rsidRDefault="00667462" w:rsidP="00667462">
      <w:pPr>
        <w:pStyle w:val="Point1"/>
        <w:rPr>
          <w:noProof/>
        </w:rPr>
      </w:pPr>
      <w:r>
        <w:rPr>
          <w:noProof/>
        </w:rPr>
        <w:t>e)</w:t>
      </w:r>
      <w:r>
        <w:rPr>
          <w:noProof/>
        </w:rPr>
        <w:tab/>
      </w:r>
      <w:r w:rsidR="0064263D" w:rsidRPr="002D7798">
        <w:rPr>
          <w:noProof/>
        </w:rPr>
        <w:t>jaderné energie.</w:t>
      </w:r>
    </w:p>
    <w:p w14:paraId="259D319E" w14:textId="43CA46A4" w:rsidR="00976265" w:rsidRPr="002D7798" w:rsidRDefault="00451FE6" w:rsidP="00451FE6">
      <w:pPr>
        <w:pStyle w:val="ManualNumPar1"/>
        <w:rPr>
          <w:rFonts w:eastAsia="Times New Roman"/>
          <w:noProof/>
        </w:rPr>
      </w:pPr>
      <w:r w:rsidRPr="00451FE6">
        <w:t>3.</w:t>
      </w:r>
      <w:r w:rsidRPr="00451FE6">
        <w:tab/>
      </w:r>
      <w:r w:rsidR="0064263D" w:rsidRPr="002D7798">
        <w:rPr>
          <w:noProof/>
        </w:rPr>
        <w:t>Režimy přímé podpory cen ve formě dvousměrných rozdílových smluv musí:</w:t>
      </w:r>
    </w:p>
    <w:p w14:paraId="1A854C99" w14:textId="22C22FA2" w:rsidR="00976265" w:rsidRPr="002D7798" w:rsidRDefault="00667462" w:rsidP="00667462">
      <w:pPr>
        <w:pStyle w:val="Point1"/>
        <w:rPr>
          <w:noProof/>
          <w:u w:val="single"/>
        </w:rPr>
      </w:pPr>
      <w:r>
        <w:rPr>
          <w:noProof/>
        </w:rPr>
        <w:t>a)</w:t>
      </w:r>
      <w:r>
        <w:rPr>
          <w:noProof/>
        </w:rPr>
        <w:tab/>
      </w:r>
      <w:r w:rsidR="0064263D" w:rsidRPr="002D7798">
        <w:rPr>
          <w:noProof/>
        </w:rPr>
        <w:t>být navrženy tak, aby příjmy získané v době, kdy je tržní cena vyšší než realizační cena, byly rozděleny mezi všechny konečné odběratele elektřiny na základě jejich podílu na spotřebě (stejné náklady / náhrada za spotřebovanou MWh);</w:t>
      </w:r>
    </w:p>
    <w:p w14:paraId="06D84707" w14:textId="42E68ACD" w:rsidR="00976265" w:rsidRPr="002D7798" w:rsidRDefault="00667462" w:rsidP="00667462">
      <w:pPr>
        <w:pStyle w:val="Point1"/>
        <w:rPr>
          <w:noProof/>
        </w:rPr>
      </w:pPr>
      <w:r>
        <w:rPr>
          <w:noProof/>
        </w:rPr>
        <w:t>b)</w:t>
      </w:r>
      <w:r>
        <w:rPr>
          <w:noProof/>
        </w:rPr>
        <w:tab/>
      </w:r>
      <w:r w:rsidR="0064263D" w:rsidRPr="002D7798">
        <w:rPr>
          <w:noProof/>
        </w:rPr>
        <w:t>zajistit, aby rozdělení příjmů konečným odběratelům elektřiny bylo navrženo tak, aby neodstraňovalo pobídky spotřebitelů snižovat svou spotřebu nebo ji přesouvat do období, kdy jsou ceny elektřiny nízké, a aby nenarušovalo hospodářskou soutěž mezi dodavateli elektřiny;</w:t>
      </w:r>
    </w:p>
    <w:p w14:paraId="1575F7B1" w14:textId="77777777" w:rsidR="00976265" w:rsidRPr="002D7798" w:rsidRDefault="00976265">
      <w:pPr>
        <w:spacing w:line="360" w:lineRule="auto"/>
        <w:jc w:val="center"/>
        <w:rPr>
          <w:b/>
          <w:bCs/>
          <w:i/>
          <w:iCs/>
          <w:noProof/>
          <w:u w:val="single"/>
        </w:rPr>
      </w:pPr>
    </w:p>
    <w:p w14:paraId="0D6977D7" w14:textId="77777777" w:rsidR="00976265" w:rsidRPr="002D7798" w:rsidRDefault="00976265">
      <w:pPr>
        <w:spacing w:line="360" w:lineRule="auto"/>
        <w:ind w:left="720"/>
        <w:contextualSpacing/>
        <w:rPr>
          <w:rFonts w:eastAsia="Times New Roman"/>
          <w:b/>
          <w:bCs/>
          <w:i/>
          <w:iCs/>
          <w:noProof/>
          <w:u w:val="single"/>
        </w:rPr>
      </w:pPr>
    </w:p>
    <w:p w14:paraId="22273412" w14:textId="0789A94F" w:rsidR="00976265" w:rsidRPr="002D7798" w:rsidRDefault="0064263D" w:rsidP="00864F43">
      <w:pPr>
        <w:ind w:left="720"/>
        <w:jc w:val="center"/>
        <w:rPr>
          <w:noProof/>
        </w:rPr>
      </w:pPr>
      <w:r w:rsidRPr="002D7798">
        <w:rPr>
          <w:noProof/>
        </w:rPr>
        <w:t>Článek 19c</w:t>
      </w:r>
    </w:p>
    <w:p w14:paraId="55055C85" w14:textId="77777777" w:rsidR="00976265" w:rsidRPr="002D7798" w:rsidRDefault="0064263D" w:rsidP="00864F43">
      <w:pPr>
        <w:ind w:left="720"/>
        <w:jc w:val="center"/>
        <w:rPr>
          <w:noProof/>
        </w:rPr>
      </w:pPr>
      <w:r w:rsidRPr="002D7798">
        <w:rPr>
          <w:noProof/>
        </w:rPr>
        <w:t>Posouzení potřeb flexibility</w:t>
      </w:r>
    </w:p>
    <w:p w14:paraId="49BB4D2E" w14:textId="4C61175E" w:rsidR="00976265" w:rsidRPr="002D7798" w:rsidRDefault="00451FE6" w:rsidP="00451FE6">
      <w:pPr>
        <w:pStyle w:val="ManualNumPar1"/>
        <w:rPr>
          <w:noProof/>
        </w:rPr>
      </w:pPr>
      <w:r w:rsidRPr="00451FE6">
        <w:t>1.</w:t>
      </w:r>
      <w:r w:rsidRPr="00451FE6">
        <w:tab/>
      </w:r>
      <w:r w:rsidR="0064263D" w:rsidRPr="002D7798">
        <w:rPr>
          <w:noProof/>
        </w:rPr>
        <w:t xml:space="preserve">Do 1. ledna 2025 a poté každé dva roky regulační orgán každého členského státu posoudí potřebu flexibility v elektrizační soustavě po dobu nejméně pěti let s ohledem na potřebu nákladově efektivního dosažení bezpečnosti dodávek energie a dekarbonizace energetického systému, přičemž zohlední integraci různých odvětví, a vypracuje o tom zprávu. Zpráva bude vypracována na základě údajů a analýz poskytnutých provozovateli přenosových a distribučních soustav daného členského státu podle odstavce 2 a za použití metodiky podle odstavce 3. </w:t>
      </w:r>
    </w:p>
    <w:p w14:paraId="318CC902" w14:textId="48BE6CCF" w:rsidR="00976265" w:rsidRPr="002D7798" w:rsidRDefault="00451FE6" w:rsidP="00451FE6">
      <w:pPr>
        <w:pStyle w:val="ManualNumPar1"/>
        <w:rPr>
          <w:noProof/>
        </w:rPr>
      </w:pPr>
      <w:r w:rsidRPr="00451FE6">
        <w:t>2.</w:t>
      </w:r>
      <w:r w:rsidRPr="00451FE6">
        <w:tab/>
      </w:r>
      <w:r w:rsidR="0064263D" w:rsidRPr="002D7798">
        <w:rPr>
          <w:noProof/>
        </w:rPr>
        <w:t>Zpráva bude obsahovat hodnocení potřeby flexibility pro integraci elektřiny vyrobené z obnovitelných zdrojů do elektrizační soustavy a zváží zejména potenciál nefosilní flexibility, jako je odezva strany poptávky a skladování, pro splnění této potřeby, a to jak na úrovni přenosu, tak na úrovni distribuce. Zpráva bude rozlišovat mezi sezónními, denními a hodinovými potřebami flexibility.</w:t>
      </w:r>
    </w:p>
    <w:p w14:paraId="01082FC4" w14:textId="589E375A" w:rsidR="00976265" w:rsidRPr="002D7798" w:rsidRDefault="00451FE6" w:rsidP="00451FE6">
      <w:pPr>
        <w:pStyle w:val="ManualNumPar1"/>
        <w:rPr>
          <w:noProof/>
        </w:rPr>
      </w:pPr>
      <w:r w:rsidRPr="00451FE6">
        <w:t>3.</w:t>
      </w:r>
      <w:r w:rsidRPr="00451FE6">
        <w:tab/>
      </w:r>
      <w:r w:rsidR="65903BA4" w:rsidRPr="002D7798">
        <w:rPr>
          <w:noProof/>
        </w:rPr>
        <w:t>Provozovatelé přenosových a distribučních soustav každého členského státu poskytnou regulačnímu orgánu údaje a analýzy potřebné pro přípravu zprávy uvedené v odstavci 1.</w:t>
      </w:r>
    </w:p>
    <w:p w14:paraId="321D241B" w14:textId="0B79BEED" w:rsidR="00976265" w:rsidRPr="002D7798" w:rsidRDefault="00451FE6" w:rsidP="00451FE6">
      <w:pPr>
        <w:pStyle w:val="ManualNumPar1"/>
        <w:rPr>
          <w:noProof/>
        </w:rPr>
      </w:pPr>
      <w:r w:rsidRPr="00451FE6">
        <w:t>4.</w:t>
      </w:r>
      <w:r w:rsidRPr="00451FE6">
        <w:tab/>
      </w:r>
      <w:r w:rsidR="65903BA4" w:rsidRPr="002D7798">
        <w:rPr>
          <w:noProof/>
        </w:rPr>
        <w:t>Síť ENTSO pro elektřinu a subjekt EU DSO koordinují provozovatele přenosových a distribučních soustav, pokud jde o údaje a analýzy, které mají být poskytnuty v souladu s odstavcem 2. Zejména:</w:t>
      </w:r>
    </w:p>
    <w:p w14:paraId="22FEF89A" w14:textId="7AB7EC4B" w:rsidR="00976265" w:rsidRPr="002D7798" w:rsidRDefault="00667462" w:rsidP="00667462">
      <w:pPr>
        <w:pStyle w:val="Point1"/>
        <w:rPr>
          <w:noProof/>
        </w:rPr>
      </w:pPr>
      <w:r>
        <w:rPr>
          <w:noProof/>
        </w:rPr>
        <w:t>a)</w:t>
      </w:r>
      <w:r>
        <w:rPr>
          <w:noProof/>
        </w:rPr>
        <w:tab/>
      </w:r>
      <w:r w:rsidR="0064263D" w:rsidRPr="002D7798">
        <w:rPr>
          <w:noProof/>
        </w:rPr>
        <w:t>definují druh a formát údajů, které provozovatelé přenosových a distribučních soustav poskytují regulačním orgánům;</w:t>
      </w:r>
    </w:p>
    <w:p w14:paraId="2A93F44A" w14:textId="5BCAF313" w:rsidR="00976265" w:rsidRPr="002D7798" w:rsidRDefault="00667462" w:rsidP="00667462">
      <w:pPr>
        <w:pStyle w:val="Point1"/>
        <w:rPr>
          <w:noProof/>
        </w:rPr>
      </w:pPr>
      <w:r>
        <w:rPr>
          <w:noProof/>
        </w:rPr>
        <w:t>b)</w:t>
      </w:r>
      <w:r>
        <w:rPr>
          <w:noProof/>
        </w:rPr>
        <w:tab/>
      </w:r>
      <w:r w:rsidR="0064263D" w:rsidRPr="002D7798">
        <w:rPr>
          <w:noProof/>
        </w:rPr>
        <w:t>vypracují metodiku pro analýzu potřeb flexibility provozovateli přenosových a distribučních soustav, přičemž zohlední alespoň všechny stávající zdroje flexibility a plánované investice na úrovni propojení, přenosu a distribuce, jakož i potřebu dekarbonizovat elektrizační soustavu.</w:t>
      </w:r>
    </w:p>
    <w:p w14:paraId="090F8FE5" w14:textId="52B1D65E" w:rsidR="00976265" w:rsidRPr="002D7798" w:rsidRDefault="00451FE6" w:rsidP="00451FE6">
      <w:pPr>
        <w:pStyle w:val="ManualNumPar1"/>
        <w:rPr>
          <w:noProof/>
        </w:rPr>
      </w:pPr>
      <w:r w:rsidRPr="00451FE6">
        <w:t>5.</w:t>
      </w:r>
      <w:r w:rsidRPr="00451FE6">
        <w:tab/>
      </w:r>
      <w:r w:rsidR="65903BA4" w:rsidRPr="002D7798">
        <w:rPr>
          <w:noProof/>
        </w:rPr>
        <w:t xml:space="preserve">Síť ENTSO pro elektřinu a subjekt EU DSO spolu úzce spolupracují, pokud jde o koordinaci provozovatelů přenosových a distribučních soustav. </w:t>
      </w:r>
    </w:p>
    <w:p w14:paraId="350FE739" w14:textId="6A6F80EC" w:rsidR="00976265" w:rsidRPr="002D7798" w:rsidRDefault="00451FE6" w:rsidP="00451FE6">
      <w:pPr>
        <w:pStyle w:val="ManualNumPar1"/>
        <w:rPr>
          <w:noProof/>
        </w:rPr>
      </w:pPr>
      <w:r w:rsidRPr="00451FE6">
        <w:t>6.</w:t>
      </w:r>
      <w:r w:rsidRPr="00451FE6">
        <w:tab/>
      </w:r>
      <w:r w:rsidR="65903BA4" w:rsidRPr="002D7798">
        <w:rPr>
          <w:noProof/>
        </w:rPr>
        <w:t>Do 1. března 2024 předloží síť ENTSO pro elektřinu a subjekt EU DSO agentuře ACER společně návrh týkající se typu a formátu údajů, které mají být předloženy regulačním orgánům, a metodiky uvedené v odstavci 3. Do tří měsíců od obdržení návrhu agentura ACER návrh buď schválí, nebo pozmění. Pokud navrhne změny návrhu, konzultuje je před jejich přijetím se sítí ENTSO pro elektřinu a subjektem EU DSO. Přijatý návrh se zveřejňuje na internetových stránkách agentury ACER.</w:t>
      </w:r>
    </w:p>
    <w:p w14:paraId="3E26392E" w14:textId="394D6D86" w:rsidR="00976265" w:rsidRPr="002D7798" w:rsidRDefault="00451FE6" w:rsidP="00451FE6">
      <w:pPr>
        <w:pStyle w:val="ManualNumPar1"/>
        <w:rPr>
          <w:noProof/>
        </w:rPr>
      </w:pPr>
      <w:r w:rsidRPr="00451FE6">
        <w:t>7.</w:t>
      </w:r>
      <w:r w:rsidRPr="00451FE6">
        <w:tab/>
      </w:r>
      <w:r w:rsidR="65903BA4" w:rsidRPr="002D7798">
        <w:rPr>
          <w:noProof/>
        </w:rPr>
        <w:t>Regulační orgány předkládají zprávy uvedené v odstavci 1 agentuře ACER a zveřejňují je. Do dvanácti měsíců od obdržení zpráv vydá agentura ACER zprávu, která je analyzuje a poskytuje doporučení k otázkám přeshraničního významu, pokud jde o zjištění regulačních orgánů.</w:t>
      </w:r>
    </w:p>
    <w:p w14:paraId="5B6C7622" w14:textId="77777777" w:rsidR="00976265" w:rsidRPr="002D7798" w:rsidRDefault="00976265">
      <w:pPr>
        <w:spacing w:after="160"/>
        <w:rPr>
          <w:rFonts w:eastAsia="Times New Roman"/>
          <w:b/>
          <w:bCs/>
          <w:i/>
          <w:iCs/>
          <w:noProof/>
          <w:u w:val="single"/>
        </w:rPr>
      </w:pPr>
    </w:p>
    <w:p w14:paraId="6AFCE565" w14:textId="4730FD43" w:rsidR="00976265" w:rsidRPr="002D7798" w:rsidRDefault="0064263D" w:rsidP="00864F43">
      <w:pPr>
        <w:ind w:left="720"/>
        <w:jc w:val="center"/>
        <w:rPr>
          <w:noProof/>
        </w:rPr>
      </w:pPr>
      <w:r w:rsidRPr="002D7798">
        <w:rPr>
          <w:noProof/>
        </w:rPr>
        <w:t>Článek 19d</w:t>
      </w:r>
    </w:p>
    <w:p w14:paraId="02F934E1" w14:textId="77777777" w:rsidR="00976265" w:rsidRPr="002D7798" w:rsidRDefault="0064263D" w:rsidP="00864F43">
      <w:pPr>
        <w:ind w:left="720"/>
        <w:jc w:val="center"/>
        <w:rPr>
          <w:noProof/>
        </w:rPr>
      </w:pPr>
      <w:r w:rsidRPr="002D7798">
        <w:rPr>
          <w:noProof/>
        </w:rPr>
        <w:t>Orientační vnitrostátní cíl pro odezvu strany poptávky a skladování</w:t>
      </w:r>
    </w:p>
    <w:p w14:paraId="2D6E3F7B" w14:textId="3D70CAB5" w:rsidR="00976265" w:rsidRPr="002D7798" w:rsidRDefault="0064263D" w:rsidP="001133D7">
      <w:pPr>
        <w:spacing w:line="360" w:lineRule="auto"/>
        <w:rPr>
          <w:noProof/>
        </w:rPr>
      </w:pPr>
      <w:r w:rsidRPr="002D7798">
        <w:rPr>
          <w:noProof/>
        </w:rPr>
        <w:t>Na základě zprávy regulačního orgánu podle čl. 19c odst. 1 stanoví každý členský stát orientační vnitrostátní cíl pro odezvu strany poptávky a skladování. Tento orientační vnitrostátní cíl se rovněž zohlední v integrovaných vnitrostátních plánech členských států v oblasti energetiky a klimatu, pokud jde o rozměr „Vnitřní trh s energií“ v souladu s články 3, 4 a 7 nařízení (EU) 2018/1999, a v jejich integrovaných dvouletých zprávách o pokroku v souladu s článkem 17 nařízení (EU) 2018/1999.</w:t>
      </w:r>
    </w:p>
    <w:p w14:paraId="79861DCF" w14:textId="77777777" w:rsidR="00976265" w:rsidRPr="002D7798" w:rsidRDefault="00976265">
      <w:pPr>
        <w:spacing w:after="160" w:line="257" w:lineRule="auto"/>
        <w:contextualSpacing/>
        <w:jc w:val="center"/>
        <w:rPr>
          <w:rFonts w:eastAsia="Times New Roman"/>
          <w:b/>
          <w:bCs/>
          <w:i/>
          <w:iCs/>
          <w:noProof/>
          <w:u w:val="single"/>
          <w:shd w:val="clear" w:color="auto" w:fill="E6E6E6"/>
        </w:rPr>
      </w:pPr>
    </w:p>
    <w:p w14:paraId="29329406" w14:textId="2B1D53A7" w:rsidR="00976265" w:rsidRPr="002D7798" w:rsidRDefault="0064263D" w:rsidP="00864F43">
      <w:pPr>
        <w:ind w:left="720"/>
        <w:jc w:val="center"/>
        <w:rPr>
          <w:noProof/>
        </w:rPr>
      </w:pPr>
      <w:r w:rsidRPr="002D7798">
        <w:rPr>
          <w:noProof/>
        </w:rPr>
        <w:t>Článek 19e</w:t>
      </w:r>
    </w:p>
    <w:p w14:paraId="14656D8B" w14:textId="77777777" w:rsidR="00976265" w:rsidRPr="002D7798" w:rsidRDefault="0064263D" w:rsidP="00864F43">
      <w:pPr>
        <w:ind w:left="720"/>
        <w:jc w:val="center"/>
        <w:rPr>
          <w:noProof/>
        </w:rPr>
      </w:pPr>
      <w:r w:rsidRPr="002D7798">
        <w:rPr>
          <w:noProof/>
        </w:rPr>
        <w:t>Režimy podpory flexibility</w:t>
      </w:r>
    </w:p>
    <w:p w14:paraId="12282C4A" w14:textId="1F8B2D16" w:rsidR="00976265" w:rsidRPr="002D7798" w:rsidRDefault="00451FE6" w:rsidP="00451FE6">
      <w:pPr>
        <w:pStyle w:val="ManualNumPar1"/>
        <w:rPr>
          <w:noProof/>
        </w:rPr>
      </w:pPr>
      <w:r w:rsidRPr="00451FE6">
        <w:t>1.</w:t>
      </w:r>
      <w:r w:rsidRPr="00451FE6">
        <w:tab/>
      </w:r>
      <w:r w:rsidR="0064263D" w:rsidRPr="002D7798">
        <w:rPr>
          <w:noProof/>
        </w:rPr>
        <w:t>Členské státy, které uplatňují kapacitní mechanismus v souladu s článkem 21, zváží podporu účasti nefosilní flexibility, jako je odezva strany poptávky a skladování, zavedením dodatečných kritérií nebo prvků při navrhování kapacitního mechanismu.</w:t>
      </w:r>
    </w:p>
    <w:p w14:paraId="2A37CE9A" w14:textId="77777777" w:rsidR="00976265" w:rsidRPr="002D7798" w:rsidRDefault="00976265" w:rsidP="5579B2EF">
      <w:pPr>
        <w:pStyle w:val="Text1"/>
        <w:rPr>
          <w:noProof/>
        </w:rPr>
      </w:pPr>
    </w:p>
    <w:p w14:paraId="39FDBADE" w14:textId="30253C68" w:rsidR="00976265" w:rsidRPr="002D7798" w:rsidRDefault="00451FE6" w:rsidP="00451FE6">
      <w:pPr>
        <w:pStyle w:val="ManualNumPar1"/>
        <w:rPr>
          <w:noProof/>
        </w:rPr>
      </w:pPr>
      <w:r w:rsidRPr="00451FE6">
        <w:t>2.</w:t>
      </w:r>
      <w:r w:rsidRPr="00451FE6">
        <w:tab/>
      </w:r>
      <w:r w:rsidR="0064263D" w:rsidRPr="002D7798">
        <w:rPr>
          <w:noProof/>
        </w:rPr>
        <w:t>Pokud opatření zavedená v souladu s odstavcem 1 na podporu účasti nefosilní flexibility, jako je odezva strany poptávky a skladování, v kapacitních mechanismech nejsou dostatečná k dosažení potřeb flexibility zjištěných v souladu s článkem 19d, mohou členské státy uplatňovat režimy podpory flexibility sestávající z plateb za dostupnou kapacitu nefosilní flexibility, jako je odezva strany poptávky a skladování.</w:t>
      </w:r>
    </w:p>
    <w:p w14:paraId="55F6B715" w14:textId="77777777" w:rsidR="00976265" w:rsidRPr="002D7798" w:rsidRDefault="00976265" w:rsidP="5579B2EF">
      <w:pPr>
        <w:pStyle w:val="Text1"/>
        <w:rPr>
          <w:noProof/>
        </w:rPr>
      </w:pPr>
    </w:p>
    <w:p w14:paraId="74DA71B3" w14:textId="34F1826C" w:rsidR="00976265" w:rsidRPr="002D7798" w:rsidRDefault="00451FE6" w:rsidP="00451FE6">
      <w:pPr>
        <w:pStyle w:val="ManualNumPar1"/>
        <w:rPr>
          <w:noProof/>
        </w:rPr>
      </w:pPr>
      <w:r w:rsidRPr="00451FE6">
        <w:t>3.</w:t>
      </w:r>
      <w:r w:rsidRPr="00451FE6">
        <w:tab/>
      </w:r>
      <w:r w:rsidR="0064263D" w:rsidRPr="002D7798">
        <w:rPr>
          <w:noProof/>
        </w:rPr>
        <w:t>Členské státy, které neuplatňují kapacitní mechanismus, mohou uplatňovat režimy podpory flexibility sestávající z plateb za dostupnou kapacitu nefosilní flexibility, jako je odezva strany poptávky a skladování.</w:t>
      </w:r>
    </w:p>
    <w:p w14:paraId="7B48CE65" w14:textId="1F1EF59A" w:rsidR="00976265" w:rsidRPr="002D7798" w:rsidRDefault="0064263D" w:rsidP="00864F43">
      <w:pPr>
        <w:ind w:left="720"/>
        <w:jc w:val="center"/>
        <w:rPr>
          <w:noProof/>
        </w:rPr>
      </w:pPr>
      <w:r w:rsidRPr="002D7798">
        <w:rPr>
          <w:noProof/>
        </w:rPr>
        <w:t>Článek 19f</w:t>
      </w:r>
    </w:p>
    <w:p w14:paraId="3322E7F6" w14:textId="77777777" w:rsidR="00976265" w:rsidRPr="002D7798" w:rsidRDefault="0064263D" w:rsidP="00864F43">
      <w:pPr>
        <w:ind w:left="720"/>
        <w:jc w:val="center"/>
        <w:rPr>
          <w:noProof/>
        </w:rPr>
      </w:pPr>
      <w:r w:rsidRPr="002D7798">
        <w:rPr>
          <w:noProof/>
        </w:rPr>
        <w:t>Koncepční zásady režimů podpory flexibility</w:t>
      </w:r>
    </w:p>
    <w:p w14:paraId="5D29982A" w14:textId="5DFD9013" w:rsidR="00976265" w:rsidRPr="002D7798" w:rsidRDefault="0064263D" w:rsidP="5579B2EF">
      <w:pPr>
        <w:spacing w:line="360" w:lineRule="auto"/>
        <w:rPr>
          <w:noProof/>
        </w:rPr>
      </w:pPr>
      <w:r w:rsidRPr="002D7798">
        <w:rPr>
          <w:noProof/>
        </w:rPr>
        <w:t>Režim podpory flexibility pro nefosilní flexibilitu, jako je odezva strany poptávky a skladování, uplatňovaný členskými státy v souladu s čl. 19e odst. 2 a 3:</w:t>
      </w:r>
    </w:p>
    <w:p w14:paraId="1FBF6E42" w14:textId="0C76DBFA" w:rsidR="52190569" w:rsidRPr="002D7798" w:rsidRDefault="00667462" w:rsidP="00667462">
      <w:pPr>
        <w:pStyle w:val="Point1"/>
        <w:rPr>
          <w:noProof/>
        </w:rPr>
      </w:pPr>
      <w:r>
        <w:rPr>
          <w:noProof/>
        </w:rPr>
        <w:t>a)</w:t>
      </w:r>
      <w:r>
        <w:rPr>
          <w:noProof/>
        </w:rPr>
        <w:tab/>
      </w:r>
      <w:r w:rsidR="52190569" w:rsidRPr="002D7798">
        <w:rPr>
          <w:noProof/>
        </w:rPr>
        <w:t>nepřekračuje rámec toho, co je nezbytné pro nákladově efektivní řešení zjištěných potřeb flexibility;</w:t>
      </w:r>
    </w:p>
    <w:p w14:paraId="0DF59C24" w14:textId="79740399" w:rsidR="00976265" w:rsidRPr="002D7798" w:rsidRDefault="00667462" w:rsidP="00667462">
      <w:pPr>
        <w:pStyle w:val="Point1"/>
        <w:rPr>
          <w:noProof/>
        </w:rPr>
      </w:pPr>
      <w:r>
        <w:rPr>
          <w:noProof/>
        </w:rPr>
        <w:t>b)</w:t>
      </w:r>
      <w:r>
        <w:rPr>
          <w:noProof/>
        </w:rPr>
        <w:tab/>
      </w:r>
      <w:r w:rsidR="70F12461" w:rsidRPr="002D7798">
        <w:rPr>
          <w:noProof/>
        </w:rPr>
        <w:t>se omezí na nové investice do nefosilní flexibility, jako je odezva strany poptávky a skladování;</w:t>
      </w:r>
    </w:p>
    <w:p w14:paraId="2273D377" w14:textId="3B6ECFE9" w:rsidR="00976265" w:rsidRPr="002D7798" w:rsidRDefault="00667462" w:rsidP="00667462">
      <w:pPr>
        <w:pStyle w:val="Point1"/>
        <w:rPr>
          <w:noProof/>
        </w:rPr>
      </w:pPr>
      <w:r>
        <w:rPr>
          <w:noProof/>
        </w:rPr>
        <w:t>c)</w:t>
      </w:r>
      <w:r>
        <w:rPr>
          <w:noProof/>
        </w:rPr>
        <w:tab/>
      </w:r>
      <w:r w:rsidR="70F12461" w:rsidRPr="002D7798">
        <w:rPr>
          <w:noProof/>
        </w:rPr>
        <w:t>nesmí znamenat zahájení výroby energie z fosilních paliv za bodem měření;</w:t>
      </w:r>
    </w:p>
    <w:p w14:paraId="50845385" w14:textId="5803DAD5" w:rsidR="00976265" w:rsidRPr="002D7798" w:rsidRDefault="00667462" w:rsidP="00667462">
      <w:pPr>
        <w:pStyle w:val="Point1"/>
        <w:rPr>
          <w:noProof/>
        </w:rPr>
      </w:pPr>
      <w:r>
        <w:rPr>
          <w:noProof/>
        </w:rPr>
        <w:t>d)</w:t>
      </w:r>
      <w:r>
        <w:rPr>
          <w:noProof/>
        </w:rPr>
        <w:tab/>
      </w:r>
      <w:r w:rsidR="70F12461" w:rsidRPr="002D7798">
        <w:rPr>
          <w:noProof/>
        </w:rPr>
        <w:t>vybírá poskytovatele kapacity v otevřeném, transparentním, konkurenčním, nediskriminačním a nákladově efektivním řízení;</w:t>
      </w:r>
    </w:p>
    <w:p w14:paraId="7F85069B" w14:textId="29EFD1A0" w:rsidR="00976265" w:rsidRPr="002D7798" w:rsidRDefault="00667462" w:rsidP="00667462">
      <w:pPr>
        <w:pStyle w:val="Point1"/>
        <w:rPr>
          <w:noProof/>
        </w:rPr>
      </w:pPr>
      <w:r>
        <w:rPr>
          <w:noProof/>
        </w:rPr>
        <w:t>e)</w:t>
      </w:r>
      <w:r>
        <w:rPr>
          <w:noProof/>
        </w:rPr>
        <w:tab/>
      </w:r>
      <w:r w:rsidR="70F12461" w:rsidRPr="002D7798">
        <w:rPr>
          <w:noProof/>
        </w:rPr>
        <w:t>zabraňuje přílišnému narušení účinného fungování trhů s elektřinou, včetně zachování účinných provozních pobídek a cenových signálů a vystavení kolísání cen a tržnímu riziku;</w:t>
      </w:r>
    </w:p>
    <w:p w14:paraId="2D5B5ABA" w14:textId="63B5EFF0" w:rsidR="00976265" w:rsidRPr="002D7798" w:rsidRDefault="00667462" w:rsidP="00667462">
      <w:pPr>
        <w:pStyle w:val="Point1"/>
        <w:rPr>
          <w:noProof/>
        </w:rPr>
      </w:pPr>
      <w:r>
        <w:rPr>
          <w:noProof/>
        </w:rPr>
        <w:t>f)</w:t>
      </w:r>
      <w:r>
        <w:rPr>
          <w:noProof/>
        </w:rPr>
        <w:tab/>
      </w:r>
      <w:r w:rsidR="002B37EF" w:rsidRPr="002D7798">
        <w:rPr>
          <w:noProof/>
        </w:rPr>
        <w:t xml:space="preserve">poskytuje pobídky pro integraci na trhu s elektřinou způsobem, které vychází ze situace na trhu a zohledňují ji, přičemž zabraňuje zbytečným narušením trhů s elektřinou a zohledňuje možné náklady na integraci systému a stabilitu sítě; </w:t>
      </w:r>
    </w:p>
    <w:p w14:paraId="24B45322" w14:textId="1CC0798B" w:rsidR="00976265" w:rsidRPr="002D7798" w:rsidRDefault="00667462" w:rsidP="00667462">
      <w:pPr>
        <w:pStyle w:val="Point1"/>
        <w:rPr>
          <w:noProof/>
        </w:rPr>
      </w:pPr>
      <w:r>
        <w:rPr>
          <w:noProof/>
        </w:rPr>
        <w:t>g)</w:t>
      </w:r>
      <w:r>
        <w:rPr>
          <w:noProof/>
        </w:rPr>
        <w:tab/>
      </w:r>
      <w:r w:rsidR="70F12461" w:rsidRPr="002D7798">
        <w:rPr>
          <w:noProof/>
        </w:rPr>
        <w:t>stanoví minimální úroveň účasti na trhu, pokud jde o aktivovanou energii, která zohlední technické zvláštnosti skladování a odezvy strany poptávky;</w:t>
      </w:r>
    </w:p>
    <w:p w14:paraId="34E616B8" w14:textId="21C87E7A" w:rsidR="00976265" w:rsidRPr="002D7798" w:rsidRDefault="00667462" w:rsidP="00667462">
      <w:pPr>
        <w:pStyle w:val="Point1"/>
        <w:rPr>
          <w:noProof/>
        </w:rPr>
      </w:pPr>
      <w:r>
        <w:rPr>
          <w:noProof/>
        </w:rPr>
        <w:t>h)</w:t>
      </w:r>
      <w:r>
        <w:rPr>
          <w:noProof/>
        </w:rPr>
        <w:tab/>
      </w:r>
      <w:r w:rsidR="70F12461" w:rsidRPr="002D7798">
        <w:rPr>
          <w:noProof/>
        </w:rPr>
        <w:t>ukládá vhodné sankce poskytovatelům kapacity, kteří nedodržují minimální úroveň účasti na trhu uvedenou v písmenu g) nebo kteří se neřídí účinnými provozními pobídkami a cenovými signály;</w:t>
      </w:r>
    </w:p>
    <w:p w14:paraId="7A0262BD" w14:textId="5B9DD5C4" w:rsidR="00976265" w:rsidRPr="002D7798" w:rsidRDefault="00667462" w:rsidP="00667462">
      <w:pPr>
        <w:pStyle w:val="Point1"/>
        <w:rPr>
          <w:noProof/>
        </w:rPr>
      </w:pPr>
      <w:r>
        <w:rPr>
          <w:noProof/>
        </w:rPr>
        <w:t>i)</w:t>
      </w:r>
      <w:r>
        <w:rPr>
          <w:noProof/>
        </w:rPr>
        <w:tab/>
      </w:r>
      <w:r w:rsidR="70F12461" w:rsidRPr="002D7798">
        <w:rPr>
          <w:noProof/>
        </w:rPr>
        <w:t>je otevřený přeshraniční účasti.“;</w:t>
      </w:r>
    </w:p>
    <w:p w14:paraId="4892DAF4" w14:textId="77777777" w:rsidR="00976265" w:rsidRPr="002D7798" w:rsidRDefault="00976265">
      <w:pPr>
        <w:spacing w:after="0" w:line="360" w:lineRule="auto"/>
        <w:contextualSpacing/>
        <w:rPr>
          <w:rFonts w:eastAsia="Times New Roman"/>
          <w:noProof/>
        </w:rPr>
      </w:pPr>
    </w:p>
    <w:p w14:paraId="44E6AADE" w14:textId="0E0A2A1B" w:rsidR="00976265" w:rsidRPr="002D7798" w:rsidRDefault="0064263D">
      <w:pPr>
        <w:spacing w:after="160" w:line="360" w:lineRule="auto"/>
        <w:rPr>
          <w:rFonts w:eastAsia="Times New Roman"/>
          <w:noProof/>
        </w:rPr>
      </w:pPr>
      <w:r w:rsidRPr="002D7798">
        <w:rPr>
          <w:noProof/>
        </w:rPr>
        <w:t>10) v čl. 37 odst. 1 se písmeno a) nahrazuje tímto:</w:t>
      </w:r>
    </w:p>
    <w:p w14:paraId="6035D386" w14:textId="77777777" w:rsidR="00976265" w:rsidRPr="002D7798" w:rsidRDefault="0064263D">
      <w:pPr>
        <w:spacing w:line="360" w:lineRule="auto"/>
        <w:contextualSpacing/>
        <w:rPr>
          <w:rFonts w:eastAsia="Times New Roman"/>
          <w:noProof/>
        </w:rPr>
      </w:pPr>
      <w:r w:rsidRPr="002D7798">
        <w:rPr>
          <w:noProof/>
        </w:rPr>
        <w:t>„a) provádí koordinovaný výpočet kapacity v souladu s metodikami vypracovanými podle rámcového pokynu pro přidělování kapacity na dlouhodobém trhu, rámcového pokynu pro přidělování kapacity a řízení přetížení a rámcového pokynu pro obchodní zajišťování výkonové rovnováhy v elektroenergetice přijatých na základě čl. 18 odst. 5 nařízení (ES) č. 714/2009;“;</w:t>
      </w:r>
    </w:p>
    <w:p w14:paraId="0C00A375" w14:textId="77777777" w:rsidR="00976265" w:rsidRPr="002D7798" w:rsidRDefault="00976265">
      <w:pPr>
        <w:spacing w:line="360" w:lineRule="auto"/>
        <w:contextualSpacing/>
        <w:rPr>
          <w:rFonts w:eastAsia="Times New Roman"/>
          <w:noProof/>
        </w:rPr>
      </w:pPr>
    </w:p>
    <w:p w14:paraId="0F8B88F0" w14:textId="4AA39242" w:rsidR="00976265" w:rsidRPr="002D7798" w:rsidRDefault="0064263D">
      <w:pPr>
        <w:spacing w:line="360" w:lineRule="auto"/>
        <w:contextualSpacing/>
        <w:rPr>
          <w:rFonts w:eastAsia="Times New Roman"/>
          <w:noProof/>
        </w:rPr>
      </w:pPr>
      <w:r w:rsidRPr="002D7798">
        <w:rPr>
          <w:noProof/>
        </w:rPr>
        <w:t>11) článek 50 se mění takto:</w:t>
      </w:r>
    </w:p>
    <w:p w14:paraId="771112F6" w14:textId="74ABDB32" w:rsidR="00976265" w:rsidRPr="002D7798" w:rsidRDefault="0064263D">
      <w:pPr>
        <w:spacing w:line="360" w:lineRule="auto"/>
        <w:contextualSpacing/>
        <w:rPr>
          <w:rFonts w:eastAsia="Times New Roman"/>
          <w:noProof/>
        </w:rPr>
      </w:pPr>
      <w:r w:rsidRPr="002D7798">
        <w:rPr>
          <w:noProof/>
        </w:rPr>
        <w:t xml:space="preserve"> a) vkládá se nový odstavec 4a, který zní:</w:t>
      </w:r>
    </w:p>
    <w:p w14:paraId="651154E9" w14:textId="0004F29F" w:rsidR="00976265" w:rsidRPr="002D7798" w:rsidRDefault="0064263D" w:rsidP="00565890">
      <w:pPr>
        <w:spacing w:line="360" w:lineRule="auto"/>
        <w:contextualSpacing/>
        <w:rPr>
          <w:rFonts w:eastAsia="Times New Roman"/>
          <w:noProof/>
        </w:rPr>
      </w:pPr>
      <w:r w:rsidRPr="002D7798">
        <w:rPr>
          <w:noProof/>
        </w:rPr>
        <w:t>„4a. Provozovatelé přenosových soustav zveřejňují jasným a transparentním způsobem informace o kapacitě dostupné pro nová připojení v jejich příslušných oblastech provozu, a to i v přetížených oblastech, pokud je možné přizpůsobit připojení pro flexibilní ukládání energie, a tyto informace pravidelně, alespoň jednou za čtvrt roku, aktualizují.</w:t>
      </w:r>
    </w:p>
    <w:p w14:paraId="676C6979" w14:textId="7852F7B0" w:rsidR="00976265" w:rsidRPr="002D7798" w:rsidRDefault="7FAEFD7D" w:rsidP="5579B2EF">
      <w:pPr>
        <w:spacing w:line="360" w:lineRule="auto"/>
        <w:contextualSpacing/>
        <w:rPr>
          <w:rFonts w:eastAsia="Times New Roman"/>
          <w:noProof/>
        </w:rPr>
      </w:pPr>
      <w:r w:rsidRPr="002D7798">
        <w:rPr>
          <w:noProof/>
        </w:rPr>
        <w:t>Provozovatelé přenosových soustav rovněž poskytují uživatelům soustavy jasné a transparentní informace o stavu a vyřizování jejich žádostí o připojení. Tyto informace poskytnou do tří měsíců od podání žádosti.</w:t>
      </w:r>
      <w:r w:rsidRPr="002D7798">
        <w:rPr>
          <w:noProof/>
          <w:shd w:val="clear" w:color="auto" w:fill="E6E6E6"/>
        </w:rPr>
        <w:t>“;</w:t>
      </w:r>
    </w:p>
    <w:p w14:paraId="451722BF" w14:textId="77777777" w:rsidR="00976265" w:rsidRPr="002D7798" w:rsidRDefault="00976265">
      <w:pPr>
        <w:spacing w:line="360" w:lineRule="auto"/>
        <w:contextualSpacing/>
        <w:rPr>
          <w:rFonts w:eastAsia="Times New Roman"/>
          <w:noProof/>
        </w:rPr>
      </w:pPr>
    </w:p>
    <w:p w14:paraId="239CC06C" w14:textId="77777777" w:rsidR="00976265" w:rsidRPr="002D7798" w:rsidRDefault="0064263D">
      <w:pPr>
        <w:spacing w:line="360" w:lineRule="auto"/>
        <w:contextualSpacing/>
        <w:rPr>
          <w:rFonts w:eastAsia="Times New Roman"/>
          <w:noProof/>
        </w:rPr>
      </w:pPr>
      <w:r w:rsidRPr="002D7798">
        <w:rPr>
          <w:noProof/>
        </w:rPr>
        <w:t>12) v článku 57 se doplňuje nový odstavec 3, který zní:</w:t>
      </w:r>
    </w:p>
    <w:p w14:paraId="4F8EAA34" w14:textId="21F51C31" w:rsidR="00976265" w:rsidRPr="002D7798" w:rsidRDefault="0064263D" w:rsidP="00565890">
      <w:pPr>
        <w:spacing w:after="160" w:line="360" w:lineRule="auto"/>
        <w:contextualSpacing/>
        <w:rPr>
          <w:rFonts w:eastAsia="Times New Roman"/>
          <w:noProof/>
        </w:rPr>
      </w:pPr>
      <w:r w:rsidRPr="002D7798">
        <w:rPr>
          <w:noProof/>
        </w:rPr>
        <w:t>„3. Provozovatelé distribučních soustav a provozovatelé přenosových soustav vzájemně spolupracují při zveřejňování informací o kapacitě dostupné pro nová připojení v jejich příslušných oblastech provozu a činí tak konzistentním způsobem a poskytují dostatečně podrobný přehled zhotovitelům nových energetických projektů a dalším potenciálním uživatelům sítě</w:t>
      </w:r>
      <w:r w:rsidRPr="002D7798">
        <w:rPr>
          <w:noProof/>
          <w:shd w:val="clear" w:color="auto" w:fill="E6E6E6"/>
        </w:rPr>
        <w:t>.</w:t>
      </w:r>
      <w:r w:rsidRPr="002D7798">
        <w:rPr>
          <w:noProof/>
        </w:rPr>
        <w:t>“;</w:t>
      </w:r>
    </w:p>
    <w:p w14:paraId="2F2464DC" w14:textId="77777777" w:rsidR="00976265" w:rsidRPr="002D7798" w:rsidRDefault="00976265">
      <w:pPr>
        <w:spacing w:line="360" w:lineRule="auto"/>
        <w:contextualSpacing/>
        <w:rPr>
          <w:rFonts w:eastAsia="Times New Roman"/>
          <w:noProof/>
        </w:rPr>
      </w:pPr>
    </w:p>
    <w:p w14:paraId="223E08D7" w14:textId="53474403" w:rsidR="00976265" w:rsidRPr="002D7798" w:rsidRDefault="0064263D">
      <w:pPr>
        <w:spacing w:after="160" w:line="360" w:lineRule="auto"/>
        <w:rPr>
          <w:rFonts w:eastAsia="Times New Roman"/>
          <w:noProof/>
        </w:rPr>
      </w:pPr>
      <w:r w:rsidRPr="002D7798">
        <w:rPr>
          <w:noProof/>
        </w:rPr>
        <w:t>13) v čl. 59 odst. 1 se písmeno b) nahrazuje tímto:</w:t>
      </w:r>
    </w:p>
    <w:p w14:paraId="40E5ED6F" w14:textId="77777777" w:rsidR="00976265" w:rsidRPr="002D7798" w:rsidRDefault="0064263D">
      <w:pPr>
        <w:spacing w:after="160" w:line="360" w:lineRule="auto"/>
        <w:rPr>
          <w:rFonts w:eastAsia="Times New Roman"/>
          <w:noProof/>
        </w:rPr>
      </w:pPr>
      <w:r w:rsidRPr="002D7798">
        <w:rPr>
          <w:noProof/>
        </w:rPr>
        <w:t>„b) pravidla pro přidělování kapacit a řízení přetížení podle článku 6 směrnice (EU) 2019/944 a článků 7 až 10, 13 až 17, 19 a 35 až 37 tohoto nařízení, včetně pravidel pro metodiky a postupy pro výpočet přidělování kapacity na následující den, vnitrodenní kapacity a kapacity na dlouhodobém trhu, modely sítě, konfiguraci nabídkových zón, redispečink a protiobchody, obchodní algoritmy, jednotné propojení denních a vnitrodenních trhů, včetně možnosti provozování jediným subjektem, závaznost přidělené kapacity mezi zónami, rozdělování příjmu z přetížení, přidělování dlouhodobých finančních přenosových práv jednotnou platformou pro přidělování, zajištění rizik spojených s přenosem mezi zónami, postupy jmenování a krytí nákladů na přidělování kapacity a řízení přetížení;“;</w:t>
      </w:r>
    </w:p>
    <w:p w14:paraId="68442A78" w14:textId="0C3CBC12" w:rsidR="007F63C4" w:rsidRPr="002D7798" w:rsidRDefault="0064263D" w:rsidP="007F63C4">
      <w:pPr>
        <w:spacing w:after="160" w:line="360" w:lineRule="auto"/>
        <w:rPr>
          <w:rFonts w:eastAsia="Times New Roman"/>
          <w:noProof/>
        </w:rPr>
      </w:pPr>
      <w:r w:rsidRPr="002D7798">
        <w:rPr>
          <w:noProof/>
        </w:rPr>
        <w:t>14) doplňuje se nový článek 69a, který zní:</w:t>
      </w:r>
    </w:p>
    <w:p w14:paraId="1A1E35B5" w14:textId="77777777" w:rsidR="007F63C4" w:rsidRPr="002D7798" w:rsidRDefault="007F63C4" w:rsidP="007F63C4">
      <w:pPr>
        <w:ind w:left="720"/>
        <w:jc w:val="center"/>
        <w:rPr>
          <w:noProof/>
        </w:rPr>
      </w:pPr>
      <w:r w:rsidRPr="002D7798">
        <w:rPr>
          <w:noProof/>
        </w:rPr>
        <w:t>„Článek 69a</w:t>
      </w:r>
    </w:p>
    <w:p w14:paraId="13FF1AC0" w14:textId="77777777" w:rsidR="007F63C4" w:rsidRPr="002D7798" w:rsidRDefault="007F63C4" w:rsidP="007F63C4">
      <w:pPr>
        <w:ind w:left="720"/>
        <w:jc w:val="center"/>
        <w:rPr>
          <w:noProof/>
        </w:rPr>
      </w:pPr>
      <w:r w:rsidRPr="002D7798">
        <w:rPr>
          <w:noProof/>
        </w:rPr>
        <w:t>Interakce s finančními právními předpisy Unie</w:t>
      </w:r>
    </w:p>
    <w:p w14:paraId="3CB201DB" w14:textId="77777777" w:rsidR="007F63C4" w:rsidRPr="002D7798" w:rsidRDefault="007F63C4" w:rsidP="007F63C4">
      <w:pPr>
        <w:spacing w:line="360" w:lineRule="auto"/>
        <w:rPr>
          <w:rFonts w:eastAsia="Times New Roman"/>
          <w:noProof/>
        </w:rPr>
      </w:pPr>
      <w:r w:rsidRPr="002D7798">
        <w:rPr>
          <w:noProof/>
        </w:rPr>
        <w:t>Žádné ustanovení tohoto nařízení se neodchyluje od ustanovení směrnice (EU) 2014/65, nařízení (EU) č. 648/2012 a nařízení (EU) č. 600/2014, pokud účastníci trhu nebo organizátoři trhu vykonávají činnosti související s finančními nástroji, zejména ve smyslu čl. 4 odst. 1 bodu 15 směrnice (EU) 2014/65.“;</w:t>
      </w:r>
    </w:p>
    <w:p w14:paraId="4FD2802F" w14:textId="1E04722C" w:rsidR="00976265" w:rsidRPr="002D7798" w:rsidRDefault="007F63C4">
      <w:pPr>
        <w:spacing w:line="360" w:lineRule="auto"/>
        <w:rPr>
          <w:rFonts w:eastAsia="Times New Roman"/>
          <w:b/>
          <w:bCs/>
          <w:noProof/>
        </w:rPr>
      </w:pPr>
      <w:r w:rsidRPr="002D7798">
        <w:rPr>
          <w:noProof/>
        </w:rPr>
        <w:t>15) v příloze I se bod 1.2 nahrazuje tímto:</w:t>
      </w:r>
    </w:p>
    <w:p w14:paraId="598C6224" w14:textId="5FE7E543" w:rsidR="00976265" w:rsidRPr="002D7798" w:rsidRDefault="0064263D">
      <w:pPr>
        <w:spacing w:after="160" w:line="360" w:lineRule="auto"/>
        <w:rPr>
          <w:rFonts w:eastAsia="Times New Roman"/>
          <w:noProof/>
          <w:sz w:val="22"/>
        </w:rPr>
      </w:pPr>
      <w:r w:rsidRPr="002D7798">
        <w:rPr>
          <w:noProof/>
        </w:rPr>
        <w:t>„1.2 Koordinovaný výpočet kapacity se provádí pro všechny časové rámce přidělování.“</w:t>
      </w:r>
    </w:p>
    <w:p w14:paraId="799DDB76" w14:textId="77777777" w:rsidR="00976265" w:rsidRPr="002D7798" w:rsidRDefault="00976265">
      <w:pPr>
        <w:spacing w:line="360" w:lineRule="auto"/>
        <w:rPr>
          <w:rFonts w:eastAsia="Times New Roman"/>
          <w:noProof/>
          <w:sz w:val="22"/>
          <w:highlight w:val="yellow"/>
        </w:rPr>
      </w:pPr>
    </w:p>
    <w:p w14:paraId="37F93CA6" w14:textId="77777777" w:rsidR="00976265" w:rsidRPr="002D7798" w:rsidRDefault="0064263D">
      <w:pPr>
        <w:pStyle w:val="Titrearticle"/>
        <w:spacing w:line="360" w:lineRule="auto"/>
        <w:rPr>
          <w:rFonts w:eastAsia="Times New Roman"/>
          <w:noProof/>
          <w:sz w:val="22"/>
        </w:rPr>
      </w:pPr>
      <w:r w:rsidRPr="002D7798">
        <w:rPr>
          <w:noProof/>
        </w:rPr>
        <w:t>Článek 2</w:t>
      </w:r>
    </w:p>
    <w:p w14:paraId="6F986CAA" w14:textId="77777777" w:rsidR="00976265" w:rsidRPr="002D7798" w:rsidRDefault="0064263D">
      <w:pPr>
        <w:spacing w:line="360" w:lineRule="auto"/>
        <w:rPr>
          <w:noProof/>
        </w:rPr>
      </w:pPr>
      <w:r w:rsidRPr="002D7798">
        <w:rPr>
          <w:noProof/>
        </w:rPr>
        <w:t xml:space="preserve">Změny </w:t>
      </w:r>
      <w:r w:rsidRPr="002D7798">
        <w:rPr>
          <w:noProof/>
          <w:shd w:val="clear" w:color="auto" w:fill="FFFFFF"/>
        </w:rPr>
        <w:t>směrnice Evropského parlamentu a Rady (EU) 2019/944 ze dne 5. června 2019 o společných pravidlech pro vnitřní trh s elektřinou</w:t>
      </w:r>
    </w:p>
    <w:p w14:paraId="458DB716" w14:textId="77777777" w:rsidR="00976265" w:rsidRPr="002D7798" w:rsidRDefault="0064263D">
      <w:pPr>
        <w:spacing w:line="360" w:lineRule="auto"/>
        <w:jc w:val="left"/>
        <w:rPr>
          <w:rFonts w:eastAsia="Times New Roman"/>
          <w:noProof/>
        </w:rPr>
      </w:pPr>
      <w:r w:rsidRPr="002D7798">
        <w:rPr>
          <w:noProof/>
          <w:shd w:val="clear" w:color="auto" w:fill="FFFFFF"/>
        </w:rPr>
        <w:t>Směrnice Evropského parlamentu a Rady (EU) 2019/944 ze dne 5. června 2019 o společných pravidlech pro vnitřní trh s elektřinou se mění takto</w:t>
      </w:r>
      <w:r w:rsidRPr="002D7798">
        <w:rPr>
          <w:noProof/>
        </w:rPr>
        <w:t xml:space="preserve">: </w:t>
      </w:r>
    </w:p>
    <w:p w14:paraId="68B58E3F" w14:textId="77777777" w:rsidR="00976265" w:rsidRPr="002D7798" w:rsidRDefault="0064263D">
      <w:pPr>
        <w:spacing w:line="360" w:lineRule="auto"/>
        <w:ind w:left="720"/>
        <w:contextualSpacing/>
        <w:jc w:val="left"/>
        <w:rPr>
          <w:rFonts w:eastAsia="Times New Roman"/>
          <w:noProof/>
        </w:rPr>
      </w:pPr>
      <w:r w:rsidRPr="002D7798">
        <w:rPr>
          <w:noProof/>
        </w:rPr>
        <w:t>1) článek 2 se mění takto:</w:t>
      </w:r>
    </w:p>
    <w:p w14:paraId="181EFD20" w14:textId="77777777" w:rsidR="00976265" w:rsidRPr="002D7798" w:rsidRDefault="0064263D">
      <w:pPr>
        <w:spacing w:after="160" w:line="360" w:lineRule="auto"/>
        <w:jc w:val="left"/>
        <w:rPr>
          <w:rFonts w:eastAsia="Times New Roman"/>
          <w:noProof/>
        </w:rPr>
      </w:pPr>
      <w:r w:rsidRPr="002D7798">
        <w:rPr>
          <w:noProof/>
        </w:rPr>
        <w:t>a) body 8 a 49 se nahrazují tímto:</w:t>
      </w:r>
    </w:p>
    <w:p w14:paraId="77E18039" w14:textId="5E531DB8" w:rsidR="00976265" w:rsidRPr="002D7798" w:rsidRDefault="0064263D">
      <w:pPr>
        <w:spacing w:line="360" w:lineRule="auto"/>
        <w:ind w:left="850" w:hanging="850"/>
        <w:rPr>
          <w:rFonts w:eastAsia="Times New Roman"/>
          <w:noProof/>
        </w:rPr>
      </w:pPr>
      <w:r w:rsidRPr="002D7798">
        <w:rPr>
          <w:noProof/>
        </w:rPr>
        <w:t>„8)</w:t>
      </w:r>
      <w:r w:rsidRPr="002D7798">
        <w:rPr>
          <w:noProof/>
        </w:rPr>
        <w:tab/>
        <w:t>„aktivním zákazníkem“ konečný zákazník nebo skupina společně jednajících konečných zákazníků, kteří spotřebovávají nebo ukládají elektřinu vyrobenou ve svých vlastních prostorách umístěných ve vymezených hranicích, nebo elektřinu vyrobenou z vlastních zdrojů nebo sdílenou elektřinu v jiných prostorách nacházejících se v téže nabídkové zóně, nebo kteří prodávají elektřinu vyrobenou z vlastních zdrojů, či se účastní programů flexibility nebo energetické účinnosti, za předpokladu, že uvedené činnosti nepředstavují jejich hlavní obchodní nebo profesionální činnost;“;</w:t>
      </w:r>
    </w:p>
    <w:p w14:paraId="2101157A" w14:textId="0A604B88" w:rsidR="00976265" w:rsidRPr="002D7798" w:rsidRDefault="0064263D">
      <w:pPr>
        <w:spacing w:line="360" w:lineRule="auto"/>
        <w:ind w:left="850" w:hanging="850"/>
        <w:rPr>
          <w:rFonts w:eastAsia="Times New Roman"/>
          <w:noProof/>
        </w:rPr>
      </w:pPr>
      <w:r w:rsidRPr="002D7798">
        <w:rPr>
          <w:noProof/>
        </w:rPr>
        <w:t>„49) „nefrekvenční podpůrnou službou“ služba využívaná provozovatelem přenosové soustavy nebo provozovatelem distribuční soustavy k regulaci napětí v ustáleném stavu, dodávkám rychlého jalového proudu, zajištění setrvačnosti kvůli stabilitě místní sítě, zkratového proudu, schopnosti startu ze tmy, schopnosti ostrovního provozu a snížení spotřeby v době špičky;“;</w:t>
      </w:r>
    </w:p>
    <w:p w14:paraId="41A1AC15" w14:textId="77777777" w:rsidR="00976265" w:rsidRPr="002D7798" w:rsidRDefault="00976265">
      <w:pPr>
        <w:spacing w:line="360" w:lineRule="auto"/>
        <w:ind w:left="850" w:hanging="850"/>
        <w:rPr>
          <w:rFonts w:eastAsia="Times New Roman"/>
          <w:noProof/>
        </w:rPr>
      </w:pPr>
    </w:p>
    <w:p w14:paraId="72537565" w14:textId="7EEF6203" w:rsidR="00976265" w:rsidRPr="002D7798" w:rsidRDefault="0064263D" w:rsidP="00851B85">
      <w:pPr>
        <w:spacing w:after="160" w:line="360" w:lineRule="auto"/>
        <w:contextualSpacing/>
        <w:jc w:val="left"/>
        <w:rPr>
          <w:rFonts w:eastAsia="Times New Roman"/>
          <w:noProof/>
        </w:rPr>
      </w:pPr>
      <w:r w:rsidRPr="002D7798">
        <w:rPr>
          <w:noProof/>
        </w:rPr>
        <w:t>b) vkládají se nové body, které znějí:</w:t>
      </w:r>
    </w:p>
    <w:p w14:paraId="06CBA6BF" w14:textId="53FF4767" w:rsidR="00976265" w:rsidRPr="002D7798" w:rsidRDefault="70F12461" w:rsidP="00851B85">
      <w:pPr>
        <w:spacing w:after="160" w:line="360" w:lineRule="auto"/>
        <w:rPr>
          <w:rFonts w:eastAsiaTheme="minorEastAsia"/>
          <w:noProof/>
        </w:rPr>
      </w:pPr>
      <w:r w:rsidRPr="002D7798">
        <w:rPr>
          <w:noProof/>
        </w:rPr>
        <w:t xml:space="preserve">„15a) „smlouvou na dodávky elektřiny za pevnou cenu na dobu určitou“ smlouva o dodávkách elektřiny mezi dodavatelem a konečným zákazníkem, která zaručuje stejné smluvní podmínky, včetně ceny, přičemž v rámci pevné ceny může obsahovat flexibilní prvek zahrnující například kolísání cen ve špičce a mimo špičku;“ </w:t>
      </w:r>
    </w:p>
    <w:p w14:paraId="4DC89506" w14:textId="408FFB76" w:rsidR="00976265" w:rsidRPr="002D7798" w:rsidRDefault="0064263D" w:rsidP="00851B85">
      <w:pPr>
        <w:spacing w:after="160" w:line="360" w:lineRule="auto"/>
        <w:rPr>
          <w:rFonts w:eastAsiaTheme="minorEastAsia"/>
          <w:noProof/>
        </w:rPr>
      </w:pPr>
      <w:r w:rsidRPr="002D7798">
        <w:rPr>
          <w:noProof/>
        </w:rPr>
        <w:t>„10a) „sdílením energie“ vlastní spotřeba aktivními zákazníky energie z obnovitelných zdrojů buď:</w:t>
      </w:r>
    </w:p>
    <w:p w14:paraId="2309E464" w14:textId="04A6DA9E" w:rsidR="00976265" w:rsidRPr="002D7798" w:rsidRDefault="00667462" w:rsidP="00667462">
      <w:pPr>
        <w:pStyle w:val="Point1"/>
        <w:rPr>
          <w:noProof/>
        </w:rPr>
      </w:pPr>
      <w:r>
        <w:rPr>
          <w:noProof/>
        </w:rPr>
        <w:t>a)</w:t>
      </w:r>
      <w:r>
        <w:rPr>
          <w:noProof/>
        </w:rPr>
        <w:tab/>
      </w:r>
      <w:r w:rsidR="0064263D" w:rsidRPr="002D7798">
        <w:rPr>
          <w:noProof/>
        </w:rPr>
        <w:t>vyrobené nebo ukládané společně v místě odběru, nebo mimo něj, prostřednictvím zařízení, které vlastní nebo pronajímají, ať už zcela, nebo zčásti; nebo</w:t>
      </w:r>
    </w:p>
    <w:p w14:paraId="4D8BA8AB" w14:textId="23258A98" w:rsidR="00976265" w:rsidRPr="002D7798" w:rsidRDefault="00667462" w:rsidP="00667462">
      <w:pPr>
        <w:pStyle w:val="Point1"/>
        <w:rPr>
          <w:noProof/>
        </w:rPr>
      </w:pPr>
      <w:r>
        <w:rPr>
          <w:noProof/>
        </w:rPr>
        <w:t>b)</w:t>
      </w:r>
      <w:r>
        <w:rPr>
          <w:noProof/>
        </w:rPr>
        <w:tab/>
      </w:r>
      <w:r w:rsidR="65903BA4" w:rsidRPr="002D7798">
        <w:rPr>
          <w:noProof/>
        </w:rPr>
        <w:t xml:space="preserve">právo k níž na ně bylo převedeno jiným aktivním zákazníkem, ať už bezplatně nebo za úplatu; </w:t>
      </w:r>
    </w:p>
    <w:p w14:paraId="01D287E2" w14:textId="77777777" w:rsidR="000B1A65" w:rsidRPr="002D7798" w:rsidRDefault="0064263D" w:rsidP="00851B85">
      <w:pPr>
        <w:spacing w:after="160" w:line="360" w:lineRule="auto"/>
        <w:rPr>
          <w:rFonts w:eastAsiaTheme="minorEastAsia"/>
          <w:noProof/>
        </w:rPr>
      </w:pPr>
      <w:r w:rsidRPr="002D7798">
        <w:rPr>
          <w:noProof/>
        </w:rPr>
        <w:t xml:space="preserve">10b) „přímým obchodováním“ s energií z obnovitelných zdrojů přímé obchodování ve smyslu čl. 2 bodu 18 směrnice (EU) 2018/2001; </w:t>
      </w:r>
    </w:p>
    <w:p w14:paraId="04B3A1D4" w14:textId="77777777" w:rsidR="000B1A65" w:rsidRPr="002D7798" w:rsidRDefault="000B1A65" w:rsidP="00851B85">
      <w:pPr>
        <w:spacing w:after="160" w:line="360" w:lineRule="auto"/>
        <w:rPr>
          <w:rFonts w:eastAsiaTheme="minorEastAsia"/>
          <w:noProof/>
        </w:rPr>
      </w:pPr>
      <w:r w:rsidRPr="002D7798">
        <w:rPr>
          <w:noProof/>
        </w:rPr>
        <w:t>24a) „dodavatelem poslední instance“ dodavatel, který je členským státem určen k převzetí dodávek elektřiny zákazníkům dodavatele, který ukončil činnost;“;</w:t>
      </w:r>
    </w:p>
    <w:p w14:paraId="7F20CC6A" w14:textId="26D3EB1B" w:rsidR="00976265" w:rsidRPr="002D7798" w:rsidRDefault="00976265" w:rsidP="0026168F">
      <w:pPr>
        <w:spacing w:line="360" w:lineRule="auto"/>
        <w:ind w:firstLine="720"/>
        <w:rPr>
          <w:rFonts w:eastAsia="Times New Roman"/>
          <w:noProof/>
        </w:rPr>
      </w:pPr>
    </w:p>
    <w:p w14:paraId="16D6B53E" w14:textId="0CE206A2" w:rsidR="00976265" w:rsidRPr="002D7798" w:rsidRDefault="0064263D">
      <w:pPr>
        <w:spacing w:line="360" w:lineRule="auto"/>
        <w:ind w:left="720"/>
        <w:contextualSpacing/>
        <w:rPr>
          <w:rFonts w:eastAsia="Times New Roman"/>
          <w:noProof/>
        </w:rPr>
      </w:pPr>
      <w:r w:rsidRPr="002D7798">
        <w:rPr>
          <w:noProof/>
        </w:rPr>
        <w:t>2) článek 4 se nahrazuje tímto:</w:t>
      </w:r>
    </w:p>
    <w:p w14:paraId="45F3DBFF" w14:textId="77777777" w:rsidR="00976265" w:rsidRPr="002D7798" w:rsidRDefault="00976265" w:rsidP="00864F43">
      <w:pPr>
        <w:ind w:left="720"/>
        <w:jc w:val="center"/>
        <w:rPr>
          <w:noProof/>
        </w:rPr>
      </w:pPr>
    </w:p>
    <w:p w14:paraId="374BA2A0" w14:textId="77777777" w:rsidR="00976265" w:rsidRPr="002D7798" w:rsidRDefault="0064263D" w:rsidP="00864F43">
      <w:pPr>
        <w:ind w:left="720"/>
        <w:jc w:val="center"/>
        <w:rPr>
          <w:noProof/>
        </w:rPr>
      </w:pPr>
      <w:r w:rsidRPr="002D7798">
        <w:rPr>
          <w:noProof/>
        </w:rPr>
        <w:t>„Článek 4</w:t>
      </w:r>
    </w:p>
    <w:p w14:paraId="6BAA978F" w14:textId="77777777" w:rsidR="00976265" w:rsidRPr="002D7798" w:rsidRDefault="0064263D" w:rsidP="00864F43">
      <w:pPr>
        <w:ind w:left="720"/>
        <w:jc w:val="center"/>
        <w:rPr>
          <w:noProof/>
        </w:rPr>
      </w:pPr>
      <w:r w:rsidRPr="002D7798">
        <w:rPr>
          <w:noProof/>
        </w:rPr>
        <w:t>Svobodný výběr dodavatele</w:t>
      </w:r>
    </w:p>
    <w:p w14:paraId="0A853513" w14:textId="6EAEA6C5" w:rsidR="00976265" w:rsidRPr="002D7798" w:rsidRDefault="0064263D">
      <w:pPr>
        <w:spacing w:line="360" w:lineRule="auto"/>
        <w:contextualSpacing/>
        <w:rPr>
          <w:rFonts w:eastAsia="Times New Roman"/>
          <w:noProof/>
          <w:shd w:val="clear" w:color="auto" w:fill="FFFFFF"/>
        </w:rPr>
      </w:pPr>
      <w:r w:rsidRPr="002D7798">
        <w:rPr>
          <w:noProof/>
          <w:shd w:val="clear" w:color="auto" w:fill="FFFFFF"/>
        </w:rPr>
        <w:t>Členské státy zajistí, aby všichni zákazníci mohli svobodně nakupovat elektřinu od dodavatele dle vlastního výběru.</w:t>
      </w:r>
      <w:r w:rsidRPr="002D7798">
        <w:rPr>
          <w:b/>
          <w:noProof/>
          <w:shd w:val="clear" w:color="auto" w:fill="FFFFFF"/>
        </w:rPr>
        <w:t xml:space="preserve"> </w:t>
      </w:r>
      <w:r w:rsidRPr="002D7798">
        <w:rPr>
          <w:noProof/>
          <w:shd w:val="clear" w:color="auto" w:fill="FFFFFF"/>
        </w:rPr>
        <w:t xml:space="preserve">Členské státy zajistí, aby všichni zákazníci měli možnost uzavřít současně více než jednu smlouvu na dodávky elektřiny a aby za tímto účelem měli nárok mít ve svých odběrových místech více než jeden bod měření a bod účtování pro jediné místo připojení.“; </w:t>
      </w:r>
    </w:p>
    <w:p w14:paraId="3351D193" w14:textId="77777777" w:rsidR="00976265" w:rsidRPr="002D7798" w:rsidRDefault="00976265">
      <w:pPr>
        <w:spacing w:line="360" w:lineRule="auto"/>
        <w:ind w:left="720"/>
        <w:contextualSpacing/>
        <w:rPr>
          <w:rFonts w:eastAsia="Times New Roman"/>
          <w:b/>
          <w:bCs/>
          <w:noProof/>
          <w:u w:val="single"/>
        </w:rPr>
      </w:pPr>
    </w:p>
    <w:p w14:paraId="64E1CCAA" w14:textId="667A0F2C" w:rsidR="00976265" w:rsidRPr="002D7798" w:rsidRDefault="0064263D">
      <w:pPr>
        <w:spacing w:line="360" w:lineRule="auto"/>
        <w:ind w:left="720"/>
        <w:contextualSpacing/>
        <w:rPr>
          <w:rFonts w:eastAsia="Times New Roman"/>
          <w:noProof/>
        </w:rPr>
      </w:pPr>
      <w:r w:rsidRPr="002D7798">
        <w:rPr>
          <w:noProof/>
        </w:rPr>
        <w:t>3) článek 11 se mění takto:</w:t>
      </w:r>
    </w:p>
    <w:p w14:paraId="457594E9" w14:textId="77777777" w:rsidR="00976265" w:rsidRPr="002D7798" w:rsidRDefault="00976265">
      <w:pPr>
        <w:spacing w:line="360" w:lineRule="auto"/>
        <w:ind w:left="720"/>
        <w:contextualSpacing/>
        <w:rPr>
          <w:rFonts w:eastAsia="Times New Roman"/>
          <w:noProof/>
        </w:rPr>
      </w:pPr>
    </w:p>
    <w:p w14:paraId="4ADE91D9" w14:textId="77777777" w:rsidR="00976265" w:rsidRPr="002D7798" w:rsidRDefault="0064263D">
      <w:pPr>
        <w:spacing w:line="360" w:lineRule="auto"/>
        <w:contextualSpacing/>
        <w:rPr>
          <w:rFonts w:eastAsia="Times New Roman"/>
          <w:noProof/>
        </w:rPr>
      </w:pPr>
      <w:r w:rsidRPr="002D7798">
        <w:rPr>
          <w:noProof/>
        </w:rPr>
        <w:t>a) nadpis se nahrazuje tímto:</w:t>
      </w:r>
    </w:p>
    <w:p w14:paraId="578E1E8D" w14:textId="77777777" w:rsidR="00976265" w:rsidRPr="002D7798" w:rsidRDefault="00976265">
      <w:pPr>
        <w:spacing w:line="360" w:lineRule="auto"/>
        <w:contextualSpacing/>
        <w:rPr>
          <w:rFonts w:eastAsia="Times New Roman"/>
          <w:noProof/>
        </w:rPr>
      </w:pPr>
    </w:p>
    <w:p w14:paraId="0236F692" w14:textId="1A834674" w:rsidR="00976265" w:rsidRPr="002D7798" w:rsidRDefault="0064263D" w:rsidP="00565890">
      <w:pPr>
        <w:spacing w:after="160" w:line="360" w:lineRule="auto"/>
        <w:rPr>
          <w:rFonts w:eastAsiaTheme="minorEastAsia"/>
          <w:noProof/>
        </w:rPr>
      </w:pPr>
      <w:r w:rsidRPr="002D7798">
        <w:rPr>
          <w:noProof/>
        </w:rPr>
        <w:t>„Nárok na smlouvu s dynamickým určováním ceny elektřiny a na smlouvu na dobu určitou s pevnou cenou“;</w:t>
      </w:r>
    </w:p>
    <w:p w14:paraId="119DEF5F" w14:textId="77777777" w:rsidR="00976265" w:rsidRPr="002D7798" w:rsidRDefault="00976265">
      <w:pPr>
        <w:shd w:val="clear" w:color="auto" w:fill="FFFFFF" w:themeFill="background1"/>
        <w:spacing w:before="60" w:line="360" w:lineRule="auto"/>
        <w:ind w:left="720"/>
        <w:contextualSpacing/>
        <w:rPr>
          <w:rFonts w:eastAsia="Times New Roman"/>
          <w:b/>
          <w:bCs/>
          <w:noProof/>
        </w:rPr>
      </w:pPr>
    </w:p>
    <w:p w14:paraId="72F4C90E" w14:textId="77777777" w:rsidR="00976265" w:rsidRPr="002D7798" w:rsidRDefault="0064263D">
      <w:pPr>
        <w:shd w:val="clear" w:color="auto" w:fill="FFFFFF" w:themeFill="background1"/>
        <w:spacing w:before="60" w:line="360" w:lineRule="auto"/>
        <w:contextualSpacing/>
        <w:rPr>
          <w:rFonts w:eastAsia="Times New Roman"/>
          <w:noProof/>
        </w:rPr>
      </w:pPr>
      <w:r w:rsidRPr="002D7798">
        <w:rPr>
          <w:noProof/>
        </w:rPr>
        <w:t>b) odstavec 1 se nahrazuje tímto:</w:t>
      </w:r>
    </w:p>
    <w:p w14:paraId="33D2221C" w14:textId="77777777" w:rsidR="00976265" w:rsidRPr="002D7798" w:rsidRDefault="00976265">
      <w:pPr>
        <w:shd w:val="clear" w:color="auto" w:fill="FFFFFF" w:themeFill="background1"/>
        <w:spacing w:before="60" w:line="360" w:lineRule="auto"/>
        <w:contextualSpacing/>
        <w:rPr>
          <w:rFonts w:eastAsia="Times New Roman"/>
          <w:b/>
          <w:bCs/>
          <w:noProof/>
        </w:rPr>
      </w:pPr>
    </w:p>
    <w:p w14:paraId="1F73681C" w14:textId="77777777" w:rsidR="00976265" w:rsidRPr="002D7798" w:rsidRDefault="0064263D">
      <w:pPr>
        <w:shd w:val="clear" w:color="auto" w:fill="FFFFFF" w:themeFill="background1"/>
        <w:spacing w:after="0" w:line="360" w:lineRule="auto"/>
        <w:contextualSpacing/>
        <w:rPr>
          <w:rFonts w:eastAsia="Times New Roman"/>
          <w:noProof/>
        </w:rPr>
      </w:pPr>
      <w:r w:rsidRPr="002D7798">
        <w:rPr>
          <w:noProof/>
        </w:rPr>
        <w:t>„1.   Členské státy zajistí, aby vnitrostátní regulační rámec dodavatelům umožňoval nabízet smlouvy na dobu určitou s pevnou cenou a smlouvy s dynamickým určováním ceny elektřiny. Členské státy zajistí, aby koneční zákazníci, kteří mají nainstalován inteligentní elektroměr, mohli požádat o uzavření smlouvy s dynamickým určováním ceny elektřiny a aby všichni koneční zákazníci mohli požádat o uzavření smlouvy s pevně stanovenou cenou elektřiny na dobu určitou nejméně jednoho roku alespoň jednoho dodavatele a každého dodavatele, který má více než 200 000 konečných zákazníků.“;</w:t>
      </w:r>
    </w:p>
    <w:p w14:paraId="296DCF24" w14:textId="77777777" w:rsidR="00976265" w:rsidRPr="002D7798" w:rsidRDefault="00976265">
      <w:pPr>
        <w:shd w:val="clear" w:color="auto" w:fill="FFFFFF" w:themeFill="background1"/>
        <w:spacing w:after="0" w:line="360" w:lineRule="auto"/>
        <w:contextualSpacing/>
        <w:rPr>
          <w:rFonts w:eastAsia="Times New Roman"/>
          <w:noProof/>
        </w:rPr>
      </w:pPr>
    </w:p>
    <w:p w14:paraId="74B0712A" w14:textId="77777777" w:rsidR="00976265" w:rsidRPr="002D7798" w:rsidRDefault="0064263D" w:rsidP="00565890">
      <w:pPr>
        <w:shd w:val="clear" w:color="auto" w:fill="FFFFFF" w:themeFill="background1"/>
        <w:spacing w:before="60" w:line="360" w:lineRule="auto"/>
        <w:contextualSpacing/>
        <w:rPr>
          <w:rFonts w:eastAsia="Times New Roman"/>
          <w:noProof/>
        </w:rPr>
      </w:pPr>
      <w:r w:rsidRPr="002D7798">
        <w:rPr>
          <w:noProof/>
        </w:rPr>
        <w:t>c) vkládá se nový odstavec 1a, který zní:</w:t>
      </w:r>
    </w:p>
    <w:p w14:paraId="2FF25756" w14:textId="77777777" w:rsidR="00976265" w:rsidRPr="002D7798" w:rsidRDefault="00976265">
      <w:pPr>
        <w:shd w:val="clear" w:color="auto" w:fill="FFFFFF" w:themeFill="background1"/>
        <w:spacing w:after="0" w:line="360" w:lineRule="auto"/>
        <w:contextualSpacing/>
        <w:rPr>
          <w:rFonts w:eastAsia="Times New Roman"/>
          <w:noProof/>
        </w:rPr>
      </w:pPr>
    </w:p>
    <w:p w14:paraId="7F0D5A7A" w14:textId="77777777" w:rsidR="00976265" w:rsidRPr="002D7798" w:rsidRDefault="0064263D">
      <w:pPr>
        <w:shd w:val="clear" w:color="auto" w:fill="FFFFFF" w:themeFill="background1"/>
        <w:spacing w:after="0" w:line="360" w:lineRule="auto"/>
        <w:contextualSpacing/>
        <w:rPr>
          <w:rFonts w:eastAsia="Times New Roman"/>
          <w:noProof/>
        </w:rPr>
      </w:pPr>
      <w:r w:rsidRPr="002D7798">
        <w:rPr>
          <w:noProof/>
        </w:rPr>
        <w:t xml:space="preserve">„1a. Před uzavřením nebo prodloužením jakékoli smlouvy koneční zákazníci obdrží stručný přehled základních smluvních podmínek v přehledné, výstižné a srozumitelné podobě. Tento přehled bude obsahovat alespoň informace o celkové ceně, propagačních akcích, doplňkových službách a slevách a práva uvedená v čl. 10 odst. 3 písm. a), b), d), e) a f). Komise v tomto ohledu poskytne pokyny.“; </w:t>
      </w:r>
    </w:p>
    <w:p w14:paraId="3E54EB2A" w14:textId="77777777" w:rsidR="00976265" w:rsidRPr="002D7798" w:rsidRDefault="00976265">
      <w:pPr>
        <w:shd w:val="clear" w:color="auto" w:fill="FFFFFF" w:themeFill="background1"/>
        <w:spacing w:after="0" w:line="360" w:lineRule="auto"/>
        <w:contextualSpacing/>
        <w:rPr>
          <w:rFonts w:eastAsia="Times New Roman"/>
          <w:b/>
          <w:noProof/>
          <w:u w:val="single"/>
        </w:rPr>
      </w:pPr>
    </w:p>
    <w:p w14:paraId="5ACE7303" w14:textId="77777777" w:rsidR="00976265" w:rsidRPr="002D7798" w:rsidRDefault="0064263D">
      <w:pPr>
        <w:spacing w:after="0" w:line="360" w:lineRule="auto"/>
        <w:contextualSpacing/>
        <w:rPr>
          <w:noProof/>
        </w:rPr>
      </w:pPr>
      <w:r w:rsidRPr="002D7798">
        <w:rPr>
          <w:noProof/>
        </w:rPr>
        <w:t>d) odstavec 2 se nahrazuje tímto:</w:t>
      </w:r>
    </w:p>
    <w:p w14:paraId="3D1F223E" w14:textId="62F2CA6E" w:rsidR="00976265" w:rsidRPr="002D7798" w:rsidRDefault="0064263D">
      <w:pPr>
        <w:shd w:val="clear" w:color="auto" w:fill="FFFFFF" w:themeFill="background1"/>
        <w:spacing w:after="0" w:line="360" w:lineRule="auto"/>
        <w:contextualSpacing/>
        <w:rPr>
          <w:rFonts w:eastAsia="Times New Roman"/>
          <w:noProof/>
        </w:rPr>
      </w:pPr>
      <w:r w:rsidRPr="002D7798">
        <w:rPr>
          <w:noProof/>
        </w:rPr>
        <w:t>„2.   Členské státy zajistí, aby koneční zákazníci byli dodavateli plně informováni o příležitostech, nákladech a rizicích, které smlouva s dynamickým určováním ceny elektřiny představuje, a zajistí, aby dodavatelé byli povinni poskytovat konečným zákazníkům odpovídající informace, včetně toho, že je nutné si nechat nainstalovat vhodný elektroměr. Regulační orgány sledují vývoj trhu a posuzují rizika, která mohou být s novými produkty a službami spojena, a řeší nekalé praktiky.“;</w:t>
      </w:r>
    </w:p>
    <w:p w14:paraId="6E716A6E" w14:textId="77777777" w:rsidR="00976265" w:rsidRPr="002D7798" w:rsidRDefault="00976265" w:rsidP="00565890">
      <w:pPr>
        <w:spacing w:after="0" w:line="360" w:lineRule="auto"/>
        <w:contextualSpacing/>
        <w:rPr>
          <w:rFonts w:eastAsia="Times New Roman"/>
          <w:noProof/>
          <w:szCs w:val="24"/>
        </w:rPr>
      </w:pPr>
    </w:p>
    <w:p w14:paraId="100CE9DC" w14:textId="174CC417" w:rsidR="00976265" w:rsidRPr="002D7798" w:rsidRDefault="0064263D" w:rsidP="00565890">
      <w:pPr>
        <w:spacing w:after="0" w:line="360" w:lineRule="auto"/>
        <w:contextualSpacing/>
        <w:rPr>
          <w:rFonts w:eastAsia="Times New Roman"/>
          <w:noProof/>
          <w:szCs w:val="24"/>
        </w:rPr>
      </w:pPr>
      <w:r w:rsidRPr="002D7798">
        <w:rPr>
          <w:noProof/>
        </w:rPr>
        <w:t>4) vkládají se nové články, které znějí:</w:t>
      </w:r>
    </w:p>
    <w:p w14:paraId="5A7465FA" w14:textId="77777777" w:rsidR="00976265" w:rsidRPr="002D7798" w:rsidRDefault="0064263D">
      <w:pPr>
        <w:spacing w:line="360" w:lineRule="auto"/>
        <w:ind w:firstLine="708"/>
        <w:jc w:val="center"/>
        <w:rPr>
          <w:rFonts w:eastAsia="Times New Roman"/>
          <w:noProof/>
          <w:sz w:val="22"/>
        </w:rPr>
      </w:pPr>
      <w:r w:rsidRPr="002D7798">
        <w:rPr>
          <w:noProof/>
          <w:sz w:val="22"/>
          <w:shd w:val="clear" w:color="auto" w:fill="E6E6E6"/>
        </w:rPr>
        <w:t xml:space="preserve"> </w:t>
      </w:r>
    </w:p>
    <w:p w14:paraId="3E79057B" w14:textId="770B6FEF" w:rsidR="00976265" w:rsidRPr="002D7798" w:rsidRDefault="0064263D" w:rsidP="00864F43">
      <w:pPr>
        <w:ind w:left="720"/>
        <w:jc w:val="center"/>
        <w:rPr>
          <w:noProof/>
        </w:rPr>
      </w:pPr>
      <w:r w:rsidRPr="002D7798">
        <w:rPr>
          <w:noProof/>
        </w:rPr>
        <w:t>„Článek 15a</w:t>
      </w:r>
    </w:p>
    <w:p w14:paraId="43D41B79" w14:textId="77777777" w:rsidR="00976265" w:rsidRPr="002D7798" w:rsidRDefault="0064263D" w:rsidP="00864F43">
      <w:pPr>
        <w:ind w:left="720"/>
        <w:jc w:val="center"/>
        <w:rPr>
          <w:noProof/>
        </w:rPr>
      </w:pPr>
      <w:r w:rsidRPr="002D7798">
        <w:rPr>
          <w:noProof/>
        </w:rPr>
        <w:t>Právo na sdílení energie</w:t>
      </w:r>
    </w:p>
    <w:p w14:paraId="3B2EB7FD" w14:textId="6699CA44" w:rsidR="00976265" w:rsidRPr="002D7798" w:rsidRDefault="00451FE6" w:rsidP="00451FE6">
      <w:pPr>
        <w:pStyle w:val="ManualNumPar1"/>
        <w:rPr>
          <w:noProof/>
        </w:rPr>
      </w:pPr>
      <w:r w:rsidRPr="00451FE6">
        <w:t>1.</w:t>
      </w:r>
      <w:r w:rsidRPr="00451FE6">
        <w:tab/>
      </w:r>
      <w:r w:rsidR="0064263D" w:rsidRPr="002D7798">
        <w:rPr>
          <w:noProof/>
        </w:rPr>
        <w:t xml:space="preserve">Všechny domácnosti, malé a střední podniky a veřejné subjekty mají právo podílet se na sdílení energie jako aktivní zákazníci. </w:t>
      </w:r>
    </w:p>
    <w:p w14:paraId="0A55463F" w14:textId="26882D83" w:rsidR="00976265" w:rsidRPr="002D7798" w:rsidRDefault="00667462" w:rsidP="00667462">
      <w:pPr>
        <w:pStyle w:val="Point1"/>
        <w:rPr>
          <w:noProof/>
        </w:rPr>
      </w:pPr>
      <w:r>
        <w:rPr>
          <w:noProof/>
        </w:rPr>
        <w:t>a)</w:t>
      </w:r>
      <w:r>
        <w:rPr>
          <w:noProof/>
        </w:rPr>
        <w:tab/>
      </w:r>
      <w:r w:rsidR="0064263D" w:rsidRPr="002D7798">
        <w:rPr>
          <w:noProof/>
        </w:rPr>
        <w:t xml:space="preserve">Aktivní zákazníci jsou oprávněni sdílet energii z obnovitelných zdrojů mezi sebou na základě soukromých dohod nebo prostřednictvím právního subjektu. </w:t>
      </w:r>
    </w:p>
    <w:p w14:paraId="0474907E" w14:textId="7C8941BA" w:rsidR="00976265" w:rsidRPr="002D7798" w:rsidRDefault="00667462" w:rsidP="00667462">
      <w:pPr>
        <w:pStyle w:val="Point1"/>
        <w:rPr>
          <w:noProof/>
        </w:rPr>
      </w:pPr>
      <w:r>
        <w:rPr>
          <w:noProof/>
        </w:rPr>
        <w:t>b)</w:t>
      </w:r>
      <w:r>
        <w:rPr>
          <w:noProof/>
        </w:rPr>
        <w:tab/>
      </w:r>
      <w:r w:rsidR="0064263D" w:rsidRPr="002D7798">
        <w:rPr>
          <w:noProof/>
        </w:rPr>
        <w:t>Aktivní zákazníci mohou za účelem usnadnění sdílení energie využívat pro účely instalace a provozu, včetně měření a údržby, třetí stranu, která vlastní nebo spravuje zařízení pro ukládání energie nebo zařízení na výrobu energie z obnovitelných zdrojů, aniž by tato třetí strana byla považována za aktivního zákazníka.</w:t>
      </w:r>
    </w:p>
    <w:p w14:paraId="06D7EEB2" w14:textId="6099A059" w:rsidR="00976265" w:rsidRPr="002D7798" w:rsidRDefault="00667462" w:rsidP="00667462">
      <w:pPr>
        <w:pStyle w:val="Point1"/>
        <w:rPr>
          <w:noProof/>
        </w:rPr>
      </w:pPr>
      <w:r>
        <w:rPr>
          <w:noProof/>
        </w:rPr>
        <w:t>c)</w:t>
      </w:r>
      <w:r>
        <w:rPr>
          <w:noProof/>
        </w:rPr>
        <w:tab/>
      </w:r>
      <w:r w:rsidR="0064263D" w:rsidRPr="002D7798">
        <w:rPr>
          <w:noProof/>
        </w:rPr>
        <w:t>Členské státy zajistí, aby aktivní zákazníci, kteří se účastní sdílení energie:</w:t>
      </w:r>
    </w:p>
    <w:p w14:paraId="24ECC9A1" w14:textId="329BA139" w:rsidR="00976265" w:rsidRPr="002D7798" w:rsidRDefault="00667462" w:rsidP="00667462">
      <w:pPr>
        <w:pStyle w:val="Point1"/>
        <w:rPr>
          <w:noProof/>
        </w:rPr>
      </w:pPr>
      <w:r>
        <w:rPr>
          <w:noProof/>
        </w:rPr>
        <w:t>d)</w:t>
      </w:r>
      <w:r>
        <w:rPr>
          <w:noProof/>
        </w:rPr>
        <w:tab/>
      </w:r>
      <w:r w:rsidR="0064263D" w:rsidRPr="002D7798">
        <w:rPr>
          <w:noProof/>
        </w:rPr>
        <w:t>měli nárok na započtení sdílené elektřiny s jejich celkovou naměřenou spotřebou v časovém intervalu, který není delší než interval zúčtování odchylek, aniž jsou dotčeny příslušné daně, poplatky a síťové poplatky;</w:t>
      </w:r>
    </w:p>
    <w:p w14:paraId="2AFFEA59" w14:textId="28C78C73" w:rsidR="00976265" w:rsidRPr="002D7798" w:rsidRDefault="00667462" w:rsidP="00667462">
      <w:pPr>
        <w:pStyle w:val="Point1"/>
        <w:rPr>
          <w:noProof/>
        </w:rPr>
      </w:pPr>
      <w:r>
        <w:rPr>
          <w:noProof/>
        </w:rPr>
        <w:t>e)</w:t>
      </w:r>
      <w:r>
        <w:rPr>
          <w:noProof/>
        </w:rPr>
        <w:tab/>
      </w:r>
      <w:r w:rsidR="0064263D" w:rsidRPr="002D7798">
        <w:rPr>
          <w:noProof/>
        </w:rPr>
        <w:t>požívali všechna práva a povinnosti spotřebitelů jako koneční zákazníci podle této směrnice, s výjimkou případu sdílení energie mezi domácnostmi s instalovaným výkonem do 10,8 kW a do 50 kW v budovách s více bytovými jednotkami využívajícími dohody o přímém obchodování;</w:t>
      </w:r>
    </w:p>
    <w:p w14:paraId="36CE2F66" w14:textId="6BACE94F" w:rsidR="00976265" w:rsidRPr="002D7798" w:rsidRDefault="00667462" w:rsidP="00667462">
      <w:pPr>
        <w:pStyle w:val="Point1"/>
        <w:rPr>
          <w:noProof/>
        </w:rPr>
      </w:pPr>
      <w:r>
        <w:rPr>
          <w:noProof/>
        </w:rPr>
        <w:t>f)</w:t>
      </w:r>
      <w:r>
        <w:rPr>
          <w:noProof/>
        </w:rPr>
        <w:tab/>
      </w:r>
      <w:r w:rsidR="0064263D" w:rsidRPr="002D7798">
        <w:rPr>
          <w:noProof/>
        </w:rPr>
        <w:t>měli přístup ke vzorovým dohodám o přímém obchodování mezi domácnostmi a smlouvám o pronájmu, leasingu nebo investování do zařízení pro ukládání energie a zařízení na výrobu energie z obnovitelných zdrojů za účelem sdílení energie se spravedlivými a transparentními podmínkami; v případě sporů v souvislosti s těmito dohodami budou mít koneční zákazníci přístup k mimosoudnímu řešení sporů v souladu s článkem 26;</w:t>
      </w:r>
    </w:p>
    <w:p w14:paraId="1EFD3872" w14:textId="4677FA07" w:rsidR="00976265" w:rsidRPr="002D7798" w:rsidRDefault="00667462" w:rsidP="00667462">
      <w:pPr>
        <w:pStyle w:val="Point1"/>
        <w:rPr>
          <w:noProof/>
        </w:rPr>
      </w:pPr>
      <w:r>
        <w:rPr>
          <w:noProof/>
        </w:rPr>
        <w:t>g)</w:t>
      </w:r>
      <w:r>
        <w:rPr>
          <w:noProof/>
        </w:rPr>
        <w:tab/>
      </w:r>
      <w:r w:rsidR="0064263D" w:rsidRPr="002D7798">
        <w:rPr>
          <w:noProof/>
        </w:rPr>
        <w:t>nebyli vystaveni nespravedlivému a diskriminačnímu zacházení ze strany účastníků trhu nebo svých subjektů zúčtování;</w:t>
      </w:r>
    </w:p>
    <w:p w14:paraId="736B1F77" w14:textId="40E2ACC0" w:rsidR="00976265" w:rsidRPr="002D7798" w:rsidRDefault="00667462" w:rsidP="00667462">
      <w:pPr>
        <w:pStyle w:val="Point1"/>
        <w:rPr>
          <w:noProof/>
        </w:rPr>
      </w:pPr>
      <w:r>
        <w:rPr>
          <w:noProof/>
        </w:rPr>
        <w:t>h)</w:t>
      </w:r>
      <w:r>
        <w:rPr>
          <w:noProof/>
        </w:rPr>
        <w:tab/>
      </w:r>
      <w:r w:rsidR="0064263D" w:rsidRPr="002D7798">
        <w:rPr>
          <w:noProof/>
        </w:rPr>
        <w:t xml:space="preserve">byli informováni o možnosti změn nabídkových zón v souladu s článkem 14 nařízení (EU) 2019/943 a o skutečnosti, že právo sdílet energii je omezeno na jednu a tutéž nabídkovou zónu. </w:t>
      </w:r>
    </w:p>
    <w:p w14:paraId="6FA2FEF4" w14:textId="46A44440" w:rsidR="00976265" w:rsidRPr="002D7798" w:rsidRDefault="00667462" w:rsidP="00667462">
      <w:pPr>
        <w:pStyle w:val="Point1"/>
        <w:rPr>
          <w:noProof/>
        </w:rPr>
      </w:pPr>
      <w:r>
        <w:rPr>
          <w:noProof/>
        </w:rPr>
        <w:t>i)</w:t>
      </w:r>
      <w:r>
        <w:rPr>
          <w:noProof/>
        </w:rPr>
        <w:tab/>
      </w:r>
      <w:r w:rsidR="0064263D" w:rsidRPr="002D7798">
        <w:rPr>
          <w:noProof/>
        </w:rPr>
        <w:t xml:space="preserve">Členské státy zajistí, aby příslušní provozovatelé přenosových nebo distribučních soustav nebo jiné určené subjekty: </w:t>
      </w:r>
    </w:p>
    <w:p w14:paraId="5B1BD80A" w14:textId="3B5D1599" w:rsidR="00976265" w:rsidRPr="002D7798" w:rsidRDefault="00667462" w:rsidP="00667462">
      <w:pPr>
        <w:pStyle w:val="Point1"/>
        <w:rPr>
          <w:noProof/>
        </w:rPr>
      </w:pPr>
      <w:r>
        <w:rPr>
          <w:noProof/>
        </w:rPr>
        <w:t>j)</w:t>
      </w:r>
      <w:r>
        <w:rPr>
          <w:noProof/>
        </w:rPr>
        <w:tab/>
      </w:r>
      <w:r w:rsidR="0064263D" w:rsidRPr="002D7798">
        <w:rPr>
          <w:noProof/>
        </w:rPr>
        <w:t xml:space="preserve">nejméně jednou měsíčně a v souladu s článkem 23 monitorovali, shromažďovali, ověřovali a sdělovali údaje o měření týkající se sdílené elektřiny s příslušnými konečnými zákazníky a účastníky trhu; </w:t>
      </w:r>
    </w:p>
    <w:p w14:paraId="563BEC25" w14:textId="3FA3B6A8" w:rsidR="00976265" w:rsidRPr="002D7798" w:rsidRDefault="00667462" w:rsidP="00667462">
      <w:pPr>
        <w:pStyle w:val="Point1"/>
        <w:rPr>
          <w:noProof/>
        </w:rPr>
      </w:pPr>
      <w:r>
        <w:rPr>
          <w:noProof/>
        </w:rPr>
        <w:t>k)</w:t>
      </w:r>
      <w:r>
        <w:rPr>
          <w:noProof/>
        </w:rPr>
        <w:tab/>
      </w:r>
      <w:r w:rsidR="0064263D" w:rsidRPr="002D7798">
        <w:rPr>
          <w:noProof/>
        </w:rPr>
        <w:t xml:space="preserve">poskytli příslušné kontaktní místo k registraci ujednání o sdílení energie, obdrželi informace o příslušných bodech měření, změnách umístění a účasti a aby případně jasně, transparentně a včas ověřili metody výpočtu. </w:t>
      </w:r>
    </w:p>
    <w:p w14:paraId="53DF3297" w14:textId="6E9BB5C9" w:rsidR="00976265" w:rsidRPr="002D7798" w:rsidRDefault="00451FE6" w:rsidP="00451FE6">
      <w:pPr>
        <w:pStyle w:val="ManualNumPar1"/>
        <w:rPr>
          <w:noProof/>
        </w:rPr>
      </w:pPr>
      <w:r w:rsidRPr="00451FE6">
        <w:t>2.</w:t>
      </w:r>
      <w:r w:rsidRPr="00451FE6">
        <w:tab/>
      </w:r>
      <w:r w:rsidR="0064263D" w:rsidRPr="002D7798">
        <w:rPr>
          <w:noProof/>
        </w:rPr>
        <w:t>Členské státy přijmou vhodná a nediskriminační opatření, aby zajistily, že domácnosti trpící energetickou chudobou a zranitelné domácnosti budou mít přístup k systémům sdílení energie. Tato opatření mohou zahrnovat podpůrná finanční opatření nebo kvótu pro přidělování produkce.“</w:t>
      </w:r>
    </w:p>
    <w:p w14:paraId="34A49AF4" w14:textId="77777777" w:rsidR="00976265" w:rsidRPr="002D7798" w:rsidRDefault="00976265">
      <w:pPr>
        <w:spacing w:line="360" w:lineRule="auto"/>
        <w:ind w:left="720"/>
        <w:contextualSpacing/>
        <w:jc w:val="left"/>
        <w:rPr>
          <w:rFonts w:eastAsia="Times New Roman"/>
          <w:noProof/>
        </w:rPr>
      </w:pPr>
    </w:p>
    <w:p w14:paraId="29D96326" w14:textId="0CD20BE7" w:rsidR="00976265" w:rsidRPr="002D7798" w:rsidRDefault="0064263D" w:rsidP="00864F43">
      <w:pPr>
        <w:ind w:left="720"/>
        <w:jc w:val="center"/>
        <w:rPr>
          <w:noProof/>
        </w:rPr>
      </w:pPr>
      <w:r w:rsidRPr="002D7798">
        <w:rPr>
          <w:noProof/>
        </w:rPr>
        <w:t>„Článek 18a</w:t>
      </w:r>
    </w:p>
    <w:p w14:paraId="13BD80D9" w14:textId="77777777" w:rsidR="00976265" w:rsidRPr="002D7798" w:rsidRDefault="0064263D" w:rsidP="00864F43">
      <w:pPr>
        <w:ind w:left="720"/>
        <w:jc w:val="center"/>
        <w:rPr>
          <w:noProof/>
        </w:rPr>
      </w:pPr>
      <w:r w:rsidRPr="002D7798">
        <w:rPr>
          <w:noProof/>
        </w:rPr>
        <w:t>Řízení rizik dodavatelů</w:t>
      </w:r>
    </w:p>
    <w:p w14:paraId="6804C8B7" w14:textId="1F071ACC" w:rsidR="00976265" w:rsidRPr="002D7798" w:rsidRDefault="00451FE6" w:rsidP="00451FE6">
      <w:pPr>
        <w:pStyle w:val="ManualNumPar1"/>
        <w:rPr>
          <w:noProof/>
        </w:rPr>
      </w:pPr>
      <w:r w:rsidRPr="00451FE6">
        <w:t>1.</w:t>
      </w:r>
      <w:r w:rsidRPr="00451FE6">
        <w:tab/>
      </w:r>
      <w:r w:rsidR="0064263D" w:rsidRPr="002D7798">
        <w:rPr>
          <w:noProof/>
        </w:rPr>
        <w:t xml:space="preserve">Vnitrostátní regulační orgány zajistí, aby dodavatelé měli zavedeny a uplatňovali vhodné zajišťovací strategie, které omezí riziko, které pro ekonomickou životaschopnost smluv se zákazníky představují změny velkoobchodních dodávek elektřiny, a zároveň zachovají likviditu a cenové signály z krátkodobých trhů.   </w:t>
      </w:r>
    </w:p>
    <w:p w14:paraId="1A95040D" w14:textId="719FEAFF" w:rsidR="00976265" w:rsidRPr="002D7798" w:rsidRDefault="00451FE6" w:rsidP="00451FE6">
      <w:pPr>
        <w:pStyle w:val="ManualNumPar1"/>
        <w:rPr>
          <w:noProof/>
        </w:rPr>
      </w:pPr>
      <w:r w:rsidRPr="00451FE6">
        <w:t>2.</w:t>
      </w:r>
      <w:r w:rsidRPr="00451FE6">
        <w:tab/>
      </w:r>
      <w:r w:rsidR="0064263D" w:rsidRPr="002D7798">
        <w:rPr>
          <w:noProof/>
        </w:rPr>
        <w:t xml:space="preserve">Zajišťovací strategie dodavatelů mohou zahrnovat použití smluv o nákupu elektřiny. Pokud existují dostatečně rozvinuté trhy pro smlouvy o nákupu elektřiny, které umožňují účinnou hospodářskou soutěž, mohou členské státy požadovat, aby část rizikové expozice dodavatelů vůči změnám velkoobchodních cen elektřiny odpovídající době jejich expozice na straně spotřebitele byla pokryta prostřednictvím smluv o nákupu elektřiny pro elektřinu vyrobenou z obnovitelných zdrojů energie, s výhradou dodržování práva Unie v oblasti hospodářské soutěže.   </w:t>
      </w:r>
    </w:p>
    <w:p w14:paraId="61C92BF4" w14:textId="14C200A8" w:rsidR="00976265" w:rsidRPr="002D7798" w:rsidRDefault="00451FE6" w:rsidP="00451FE6">
      <w:pPr>
        <w:pStyle w:val="ManualNumPar1"/>
        <w:rPr>
          <w:noProof/>
        </w:rPr>
      </w:pPr>
      <w:r w:rsidRPr="00451FE6">
        <w:t>3.</w:t>
      </w:r>
      <w:r w:rsidRPr="00451FE6">
        <w:tab/>
      </w:r>
      <w:r w:rsidR="0064263D" w:rsidRPr="002D7798">
        <w:rPr>
          <w:noProof/>
        </w:rPr>
        <w:t>Členské státy budou usilovat o zajištění dostupnosti zajišťovacích produktů pro občanská energetická společenství a společenství pro obnovitelné zdroje.“;</w:t>
      </w:r>
    </w:p>
    <w:p w14:paraId="7DA8298C" w14:textId="711F5BEE" w:rsidR="00976265" w:rsidRPr="002D7798" w:rsidRDefault="0064263D">
      <w:pPr>
        <w:spacing w:line="360" w:lineRule="auto"/>
        <w:ind w:left="720"/>
        <w:contextualSpacing/>
        <w:jc w:val="left"/>
        <w:rPr>
          <w:rFonts w:eastAsia="Times New Roman"/>
          <w:noProof/>
        </w:rPr>
      </w:pPr>
      <w:r w:rsidRPr="002D7798">
        <w:rPr>
          <w:noProof/>
        </w:rPr>
        <w:t>5) vkládá se nový článek 27a, který zní:</w:t>
      </w:r>
    </w:p>
    <w:p w14:paraId="374ECE01" w14:textId="77777777" w:rsidR="001133D7" w:rsidRPr="002D7798" w:rsidRDefault="001133D7">
      <w:pPr>
        <w:spacing w:line="360" w:lineRule="auto"/>
        <w:ind w:left="720"/>
        <w:contextualSpacing/>
        <w:jc w:val="left"/>
        <w:rPr>
          <w:rFonts w:eastAsia="Times New Roman"/>
          <w:noProof/>
        </w:rPr>
      </w:pPr>
    </w:p>
    <w:p w14:paraId="6541D6CD" w14:textId="5B16B072" w:rsidR="00976265" w:rsidRPr="002D7798" w:rsidRDefault="0064263D" w:rsidP="00864F43">
      <w:pPr>
        <w:ind w:left="720"/>
        <w:jc w:val="center"/>
        <w:rPr>
          <w:noProof/>
        </w:rPr>
      </w:pPr>
      <w:r w:rsidRPr="002D7798">
        <w:rPr>
          <w:noProof/>
        </w:rPr>
        <w:t>„Článek 27a</w:t>
      </w:r>
    </w:p>
    <w:p w14:paraId="29DA5988" w14:textId="77777777" w:rsidR="00976265" w:rsidRPr="002D7798" w:rsidRDefault="0064263D" w:rsidP="00864F43">
      <w:pPr>
        <w:ind w:left="720"/>
        <w:jc w:val="center"/>
        <w:rPr>
          <w:noProof/>
        </w:rPr>
      </w:pPr>
      <w:r w:rsidRPr="002D7798">
        <w:rPr>
          <w:noProof/>
        </w:rPr>
        <w:t>Dodavatel poslední instance</w:t>
      </w:r>
    </w:p>
    <w:p w14:paraId="38A96ED4" w14:textId="7A511C92" w:rsidR="00976265" w:rsidRPr="002D7798" w:rsidRDefault="00451FE6" w:rsidP="00451FE6">
      <w:pPr>
        <w:pStyle w:val="ManualNumPar1"/>
        <w:rPr>
          <w:noProof/>
        </w:rPr>
      </w:pPr>
      <w:r w:rsidRPr="00451FE6">
        <w:t>1.</w:t>
      </w:r>
      <w:r w:rsidRPr="00451FE6">
        <w:tab/>
      </w:r>
      <w:r w:rsidR="0064263D" w:rsidRPr="002D7798">
        <w:rPr>
          <w:noProof/>
        </w:rPr>
        <w:t>Členské státy určí dodavatele poslední instance alespoň pro zákazníky v domácnostech. Dodavatelé poslední instance jsou jmenováni spravedlivým, otevřeným, transparentním a nediskriminačním postupem.</w:t>
      </w:r>
    </w:p>
    <w:p w14:paraId="570D8C3D" w14:textId="7757B1E9" w:rsidR="00976265" w:rsidRPr="002D7798" w:rsidRDefault="00451FE6" w:rsidP="00451FE6">
      <w:pPr>
        <w:pStyle w:val="ManualNumPar1"/>
        <w:rPr>
          <w:noProof/>
        </w:rPr>
      </w:pPr>
      <w:r w:rsidRPr="00451FE6">
        <w:t>2.</w:t>
      </w:r>
      <w:r w:rsidRPr="00451FE6">
        <w:tab/>
      </w:r>
      <w:r w:rsidR="0064263D" w:rsidRPr="002D7798">
        <w:rPr>
          <w:noProof/>
        </w:rPr>
        <w:t>Koneční zákazníci, kteří jsou převedeni pod dodavatele poslední instance, neztrácejí svá práva zákazníků, zejména práva stanovená v článcích 4, 10, 11, 12, 14, 18 a 26.</w:t>
      </w:r>
    </w:p>
    <w:p w14:paraId="3DC9D61A" w14:textId="7B153323" w:rsidR="00976265" w:rsidRPr="002D7798" w:rsidRDefault="00451FE6" w:rsidP="00451FE6">
      <w:pPr>
        <w:pStyle w:val="ManualNumPar1"/>
        <w:rPr>
          <w:noProof/>
        </w:rPr>
      </w:pPr>
      <w:r w:rsidRPr="00451FE6">
        <w:t>3.</w:t>
      </w:r>
      <w:r w:rsidRPr="00451FE6">
        <w:tab/>
      </w:r>
      <w:r w:rsidR="0064263D" w:rsidRPr="002D7798">
        <w:rPr>
          <w:noProof/>
        </w:rPr>
        <w:t xml:space="preserve">Členské státy zajistí, aby dodavatelé poslední instance neprodleně informovali převedené zákazníky o obchodních podmínkách a aby těmto zákazníkům zajistili plynulou kontinuitu služeb po dobu nejméně šesti měsíců. </w:t>
      </w:r>
    </w:p>
    <w:p w14:paraId="03278A67" w14:textId="5CDF3C32" w:rsidR="00976265" w:rsidRPr="002D7798" w:rsidRDefault="00451FE6" w:rsidP="00451FE6">
      <w:pPr>
        <w:pStyle w:val="ManualNumPar1"/>
        <w:rPr>
          <w:noProof/>
        </w:rPr>
      </w:pPr>
      <w:r w:rsidRPr="00451FE6">
        <w:t>4.</w:t>
      </w:r>
      <w:r w:rsidRPr="00451FE6">
        <w:tab/>
      </w:r>
      <w:r w:rsidR="0064263D" w:rsidRPr="002D7798">
        <w:rPr>
          <w:noProof/>
        </w:rPr>
        <w:t xml:space="preserve">Členské státy zajistí, aby koneční zákazníci získali informace a motivaci k přechodu na tržní nabídku. </w:t>
      </w:r>
    </w:p>
    <w:p w14:paraId="1EF53490" w14:textId="482F6269" w:rsidR="00976265" w:rsidRPr="002D7798" w:rsidRDefault="00451FE6" w:rsidP="00451FE6">
      <w:pPr>
        <w:pStyle w:val="ManualNumPar1"/>
        <w:rPr>
          <w:noProof/>
        </w:rPr>
      </w:pPr>
      <w:r w:rsidRPr="00451FE6">
        <w:t>5.</w:t>
      </w:r>
      <w:r w:rsidRPr="00451FE6">
        <w:tab/>
      </w:r>
      <w:r w:rsidR="0064263D" w:rsidRPr="002D7798">
        <w:rPr>
          <w:noProof/>
        </w:rPr>
        <w:t>Členské státy mohou požadovat, aby dodavatel poslední instance dodával elektřinu zákazníkům v domácnostech, kteří neobdrží tržní nabídky. V takových případech se použijí podmínky stanovené v článku 5.“</w:t>
      </w:r>
    </w:p>
    <w:p w14:paraId="3FEE330F" w14:textId="77777777" w:rsidR="00976265" w:rsidRPr="002D7798" w:rsidRDefault="00976265">
      <w:pPr>
        <w:pStyle w:val="Text1"/>
        <w:rPr>
          <w:noProof/>
        </w:rPr>
      </w:pPr>
    </w:p>
    <w:p w14:paraId="3029A084" w14:textId="77777777" w:rsidR="00976265" w:rsidRPr="002D7798" w:rsidRDefault="24047456" w:rsidP="00864F43">
      <w:pPr>
        <w:ind w:left="720"/>
        <w:jc w:val="center"/>
        <w:rPr>
          <w:noProof/>
        </w:rPr>
      </w:pPr>
      <w:r w:rsidRPr="002D7798">
        <w:rPr>
          <w:noProof/>
        </w:rPr>
        <w:t xml:space="preserve"> „Článek 28a</w:t>
      </w:r>
    </w:p>
    <w:p w14:paraId="47FFA82B" w14:textId="77777777" w:rsidR="00976265" w:rsidRPr="002D7798" w:rsidRDefault="0064263D" w:rsidP="00864F43">
      <w:pPr>
        <w:ind w:left="720"/>
        <w:jc w:val="center"/>
        <w:rPr>
          <w:noProof/>
        </w:rPr>
      </w:pPr>
      <w:r w:rsidRPr="002D7798">
        <w:rPr>
          <w:noProof/>
        </w:rPr>
        <w:t>Ochrana zranitelných zákazníků před odpojením</w:t>
      </w:r>
    </w:p>
    <w:p w14:paraId="35E346A6" w14:textId="77777777" w:rsidR="00976265" w:rsidRPr="002D7798" w:rsidRDefault="0064263D" w:rsidP="00565890">
      <w:pPr>
        <w:shd w:val="clear" w:color="auto" w:fill="FFFFFF" w:themeFill="background1"/>
        <w:spacing w:after="0" w:line="360" w:lineRule="auto"/>
        <w:rPr>
          <w:rFonts w:eastAsia="Times New Roman"/>
          <w:noProof/>
        </w:rPr>
      </w:pPr>
      <w:r w:rsidRPr="002D7798">
        <w:rPr>
          <w:noProof/>
        </w:rPr>
        <w:t>Členské státy zajistí, aby zranitelní zákazníci byli chráněni před odpojením elektřiny. Tato ochrana se poskytuje jako součást koncepce zranitelných zákazníků podle čl. 28 odst. 1 této směrnice, aniž jsou dotčena opatření stanovená v čl. 10 odst. 11.“;</w:t>
      </w:r>
    </w:p>
    <w:p w14:paraId="6B1A1DA7" w14:textId="77777777" w:rsidR="00976265" w:rsidRPr="002D7798" w:rsidRDefault="0064263D">
      <w:pPr>
        <w:spacing w:line="360" w:lineRule="auto"/>
        <w:jc w:val="center"/>
        <w:rPr>
          <w:rFonts w:eastAsia="Times New Roman"/>
          <w:noProof/>
          <w:szCs w:val="24"/>
        </w:rPr>
      </w:pPr>
      <w:r w:rsidRPr="002D7798">
        <w:rPr>
          <w:noProof/>
        </w:rPr>
        <w:t xml:space="preserve"> </w:t>
      </w:r>
    </w:p>
    <w:p w14:paraId="63F07738" w14:textId="107BF057" w:rsidR="00976265" w:rsidRPr="002D7798" w:rsidRDefault="0064263D">
      <w:pPr>
        <w:ind w:firstLine="720"/>
        <w:rPr>
          <w:rFonts w:eastAsia="Times New Roman"/>
          <w:noProof/>
        </w:rPr>
      </w:pPr>
      <w:r w:rsidRPr="002D7798">
        <w:rPr>
          <w:noProof/>
        </w:rPr>
        <w:t>6) v článku 27 se odstavec 1 nahrazuje tímto:</w:t>
      </w:r>
    </w:p>
    <w:p w14:paraId="1B1A7A62" w14:textId="742B69C3" w:rsidR="00976265" w:rsidRPr="002D7798" w:rsidRDefault="0064263D">
      <w:pPr>
        <w:shd w:val="clear" w:color="auto" w:fill="FFFFFF" w:themeFill="background1"/>
        <w:spacing w:after="0" w:line="360" w:lineRule="auto"/>
        <w:rPr>
          <w:rFonts w:eastAsia="Times New Roman"/>
          <w:noProof/>
        </w:rPr>
      </w:pPr>
      <w:r w:rsidRPr="002D7798">
        <w:rPr>
          <w:noProof/>
        </w:rPr>
        <w:t>„1. Členské státy zajistí, aby všichni zákazníci v domácnostech, a pokud to členské státy uznají za vhodné, i malé podniky mohli využívat univerzální služby, což znamená mít na jejich území právo na dodávky elektřiny ve stanovené kvalitě za konkurenční, jednoduše a jasně srovnatelné, transparentní a nediskriminační ceny. Aby zajistily poskytování univerzální služby, uloží členské státy provozovatelům distribučním soustav povinnost připojit zákazníky do sítě za podmínek a při dodržení sazeb stanovených postupem podle čl. 59 odst. 7. Tato směrnice nebrání členským státům, aby posilovaly tržní postavení zákazníků v domácnostech a malých a středních zákazníků mimo domácnosti podporou možnosti dobrovolného sdružování se pro zastupování této kategorie zákazníků.“;</w:t>
      </w:r>
    </w:p>
    <w:p w14:paraId="61D5CFAD" w14:textId="77777777" w:rsidR="00976265" w:rsidRPr="002D7798" w:rsidRDefault="00976265">
      <w:pPr>
        <w:shd w:val="clear" w:color="auto" w:fill="FFFFFF" w:themeFill="background1"/>
        <w:spacing w:after="0" w:line="312" w:lineRule="atLeast"/>
        <w:rPr>
          <w:rFonts w:eastAsia="Times New Roman"/>
          <w:noProof/>
          <w:lang w:eastAsia="fr-BE"/>
        </w:rPr>
      </w:pPr>
    </w:p>
    <w:p w14:paraId="628D0406" w14:textId="57DD1916" w:rsidR="00976265" w:rsidRPr="002D7798" w:rsidRDefault="70F12461">
      <w:pPr>
        <w:ind w:firstLine="720"/>
        <w:rPr>
          <w:rFonts w:eastAsia="Times New Roman"/>
          <w:noProof/>
        </w:rPr>
      </w:pPr>
      <w:r w:rsidRPr="002D7798">
        <w:rPr>
          <w:noProof/>
        </w:rPr>
        <w:t>7) v článku 31 se odstavec 3 nahrazuje tímto:</w:t>
      </w:r>
    </w:p>
    <w:p w14:paraId="56E054C3" w14:textId="77777777" w:rsidR="00976265" w:rsidRPr="002D7798" w:rsidRDefault="00976265">
      <w:pPr>
        <w:shd w:val="clear" w:color="auto" w:fill="FFFFFF" w:themeFill="background1"/>
        <w:spacing w:after="0" w:line="312" w:lineRule="atLeast"/>
        <w:ind w:firstLine="720"/>
        <w:rPr>
          <w:rFonts w:eastAsia="Times New Roman"/>
          <w:noProof/>
          <w:lang w:eastAsia="fr-BE"/>
        </w:rPr>
      </w:pPr>
    </w:p>
    <w:p w14:paraId="77209CF8" w14:textId="36535B02" w:rsidR="00976265" w:rsidRPr="002D7798" w:rsidRDefault="70F12461" w:rsidP="02E87423">
      <w:pPr>
        <w:shd w:val="clear" w:color="auto" w:fill="FFFFFF" w:themeFill="background1"/>
        <w:spacing w:after="0" w:line="360" w:lineRule="auto"/>
        <w:rPr>
          <w:rFonts w:eastAsia="Times New Roman"/>
          <w:b/>
          <w:bCs/>
          <w:i/>
          <w:iCs/>
          <w:noProof/>
          <w:u w:val="single"/>
        </w:rPr>
      </w:pPr>
      <w:r w:rsidRPr="002D7798">
        <w:rPr>
          <w:noProof/>
        </w:rPr>
        <w:t xml:space="preserve">„3. Provozovatel distribuční soustavy poskytuje uživatelům soustavy informace, které potřebují pro účinný přístup k soustavě, včetně </w:t>
      </w:r>
      <w:bookmarkStart w:id="19" w:name="_Int_EcjSboSK"/>
      <w:r w:rsidRPr="002D7798">
        <w:rPr>
          <w:noProof/>
        </w:rPr>
        <w:t>jejího</w:t>
      </w:r>
      <w:bookmarkEnd w:id="19"/>
      <w:r w:rsidRPr="002D7798">
        <w:rPr>
          <w:noProof/>
        </w:rPr>
        <w:t xml:space="preserve"> účinného využití. Provozovatel distribuční soustavy zejména zveřejňuje jasným a transparentním způsobem informace o kapacitě dostupné pro nová připojení v jeho příslušné oblasti provozu, a to i v přetížených oblastech, pokud je možné přizpůsobit připojení pro flexibilní ukládání energie, a tyto informace pravidelně, alespoň jednou za čtvrt roku, aktualizují.</w:t>
      </w:r>
      <w:r w:rsidRPr="002D7798">
        <w:rPr>
          <w:noProof/>
          <w:shd w:val="clear" w:color="auto" w:fill="E6E6E6"/>
        </w:rPr>
        <w:t xml:space="preserve"> </w:t>
      </w:r>
    </w:p>
    <w:p w14:paraId="6E961074" w14:textId="36D71C2A" w:rsidR="3DF3D0D8" w:rsidRPr="002D7798" w:rsidRDefault="3DF3D0D8" w:rsidP="02E87423">
      <w:pPr>
        <w:spacing w:after="0" w:line="360" w:lineRule="auto"/>
        <w:rPr>
          <w:rFonts w:eastAsia="Times New Roman"/>
          <w:noProof/>
        </w:rPr>
      </w:pPr>
      <w:r w:rsidRPr="002D7798">
        <w:rPr>
          <w:noProof/>
        </w:rPr>
        <w:t>Provozovatelé distribučních soustav rovněž poskytují uživatelům soustavy jasné a transparentní informace o stavu a vyřizování jejich žádostí o připojení. Tyto informace poskytnou do tří měsíců od podání žádosti.“;</w:t>
      </w:r>
    </w:p>
    <w:p w14:paraId="0E022DC7" w14:textId="77777777" w:rsidR="00976265" w:rsidRPr="002D7798" w:rsidRDefault="00976265">
      <w:pPr>
        <w:shd w:val="clear" w:color="auto" w:fill="FFFFFF" w:themeFill="background1"/>
        <w:spacing w:after="0" w:line="312" w:lineRule="atLeast"/>
        <w:rPr>
          <w:rFonts w:eastAsia="Times New Roman"/>
          <w:noProof/>
          <w:lang w:eastAsia="fr-BE"/>
        </w:rPr>
      </w:pPr>
    </w:p>
    <w:p w14:paraId="04A2D3AF" w14:textId="77777777" w:rsidR="00976265" w:rsidRPr="002D7798" w:rsidRDefault="0064263D">
      <w:pPr>
        <w:ind w:firstLine="720"/>
        <w:rPr>
          <w:rFonts w:eastAsia="Times New Roman"/>
          <w:noProof/>
        </w:rPr>
      </w:pPr>
      <w:r w:rsidRPr="002D7798">
        <w:rPr>
          <w:noProof/>
        </w:rPr>
        <w:t>8) článek 40 se mění takto:</w:t>
      </w:r>
    </w:p>
    <w:p w14:paraId="759F9060" w14:textId="75605930" w:rsidR="21D997FA" w:rsidRPr="002D7798" w:rsidRDefault="21D997FA" w:rsidP="21D997FA">
      <w:pPr>
        <w:ind w:firstLine="720"/>
        <w:rPr>
          <w:rFonts w:eastAsia="Times New Roman"/>
          <w:noProof/>
        </w:rPr>
      </w:pPr>
    </w:p>
    <w:p w14:paraId="0572AEBC" w14:textId="77777777" w:rsidR="00976265" w:rsidRPr="002D7798" w:rsidRDefault="0064263D">
      <w:pPr>
        <w:spacing w:after="160" w:line="259" w:lineRule="auto"/>
        <w:contextualSpacing/>
        <w:rPr>
          <w:rFonts w:eastAsia="Times New Roman"/>
          <w:noProof/>
        </w:rPr>
      </w:pPr>
      <w:r w:rsidRPr="002D7798">
        <w:rPr>
          <w:noProof/>
        </w:rPr>
        <w:t>[a] za odstavec 6 se doplňuje nový pododstavec, který zní:</w:t>
      </w:r>
    </w:p>
    <w:p w14:paraId="1BA61F84" w14:textId="77777777" w:rsidR="00976265" w:rsidRPr="002D7798" w:rsidRDefault="00976265">
      <w:pPr>
        <w:spacing w:after="160" w:line="259" w:lineRule="auto"/>
        <w:contextualSpacing/>
        <w:rPr>
          <w:rFonts w:eastAsia="Times New Roman"/>
          <w:noProof/>
        </w:rPr>
      </w:pPr>
    </w:p>
    <w:p w14:paraId="4F13CDCA" w14:textId="77777777" w:rsidR="00976265" w:rsidRPr="002D7798" w:rsidRDefault="0064263D">
      <w:pPr>
        <w:spacing w:after="0" w:line="360" w:lineRule="auto"/>
        <w:rPr>
          <w:rFonts w:eastAsia="Times New Roman"/>
          <w:noProof/>
        </w:rPr>
      </w:pPr>
      <w:r w:rsidRPr="002D7798">
        <w:rPr>
          <w:noProof/>
        </w:rPr>
        <w:t>„Požadavky uvedené v odstavcích 5 a 6 se nepoužijí na produkt pro snížení spotřeby ve špičkách obstaraný v souladu s článkem 7a nařízení (EU) 2019/943.“;</w:t>
      </w:r>
    </w:p>
    <w:p w14:paraId="45CA991F" w14:textId="77777777" w:rsidR="00976265" w:rsidRPr="002D7798" w:rsidRDefault="00976265">
      <w:pPr>
        <w:spacing w:after="160" w:line="259" w:lineRule="auto"/>
        <w:contextualSpacing/>
        <w:rPr>
          <w:rFonts w:eastAsia="Times New Roman"/>
          <w:noProof/>
        </w:rPr>
      </w:pPr>
    </w:p>
    <w:p w14:paraId="086112D5" w14:textId="77777777" w:rsidR="00976265" w:rsidRPr="002D7798" w:rsidRDefault="00976265">
      <w:pPr>
        <w:spacing w:after="160" w:line="259" w:lineRule="auto"/>
        <w:ind w:left="720"/>
        <w:contextualSpacing/>
        <w:rPr>
          <w:rFonts w:eastAsia="Times New Roman"/>
          <w:noProof/>
        </w:rPr>
      </w:pPr>
    </w:p>
    <w:p w14:paraId="0F1C1D52" w14:textId="1EAF5AD9" w:rsidR="00976265" w:rsidRPr="002D7798" w:rsidRDefault="0064263D">
      <w:pPr>
        <w:spacing w:after="160" w:line="259" w:lineRule="auto"/>
        <w:ind w:left="720"/>
        <w:contextualSpacing/>
        <w:rPr>
          <w:rFonts w:eastAsia="Times New Roman"/>
          <w:noProof/>
        </w:rPr>
      </w:pPr>
      <w:r w:rsidRPr="002D7798">
        <w:rPr>
          <w:noProof/>
        </w:rPr>
        <w:t>9) článek 59 se mění takto:</w:t>
      </w:r>
    </w:p>
    <w:p w14:paraId="449D7F26" w14:textId="77777777" w:rsidR="00976265" w:rsidRPr="002D7798" w:rsidRDefault="00976265">
      <w:pPr>
        <w:spacing w:after="160" w:line="259" w:lineRule="auto"/>
        <w:ind w:left="720"/>
        <w:contextualSpacing/>
        <w:rPr>
          <w:rFonts w:eastAsia="Times New Roman"/>
          <w:noProof/>
        </w:rPr>
      </w:pPr>
    </w:p>
    <w:p w14:paraId="69239CA9" w14:textId="483CEEBA" w:rsidR="00976265" w:rsidRPr="002D7798" w:rsidRDefault="0064263D">
      <w:pPr>
        <w:spacing w:after="160" w:line="259" w:lineRule="auto"/>
        <w:rPr>
          <w:rFonts w:eastAsia="Times New Roman"/>
          <w:noProof/>
        </w:rPr>
      </w:pPr>
      <w:r w:rsidRPr="002D7798">
        <w:rPr>
          <w:noProof/>
        </w:rPr>
        <w:t>[a] v odstavci 1 se písmeno c) nahrazuje tímto:</w:t>
      </w:r>
    </w:p>
    <w:p w14:paraId="163DE0A8" w14:textId="77777777" w:rsidR="00976265" w:rsidRPr="002D7798" w:rsidRDefault="0064263D">
      <w:pPr>
        <w:spacing w:after="160" w:line="360" w:lineRule="auto"/>
        <w:rPr>
          <w:rFonts w:eastAsia="Times New Roman"/>
          <w:noProof/>
        </w:rPr>
      </w:pPr>
      <w:r w:rsidRPr="002D7798">
        <w:rPr>
          <w:noProof/>
        </w:rPr>
        <w:t>„c) v úzké spolupráci s ostatními regulačními orgány zajistit, aby jednotná platforma pro přidělování zřízená v souladu s nařízením (EU) 2016/1719, síť ENTSO pro elektřinu a subjekt EU DSO plnily své povinnosti vyplývající z této směrnice, z nařízení (EU) 2019/943, z kodexů sítě a rámcových pokynů přijatých podle článků 59, 60 a 61 nařízení (EU) 2019/943 a z dalších příslušných právních předpisů Unie, včetně těch, které se týkají přeshraničních otázek, a z rozhodnutí ACER, a společně zjišťovat případy, kdy jednotná platforma pro přidělování, síť ENTSO pro elektřinu a subjekt EU DSO neplní své povinnosti; pokud regulační orgány nejsou schopny dosáhnout dohody do čtyř měsíců od zahájení konzultací vedených za účelem společného zjištění nesouladu, postoupí se záležitost v souladu s čl. 6 odst. 10 nařízení (EU) 2019/942 ACER k rozhodnutí;“;</w:t>
      </w:r>
    </w:p>
    <w:p w14:paraId="5EE037AA" w14:textId="649F42BD" w:rsidR="00976265" w:rsidRPr="002D7798" w:rsidRDefault="0064263D">
      <w:pPr>
        <w:spacing w:after="160" w:line="360" w:lineRule="auto"/>
        <w:rPr>
          <w:rFonts w:eastAsia="Times New Roman"/>
          <w:noProof/>
        </w:rPr>
      </w:pPr>
      <w:r w:rsidRPr="002D7798">
        <w:rPr>
          <w:noProof/>
        </w:rPr>
        <w:t>[b] v odstavci 1 se písmeno z) nahrazuje tímto:</w:t>
      </w:r>
    </w:p>
    <w:p w14:paraId="5AC45C28" w14:textId="77777777" w:rsidR="00976265" w:rsidRPr="002D7798" w:rsidRDefault="0064263D" w:rsidP="00565890">
      <w:pPr>
        <w:spacing w:after="160" w:line="360" w:lineRule="auto"/>
        <w:rPr>
          <w:rFonts w:eastAsia="Times New Roman"/>
          <w:noProof/>
        </w:rPr>
      </w:pPr>
      <w:r w:rsidRPr="002D7798">
        <w:rPr>
          <w:noProof/>
        </w:rPr>
        <w:t>„z) sledovat, jak jsou odstraňovány neodůvodněné překážky a neodůvodněná omezení týkající se spotřeby elektřiny vyrobené z vlastních zdrojů a občanských energetických společenství, mimo jiné v souvislosti s připojením flexibilní distribuované výroby energie v přiměřené lhůtě v souladu s čl. 58 písm. d).“;</w:t>
      </w:r>
    </w:p>
    <w:p w14:paraId="3A105DD9" w14:textId="4CD03F73" w:rsidR="00976265" w:rsidRPr="002D7798" w:rsidRDefault="0064263D" w:rsidP="00565890">
      <w:pPr>
        <w:spacing w:after="160" w:line="360" w:lineRule="auto"/>
        <w:rPr>
          <w:rFonts w:eastAsia="Times New Roman"/>
          <w:noProof/>
        </w:rPr>
      </w:pPr>
      <w:r w:rsidRPr="002D7798">
        <w:rPr>
          <w:noProof/>
        </w:rPr>
        <w:t xml:space="preserve">[c] odstavec 4 se nahrazuje tímto: </w:t>
      </w:r>
    </w:p>
    <w:p w14:paraId="20ED1637" w14:textId="77777777" w:rsidR="00976265" w:rsidRPr="002D7798" w:rsidRDefault="0064263D" w:rsidP="00565890">
      <w:pPr>
        <w:spacing w:after="160" w:line="360" w:lineRule="auto"/>
        <w:rPr>
          <w:rFonts w:eastAsia="Times New Roman"/>
          <w:noProof/>
        </w:rPr>
      </w:pPr>
      <w:r w:rsidRPr="002D7798">
        <w:rPr>
          <w:noProof/>
        </w:rPr>
        <w:t>„4. Regulační orgán působící v členském státě, v němž má sídlo jednotná platforma pro přidělování, síť ENTSO pro elektřinu nebo subjekt EU DSO, má pravomoc těmto subjektům ukládat účinné, přiměřené a odrazující sankce, pokud neplní své povinnosti vyplývající z této směrnice, z nařízení (EU) 2019/943 nebo z jakýchkoli relevantních právně závazných rozhodnutí regulačního orgánu nebo ACER, nebo navrhnout, aby takové sankce uložil příslušný soud.“;</w:t>
      </w:r>
    </w:p>
    <w:p w14:paraId="427A014A" w14:textId="77777777" w:rsidR="00976265" w:rsidRPr="002D7798" w:rsidRDefault="00976265">
      <w:pPr>
        <w:spacing w:line="360" w:lineRule="auto"/>
        <w:ind w:left="360"/>
        <w:rPr>
          <w:rFonts w:eastAsia="Times New Roman"/>
          <w:noProof/>
        </w:rPr>
      </w:pPr>
    </w:p>
    <w:p w14:paraId="5D904E65" w14:textId="3D40C9A7" w:rsidR="00976265" w:rsidRPr="002D7798" w:rsidRDefault="0064263D">
      <w:pPr>
        <w:spacing w:after="160" w:line="259" w:lineRule="auto"/>
        <w:ind w:left="720"/>
        <w:contextualSpacing/>
        <w:rPr>
          <w:rFonts w:eastAsia="Times New Roman"/>
          <w:noProof/>
        </w:rPr>
      </w:pPr>
      <w:r w:rsidRPr="002D7798">
        <w:rPr>
          <w:noProof/>
        </w:rPr>
        <w:t>10) vkládá se nový článek 66a, který zní:</w:t>
      </w:r>
    </w:p>
    <w:p w14:paraId="041C62B8" w14:textId="77777777" w:rsidR="00976265" w:rsidRPr="002D7798" w:rsidRDefault="00976265">
      <w:pPr>
        <w:shd w:val="clear" w:color="auto" w:fill="FFFFFF" w:themeFill="background1"/>
        <w:spacing w:line="312" w:lineRule="atLeast"/>
        <w:rPr>
          <w:rFonts w:eastAsia="Times New Roman"/>
          <w:noProof/>
        </w:rPr>
      </w:pPr>
    </w:p>
    <w:p w14:paraId="5003E125" w14:textId="77777777" w:rsidR="00976265" w:rsidRPr="002D7798" w:rsidRDefault="0064263D">
      <w:pPr>
        <w:shd w:val="clear" w:color="auto" w:fill="FFFFFF" w:themeFill="background1"/>
        <w:spacing w:line="312" w:lineRule="atLeast"/>
        <w:jc w:val="center"/>
        <w:rPr>
          <w:rFonts w:eastAsia="Times New Roman"/>
          <w:noProof/>
        </w:rPr>
      </w:pPr>
      <w:r w:rsidRPr="002D7798">
        <w:rPr>
          <w:noProof/>
        </w:rPr>
        <w:t>„Článek 66a</w:t>
      </w:r>
    </w:p>
    <w:p w14:paraId="3FE11A0A" w14:textId="77777777" w:rsidR="00976265" w:rsidRPr="002D7798" w:rsidRDefault="0064263D" w:rsidP="00565890">
      <w:pPr>
        <w:shd w:val="clear" w:color="auto" w:fill="FFFFFF" w:themeFill="background1"/>
        <w:spacing w:line="312" w:lineRule="atLeast"/>
        <w:jc w:val="center"/>
        <w:rPr>
          <w:rFonts w:eastAsia="Times New Roman"/>
          <w:noProof/>
        </w:rPr>
      </w:pPr>
      <w:r w:rsidRPr="002D7798">
        <w:rPr>
          <w:noProof/>
        </w:rPr>
        <w:t xml:space="preserve">Přístup k cenově dostupné energii během krize cen elektřiny </w:t>
      </w:r>
    </w:p>
    <w:p w14:paraId="39B0C40E" w14:textId="3CD4BBA4" w:rsidR="00976265" w:rsidRPr="002D7798" w:rsidRDefault="00451FE6" w:rsidP="00451FE6">
      <w:pPr>
        <w:pStyle w:val="ManualNumPar1"/>
        <w:rPr>
          <w:rFonts w:eastAsiaTheme="minorEastAsia"/>
          <w:noProof/>
        </w:rPr>
      </w:pPr>
      <w:r w:rsidRPr="00451FE6">
        <w:t>1.</w:t>
      </w:r>
      <w:r w:rsidRPr="00451FE6">
        <w:tab/>
      </w:r>
      <w:r w:rsidR="0064263D" w:rsidRPr="002D7798">
        <w:rPr>
          <w:noProof/>
        </w:rPr>
        <w:t>Komise může rozhodnutím vyhlásit regionální nebo celounijní krizi cen elektřiny, jsou-li splněny tyto podmínky:</w:t>
      </w:r>
    </w:p>
    <w:p w14:paraId="4D5E1F6F" w14:textId="593EC691" w:rsidR="00976265" w:rsidRPr="002D7798" w:rsidRDefault="00667462" w:rsidP="00667462">
      <w:pPr>
        <w:pStyle w:val="Point1"/>
        <w:rPr>
          <w:noProof/>
        </w:rPr>
      </w:pPr>
      <w:r>
        <w:rPr>
          <w:noProof/>
        </w:rPr>
        <w:t>a)</w:t>
      </w:r>
      <w:r>
        <w:rPr>
          <w:noProof/>
        </w:rPr>
        <w:tab/>
      </w:r>
      <w:r w:rsidR="0064263D" w:rsidRPr="002D7798">
        <w:rPr>
          <w:noProof/>
        </w:rPr>
        <w:t xml:space="preserve">velmi vysoké ceny na velkoobchodních trzích s elektřinou dosahují nejméně dvou a půlnásobku průměrné ceny za předchozích pět let a neočekává se, že by v příštích nejméně šesti měsících klesly; </w:t>
      </w:r>
    </w:p>
    <w:p w14:paraId="2EE8B0B4" w14:textId="18C0DEB5" w:rsidR="00976265" w:rsidRPr="002D7798" w:rsidRDefault="00667462" w:rsidP="00667462">
      <w:pPr>
        <w:pStyle w:val="Point1"/>
        <w:rPr>
          <w:noProof/>
        </w:rPr>
      </w:pPr>
      <w:r>
        <w:rPr>
          <w:noProof/>
        </w:rPr>
        <w:t>b)</w:t>
      </w:r>
      <w:r>
        <w:rPr>
          <w:noProof/>
        </w:rPr>
        <w:tab/>
      </w:r>
      <w:r w:rsidR="0064263D" w:rsidRPr="002D7798">
        <w:rPr>
          <w:noProof/>
        </w:rPr>
        <w:t>maloobchodní ceny elektřiny prudce narůstají o nejméně 70 % a neočekává se, že by v příštích nejméně šesti měsících klesly, a</w:t>
      </w:r>
    </w:p>
    <w:p w14:paraId="2FCFB8E4" w14:textId="7829D773" w:rsidR="00976265" w:rsidRPr="002D7798" w:rsidRDefault="00667462" w:rsidP="00667462">
      <w:pPr>
        <w:pStyle w:val="Point1"/>
        <w:rPr>
          <w:noProof/>
        </w:rPr>
      </w:pPr>
      <w:r>
        <w:rPr>
          <w:noProof/>
        </w:rPr>
        <w:t>c)</w:t>
      </w:r>
      <w:r>
        <w:rPr>
          <w:noProof/>
        </w:rPr>
        <w:tab/>
      </w:r>
      <w:r w:rsidR="0064263D" w:rsidRPr="002D7798">
        <w:rPr>
          <w:noProof/>
        </w:rPr>
        <w:t xml:space="preserve">růst cen elektřiny negativně ovlivňuje širší hospodářství. </w:t>
      </w:r>
    </w:p>
    <w:p w14:paraId="4EF4D1F4" w14:textId="445CF2A0" w:rsidR="00976265" w:rsidRPr="002D7798" w:rsidRDefault="00451FE6" w:rsidP="00451FE6">
      <w:pPr>
        <w:pStyle w:val="ManualNumPar1"/>
        <w:rPr>
          <w:rFonts w:eastAsiaTheme="minorEastAsia"/>
          <w:noProof/>
        </w:rPr>
      </w:pPr>
      <w:r w:rsidRPr="00451FE6">
        <w:t>2.</w:t>
      </w:r>
      <w:r w:rsidRPr="00451FE6">
        <w:tab/>
      </w:r>
      <w:r w:rsidR="0064263D" w:rsidRPr="002D7798">
        <w:rPr>
          <w:noProof/>
        </w:rPr>
        <w:t xml:space="preserve">Komise ve svém rozhodnutí o vyhlášení regionální nebo celounijní krize cen elektřiny upřesní dobu platnosti tohoto rozhodnutí, která může být až jeden rok. </w:t>
      </w:r>
    </w:p>
    <w:p w14:paraId="2127504A" w14:textId="597DA62D" w:rsidR="00976265" w:rsidRPr="002D7798" w:rsidRDefault="00451FE6" w:rsidP="00451FE6">
      <w:pPr>
        <w:pStyle w:val="ManualNumPar1"/>
        <w:rPr>
          <w:rFonts w:eastAsiaTheme="minorEastAsia"/>
          <w:noProof/>
        </w:rPr>
      </w:pPr>
      <w:r w:rsidRPr="00451FE6">
        <w:t>3.</w:t>
      </w:r>
      <w:r w:rsidRPr="00451FE6">
        <w:tab/>
      </w:r>
      <w:r w:rsidR="0064263D" w:rsidRPr="002D7798">
        <w:rPr>
          <w:noProof/>
        </w:rPr>
        <w:t xml:space="preserve">Pokud Komise přijala rozhodnutí podle odstavce 1, mohou členské státy po dobu platnosti tohoto rozhodnutí uplatňovat cílené veřejné zásahy do stanovování cen za dodávky elektřiny malým a středním podnikům. Tyto veřejné zásahy musí: </w:t>
      </w:r>
    </w:p>
    <w:p w14:paraId="7C3FE7C4" w14:textId="39261F59" w:rsidR="00976265" w:rsidRPr="002D7798" w:rsidRDefault="00667462" w:rsidP="00667462">
      <w:pPr>
        <w:pStyle w:val="Point1"/>
        <w:rPr>
          <w:noProof/>
        </w:rPr>
      </w:pPr>
      <w:r>
        <w:rPr>
          <w:noProof/>
        </w:rPr>
        <w:t>a)</w:t>
      </w:r>
      <w:r>
        <w:rPr>
          <w:noProof/>
        </w:rPr>
        <w:tab/>
      </w:r>
      <w:r w:rsidR="0064263D" w:rsidRPr="002D7798">
        <w:rPr>
          <w:noProof/>
        </w:rPr>
        <w:t>být omezeny na nejvýše 70 % spotřeby příjemce ve stejném období předchozího roku a zachovat pobídku ke snížení poptávky;</w:t>
      </w:r>
    </w:p>
    <w:p w14:paraId="3AAB55F2" w14:textId="2B1919C3" w:rsidR="00976265" w:rsidRPr="002D7798" w:rsidRDefault="00667462" w:rsidP="00667462">
      <w:pPr>
        <w:pStyle w:val="Point1"/>
        <w:rPr>
          <w:noProof/>
        </w:rPr>
      </w:pPr>
      <w:r>
        <w:rPr>
          <w:noProof/>
        </w:rPr>
        <w:t>b)</w:t>
      </w:r>
      <w:r>
        <w:rPr>
          <w:noProof/>
        </w:rPr>
        <w:tab/>
      </w:r>
      <w:r w:rsidR="0064263D" w:rsidRPr="002D7798">
        <w:rPr>
          <w:noProof/>
        </w:rPr>
        <w:t>splňovat podmínky stanovené v čl. 5 odst. 4 a 7;</w:t>
      </w:r>
    </w:p>
    <w:p w14:paraId="5A0CF59C" w14:textId="6DBAC471" w:rsidR="00976265" w:rsidRPr="002D7798" w:rsidRDefault="00667462" w:rsidP="00667462">
      <w:pPr>
        <w:pStyle w:val="Point1"/>
        <w:rPr>
          <w:noProof/>
        </w:rPr>
      </w:pPr>
      <w:r>
        <w:rPr>
          <w:noProof/>
        </w:rPr>
        <w:t>c)</w:t>
      </w:r>
      <w:r>
        <w:rPr>
          <w:noProof/>
        </w:rPr>
        <w:tab/>
      </w:r>
      <w:r w:rsidR="0064263D" w:rsidRPr="002D7798">
        <w:rPr>
          <w:noProof/>
        </w:rPr>
        <w:t>případně splňovat podmínky stanovené v odstavci 4.</w:t>
      </w:r>
    </w:p>
    <w:p w14:paraId="3E375390" w14:textId="61FD9D05" w:rsidR="00976265" w:rsidRPr="002D7798" w:rsidRDefault="00451FE6" w:rsidP="00451FE6">
      <w:pPr>
        <w:pStyle w:val="ManualNumPar1"/>
        <w:rPr>
          <w:rFonts w:eastAsiaTheme="minorEastAsia"/>
          <w:noProof/>
        </w:rPr>
      </w:pPr>
      <w:r w:rsidRPr="00451FE6">
        <w:t>4.</w:t>
      </w:r>
      <w:r w:rsidRPr="00451FE6">
        <w:tab/>
      </w:r>
      <w:r w:rsidR="0064263D" w:rsidRPr="002D7798">
        <w:rPr>
          <w:noProof/>
        </w:rPr>
        <w:t xml:space="preserve">Pokud Komise přijala rozhodnutí podle odstavce 1, mohou členské státy odchylně od čl. 5 odst. 7 písm. c) po dobu platnosti tohoto rozhodnutí při uplatňování cílených veřejných zásahů do stanovování cen za dodávky elektřiny podle čl. 5 odst. 6 nebo podle odstavce 3 tohoto článku výjimečně a dočasně stanovit cenu za dodávku elektřiny, která je nižší než náklady, jsou-li splněny tyto podmínky: </w:t>
      </w:r>
    </w:p>
    <w:p w14:paraId="6B8D98BF" w14:textId="0B6D11DC" w:rsidR="00976265" w:rsidRPr="002D7798" w:rsidRDefault="00667462" w:rsidP="00667462">
      <w:pPr>
        <w:pStyle w:val="Point1"/>
        <w:rPr>
          <w:noProof/>
        </w:rPr>
      </w:pPr>
      <w:r>
        <w:rPr>
          <w:noProof/>
        </w:rPr>
        <w:t>a)</w:t>
      </w:r>
      <w:r>
        <w:rPr>
          <w:noProof/>
        </w:rPr>
        <w:tab/>
      </w:r>
      <w:r w:rsidR="0064263D" w:rsidRPr="002D7798">
        <w:rPr>
          <w:noProof/>
        </w:rPr>
        <w:t>cena stanovená pro domácnosti se vztahuje pouze na nejvýše 80 % mediánu spotřeby domácností a zachovává pobídku ke snížení poptávky;</w:t>
      </w:r>
    </w:p>
    <w:p w14:paraId="3229C4A2" w14:textId="452C30F3" w:rsidR="00976265" w:rsidRPr="002D7798" w:rsidRDefault="00667462" w:rsidP="00667462">
      <w:pPr>
        <w:pStyle w:val="Point1"/>
        <w:rPr>
          <w:noProof/>
        </w:rPr>
      </w:pPr>
      <w:r>
        <w:rPr>
          <w:noProof/>
        </w:rPr>
        <w:t>b)</w:t>
      </w:r>
      <w:r>
        <w:rPr>
          <w:noProof/>
        </w:rPr>
        <w:tab/>
      </w:r>
      <w:r w:rsidR="0064263D" w:rsidRPr="002D7798">
        <w:rPr>
          <w:noProof/>
        </w:rPr>
        <w:t>nedochází k diskriminaci mezi dodavateli;</w:t>
      </w:r>
    </w:p>
    <w:p w14:paraId="07694E66" w14:textId="7BE36155" w:rsidR="00976265" w:rsidRPr="002D7798" w:rsidRDefault="00667462" w:rsidP="00667462">
      <w:pPr>
        <w:pStyle w:val="Point1"/>
        <w:rPr>
          <w:noProof/>
        </w:rPr>
      </w:pPr>
      <w:r>
        <w:rPr>
          <w:noProof/>
        </w:rPr>
        <w:t>c)</w:t>
      </w:r>
      <w:r>
        <w:rPr>
          <w:noProof/>
        </w:rPr>
        <w:tab/>
      </w:r>
      <w:r w:rsidR="0064263D" w:rsidRPr="002D7798">
        <w:rPr>
          <w:noProof/>
        </w:rPr>
        <w:t>dodavatelům je poskytována náhrada za dodávky pod úrovní nákladů a</w:t>
      </w:r>
    </w:p>
    <w:p w14:paraId="6DF166D5" w14:textId="1422C309" w:rsidR="00976265" w:rsidRPr="002D7798" w:rsidRDefault="00667462" w:rsidP="00667462">
      <w:pPr>
        <w:pStyle w:val="Point1"/>
        <w:rPr>
          <w:noProof/>
        </w:rPr>
      </w:pPr>
      <w:r>
        <w:rPr>
          <w:noProof/>
        </w:rPr>
        <w:t>d)</w:t>
      </w:r>
      <w:r>
        <w:rPr>
          <w:noProof/>
        </w:rPr>
        <w:tab/>
      </w:r>
      <w:r w:rsidR="0064263D" w:rsidRPr="002D7798">
        <w:rPr>
          <w:noProof/>
        </w:rPr>
        <w:t>všichni dodavatelé jsou způsobilí poskytnout na stejném základě nabídku ceny za dodávky elektřiny, která je nižší než náklady.“;</w:t>
      </w:r>
    </w:p>
    <w:p w14:paraId="6102FA07" w14:textId="77777777" w:rsidR="00976265" w:rsidRPr="002D7798" w:rsidRDefault="00976265">
      <w:pPr>
        <w:spacing w:line="360" w:lineRule="auto"/>
        <w:jc w:val="left"/>
        <w:rPr>
          <w:rFonts w:eastAsia="Times New Roman"/>
          <w:noProof/>
          <w:highlight w:val="yellow"/>
          <w:shd w:val="clear" w:color="auto" w:fill="E6E6E6"/>
        </w:rPr>
      </w:pPr>
    </w:p>
    <w:p w14:paraId="4A3EDA19" w14:textId="3836B613" w:rsidR="00976265" w:rsidRPr="002D7798" w:rsidRDefault="0064263D">
      <w:pPr>
        <w:spacing w:line="360" w:lineRule="auto"/>
        <w:jc w:val="left"/>
        <w:rPr>
          <w:rFonts w:eastAsia="Times New Roman"/>
          <w:i/>
          <w:iCs/>
          <w:noProof/>
        </w:rPr>
      </w:pPr>
      <w:bookmarkStart w:id="20" w:name="_Hlk129190924"/>
      <w:r w:rsidRPr="002D7798">
        <w:rPr>
          <w:noProof/>
        </w:rPr>
        <w:t>11) v článku 71 se odstavec 1 nahrazuje tímto:</w:t>
      </w:r>
    </w:p>
    <w:p w14:paraId="6841DF13" w14:textId="1218232D" w:rsidR="00976265" w:rsidRPr="002D7798" w:rsidRDefault="0064263D">
      <w:pPr>
        <w:spacing w:line="360" w:lineRule="auto"/>
        <w:rPr>
          <w:rFonts w:eastAsia="Times New Roman"/>
          <w:noProof/>
        </w:rPr>
      </w:pPr>
      <w:r w:rsidRPr="002D7798">
        <w:rPr>
          <w:noProof/>
        </w:rPr>
        <w:t>„1.</w:t>
      </w:r>
      <w:r w:rsidRPr="002D7798">
        <w:rPr>
          <w:noProof/>
        </w:rPr>
        <w:tab/>
        <w:t>Členské státy uvedou v účinnost právní a správní předpisy nezbytné pro dosažení souladu s čl. 2 body 8 a 49, články 3 a 5, čl. 6 odst. 2 a 3, čl. 7 odst. 1, čl. 8 odst. 2 písm. j) a l), čl. 9 odst. 2, čl. 10 odst. 2 až 12, čl. 11 odst. 3 a 4, články 12 až 24, články 26, 28 a 29, čl. 31 odst. 1, 2 a 4 až 10; články 32 až 34 a 36, čl. 38 odst. 2, články 40 a 42, čl. 46 odst. 2 písm. d), články 51 a 54, články 57 a 58, čl. 59 odst. 1 písm. a), b) a d) až y), čl. 59 odst. 2 a 3, čl. 59 odst. 5 až 10, články 61 až 63, čl. 70 body 1 až 3, 5 písm. b) a 6 a přílohami I a II do 31. prosince 2020. Jejich znění sdělí neprodleně Komisi.</w:t>
      </w:r>
    </w:p>
    <w:p w14:paraId="4217CE9E" w14:textId="77777777" w:rsidR="00976265" w:rsidRPr="002D7798" w:rsidRDefault="0064263D">
      <w:pPr>
        <w:spacing w:line="360" w:lineRule="auto"/>
        <w:jc w:val="left"/>
        <w:rPr>
          <w:rFonts w:eastAsia="Times New Roman"/>
          <w:noProof/>
        </w:rPr>
      </w:pPr>
      <w:r w:rsidRPr="002D7798">
        <w:rPr>
          <w:noProof/>
        </w:rPr>
        <w:t>Členské státy však uvedou v účinnost právní a správní předpisy nezbytné pro dosažení souladu s:</w:t>
      </w:r>
    </w:p>
    <w:p w14:paraId="265E60C3" w14:textId="77777777" w:rsidR="00976265" w:rsidRPr="002D7798" w:rsidRDefault="0064263D">
      <w:pPr>
        <w:spacing w:line="360" w:lineRule="auto"/>
        <w:jc w:val="left"/>
        <w:rPr>
          <w:rFonts w:eastAsia="Times New Roman"/>
          <w:noProof/>
        </w:rPr>
      </w:pPr>
      <w:r w:rsidRPr="002D7798">
        <w:rPr>
          <w:noProof/>
        </w:rPr>
        <w:t>a) čl. 70 bodem 5 písm. a) do 31. prosince 2019;</w:t>
      </w:r>
    </w:p>
    <w:p w14:paraId="0DB2D8C2" w14:textId="77777777" w:rsidR="00976265" w:rsidRPr="002D7798" w:rsidRDefault="0064263D">
      <w:pPr>
        <w:spacing w:line="360" w:lineRule="auto"/>
        <w:jc w:val="left"/>
        <w:rPr>
          <w:rFonts w:eastAsia="Times New Roman"/>
          <w:noProof/>
        </w:rPr>
      </w:pPr>
      <w:r w:rsidRPr="002D7798">
        <w:rPr>
          <w:noProof/>
        </w:rPr>
        <w:t>b) čl. 70 bodem 4 do 25. října 2020.</w:t>
      </w:r>
    </w:p>
    <w:p w14:paraId="21323BA2" w14:textId="16BD7F27" w:rsidR="00976265" w:rsidRPr="002D7798" w:rsidRDefault="70F12461" w:rsidP="02E87423">
      <w:pPr>
        <w:spacing w:line="360" w:lineRule="auto"/>
        <w:rPr>
          <w:rFonts w:eastAsia="Times New Roman"/>
          <w:noProof/>
        </w:rPr>
      </w:pPr>
      <w:r w:rsidRPr="002D7798">
        <w:rPr>
          <w:noProof/>
        </w:rPr>
        <w:t>Členské státy uvedou v účinnost právní a správní předpisy nezbytné pro dosažení souladu s čl. 2 body 10a, 10b, 15a a 24a, článkem 4, čl. 11 odst. 1, 1a a 2, články 15a a 18a, čl. 27 odst. 1, články 27a a 28a, čl. 31 odst. 3, čl. 40 odst. 7, čl. 59 odst. 1 písm. c) a z), čl. 59 odst. 4 a článkem 66a do šesti měsíců od vstupu tohoto nařízení v platnost</w:t>
      </w:r>
      <w:r w:rsidRPr="002D7798">
        <w:rPr>
          <w:noProof/>
          <w:shd w:val="clear" w:color="auto" w:fill="E6E6E6"/>
        </w:rPr>
        <w:t>.</w:t>
      </w:r>
    </w:p>
    <w:p w14:paraId="1F266F53" w14:textId="77777777" w:rsidR="00976265" w:rsidRPr="002D7798" w:rsidRDefault="0064263D" w:rsidP="00B64C0D">
      <w:pPr>
        <w:spacing w:line="360" w:lineRule="auto"/>
        <w:rPr>
          <w:rFonts w:eastAsia="Times New Roman"/>
          <w:noProof/>
        </w:rPr>
      </w:pPr>
      <w:r w:rsidRPr="002D7798">
        <w:rPr>
          <w:noProof/>
        </w:rPr>
        <w:t>Tyto předpisy přijaté členskými státy musí obsahovat odkaz na tuto směrnici nebo musí být takový odkaz učiněn při jejich úředním vyhlášení. Musí rovněž obsahovat prohlášení, že odkazy ve stávajících právních a správních předpisech na směrnici nahrazenou touto směrnicí se považují za odkazy na tuto směrnici. Způsob odkazu a znění prohlášení si stanoví členské státy.“</w:t>
      </w:r>
    </w:p>
    <w:bookmarkEnd w:id="20"/>
    <w:p w14:paraId="208982D8" w14:textId="77777777" w:rsidR="00976265" w:rsidRPr="002D7798" w:rsidRDefault="0064263D" w:rsidP="00565890">
      <w:pPr>
        <w:pStyle w:val="Titrearticle"/>
        <w:rPr>
          <w:noProof/>
        </w:rPr>
      </w:pPr>
      <w:r w:rsidRPr="002D7798">
        <w:rPr>
          <w:noProof/>
        </w:rPr>
        <w:t>Článek 3</w:t>
      </w:r>
    </w:p>
    <w:p w14:paraId="566D5B14" w14:textId="4B2A32EC" w:rsidR="00976265" w:rsidRPr="002D7798" w:rsidRDefault="0064263D" w:rsidP="000B2020">
      <w:pPr>
        <w:spacing w:line="360" w:lineRule="auto"/>
        <w:rPr>
          <w:noProof/>
        </w:rPr>
      </w:pPr>
      <w:r w:rsidRPr="002D7798">
        <w:rPr>
          <w:noProof/>
        </w:rPr>
        <w:t>Změny směrnice Evropského parlamentu a Rady (EU) 2018/2001 ze dne 11. prosince 2018 o podpoře využívání energie z obnovitelných zdrojů</w:t>
      </w:r>
    </w:p>
    <w:p w14:paraId="3C4BFA76" w14:textId="77777777" w:rsidR="00976265" w:rsidRPr="002D7798" w:rsidRDefault="0064263D" w:rsidP="00565890">
      <w:pPr>
        <w:spacing w:line="360" w:lineRule="auto"/>
        <w:rPr>
          <w:rFonts w:eastAsia="Times New Roman"/>
          <w:noProof/>
        </w:rPr>
      </w:pPr>
      <w:r w:rsidRPr="002D7798">
        <w:rPr>
          <w:noProof/>
        </w:rPr>
        <w:t>Směrnice (EU) 2018/2001 se mění takto:</w:t>
      </w:r>
    </w:p>
    <w:p w14:paraId="49D465CC" w14:textId="77777777" w:rsidR="00976265" w:rsidRPr="002D7798" w:rsidRDefault="0064263D" w:rsidP="00565890">
      <w:pPr>
        <w:spacing w:line="360" w:lineRule="auto"/>
        <w:rPr>
          <w:rFonts w:eastAsia="Times New Roman"/>
          <w:noProof/>
        </w:rPr>
      </w:pPr>
      <w:r w:rsidRPr="002D7798">
        <w:rPr>
          <w:noProof/>
        </w:rPr>
        <w:t>1) čl. 4 odst. 3 se mění takto:</w:t>
      </w:r>
    </w:p>
    <w:p w14:paraId="74521048" w14:textId="77777777" w:rsidR="00976265" w:rsidRPr="002D7798" w:rsidRDefault="0E402A9D" w:rsidP="00565890">
      <w:pPr>
        <w:spacing w:line="360" w:lineRule="auto"/>
        <w:rPr>
          <w:rFonts w:eastAsia="Times New Roman"/>
          <w:noProof/>
        </w:rPr>
      </w:pPr>
      <w:r w:rsidRPr="002D7798">
        <w:rPr>
          <w:noProof/>
        </w:rPr>
        <w:t xml:space="preserve"> a) druhý pododstavec se nahrazuje tímto: </w:t>
      </w:r>
    </w:p>
    <w:p w14:paraId="0B479DCF" w14:textId="1E1E0798" w:rsidR="00976265" w:rsidRPr="002D7798" w:rsidRDefault="0064263D" w:rsidP="00565890">
      <w:pPr>
        <w:spacing w:line="360" w:lineRule="auto"/>
        <w:rPr>
          <w:rFonts w:eastAsia="Times New Roman"/>
          <w:noProof/>
        </w:rPr>
      </w:pPr>
      <w:r w:rsidRPr="002D7798">
        <w:rPr>
          <w:noProof/>
        </w:rPr>
        <w:t>„Za tímto účelem se podpora v rámci režimů přímé podpory cen poskytuje ve formě tržní prémie, která může být mimo jiné klouzavá nebo pevná. Tato věta se nevztahuje na podporu elektřiny z obnovitelných zdrojů uvedených v čl. 19b odst. 2 směrnice (EU) 2019/944, na kterou se vztahuje čl. 19b odst. 1 uvedené směrnice.“;</w:t>
      </w:r>
    </w:p>
    <w:p w14:paraId="557DC738" w14:textId="77777777" w:rsidR="00976265" w:rsidRPr="002D7798" w:rsidRDefault="0064263D">
      <w:pPr>
        <w:spacing w:line="360" w:lineRule="auto"/>
        <w:jc w:val="left"/>
        <w:rPr>
          <w:rFonts w:eastAsia="Times New Roman"/>
          <w:i/>
          <w:iCs/>
          <w:noProof/>
        </w:rPr>
      </w:pPr>
      <w:r w:rsidRPr="002D7798">
        <w:rPr>
          <w:noProof/>
        </w:rPr>
        <w:t>2) v článku 36 se odstavec 1 nahrazuje tímto:</w:t>
      </w:r>
    </w:p>
    <w:p w14:paraId="555091F3" w14:textId="0116040D" w:rsidR="00976265" w:rsidRPr="002D7798" w:rsidRDefault="70F12461" w:rsidP="00565890">
      <w:pPr>
        <w:shd w:val="clear" w:color="auto" w:fill="FFFFFF" w:themeFill="background1"/>
        <w:spacing w:after="0" w:line="360" w:lineRule="auto"/>
        <w:rPr>
          <w:noProof/>
        </w:rPr>
      </w:pPr>
      <w:r w:rsidRPr="002D7798">
        <w:rPr>
          <w:noProof/>
        </w:rPr>
        <w:t>„1.   Členské státy uvedou v účinnost právní a správní předpisy nezbytné pro dosažení souladu s články 2 až 13, 15 až 31 a 37 a přílohami II, III a V až IX do 30. června 2021. Členské státy však uvedou právní a správní předpisy nezbytné pro dosažení souladu s čl. 4 odst. 3 druhým pododstavcem v platnost nejpozději do [šesti měsíců od vstupu této směrnice v platnost].</w:t>
      </w:r>
    </w:p>
    <w:p w14:paraId="0EFBF29E" w14:textId="77777777" w:rsidR="00976265" w:rsidRPr="002D7798" w:rsidRDefault="0064263D">
      <w:pPr>
        <w:shd w:val="clear" w:color="auto" w:fill="FFFFFF" w:themeFill="background1"/>
        <w:spacing w:after="0" w:line="360" w:lineRule="auto"/>
        <w:rPr>
          <w:noProof/>
        </w:rPr>
      </w:pPr>
      <w:r w:rsidRPr="002D7798">
        <w:rPr>
          <w:noProof/>
        </w:rPr>
        <w:t>Jejich znění sdělí neprodleně Komisi.</w:t>
      </w:r>
    </w:p>
    <w:p w14:paraId="72975AFB" w14:textId="77777777" w:rsidR="00976265" w:rsidRPr="002D7798" w:rsidRDefault="0064263D">
      <w:pPr>
        <w:shd w:val="clear" w:color="auto" w:fill="FFFFFF" w:themeFill="background1"/>
        <w:spacing w:after="0" w:line="360" w:lineRule="auto"/>
        <w:rPr>
          <w:noProof/>
        </w:rPr>
      </w:pPr>
      <w:r w:rsidRPr="002D7798">
        <w:rPr>
          <w:noProof/>
        </w:rPr>
        <w:t>Tyto předpisy přijaté členskými státy musí obsahovat odkaz na tuto směrnici nebo musí být takový odkaz učiněn při jejich úředním vyhlášení. Musí rovněž obsahovat prohlášení, že odkazy ve stávajících právních a správních předpisech na směrnici nahrazenou touto směrnicí se považují za odkazy na tuto směrnici. Způsob odkazu a znění prohlášení si stanoví členské státy.“</w:t>
      </w:r>
    </w:p>
    <w:p w14:paraId="338A493E" w14:textId="77777777" w:rsidR="00976265" w:rsidRPr="002D7798" w:rsidRDefault="0064263D">
      <w:pPr>
        <w:pStyle w:val="Titrearticle"/>
        <w:rPr>
          <w:noProof/>
          <w:highlight w:val="yellow"/>
        </w:rPr>
      </w:pPr>
      <w:r w:rsidRPr="002D7798">
        <w:rPr>
          <w:noProof/>
        </w:rPr>
        <w:t>Článek 4</w:t>
      </w:r>
    </w:p>
    <w:p w14:paraId="5B28A551" w14:textId="77777777" w:rsidR="00976265" w:rsidRPr="002D7798" w:rsidRDefault="0064263D">
      <w:pPr>
        <w:spacing w:line="360" w:lineRule="auto"/>
        <w:rPr>
          <w:noProof/>
        </w:rPr>
      </w:pPr>
      <w:r w:rsidRPr="002D7798">
        <w:rPr>
          <w:noProof/>
        </w:rPr>
        <w:t>Změny nařízení Evropského parlamentu a Rady (EU) 2019/942 ze dne 5. června 2019, kterým se zřizuje Agentura Evropské unie pro spolupráci energetických regulačních orgánů</w:t>
      </w:r>
    </w:p>
    <w:p w14:paraId="415AED71" w14:textId="77777777" w:rsidR="00DA5C98" w:rsidRPr="002D7798" w:rsidRDefault="00DA5C98">
      <w:pPr>
        <w:rPr>
          <w:noProof/>
        </w:rPr>
      </w:pPr>
    </w:p>
    <w:p w14:paraId="5853D9CC" w14:textId="77777777" w:rsidR="00976265" w:rsidRPr="002D7798" w:rsidRDefault="0064263D">
      <w:pPr>
        <w:rPr>
          <w:noProof/>
        </w:rPr>
      </w:pPr>
      <w:r w:rsidRPr="002D7798">
        <w:rPr>
          <w:noProof/>
        </w:rPr>
        <w:t>Nařízení (EU) 2019/942 se mění takto:</w:t>
      </w:r>
    </w:p>
    <w:p w14:paraId="23D74778" w14:textId="44A6122E" w:rsidR="2462C578" w:rsidRPr="002D7798" w:rsidRDefault="2462C578" w:rsidP="2462C578">
      <w:pPr>
        <w:spacing w:line="360" w:lineRule="auto"/>
        <w:rPr>
          <w:rFonts w:eastAsia="Times New Roman"/>
          <w:noProof/>
        </w:rPr>
      </w:pPr>
    </w:p>
    <w:p w14:paraId="14DD90B3" w14:textId="3214560A" w:rsidR="00976265" w:rsidRPr="002D7798" w:rsidRDefault="11FD8163">
      <w:pPr>
        <w:spacing w:line="360" w:lineRule="auto"/>
        <w:rPr>
          <w:rFonts w:eastAsia="Times New Roman"/>
          <w:noProof/>
        </w:rPr>
      </w:pPr>
      <w:r w:rsidRPr="002D7798">
        <w:rPr>
          <w:noProof/>
        </w:rPr>
        <w:t>1) článek 2 se mění takto:</w:t>
      </w:r>
    </w:p>
    <w:p w14:paraId="1304EF28" w14:textId="77777777" w:rsidR="00976265" w:rsidRPr="002D7798" w:rsidRDefault="24047456">
      <w:pPr>
        <w:spacing w:line="360" w:lineRule="auto"/>
        <w:rPr>
          <w:rFonts w:eastAsia="Times New Roman"/>
          <w:noProof/>
        </w:rPr>
      </w:pPr>
      <w:r w:rsidRPr="002D7798">
        <w:rPr>
          <w:noProof/>
        </w:rPr>
        <w:t xml:space="preserve"> a) písmeno a) se nahrazuje tímto:</w:t>
      </w:r>
    </w:p>
    <w:p w14:paraId="3F5799FD" w14:textId="77777777" w:rsidR="00976265" w:rsidRPr="002D7798" w:rsidRDefault="0064263D">
      <w:pPr>
        <w:spacing w:line="360" w:lineRule="auto"/>
        <w:rPr>
          <w:rFonts w:eastAsia="Times New Roman"/>
          <w:b/>
          <w:bCs/>
          <w:i/>
          <w:iCs/>
          <w:noProof/>
          <w:u w:val="single"/>
        </w:rPr>
      </w:pPr>
      <w:r w:rsidRPr="002D7798">
        <w:rPr>
          <w:noProof/>
        </w:rPr>
        <w:t>„a) vydává stanoviska a doporučení určená provozovatelům přenosových soustav, ENTSO pro elektřinu, ENTSO pro zemní plyn, subjektu EU DSO, jednotné platformě pro přidělování zřízené v souladu s nařízením (EU) 2016/1719, regionálním koordinačním centrům a nominovaným organizátorům trhu s elektřinou týkající se schvalování metodik a podmínek v souladu s čl. 4 odst. 4, čl. 5 odst. 2, 3 a 4; o přezkumu nabídkových zón podle čl. 5 odst. 7; o technických otázkách podle čl. 6 odst. 1; o řešení sporů mezi regulačními orgány podle čl. 6 odst. 10; o regionálních koordinačních centrech podle čl. 7 odst. 2 písm. a); o schválení a změnách metodik a výpočtů a technických specifikací podle čl. 9 odst. 1; o schválení a změnách metodik podle čl. 9 odst. 3; o výjimkách podle článku 10; o infrastruktuře podle čl. 11 písm. d);  ve věcech integrity a transparentnosti velkoobchodního trhu podle článku 12;“;</w:t>
      </w:r>
    </w:p>
    <w:p w14:paraId="1EBB4B31" w14:textId="77777777" w:rsidR="00976265" w:rsidRPr="002D7798" w:rsidRDefault="0064263D">
      <w:pPr>
        <w:spacing w:line="360" w:lineRule="auto"/>
        <w:rPr>
          <w:rFonts w:eastAsia="Times New Roman"/>
          <w:noProof/>
        </w:rPr>
      </w:pPr>
      <w:r w:rsidRPr="002D7798">
        <w:rPr>
          <w:noProof/>
        </w:rPr>
        <w:t>b) písmeno d) se nahrazuje tímto:</w:t>
      </w:r>
    </w:p>
    <w:p w14:paraId="124046D5" w14:textId="4B357C20" w:rsidR="00976265" w:rsidRPr="002D7798" w:rsidRDefault="0064263D">
      <w:pPr>
        <w:spacing w:line="360" w:lineRule="auto"/>
        <w:rPr>
          <w:noProof/>
        </w:rPr>
      </w:pPr>
      <w:r w:rsidRPr="002D7798">
        <w:rPr>
          <w:noProof/>
        </w:rPr>
        <w:t>d) „vydává samostatná rozhodnutí o poskytování informací podle čl. 3 odst. 2, čl. 7 odst. 2 písm. b) a čl. 8 písm. c); o schválení podmínek a metodik podle čl. 4 odst. 4 a čl. 5 odst. 2, 3 a 4; o přezkumu nabídkových zón podle čl. 5 odst. 7; o technických otázkách podle čl. 6 odst. 1; o řešení sporů mezi regulačními orgány podle čl. 6 odst. 10; o regionálních koordinačních centrech podle čl. 7 odst. 2 písm. a); o schválení a změnách metodik a výpočtů a technických specifikací podle čl. 9 odst. 1; o schválení a změnách metodik podle čl. 9 odst. 3; o výjimkách podle článku 10; o infrastruktuře podle čl. 11 písm. d);  ve věcech integrity a transparentnosti velkoobchodního trhu podle článku 12, o schválení a změnách návrhů ENTSO pro elektřinu týkajících se regionálních virtuálních uzlů podle čl. 5 odst. 9; a o schválení a změnách návrhů ENTSO pro elektřinu a subjektu EU DSO ve věcech metodiky týkající se údajů a analýzy, které mají být poskytnuty, pokud jde o potřeby flexibility podle čl. 5 odst. 10;“;</w:t>
      </w:r>
    </w:p>
    <w:p w14:paraId="46EA1D6A" w14:textId="5DE7A241" w:rsidR="00976265" w:rsidRPr="002D7798" w:rsidRDefault="0064263D" w:rsidP="00565890">
      <w:pPr>
        <w:spacing w:line="360" w:lineRule="auto"/>
        <w:rPr>
          <w:noProof/>
        </w:rPr>
      </w:pPr>
      <w:r w:rsidRPr="002D7798">
        <w:rPr>
          <w:noProof/>
        </w:rPr>
        <w:t>2) v čl. 3 odst. 2 se doplňuje čtvrtý pododstavec, který zní:</w:t>
      </w:r>
    </w:p>
    <w:p w14:paraId="1E7742A7" w14:textId="77777777" w:rsidR="00976265" w:rsidRPr="002D7798" w:rsidRDefault="0064263D">
      <w:pPr>
        <w:spacing w:line="360" w:lineRule="auto"/>
        <w:rPr>
          <w:noProof/>
        </w:rPr>
      </w:pPr>
      <w:r w:rsidRPr="002D7798">
        <w:rPr>
          <w:noProof/>
        </w:rPr>
        <w:t>„Tento odstavec se vztahuje rovněž na jednotnou platformu pro přidělování zřízenou v souladu s nařízením (EU) 2016/1719.“;</w:t>
      </w:r>
    </w:p>
    <w:p w14:paraId="6044BDA8" w14:textId="1A486E28" w:rsidR="00976265" w:rsidRPr="002D7798" w:rsidRDefault="0064263D" w:rsidP="00565890">
      <w:pPr>
        <w:spacing w:line="360" w:lineRule="auto"/>
        <w:rPr>
          <w:noProof/>
        </w:rPr>
      </w:pPr>
      <w:r w:rsidRPr="002D7798">
        <w:rPr>
          <w:noProof/>
        </w:rPr>
        <w:t>3) v článku 4 se doplňuje nový odstavec 9, který zní:</w:t>
      </w:r>
    </w:p>
    <w:p w14:paraId="482CD0B0" w14:textId="77777777" w:rsidR="00976265" w:rsidRPr="002D7798" w:rsidRDefault="0064263D">
      <w:pPr>
        <w:spacing w:line="360" w:lineRule="auto"/>
        <w:rPr>
          <w:noProof/>
        </w:rPr>
      </w:pPr>
      <w:r w:rsidRPr="002D7798">
        <w:rPr>
          <w:noProof/>
        </w:rPr>
        <w:t>„9. Odstavce 6, 7 a 8 se použijí rovněž na jednotnou platformu pro přidělování zřízenou v souladu s nařízením (EU) 2016/1719.“;</w:t>
      </w:r>
    </w:p>
    <w:p w14:paraId="7A4ED709" w14:textId="67B6C680" w:rsidR="00976265" w:rsidRPr="002D7798" w:rsidRDefault="0064263D" w:rsidP="00565890">
      <w:pPr>
        <w:spacing w:line="360" w:lineRule="auto"/>
        <w:rPr>
          <w:noProof/>
        </w:rPr>
      </w:pPr>
      <w:r w:rsidRPr="002D7798">
        <w:rPr>
          <w:noProof/>
        </w:rPr>
        <w:t xml:space="preserve">4) v čl. 5 odst. 8 se doplňuje druhý pododstavec, který zní:  </w:t>
      </w:r>
    </w:p>
    <w:p w14:paraId="3D9C7213" w14:textId="77777777" w:rsidR="00976265" w:rsidRPr="002D7798" w:rsidRDefault="0064263D">
      <w:pPr>
        <w:spacing w:line="360" w:lineRule="auto"/>
        <w:rPr>
          <w:noProof/>
        </w:rPr>
      </w:pPr>
      <w:r w:rsidRPr="002D7798">
        <w:rPr>
          <w:noProof/>
        </w:rPr>
        <w:t>„ACER sleduje jednotnou platformu pro přidělování zřízenou v souladu s nařízením (EU) 2016/1719.“;</w:t>
      </w:r>
    </w:p>
    <w:p w14:paraId="35D11BD8" w14:textId="53B849F1" w:rsidR="24B86FA0" w:rsidRPr="002D7798" w:rsidRDefault="24B86FA0" w:rsidP="00851B85">
      <w:pPr>
        <w:spacing w:after="0" w:line="360" w:lineRule="auto"/>
        <w:rPr>
          <w:rFonts w:eastAsia="Times New Roman"/>
          <w:noProof/>
        </w:rPr>
      </w:pPr>
      <w:r w:rsidRPr="002D7798">
        <w:rPr>
          <w:noProof/>
        </w:rPr>
        <w:t>5) v článku 5 se doplňuje nový odstavec 9, který zní:</w:t>
      </w:r>
    </w:p>
    <w:p w14:paraId="3225F840" w14:textId="77777777" w:rsidR="4177F7D4" w:rsidRPr="002D7798" w:rsidRDefault="4177F7D4" w:rsidP="24B86FA0">
      <w:pPr>
        <w:spacing w:after="0" w:line="360" w:lineRule="auto"/>
        <w:rPr>
          <w:rFonts w:eastAsia="Times New Roman"/>
          <w:noProof/>
        </w:rPr>
      </w:pPr>
      <w:r w:rsidRPr="002D7798">
        <w:rPr>
          <w:noProof/>
        </w:rPr>
        <w:t>„9. ACER schválí a v případě potřeby pozmění návrh ENTSO pro elektřinu na zřízení regionálních virtuálních uzlů pro dlouhodobý trh podle čl. 9 odst. 2 nařízení (EU) 2019/943.“;</w:t>
      </w:r>
    </w:p>
    <w:p w14:paraId="75B16D5D" w14:textId="77777777" w:rsidR="24B86FA0" w:rsidRPr="002D7798" w:rsidRDefault="24B86FA0" w:rsidP="00851B85">
      <w:pPr>
        <w:spacing w:after="0" w:line="360" w:lineRule="auto"/>
        <w:rPr>
          <w:rFonts w:eastAsia="Times New Roman"/>
          <w:noProof/>
        </w:rPr>
      </w:pPr>
      <w:r w:rsidRPr="002D7798">
        <w:rPr>
          <w:noProof/>
        </w:rPr>
        <w:t>6) v článku 5 se doplňuje nový odstavec 10, který zní:</w:t>
      </w:r>
    </w:p>
    <w:p w14:paraId="32BD78E1" w14:textId="77777777" w:rsidR="3F37BB3F" w:rsidRPr="002D7798" w:rsidRDefault="3F37BB3F" w:rsidP="24B86FA0">
      <w:pPr>
        <w:spacing w:after="0" w:line="360" w:lineRule="auto"/>
        <w:rPr>
          <w:rFonts w:eastAsia="Times New Roman"/>
          <w:noProof/>
        </w:rPr>
      </w:pPr>
      <w:r w:rsidRPr="002D7798">
        <w:rPr>
          <w:noProof/>
        </w:rPr>
        <w:t>„10. Agentura ACER schválí a případně pozmění společný návrh sítě ENTSO pro elektřinu a subjektu EU DSO ve věcech metodiky týkající se údajů a analýzy, které mají být poskytnuty, pokud jde o potřeby flexibility podle čl. 19e odst. 5 nařízení (EU) 2019/943.“;</w:t>
      </w:r>
    </w:p>
    <w:p w14:paraId="29D31F64" w14:textId="77777777" w:rsidR="00976265" w:rsidRPr="002D7798" w:rsidRDefault="0064263D">
      <w:pPr>
        <w:spacing w:after="0" w:line="360" w:lineRule="auto"/>
        <w:rPr>
          <w:rFonts w:eastAsia="Times New Roman"/>
          <w:noProof/>
        </w:rPr>
      </w:pPr>
      <w:r w:rsidRPr="002D7798">
        <w:rPr>
          <w:i/>
          <w:noProof/>
        </w:rPr>
        <w:t xml:space="preserve"> </w:t>
      </w:r>
      <w:r w:rsidRPr="002D7798">
        <w:rPr>
          <w:noProof/>
        </w:rPr>
        <w:t>7) v článku 15 se doplňuje nový odstavec 5, který zní:</w:t>
      </w:r>
    </w:p>
    <w:p w14:paraId="2367F607" w14:textId="77777777" w:rsidR="00976265" w:rsidRPr="002D7798" w:rsidRDefault="0064263D" w:rsidP="00565890">
      <w:pPr>
        <w:spacing w:after="0" w:line="360" w:lineRule="auto"/>
        <w:rPr>
          <w:rFonts w:eastAsia="Times New Roman"/>
          <w:noProof/>
        </w:rPr>
      </w:pPr>
      <w:r w:rsidRPr="002D7798">
        <w:rPr>
          <w:noProof/>
        </w:rPr>
        <w:t>„5. ACER vydá zprávu, která analyzuje vnitrostátní posouzení potřeb flexibility a poskytuje doporučení k otázkám přeshraničního významu, pokud jde o zjištění regulačních orgánů podle čl. 19e odst. 6 nařízení (EU) 2019/943.“</w:t>
      </w:r>
    </w:p>
    <w:p w14:paraId="665634F2" w14:textId="77777777" w:rsidR="00976265" w:rsidRPr="002D7798" w:rsidRDefault="00976265">
      <w:pPr>
        <w:spacing w:line="360" w:lineRule="auto"/>
        <w:rPr>
          <w:rFonts w:eastAsia="Times New Roman"/>
          <w:b/>
          <w:bCs/>
          <w:i/>
          <w:iCs/>
          <w:noProof/>
          <w:u w:val="single"/>
        </w:rPr>
      </w:pPr>
    </w:p>
    <w:p w14:paraId="143A0FEB" w14:textId="77777777" w:rsidR="00976265" w:rsidRPr="002D7798" w:rsidRDefault="0064263D">
      <w:pPr>
        <w:pStyle w:val="Titrearticle"/>
        <w:spacing w:line="360" w:lineRule="auto"/>
        <w:rPr>
          <w:noProof/>
        </w:rPr>
      </w:pPr>
      <w:r w:rsidRPr="002D7798">
        <w:rPr>
          <w:noProof/>
        </w:rPr>
        <w:t xml:space="preserve">Článek 5 </w:t>
      </w:r>
      <w:r w:rsidRPr="002D7798">
        <w:rPr>
          <w:noProof/>
        </w:rPr>
        <w:br/>
        <w:t xml:space="preserve">Vstup v platnost </w:t>
      </w:r>
    </w:p>
    <w:p w14:paraId="12816258" w14:textId="77777777" w:rsidR="00976265" w:rsidRPr="002D7798" w:rsidRDefault="0064263D">
      <w:pPr>
        <w:pStyle w:val="Applicationdirecte"/>
        <w:rPr>
          <w:noProof/>
        </w:rPr>
      </w:pPr>
      <w:r w:rsidRPr="002D7798">
        <w:rPr>
          <w:noProof/>
        </w:rPr>
        <w:t>Toto nařízení vstupuje v platnost prvním dnem po vyhlášení v Úředním věstníku Evropské unie.</w:t>
      </w:r>
    </w:p>
    <w:p w14:paraId="08A697BF" w14:textId="77777777" w:rsidR="00976265" w:rsidRPr="002D7798" w:rsidRDefault="0064263D">
      <w:pPr>
        <w:pStyle w:val="Applicationdirecte"/>
        <w:rPr>
          <w:noProof/>
        </w:rPr>
      </w:pPr>
      <w:r w:rsidRPr="002D7798">
        <w:rPr>
          <w:noProof/>
        </w:rPr>
        <w:t>Toto nařízení je závazné v celém rozsahu a přímo použitelné ve všech členských státech.</w:t>
      </w:r>
    </w:p>
    <w:p w14:paraId="7A1842B0" w14:textId="27AAD1F8" w:rsidR="00976265" w:rsidRPr="002D7798" w:rsidRDefault="00357927" w:rsidP="00CE2BA5">
      <w:pPr>
        <w:pStyle w:val="Fait"/>
        <w:rPr>
          <w:noProof/>
        </w:rPr>
      </w:pPr>
      <w:r w:rsidRPr="00357927">
        <w:t>Ve Štrasburku dne</w:t>
      </w:r>
    </w:p>
    <w:p w14:paraId="0FC36502" w14:textId="77777777" w:rsidR="00976265" w:rsidRPr="002D7798" w:rsidRDefault="0064263D" w:rsidP="00CE2BA5">
      <w:pPr>
        <w:pStyle w:val="Institutionquisigne"/>
        <w:rPr>
          <w:noProof/>
        </w:rPr>
      </w:pPr>
      <w:r w:rsidRPr="002D7798">
        <w:rPr>
          <w:noProof/>
        </w:rPr>
        <w:t>Za Evropský parlament</w:t>
      </w:r>
      <w:r w:rsidRPr="002D7798">
        <w:rPr>
          <w:noProof/>
        </w:rPr>
        <w:tab/>
        <w:t>Za Radu</w:t>
      </w:r>
    </w:p>
    <w:p w14:paraId="5606B5FF" w14:textId="77777777" w:rsidR="00976265" w:rsidRPr="002D7798" w:rsidRDefault="0064263D">
      <w:pPr>
        <w:pStyle w:val="Personnequisigne"/>
        <w:rPr>
          <w:noProof/>
          <w:szCs w:val="20"/>
        </w:rPr>
      </w:pPr>
      <w:r w:rsidRPr="002D7798">
        <w:rPr>
          <w:noProof/>
        </w:rPr>
        <w:t>předseda/předsedkyně</w:t>
      </w:r>
      <w:r w:rsidRPr="002D7798">
        <w:rPr>
          <w:noProof/>
        </w:rPr>
        <w:tab/>
        <w:t>předseda/předsedkyně</w:t>
      </w:r>
    </w:p>
    <w:p w14:paraId="5A80E149" w14:textId="77777777" w:rsidR="00565890" w:rsidRPr="002D7798" w:rsidRDefault="00565890">
      <w:pPr>
        <w:spacing w:before="0" w:after="200" w:line="276" w:lineRule="auto"/>
        <w:jc w:val="left"/>
        <w:rPr>
          <w:b/>
          <w:noProof/>
          <w:szCs w:val="20"/>
          <w:u w:val="single"/>
        </w:rPr>
      </w:pPr>
      <w:r w:rsidRPr="002D7798">
        <w:rPr>
          <w:noProof/>
        </w:rPr>
        <w:br w:type="page"/>
      </w:r>
    </w:p>
    <w:p w14:paraId="1D4F8BB5" w14:textId="77777777" w:rsidR="00976265" w:rsidRPr="002D7798" w:rsidRDefault="0064263D">
      <w:pPr>
        <w:pStyle w:val="Fichefinanciretitre"/>
        <w:rPr>
          <w:b w:val="0"/>
          <w:noProof/>
          <w:szCs w:val="20"/>
        </w:rPr>
      </w:pPr>
      <w:r w:rsidRPr="002D7798">
        <w:rPr>
          <w:noProof/>
        </w:rPr>
        <w:t>LEGISLATIVNÍ FINANČNÍ VÝKAZ „AGENTURY“</w:t>
      </w:r>
    </w:p>
    <w:sdt>
      <w:sdtPr>
        <w:rPr>
          <w:b w:val="0"/>
          <w:smallCaps w:val="0"/>
          <w:noProof/>
          <w:szCs w:val="20"/>
          <w:shd w:val="clear" w:color="auto" w:fill="E6E6E6"/>
        </w:rPr>
        <w:id w:val="1138923797"/>
        <w:docPartObj>
          <w:docPartGallery w:val="Table of Contents"/>
          <w:docPartUnique/>
        </w:docPartObj>
      </w:sdtPr>
      <w:sdtEndPr>
        <w:rPr>
          <w:bCs/>
        </w:rPr>
      </w:sdtEndPr>
      <w:sdtContent>
        <w:p w14:paraId="0FAF5E99" w14:textId="77777777" w:rsidR="00976265" w:rsidRPr="002D7798" w:rsidRDefault="0064263D">
          <w:pPr>
            <w:pStyle w:val="ManualHeading1"/>
            <w:rPr>
              <w:noProof/>
            </w:rPr>
          </w:pPr>
          <w:r w:rsidRPr="002D7798">
            <w:rPr>
              <w:noProof/>
            </w:rPr>
            <w:t>1.</w:t>
          </w:r>
          <w:r w:rsidRPr="002D7798">
            <w:rPr>
              <w:noProof/>
            </w:rPr>
            <w:tab/>
            <w:t>RÁMEC NÁVRHU/PODNĚTU</w:t>
          </w:r>
        </w:p>
        <w:p w14:paraId="55CCBDC4" w14:textId="77777777" w:rsidR="00976265" w:rsidRPr="002D7798" w:rsidRDefault="0064263D">
          <w:pPr>
            <w:pStyle w:val="ManualHeading2"/>
            <w:rPr>
              <w:noProof/>
            </w:rPr>
          </w:pPr>
          <w:r w:rsidRPr="002D7798">
            <w:rPr>
              <w:noProof/>
            </w:rPr>
            <w:t>1.1.</w:t>
          </w:r>
          <w:r w:rsidRPr="002D7798">
            <w:rPr>
              <w:noProof/>
            </w:rPr>
            <w:tab/>
            <w:t>Název návrhu/podnětu</w:t>
          </w:r>
        </w:p>
        <w:p w14:paraId="2A98EC29" w14:textId="77777777" w:rsidR="00976265" w:rsidRPr="002D7798" w:rsidRDefault="0064263D">
          <w:pPr>
            <w:pStyle w:val="ManualHeading2"/>
            <w:rPr>
              <w:noProof/>
            </w:rPr>
          </w:pPr>
          <w:r w:rsidRPr="002D7798">
            <w:rPr>
              <w:noProof/>
            </w:rPr>
            <w:t>1.2.</w:t>
          </w:r>
          <w:r w:rsidRPr="002D7798">
            <w:rPr>
              <w:noProof/>
            </w:rPr>
            <w:tab/>
            <w:t>Příslušné oblasti politik</w:t>
          </w:r>
        </w:p>
        <w:p w14:paraId="47A8A035" w14:textId="77777777" w:rsidR="00976265" w:rsidRPr="002D7798" w:rsidRDefault="0064263D">
          <w:pPr>
            <w:pStyle w:val="ManualHeading2"/>
            <w:rPr>
              <w:noProof/>
            </w:rPr>
          </w:pPr>
          <w:r w:rsidRPr="002D7798">
            <w:rPr>
              <w:noProof/>
            </w:rPr>
            <w:t>1.3.</w:t>
          </w:r>
          <w:r w:rsidRPr="002D7798">
            <w:rPr>
              <w:noProof/>
            </w:rPr>
            <w:tab/>
            <w:t>Povaha návrhu/podnětu</w:t>
          </w:r>
        </w:p>
        <w:p w14:paraId="2B16FDC0" w14:textId="77777777" w:rsidR="00976265" w:rsidRPr="002D7798" w:rsidRDefault="0064263D">
          <w:pPr>
            <w:pStyle w:val="ManualHeading2"/>
            <w:rPr>
              <w:noProof/>
            </w:rPr>
          </w:pPr>
          <w:r w:rsidRPr="002D7798">
            <w:rPr>
              <w:noProof/>
            </w:rPr>
            <w:t>1.4.</w:t>
          </w:r>
          <w:r w:rsidRPr="002D7798">
            <w:rPr>
              <w:noProof/>
            </w:rPr>
            <w:tab/>
            <w:t>Cíle</w:t>
          </w:r>
        </w:p>
        <w:p w14:paraId="2C118931" w14:textId="77777777" w:rsidR="00976265" w:rsidRPr="002D7798" w:rsidRDefault="0064263D">
          <w:pPr>
            <w:pStyle w:val="ManualHeading3"/>
            <w:rPr>
              <w:noProof/>
            </w:rPr>
          </w:pPr>
          <w:r w:rsidRPr="002D7798">
            <w:rPr>
              <w:noProof/>
            </w:rPr>
            <w:t>1.4.1.</w:t>
          </w:r>
          <w:r w:rsidRPr="002D7798">
            <w:rPr>
              <w:noProof/>
            </w:rPr>
            <w:tab/>
            <w:t>Obecné cíle</w:t>
          </w:r>
        </w:p>
        <w:p w14:paraId="37C8D97E" w14:textId="77777777" w:rsidR="00976265" w:rsidRPr="002D7798" w:rsidRDefault="0064263D">
          <w:pPr>
            <w:pStyle w:val="ManualHeading3"/>
            <w:rPr>
              <w:noProof/>
            </w:rPr>
          </w:pPr>
          <w:r w:rsidRPr="002D7798">
            <w:rPr>
              <w:noProof/>
            </w:rPr>
            <w:t>1.4.2.</w:t>
          </w:r>
          <w:r w:rsidRPr="002D7798">
            <w:rPr>
              <w:noProof/>
            </w:rPr>
            <w:tab/>
            <w:t>Specifické cíle</w:t>
          </w:r>
        </w:p>
        <w:p w14:paraId="2F4C958F" w14:textId="77777777" w:rsidR="00976265" w:rsidRPr="002D7798" w:rsidRDefault="0064263D">
          <w:pPr>
            <w:pStyle w:val="ManualHeading3"/>
            <w:rPr>
              <w:noProof/>
            </w:rPr>
          </w:pPr>
          <w:r w:rsidRPr="002D7798">
            <w:rPr>
              <w:noProof/>
            </w:rPr>
            <w:t>1.4.3.</w:t>
          </w:r>
          <w:r w:rsidRPr="002D7798">
            <w:rPr>
              <w:noProof/>
            </w:rPr>
            <w:tab/>
            <w:t>Očekávané výsledky a dopady</w:t>
          </w:r>
        </w:p>
        <w:p w14:paraId="2812602C" w14:textId="77777777" w:rsidR="00976265" w:rsidRPr="002D7798" w:rsidRDefault="0064263D">
          <w:pPr>
            <w:pStyle w:val="ManualHeading3"/>
            <w:rPr>
              <w:noProof/>
            </w:rPr>
          </w:pPr>
          <w:r w:rsidRPr="002D7798">
            <w:rPr>
              <w:noProof/>
            </w:rPr>
            <w:t>1.4.4.</w:t>
          </w:r>
          <w:r w:rsidRPr="002D7798">
            <w:rPr>
              <w:noProof/>
            </w:rPr>
            <w:tab/>
            <w:t>Ukazatele výkonnosti</w:t>
          </w:r>
        </w:p>
        <w:p w14:paraId="64004DED" w14:textId="77777777" w:rsidR="00976265" w:rsidRPr="002D7798" w:rsidRDefault="0064263D">
          <w:pPr>
            <w:pStyle w:val="ManualHeading2"/>
            <w:rPr>
              <w:noProof/>
            </w:rPr>
          </w:pPr>
          <w:r w:rsidRPr="002D7798">
            <w:rPr>
              <w:noProof/>
            </w:rPr>
            <w:t>1.5.</w:t>
          </w:r>
          <w:r w:rsidRPr="002D7798">
            <w:rPr>
              <w:noProof/>
            </w:rPr>
            <w:tab/>
            <w:t>Odůvodnění návrhu/podnětu</w:t>
          </w:r>
        </w:p>
        <w:p w14:paraId="7ABA640C" w14:textId="77777777" w:rsidR="00976265" w:rsidRPr="002D7798" w:rsidRDefault="0064263D">
          <w:pPr>
            <w:pStyle w:val="ManualHeading3"/>
            <w:rPr>
              <w:noProof/>
            </w:rPr>
          </w:pPr>
          <w:r w:rsidRPr="002D7798">
            <w:rPr>
              <w:noProof/>
            </w:rPr>
            <w:t>1.5.1.</w:t>
          </w:r>
          <w:r w:rsidRPr="002D7798">
            <w:rPr>
              <w:noProof/>
            </w:rPr>
            <w:tab/>
            <w:t>Potřeby, které mají být uspokojeny v krátkodobém nebo dlouhodobém horizontu, včetně podrobného harmonogramu pro zahajovací fázi provádění podnětu</w:t>
          </w:r>
        </w:p>
        <w:p w14:paraId="5B9D103A" w14:textId="77777777" w:rsidR="00976265" w:rsidRPr="002D7798" w:rsidRDefault="0064263D">
          <w:pPr>
            <w:pStyle w:val="ManualHeading3"/>
            <w:rPr>
              <w:noProof/>
            </w:rPr>
          </w:pPr>
          <w:r w:rsidRPr="002D7798">
            <w:rPr>
              <w:noProof/>
            </w:rPr>
            <w:t>1.5.2.</w:t>
          </w:r>
          <w:r w:rsidRPr="002D7798">
            <w:rPr>
              <w:noProof/>
            </w:rPr>
            <w:tab/>
            <w:t>Přidaná hodnota ze zapojení Unie (může být důsledkem různých faktorů, např. přínosů z koordinace, právní jistoty, vyšší účinnosti nebo doplňkovosti). Pro účely tohoto bodu se „přidanou hodnotou ze zapojení Unie“ rozumí hodnota plynoucí ze zásahu Unie, jež doplňuje hodnotu, která by jinak vznikla činností samotných členských států.</w:t>
          </w:r>
        </w:p>
        <w:p w14:paraId="33846241" w14:textId="77777777" w:rsidR="00976265" w:rsidRPr="002D7798" w:rsidRDefault="0064263D">
          <w:pPr>
            <w:pStyle w:val="ManualHeading3"/>
            <w:rPr>
              <w:noProof/>
            </w:rPr>
          </w:pPr>
          <w:r w:rsidRPr="002D7798">
            <w:rPr>
              <w:noProof/>
            </w:rPr>
            <w:t>1.5.3.</w:t>
          </w:r>
          <w:r w:rsidRPr="002D7798">
            <w:rPr>
              <w:noProof/>
            </w:rPr>
            <w:tab/>
            <w:t>Závěry vyvozené z podobných zkušeností v minulosti</w:t>
          </w:r>
        </w:p>
        <w:p w14:paraId="78BA21A4" w14:textId="77777777" w:rsidR="00976265" w:rsidRPr="002D7798" w:rsidRDefault="0064263D">
          <w:pPr>
            <w:pStyle w:val="ManualHeading3"/>
            <w:rPr>
              <w:noProof/>
            </w:rPr>
          </w:pPr>
          <w:r w:rsidRPr="002D7798">
            <w:rPr>
              <w:noProof/>
            </w:rPr>
            <w:t>1.5.4.</w:t>
          </w:r>
          <w:r w:rsidRPr="002D7798">
            <w:rPr>
              <w:noProof/>
            </w:rPr>
            <w:tab/>
            <w:t>Slučitelnost s víceletým finančním rámcem a možné synergie s dalšími vhodnými nástroji</w:t>
          </w:r>
        </w:p>
        <w:p w14:paraId="17A97C1A" w14:textId="77777777" w:rsidR="00976265" w:rsidRPr="002D7798" w:rsidRDefault="0064263D">
          <w:pPr>
            <w:pStyle w:val="ManualHeading3"/>
            <w:rPr>
              <w:noProof/>
            </w:rPr>
          </w:pPr>
          <w:r w:rsidRPr="002D7798">
            <w:rPr>
              <w:noProof/>
            </w:rPr>
            <w:t>1.5.5.</w:t>
          </w:r>
          <w:r w:rsidRPr="002D7798">
            <w:rPr>
              <w:noProof/>
            </w:rPr>
            <w:tab/>
            <w:t>Posouzení různých dostupných možností financování, včetně prostoru pro přerozdělení prostředků</w:t>
          </w:r>
        </w:p>
        <w:p w14:paraId="5C0ABE18" w14:textId="77777777" w:rsidR="00976265" w:rsidRPr="002D7798" w:rsidRDefault="0064263D">
          <w:pPr>
            <w:pStyle w:val="ManualHeading2"/>
            <w:rPr>
              <w:noProof/>
            </w:rPr>
          </w:pPr>
          <w:r w:rsidRPr="002D7798">
            <w:rPr>
              <w:noProof/>
            </w:rPr>
            <w:t>1.6.</w:t>
          </w:r>
          <w:r w:rsidRPr="002D7798">
            <w:rPr>
              <w:noProof/>
            </w:rPr>
            <w:tab/>
            <w:t>Doba trvání a finanční dopad návrhu/podnětu</w:t>
          </w:r>
        </w:p>
        <w:p w14:paraId="232B97F4" w14:textId="77777777" w:rsidR="00976265" w:rsidRPr="002D7798" w:rsidRDefault="0064263D">
          <w:pPr>
            <w:pStyle w:val="ManualHeading2"/>
            <w:rPr>
              <w:noProof/>
            </w:rPr>
          </w:pPr>
          <w:r w:rsidRPr="002D7798">
            <w:rPr>
              <w:noProof/>
            </w:rPr>
            <w:t>1.7.</w:t>
          </w:r>
          <w:r w:rsidRPr="002D7798">
            <w:rPr>
              <w:noProof/>
            </w:rPr>
            <w:tab/>
            <w:t>Předpokládaný způsob plnění rozpočtu</w:t>
          </w:r>
        </w:p>
        <w:p w14:paraId="5A71416F" w14:textId="77777777" w:rsidR="00976265" w:rsidRPr="002D7798" w:rsidRDefault="0064263D">
          <w:pPr>
            <w:pStyle w:val="ManualHeading1"/>
            <w:rPr>
              <w:noProof/>
            </w:rPr>
          </w:pPr>
          <w:r w:rsidRPr="002D7798">
            <w:rPr>
              <w:noProof/>
            </w:rPr>
            <w:t>2.</w:t>
          </w:r>
          <w:r w:rsidRPr="002D7798">
            <w:rPr>
              <w:noProof/>
            </w:rPr>
            <w:tab/>
            <w:t>SPRÁVNÍ OPATŘENÍ</w:t>
          </w:r>
        </w:p>
        <w:p w14:paraId="45E81857" w14:textId="77777777" w:rsidR="00976265" w:rsidRPr="002D7798" w:rsidRDefault="0064263D">
          <w:pPr>
            <w:pStyle w:val="ManualHeading2"/>
            <w:rPr>
              <w:noProof/>
            </w:rPr>
          </w:pPr>
          <w:r w:rsidRPr="002D7798">
            <w:rPr>
              <w:noProof/>
            </w:rPr>
            <w:t>2.1.</w:t>
          </w:r>
          <w:r w:rsidRPr="002D7798">
            <w:rPr>
              <w:noProof/>
            </w:rPr>
            <w:tab/>
            <w:t>Pravidla pro sledování a podávání zpráv</w:t>
          </w:r>
        </w:p>
        <w:p w14:paraId="73FA9359" w14:textId="77777777" w:rsidR="00976265" w:rsidRPr="002D7798" w:rsidRDefault="0064263D">
          <w:pPr>
            <w:pStyle w:val="ManualHeading2"/>
            <w:rPr>
              <w:noProof/>
            </w:rPr>
          </w:pPr>
          <w:r w:rsidRPr="002D7798">
            <w:rPr>
              <w:noProof/>
            </w:rPr>
            <w:t>2.2.</w:t>
          </w:r>
          <w:r w:rsidRPr="002D7798">
            <w:rPr>
              <w:noProof/>
            </w:rPr>
            <w:tab/>
            <w:t>Systémy řízení a kontroly</w:t>
          </w:r>
        </w:p>
        <w:p w14:paraId="6EF3C40D" w14:textId="77777777" w:rsidR="00976265" w:rsidRPr="002D7798" w:rsidRDefault="0064263D">
          <w:pPr>
            <w:pStyle w:val="ManualHeading3"/>
            <w:rPr>
              <w:noProof/>
            </w:rPr>
          </w:pPr>
          <w:r w:rsidRPr="002D7798">
            <w:rPr>
              <w:noProof/>
            </w:rPr>
            <w:t>2.2.1.</w:t>
          </w:r>
          <w:r w:rsidRPr="002D7798">
            <w:rPr>
              <w:noProof/>
            </w:rPr>
            <w:tab/>
            <w:t>Odůvodnění navrhovaných způsobů řízení, mechanismů provádění financování, způsobů plateb a kontrolní strategie</w:t>
          </w:r>
        </w:p>
        <w:p w14:paraId="18B51758" w14:textId="77777777" w:rsidR="00976265" w:rsidRPr="002D7798" w:rsidRDefault="0064263D">
          <w:pPr>
            <w:pStyle w:val="ManualHeading3"/>
            <w:rPr>
              <w:noProof/>
            </w:rPr>
          </w:pPr>
          <w:r w:rsidRPr="002D7798">
            <w:rPr>
              <w:noProof/>
            </w:rPr>
            <w:t>2.2.2.</w:t>
          </w:r>
          <w:r w:rsidRPr="002D7798">
            <w:rPr>
              <w:noProof/>
            </w:rPr>
            <w:tab/>
            <w:t>Informace o zjištěných rizicích a systémech vnitřní kontroly zřízených k jejich zmírnění</w:t>
          </w:r>
        </w:p>
        <w:p w14:paraId="764D3EBE" w14:textId="77777777" w:rsidR="00976265" w:rsidRPr="002D7798" w:rsidRDefault="0064263D">
          <w:pPr>
            <w:pStyle w:val="ManualHeading3"/>
            <w:rPr>
              <w:noProof/>
            </w:rPr>
          </w:pPr>
          <w:r w:rsidRPr="002D7798">
            <w:rPr>
              <w:noProof/>
            </w:rPr>
            <w:t>2.2.3.</w:t>
          </w:r>
          <w:r w:rsidRPr="002D7798">
            <w:rPr>
              <w:noProof/>
            </w:rPr>
            <w:tab/>
            <w:t>Odhad a odůvodnění nákladové efektivnosti kontrol (poměr „náklady na kontroly ÷ hodnota souvisejících spravovaných finančních prostředků“) a posouzení očekávané míry rizika výskytu chyb (při platbě a při uzávěrce)</w:t>
          </w:r>
        </w:p>
        <w:p w14:paraId="0C6CEC92" w14:textId="77777777" w:rsidR="00976265" w:rsidRPr="002D7798" w:rsidRDefault="0064263D">
          <w:pPr>
            <w:pStyle w:val="ManualHeading2"/>
            <w:rPr>
              <w:noProof/>
            </w:rPr>
          </w:pPr>
          <w:r w:rsidRPr="002D7798">
            <w:rPr>
              <w:noProof/>
            </w:rPr>
            <w:t>2.3.</w:t>
          </w:r>
          <w:r w:rsidRPr="002D7798">
            <w:rPr>
              <w:noProof/>
            </w:rPr>
            <w:tab/>
            <w:t>Opatření k zamezení podvodů a nesrovnalostí</w:t>
          </w:r>
        </w:p>
        <w:p w14:paraId="49BC6618" w14:textId="77777777" w:rsidR="00976265" w:rsidRPr="002D7798" w:rsidRDefault="0064263D">
          <w:pPr>
            <w:pStyle w:val="ManualHeading1"/>
            <w:rPr>
              <w:noProof/>
            </w:rPr>
          </w:pPr>
          <w:r w:rsidRPr="002D7798">
            <w:rPr>
              <w:noProof/>
            </w:rPr>
            <w:t>3.</w:t>
          </w:r>
          <w:r w:rsidRPr="002D7798">
            <w:rPr>
              <w:noProof/>
            </w:rPr>
            <w:tab/>
            <w:t>ODHADOVANÝ FINANČNÍ DOPAD NÁVRHU/PODNĚTU</w:t>
          </w:r>
        </w:p>
        <w:p w14:paraId="5BA58461" w14:textId="77777777" w:rsidR="00976265" w:rsidRPr="002D7798" w:rsidRDefault="0064263D">
          <w:pPr>
            <w:pStyle w:val="ManualHeading2"/>
            <w:rPr>
              <w:noProof/>
            </w:rPr>
          </w:pPr>
          <w:r w:rsidRPr="002D7798">
            <w:rPr>
              <w:noProof/>
            </w:rPr>
            <w:t>3.1.</w:t>
          </w:r>
          <w:r w:rsidRPr="002D7798">
            <w:rPr>
              <w:noProof/>
            </w:rPr>
            <w:tab/>
            <w:t>Okruhy víceletého finančního rámce a dotčené výdajové rozpočtové položky</w:t>
          </w:r>
        </w:p>
        <w:p w14:paraId="77D45906" w14:textId="77777777" w:rsidR="00976265" w:rsidRPr="002D7798" w:rsidRDefault="0064263D">
          <w:pPr>
            <w:pStyle w:val="ManualHeading2"/>
            <w:rPr>
              <w:noProof/>
            </w:rPr>
          </w:pPr>
          <w:r w:rsidRPr="002D7798">
            <w:rPr>
              <w:noProof/>
            </w:rPr>
            <w:t>3.2.</w:t>
          </w:r>
          <w:r w:rsidRPr="002D7798">
            <w:rPr>
              <w:noProof/>
            </w:rPr>
            <w:tab/>
            <w:t>Odhadovaný finanční dopad návrhu na prostředky</w:t>
          </w:r>
        </w:p>
        <w:p w14:paraId="28682894" w14:textId="77777777" w:rsidR="00976265" w:rsidRPr="002D7798" w:rsidRDefault="0064263D">
          <w:pPr>
            <w:pStyle w:val="ManualHeading3"/>
            <w:rPr>
              <w:noProof/>
            </w:rPr>
          </w:pPr>
          <w:r w:rsidRPr="002D7798">
            <w:rPr>
              <w:noProof/>
            </w:rPr>
            <w:t>3.2.1.</w:t>
          </w:r>
          <w:r w:rsidRPr="002D7798">
            <w:rPr>
              <w:noProof/>
            </w:rPr>
            <w:tab/>
            <w:t>Odhadovaný souhrnný dopad na operační prostředky</w:t>
          </w:r>
        </w:p>
        <w:p w14:paraId="3EE970BC" w14:textId="77777777" w:rsidR="00976265" w:rsidRPr="002D7798" w:rsidRDefault="0064263D">
          <w:pPr>
            <w:pStyle w:val="ManualHeading3"/>
            <w:rPr>
              <w:noProof/>
            </w:rPr>
          </w:pPr>
          <w:r w:rsidRPr="002D7798">
            <w:rPr>
              <w:noProof/>
            </w:rPr>
            <w:t>3.2.2.</w:t>
          </w:r>
          <w:r w:rsidRPr="002D7798">
            <w:rPr>
              <w:noProof/>
            </w:rPr>
            <w:tab/>
            <w:t>Odhadovaný výstup financovaný z operačních prostředků</w:t>
          </w:r>
        </w:p>
        <w:p w14:paraId="1C96B444" w14:textId="77777777" w:rsidR="00976265" w:rsidRPr="002D7798" w:rsidRDefault="0064263D">
          <w:pPr>
            <w:pStyle w:val="ManualHeading3"/>
            <w:rPr>
              <w:noProof/>
            </w:rPr>
          </w:pPr>
          <w:r w:rsidRPr="002D7798">
            <w:rPr>
              <w:noProof/>
            </w:rPr>
            <w:t>3.2.3.</w:t>
          </w:r>
          <w:r w:rsidRPr="002D7798">
            <w:rPr>
              <w:noProof/>
            </w:rPr>
            <w:tab/>
            <w:t>Odhadovaný souhrnný dopad na správní prostředky</w:t>
          </w:r>
        </w:p>
        <w:p w14:paraId="5C8E519E" w14:textId="77777777" w:rsidR="00976265" w:rsidRPr="002D7798" w:rsidRDefault="0064263D">
          <w:pPr>
            <w:pStyle w:val="ManualHeading3"/>
            <w:rPr>
              <w:noProof/>
            </w:rPr>
          </w:pPr>
          <w:r w:rsidRPr="002D7798">
            <w:rPr>
              <w:noProof/>
            </w:rPr>
            <w:t>3.2.3.1.</w:t>
          </w:r>
          <w:r w:rsidRPr="002D7798">
            <w:rPr>
              <w:noProof/>
            </w:rPr>
            <w:tab/>
            <w:t>Odhadované potřeby v oblasti lidských zdrojů</w:t>
          </w:r>
        </w:p>
        <w:p w14:paraId="5ADE0E16" w14:textId="77777777" w:rsidR="00976265" w:rsidRPr="002D7798" w:rsidRDefault="0064263D">
          <w:pPr>
            <w:pStyle w:val="ManualHeading3"/>
            <w:rPr>
              <w:noProof/>
            </w:rPr>
          </w:pPr>
          <w:r w:rsidRPr="002D7798">
            <w:rPr>
              <w:noProof/>
            </w:rPr>
            <w:t>3.2.4.</w:t>
          </w:r>
          <w:r w:rsidRPr="002D7798">
            <w:rPr>
              <w:noProof/>
            </w:rPr>
            <w:tab/>
            <w:t>Slučitelnost se stávajícím víceletým finančním rámcem</w:t>
          </w:r>
        </w:p>
        <w:p w14:paraId="13CF4D38" w14:textId="77777777" w:rsidR="00976265" w:rsidRPr="002D7798" w:rsidRDefault="0064263D">
          <w:pPr>
            <w:pStyle w:val="ManualHeading3"/>
            <w:rPr>
              <w:noProof/>
            </w:rPr>
          </w:pPr>
          <w:r w:rsidRPr="002D7798">
            <w:rPr>
              <w:noProof/>
            </w:rPr>
            <w:t>3.2.5.</w:t>
          </w:r>
          <w:r w:rsidRPr="002D7798">
            <w:rPr>
              <w:noProof/>
            </w:rPr>
            <w:tab/>
            <w:t>Příspěvky třetích stran</w:t>
          </w:r>
        </w:p>
        <w:p w14:paraId="12D20E0D" w14:textId="77777777" w:rsidR="00976265" w:rsidRPr="002D7798" w:rsidRDefault="0064263D">
          <w:pPr>
            <w:pStyle w:val="ManualHeading2"/>
            <w:rPr>
              <w:noProof/>
            </w:rPr>
          </w:pPr>
          <w:r w:rsidRPr="002D7798">
            <w:rPr>
              <w:noProof/>
            </w:rPr>
            <w:t>3.3.</w:t>
          </w:r>
          <w:r w:rsidRPr="002D7798">
            <w:rPr>
              <w:noProof/>
            </w:rPr>
            <w:tab/>
            <w:t>Odhadovaný dopad na příjmy</w:t>
          </w:r>
        </w:p>
        <w:p w14:paraId="1F71BEC0" w14:textId="77777777" w:rsidR="00976265" w:rsidRPr="002D7798" w:rsidRDefault="00877D91">
          <w:pPr>
            <w:spacing w:before="0" w:after="200" w:line="276" w:lineRule="auto"/>
            <w:jc w:val="left"/>
            <w:rPr>
              <w:noProof/>
              <w:szCs w:val="20"/>
            </w:rPr>
          </w:pPr>
        </w:p>
      </w:sdtContent>
    </w:sdt>
    <w:p w14:paraId="69AF7DCD" w14:textId="77777777" w:rsidR="00976265" w:rsidRPr="002D7798" w:rsidRDefault="00976265">
      <w:pPr>
        <w:spacing w:before="0" w:after="200" w:line="276" w:lineRule="auto"/>
        <w:jc w:val="left"/>
        <w:rPr>
          <w:noProof/>
          <w:szCs w:val="20"/>
        </w:rPr>
        <w:sectPr w:rsidR="00976265" w:rsidRPr="002D7798" w:rsidSect="007D2204">
          <w:pgSz w:w="12240" w:h="15840"/>
          <w:pgMar w:top="794" w:right="907" w:bottom="851" w:left="1361" w:header="510" w:footer="454" w:gutter="0"/>
          <w:cols w:space="720"/>
          <w:docGrid w:linePitch="326"/>
        </w:sectPr>
      </w:pPr>
    </w:p>
    <w:p w14:paraId="0C7A0834" w14:textId="77777777" w:rsidR="00976265" w:rsidRPr="002D7798" w:rsidRDefault="0064263D">
      <w:pPr>
        <w:spacing w:before="0" w:after="200" w:line="276" w:lineRule="auto"/>
        <w:jc w:val="center"/>
        <w:rPr>
          <w:b/>
          <w:noProof/>
          <w:szCs w:val="20"/>
        </w:rPr>
      </w:pPr>
      <w:r w:rsidRPr="002D7798">
        <w:rPr>
          <w:noProof/>
        </w:rPr>
        <w:t xml:space="preserve"> </w:t>
      </w:r>
      <w:r w:rsidRPr="002D7798">
        <w:rPr>
          <w:noProof/>
        </w:rPr>
        <w:br/>
      </w:r>
      <w:r w:rsidRPr="002D7798">
        <w:rPr>
          <w:b/>
          <w:noProof/>
        </w:rPr>
        <w:t>LEGISLATIVNÍ FINANČNÍ VÝKAZ „AGENTURY“</w:t>
      </w:r>
    </w:p>
    <w:p w14:paraId="4099677E" w14:textId="77777777" w:rsidR="00976265" w:rsidRPr="002D7798" w:rsidRDefault="0064263D">
      <w:pPr>
        <w:keepNext/>
        <w:tabs>
          <w:tab w:val="left" w:pos="850"/>
        </w:tabs>
        <w:spacing w:before="360"/>
        <w:ind w:left="850" w:hanging="850"/>
        <w:outlineLvl w:val="0"/>
        <w:rPr>
          <w:b/>
          <w:bCs/>
          <w:smallCaps/>
          <w:noProof/>
          <w:szCs w:val="24"/>
        </w:rPr>
      </w:pPr>
      <w:bookmarkStart w:id="21" w:name="_Toc514938659"/>
      <w:bookmarkStart w:id="22" w:name="_Toc128753755"/>
      <w:r w:rsidRPr="002D7798">
        <w:rPr>
          <w:b/>
          <w:smallCaps/>
          <w:noProof/>
        </w:rPr>
        <w:t>1.</w:t>
      </w:r>
      <w:r w:rsidRPr="002D7798">
        <w:rPr>
          <w:noProof/>
        </w:rPr>
        <w:tab/>
      </w:r>
      <w:r w:rsidRPr="002D7798">
        <w:rPr>
          <w:b/>
          <w:smallCaps/>
          <w:noProof/>
        </w:rPr>
        <w:t>RÁMEC NÁVRHU/PODNĚTU</w:t>
      </w:r>
      <w:bookmarkEnd w:id="21"/>
      <w:bookmarkEnd w:id="22"/>
      <w:r w:rsidRPr="002D7798">
        <w:rPr>
          <w:b/>
          <w:smallCaps/>
          <w:noProof/>
        </w:rPr>
        <w:t xml:space="preserve"> </w:t>
      </w:r>
    </w:p>
    <w:p w14:paraId="582413E1" w14:textId="77777777" w:rsidR="00976265" w:rsidRPr="002D7798" w:rsidRDefault="0064263D">
      <w:pPr>
        <w:keepNext/>
        <w:tabs>
          <w:tab w:val="left" w:pos="850"/>
        </w:tabs>
        <w:ind w:left="850" w:hanging="850"/>
        <w:outlineLvl w:val="1"/>
        <w:rPr>
          <w:b/>
          <w:bCs/>
          <w:noProof/>
          <w:szCs w:val="24"/>
        </w:rPr>
      </w:pPr>
      <w:bookmarkStart w:id="23" w:name="_Toc514938660"/>
      <w:bookmarkStart w:id="24" w:name="_Toc128753756"/>
      <w:r w:rsidRPr="002D7798">
        <w:rPr>
          <w:b/>
          <w:noProof/>
        </w:rPr>
        <w:t>1.1.</w:t>
      </w:r>
      <w:r w:rsidRPr="002D7798">
        <w:rPr>
          <w:noProof/>
        </w:rPr>
        <w:tab/>
      </w:r>
      <w:r w:rsidRPr="002D7798">
        <w:rPr>
          <w:b/>
          <w:noProof/>
        </w:rPr>
        <w:t>Název návrhu/podnětu</w:t>
      </w:r>
      <w:bookmarkEnd w:id="23"/>
      <w:bookmarkEnd w:id="24"/>
    </w:p>
    <w:p w14:paraId="7B1B8709" w14:textId="77777777" w:rsidR="00976265" w:rsidRPr="002D7798" w:rsidRDefault="0064263D">
      <w:pPr>
        <w:pBdr>
          <w:top w:val="single" w:sz="4" w:space="1" w:color="auto"/>
          <w:left w:val="single" w:sz="4" w:space="4" w:color="auto"/>
          <w:bottom w:val="single" w:sz="4" w:space="1" w:color="auto"/>
          <w:right w:val="single" w:sz="4" w:space="4" w:color="auto"/>
        </w:pBdr>
        <w:spacing w:before="0" w:after="200" w:line="276" w:lineRule="auto"/>
        <w:ind w:left="850"/>
        <w:jc w:val="left"/>
        <w:rPr>
          <w:noProof/>
        </w:rPr>
      </w:pPr>
      <w:bookmarkStart w:id="25" w:name="_Hlk128576096"/>
      <w:r w:rsidRPr="002D7798">
        <w:rPr>
          <w:noProof/>
        </w:rPr>
        <w:t xml:space="preserve">Nařízení Evropského parlamentu a Rady, kterým se mění nařízení (EU) 2019/943, směrnice (EU) 2019/944, směrnice (EU) 2018/2001 a nařízení (EU) 2019/942 s cílem zlepšit uspořádání trhu Unie s elektřinou. </w:t>
      </w:r>
    </w:p>
    <w:p w14:paraId="6A185E7A" w14:textId="77777777" w:rsidR="00976265" w:rsidRPr="002D7798" w:rsidRDefault="0064263D">
      <w:pPr>
        <w:keepNext/>
        <w:tabs>
          <w:tab w:val="left" w:pos="850"/>
        </w:tabs>
        <w:ind w:left="850" w:hanging="850"/>
        <w:outlineLvl w:val="1"/>
        <w:rPr>
          <w:b/>
          <w:bCs/>
          <w:noProof/>
          <w:szCs w:val="24"/>
        </w:rPr>
      </w:pPr>
      <w:bookmarkStart w:id="26" w:name="_Toc514938661"/>
      <w:bookmarkStart w:id="27" w:name="_Toc128753757"/>
      <w:bookmarkEnd w:id="25"/>
      <w:r w:rsidRPr="002D7798">
        <w:rPr>
          <w:b/>
          <w:noProof/>
        </w:rPr>
        <w:t>1.2.</w:t>
      </w:r>
      <w:r w:rsidRPr="002D7798">
        <w:rPr>
          <w:noProof/>
        </w:rPr>
        <w:tab/>
      </w:r>
      <w:r w:rsidRPr="002D7798">
        <w:rPr>
          <w:b/>
          <w:noProof/>
        </w:rPr>
        <w:t>Příslušné oblasti politik</w:t>
      </w:r>
      <w:bookmarkEnd w:id="26"/>
      <w:bookmarkEnd w:id="27"/>
    </w:p>
    <w:p w14:paraId="43ED520D" w14:textId="77777777" w:rsidR="00976265" w:rsidRPr="002D7798" w:rsidRDefault="0064263D">
      <w:pPr>
        <w:pBdr>
          <w:top w:val="single" w:sz="4" w:space="1" w:color="auto"/>
          <w:left w:val="single" w:sz="4" w:space="4" w:color="auto"/>
          <w:bottom w:val="single" w:sz="4" w:space="1" w:color="auto"/>
          <w:right w:val="single" w:sz="4" w:space="4" w:color="auto"/>
        </w:pBdr>
        <w:spacing w:before="0" w:after="200" w:line="276" w:lineRule="auto"/>
        <w:ind w:left="850"/>
        <w:jc w:val="left"/>
        <w:rPr>
          <w:noProof/>
        </w:rPr>
      </w:pPr>
      <w:r w:rsidRPr="002D7798">
        <w:rPr>
          <w:noProof/>
        </w:rPr>
        <w:t>Oblast politiky: Energie</w:t>
      </w:r>
    </w:p>
    <w:p w14:paraId="02718D80" w14:textId="77777777" w:rsidR="00976265" w:rsidRPr="002D7798" w:rsidRDefault="0064263D">
      <w:pPr>
        <w:pBdr>
          <w:top w:val="single" w:sz="4" w:space="1" w:color="auto"/>
          <w:left w:val="single" w:sz="4" w:space="4" w:color="auto"/>
          <w:bottom w:val="single" w:sz="4" w:space="1" w:color="auto"/>
          <w:right w:val="single" w:sz="4" w:space="4" w:color="auto"/>
        </w:pBdr>
        <w:spacing w:before="0" w:after="200" w:line="276" w:lineRule="auto"/>
        <w:ind w:left="850"/>
        <w:jc w:val="left"/>
        <w:rPr>
          <w:noProof/>
        </w:rPr>
      </w:pPr>
      <w:r w:rsidRPr="002D7798">
        <w:rPr>
          <w:noProof/>
        </w:rPr>
        <w:t>Činnost: Zelená dohoda pro Evropu</w:t>
      </w:r>
    </w:p>
    <w:p w14:paraId="594E13A2" w14:textId="77777777" w:rsidR="00976265" w:rsidRPr="002D7798" w:rsidRDefault="0064263D">
      <w:pPr>
        <w:keepNext/>
        <w:tabs>
          <w:tab w:val="left" w:pos="850"/>
        </w:tabs>
        <w:ind w:left="850" w:hanging="850"/>
        <w:outlineLvl w:val="1"/>
        <w:rPr>
          <w:b/>
          <w:bCs/>
          <w:noProof/>
          <w:szCs w:val="24"/>
        </w:rPr>
      </w:pPr>
      <w:bookmarkStart w:id="28" w:name="_Toc514938662"/>
      <w:bookmarkStart w:id="29" w:name="_Toc128753758"/>
      <w:r w:rsidRPr="002D7798">
        <w:rPr>
          <w:b/>
          <w:noProof/>
        </w:rPr>
        <w:t>1.3.</w:t>
      </w:r>
      <w:r w:rsidRPr="002D7798">
        <w:rPr>
          <w:noProof/>
        </w:rPr>
        <w:tab/>
      </w:r>
      <w:r w:rsidRPr="002D7798">
        <w:rPr>
          <w:b/>
          <w:noProof/>
        </w:rPr>
        <w:t>Návrh se týká:</w:t>
      </w:r>
      <w:bookmarkEnd w:id="28"/>
      <w:bookmarkEnd w:id="29"/>
      <w:r w:rsidRPr="002D7798">
        <w:rPr>
          <w:b/>
          <w:noProof/>
        </w:rPr>
        <w:t xml:space="preserve"> </w:t>
      </w:r>
    </w:p>
    <w:p w14:paraId="2354072C" w14:textId="77777777" w:rsidR="00976265" w:rsidRPr="002D7798" w:rsidRDefault="0064263D">
      <w:pPr>
        <w:spacing w:before="0" w:after="200" w:line="276" w:lineRule="auto"/>
        <w:ind w:left="850"/>
        <w:jc w:val="left"/>
        <w:rPr>
          <w:b/>
          <w:bCs/>
          <w:noProof/>
        </w:rPr>
      </w:pPr>
      <w:r w:rsidRPr="002D7798">
        <w:rPr>
          <w:b/>
          <w:noProof/>
        </w:rPr>
        <w:t>X</w:t>
      </w:r>
      <w:r w:rsidRPr="002D7798">
        <w:rPr>
          <w:b/>
          <w:i/>
          <w:noProof/>
        </w:rPr>
        <w:t xml:space="preserve"> </w:t>
      </w:r>
      <w:r w:rsidRPr="002D7798">
        <w:rPr>
          <w:b/>
          <w:noProof/>
        </w:rPr>
        <w:t xml:space="preserve">nové akce </w:t>
      </w:r>
    </w:p>
    <w:p w14:paraId="69A3DAE1" w14:textId="77777777" w:rsidR="00976265" w:rsidRPr="002D7798" w:rsidRDefault="0064263D">
      <w:pPr>
        <w:spacing w:before="0" w:after="200" w:line="276" w:lineRule="auto"/>
        <w:ind w:left="850"/>
        <w:jc w:val="left"/>
        <w:rPr>
          <w:noProof/>
          <w:sz w:val="22"/>
        </w:rPr>
      </w:pPr>
      <w:r w:rsidRPr="002D7798">
        <w:rPr>
          <w:rFonts w:ascii="Wingdings" w:hAnsi="Wingdings"/>
          <w:noProof/>
        </w:rPr>
        <w:t></w:t>
      </w:r>
      <w:r w:rsidRPr="002D7798">
        <w:rPr>
          <w:i/>
          <w:noProof/>
        </w:rPr>
        <w:t xml:space="preserve"> </w:t>
      </w:r>
      <w:r w:rsidRPr="002D7798">
        <w:rPr>
          <w:b/>
          <w:noProof/>
        </w:rPr>
        <w:t>nové akce následující po pilotním projektu / přípravné akci</w:t>
      </w:r>
      <w:r w:rsidRPr="002D7798">
        <w:rPr>
          <w:rStyle w:val="FootnoteReference"/>
          <w:noProof/>
        </w:rPr>
        <w:footnoteReference w:id="30"/>
      </w:r>
      <w:r w:rsidRPr="002D7798">
        <w:rPr>
          <w:noProof/>
          <w:sz w:val="22"/>
        </w:rPr>
        <w:t xml:space="preserve"> </w:t>
      </w:r>
    </w:p>
    <w:p w14:paraId="4E10D6E9" w14:textId="77777777" w:rsidR="00976265" w:rsidRPr="002D7798" w:rsidRDefault="0064263D">
      <w:pPr>
        <w:spacing w:before="0" w:after="200" w:line="276" w:lineRule="auto"/>
        <w:ind w:left="850"/>
        <w:jc w:val="left"/>
        <w:rPr>
          <w:noProof/>
        </w:rPr>
      </w:pPr>
      <w:r w:rsidRPr="002D7798">
        <w:rPr>
          <w:b/>
          <w:noProof/>
        </w:rPr>
        <w:t>X</w:t>
      </w:r>
      <w:r w:rsidRPr="002D7798">
        <w:rPr>
          <w:i/>
          <w:noProof/>
        </w:rPr>
        <w:t xml:space="preserve"> </w:t>
      </w:r>
      <w:r w:rsidRPr="002D7798">
        <w:rPr>
          <w:b/>
          <w:noProof/>
        </w:rPr>
        <w:t>prodloužení stávající akce</w:t>
      </w:r>
      <w:r w:rsidRPr="002D7798">
        <w:rPr>
          <w:noProof/>
        </w:rPr>
        <w:t xml:space="preserve"> </w:t>
      </w:r>
    </w:p>
    <w:p w14:paraId="77117511" w14:textId="77777777" w:rsidR="00976265" w:rsidRPr="002D7798" w:rsidRDefault="0064263D">
      <w:pPr>
        <w:spacing w:before="0" w:after="200" w:line="276" w:lineRule="auto"/>
        <w:ind w:left="850"/>
        <w:jc w:val="left"/>
        <w:rPr>
          <w:noProof/>
        </w:rPr>
      </w:pPr>
      <w:r w:rsidRPr="002D7798">
        <w:rPr>
          <w:rFonts w:ascii="Wingdings" w:hAnsi="Wingdings"/>
          <w:noProof/>
        </w:rPr>
        <w:t></w:t>
      </w:r>
      <w:r w:rsidRPr="002D7798">
        <w:rPr>
          <w:i/>
          <w:noProof/>
        </w:rPr>
        <w:t xml:space="preserve"> </w:t>
      </w:r>
      <w:r w:rsidRPr="002D7798">
        <w:rPr>
          <w:b/>
          <w:noProof/>
        </w:rPr>
        <w:t>sloučení jedné či více</w:t>
      </w:r>
      <w:r w:rsidRPr="002D7798">
        <w:rPr>
          <w:noProof/>
        </w:rPr>
        <w:t xml:space="preserve"> </w:t>
      </w:r>
      <w:r w:rsidRPr="002D7798">
        <w:rPr>
          <w:b/>
          <w:noProof/>
        </w:rPr>
        <w:t>akcí v jinou/novou akci</w:t>
      </w:r>
      <w:r w:rsidRPr="002D7798">
        <w:rPr>
          <w:noProof/>
        </w:rPr>
        <w:t xml:space="preserve"> </w:t>
      </w:r>
    </w:p>
    <w:p w14:paraId="73C517DD" w14:textId="77777777" w:rsidR="00976265" w:rsidRPr="002D7798" w:rsidRDefault="0064263D">
      <w:pPr>
        <w:keepNext/>
        <w:tabs>
          <w:tab w:val="left" w:pos="850"/>
        </w:tabs>
        <w:ind w:left="850" w:hanging="850"/>
        <w:outlineLvl w:val="1"/>
        <w:rPr>
          <w:b/>
          <w:bCs/>
          <w:noProof/>
          <w:szCs w:val="24"/>
        </w:rPr>
      </w:pPr>
      <w:bookmarkStart w:id="30" w:name="_Toc514938663"/>
      <w:bookmarkStart w:id="31" w:name="_Toc128753759"/>
      <w:r w:rsidRPr="002D7798">
        <w:rPr>
          <w:b/>
          <w:noProof/>
        </w:rPr>
        <w:t>1.4.</w:t>
      </w:r>
      <w:r w:rsidRPr="002D7798">
        <w:rPr>
          <w:noProof/>
        </w:rPr>
        <w:tab/>
      </w:r>
      <w:r w:rsidRPr="002D7798">
        <w:rPr>
          <w:b/>
          <w:noProof/>
        </w:rPr>
        <w:t>Cíle</w:t>
      </w:r>
      <w:bookmarkEnd w:id="30"/>
      <w:bookmarkEnd w:id="31"/>
    </w:p>
    <w:p w14:paraId="6B3181E1" w14:textId="77777777" w:rsidR="00976265" w:rsidRPr="002D7798" w:rsidRDefault="0064263D">
      <w:pPr>
        <w:keepNext/>
        <w:tabs>
          <w:tab w:val="left" w:pos="850"/>
        </w:tabs>
        <w:ind w:left="850" w:hanging="850"/>
        <w:outlineLvl w:val="2"/>
        <w:rPr>
          <w:bCs/>
          <w:i/>
          <w:noProof/>
          <w:szCs w:val="24"/>
        </w:rPr>
      </w:pPr>
      <w:bookmarkStart w:id="32" w:name="_Toc514938664"/>
      <w:bookmarkStart w:id="33" w:name="_Toc128753760"/>
      <w:r w:rsidRPr="002D7798">
        <w:rPr>
          <w:i/>
          <w:noProof/>
        </w:rPr>
        <w:t>1.4.1.</w:t>
      </w:r>
      <w:r w:rsidRPr="002D7798">
        <w:rPr>
          <w:noProof/>
        </w:rPr>
        <w:tab/>
      </w:r>
      <w:r w:rsidRPr="002D7798">
        <w:rPr>
          <w:i/>
          <w:noProof/>
        </w:rPr>
        <w:t>Obecné cíle</w:t>
      </w:r>
      <w:bookmarkEnd w:id="32"/>
      <w:bookmarkEnd w:id="33"/>
      <w:r w:rsidRPr="002D7798">
        <w:rPr>
          <w:i/>
          <w:noProof/>
        </w:rPr>
        <w:t xml:space="preserve"> </w:t>
      </w:r>
    </w:p>
    <w:p w14:paraId="655073AC" w14:textId="77777777" w:rsidR="00976265" w:rsidRPr="002D7798" w:rsidRDefault="0064263D">
      <w:pPr>
        <w:pBdr>
          <w:top w:val="single" w:sz="4" w:space="1" w:color="auto"/>
          <w:left w:val="single" w:sz="4" w:space="4" w:color="auto"/>
          <w:bottom w:val="single" w:sz="4" w:space="1" w:color="auto"/>
          <w:right w:val="single" w:sz="4" w:space="4" w:color="auto"/>
        </w:pBdr>
        <w:spacing w:before="0" w:after="200" w:line="276" w:lineRule="auto"/>
        <w:ind w:left="850"/>
        <w:jc w:val="left"/>
        <w:rPr>
          <w:noProof/>
        </w:rPr>
      </w:pPr>
      <w:bookmarkStart w:id="34" w:name="_Hlk128576170"/>
      <w:r w:rsidRPr="002D7798">
        <w:rPr>
          <w:noProof/>
        </w:rPr>
        <w:t>Viz důvodová zpráva</w:t>
      </w:r>
    </w:p>
    <w:bookmarkEnd w:id="34"/>
    <w:p w14:paraId="5A726CB8" w14:textId="77777777" w:rsidR="00976265" w:rsidRPr="002D7798" w:rsidRDefault="00976265">
      <w:pPr>
        <w:pBdr>
          <w:top w:val="single" w:sz="4" w:space="1" w:color="auto"/>
          <w:left w:val="single" w:sz="4" w:space="4" w:color="auto"/>
          <w:bottom w:val="single" w:sz="4" w:space="1" w:color="auto"/>
          <w:right w:val="single" w:sz="4" w:space="4" w:color="auto"/>
        </w:pBdr>
        <w:spacing w:before="0" w:after="200" w:line="276" w:lineRule="auto"/>
        <w:ind w:left="850"/>
        <w:jc w:val="left"/>
        <w:rPr>
          <w:noProof/>
        </w:rPr>
      </w:pPr>
    </w:p>
    <w:p w14:paraId="72C1A383" w14:textId="77777777" w:rsidR="00976265" w:rsidRPr="002D7798" w:rsidRDefault="0064263D">
      <w:pPr>
        <w:keepNext/>
        <w:tabs>
          <w:tab w:val="left" w:pos="850"/>
        </w:tabs>
        <w:ind w:left="850" w:hanging="850"/>
        <w:outlineLvl w:val="2"/>
        <w:rPr>
          <w:bCs/>
          <w:i/>
          <w:noProof/>
          <w:szCs w:val="24"/>
        </w:rPr>
      </w:pPr>
      <w:bookmarkStart w:id="35" w:name="_Toc514938665"/>
      <w:bookmarkStart w:id="36" w:name="_Toc128753761"/>
      <w:r w:rsidRPr="002D7798">
        <w:rPr>
          <w:i/>
          <w:noProof/>
        </w:rPr>
        <w:t>1.4.2.</w:t>
      </w:r>
      <w:r w:rsidRPr="002D7798">
        <w:rPr>
          <w:noProof/>
        </w:rPr>
        <w:tab/>
      </w:r>
      <w:r w:rsidRPr="002D7798">
        <w:rPr>
          <w:i/>
          <w:noProof/>
        </w:rPr>
        <w:t>Specifické cíle</w:t>
      </w:r>
      <w:bookmarkEnd w:id="35"/>
      <w:bookmarkEnd w:id="36"/>
      <w:r w:rsidRPr="002D7798">
        <w:rPr>
          <w:i/>
          <w:noProof/>
        </w:rPr>
        <w:t xml:space="preserve"> </w:t>
      </w:r>
    </w:p>
    <w:p w14:paraId="09AABC2C" w14:textId="77777777" w:rsidR="00976265" w:rsidRPr="002D7798" w:rsidRDefault="0064263D">
      <w:pPr>
        <w:pBdr>
          <w:top w:val="single" w:sz="4" w:space="1" w:color="auto"/>
          <w:left w:val="single" w:sz="4" w:space="4" w:color="auto"/>
          <w:bottom w:val="single" w:sz="4" w:space="1" w:color="auto"/>
          <w:right w:val="single" w:sz="4" w:space="4" w:color="auto"/>
        </w:pBdr>
        <w:spacing w:before="0" w:after="200" w:line="276" w:lineRule="auto"/>
        <w:ind w:left="850"/>
        <w:jc w:val="left"/>
        <w:rPr>
          <w:rFonts w:eastAsia="Times New Roman"/>
          <w:noProof/>
          <w:szCs w:val="24"/>
        </w:rPr>
      </w:pPr>
      <w:bookmarkStart w:id="37" w:name="_Hlk128576195"/>
      <w:r w:rsidRPr="002D7798">
        <w:rPr>
          <w:noProof/>
        </w:rPr>
        <w:t>Následující specifické cíle se zaměřují na ty, které jsou předmětem ustanovení, která vyžadují dodatečné zdroje pro ACER a Generální ředitelství pro energetiku.</w:t>
      </w:r>
    </w:p>
    <w:p w14:paraId="7601A6E4" w14:textId="77777777" w:rsidR="00976265" w:rsidRPr="002D7798" w:rsidRDefault="0064263D">
      <w:pPr>
        <w:pBdr>
          <w:top w:val="single" w:sz="4" w:space="1" w:color="auto"/>
          <w:left w:val="single" w:sz="4" w:space="4" w:color="auto"/>
          <w:bottom w:val="single" w:sz="4" w:space="1" w:color="auto"/>
          <w:right w:val="single" w:sz="4" w:space="4" w:color="auto"/>
        </w:pBdr>
        <w:spacing w:before="240" w:after="0" w:line="276" w:lineRule="auto"/>
        <w:ind w:left="850"/>
        <w:jc w:val="left"/>
        <w:rPr>
          <w:noProof/>
          <w:u w:val="single"/>
        </w:rPr>
      </w:pPr>
      <w:r w:rsidRPr="002D7798">
        <w:rPr>
          <w:noProof/>
          <w:u w:val="single"/>
        </w:rPr>
        <w:t>Specifický cíl č. 1:</w:t>
      </w:r>
    </w:p>
    <w:p w14:paraId="386C80E6" w14:textId="77777777" w:rsidR="00976265" w:rsidRPr="002D7798" w:rsidRDefault="0064263D">
      <w:pPr>
        <w:pBdr>
          <w:top w:val="single" w:sz="4" w:space="1" w:color="auto"/>
          <w:left w:val="single" w:sz="4" w:space="4" w:color="auto"/>
          <w:bottom w:val="single" w:sz="4" w:space="1" w:color="auto"/>
          <w:right w:val="single" w:sz="4" w:space="4" w:color="auto"/>
        </w:pBdr>
        <w:spacing w:before="0" w:after="240" w:line="276" w:lineRule="auto"/>
        <w:ind w:left="850"/>
        <w:jc w:val="left"/>
        <w:rPr>
          <w:noProof/>
        </w:rPr>
      </w:pPr>
      <w:r w:rsidRPr="002D7798">
        <w:rPr>
          <w:noProof/>
        </w:rPr>
        <w:t xml:space="preserve">Usnadnění účasti na dlouhodobých trzích. Vymezení nových center pro obchodování na dlouhodobých trzích. </w:t>
      </w:r>
    </w:p>
    <w:p w14:paraId="3599CC00" w14:textId="77777777" w:rsidR="00976265" w:rsidRPr="002D7798" w:rsidRDefault="0064263D">
      <w:pPr>
        <w:pBdr>
          <w:top w:val="single" w:sz="4" w:space="1" w:color="auto"/>
          <w:left w:val="single" w:sz="4" w:space="4" w:color="auto"/>
          <w:bottom w:val="single" w:sz="4" w:space="1" w:color="auto"/>
          <w:right w:val="single" w:sz="4" w:space="4" w:color="auto"/>
        </w:pBdr>
        <w:spacing w:before="0" w:after="200" w:line="276" w:lineRule="auto"/>
        <w:ind w:left="850"/>
        <w:jc w:val="left"/>
        <w:rPr>
          <w:noProof/>
          <w:u w:val="single"/>
        </w:rPr>
      </w:pPr>
      <w:r w:rsidRPr="002D7798">
        <w:rPr>
          <w:noProof/>
          <w:u w:val="single"/>
        </w:rPr>
        <w:t>Specifický cíl č. 2:</w:t>
      </w:r>
    </w:p>
    <w:p w14:paraId="6833EAAC" w14:textId="77777777" w:rsidR="00976265" w:rsidRPr="002D7798" w:rsidRDefault="0064263D">
      <w:pPr>
        <w:pBdr>
          <w:top w:val="single" w:sz="4" w:space="1" w:color="auto"/>
          <w:left w:val="single" w:sz="4" w:space="4" w:color="auto"/>
          <w:bottom w:val="single" w:sz="4" w:space="1" w:color="auto"/>
          <w:right w:val="single" w:sz="4" w:space="4" w:color="auto"/>
        </w:pBdr>
        <w:spacing w:before="0" w:after="200" w:line="276" w:lineRule="auto"/>
        <w:ind w:left="850"/>
        <w:jc w:val="left"/>
        <w:rPr>
          <w:noProof/>
        </w:rPr>
      </w:pPr>
      <w:r w:rsidRPr="002D7798">
        <w:rPr>
          <w:noProof/>
        </w:rPr>
        <w:t>Usnadnění řešení v oblasti flexibility, zejména odezvy strany poptávky</w:t>
      </w:r>
    </w:p>
    <w:p w14:paraId="2ABEBE0C" w14:textId="77777777" w:rsidR="00976265" w:rsidRPr="002D7798" w:rsidRDefault="0064263D">
      <w:pPr>
        <w:pBdr>
          <w:top w:val="single" w:sz="4" w:space="1" w:color="auto"/>
          <w:left w:val="single" w:sz="4" w:space="4" w:color="auto"/>
          <w:bottom w:val="single" w:sz="4" w:space="1" w:color="auto"/>
          <w:right w:val="single" w:sz="4" w:space="4" w:color="auto"/>
        </w:pBdr>
        <w:spacing w:before="240" w:after="200" w:line="276" w:lineRule="auto"/>
        <w:ind w:left="850"/>
        <w:jc w:val="left"/>
        <w:rPr>
          <w:noProof/>
          <w:u w:val="single"/>
        </w:rPr>
      </w:pPr>
      <w:r w:rsidRPr="002D7798">
        <w:rPr>
          <w:noProof/>
          <w:u w:val="single"/>
        </w:rPr>
        <w:t xml:space="preserve">Specifický cíl č. 3: </w:t>
      </w:r>
    </w:p>
    <w:p w14:paraId="728DABF9" w14:textId="77777777" w:rsidR="00976265" w:rsidRPr="002D7798" w:rsidRDefault="0064263D">
      <w:pPr>
        <w:pBdr>
          <w:top w:val="single" w:sz="4" w:space="1" w:color="auto"/>
          <w:left w:val="single" w:sz="4" w:space="4" w:color="auto"/>
          <w:bottom w:val="single" w:sz="4" w:space="1" w:color="auto"/>
          <w:right w:val="single" w:sz="4" w:space="4" w:color="auto"/>
        </w:pBdr>
        <w:spacing w:before="0" w:after="200" w:line="276" w:lineRule="auto"/>
        <w:ind w:left="850"/>
        <w:jc w:val="left"/>
        <w:rPr>
          <w:noProof/>
        </w:rPr>
      </w:pPr>
      <w:r w:rsidRPr="002D7798">
        <w:rPr>
          <w:noProof/>
        </w:rPr>
        <w:t>Zabezpečení zajištění dodavatelů a spravedlivých pravidel, pokud jde o dodavatele poslední instance. Poskytnutí zákazníkům práva na sdílení energie.</w:t>
      </w:r>
    </w:p>
    <w:bookmarkEnd w:id="37"/>
    <w:p w14:paraId="400B5296" w14:textId="77777777" w:rsidR="00976265" w:rsidRPr="002D7798" w:rsidRDefault="0064263D">
      <w:pPr>
        <w:keepNext/>
        <w:tabs>
          <w:tab w:val="left" w:pos="850"/>
        </w:tabs>
        <w:ind w:left="850" w:hanging="850"/>
        <w:outlineLvl w:val="2"/>
        <w:rPr>
          <w:bCs/>
          <w:i/>
          <w:noProof/>
          <w:szCs w:val="24"/>
        </w:rPr>
      </w:pPr>
      <w:r w:rsidRPr="002D7798">
        <w:rPr>
          <w:noProof/>
        </w:rPr>
        <w:br w:type="page"/>
      </w:r>
      <w:bookmarkStart w:id="38" w:name="_Toc514938666"/>
      <w:bookmarkStart w:id="39" w:name="_Toc128753762"/>
      <w:r w:rsidRPr="002D7798">
        <w:rPr>
          <w:i/>
          <w:noProof/>
        </w:rPr>
        <w:t>1.4.3.</w:t>
      </w:r>
      <w:r w:rsidRPr="002D7798">
        <w:rPr>
          <w:noProof/>
        </w:rPr>
        <w:tab/>
      </w:r>
      <w:r w:rsidRPr="002D7798">
        <w:rPr>
          <w:i/>
          <w:noProof/>
        </w:rPr>
        <w:t>Očekávané výsledky a dopady</w:t>
      </w:r>
      <w:bookmarkEnd w:id="38"/>
      <w:bookmarkEnd w:id="39"/>
    </w:p>
    <w:p w14:paraId="0D6C2A53" w14:textId="77777777" w:rsidR="00976265" w:rsidRPr="002D7798" w:rsidRDefault="0064263D">
      <w:pPr>
        <w:spacing w:before="0" w:after="200" w:line="276" w:lineRule="auto"/>
        <w:ind w:left="850"/>
        <w:jc w:val="left"/>
        <w:rPr>
          <w:i/>
          <w:noProof/>
          <w:sz w:val="20"/>
        </w:rPr>
      </w:pPr>
      <w:r w:rsidRPr="002D7798">
        <w:rPr>
          <w:i/>
          <w:noProof/>
          <w:sz w:val="20"/>
        </w:rPr>
        <w:t>Upřesněte účinky, které by návrh/podnět měl mít na příjemce / cílové skupiny.</w:t>
      </w:r>
    </w:p>
    <w:p w14:paraId="09A05FDD" w14:textId="77777777" w:rsidR="00976265" w:rsidRPr="002D7798" w:rsidRDefault="0064263D">
      <w:pPr>
        <w:pBdr>
          <w:top w:val="single" w:sz="4" w:space="1" w:color="auto"/>
          <w:left w:val="single" w:sz="4" w:space="4" w:color="auto"/>
          <w:bottom w:val="single" w:sz="4" w:space="1" w:color="auto"/>
          <w:right w:val="single" w:sz="4" w:space="4" w:color="auto"/>
        </w:pBdr>
        <w:spacing w:before="0" w:after="200" w:line="276" w:lineRule="auto"/>
        <w:ind w:left="850"/>
        <w:rPr>
          <w:noProof/>
        </w:rPr>
      </w:pPr>
      <w:bookmarkStart w:id="40" w:name="_Hlk128576271"/>
      <w:r w:rsidRPr="002D7798">
        <w:rPr>
          <w:noProof/>
        </w:rPr>
        <w:t>Dodatečné zdroje umožní agentuře ACER a Generálnímu ředitelství pro energetiku provádět úkoly nezbytné k plnění jejich mandátu podle právních předpisů EU v souladu s požadavky tohoto návrhu.</w:t>
      </w:r>
    </w:p>
    <w:bookmarkEnd w:id="40"/>
    <w:p w14:paraId="688A4D1E" w14:textId="77777777" w:rsidR="00976265" w:rsidRPr="002D7798" w:rsidRDefault="00976265">
      <w:pPr>
        <w:pBdr>
          <w:top w:val="single" w:sz="4" w:space="1" w:color="auto"/>
          <w:left w:val="single" w:sz="4" w:space="4" w:color="auto"/>
          <w:bottom w:val="single" w:sz="4" w:space="1" w:color="auto"/>
          <w:right w:val="single" w:sz="4" w:space="4" w:color="auto"/>
        </w:pBdr>
        <w:spacing w:before="0" w:after="200" w:line="276" w:lineRule="auto"/>
        <w:ind w:left="850"/>
        <w:jc w:val="left"/>
        <w:rPr>
          <w:noProof/>
        </w:rPr>
      </w:pPr>
    </w:p>
    <w:p w14:paraId="1CBD5BB5" w14:textId="77777777" w:rsidR="00976265" w:rsidRPr="002D7798" w:rsidRDefault="0064263D">
      <w:pPr>
        <w:keepNext/>
        <w:tabs>
          <w:tab w:val="left" w:pos="850"/>
        </w:tabs>
        <w:ind w:left="850" w:hanging="850"/>
        <w:outlineLvl w:val="2"/>
        <w:rPr>
          <w:bCs/>
          <w:i/>
          <w:noProof/>
          <w:szCs w:val="24"/>
        </w:rPr>
      </w:pPr>
      <w:bookmarkStart w:id="41" w:name="_Toc514938667"/>
      <w:bookmarkStart w:id="42" w:name="_Toc128753763"/>
      <w:r w:rsidRPr="002D7798">
        <w:rPr>
          <w:i/>
          <w:noProof/>
        </w:rPr>
        <w:t>1.4.4.</w:t>
      </w:r>
      <w:r w:rsidRPr="002D7798">
        <w:rPr>
          <w:noProof/>
        </w:rPr>
        <w:tab/>
      </w:r>
      <w:r w:rsidRPr="002D7798">
        <w:rPr>
          <w:i/>
          <w:noProof/>
        </w:rPr>
        <w:t>Ukazatele výkonnosti</w:t>
      </w:r>
      <w:bookmarkEnd w:id="41"/>
      <w:bookmarkEnd w:id="42"/>
      <w:r w:rsidRPr="002D7798">
        <w:rPr>
          <w:i/>
          <w:noProof/>
        </w:rPr>
        <w:t xml:space="preserve"> </w:t>
      </w:r>
    </w:p>
    <w:p w14:paraId="2773E022" w14:textId="77777777" w:rsidR="00976265" w:rsidRPr="002D7798" w:rsidRDefault="0064263D">
      <w:pPr>
        <w:spacing w:before="0" w:after="200" w:line="276" w:lineRule="auto"/>
        <w:ind w:left="850"/>
        <w:jc w:val="left"/>
        <w:rPr>
          <w:i/>
          <w:noProof/>
          <w:sz w:val="20"/>
        </w:rPr>
      </w:pPr>
      <w:r w:rsidRPr="002D7798">
        <w:rPr>
          <w:i/>
          <w:noProof/>
          <w:sz w:val="20"/>
        </w:rPr>
        <w:t>Upřesněte ukazatele pro sledování pokroku a dosažených výsledků.</w:t>
      </w:r>
    </w:p>
    <w:p w14:paraId="236A46BB" w14:textId="77777777" w:rsidR="00976265" w:rsidRPr="002D7798" w:rsidRDefault="0064263D">
      <w:pPr>
        <w:pBdr>
          <w:top w:val="single" w:sz="4" w:space="1" w:color="auto"/>
          <w:left w:val="single" w:sz="4" w:space="1" w:color="auto"/>
          <w:bottom w:val="single" w:sz="4" w:space="1" w:color="auto"/>
          <w:right w:val="single" w:sz="4" w:space="1" w:color="auto"/>
        </w:pBdr>
        <w:spacing w:before="0" w:after="200" w:line="276" w:lineRule="auto"/>
        <w:ind w:left="850"/>
        <w:jc w:val="left"/>
        <w:rPr>
          <w:noProof/>
        </w:rPr>
      </w:pPr>
      <w:bookmarkStart w:id="43" w:name="_Hlk128576303"/>
      <w:r w:rsidRPr="002D7798">
        <w:rPr>
          <w:noProof/>
        </w:rPr>
        <w:t>Viz důvodová zpráva, pokud jde o sledování pokroku a výsledků podnětu.</w:t>
      </w:r>
    </w:p>
    <w:bookmarkEnd w:id="43"/>
    <w:p w14:paraId="3F282743" w14:textId="77777777" w:rsidR="00976265" w:rsidRPr="002D7798" w:rsidRDefault="00976265">
      <w:pPr>
        <w:pBdr>
          <w:top w:val="single" w:sz="4" w:space="1" w:color="auto"/>
          <w:left w:val="single" w:sz="4" w:space="1" w:color="auto"/>
          <w:bottom w:val="single" w:sz="4" w:space="1" w:color="auto"/>
          <w:right w:val="single" w:sz="4" w:space="1" w:color="auto"/>
        </w:pBdr>
        <w:spacing w:before="0" w:after="200" w:line="276" w:lineRule="auto"/>
        <w:ind w:left="850"/>
        <w:jc w:val="left"/>
        <w:rPr>
          <w:noProof/>
        </w:rPr>
      </w:pPr>
    </w:p>
    <w:p w14:paraId="0276F914" w14:textId="77777777" w:rsidR="00976265" w:rsidRPr="002D7798" w:rsidRDefault="0064263D">
      <w:pPr>
        <w:ind w:left="1417" w:hanging="567"/>
        <w:rPr>
          <w:noProof/>
        </w:rPr>
      </w:pPr>
      <w:r w:rsidRPr="002D7798">
        <w:rPr>
          <w:noProof/>
        </w:rPr>
        <w:t>a)</w:t>
      </w:r>
      <w:r w:rsidRPr="002D7798">
        <w:rPr>
          <w:noProof/>
        </w:rPr>
        <w:tab/>
        <w:t>Efektivnost a včasnost: ukazatele by měly umožňovat sledování výkonnosti tím, že pravidelně poskytují informace o pokroku a o výsledcích, jichž bylo dosahováno v průběhu celého programového období.</w:t>
      </w:r>
    </w:p>
    <w:p w14:paraId="293E2F89" w14:textId="77777777" w:rsidR="00976265" w:rsidRPr="002D7798" w:rsidRDefault="0064263D">
      <w:pPr>
        <w:ind w:left="1417" w:hanging="567"/>
        <w:rPr>
          <w:noProof/>
        </w:rPr>
      </w:pPr>
      <w:r w:rsidRPr="002D7798">
        <w:rPr>
          <w:noProof/>
        </w:rPr>
        <w:t>b)</w:t>
      </w:r>
      <w:r w:rsidRPr="002D7798">
        <w:rPr>
          <w:noProof/>
        </w:rPr>
        <w:tab/>
        <w:t>Účinnost: postupy pro sběr a zpracování údajů by měly být optimalizovány tak, aby se zabránilo zbytečnému nebo dvojímu podávání žádostí o informace.</w:t>
      </w:r>
    </w:p>
    <w:p w14:paraId="51B2683F" w14:textId="77777777" w:rsidR="00976265" w:rsidRPr="002D7798" w:rsidRDefault="0064263D">
      <w:pPr>
        <w:ind w:left="1417" w:hanging="567"/>
        <w:rPr>
          <w:noProof/>
        </w:rPr>
      </w:pPr>
      <w:r w:rsidRPr="002D7798">
        <w:rPr>
          <w:noProof/>
        </w:rPr>
        <w:t>c)</w:t>
      </w:r>
      <w:r w:rsidRPr="002D7798">
        <w:rPr>
          <w:noProof/>
        </w:rPr>
        <w:tab/>
        <w:t>Relevantnost ukazatelů a nutnost omezit související administrativní zátěž.</w:t>
      </w:r>
    </w:p>
    <w:p w14:paraId="445622AF" w14:textId="77777777" w:rsidR="00976265" w:rsidRPr="002D7798" w:rsidRDefault="0064263D">
      <w:pPr>
        <w:ind w:left="1417" w:hanging="567"/>
        <w:rPr>
          <w:noProof/>
        </w:rPr>
      </w:pPr>
      <w:r w:rsidRPr="002D7798">
        <w:rPr>
          <w:noProof/>
        </w:rPr>
        <w:t>d)</w:t>
      </w:r>
      <w:r w:rsidRPr="002D7798">
        <w:rPr>
          <w:noProof/>
        </w:rPr>
        <w:tab/>
        <w:t>Jasnost: ukazatele by měly být zprostředkovány v jasné a srozumitelné formě, s podpůrnými metadaty a v podobě umožňující správnou interpretaci a smysluplnou komunikaci.</w:t>
      </w:r>
    </w:p>
    <w:p w14:paraId="377D7FB2" w14:textId="77777777" w:rsidR="00976265" w:rsidRPr="002D7798" w:rsidRDefault="0064263D">
      <w:pPr>
        <w:keepNext/>
        <w:tabs>
          <w:tab w:val="left" w:pos="850"/>
        </w:tabs>
        <w:ind w:left="850" w:hanging="850"/>
        <w:outlineLvl w:val="1"/>
        <w:rPr>
          <w:b/>
          <w:bCs/>
          <w:noProof/>
          <w:szCs w:val="24"/>
        </w:rPr>
      </w:pPr>
      <w:bookmarkStart w:id="44" w:name="_Toc514938668"/>
      <w:bookmarkStart w:id="45" w:name="_Toc128753764"/>
      <w:r w:rsidRPr="002D7798">
        <w:rPr>
          <w:b/>
          <w:noProof/>
        </w:rPr>
        <w:t>1.5.</w:t>
      </w:r>
      <w:r w:rsidRPr="002D7798">
        <w:rPr>
          <w:noProof/>
        </w:rPr>
        <w:tab/>
      </w:r>
      <w:r w:rsidRPr="002D7798">
        <w:rPr>
          <w:b/>
          <w:noProof/>
        </w:rPr>
        <w:t>Odůvodnění návrhu/podnětu</w:t>
      </w:r>
      <w:bookmarkEnd w:id="44"/>
      <w:bookmarkEnd w:id="45"/>
      <w:r w:rsidRPr="002D7798">
        <w:rPr>
          <w:b/>
          <w:noProof/>
        </w:rPr>
        <w:t xml:space="preserve"> </w:t>
      </w:r>
    </w:p>
    <w:p w14:paraId="6498AD9F" w14:textId="77777777" w:rsidR="00976265" w:rsidRPr="002D7798" w:rsidRDefault="0064263D">
      <w:pPr>
        <w:keepNext/>
        <w:tabs>
          <w:tab w:val="left" w:pos="850"/>
        </w:tabs>
        <w:ind w:left="850" w:hanging="850"/>
        <w:outlineLvl w:val="2"/>
        <w:rPr>
          <w:i/>
          <w:noProof/>
        </w:rPr>
      </w:pPr>
      <w:bookmarkStart w:id="46" w:name="_Toc514938669"/>
      <w:bookmarkStart w:id="47" w:name="_Toc128753765"/>
      <w:r w:rsidRPr="002D7798">
        <w:rPr>
          <w:i/>
          <w:noProof/>
        </w:rPr>
        <w:t>1.5.1.</w:t>
      </w:r>
      <w:r w:rsidRPr="002D7798">
        <w:rPr>
          <w:noProof/>
        </w:rPr>
        <w:tab/>
      </w:r>
      <w:r w:rsidRPr="002D7798">
        <w:rPr>
          <w:i/>
          <w:noProof/>
        </w:rPr>
        <w:t>Potřeby, které mají být uspokojeny v krátkodobém nebo dlouhodobém horizontu, včetně podrobného harmonogramu pro zahajovací fázi provádění podnětu</w:t>
      </w:r>
      <w:bookmarkEnd w:id="46"/>
      <w:bookmarkEnd w:id="47"/>
    </w:p>
    <w:p w14:paraId="5049A46C" w14:textId="77777777" w:rsidR="00976265" w:rsidRPr="002D7798" w:rsidRDefault="0064263D">
      <w:pPr>
        <w:pBdr>
          <w:top w:val="single" w:sz="4" w:space="1" w:color="auto"/>
          <w:left w:val="single" w:sz="4" w:space="4" w:color="auto"/>
          <w:bottom w:val="single" w:sz="4" w:space="20" w:color="auto"/>
          <w:right w:val="single" w:sz="4" w:space="4" w:color="auto"/>
        </w:pBdr>
        <w:spacing w:before="0" w:after="200" w:line="276" w:lineRule="auto"/>
        <w:ind w:left="850"/>
        <w:rPr>
          <w:noProof/>
        </w:rPr>
      </w:pPr>
      <w:bookmarkStart w:id="48" w:name="_Hlk128576343"/>
      <w:r w:rsidRPr="002D7798">
        <w:rPr>
          <w:noProof/>
        </w:rPr>
        <w:t>Následující posouzení v rozsahu, v jakém se týká agentury ACER, zohledňuje odhady potřeb zdrojů v roce 2023 pro srovnatelné úkoly, které v letech 2020–2021 určil nezávislý konzultant.</w:t>
      </w:r>
    </w:p>
    <w:p w14:paraId="3435A026" w14:textId="77777777" w:rsidR="00976265" w:rsidRPr="002D7798" w:rsidRDefault="0064263D">
      <w:pPr>
        <w:pBdr>
          <w:top w:val="single" w:sz="4" w:space="1" w:color="auto"/>
          <w:left w:val="single" w:sz="4" w:space="4" w:color="auto"/>
          <w:bottom w:val="single" w:sz="4" w:space="20" w:color="auto"/>
          <w:right w:val="single" w:sz="4" w:space="4" w:color="auto"/>
        </w:pBdr>
        <w:spacing w:before="240" w:after="200" w:line="276" w:lineRule="auto"/>
        <w:ind w:left="850"/>
        <w:rPr>
          <w:noProof/>
        </w:rPr>
      </w:pPr>
      <w:r w:rsidRPr="002D7798">
        <w:rPr>
          <w:b/>
          <w:noProof/>
        </w:rPr>
        <w:t xml:space="preserve">Specifický cíl č. 1: </w:t>
      </w:r>
      <w:r w:rsidRPr="002D7798">
        <w:rPr>
          <w:noProof/>
        </w:rPr>
        <w:t xml:space="preserve"> Vymezení nových center obchodování na dlouhodobých trzích (článek 9):</w:t>
      </w:r>
    </w:p>
    <w:p w14:paraId="084D8E47" w14:textId="77777777" w:rsidR="00976265" w:rsidRPr="002D7798" w:rsidRDefault="0064263D">
      <w:pPr>
        <w:pBdr>
          <w:top w:val="single" w:sz="4" w:space="1" w:color="auto"/>
          <w:left w:val="single" w:sz="4" w:space="4" w:color="auto"/>
          <w:bottom w:val="single" w:sz="4" w:space="20" w:color="auto"/>
          <w:right w:val="single" w:sz="4" w:space="4" w:color="auto"/>
        </w:pBdr>
        <w:spacing w:before="0" w:after="200" w:line="276" w:lineRule="auto"/>
        <w:ind w:left="850"/>
        <w:rPr>
          <w:noProof/>
        </w:rPr>
      </w:pPr>
      <w:r w:rsidRPr="002D7798">
        <w:rPr>
          <w:noProof/>
        </w:rPr>
        <w:t>Zavádí se nové ustanovení, které vyžaduje, aby síť ENTSO pro elektřinu předložila agentuře ACER návrh na zřízení virtuálních uzlů pro dlouhodobý trh. Agentura ACER do šesti měsíců návrh buď schválí, nebo pozmění. Po zřízení těchto virtuálních uzlů lze očekávat, že agentura ACER bude muset pokračovat v jejich monitorování. Agentura ACER bude rovněž hrát úlohu při vymáhání v případě nedodržování právních předpisů EU jednotnou platformou pro přidělování.</w:t>
      </w:r>
    </w:p>
    <w:p w14:paraId="2257DD50" w14:textId="77777777" w:rsidR="00976265" w:rsidRPr="002D7798" w:rsidRDefault="0064263D">
      <w:pPr>
        <w:pBdr>
          <w:top w:val="single" w:sz="4" w:space="1" w:color="auto"/>
          <w:left w:val="single" w:sz="4" w:space="4" w:color="auto"/>
          <w:bottom w:val="single" w:sz="4" w:space="20" w:color="auto"/>
          <w:right w:val="single" w:sz="4" w:space="4" w:color="auto"/>
        </w:pBdr>
        <w:spacing w:before="0" w:after="200" w:line="276" w:lineRule="auto"/>
        <w:ind w:left="850"/>
        <w:rPr>
          <w:noProof/>
          <w:u w:val="single"/>
        </w:rPr>
      </w:pPr>
      <w:r w:rsidRPr="002D7798">
        <w:rPr>
          <w:noProof/>
          <w:u w:val="single"/>
        </w:rPr>
        <w:t>ACER</w:t>
      </w:r>
    </w:p>
    <w:p w14:paraId="1FD1FD49" w14:textId="77777777" w:rsidR="00976265" w:rsidRPr="002D7798" w:rsidRDefault="0064263D">
      <w:pPr>
        <w:pBdr>
          <w:top w:val="single" w:sz="4" w:space="1" w:color="auto"/>
          <w:left w:val="single" w:sz="4" w:space="4" w:color="auto"/>
          <w:bottom w:val="single" w:sz="4" w:space="20" w:color="auto"/>
          <w:right w:val="single" w:sz="4" w:space="4" w:color="auto"/>
        </w:pBdr>
        <w:spacing w:before="0" w:after="200" w:line="276" w:lineRule="auto"/>
        <w:ind w:left="850"/>
        <w:rPr>
          <w:rFonts w:eastAsia="Times New Roman"/>
          <w:noProof/>
        </w:rPr>
      </w:pPr>
      <w:r w:rsidRPr="002D7798">
        <w:rPr>
          <w:noProof/>
        </w:rPr>
        <w:t xml:space="preserve"> Koncepce takového centra má zásadní význam pro to, aby bylo možné přilákat budoucí likviditu a nahradit zónové produkty. Model přenosu ze zóny do centra představuje významnou změnu paradigmatu ve srovnání se stávajícím návrhem. Bude třeba provést zejména tyto nové úkoly:</w:t>
      </w:r>
    </w:p>
    <w:p w14:paraId="55EEAE56" w14:textId="77777777" w:rsidR="00976265" w:rsidRPr="002D7798" w:rsidRDefault="0064263D">
      <w:pPr>
        <w:spacing w:before="0" w:after="200" w:line="276" w:lineRule="auto"/>
        <w:ind w:left="850"/>
        <w:rPr>
          <w:rFonts w:eastAsia="Times New Roman"/>
          <w:noProof/>
        </w:rPr>
      </w:pPr>
      <w:r w:rsidRPr="002D7798">
        <w:rPr>
          <w:noProof/>
        </w:rPr>
        <w:t>Návrh (včetně podrobných studií) týkající se cenotvorby dlouhodobých obchodních center (alespoň pro hlavní a severský region, případně i další) a schválení nové metodiky pro toto téma</w:t>
      </w:r>
    </w:p>
    <w:p w14:paraId="40A30AC2" w14:textId="77777777" w:rsidR="00976265" w:rsidRPr="002D7798" w:rsidRDefault="0064263D">
      <w:pPr>
        <w:spacing w:before="0" w:after="200" w:line="276" w:lineRule="auto"/>
        <w:ind w:left="850"/>
        <w:rPr>
          <w:rFonts w:eastAsia="Times New Roman"/>
          <w:noProof/>
        </w:rPr>
      </w:pPr>
      <w:r w:rsidRPr="002D7798">
        <w:rPr>
          <w:noProof/>
        </w:rPr>
        <w:t>Návrh (včetně podrobných studií) týkající se produktů dlouhodobých přenosových práv, které mají být nabízeny (zeměpisný dosah a koncepce)</w:t>
      </w:r>
    </w:p>
    <w:p w14:paraId="49E0956F" w14:textId="77777777" w:rsidR="00976265" w:rsidRPr="002D7798" w:rsidRDefault="0064263D">
      <w:pPr>
        <w:spacing w:before="0" w:after="200" w:line="276" w:lineRule="auto"/>
        <w:ind w:left="850"/>
        <w:rPr>
          <w:rFonts w:eastAsia="Times New Roman"/>
          <w:noProof/>
        </w:rPr>
      </w:pPr>
      <w:r w:rsidRPr="002D7798">
        <w:rPr>
          <w:noProof/>
        </w:rPr>
        <w:t>Potenciální rozhodnutí o možnostech zajištění vyplývajících z nových požadavků po eskalaci ze strany vnitrostátních regulačních orgánů</w:t>
      </w:r>
    </w:p>
    <w:p w14:paraId="47D19ED0" w14:textId="77777777" w:rsidR="00976265" w:rsidRPr="002D7798" w:rsidRDefault="0064263D">
      <w:pPr>
        <w:spacing w:before="0" w:after="200" w:line="276" w:lineRule="auto"/>
        <w:ind w:left="850"/>
        <w:rPr>
          <w:rFonts w:eastAsia="Times New Roman"/>
          <w:noProof/>
        </w:rPr>
      </w:pPr>
      <w:r w:rsidRPr="002D7798">
        <w:rPr>
          <w:noProof/>
        </w:rPr>
        <w:t xml:space="preserve">Monitorovací činnosti spojené s návrhem nového centra (objemy dlouhodobých přenosových práv, likvidita centra, ocenění dlouhodobých přenosových práv…) </w:t>
      </w:r>
    </w:p>
    <w:p w14:paraId="4FC66315" w14:textId="77777777" w:rsidR="00976265" w:rsidRPr="002D7798" w:rsidRDefault="0064263D">
      <w:pPr>
        <w:pBdr>
          <w:top w:val="single" w:sz="4" w:space="1" w:color="auto"/>
          <w:left w:val="single" w:sz="4" w:space="4" w:color="auto"/>
          <w:bottom w:val="single" w:sz="4" w:space="1" w:color="auto"/>
          <w:right w:val="single" w:sz="4" w:space="4" w:color="auto"/>
        </w:pBdr>
        <w:spacing w:before="0" w:after="200" w:line="276" w:lineRule="auto"/>
        <w:ind w:left="850"/>
        <w:rPr>
          <w:noProof/>
        </w:rPr>
      </w:pPr>
      <w:r w:rsidRPr="002D7798">
        <w:rPr>
          <w:noProof/>
        </w:rPr>
        <w:t>Vzhledem k rostoucímu významu dlouhodobých trhů se odhaduje, že pro práci související s virtuálními uzly a jednotnou platformou pro přidělování bude zapotřebí nejméně jeden plný pracovní úvazek.</w:t>
      </w:r>
    </w:p>
    <w:bookmarkEnd w:id="48"/>
    <w:p w14:paraId="08D40E73" w14:textId="77777777" w:rsidR="00976265" w:rsidRPr="002D7798" w:rsidRDefault="0064263D">
      <w:pPr>
        <w:pBdr>
          <w:top w:val="single" w:sz="4" w:space="1" w:color="auto"/>
          <w:left w:val="single" w:sz="4" w:space="4" w:color="auto"/>
          <w:bottom w:val="single" w:sz="4" w:space="1" w:color="auto"/>
          <w:right w:val="single" w:sz="4" w:space="4" w:color="auto"/>
        </w:pBdr>
        <w:spacing w:before="240" w:after="200" w:line="276" w:lineRule="auto"/>
        <w:ind w:left="850"/>
        <w:rPr>
          <w:noProof/>
          <w:u w:val="single"/>
        </w:rPr>
      </w:pPr>
      <w:r w:rsidRPr="002D7798">
        <w:rPr>
          <w:noProof/>
          <w:u w:val="single"/>
        </w:rPr>
        <w:t>GŘ pro energetiku</w:t>
      </w:r>
    </w:p>
    <w:p w14:paraId="4A3B01E2" w14:textId="77777777" w:rsidR="00976265" w:rsidRPr="002D7798" w:rsidRDefault="0064263D">
      <w:pPr>
        <w:pBdr>
          <w:top w:val="single" w:sz="4" w:space="1" w:color="auto"/>
          <w:left w:val="single" w:sz="4" w:space="4" w:color="auto"/>
          <w:bottom w:val="single" w:sz="4" w:space="1" w:color="auto"/>
          <w:right w:val="single" w:sz="4" w:space="4" w:color="auto"/>
        </w:pBdr>
        <w:spacing w:before="0" w:after="200" w:line="276" w:lineRule="auto"/>
        <w:ind w:left="850"/>
        <w:rPr>
          <w:noProof/>
        </w:rPr>
      </w:pPr>
      <w:r w:rsidRPr="002D7798">
        <w:rPr>
          <w:noProof/>
        </w:rPr>
        <w:t>Vzhledem k tomu, že dlouhodobé trhy budou mít stále větší význam a doplní, ale nenahradí trhy s elektřinou v kratších časových rámcích (denní, vnitrodenní, vyrovnávací), odhaduje se, že zajištění řádného provádění nových ustanovení zvýší pracovní zátěž Generálního ředitelství pro energetiku v celkovém rozsahu jednoho plného pracovního úvazku.</w:t>
      </w:r>
    </w:p>
    <w:p w14:paraId="54C4061B" w14:textId="77777777" w:rsidR="00976265" w:rsidRPr="002D7798" w:rsidRDefault="0064263D">
      <w:pPr>
        <w:pBdr>
          <w:top w:val="single" w:sz="4" w:space="1" w:color="auto"/>
          <w:left w:val="single" w:sz="4" w:space="4" w:color="auto"/>
          <w:bottom w:val="single" w:sz="4" w:space="1" w:color="auto"/>
          <w:right w:val="single" w:sz="4" w:space="4" w:color="auto"/>
        </w:pBdr>
        <w:spacing w:before="240" w:after="200" w:line="276" w:lineRule="auto"/>
        <w:ind w:left="850"/>
        <w:rPr>
          <w:b/>
          <w:bCs/>
          <w:noProof/>
        </w:rPr>
      </w:pPr>
      <w:bookmarkStart w:id="49" w:name="_Hlk128576365"/>
      <w:r w:rsidRPr="002D7798">
        <w:rPr>
          <w:b/>
          <w:noProof/>
        </w:rPr>
        <w:t>Specifický cíl č. 2: Usnadnění řešení v oblasti flexibility, zejména odezvy strany poptávky</w:t>
      </w:r>
    </w:p>
    <w:p w14:paraId="7F2B0CD3" w14:textId="77777777" w:rsidR="00976265" w:rsidRPr="002D7798" w:rsidRDefault="0064263D">
      <w:pPr>
        <w:pBdr>
          <w:top w:val="single" w:sz="4" w:space="1" w:color="auto"/>
          <w:left w:val="single" w:sz="4" w:space="4" w:color="auto"/>
          <w:bottom w:val="single" w:sz="4" w:space="1" w:color="auto"/>
          <w:right w:val="single" w:sz="4" w:space="4" w:color="auto"/>
        </w:pBdr>
        <w:spacing w:before="0" w:after="200" w:line="276" w:lineRule="auto"/>
        <w:ind w:left="850"/>
        <w:rPr>
          <w:noProof/>
        </w:rPr>
      </w:pPr>
      <w:r w:rsidRPr="002D7798">
        <w:rPr>
          <w:noProof/>
        </w:rPr>
        <w:t>Regulační orgán každého členského státu každé dva roky posoudí potřebu flexibility v elektrizační soustavě na základě údajů a analýz provozovatelů sítí a vypracuje o tom zprávu.  Síť ENTSO pro elektřinu a subjekt EU DSO budou koordinovat provozovatele sítí, pokud jde o tyto údaje a analýzy. Za tímto účelem síť ENTSO pro elektřinu a subjekt EU DSO navrhnou metodiku. Agentura ACER do šesti měsíců návrh buď schválí, nebo pozmění. Regulační orgány předloží svá vnitrostátní posouzení agentuře ACER. Agentura ACER poté do 12 měsíců vydá zprávu.</w:t>
      </w:r>
    </w:p>
    <w:p w14:paraId="319804BF" w14:textId="77777777" w:rsidR="00976265" w:rsidRPr="002D7798" w:rsidRDefault="0064263D">
      <w:pPr>
        <w:pBdr>
          <w:top w:val="single" w:sz="4" w:space="1" w:color="auto"/>
          <w:left w:val="single" w:sz="4" w:space="4" w:color="auto"/>
          <w:bottom w:val="single" w:sz="4" w:space="1" w:color="auto"/>
          <w:right w:val="single" w:sz="4" w:space="4" w:color="auto"/>
        </w:pBdr>
        <w:spacing w:before="0" w:after="200" w:line="276" w:lineRule="auto"/>
        <w:ind w:left="850"/>
        <w:rPr>
          <w:noProof/>
        </w:rPr>
      </w:pPr>
      <w:r w:rsidRPr="002D7798">
        <w:rPr>
          <w:noProof/>
        </w:rPr>
        <w:t>Členské státy stanoví vnitrostátní cíle pro odezvu strany poptávky a zahrnou je do svých vnitrostátních plánů v oblasti energetiky a klimatu. Členské státy, které uplatňují kapacitní mechanismus, zohlední odezvu strany poptávky při navrhování kapacitního mechanismu. Další ustanovení stanoví, kdy lze poskytnout finanční podporu režimům podpory flexibility a koncepčním zásadám těchto režimů.</w:t>
      </w:r>
    </w:p>
    <w:p w14:paraId="2FFAE43C" w14:textId="77777777" w:rsidR="00976265" w:rsidRPr="002D7798" w:rsidRDefault="0064263D">
      <w:pPr>
        <w:pBdr>
          <w:top w:val="single" w:sz="4" w:space="1" w:color="auto"/>
          <w:left w:val="single" w:sz="4" w:space="4" w:color="auto"/>
          <w:bottom w:val="single" w:sz="4" w:space="1" w:color="auto"/>
          <w:right w:val="single" w:sz="4" w:space="4" w:color="auto"/>
        </w:pBdr>
        <w:spacing w:before="0" w:after="200" w:line="276" w:lineRule="auto"/>
        <w:ind w:left="850"/>
        <w:rPr>
          <w:noProof/>
        </w:rPr>
      </w:pPr>
      <w:r w:rsidRPr="002D7798">
        <w:rPr>
          <w:noProof/>
        </w:rPr>
        <w:t xml:space="preserve">V souvislosti s tímto specifickým cílem jsou rovněž zavedena nová ustanovení týkající se „produktů pro snížení spotřeby ve špičkách“ a používání údajů z měřicích zařízení. </w:t>
      </w:r>
    </w:p>
    <w:p w14:paraId="4712AB43" w14:textId="77777777" w:rsidR="00976265" w:rsidRPr="002D7798" w:rsidRDefault="0064263D">
      <w:pPr>
        <w:pBdr>
          <w:top w:val="single" w:sz="4" w:space="1" w:color="auto"/>
          <w:left w:val="single" w:sz="4" w:space="4" w:color="auto"/>
          <w:bottom w:val="single" w:sz="4" w:space="1" w:color="auto"/>
          <w:right w:val="single" w:sz="4" w:space="4" w:color="auto"/>
        </w:pBdr>
        <w:spacing w:before="0" w:after="200" w:line="276" w:lineRule="auto"/>
        <w:ind w:left="850"/>
        <w:rPr>
          <w:noProof/>
          <w:u w:val="single"/>
        </w:rPr>
      </w:pPr>
      <w:r w:rsidRPr="002D7798">
        <w:rPr>
          <w:noProof/>
          <w:u w:val="single"/>
        </w:rPr>
        <w:t>ACER</w:t>
      </w:r>
    </w:p>
    <w:p w14:paraId="3240FE89" w14:textId="77777777" w:rsidR="00976265" w:rsidRPr="002D7798" w:rsidRDefault="0064263D">
      <w:pPr>
        <w:pBdr>
          <w:top w:val="single" w:sz="4" w:space="1" w:color="auto"/>
          <w:left w:val="single" w:sz="4" w:space="4" w:color="auto"/>
          <w:bottom w:val="single" w:sz="4" w:space="1" w:color="auto"/>
          <w:right w:val="single" w:sz="4" w:space="4" w:color="auto"/>
        </w:pBdr>
        <w:spacing w:before="0" w:after="200" w:line="276" w:lineRule="auto"/>
        <w:ind w:left="850"/>
        <w:rPr>
          <w:noProof/>
        </w:rPr>
      </w:pPr>
      <w:r w:rsidRPr="002D7798">
        <w:rPr>
          <w:noProof/>
        </w:rPr>
        <w:t>Lze očekávat, že pracovní zátěž agentury ACER při schvalování nebo změnách metodiky týkající se údajů a analýzy potřeb flexibility bude podobná pracovní zátěži pro schvalování změn návrhu metodiky sítě ENTSO pro elektřinu pro evropské posouzení zdrojové přiměřenosti, tedy v rozsahu 0,75 plného pracovního úvazku. Lze očekávat, že pracovní zátěž agentury ACER při přípravě zprávy o flexibilitě každé dva roky bude podobná pracovní zátěži při přípravě dvouleté zprávy o osvědčených postupech v metodikách stanovení tarifů pro přenos a distribuci podle čl. 18 odst. 9 nařízení (EU) 2019/943, tedy v rozsahu 0,5 plného pracovního úvazku. Vzhledem k dopadu usnadnění flexibilních řešení na posuzování zdrojové přiměřenosti lze očekávat dodatečnou pracovní zátěž: Pracovní zátěž agentury ACER související s evropským posouzením zdrojové přiměřenosti se pravděpodobně zvýší. Kromě toho v případě, že síť ENTSO pro elektřinu nebo subjekt EU DSO neplní své povinnosti podle práva EU, může být nutné, aby agentura ACER požádala o informace rozhodnutím podle čl. 3 odst. 2 nebo aby společně s vnitrostátními regulačními orgány případně přijala opatření podle čl. 4 odst. 6 až 8 nařízení (EU) 2019/942. Odhaduje se proto, že k provádění specifického cíle č. 2 jsou zapotřebí celkem dva plné pracovní úvazky.</w:t>
      </w:r>
    </w:p>
    <w:bookmarkEnd w:id="49"/>
    <w:p w14:paraId="02719568" w14:textId="77777777" w:rsidR="00976265" w:rsidRPr="002D7798" w:rsidRDefault="0064263D">
      <w:pPr>
        <w:pBdr>
          <w:top w:val="single" w:sz="4" w:space="1" w:color="auto"/>
          <w:left w:val="single" w:sz="4" w:space="4" w:color="auto"/>
          <w:bottom w:val="single" w:sz="4" w:space="1" w:color="auto"/>
          <w:right w:val="single" w:sz="4" w:space="4" w:color="auto"/>
        </w:pBdr>
        <w:spacing w:before="240" w:after="200" w:line="276" w:lineRule="auto"/>
        <w:ind w:left="850"/>
        <w:jc w:val="left"/>
        <w:rPr>
          <w:noProof/>
          <w:u w:val="single"/>
        </w:rPr>
      </w:pPr>
      <w:r w:rsidRPr="002D7798">
        <w:rPr>
          <w:noProof/>
          <w:u w:val="single"/>
        </w:rPr>
        <w:t>GŘ pro energetiku</w:t>
      </w:r>
    </w:p>
    <w:p w14:paraId="5A7D5CC5" w14:textId="77777777" w:rsidR="00976265" w:rsidRPr="002D7798" w:rsidRDefault="0064263D">
      <w:pPr>
        <w:pBdr>
          <w:top w:val="single" w:sz="4" w:space="1" w:color="auto"/>
          <w:left w:val="single" w:sz="4" w:space="4" w:color="auto"/>
          <w:bottom w:val="single" w:sz="4" w:space="1" w:color="auto"/>
          <w:right w:val="single" w:sz="4" w:space="4" w:color="auto"/>
        </w:pBdr>
        <w:spacing w:before="0" w:after="200" w:line="276" w:lineRule="auto"/>
        <w:ind w:left="850"/>
        <w:jc w:val="left"/>
        <w:rPr>
          <w:noProof/>
        </w:rPr>
      </w:pPr>
      <w:r w:rsidRPr="002D7798">
        <w:rPr>
          <w:noProof/>
        </w:rPr>
        <w:t>Specifický cíl č. 2 zkomplikuje posouzení Komise týkající se kapacitních mechanismů (požadovaného prováděcího plánu, jakož i proces státní podpory). Kromě toho budou členské státy podávat v rámci vnitrostátního plánu v oblasti energetiky a klimatu zprávy o vnitrostátních cílech pro odezvu strany poptávky, přičemž tyto informace bude muset Komise zpracovat. Odhaduje se proto, že tím vznikne nová pracovní zátěž pro Generální ředitelství pro energetiku v celkovém rozsahu jednoho plného pracovního úvazku.</w:t>
      </w:r>
    </w:p>
    <w:p w14:paraId="165CCEEF" w14:textId="77777777" w:rsidR="00976265" w:rsidRPr="002D7798" w:rsidRDefault="0064263D">
      <w:pPr>
        <w:pBdr>
          <w:top w:val="single" w:sz="4" w:space="1" w:color="auto"/>
          <w:left w:val="single" w:sz="4" w:space="4" w:color="auto"/>
          <w:bottom w:val="single" w:sz="4" w:space="1" w:color="auto"/>
          <w:right w:val="single" w:sz="4" w:space="4" w:color="auto"/>
        </w:pBdr>
        <w:spacing w:before="240" w:after="200" w:line="276" w:lineRule="auto"/>
        <w:ind w:left="850"/>
        <w:jc w:val="left"/>
        <w:rPr>
          <w:b/>
          <w:bCs/>
          <w:noProof/>
        </w:rPr>
      </w:pPr>
      <w:bookmarkStart w:id="50" w:name="_Hlk128576391"/>
      <w:r w:rsidRPr="002D7798">
        <w:rPr>
          <w:b/>
          <w:noProof/>
        </w:rPr>
        <w:t>Specifický cíl č. 3: Zabezpečení zajištění dodavatelů a spravedlivých pravidel, pokud jde o dodavatele poslední instance. Poskytnutí zákazníkům práva na sdílení energie.</w:t>
      </w:r>
    </w:p>
    <w:p w14:paraId="017B5762" w14:textId="77777777" w:rsidR="00976265" w:rsidRPr="002D7798" w:rsidRDefault="0064263D">
      <w:pPr>
        <w:pBdr>
          <w:top w:val="single" w:sz="4" w:space="1" w:color="auto"/>
          <w:left w:val="single" w:sz="4" w:space="4" w:color="auto"/>
          <w:bottom w:val="single" w:sz="4" w:space="1" w:color="auto"/>
          <w:right w:val="single" w:sz="4" w:space="4" w:color="auto"/>
        </w:pBdr>
        <w:spacing w:before="0" w:after="200" w:line="276" w:lineRule="auto"/>
        <w:ind w:left="850"/>
        <w:jc w:val="left"/>
        <w:rPr>
          <w:noProof/>
          <w:u w:val="single"/>
        </w:rPr>
      </w:pPr>
      <w:r w:rsidRPr="002D7798">
        <w:rPr>
          <w:noProof/>
          <w:u w:val="single"/>
        </w:rPr>
        <w:t>ACER</w:t>
      </w:r>
    </w:p>
    <w:p w14:paraId="73D3F2AF" w14:textId="77777777" w:rsidR="00976265" w:rsidRPr="002D7798" w:rsidRDefault="0064263D">
      <w:pPr>
        <w:pBdr>
          <w:top w:val="single" w:sz="4" w:space="1" w:color="auto"/>
          <w:left w:val="single" w:sz="4" w:space="4" w:color="auto"/>
          <w:bottom w:val="single" w:sz="4" w:space="1" w:color="auto"/>
          <w:right w:val="single" w:sz="4" w:space="4" w:color="auto"/>
        </w:pBdr>
        <w:spacing w:before="0" w:after="200" w:line="276" w:lineRule="auto"/>
        <w:ind w:left="850"/>
        <w:jc w:val="left"/>
        <w:rPr>
          <w:noProof/>
        </w:rPr>
      </w:pPr>
      <w:r w:rsidRPr="002D7798">
        <w:rPr>
          <w:noProof/>
        </w:rPr>
        <w:t>Nepoužije se</w:t>
      </w:r>
    </w:p>
    <w:bookmarkEnd w:id="50"/>
    <w:p w14:paraId="25122A99" w14:textId="77777777" w:rsidR="00976265" w:rsidRPr="002D7798" w:rsidRDefault="0064263D">
      <w:pPr>
        <w:pBdr>
          <w:top w:val="single" w:sz="4" w:space="1" w:color="auto"/>
          <w:left w:val="single" w:sz="4" w:space="4" w:color="auto"/>
          <w:bottom w:val="single" w:sz="4" w:space="1" w:color="auto"/>
          <w:right w:val="single" w:sz="4" w:space="4" w:color="auto"/>
        </w:pBdr>
        <w:spacing w:before="0" w:after="200" w:line="276" w:lineRule="auto"/>
        <w:ind w:left="850"/>
        <w:jc w:val="left"/>
        <w:rPr>
          <w:noProof/>
          <w:u w:val="single"/>
        </w:rPr>
      </w:pPr>
      <w:r w:rsidRPr="002D7798">
        <w:rPr>
          <w:noProof/>
          <w:u w:val="single"/>
        </w:rPr>
        <w:t>GŘ pro energetiku</w:t>
      </w:r>
    </w:p>
    <w:p w14:paraId="44F8FABC" w14:textId="77777777" w:rsidR="00976265" w:rsidRPr="002D7798" w:rsidRDefault="0064263D">
      <w:pPr>
        <w:pBdr>
          <w:top w:val="single" w:sz="4" w:space="1" w:color="auto"/>
          <w:left w:val="single" w:sz="4" w:space="4" w:color="auto"/>
          <w:bottom w:val="single" w:sz="4" w:space="1" w:color="auto"/>
          <w:right w:val="single" w:sz="4" w:space="4" w:color="auto"/>
        </w:pBdr>
        <w:spacing w:before="0" w:after="200" w:line="276" w:lineRule="auto"/>
        <w:ind w:left="850"/>
        <w:jc w:val="left"/>
        <w:rPr>
          <w:noProof/>
        </w:rPr>
      </w:pPr>
      <w:r w:rsidRPr="002D7798">
        <w:rPr>
          <w:noProof/>
        </w:rPr>
        <w:t>Specifický cíl č. 3 zahrnuje nová pravidla ve směrnici o elektřině, jejichž řádné provedení a uplatňování členskými státy musí sledovat Komise. Navíc vzhledem k tomu, že se přímo týká spotřebitelů, může vést ke značnému počtu stížností, dopisů apod. Proto se odhaduje, že vznikne nová pracovní zátěž pro Generální ředitelství pro energetiku v celkovém rozsahu jednoho plného pracovního úvazku.</w:t>
      </w:r>
    </w:p>
    <w:p w14:paraId="1EB7DF42" w14:textId="77777777" w:rsidR="00976265" w:rsidRPr="002D7798" w:rsidRDefault="0064263D">
      <w:pPr>
        <w:pBdr>
          <w:top w:val="single" w:sz="4" w:space="1" w:color="auto"/>
          <w:left w:val="single" w:sz="4" w:space="4" w:color="auto"/>
          <w:bottom w:val="single" w:sz="4" w:space="1" w:color="auto"/>
          <w:right w:val="single" w:sz="4" w:space="4" w:color="auto"/>
        </w:pBdr>
        <w:spacing w:before="240" w:after="200" w:line="276" w:lineRule="auto"/>
        <w:ind w:left="850"/>
        <w:jc w:val="left"/>
        <w:rPr>
          <w:b/>
          <w:bCs/>
          <w:noProof/>
        </w:rPr>
      </w:pPr>
      <w:bookmarkStart w:id="51" w:name="_Hlk128576432"/>
      <w:r w:rsidRPr="002D7798">
        <w:rPr>
          <w:b/>
          <w:noProof/>
        </w:rPr>
        <w:t>Režijní náklady</w:t>
      </w:r>
    </w:p>
    <w:p w14:paraId="0EFC9C1B" w14:textId="77777777" w:rsidR="00976265" w:rsidRPr="002D7798" w:rsidRDefault="0064263D">
      <w:pPr>
        <w:pBdr>
          <w:top w:val="single" w:sz="4" w:space="1" w:color="auto"/>
          <w:left w:val="single" w:sz="4" w:space="4" w:color="auto"/>
          <w:bottom w:val="single" w:sz="4" w:space="1" w:color="auto"/>
          <w:right w:val="single" w:sz="4" w:space="4" w:color="auto"/>
        </w:pBdr>
        <w:spacing w:before="0" w:after="200" w:line="276" w:lineRule="auto"/>
        <w:ind w:left="850"/>
        <w:jc w:val="left"/>
        <w:rPr>
          <w:noProof/>
          <w:u w:val="single"/>
        </w:rPr>
      </w:pPr>
      <w:r w:rsidRPr="002D7798">
        <w:rPr>
          <w:noProof/>
          <w:u w:val="single"/>
        </w:rPr>
        <w:t>ACER</w:t>
      </w:r>
    </w:p>
    <w:p w14:paraId="0BFD62F9" w14:textId="2A360F91" w:rsidR="00976265" w:rsidRPr="002D7798" w:rsidRDefault="0064263D">
      <w:pPr>
        <w:pBdr>
          <w:top w:val="single" w:sz="4" w:space="1" w:color="auto"/>
          <w:left w:val="single" w:sz="4" w:space="4" w:color="auto"/>
          <w:bottom w:val="single" w:sz="4" w:space="1" w:color="auto"/>
          <w:right w:val="single" w:sz="4" w:space="4" w:color="auto"/>
        </w:pBdr>
        <w:spacing w:before="240" w:after="200" w:line="276" w:lineRule="auto"/>
        <w:ind w:left="850"/>
        <w:jc w:val="left"/>
        <w:rPr>
          <w:noProof/>
          <w:u w:val="single"/>
        </w:rPr>
      </w:pPr>
      <w:r w:rsidRPr="002D7798">
        <w:rPr>
          <w:noProof/>
        </w:rPr>
        <w:t xml:space="preserve">Tyto dodatečné plné pracovní úvazky, jak je popsáno výše, nezahrnují režijní náklady. Jeden dodatečný plný pracovní úvazek, nejlépe třídy AST, nahrazující zaměstnance agentury práce zaměstnané na odboru správy. </w:t>
      </w:r>
      <w:bookmarkEnd w:id="51"/>
      <w:r w:rsidRPr="002D7798">
        <w:rPr>
          <w:noProof/>
          <w:u w:val="single"/>
        </w:rPr>
        <w:t>GŘ pro energetiku</w:t>
      </w:r>
    </w:p>
    <w:p w14:paraId="12CA8F8D" w14:textId="77777777" w:rsidR="00976265" w:rsidRPr="002D7798" w:rsidRDefault="0064263D">
      <w:pPr>
        <w:pBdr>
          <w:top w:val="single" w:sz="4" w:space="1" w:color="auto"/>
          <w:left w:val="single" w:sz="4" w:space="4" w:color="auto"/>
          <w:bottom w:val="single" w:sz="4" w:space="1" w:color="auto"/>
          <w:right w:val="single" w:sz="4" w:space="4" w:color="auto"/>
        </w:pBdr>
        <w:spacing w:before="0" w:after="200" w:line="276" w:lineRule="auto"/>
        <w:ind w:left="850"/>
        <w:jc w:val="left"/>
        <w:rPr>
          <w:noProof/>
        </w:rPr>
      </w:pPr>
      <w:r w:rsidRPr="002D7798">
        <w:rPr>
          <w:noProof/>
        </w:rPr>
        <w:t>Nepoužije se</w:t>
      </w:r>
    </w:p>
    <w:p w14:paraId="7FF1C453" w14:textId="77777777" w:rsidR="00976265" w:rsidRPr="002D7798" w:rsidRDefault="00976265">
      <w:pPr>
        <w:pBdr>
          <w:top w:val="single" w:sz="4" w:space="1" w:color="auto"/>
          <w:left w:val="single" w:sz="4" w:space="4" w:color="auto"/>
          <w:bottom w:val="single" w:sz="4" w:space="1" w:color="auto"/>
          <w:right w:val="single" w:sz="4" w:space="4" w:color="auto"/>
        </w:pBdr>
        <w:spacing w:before="0" w:after="200" w:line="276" w:lineRule="auto"/>
        <w:ind w:left="850"/>
        <w:jc w:val="left"/>
        <w:rPr>
          <w:noProof/>
        </w:rPr>
      </w:pPr>
    </w:p>
    <w:p w14:paraId="79059584" w14:textId="77777777" w:rsidR="00976265" w:rsidRPr="002D7798" w:rsidRDefault="0064263D">
      <w:pPr>
        <w:keepNext/>
        <w:tabs>
          <w:tab w:val="left" w:pos="850"/>
        </w:tabs>
        <w:ind w:left="850" w:hanging="850"/>
        <w:outlineLvl w:val="2"/>
        <w:rPr>
          <w:bCs/>
          <w:i/>
          <w:noProof/>
          <w:szCs w:val="24"/>
        </w:rPr>
      </w:pPr>
      <w:bookmarkStart w:id="52" w:name="_Toc514938670"/>
      <w:bookmarkStart w:id="53" w:name="_Toc128753766"/>
      <w:r w:rsidRPr="002D7798">
        <w:rPr>
          <w:i/>
          <w:noProof/>
        </w:rPr>
        <w:t>1.5.2.</w:t>
      </w:r>
      <w:r w:rsidRPr="002D7798">
        <w:rPr>
          <w:noProof/>
        </w:rPr>
        <w:tab/>
      </w:r>
      <w:r w:rsidRPr="002D7798">
        <w:rPr>
          <w:i/>
          <w:noProof/>
        </w:rPr>
        <w:t>Přidaná hodnota ze zapojení Unie (může být důsledkem různých faktorů, např. přínosů z koordinace, právní jistoty, vyšší účinnosti nebo doplňkovosti). Pro účely tohoto bodu se „přidanou hodnotou ze zapojení Unie“ rozumí hodnota plynoucí ze zásahu Unie, jež doplňuje hodnotu, která by jinak vznikla činností samotných členských států.</w:t>
      </w:r>
      <w:bookmarkEnd w:id="52"/>
      <w:bookmarkEnd w:id="53"/>
    </w:p>
    <w:p w14:paraId="6645E269" w14:textId="77777777" w:rsidR="00976265" w:rsidRPr="002D7798" w:rsidRDefault="0064263D">
      <w:pPr>
        <w:pBdr>
          <w:top w:val="single" w:sz="4" w:space="1" w:color="auto"/>
          <w:left w:val="single" w:sz="4" w:space="4" w:color="auto"/>
          <w:bottom w:val="single" w:sz="4" w:space="1" w:color="auto"/>
          <w:right w:val="single" w:sz="4" w:space="4" w:color="auto"/>
        </w:pBdr>
        <w:spacing w:before="0" w:after="200" w:line="276" w:lineRule="auto"/>
        <w:ind w:left="850"/>
        <w:jc w:val="left"/>
        <w:rPr>
          <w:noProof/>
        </w:rPr>
      </w:pPr>
      <w:bookmarkStart w:id="54" w:name="_Hlk128576468"/>
      <w:r w:rsidRPr="002D7798">
        <w:rPr>
          <w:noProof/>
        </w:rPr>
        <w:t>Viz důvodová zpráva</w:t>
      </w:r>
    </w:p>
    <w:bookmarkEnd w:id="54"/>
    <w:p w14:paraId="220BC0EB" w14:textId="77777777" w:rsidR="00976265" w:rsidRPr="002D7798" w:rsidRDefault="00976265">
      <w:pPr>
        <w:pBdr>
          <w:top w:val="single" w:sz="4" w:space="1" w:color="auto"/>
          <w:left w:val="single" w:sz="4" w:space="4" w:color="auto"/>
          <w:bottom w:val="single" w:sz="4" w:space="1" w:color="auto"/>
          <w:right w:val="single" w:sz="4" w:space="4" w:color="auto"/>
        </w:pBdr>
        <w:spacing w:before="0" w:after="200" w:line="276" w:lineRule="auto"/>
        <w:ind w:left="850"/>
        <w:jc w:val="left"/>
        <w:rPr>
          <w:noProof/>
        </w:rPr>
      </w:pPr>
    </w:p>
    <w:p w14:paraId="37F4CAFE" w14:textId="77777777" w:rsidR="00976265" w:rsidRPr="002D7798" w:rsidRDefault="0064263D">
      <w:pPr>
        <w:keepNext/>
        <w:tabs>
          <w:tab w:val="left" w:pos="850"/>
        </w:tabs>
        <w:ind w:left="850" w:hanging="850"/>
        <w:outlineLvl w:val="2"/>
        <w:rPr>
          <w:i/>
          <w:noProof/>
        </w:rPr>
      </w:pPr>
      <w:bookmarkStart w:id="55" w:name="_Toc514938671"/>
      <w:bookmarkStart w:id="56" w:name="_Toc128753767"/>
      <w:r w:rsidRPr="002D7798">
        <w:rPr>
          <w:i/>
          <w:noProof/>
        </w:rPr>
        <w:t>1.5.3.</w:t>
      </w:r>
      <w:r w:rsidRPr="002D7798">
        <w:rPr>
          <w:noProof/>
        </w:rPr>
        <w:tab/>
      </w:r>
      <w:r w:rsidRPr="002D7798">
        <w:rPr>
          <w:i/>
          <w:noProof/>
        </w:rPr>
        <w:t>Závěry vyvozené z podobných zkušeností v minulosti</w:t>
      </w:r>
      <w:bookmarkEnd w:id="55"/>
      <w:bookmarkEnd w:id="56"/>
    </w:p>
    <w:p w14:paraId="451C4106" w14:textId="77777777" w:rsidR="00976265" w:rsidRPr="002D7798" w:rsidRDefault="0064263D">
      <w:pPr>
        <w:pBdr>
          <w:top w:val="single" w:sz="4" w:space="1" w:color="auto"/>
          <w:left w:val="single" w:sz="4" w:space="4" w:color="auto"/>
          <w:bottom w:val="single" w:sz="4" w:space="1" w:color="auto"/>
          <w:right w:val="single" w:sz="4" w:space="4" w:color="auto"/>
        </w:pBdr>
        <w:spacing w:before="0" w:after="200" w:line="276" w:lineRule="auto"/>
        <w:ind w:left="850"/>
        <w:jc w:val="left"/>
        <w:rPr>
          <w:noProof/>
        </w:rPr>
      </w:pPr>
      <w:bookmarkStart w:id="57" w:name="_Hlk128576485"/>
      <w:r w:rsidRPr="002D7798">
        <w:rPr>
          <w:noProof/>
        </w:rPr>
        <w:t>Zkušenosti s předchozími legislativními návrhy ukázaly, že personální potřeby agentury ACER jsou snadno podceňovány. Aby se zabránilo opakování zkušeností se třetím energetickým balíčkem z roku 2009, kdy podcenění personálních potřeb vedlo ke strukturálnímu nedostatku zaměstnanců (komplexně řešeného teprve počínaje rozpočtem EU na rok 2022), odhadují se personální potřeby v souvislosti s tímto návrhem na několik let dopředu.</w:t>
      </w:r>
      <w:bookmarkEnd w:id="57"/>
    </w:p>
    <w:p w14:paraId="67F75958" w14:textId="77777777" w:rsidR="00976265" w:rsidRPr="002D7798" w:rsidRDefault="0064263D">
      <w:pPr>
        <w:keepNext/>
        <w:tabs>
          <w:tab w:val="left" w:pos="850"/>
        </w:tabs>
        <w:ind w:left="850" w:hanging="850"/>
        <w:outlineLvl w:val="2"/>
        <w:rPr>
          <w:i/>
          <w:noProof/>
        </w:rPr>
      </w:pPr>
      <w:bookmarkStart w:id="58" w:name="_Toc514938672"/>
      <w:bookmarkStart w:id="59" w:name="_Toc128753768"/>
      <w:r w:rsidRPr="002D7798">
        <w:rPr>
          <w:i/>
          <w:noProof/>
        </w:rPr>
        <w:t>1.5.4.</w:t>
      </w:r>
      <w:r w:rsidRPr="002D7798">
        <w:rPr>
          <w:noProof/>
        </w:rPr>
        <w:tab/>
      </w:r>
      <w:r w:rsidRPr="002D7798">
        <w:rPr>
          <w:i/>
          <w:noProof/>
        </w:rPr>
        <w:t>Slučitelnost s víceletým finančním rámcem a možné synergie s dalšími vhodnými nástroji</w:t>
      </w:r>
      <w:bookmarkEnd w:id="58"/>
      <w:bookmarkEnd w:id="59"/>
    </w:p>
    <w:p w14:paraId="172B80D4" w14:textId="77777777" w:rsidR="00976265" w:rsidRPr="002D7798" w:rsidRDefault="0064263D">
      <w:pPr>
        <w:pBdr>
          <w:top w:val="single" w:sz="4" w:space="1" w:color="auto"/>
          <w:left w:val="single" w:sz="4" w:space="4" w:color="auto"/>
          <w:bottom w:val="single" w:sz="4" w:space="1" w:color="auto"/>
          <w:right w:val="single" w:sz="4" w:space="4" w:color="auto"/>
        </w:pBdr>
        <w:spacing w:before="0" w:after="200" w:line="276" w:lineRule="auto"/>
        <w:ind w:left="850"/>
        <w:jc w:val="left"/>
        <w:rPr>
          <w:noProof/>
        </w:rPr>
      </w:pPr>
      <w:bookmarkStart w:id="60" w:name="_Hlk128576503"/>
      <w:r w:rsidRPr="002D7798">
        <w:rPr>
          <w:noProof/>
        </w:rPr>
        <w:t>Tento podnět je součástí ročního pracovního programu Komise na rok 2023 jako součást Zelené dohody pro Evropu.</w:t>
      </w:r>
      <w:bookmarkEnd w:id="60"/>
    </w:p>
    <w:p w14:paraId="7AFA0227" w14:textId="77777777" w:rsidR="00976265" w:rsidRPr="002D7798" w:rsidRDefault="0064263D">
      <w:pPr>
        <w:keepNext/>
        <w:tabs>
          <w:tab w:val="left" w:pos="850"/>
        </w:tabs>
        <w:ind w:left="850" w:hanging="850"/>
        <w:outlineLvl w:val="2"/>
        <w:rPr>
          <w:i/>
          <w:noProof/>
        </w:rPr>
      </w:pPr>
      <w:bookmarkStart w:id="61" w:name="_Toc514938673"/>
      <w:bookmarkStart w:id="62" w:name="_Toc128753769"/>
      <w:r w:rsidRPr="002D7798">
        <w:rPr>
          <w:i/>
          <w:noProof/>
        </w:rPr>
        <w:t>1.5.5.</w:t>
      </w:r>
      <w:r w:rsidRPr="002D7798">
        <w:rPr>
          <w:noProof/>
        </w:rPr>
        <w:tab/>
      </w:r>
      <w:r w:rsidRPr="002D7798">
        <w:rPr>
          <w:i/>
          <w:noProof/>
        </w:rPr>
        <w:t>Posouzení různých dostupných možností financování, včetně prostoru pro přerozdělení prostředků</w:t>
      </w:r>
      <w:bookmarkEnd w:id="61"/>
      <w:bookmarkEnd w:id="62"/>
    </w:p>
    <w:p w14:paraId="64319AC3" w14:textId="77777777" w:rsidR="00976265" w:rsidRPr="002D7798" w:rsidRDefault="0064263D">
      <w:pPr>
        <w:pBdr>
          <w:top w:val="single" w:sz="4" w:space="1" w:color="000000"/>
          <w:left w:val="single" w:sz="4" w:space="4" w:color="000000"/>
          <w:bottom w:val="single" w:sz="4" w:space="1" w:color="000000"/>
          <w:right w:val="single" w:sz="4" w:space="4" w:color="000000"/>
        </w:pBdr>
        <w:spacing w:before="0" w:after="200" w:line="276" w:lineRule="auto"/>
        <w:ind w:left="850"/>
        <w:jc w:val="left"/>
        <w:rPr>
          <w:rFonts w:eastAsia="Times New Roman"/>
          <w:noProof/>
        </w:rPr>
      </w:pPr>
      <w:bookmarkStart w:id="63" w:name="_Hlk128576521"/>
      <w:r w:rsidRPr="002D7798">
        <w:rPr>
          <w:noProof/>
        </w:rPr>
        <w:t xml:space="preserve">Plný pracovní úvazek je zapotřebí pro dodatečné úkoly, přičemž objem stávajících úkolů se v dohledné době nesníží. </w:t>
      </w:r>
    </w:p>
    <w:bookmarkEnd w:id="63"/>
    <w:p w14:paraId="5E0B09C6" w14:textId="77777777" w:rsidR="00976265" w:rsidRPr="002D7798" w:rsidRDefault="00976265">
      <w:pPr>
        <w:spacing w:before="0" w:after="200" w:line="276" w:lineRule="auto"/>
        <w:ind w:left="850"/>
        <w:jc w:val="left"/>
        <w:rPr>
          <w:noProof/>
        </w:rPr>
      </w:pPr>
    </w:p>
    <w:p w14:paraId="6882D016" w14:textId="77777777" w:rsidR="00976265" w:rsidRPr="002D7798" w:rsidRDefault="0064263D">
      <w:pPr>
        <w:keepNext/>
        <w:tabs>
          <w:tab w:val="left" w:pos="850"/>
        </w:tabs>
        <w:ind w:left="850" w:hanging="850"/>
        <w:outlineLvl w:val="1"/>
        <w:rPr>
          <w:b/>
          <w:bCs/>
          <w:noProof/>
          <w:szCs w:val="24"/>
        </w:rPr>
      </w:pPr>
      <w:r w:rsidRPr="002D7798">
        <w:rPr>
          <w:noProof/>
        </w:rPr>
        <w:br w:type="page"/>
      </w:r>
      <w:bookmarkStart w:id="64" w:name="_Toc514938674"/>
      <w:bookmarkStart w:id="65" w:name="_Toc128753770"/>
      <w:r w:rsidRPr="002D7798">
        <w:rPr>
          <w:b/>
          <w:noProof/>
        </w:rPr>
        <w:t>1.6.</w:t>
      </w:r>
      <w:r w:rsidRPr="002D7798">
        <w:rPr>
          <w:noProof/>
        </w:rPr>
        <w:tab/>
      </w:r>
      <w:r w:rsidRPr="002D7798">
        <w:rPr>
          <w:b/>
          <w:noProof/>
        </w:rPr>
        <w:t>Doba trvání a finanční dopad návrhu/podnětu</w:t>
      </w:r>
      <w:bookmarkEnd w:id="64"/>
      <w:bookmarkEnd w:id="65"/>
    </w:p>
    <w:p w14:paraId="7D75D00D" w14:textId="77777777" w:rsidR="00976265" w:rsidRPr="002D7798" w:rsidRDefault="0064263D">
      <w:pPr>
        <w:spacing w:before="0" w:after="200" w:line="276" w:lineRule="auto"/>
        <w:ind w:left="850"/>
        <w:jc w:val="left"/>
        <w:rPr>
          <w:noProof/>
        </w:rPr>
      </w:pPr>
      <w:r w:rsidRPr="002D7798">
        <w:rPr>
          <w:rFonts w:ascii="Wingdings" w:hAnsi="Wingdings"/>
          <w:noProof/>
        </w:rPr>
        <w:t></w:t>
      </w:r>
      <w:r w:rsidRPr="002D7798">
        <w:rPr>
          <w:b/>
          <w:i/>
          <w:noProof/>
        </w:rPr>
        <w:t xml:space="preserve"> </w:t>
      </w:r>
      <w:r w:rsidRPr="002D7798">
        <w:rPr>
          <w:b/>
          <w:noProof/>
        </w:rPr>
        <w:t xml:space="preserve">Časově omezená doba trvání </w:t>
      </w:r>
    </w:p>
    <w:p w14:paraId="2BBB90CA" w14:textId="77777777" w:rsidR="00976265" w:rsidRPr="002D7798" w:rsidRDefault="0064263D">
      <w:pPr>
        <w:tabs>
          <w:tab w:val="num" w:pos="1134"/>
        </w:tabs>
        <w:ind w:left="1134" w:hanging="283"/>
        <w:rPr>
          <w:noProof/>
        </w:rPr>
      </w:pPr>
      <w:r w:rsidRPr="002D7798">
        <w:rPr>
          <w:rFonts w:ascii="Wingdings" w:hAnsi="Wingdings"/>
          <w:noProof/>
        </w:rPr>
        <w:t></w:t>
      </w:r>
      <w:r w:rsidRPr="002D7798">
        <w:rPr>
          <w:noProof/>
        </w:rPr>
        <w:tab/>
        <w:t xml:space="preserve">Návrh/podnět s platností od [DD.MM.]RRRR do [DD.MM.]RRRR </w:t>
      </w:r>
    </w:p>
    <w:p w14:paraId="55AE57D8" w14:textId="77777777" w:rsidR="00976265" w:rsidRPr="002D7798" w:rsidRDefault="0064263D">
      <w:pPr>
        <w:tabs>
          <w:tab w:val="num" w:pos="1134"/>
        </w:tabs>
        <w:ind w:left="1134" w:hanging="283"/>
        <w:rPr>
          <w:noProof/>
        </w:rPr>
      </w:pPr>
      <w:r w:rsidRPr="002D7798">
        <w:rPr>
          <w:rFonts w:ascii="Wingdings" w:hAnsi="Wingdings"/>
          <w:noProof/>
        </w:rPr>
        <w:t></w:t>
      </w:r>
      <w:r w:rsidRPr="002D7798">
        <w:rPr>
          <w:noProof/>
        </w:rPr>
        <w:tab/>
        <w:t>Finanční dopad od RRRR do RRRR</w:t>
      </w:r>
    </w:p>
    <w:p w14:paraId="1C6CD7BB" w14:textId="77777777" w:rsidR="00976265" w:rsidRPr="002D7798" w:rsidRDefault="0064263D">
      <w:pPr>
        <w:spacing w:before="0" w:after="200" w:line="276" w:lineRule="auto"/>
        <w:ind w:left="850"/>
        <w:jc w:val="left"/>
        <w:rPr>
          <w:noProof/>
        </w:rPr>
      </w:pPr>
      <w:r w:rsidRPr="002D7798">
        <w:rPr>
          <w:b/>
          <w:noProof/>
        </w:rPr>
        <w:t>X</w:t>
      </w:r>
      <w:r w:rsidRPr="002D7798">
        <w:rPr>
          <w:b/>
          <w:i/>
          <w:noProof/>
        </w:rPr>
        <w:t xml:space="preserve"> </w:t>
      </w:r>
      <w:r w:rsidRPr="002D7798">
        <w:rPr>
          <w:b/>
          <w:noProof/>
        </w:rPr>
        <w:t>Časově neomezená doba trvání</w:t>
      </w:r>
    </w:p>
    <w:p w14:paraId="169CE7BE" w14:textId="77777777" w:rsidR="00976265" w:rsidRPr="002D7798" w:rsidRDefault="0064263D">
      <w:pPr>
        <w:tabs>
          <w:tab w:val="num" w:pos="1134"/>
        </w:tabs>
        <w:ind w:left="1134" w:hanging="283"/>
        <w:rPr>
          <w:noProof/>
        </w:rPr>
      </w:pPr>
      <w:r w:rsidRPr="002D7798">
        <w:rPr>
          <w:noProof/>
        </w:rPr>
        <w:t>Provádění s obdobím rozběhu od RRRR do RRRR,</w:t>
      </w:r>
    </w:p>
    <w:p w14:paraId="1C733074" w14:textId="77777777" w:rsidR="00976265" w:rsidRPr="002D7798" w:rsidRDefault="0064263D">
      <w:pPr>
        <w:tabs>
          <w:tab w:val="num" w:pos="1134"/>
        </w:tabs>
        <w:ind w:left="1134" w:hanging="283"/>
        <w:rPr>
          <w:noProof/>
        </w:rPr>
      </w:pPr>
      <w:r w:rsidRPr="002D7798">
        <w:rPr>
          <w:noProof/>
        </w:rPr>
        <w:t>poté plné fungování.</w:t>
      </w:r>
    </w:p>
    <w:p w14:paraId="0A16901C" w14:textId="77777777" w:rsidR="00976265" w:rsidRPr="002D7798" w:rsidRDefault="0064263D">
      <w:pPr>
        <w:keepNext/>
        <w:tabs>
          <w:tab w:val="left" w:pos="850"/>
        </w:tabs>
        <w:ind w:left="850" w:hanging="850"/>
        <w:outlineLvl w:val="1"/>
        <w:rPr>
          <w:b/>
          <w:bCs/>
          <w:noProof/>
          <w:szCs w:val="24"/>
        </w:rPr>
      </w:pPr>
      <w:bookmarkStart w:id="66" w:name="_Toc514938675"/>
      <w:bookmarkStart w:id="67" w:name="_Toc128753771"/>
      <w:r w:rsidRPr="002D7798">
        <w:rPr>
          <w:b/>
          <w:noProof/>
        </w:rPr>
        <w:t>1.7.</w:t>
      </w:r>
      <w:r w:rsidRPr="002D7798">
        <w:rPr>
          <w:noProof/>
        </w:rPr>
        <w:tab/>
      </w:r>
      <w:r w:rsidRPr="002D7798">
        <w:rPr>
          <w:b/>
          <w:noProof/>
        </w:rPr>
        <w:t>Předpokládaný způsob plnění rozpočtu</w:t>
      </w:r>
      <w:r w:rsidRPr="002D7798">
        <w:rPr>
          <w:rStyle w:val="FootnoteReference"/>
          <w:noProof/>
        </w:rPr>
        <w:footnoteReference w:id="31"/>
      </w:r>
      <w:bookmarkEnd w:id="66"/>
      <w:bookmarkEnd w:id="67"/>
      <w:r w:rsidRPr="002D7798">
        <w:rPr>
          <w:b/>
          <w:noProof/>
          <w:vertAlign w:val="superscript"/>
        </w:rPr>
        <w:t xml:space="preserve"> </w:t>
      </w:r>
    </w:p>
    <w:p w14:paraId="1EA33DF8" w14:textId="77777777" w:rsidR="00976265" w:rsidRPr="002D7798" w:rsidRDefault="0064263D">
      <w:pPr>
        <w:spacing w:before="0" w:after="200" w:line="276" w:lineRule="auto"/>
        <w:ind w:left="850"/>
        <w:jc w:val="left"/>
        <w:rPr>
          <w:noProof/>
        </w:rPr>
      </w:pPr>
      <w:r w:rsidRPr="002D7798">
        <w:rPr>
          <w:b/>
          <w:noProof/>
        </w:rPr>
        <w:t>X</w:t>
      </w:r>
      <w:r w:rsidRPr="002D7798">
        <w:rPr>
          <w:i/>
          <w:noProof/>
        </w:rPr>
        <w:t xml:space="preserve"> </w:t>
      </w:r>
      <w:r w:rsidRPr="002D7798">
        <w:rPr>
          <w:b/>
          <w:noProof/>
        </w:rPr>
        <w:t>Přímé řízení</w:t>
      </w:r>
      <w:r w:rsidRPr="002D7798">
        <w:rPr>
          <w:noProof/>
        </w:rPr>
        <w:t xml:space="preserve"> Komisí prostřednictvím</w:t>
      </w:r>
    </w:p>
    <w:p w14:paraId="778D049E" w14:textId="77777777" w:rsidR="00976265" w:rsidRPr="002D7798" w:rsidRDefault="0064263D">
      <w:pPr>
        <w:tabs>
          <w:tab w:val="num" w:pos="1134"/>
        </w:tabs>
        <w:ind w:left="1134" w:hanging="283"/>
        <w:rPr>
          <w:noProof/>
        </w:rPr>
      </w:pPr>
      <w:r w:rsidRPr="002D7798">
        <w:rPr>
          <w:rFonts w:ascii="Wingdings" w:hAnsi="Wingdings"/>
          <w:noProof/>
        </w:rPr>
        <w:t></w:t>
      </w:r>
      <w:r w:rsidRPr="002D7798">
        <w:rPr>
          <w:noProof/>
        </w:rPr>
        <w:tab/>
        <w:t xml:space="preserve">výkonných agentur </w:t>
      </w:r>
    </w:p>
    <w:p w14:paraId="77F72412" w14:textId="77777777" w:rsidR="00976265" w:rsidRPr="002D7798" w:rsidRDefault="0064263D">
      <w:pPr>
        <w:spacing w:before="0" w:after="200" w:line="276" w:lineRule="auto"/>
        <w:ind w:left="850"/>
        <w:jc w:val="left"/>
        <w:rPr>
          <w:noProof/>
        </w:rPr>
      </w:pPr>
      <w:r w:rsidRPr="002D7798">
        <w:rPr>
          <w:rFonts w:ascii="Wingdings" w:hAnsi="Wingdings"/>
          <w:noProof/>
        </w:rPr>
        <w:t></w:t>
      </w:r>
      <w:r w:rsidRPr="002D7798">
        <w:rPr>
          <w:b/>
          <w:i/>
          <w:noProof/>
        </w:rPr>
        <w:t xml:space="preserve"> </w:t>
      </w:r>
      <w:r w:rsidRPr="002D7798">
        <w:rPr>
          <w:b/>
          <w:noProof/>
        </w:rPr>
        <w:t>Sdílené řízení</w:t>
      </w:r>
      <w:r w:rsidRPr="002D7798">
        <w:rPr>
          <w:noProof/>
        </w:rPr>
        <w:t xml:space="preserve"> s členskými státy </w:t>
      </w:r>
    </w:p>
    <w:p w14:paraId="5F2FBE59" w14:textId="77777777" w:rsidR="00976265" w:rsidRPr="002D7798" w:rsidRDefault="0064263D">
      <w:pPr>
        <w:spacing w:before="0" w:after="200" w:line="276" w:lineRule="auto"/>
        <w:ind w:left="850"/>
        <w:jc w:val="left"/>
        <w:rPr>
          <w:noProof/>
        </w:rPr>
      </w:pPr>
      <w:r w:rsidRPr="002D7798">
        <w:rPr>
          <w:b/>
          <w:noProof/>
        </w:rPr>
        <w:t>X</w:t>
      </w:r>
      <w:r w:rsidRPr="002D7798">
        <w:rPr>
          <w:i/>
          <w:noProof/>
        </w:rPr>
        <w:t xml:space="preserve"> </w:t>
      </w:r>
      <w:r w:rsidRPr="002D7798">
        <w:rPr>
          <w:b/>
          <w:noProof/>
        </w:rPr>
        <w:t>Nepřímé řízení</w:t>
      </w:r>
      <w:r w:rsidRPr="002D7798">
        <w:rPr>
          <w:noProof/>
        </w:rPr>
        <w:t>, při kterém jsou úkoly souvisejícími s plněním rozpočtu pověřeny:</w:t>
      </w:r>
    </w:p>
    <w:p w14:paraId="45A64741" w14:textId="77777777" w:rsidR="00976265" w:rsidRPr="002D7798" w:rsidRDefault="0064263D">
      <w:pPr>
        <w:spacing w:before="0" w:after="200" w:line="276" w:lineRule="auto"/>
        <w:ind w:left="850"/>
        <w:jc w:val="left"/>
        <w:rPr>
          <w:noProof/>
        </w:rPr>
      </w:pPr>
      <w:r w:rsidRPr="002D7798">
        <w:rPr>
          <w:rFonts w:ascii="Wingdings" w:hAnsi="Wingdings"/>
          <w:noProof/>
        </w:rPr>
        <w:t></w:t>
      </w:r>
      <w:r w:rsidRPr="002D7798">
        <w:rPr>
          <w:noProof/>
        </w:rPr>
        <w:t xml:space="preserve"> mezinárodní organizace a jejich agentury (upřesněte),</w:t>
      </w:r>
    </w:p>
    <w:p w14:paraId="17086A2C" w14:textId="77777777" w:rsidR="00976265" w:rsidRPr="002D7798" w:rsidRDefault="0064263D">
      <w:pPr>
        <w:spacing w:before="0" w:after="200" w:line="276" w:lineRule="auto"/>
        <w:ind w:left="850"/>
        <w:jc w:val="left"/>
        <w:rPr>
          <w:noProof/>
        </w:rPr>
      </w:pPr>
      <w:r w:rsidRPr="002D7798">
        <w:rPr>
          <w:rFonts w:ascii="Wingdings" w:hAnsi="Wingdings"/>
          <w:noProof/>
        </w:rPr>
        <w:t></w:t>
      </w:r>
      <w:r w:rsidRPr="002D7798">
        <w:rPr>
          <w:noProof/>
        </w:rPr>
        <w:t>EIB a Evropský investiční fond,</w:t>
      </w:r>
    </w:p>
    <w:p w14:paraId="38DDE07E" w14:textId="77777777" w:rsidR="00976265" w:rsidRPr="002D7798" w:rsidRDefault="0064263D">
      <w:pPr>
        <w:spacing w:before="0" w:after="200" w:line="276" w:lineRule="auto"/>
        <w:ind w:left="850"/>
        <w:jc w:val="left"/>
        <w:rPr>
          <w:noProof/>
        </w:rPr>
      </w:pPr>
      <w:r w:rsidRPr="002D7798">
        <w:rPr>
          <w:b/>
          <w:noProof/>
        </w:rPr>
        <w:t>X</w:t>
      </w:r>
      <w:r w:rsidRPr="002D7798">
        <w:rPr>
          <w:noProof/>
        </w:rPr>
        <w:t xml:space="preserve"> subjekty uvedené v článcích 70 a 71,</w:t>
      </w:r>
    </w:p>
    <w:p w14:paraId="32FA18B1" w14:textId="77777777" w:rsidR="00976265" w:rsidRPr="002D7798" w:rsidRDefault="0064263D">
      <w:pPr>
        <w:spacing w:before="0" w:after="200" w:line="276" w:lineRule="auto"/>
        <w:ind w:left="850"/>
        <w:jc w:val="left"/>
        <w:rPr>
          <w:noProof/>
        </w:rPr>
      </w:pPr>
      <w:r w:rsidRPr="002D7798">
        <w:rPr>
          <w:rFonts w:ascii="Wingdings" w:hAnsi="Wingdings"/>
          <w:noProof/>
        </w:rPr>
        <w:t></w:t>
      </w:r>
      <w:r w:rsidRPr="002D7798">
        <w:rPr>
          <w:noProof/>
        </w:rPr>
        <w:t xml:space="preserve"> veřejnoprávní subjekty,</w:t>
      </w:r>
    </w:p>
    <w:p w14:paraId="3F920CC0" w14:textId="77777777" w:rsidR="00976265" w:rsidRPr="002D7798" w:rsidRDefault="0064263D">
      <w:pPr>
        <w:spacing w:before="0" w:after="200" w:line="276" w:lineRule="auto"/>
        <w:ind w:left="850"/>
        <w:jc w:val="left"/>
        <w:rPr>
          <w:noProof/>
        </w:rPr>
      </w:pPr>
      <w:r w:rsidRPr="002D7798">
        <w:rPr>
          <w:rFonts w:ascii="Wingdings" w:hAnsi="Wingdings"/>
          <w:noProof/>
        </w:rPr>
        <w:t></w:t>
      </w:r>
      <w:r w:rsidRPr="002D7798">
        <w:rPr>
          <w:noProof/>
        </w:rPr>
        <w:t xml:space="preserve"> soukromoprávní subjekty pověřené výkonem veřejné služby v rozsahu, v jakém jim byly poskytnuty dostatečné finanční záruky,</w:t>
      </w:r>
    </w:p>
    <w:p w14:paraId="61000268" w14:textId="77777777" w:rsidR="00976265" w:rsidRPr="002D7798" w:rsidRDefault="0064263D">
      <w:pPr>
        <w:spacing w:before="0" w:after="200" w:line="276" w:lineRule="auto"/>
        <w:ind w:left="850"/>
        <w:jc w:val="left"/>
        <w:rPr>
          <w:noProof/>
        </w:rPr>
      </w:pPr>
      <w:r w:rsidRPr="002D7798">
        <w:rPr>
          <w:rFonts w:ascii="Wingdings" w:hAnsi="Wingdings"/>
          <w:noProof/>
        </w:rPr>
        <w:t></w:t>
      </w:r>
      <w:r w:rsidRPr="002D7798">
        <w:rPr>
          <w:noProof/>
        </w:rPr>
        <w:t xml:space="preserve"> soukromoprávní subjekty členského státu pověřené uskutečňováním partnerství veřejného a soukromého sektoru a poskytující dostatečné finanční záruky,</w:t>
      </w:r>
    </w:p>
    <w:p w14:paraId="586935C2" w14:textId="77777777" w:rsidR="00976265" w:rsidRPr="002D7798" w:rsidRDefault="0064263D">
      <w:pPr>
        <w:spacing w:before="0" w:after="200" w:line="276" w:lineRule="auto"/>
        <w:ind w:left="850"/>
        <w:jc w:val="left"/>
        <w:rPr>
          <w:noProof/>
        </w:rPr>
      </w:pPr>
      <w:r w:rsidRPr="002D7798">
        <w:rPr>
          <w:rFonts w:ascii="Wingdings" w:hAnsi="Wingdings"/>
          <w:noProof/>
        </w:rPr>
        <w:t></w:t>
      </w:r>
      <w:r w:rsidRPr="002D7798">
        <w:rPr>
          <w:noProof/>
        </w:rPr>
        <w:t xml:space="preserve"> subjekty nebo osoby pověřené prováděním specifických akcí v rámci společné zahraniční a bezpečnostní politiky podle hlavy V Smlouvy o EU a určené v příslušném základním právním aktu.</w:t>
      </w:r>
    </w:p>
    <w:p w14:paraId="5740357B" w14:textId="77777777" w:rsidR="00976265" w:rsidRPr="002D7798" w:rsidRDefault="0064263D">
      <w:pPr>
        <w:spacing w:before="0" w:after="200" w:line="276" w:lineRule="auto"/>
        <w:jc w:val="left"/>
        <w:rPr>
          <w:noProof/>
          <w:szCs w:val="20"/>
        </w:rPr>
      </w:pPr>
      <w:r w:rsidRPr="002D7798">
        <w:rPr>
          <w:noProof/>
        </w:rPr>
        <w:t>Poznámky</w:t>
      </w:r>
    </w:p>
    <w:p w14:paraId="5550A000" w14:textId="77777777" w:rsidR="00976265" w:rsidRPr="002D7798" w:rsidRDefault="00976265">
      <w:pPr>
        <w:pBdr>
          <w:top w:val="single" w:sz="4" w:space="1" w:color="auto"/>
          <w:left w:val="single" w:sz="4" w:space="4" w:color="auto"/>
          <w:bottom w:val="single" w:sz="4" w:space="1" w:color="auto"/>
          <w:right w:val="single" w:sz="4" w:space="4" w:color="auto"/>
        </w:pBdr>
        <w:spacing w:before="0" w:after="200" w:line="276" w:lineRule="auto"/>
        <w:jc w:val="left"/>
        <w:rPr>
          <w:noProof/>
          <w:szCs w:val="20"/>
        </w:rPr>
      </w:pPr>
    </w:p>
    <w:p w14:paraId="1117048F" w14:textId="77777777" w:rsidR="00976265" w:rsidRPr="002D7798" w:rsidRDefault="00976265">
      <w:pPr>
        <w:pBdr>
          <w:top w:val="single" w:sz="4" w:space="1" w:color="auto"/>
          <w:left w:val="single" w:sz="4" w:space="4" w:color="auto"/>
          <w:bottom w:val="single" w:sz="4" w:space="1" w:color="auto"/>
          <w:right w:val="single" w:sz="4" w:space="4" w:color="auto"/>
        </w:pBdr>
        <w:spacing w:before="0" w:after="200" w:line="276" w:lineRule="auto"/>
        <w:jc w:val="left"/>
        <w:rPr>
          <w:noProof/>
          <w:szCs w:val="20"/>
        </w:rPr>
      </w:pPr>
    </w:p>
    <w:p w14:paraId="3B168C49" w14:textId="77777777" w:rsidR="00976265" w:rsidRPr="002D7798" w:rsidRDefault="00976265">
      <w:pPr>
        <w:spacing w:before="0" w:after="200" w:line="276" w:lineRule="auto"/>
        <w:jc w:val="left"/>
        <w:rPr>
          <w:noProof/>
          <w:szCs w:val="20"/>
        </w:rPr>
      </w:pPr>
    </w:p>
    <w:p w14:paraId="6B10980C" w14:textId="77777777" w:rsidR="00976265" w:rsidRPr="002D7798" w:rsidRDefault="00976265">
      <w:pPr>
        <w:spacing w:before="0" w:after="200" w:line="276" w:lineRule="auto"/>
        <w:jc w:val="left"/>
        <w:rPr>
          <w:noProof/>
          <w:szCs w:val="20"/>
        </w:rPr>
        <w:sectPr w:rsidR="00976265" w:rsidRPr="002D7798" w:rsidSect="007D2204">
          <w:pgSz w:w="12240" w:h="15840"/>
          <w:pgMar w:top="794" w:right="907" w:bottom="851" w:left="1361" w:header="510" w:footer="454" w:gutter="0"/>
          <w:cols w:space="720"/>
          <w:docGrid w:linePitch="326"/>
        </w:sectPr>
      </w:pPr>
    </w:p>
    <w:p w14:paraId="76A5E1CB" w14:textId="77777777" w:rsidR="00976265" w:rsidRPr="002D7798" w:rsidRDefault="0064263D">
      <w:pPr>
        <w:keepNext/>
        <w:tabs>
          <w:tab w:val="left" w:pos="850"/>
        </w:tabs>
        <w:spacing w:before="360"/>
        <w:ind w:left="850" w:hanging="850"/>
        <w:outlineLvl w:val="0"/>
        <w:rPr>
          <w:b/>
          <w:bCs/>
          <w:smallCaps/>
          <w:noProof/>
          <w:szCs w:val="24"/>
        </w:rPr>
      </w:pPr>
      <w:bookmarkStart w:id="68" w:name="_Toc514938676"/>
      <w:bookmarkStart w:id="69" w:name="_Toc128753772"/>
      <w:r w:rsidRPr="002D7798">
        <w:rPr>
          <w:b/>
          <w:smallCaps/>
          <w:noProof/>
        </w:rPr>
        <w:t>2.</w:t>
      </w:r>
      <w:r w:rsidRPr="002D7798">
        <w:rPr>
          <w:noProof/>
        </w:rPr>
        <w:tab/>
      </w:r>
      <w:r w:rsidRPr="002D7798">
        <w:rPr>
          <w:b/>
          <w:smallCaps/>
          <w:noProof/>
        </w:rPr>
        <w:t>SPRÁVNÍ OPATŘENÍ</w:t>
      </w:r>
      <w:bookmarkEnd w:id="68"/>
      <w:bookmarkEnd w:id="69"/>
      <w:r w:rsidRPr="002D7798">
        <w:rPr>
          <w:b/>
          <w:smallCaps/>
          <w:noProof/>
        </w:rPr>
        <w:t xml:space="preserve"> </w:t>
      </w:r>
    </w:p>
    <w:p w14:paraId="54D41611" w14:textId="77777777" w:rsidR="00976265" w:rsidRPr="002D7798" w:rsidRDefault="0064263D">
      <w:pPr>
        <w:keepNext/>
        <w:tabs>
          <w:tab w:val="left" w:pos="850"/>
        </w:tabs>
        <w:ind w:left="850" w:hanging="850"/>
        <w:outlineLvl w:val="1"/>
        <w:rPr>
          <w:b/>
          <w:bCs/>
          <w:noProof/>
          <w:szCs w:val="24"/>
        </w:rPr>
      </w:pPr>
      <w:bookmarkStart w:id="70" w:name="_Toc514938677"/>
      <w:bookmarkStart w:id="71" w:name="_Toc128753773"/>
      <w:r w:rsidRPr="002D7798">
        <w:rPr>
          <w:b/>
          <w:noProof/>
        </w:rPr>
        <w:t>2.1.</w:t>
      </w:r>
      <w:r w:rsidRPr="002D7798">
        <w:rPr>
          <w:noProof/>
        </w:rPr>
        <w:tab/>
      </w:r>
      <w:r w:rsidRPr="002D7798">
        <w:rPr>
          <w:b/>
          <w:noProof/>
        </w:rPr>
        <w:t>Pravidla pro sledování a podávání zpráv</w:t>
      </w:r>
      <w:bookmarkEnd w:id="70"/>
      <w:bookmarkEnd w:id="71"/>
      <w:r w:rsidRPr="002D7798">
        <w:rPr>
          <w:b/>
          <w:noProof/>
        </w:rPr>
        <w:t xml:space="preserve"> </w:t>
      </w:r>
    </w:p>
    <w:p w14:paraId="675F649D" w14:textId="77777777" w:rsidR="00976265" w:rsidRPr="002D7798" w:rsidRDefault="0064263D">
      <w:pPr>
        <w:spacing w:before="0" w:after="200" w:line="276" w:lineRule="auto"/>
        <w:ind w:left="850"/>
        <w:jc w:val="left"/>
        <w:rPr>
          <w:i/>
          <w:noProof/>
          <w:sz w:val="20"/>
        </w:rPr>
      </w:pPr>
      <w:r w:rsidRPr="002D7798">
        <w:rPr>
          <w:i/>
          <w:noProof/>
          <w:sz w:val="20"/>
        </w:rPr>
        <w:t>Upřesněte četnost a podmínky.</w:t>
      </w:r>
    </w:p>
    <w:p w14:paraId="51A3BE17" w14:textId="77777777" w:rsidR="00976265" w:rsidRPr="002D7798" w:rsidRDefault="0064263D">
      <w:pPr>
        <w:pBdr>
          <w:top w:val="single" w:sz="4" w:space="1" w:color="auto"/>
          <w:left w:val="single" w:sz="4" w:space="4" w:color="auto"/>
          <w:bottom w:val="single" w:sz="4" w:space="1" w:color="auto"/>
          <w:right w:val="single" w:sz="4" w:space="4" w:color="auto"/>
        </w:pBdr>
        <w:spacing w:before="0" w:after="200" w:line="276" w:lineRule="auto"/>
        <w:ind w:left="850"/>
        <w:jc w:val="left"/>
        <w:rPr>
          <w:noProof/>
        </w:rPr>
      </w:pPr>
      <w:bookmarkStart w:id="72" w:name="_Hlk128576616"/>
      <w:r w:rsidRPr="002D7798">
        <w:rPr>
          <w:noProof/>
        </w:rPr>
        <w:t>Podle svého finančního nařízení musí agentura ACER v rámci svého programového dokumentu předkládat roční pracovní program obsahující podrobné údaje o finančních i lidských zdrojích pro jednotlivé vykonávané činnosti.</w:t>
      </w:r>
    </w:p>
    <w:p w14:paraId="11C05725" w14:textId="77777777" w:rsidR="00976265" w:rsidRPr="002D7798" w:rsidRDefault="0064263D">
      <w:pPr>
        <w:pBdr>
          <w:top w:val="single" w:sz="4" w:space="1" w:color="auto"/>
          <w:left w:val="single" w:sz="4" w:space="4" w:color="auto"/>
          <w:bottom w:val="single" w:sz="4" w:space="1" w:color="auto"/>
          <w:right w:val="single" w:sz="4" w:space="4" w:color="auto"/>
        </w:pBdr>
        <w:spacing w:before="0" w:after="200" w:line="276" w:lineRule="auto"/>
        <w:ind w:left="850"/>
        <w:jc w:val="left"/>
        <w:rPr>
          <w:noProof/>
        </w:rPr>
      </w:pPr>
      <w:r w:rsidRPr="002D7798">
        <w:rPr>
          <w:noProof/>
        </w:rPr>
        <w:t>Agentura ACER podává GŘ ENER každý měsíc zprávy o plnění rozpočtu, včetně závazků a plateb podle rozpočtových hlav, a o míře neobsazených míst podle typu zaměstnanců.</w:t>
      </w:r>
    </w:p>
    <w:p w14:paraId="1ADBD14E" w14:textId="77777777" w:rsidR="00976265" w:rsidRPr="002D7798" w:rsidRDefault="0064263D">
      <w:pPr>
        <w:pBdr>
          <w:top w:val="single" w:sz="4" w:space="1" w:color="auto"/>
          <w:left w:val="single" w:sz="4" w:space="4" w:color="auto"/>
          <w:bottom w:val="single" w:sz="4" w:space="1" w:color="auto"/>
          <w:right w:val="single" w:sz="4" w:space="4" w:color="auto"/>
        </w:pBdr>
        <w:spacing w:before="0" w:after="200" w:line="276" w:lineRule="auto"/>
        <w:ind w:left="850"/>
        <w:jc w:val="left"/>
        <w:rPr>
          <w:noProof/>
        </w:rPr>
      </w:pPr>
      <w:r w:rsidRPr="002D7798">
        <w:rPr>
          <w:noProof/>
        </w:rPr>
        <w:t>Kromě toho je Generální ředitelství pro energetiku přímo zastoupeno ve správních orgánech agentury ACER. Generální ředitelství pro energetiku bude prostřednictvím svých zástupců ve správní radě informováno o využití rozpočtu a plánu pracovních míst na každém jejím zasedání konaném v průběhu roku.</w:t>
      </w:r>
    </w:p>
    <w:p w14:paraId="7DF94CE9" w14:textId="77777777" w:rsidR="00976265" w:rsidRPr="002D7798" w:rsidRDefault="0064263D">
      <w:pPr>
        <w:pBdr>
          <w:top w:val="single" w:sz="4" w:space="1" w:color="auto"/>
          <w:left w:val="single" w:sz="4" w:space="4" w:color="auto"/>
          <w:bottom w:val="single" w:sz="4" w:space="1" w:color="auto"/>
          <w:right w:val="single" w:sz="4" w:space="4" w:color="auto"/>
        </w:pBdr>
        <w:spacing w:before="0" w:after="200" w:line="276" w:lineRule="auto"/>
        <w:ind w:left="850"/>
        <w:jc w:val="left"/>
        <w:rPr>
          <w:noProof/>
        </w:rPr>
      </w:pPr>
      <w:r w:rsidRPr="002D7798">
        <w:rPr>
          <w:noProof/>
        </w:rPr>
        <w:t>Konečně se na agenturu ACER také v souladu s finančními pravidly vztahuje požadavek na každoroční předkládání zpráv o činnosti a využívání zdrojů prostřednictvím správní rady a její výroční zprávy o činnosti.</w:t>
      </w:r>
    </w:p>
    <w:bookmarkEnd w:id="72"/>
    <w:p w14:paraId="600893F5" w14:textId="77777777" w:rsidR="00976265" w:rsidRPr="002D7798" w:rsidRDefault="0064263D">
      <w:pPr>
        <w:pBdr>
          <w:top w:val="single" w:sz="4" w:space="1" w:color="auto"/>
          <w:left w:val="single" w:sz="4" w:space="4" w:color="auto"/>
          <w:bottom w:val="single" w:sz="4" w:space="1" w:color="auto"/>
          <w:right w:val="single" w:sz="4" w:space="4" w:color="auto"/>
        </w:pBdr>
        <w:spacing w:before="0" w:after="200" w:line="276" w:lineRule="auto"/>
        <w:ind w:left="850"/>
        <w:jc w:val="left"/>
        <w:rPr>
          <w:noProof/>
        </w:rPr>
      </w:pPr>
      <w:r w:rsidRPr="002D7798">
        <w:rPr>
          <w:noProof/>
        </w:rPr>
        <w:t>Úkoly přímo prováděné Generálním ředitelstvím pro energetiku se budou řídit ročním cyklem plánování a sledování, jak jej provádí Komise a výkonné agentury, včetně podávání zpráv o výsledcích prostřednictvím výroční zprávy o činnosti Generálního ředitelství pro energetiku.</w:t>
      </w:r>
    </w:p>
    <w:p w14:paraId="44210E06" w14:textId="77777777" w:rsidR="00976265" w:rsidRPr="002D7798" w:rsidRDefault="00976265">
      <w:pPr>
        <w:pBdr>
          <w:top w:val="single" w:sz="4" w:space="1" w:color="auto"/>
          <w:left w:val="single" w:sz="4" w:space="4" w:color="auto"/>
          <w:bottom w:val="single" w:sz="4" w:space="1" w:color="auto"/>
          <w:right w:val="single" w:sz="4" w:space="4" w:color="auto"/>
        </w:pBdr>
        <w:spacing w:before="0" w:after="200" w:line="276" w:lineRule="auto"/>
        <w:ind w:left="850"/>
        <w:jc w:val="left"/>
        <w:rPr>
          <w:noProof/>
        </w:rPr>
      </w:pPr>
    </w:p>
    <w:p w14:paraId="4323C4DC" w14:textId="77777777" w:rsidR="00976265" w:rsidRPr="002D7798" w:rsidRDefault="0064263D">
      <w:pPr>
        <w:keepNext/>
        <w:tabs>
          <w:tab w:val="left" w:pos="850"/>
        </w:tabs>
        <w:ind w:left="850" w:hanging="850"/>
        <w:outlineLvl w:val="1"/>
        <w:rPr>
          <w:b/>
          <w:bCs/>
          <w:noProof/>
          <w:szCs w:val="24"/>
        </w:rPr>
      </w:pPr>
      <w:bookmarkStart w:id="73" w:name="_Toc514938678"/>
      <w:bookmarkStart w:id="74" w:name="_Toc128753774"/>
      <w:r w:rsidRPr="002D7798">
        <w:rPr>
          <w:b/>
          <w:noProof/>
        </w:rPr>
        <w:t>2.2.</w:t>
      </w:r>
      <w:r w:rsidRPr="002D7798">
        <w:rPr>
          <w:noProof/>
        </w:rPr>
        <w:tab/>
      </w:r>
      <w:r w:rsidRPr="002D7798">
        <w:rPr>
          <w:b/>
          <w:noProof/>
        </w:rPr>
        <w:t>Systémy řízení a kontroly</w:t>
      </w:r>
      <w:bookmarkEnd w:id="73"/>
      <w:bookmarkEnd w:id="74"/>
      <w:r w:rsidRPr="002D7798">
        <w:rPr>
          <w:b/>
          <w:noProof/>
        </w:rPr>
        <w:t xml:space="preserve"> </w:t>
      </w:r>
    </w:p>
    <w:p w14:paraId="4E440D1A" w14:textId="77777777" w:rsidR="00976265" w:rsidRPr="002D7798" w:rsidRDefault="0064263D">
      <w:pPr>
        <w:keepNext/>
        <w:tabs>
          <w:tab w:val="left" w:pos="850"/>
        </w:tabs>
        <w:ind w:left="850" w:hanging="850"/>
        <w:outlineLvl w:val="2"/>
        <w:rPr>
          <w:i/>
          <w:noProof/>
        </w:rPr>
      </w:pPr>
      <w:bookmarkStart w:id="75" w:name="_Toc514938679"/>
      <w:bookmarkStart w:id="76" w:name="_Toc128753775"/>
      <w:r w:rsidRPr="002D7798">
        <w:rPr>
          <w:i/>
          <w:noProof/>
        </w:rPr>
        <w:t>2.2.1.</w:t>
      </w:r>
      <w:r w:rsidRPr="002D7798">
        <w:rPr>
          <w:noProof/>
        </w:rPr>
        <w:tab/>
      </w:r>
      <w:r w:rsidRPr="002D7798">
        <w:rPr>
          <w:i/>
          <w:noProof/>
        </w:rPr>
        <w:t>Odůvodnění navrhovaných způsobů řízení, mechanismů provádění financování, způsobů plateb a kontrolní strategie</w:t>
      </w:r>
      <w:bookmarkEnd w:id="75"/>
      <w:bookmarkEnd w:id="76"/>
    </w:p>
    <w:p w14:paraId="23B78ED7" w14:textId="77777777" w:rsidR="00976265" w:rsidRPr="002D7798" w:rsidRDefault="0064263D">
      <w:pPr>
        <w:pBdr>
          <w:top w:val="single" w:sz="4" w:space="1" w:color="auto"/>
          <w:left w:val="single" w:sz="4" w:space="4" w:color="auto"/>
          <w:bottom w:val="single" w:sz="4" w:space="1" w:color="auto"/>
          <w:right w:val="single" w:sz="4" w:space="4" w:color="auto"/>
        </w:pBdr>
        <w:spacing w:before="0" w:after="200" w:line="276" w:lineRule="auto"/>
        <w:ind w:left="850"/>
        <w:jc w:val="left"/>
        <w:rPr>
          <w:noProof/>
        </w:rPr>
      </w:pPr>
      <w:bookmarkStart w:id="77" w:name="_Hlk128576637"/>
      <w:r w:rsidRPr="002D7798">
        <w:rPr>
          <w:noProof/>
        </w:rPr>
        <w:t>I když si ACER bude muset osvojit nové odborné znalosti, je nákladově nejefektivnější přidělit nové úkoly podle tohoto návrhu stávající agentuře, která již na podobných úkolech pracuje.</w:t>
      </w:r>
    </w:p>
    <w:bookmarkEnd w:id="77"/>
    <w:p w14:paraId="53EF9343" w14:textId="77777777" w:rsidR="00976265" w:rsidRPr="002D7798" w:rsidRDefault="0064263D">
      <w:pPr>
        <w:pBdr>
          <w:top w:val="single" w:sz="4" w:space="1" w:color="auto"/>
          <w:left w:val="single" w:sz="4" w:space="4" w:color="auto"/>
          <w:bottom w:val="single" w:sz="4" w:space="1" w:color="auto"/>
          <w:right w:val="single" w:sz="4" w:space="4" w:color="auto"/>
        </w:pBdr>
        <w:spacing w:before="0" w:after="200" w:line="276" w:lineRule="auto"/>
        <w:ind w:left="850"/>
        <w:jc w:val="left"/>
        <w:rPr>
          <w:noProof/>
        </w:rPr>
      </w:pPr>
      <w:r w:rsidRPr="002D7798">
        <w:rPr>
          <w:noProof/>
        </w:rPr>
        <w:t>Generální ředitelství pro energetiku zavedlo kontrolní strategii pro řízení svých vztahů s agenturou ACER, která je součástí rámce vnitřní kontroly Komise z roku 2017. Agentura ACER revidovala a přijala svůj vlastní rámec vnitřní kontroly v prosinci 2018.</w:t>
      </w:r>
    </w:p>
    <w:p w14:paraId="28F16448" w14:textId="77777777" w:rsidR="00976265" w:rsidRPr="002D7798" w:rsidRDefault="00976265">
      <w:pPr>
        <w:pBdr>
          <w:top w:val="single" w:sz="4" w:space="1" w:color="auto"/>
          <w:left w:val="single" w:sz="4" w:space="4" w:color="auto"/>
          <w:bottom w:val="single" w:sz="4" w:space="1" w:color="auto"/>
          <w:right w:val="single" w:sz="4" w:space="4" w:color="auto"/>
        </w:pBdr>
        <w:spacing w:before="0" w:after="200" w:line="276" w:lineRule="auto"/>
        <w:ind w:left="850"/>
        <w:jc w:val="left"/>
        <w:rPr>
          <w:noProof/>
        </w:rPr>
      </w:pPr>
    </w:p>
    <w:p w14:paraId="4FA0EA0F" w14:textId="77777777" w:rsidR="00976265" w:rsidRPr="002D7798" w:rsidRDefault="0064263D">
      <w:pPr>
        <w:keepNext/>
        <w:tabs>
          <w:tab w:val="left" w:pos="850"/>
        </w:tabs>
        <w:ind w:left="850" w:hanging="850"/>
        <w:outlineLvl w:val="2"/>
        <w:rPr>
          <w:i/>
          <w:noProof/>
        </w:rPr>
      </w:pPr>
      <w:bookmarkStart w:id="78" w:name="_Toc514938680"/>
      <w:bookmarkStart w:id="79" w:name="_Toc128753776"/>
      <w:r w:rsidRPr="002D7798">
        <w:rPr>
          <w:i/>
          <w:noProof/>
        </w:rPr>
        <w:t>2.2.2.</w:t>
      </w:r>
      <w:r w:rsidRPr="002D7798">
        <w:rPr>
          <w:noProof/>
        </w:rPr>
        <w:tab/>
      </w:r>
      <w:r w:rsidRPr="002D7798">
        <w:rPr>
          <w:i/>
          <w:noProof/>
        </w:rPr>
        <w:t>Informace o zjištěných rizicích a systémech vnitřní kontroly zřízených k jejich zmírnění</w:t>
      </w:r>
      <w:bookmarkEnd w:id="78"/>
      <w:bookmarkEnd w:id="79"/>
    </w:p>
    <w:p w14:paraId="6B401B5C" w14:textId="77777777" w:rsidR="00976265" w:rsidRPr="002D7798" w:rsidRDefault="0064263D">
      <w:pPr>
        <w:pBdr>
          <w:top w:val="single" w:sz="4" w:space="1" w:color="auto"/>
          <w:left w:val="single" w:sz="4" w:space="4" w:color="auto"/>
          <w:bottom w:val="single" w:sz="4" w:space="1" w:color="auto"/>
          <w:right w:val="single" w:sz="4" w:space="4" w:color="auto"/>
        </w:pBdr>
        <w:spacing w:before="0" w:after="200" w:line="276" w:lineRule="auto"/>
        <w:ind w:left="850"/>
        <w:jc w:val="left"/>
        <w:rPr>
          <w:noProof/>
        </w:rPr>
      </w:pPr>
      <w:bookmarkStart w:id="80" w:name="_Hlk128576670"/>
      <w:r w:rsidRPr="002D7798">
        <w:rPr>
          <w:noProof/>
        </w:rPr>
        <w:t>Hlavním rizikem jsou nesprávné odhady pracovní zátěže vytvořené tímto návrhem, protože zavádí nové úkoly. Toto riziko je třeba přijmout, neboť ze zkušeností víme, že není-li potřeba dodatečných zdrojů součástí původního návrhu, je velmi obtížné tuto situaci napravit později.</w:t>
      </w:r>
    </w:p>
    <w:p w14:paraId="1566976E" w14:textId="77777777" w:rsidR="00976265" w:rsidRPr="002D7798" w:rsidRDefault="0064263D">
      <w:pPr>
        <w:pBdr>
          <w:top w:val="single" w:sz="4" w:space="1" w:color="auto"/>
          <w:left w:val="single" w:sz="4" w:space="4" w:color="auto"/>
          <w:bottom w:val="single" w:sz="4" w:space="1" w:color="auto"/>
          <w:right w:val="single" w:sz="4" w:space="4" w:color="auto"/>
        </w:pBdr>
        <w:spacing w:before="0" w:after="200" w:line="276" w:lineRule="auto"/>
        <w:ind w:left="850"/>
        <w:jc w:val="left"/>
        <w:rPr>
          <w:noProof/>
        </w:rPr>
      </w:pPr>
      <w:r w:rsidRPr="002D7798">
        <w:rPr>
          <w:noProof/>
        </w:rPr>
        <w:t>Skutečnost, že návrh obsahuje několik nových úkolů, toto riziko zmírňuje, neboť zatímco pracovní zátěž některých budoucích úkolů může být podceněna, u jiných může být nadhodnocena, což poskytuje prostor pro případné budoucí přerozdělení.</w:t>
      </w:r>
    </w:p>
    <w:bookmarkEnd w:id="80"/>
    <w:p w14:paraId="1BCC05F2" w14:textId="77777777" w:rsidR="00976265" w:rsidRPr="002D7798" w:rsidRDefault="00976265">
      <w:pPr>
        <w:pBdr>
          <w:top w:val="single" w:sz="4" w:space="1" w:color="auto"/>
          <w:left w:val="single" w:sz="4" w:space="4" w:color="auto"/>
          <w:bottom w:val="single" w:sz="4" w:space="1" w:color="auto"/>
          <w:right w:val="single" w:sz="4" w:space="4" w:color="auto"/>
        </w:pBdr>
        <w:spacing w:before="0" w:after="200" w:line="276" w:lineRule="auto"/>
        <w:ind w:left="850"/>
        <w:jc w:val="left"/>
        <w:rPr>
          <w:noProof/>
        </w:rPr>
      </w:pPr>
    </w:p>
    <w:p w14:paraId="7D0CC41E" w14:textId="77777777" w:rsidR="00976265" w:rsidRPr="002D7798" w:rsidRDefault="0064263D">
      <w:pPr>
        <w:keepNext/>
        <w:tabs>
          <w:tab w:val="left" w:pos="850"/>
        </w:tabs>
        <w:ind w:left="850" w:hanging="850"/>
        <w:outlineLvl w:val="2"/>
        <w:rPr>
          <w:i/>
          <w:noProof/>
        </w:rPr>
      </w:pPr>
      <w:bookmarkStart w:id="81" w:name="_Toc514938681"/>
      <w:bookmarkStart w:id="82" w:name="_Toc128753777"/>
      <w:r w:rsidRPr="002D7798">
        <w:rPr>
          <w:i/>
          <w:noProof/>
        </w:rPr>
        <w:t>2.2.3.</w:t>
      </w:r>
      <w:r w:rsidRPr="002D7798">
        <w:rPr>
          <w:noProof/>
        </w:rPr>
        <w:tab/>
      </w:r>
      <w:r w:rsidRPr="002D7798">
        <w:rPr>
          <w:i/>
          <w:noProof/>
        </w:rPr>
        <w:t>Odhad a odůvodnění nákladové efektivnosti kontrol (poměr „náklady na kontroly ÷ hodnota souvisejících spravovaných finančních prostředků“) a posouzení očekávané míry rizika výskytu chyb (při platbě a při uzávěrce)</w:t>
      </w:r>
      <w:bookmarkEnd w:id="81"/>
      <w:bookmarkEnd w:id="82"/>
      <w:r w:rsidRPr="002D7798">
        <w:rPr>
          <w:i/>
          <w:noProof/>
        </w:rPr>
        <w:t xml:space="preserve"> </w:t>
      </w:r>
    </w:p>
    <w:p w14:paraId="6DCC9D5E" w14:textId="77777777" w:rsidR="00976265" w:rsidRPr="002D7798" w:rsidRDefault="0064263D">
      <w:pPr>
        <w:pBdr>
          <w:top w:val="single" w:sz="4" w:space="1" w:color="auto"/>
          <w:left w:val="single" w:sz="4" w:space="4" w:color="auto"/>
          <w:bottom w:val="single" w:sz="4" w:space="1" w:color="auto"/>
          <w:right w:val="single" w:sz="4" w:space="4" w:color="auto"/>
        </w:pBdr>
        <w:spacing w:before="0" w:after="200" w:line="276" w:lineRule="auto"/>
        <w:jc w:val="left"/>
        <w:rPr>
          <w:noProof/>
          <w:szCs w:val="20"/>
        </w:rPr>
      </w:pPr>
      <w:bookmarkStart w:id="83" w:name="_Hlk128576700"/>
      <w:r w:rsidRPr="002D7798">
        <w:rPr>
          <w:noProof/>
        </w:rPr>
        <w:t>Neočekává se, že přidělení dodatečných úkolů ke stávajícímu mandátu agentury ACER povede ke vzniku zvláštních dodatečných kontrol v této agentuře, a proto poměr nákladů na kontrolu vůči hodnotě spravovaných finančních prostředků zůstane nezměněn.</w:t>
      </w:r>
    </w:p>
    <w:bookmarkEnd w:id="83"/>
    <w:p w14:paraId="5DBE23B2" w14:textId="77777777" w:rsidR="00976265" w:rsidRPr="002D7798" w:rsidRDefault="0064263D">
      <w:pPr>
        <w:pBdr>
          <w:top w:val="single" w:sz="4" w:space="1" w:color="auto"/>
          <w:left w:val="single" w:sz="4" w:space="4" w:color="auto"/>
          <w:bottom w:val="single" w:sz="4" w:space="1" w:color="auto"/>
          <w:right w:val="single" w:sz="4" w:space="4" w:color="auto"/>
        </w:pBdr>
        <w:spacing w:before="0" w:after="200" w:line="276" w:lineRule="auto"/>
        <w:jc w:val="left"/>
        <w:rPr>
          <w:noProof/>
          <w:szCs w:val="20"/>
        </w:rPr>
      </w:pPr>
      <w:r w:rsidRPr="002D7798">
        <w:rPr>
          <w:noProof/>
        </w:rPr>
        <w:t>Podobně úkoly přidělené Generálnímu ředitelství pro energetiku nepovedou k dodatečným kontrolám ani ke změně poměru nákladů na kontroly.</w:t>
      </w:r>
    </w:p>
    <w:p w14:paraId="626C49F0" w14:textId="77777777" w:rsidR="00976265" w:rsidRPr="002D7798" w:rsidRDefault="00976265">
      <w:pPr>
        <w:pBdr>
          <w:top w:val="single" w:sz="4" w:space="1" w:color="auto"/>
          <w:left w:val="single" w:sz="4" w:space="4" w:color="auto"/>
          <w:bottom w:val="single" w:sz="4" w:space="1" w:color="auto"/>
          <w:right w:val="single" w:sz="4" w:space="4" w:color="auto"/>
        </w:pBdr>
        <w:spacing w:before="0" w:after="200" w:line="276" w:lineRule="auto"/>
        <w:jc w:val="left"/>
        <w:rPr>
          <w:noProof/>
          <w:szCs w:val="20"/>
        </w:rPr>
      </w:pPr>
      <w:bookmarkStart w:id="84" w:name="_Toc514938682"/>
    </w:p>
    <w:p w14:paraId="6F5D7A11" w14:textId="77777777" w:rsidR="00976265" w:rsidRPr="002D7798" w:rsidRDefault="0064263D">
      <w:pPr>
        <w:keepNext/>
        <w:tabs>
          <w:tab w:val="left" w:pos="850"/>
        </w:tabs>
        <w:ind w:left="850" w:hanging="850"/>
        <w:outlineLvl w:val="1"/>
        <w:rPr>
          <w:b/>
          <w:bCs/>
          <w:noProof/>
          <w:szCs w:val="24"/>
        </w:rPr>
      </w:pPr>
      <w:bookmarkStart w:id="85" w:name="_Toc128753778"/>
      <w:r w:rsidRPr="002D7798">
        <w:rPr>
          <w:b/>
          <w:noProof/>
        </w:rPr>
        <w:t>2.3.</w:t>
      </w:r>
      <w:r w:rsidRPr="002D7798">
        <w:rPr>
          <w:noProof/>
        </w:rPr>
        <w:tab/>
      </w:r>
      <w:r w:rsidRPr="002D7798">
        <w:rPr>
          <w:b/>
          <w:noProof/>
        </w:rPr>
        <w:t>Opatření k zamezení podvodů a nesrovnalostí</w:t>
      </w:r>
      <w:bookmarkEnd w:id="84"/>
      <w:bookmarkEnd w:id="85"/>
      <w:r w:rsidRPr="002D7798">
        <w:rPr>
          <w:b/>
          <w:noProof/>
        </w:rPr>
        <w:t xml:space="preserve"> </w:t>
      </w:r>
    </w:p>
    <w:p w14:paraId="7020BE02" w14:textId="77777777" w:rsidR="00976265" w:rsidRPr="002D7798" w:rsidRDefault="0064263D">
      <w:pPr>
        <w:spacing w:before="0" w:after="200" w:line="276" w:lineRule="auto"/>
        <w:ind w:left="850"/>
        <w:jc w:val="left"/>
        <w:rPr>
          <w:i/>
          <w:noProof/>
          <w:sz w:val="20"/>
        </w:rPr>
      </w:pPr>
      <w:r w:rsidRPr="002D7798">
        <w:rPr>
          <w:i/>
          <w:noProof/>
          <w:sz w:val="20"/>
        </w:rPr>
        <w:t>Upřesněte stávající či předpokládaná preventivní a ochranná opatření, např. opatření uvedená ve strategii pro boj proti podvodům.</w:t>
      </w:r>
    </w:p>
    <w:p w14:paraId="332638DB" w14:textId="77777777" w:rsidR="00976265" w:rsidRPr="002D7798" w:rsidRDefault="0064263D">
      <w:pPr>
        <w:pBdr>
          <w:top w:val="single" w:sz="4" w:space="1" w:color="auto"/>
          <w:left w:val="single" w:sz="4" w:space="31" w:color="auto"/>
          <w:bottom w:val="single" w:sz="4" w:space="1" w:color="auto"/>
          <w:right w:val="single" w:sz="4" w:space="4" w:color="auto"/>
        </w:pBdr>
        <w:spacing w:before="0" w:after="200" w:line="276" w:lineRule="auto"/>
        <w:ind w:left="850"/>
        <w:jc w:val="left"/>
        <w:rPr>
          <w:noProof/>
        </w:rPr>
      </w:pPr>
      <w:bookmarkStart w:id="86" w:name="_Hlk128576778"/>
      <w:r w:rsidRPr="002D7798">
        <w:rPr>
          <w:noProof/>
        </w:rPr>
        <w:t>ACER uplatňuje zásady boje proti podvodům decentralizovaných agentur EU v souladu s přístupem Komise.</w:t>
      </w:r>
    </w:p>
    <w:p w14:paraId="5C5FF336" w14:textId="77777777" w:rsidR="00976265" w:rsidRPr="002D7798" w:rsidRDefault="0064263D">
      <w:pPr>
        <w:pBdr>
          <w:top w:val="single" w:sz="4" w:space="1" w:color="auto"/>
          <w:left w:val="single" w:sz="4" w:space="31" w:color="auto"/>
          <w:bottom w:val="single" w:sz="4" w:space="1" w:color="auto"/>
          <w:right w:val="single" w:sz="4" w:space="4" w:color="auto"/>
        </w:pBdr>
        <w:spacing w:before="0" w:after="200" w:line="276" w:lineRule="auto"/>
        <w:ind w:left="850"/>
        <w:jc w:val="left"/>
        <w:rPr>
          <w:noProof/>
        </w:rPr>
      </w:pPr>
      <w:r w:rsidRPr="002D7798">
        <w:rPr>
          <w:noProof/>
        </w:rPr>
        <w:t>V březnu 2019 přijala novou strategii proti podvodům, kterou bylo zrušeno rozhodnutí správní rady agentury ACER 13/2014. Nová strategie, zahrnující tříleté období, vychází z těchto základních prvků: každoroční posouzení rizik, předcházení střetům zájmů a jejich řešení, vnitřní pravidla pro whistleblowing, politika a postup pro řízení citlivých funkcí, jakož i opatření týkající se etiky a integrity.</w:t>
      </w:r>
    </w:p>
    <w:bookmarkEnd w:id="86"/>
    <w:p w14:paraId="68024DA9" w14:textId="77777777" w:rsidR="00976265" w:rsidRPr="002D7798" w:rsidRDefault="0064263D">
      <w:pPr>
        <w:pBdr>
          <w:top w:val="single" w:sz="4" w:space="1" w:color="auto"/>
          <w:left w:val="single" w:sz="4" w:space="31" w:color="auto"/>
          <w:bottom w:val="single" w:sz="4" w:space="1" w:color="auto"/>
          <w:right w:val="single" w:sz="4" w:space="4" w:color="auto"/>
        </w:pBdr>
        <w:spacing w:before="0" w:after="200" w:line="276" w:lineRule="auto"/>
        <w:ind w:left="850"/>
        <w:jc w:val="left"/>
        <w:rPr>
          <w:noProof/>
        </w:rPr>
      </w:pPr>
      <w:r w:rsidRPr="002D7798">
        <w:rPr>
          <w:noProof/>
        </w:rPr>
        <w:t>Generální ředitelství pro energetiku přijalo v roce 2020 revidovanou strategii proti podvodům. Strategie Generálního ředitelství pro energetiku proti podvodům vychází ze strategie Komise proti podvodům a ze zvláštního interně provedeného posouzení rizik pro určení oblastí nejvíce ohrožených podvody, již zavedených kontrol a opatření nezbytných ke zlepšení schopnosti Generálního ředitelství pro energetiku předcházet podvodům, odhalovat je a napravovat je.</w:t>
      </w:r>
    </w:p>
    <w:p w14:paraId="3B6A2D94" w14:textId="77777777" w:rsidR="00976265" w:rsidRPr="002D7798" w:rsidRDefault="0064263D">
      <w:pPr>
        <w:pBdr>
          <w:top w:val="single" w:sz="4" w:space="1" w:color="auto"/>
          <w:left w:val="single" w:sz="4" w:space="31" w:color="auto"/>
          <w:bottom w:val="single" w:sz="4" w:space="1" w:color="auto"/>
          <w:right w:val="single" w:sz="4" w:space="4" w:color="auto"/>
        </w:pBdr>
        <w:spacing w:before="0" w:after="200" w:line="276" w:lineRule="auto"/>
        <w:ind w:left="850"/>
        <w:jc w:val="left"/>
        <w:rPr>
          <w:noProof/>
        </w:rPr>
      </w:pPr>
      <w:bookmarkStart w:id="87" w:name="_Hlk128576791"/>
      <w:r w:rsidRPr="002D7798">
        <w:rPr>
          <w:noProof/>
        </w:rPr>
        <w:t>Jak nařízení o agentuře ACER, tak smluvní ustanovení platná pro zadávání veřejných zakázek zajišťují, že audity a kontroly na místě mohou provádět útvary Komise, včetně úřadu OLAF, za použití standardních ustanovení doporučených úřadem OLAF.</w:t>
      </w:r>
      <w:bookmarkEnd w:id="87"/>
    </w:p>
    <w:p w14:paraId="736350CB" w14:textId="77777777" w:rsidR="00976265" w:rsidRPr="002D7798" w:rsidRDefault="0064263D">
      <w:pPr>
        <w:keepNext/>
        <w:tabs>
          <w:tab w:val="left" w:pos="850"/>
        </w:tabs>
        <w:spacing w:before="360"/>
        <w:ind w:left="850" w:hanging="850"/>
        <w:outlineLvl w:val="0"/>
        <w:rPr>
          <w:b/>
          <w:bCs/>
          <w:smallCaps/>
          <w:noProof/>
          <w:szCs w:val="24"/>
        </w:rPr>
      </w:pPr>
      <w:bookmarkStart w:id="88" w:name="_Toc514938683"/>
      <w:bookmarkStart w:id="89" w:name="_Toc128753779"/>
      <w:r w:rsidRPr="002D7798">
        <w:rPr>
          <w:b/>
          <w:smallCaps/>
          <w:noProof/>
        </w:rPr>
        <w:t>3.</w:t>
      </w:r>
      <w:r w:rsidRPr="002D7798">
        <w:rPr>
          <w:noProof/>
        </w:rPr>
        <w:tab/>
      </w:r>
      <w:r w:rsidRPr="002D7798">
        <w:rPr>
          <w:b/>
          <w:smallCaps/>
          <w:noProof/>
        </w:rPr>
        <w:t>ODHADOVANÝ FINANČNÍ DOPAD NÁVRHU/PODNĚTU</w:t>
      </w:r>
      <w:bookmarkEnd w:id="88"/>
      <w:bookmarkEnd w:id="89"/>
      <w:r w:rsidRPr="002D7798">
        <w:rPr>
          <w:b/>
          <w:smallCaps/>
          <w:noProof/>
        </w:rPr>
        <w:t xml:space="preserve"> </w:t>
      </w:r>
    </w:p>
    <w:p w14:paraId="441F6745" w14:textId="77777777" w:rsidR="00976265" w:rsidRPr="002D7798" w:rsidRDefault="0064263D">
      <w:pPr>
        <w:keepNext/>
        <w:tabs>
          <w:tab w:val="left" w:pos="850"/>
        </w:tabs>
        <w:ind w:left="850" w:hanging="850"/>
        <w:outlineLvl w:val="1"/>
        <w:rPr>
          <w:b/>
          <w:bCs/>
          <w:noProof/>
          <w:szCs w:val="24"/>
        </w:rPr>
      </w:pPr>
      <w:bookmarkStart w:id="90" w:name="_Toc514938684"/>
      <w:bookmarkStart w:id="91" w:name="_Toc128753780"/>
      <w:r w:rsidRPr="002D7798">
        <w:rPr>
          <w:b/>
          <w:noProof/>
        </w:rPr>
        <w:t>3.1.</w:t>
      </w:r>
      <w:r w:rsidRPr="002D7798">
        <w:rPr>
          <w:noProof/>
        </w:rPr>
        <w:tab/>
      </w:r>
      <w:r w:rsidRPr="002D7798">
        <w:rPr>
          <w:b/>
          <w:noProof/>
        </w:rPr>
        <w:t>Okruhy víceletého finančního rámce a dotčené výdajové rozpočtové položky</w:t>
      </w:r>
      <w:bookmarkEnd w:id="90"/>
      <w:bookmarkEnd w:id="91"/>
      <w:r w:rsidRPr="002D7798">
        <w:rPr>
          <w:b/>
          <w:noProof/>
        </w:rPr>
        <w:t xml:space="preserve"> </w:t>
      </w:r>
    </w:p>
    <w:p w14:paraId="03C98EB9" w14:textId="77777777" w:rsidR="00976265" w:rsidRPr="002D7798" w:rsidRDefault="0064263D">
      <w:pPr>
        <w:tabs>
          <w:tab w:val="num" w:pos="1134"/>
        </w:tabs>
        <w:ind w:left="1134" w:hanging="283"/>
        <w:rPr>
          <w:noProof/>
        </w:rPr>
      </w:pPr>
      <w:r w:rsidRPr="002D7798">
        <w:rPr>
          <w:noProof/>
        </w:rPr>
        <w:t xml:space="preserve">Stávající rozpočtové položky </w:t>
      </w:r>
    </w:p>
    <w:p w14:paraId="6674FBB6" w14:textId="77777777" w:rsidR="00976265" w:rsidRPr="002D7798" w:rsidRDefault="0064263D">
      <w:pPr>
        <w:spacing w:before="0" w:after="200" w:line="276" w:lineRule="auto"/>
        <w:ind w:left="850"/>
        <w:jc w:val="left"/>
        <w:rPr>
          <w:noProof/>
        </w:rPr>
      </w:pPr>
      <w:r w:rsidRPr="002D7798">
        <w:rPr>
          <w:noProof/>
          <w:u w:val="single"/>
        </w:rPr>
        <w:t>V pořadí</w:t>
      </w:r>
      <w:r w:rsidRPr="002D7798">
        <w:rPr>
          <w:noProof/>
        </w:rPr>
        <w:t xml:space="preserve"> okruhů víceletého finančního rámce a rozpočtových položek.</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564"/>
      </w:tblGrid>
      <w:tr w:rsidR="00851B85" w:rsidRPr="002D7798" w14:paraId="1A73A6DF" w14:textId="77777777" w:rsidTr="208CACCC">
        <w:tc>
          <w:tcPr>
            <w:tcW w:w="1080" w:type="dxa"/>
            <w:vMerge w:val="restart"/>
            <w:vAlign w:val="center"/>
          </w:tcPr>
          <w:p w14:paraId="30E97146" w14:textId="77777777" w:rsidR="00976265" w:rsidRPr="002D7798" w:rsidRDefault="0064263D">
            <w:pPr>
              <w:spacing w:before="60" w:after="60" w:line="276" w:lineRule="auto"/>
              <w:jc w:val="center"/>
              <w:rPr>
                <w:noProof/>
                <w:sz w:val="18"/>
                <w:szCs w:val="20"/>
              </w:rPr>
            </w:pPr>
            <w:r w:rsidRPr="002D7798">
              <w:rPr>
                <w:noProof/>
                <w:sz w:val="18"/>
              </w:rPr>
              <w:t>Okruh víceletého finančního rámce</w:t>
            </w:r>
          </w:p>
        </w:tc>
        <w:tc>
          <w:tcPr>
            <w:tcW w:w="3960" w:type="dxa"/>
            <w:vAlign w:val="center"/>
          </w:tcPr>
          <w:p w14:paraId="06AB6373" w14:textId="77777777" w:rsidR="00976265" w:rsidRPr="002D7798" w:rsidRDefault="0064263D">
            <w:pPr>
              <w:spacing w:before="60" w:after="60" w:line="276" w:lineRule="auto"/>
              <w:jc w:val="center"/>
              <w:rPr>
                <w:noProof/>
                <w:szCs w:val="20"/>
              </w:rPr>
            </w:pPr>
            <w:r w:rsidRPr="002D7798">
              <w:rPr>
                <w:noProof/>
                <w:sz w:val="20"/>
              </w:rPr>
              <w:t>Rozpočtová položka</w:t>
            </w:r>
          </w:p>
        </w:tc>
        <w:tc>
          <w:tcPr>
            <w:tcW w:w="1080" w:type="dxa"/>
            <w:vAlign w:val="center"/>
          </w:tcPr>
          <w:p w14:paraId="7812DE28" w14:textId="77777777" w:rsidR="00976265" w:rsidRPr="002D7798" w:rsidRDefault="0064263D">
            <w:pPr>
              <w:spacing w:before="60" w:after="60" w:line="276" w:lineRule="auto"/>
              <w:jc w:val="center"/>
              <w:rPr>
                <w:noProof/>
                <w:szCs w:val="20"/>
              </w:rPr>
            </w:pPr>
            <w:r w:rsidRPr="002D7798">
              <w:rPr>
                <w:noProof/>
                <w:sz w:val="18"/>
              </w:rPr>
              <w:t xml:space="preserve">Druh </w:t>
            </w:r>
            <w:r w:rsidRPr="002D7798">
              <w:rPr>
                <w:noProof/>
              </w:rPr>
              <w:t xml:space="preserve"> </w:t>
            </w:r>
            <w:r w:rsidRPr="002D7798">
              <w:rPr>
                <w:noProof/>
              </w:rPr>
              <w:br/>
            </w:r>
            <w:r w:rsidRPr="002D7798">
              <w:rPr>
                <w:noProof/>
                <w:sz w:val="18"/>
              </w:rPr>
              <w:t>výdaje</w:t>
            </w:r>
          </w:p>
        </w:tc>
        <w:tc>
          <w:tcPr>
            <w:tcW w:w="4556" w:type="dxa"/>
            <w:gridSpan w:val="4"/>
            <w:vAlign w:val="center"/>
          </w:tcPr>
          <w:p w14:paraId="06E1AB42" w14:textId="77777777" w:rsidR="00976265" w:rsidRPr="002D7798" w:rsidRDefault="0064263D">
            <w:pPr>
              <w:spacing w:before="60" w:after="60" w:line="276" w:lineRule="auto"/>
              <w:jc w:val="center"/>
              <w:rPr>
                <w:noProof/>
                <w:szCs w:val="20"/>
              </w:rPr>
            </w:pPr>
            <w:r w:rsidRPr="002D7798">
              <w:rPr>
                <w:noProof/>
                <w:sz w:val="20"/>
              </w:rPr>
              <w:t xml:space="preserve">Příspěvek </w:t>
            </w:r>
          </w:p>
        </w:tc>
      </w:tr>
      <w:tr w:rsidR="00851B85" w:rsidRPr="002D7798" w14:paraId="619E8D5F" w14:textId="77777777" w:rsidTr="208CACCC">
        <w:tc>
          <w:tcPr>
            <w:tcW w:w="1080" w:type="dxa"/>
            <w:vMerge/>
            <w:vAlign w:val="center"/>
          </w:tcPr>
          <w:p w14:paraId="61D56CB6" w14:textId="77777777" w:rsidR="00976265" w:rsidRPr="002D7798" w:rsidRDefault="00976265">
            <w:pPr>
              <w:spacing w:before="0" w:after="200" w:line="276" w:lineRule="auto"/>
              <w:jc w:val="left"/>
              <w:rPr>
                <w:noProof/>
                <w:sz w:val="18"/>
                <w:szCs w:val="20"/>
              </w:rPr>
            </w:pPr>
          </w:p>
        </w:tc>
        <w:tc>
          <w:tcPr>
            <w:tcW w:w="3960" w:type="dxa"/>
            <w:vAlign w:val="center"/>
          </w:tcPr>
          <w:p w14:paraId="53B868B1" w14:textId="77777777" w:rsidR="00976265" w:rsidRPr="002D7798" w:rsidRDefault="0064263D">
            <w:pPr>
              <w:spacing w:before="0" w:after="200" w:line="276" w:lineRule="auto"/>
              <w:jc w:val="left"/>
              <w:rPr>
                <w:noProof/>
                <w:szCs w:val="20"/>
              </w:rPr>
            </w:pPr>
            <w:r w:rsidRPr="002D7798">
              <w:rPr>
                <w:noProof/>
                <w:sz w:val="20"/>
              </w:rPr>
              <w:t xml:space="preserve">Číslo </w:t>
            </w:r>
            <w:r w:rsidRPr="002D7798">
              <w:rPr>
                <w:noProof/>
              </w:rPr>
              <w:t xml:space="preserve"> </w:t>
            </w:r>
            <w:r w:rsidRPr="002D7798">
              <w:rPr>
                <w:noProof/>
              </w:rPr>
              <w:br/>
            </w:r>
          </w:p>
        </w:tc>
        <w:tc>
          <w:tcPr>
            <w:tcW w:w="1080" w:type="dxa"/>
            <w:vAlign w:val="center"/>
          </w:tcPr>
          <w:p w14:paraId="649541B0" w14:textId="77777777" w:rsidR="00976265" w:rsidRPr="002D7798" w:rsidRDefault="0064263D">
            <w:pPr>
              <w:spacing w:before="0" w:after="200" w:line="276" w:lineRule="auto"/>
              <w:jc w:val="center"/>
              <w:rPr>
                <w:noProof/>
                <w:szCs w:val="20"/>
              </w:rPr>
            </w:pPr>
            <w:r w:rsidRPr="002D7798">
              <w:rPr>
                <w:noProof/>
                <w:sz w:val="18"/>
              </w:rPr>
              <w:t>RP/NRP</w:t>
            </w:r>
            <w:r w:rsidRPr="002D7798">
              <w:rPr>
                <w:rStyle w:val="FootnoteReference"/>
                <w:noProof/>
              </w:rPr>
              <w:footnoteReference w:id="32"/>
            </w:r>
          </w:p>
        </w:tc>
        <w:tc>
          <w:tcPr>
            <w:tcW w:w="956" w:type="dxa"/>
            <w:vAlign w:val="center"/>
          </w:tcPr>
          <w:p w14:paraId="4D05F2A6" w14:textId="77777777" w:rsidR="00976265" w:rsidRPr="002D7798" w:rsidRDefault="0064263D">
            <w:pPr>
              <w:spacing w:before="0" w:after="200" w:line="276" w:lineRule="auto"/>
              <w:jc w:val="center"/>
              <w:rPr>
                <w:noProof/>
                <w:szCs w:val="20"/>
              </w:rPr>
            </w:pPr>
            <w:r w:rsidRPr="002D7798">
              <w:rPr>
                <w:noProof/>
                <w:sz w:val="18"/>
              </w:rPr>
              <w:t>zemí ESVO</w:t>
            </w:r>
            <w:r w:rsidRPr="002D7798">
              <w:rPr>
                <w:rStyle w:val="FootnoteReference"/>
                <w:noProof/>
              </w:rPr>
              <w:footnoteReference w:id="33"/>
            </w:r>
          </w:p>
        </w:tc>
        <w:tc>
          <w:tcPr>
            <w:tcW w:w="1080" w:type="dxa"/>
            <w:vAlign w:val="center"/>
          </w:tcPr>
          <w:p w14:paraId="783AB1DA" w14:textId="77777777" w:rsidR="00976265" w:rsidRPr="002D7798" w:rsidRDefault="0064263D">
            <w:pPr>
              <w:spacing w:before="0" w:after="200" w:line="276" w:lineRule="auto"/>
              <w:jc w:val="center"/>
              <w:rPr>
                <w:noProof/>
                <w:sz w:val="18"/>
                <w:szCs w:val="20"/>
              </w:rPr>
            </w:pPr>
            <w:r w:rsidRPr="002D7798">
              <w:rPr>
                <w:noProof/>
                <w:sz w:val="18"/>
              </w:rPr>
              <w:t>kandidátských zemí a potenciálních kandidátů</w:t>
            </w:r>
            <w:r w:rsidRPr="002D7798">
              <w:rPr>
                <w:rStyle w:val="FootnoteReference"/>
                <w:noProof/>
              </w:rPr>
              <w:footnoteReference w:id="34"/>
            </w:r>
          </w:p>
        </w:tc>
        <w:tc>
          <w:tcPr>
            <w:tcW w:w="956" w:type="dxa"/>
            <w:vAlign w:val="center"/>
          </w:tcPr>
          <w:p w14:paraId="7EC5F971" w14:textId="77777777" w:rsidR="00976265" w:rsidRPr="002D7798" w:rsidRDefault="0064263D">
            <w:pPr>
              <w:spacing w:before="0" w:after="200" w:line="276" w:lineRule="auto"/>
              <w:jc w:val="center"/>
              <w:rPr>
                <w:noProof/>
                <w:sz w:val="18"/>
                <w:szCs w:val="20"/>
              </w:rPr>
            </w:pPr>
            <w:r w:rsidRPr="002D7798">
              <w:rPr>
                <w:noProof/>
                <w:sz w:val="18"/>
              </w:rPr>
              <w:t>jiných třetích zemí</w:t>
            </w:r>
          </w:p>
        </w:tc>
        <w:tc>
          <w:tcPr>
            <w:tcW w:w="1564" w:type="dxa"/>
            <w:vAlign w:val="center"/>
          </w:tcPr>
          <w:p w14:paraId="0BFF70FF" w14:textId="77777777" w:rsidR="00976265" w:rsidRPr="002D7798" w:rsidRDefault="0064263D">
            <w:pPr>
              <w:spacing w:before="0" w:after="200" w:line="276" w:lineRule="auto"/>
              <w:jc w:val="center"/>
              <w:rPr>
                <w:noProof/>
                <w:sz w:val="16"/>
                <w:szCs w:val="16"/>
              </w:rPr>
            </w:pPr>
            <w:r w:rsidRPr="002D7798">
              <w:rPr>
                <w:noProof/>
                <w:sz w:val="16"/>
              </w:rPr>
              <w:t xml:space="preserve">jiné účelově vázané příjmy </w:t>
            </w:r>
          </w:p>
        </w:tc>
      </w:tr>
      <w:tr w:rsidR="00851B85" w:rsidRPr="002D7798" w14:paraId="0E368F0A" w14:textId="77777777" w:rsidTr="208CACCC">
        <w:tc>
          <w:tcPr>
            <w:tcW w:w="1080" w:type="dxa"/>
            <w:vAlign w:val="center"/>
          </w:tcPr>
          <w:p w14:paraId="1AA27232" w14:textId="77777777" w:rsidR="00976265" w:rsidRPr="002D7798" w:rsidRDefault="0064263D">
            <w:pPr>
              <w:spacing w:before="0" w:after="200" w:line="276" w:lineRule="auto"/>
              <w:jc w:val="center"/>
              <w:rPr>
                <w:noProof/>
              </w:rPr>
            </w:pPr>
            <w:r w:rsidRPr="002D7798">
              <w:rPr>
                <w:noProof/>
                <w:shd w:val="clear" w:color="auto" w:fill="E6E6E6"/>
              </w:rPr>
              <w:t>02</w:t>
            </w:r>
          </w:p>
        </w:tc>
        <w:tc>
          <w:tcPr>
            <w:tcW w:w="3960" w:type="dxa"/>
            <w:vAlign w:val="center"/>
          </w:tcPr>
          <w:p w14:paraId="6503A53B" w14:textId="77777777" w:rsidR="00976265" w:rsidRPr="002D7798" w:rsidRDefault="0064263D">
            <w:pPr>
              <w:spacing w:before="60" w:after="60" w:line="276" w:lineRule="auto"/>
              <w:jc w:val="left"/>
              <w:rPr>
                <w:noProof/>
              </w:rPr>
            </w:pPr>
            <w:r w:rsidRPr="002D7798">
              <w:rPr>
                <w:noProof/>
                <w:shd w:val="clear" w:color="auto" w:fill="E6E6E6"/>
              </w:rPr>
              <w:t>02 10 06 a rozpočtová položka ITER</w:t>
            </w:r>
          </w:p>
        </w:tc>
        <w:tc>
          <w:tcPr>
            <w:tcW w:w="1080" w:type="dxa"/>
            <w:vAlign w:val="center"/>
          </w:tcPr>
          <w:p w14:paraId="57E6A3B2" w14:textId="77777777" w:rsidR="00976265" w:rsidRPr="002D7798" w:rsidRDefault="0064263D">
            <w:pPr>
              <w:spacing w:before="0" w:after="200" w:line="276" w:lineRule="auto"/>
              <w:jc w:val="center"/>
              <w:rPr>
                <w:noProof/>
                <w:szCs w:val="20"/>
              </w:rPr>
            </w:pPr>
            <w:r w:rsidRPr="002D7798">
              <w:rPr>
                <w:noProof/>
                <w:sz w:val="18"/>
              </w:rPr>
              <w:t>RP/</w:t>
            </w:r>
            <w:r w:rsidRPr="002D7798">
              <w:rPr>
                <w:strike/>
                <w:noProof/>
                <w:sz w:val="18"/>
              </w:rPr>
              <w:t>NRP</w:t>
            </w:r>
          </w:p>
        </w:tc>
        <w:tc>
          <w:tcPr>
            <w:tcW w:w="956" w:type="dxa"/>
            <w:vAlign w:val="center"/>
          </w:tcPr>
          <w:p w14:paraId="4622C6A5" w14:textId="77777777" w:rsidR="00976265" w:rsidRPr="002D7798" w:rsidRDefault="0064263D">
            <w:pPr>
              <w:spacing w:before="0" w:after="200" w:line="276" w:lineRule="auto"/>
              <w:jc w:val="center"/>
              <w:rPr>
                <w:noProof/>
                <w:sz w:val="20"/>
                <w:szCs w:val="20"/>
              </w:rPr>
            </w:pPr>
            <w:r w:rsidRPr="002D7798">
              <w:rPr>
                <w:noProof/>
                <w:sz w:val="20"/>
              </w:rPr>
              <w:t>ANO/</w:t>
            </w:r>
            <w:r w:rsidRPr="002D7798">
              <w:rPr>
                <w:strike/>
                <w:noProof/>
                <w:sz w:val="20"/>
              </w:rPr>
              <w:t>NE</w:t>
            </w:r>
          </w:p>
        </w:tc>
        <w:tc>
          <w:tcPr>
            <w:tcW w:w="1080" w:type="dxa"/>
            <w:vAlign w:val="center"/>
          </w:tcPr>
          <w:p w14:paraId="3F2B7FC2" w14:textId="77777777" w:rsidR="00976265" w:rsidRPr="002D7798" w:rsidRDefault="0064263D">
            <w:pPr>
              <w:spacing w:before="0" w:after="200" w:line="276" w:lineRule="auto"/>
              <w:jc w:val="center"/>
              <w:rPr>
                <w:noProof/>
                <w:sz w:val="20"/>
                <w:szCs w:val="20"/>
              </w:rPr>
            </w:pPr>
            <w:r w:rsidRPr="002D7798">
              <w:rPr>
                <w:strike/>
                <w:noProof/>
                <w:sz w:val="20"/>
              </w:rPr>
              <w:t>ANO</w:t>
            </w:r>
            <w:r w:rsidRPr="002D7798">
              <w:rPr>
                <w:noProof/>
                <w:sz w:val="20"/>
              </w:rPr>
              <w:t>/NE</w:t>
            </w:r>
          </w:p>
        </w:tc>
        <w:tc>
          <w:tcPr>
            <w:tcW w:w="956" w:type="dxa"/>
            <w:vAlign w:val="center"/>
          </w:tcPr>
          <w:p w14:paraId="02D10AD3" w14:textId="77777777" w:rsidR="00976265" w:rsidRPr="002D7798" w:rsidRDefault="0064263D">
            <w:pPr>
              <w:spacing w:before="0" w:after="200" w:line="276" w:lineRule="auto"/>
              <w:jc w:val="center"/>
              <w:rPr>
                <w:noProof/>
                <w:sz w:val="20"/>
                <w:szCs w:val="20"/>
              </w:rPr>
            </w:pPr>
            <w:r w:rsidRPr="002D7798">
              <w:rPr>
                <w:strike/>
                <w:noProof/>
                <w:sz w:val="20"/>
              </w:rPr>
              <w:t>ANO</w:t>
            </w:r>
            <w:r w:rsidRPr="002D7798">
              <w:rPr>
                <w:noProof/>
                <w:sz w:val="20"/>
              </w:rPr>
              <w:t>/NE</w:t>
            </w:r>
          </w:p>
        </w:tc>
        <w:tc>
          <w:tcPr>
            <w:tcW w:w="1564" w:type="dxa"/>
            <w:vAlign w:val="center"/>
          </w:tcPr>
          <w:p w14:paraId="2898EFDC" w14:textId="77777777" w:rsidR="00976265" w:rsidRPr="002D7798" w:rsidRDefault="0064263D">
            <w:pPr>
              <w:spacing w:before="0" w:after="200" w:line="276" w:lineRule="auto"/>
              <w:jc w:val="center"/>
              <w:rPr>
                <w:noProof/>
                <w:sz w:val="20"/>
                <w:szCs w:val="20"/>
              </w:rPr>
            </w:pPr>
            <w:r w:rsidRPr="002D7798">
              <w:rPr>
                <w:strike/>
                <w:noProof/>
                <w:sz w:val="20"/>
              </w:rPr>
              <w:t>ANO</w:t>
            </w:r>
            <w:r w:rsidRPr="002D7798">
              <w:rPr>
                <w:noProof/>
                <w:sz w:val="20"/>
              </w:rPr>
              <w:t>/NE</w:t>
            </w:r>
          </w:p>
        </w:tc>
      </w:tr>
    </w:tbl>
    <w:p w14:paraId="5E1A1B05" w14:textId="77777777" w:rsidR="00976265" w:rsidRPr="002D7798" w:rsidRDefault="0064263D">
      <w:pPr>
        <w:tabs>
          <w:tab w:val="num" w:pos="1134"/>
        </w:tabs>
        <w:ind w:left="1134" w:hanging="283"/>
        <w:rPr>
          <w:noProof/>
        </w:rPr>
      </w:pPr>
      <w:r w:rsidRPr="002D7798">
        <w:rPr>
          <w:noProof/>
        </w:rPr>
        <w:t xml:space="preserve">Nové rozpočtové položky, jejichž vytvoření se požaduje </w:t>
      </w:r>
    </w:p>
    <w:p w14:paraId="2A8B64FC" w14:textId="77777777" w:rsidR="00976265" w:rsidRPr="002D7798" w:rsidRDefault="0064263D">
      <w:pPr>
        <w:spacing w:before="0" w:after="200" w:line="276" w:lineRule="auto"/>
        <w:ind w:left="850"/>
        <w:jc w:val="left"/>
        <w:rPr>
          <w:noProof/>
        </w:rPr>
      </w:pPr>
      <w:r w:rsidRPr="002D7798">
        <w:rPr>
          <w:noProof/>
          <w:u w:val="single"/>
        </w:rPr>
        <w:t>V pořadí</w:t>
      </w:r>
      <w:r w:rsidRPr="002D7798">
        <w:rPr>
          <w:noProof/>
        </w:rPr>
        <w:t xml:space="preserve"> okruhů víceletého finančního rámce a rozpočtových položek.</w:t>
      </w:r>
    </w:p>
    <w:p w14:paraId="40ADED0A" w14:textId="77777777" w:rsidR="00976265" w:rsidRPr="002D7798" w:rsidRDefault="00976265">
      <w:pPr>
        <w:spacing w:before="0" w:after="200" w:line="276" w:lineRule="auto"/>
        <w:ind w:left="850"/>
        <w:jc w:val="left"/>
        <w:rPr>
          <w:i/>
          <w:noProof/>
          <w:sz w:val="20"/>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564"/>
      </w:tblGrid>
      <w:tr w:rsidR="00851B85" w:rsidRPr="002D7798" w14:paraId="370E62FA" w14:textId="77777777">
        <w:tc>
          <w:tcPr>
            <w:tcW w:w="1080" w:type="dxa"/>
            <w:vMerge w:val="restart"/>
            <w:vAlign w:val="center"/>
          </w:tcPr>
          <w:p w14:paraId="6B6B7C23" w14:textId="77777777" w:rsidR="00976265" w:rsidRPr="002D7798" w:rsidRDefault="0064263D">
            <w:pPr>
              <w:spacing w:before="60" w:after="60" w:line="276" w:lineRule="auto"/>
              <w:jc w:val="center"/>
              <w:rPr>
                <w:noProof/>
                <w:szCs w:val="20"/>
              </w:rPr>
            </w:pPr>
            <w:r w:rsidRPr="002D7798">
              <w:rPr>
                <w:noProof/>
                <w:sz w:val="18"/>
              </w:rPr>
              <w:t>Okruh víceletého finančního rámce</w:t>
            </w:r>
          </w:p>
        </w:tc>
        <w:tc>
          <w:tcPr>
            <w:tcW w:w="3960" w:type="dxa"/>
            <w:vAlign w:val="center"/>
          </w:tcPr>
          <w:p w14:paraId="15862CF3" w14:textId="77777777" w:rsidR="00976265" w:rsidRPr="002D7798" w:rsidRDefault="0064263D">
            <w:pPr>
              <w:spacing w:before="60" w:after="60" w:line="276" w:lineRule="auto"/>
              <w:jc w:val="center"/>
              <w:rPr>
                <w:noProof/>
                <w:szCs w:val="20"/>
              </w:rPr>
            </w:pPr>
            <w:r w:rsidRPr="002D7798">
              <w:rPr>
                <w:noProof/>
                <w:sz w:val="20"/>
              </w:rPr>
              <w:t>Rozpočtová položka</w:t>
            </w:r>
          </w:p>
        </w:tc>
        <w:tc>
          <w:tcPr>
            <w:tcW w:w="1080" w:type="dxa"/>
            <w:vAlign w:val="center"/>
          </w:tcPr>
          <w:p w14:paraId="57771ED9" w14:textId="77777777" w:rsidR="00976265" w:rsidRPr="002D7798" w:rsidRDefault="0064263D">
            <w:pPr>
              <w:spacing w:before="60" w:after="60" w:line="276" w:lineRule="auto"/>
              <w:jc w:val="center"/>
              <w:rPr>
                <w:noProof/>
                <w:szCs w:val="20"/>
              </w:rPr>
            </w:pPr>
            <w:r w:rsidRPr="002D7798">
              <w:rPr>
                <w:noProof/>
                <w:sz w:val="18"/>
              </w:rPr>
              <w:t>Druh</w:t>
            </w:r>
            <w:r w:rsidRPr="002D7798">
              <w:rPr>
                <w:noProof/>
              </w:rPr>
              <w:t xml:space="preserve"> </w:t>
            </w:r>
            <w:r w:rsidRPr="002D7798">
              <w:rPr>
                <w:noProof/>
              </w:rPr>
              <w:br/>
            </w:r>
            <w:r w:rsidRPr="002D7798">
              <w:rPr>
                <w:noProof/>
                <w:sz w:val="18"/>
              </w:rPr>
              <w:t>výdaje</w:t>
            </w:r>
          </w:p>
        </w:tc>
        <w:tc>
          <w:tcPr>
            <w:tcW w:w="4556" w:type="dxa"/>
            <w:gridSpan w:val="4"/>
            <w:vAlign w:val="center"/>
          </w:tcPr>
          <w:p w14:paraId="0FE749FF" w14:textId="77777777" w:rsidR="00976265" w:rsidRPr="002D7798" w:rsidRDefault="0064263D">
            <w:pPr>
              <w:spacing w:before="60" w:after="60" w:line="276" w:lineRule="auto"/>
              <w:jc w:val="center"/>
              <w:rPr>
                <w:noProof/>
                <w:szCs w:val="20"/>
              </w:rPr>
            </w:pPr>
            <w:r w:rsidRPr="002D7798">
              <w:rPr>
                <w:noProof/>
                <w:sz w:val="20"/>
              </w:rPr>
              <w:t xml:space="preserve">Příspěvek </w:t>
            </w:r>
          </w:p>
        </w:tc>
      </w:tr>
      <w:tr w:rsidR="00851B85" w:rsidRPr="002D7798" w14:paraId="752ABDE0" w14:textId="77777777">
        <w:tc>
          <w:tcPr>
            <w:tcW w:w="1080" w:type="dxa"/>
            <w:vMerge/>
            <w:vAlign w:val="center"/>
          </w:tcPr>
          <w:p w14:paraId="3DF7D229" w14:textId="77777777" w:rsidR="00976265" w:rsidRPr="002D7798" w:rsidRDefault="00976265">
            <w:pPr>
              <w:spacing w:before="0" w:after="200" w:line="276" w:lineRule="auto"/>
              <w:jc w:val="left"/>
              <w:rPr>
                <w:noProof/>
                <w:szCs w:val="20"/>
              </w:rPr>
            </w:pPr>
          </w:p>
        </w:tc>
        <w:tc>
          <w:tcPr>
            <w:tcW w:w="3960" w:type="dxa"/>
            <w:vAlign w:val="center"/>
          </w:tcPr>
          <w:p w14:paraId="6746315B" w14:textId="77777777" w:rsidR="00976265" w:rsidRPr="002D7798" w:rsidRDefault="0064263D">
            <w:pPr>
              <w:spacing w:before="0" w:after="200" w:line="276" w:lineRule="auto"/>
              <w:jc w:val="left"/>
              <w:rPr>
                <w:noProof/>
                <w:szCs w:val="20"/>
              </w:rPr>
            </w:pPr>
            <w:r w:rsidRPr="002D7798">
              <w:rPr>
                <w:noProof/>
                <w:sz w:val="20"/>
              </w:rPr>
              <w:t xml:space="preserve">Číslo </w:t>
            </w:r>
            <w:r w:rsidRPr="002D7798">
              <w:rPr>
                <w:noProof/>
              </w:rPr>
              <w:t xml:space="preserve"> </w:t>
            </w:r>
            <w:r w:rsidRPr="002D7798">
              <w:rPr>
                <w:noProof/>
              </w:rPr>
              <w:br/>
            </w:r>
          </w:p>
        </w:tc>
        <w:tc>
          <w:tcPr>
            <w:tcW w:w="1080" w:type="dxa"/>
            <w:vAlign w:val="center"/>
          </w:tcPr>
          <w:p w14:paraId="0AE04E52" w14:textId="77777777" w:rsidR="00976265" w:rsidRPr="002D7798" w:rsidRDefault="0064263D">
            <w:pPr>
              <w:spacing w:before="0" w:after="200" w:line="276" w:lineRule="auto"/>
              <w:jc w:val="center"/>
              <w:rPr>
                <w:noProof/>
                <w:szCs w:val="20"/>
              </w:rPr>
            </w:pPr>
            <w:r w:rsidRPr="002D7798">
              <w:rPr>
                <w:noProof/>
                <w:sz w:val="18"/>
              </w:rPr>
              <w:t>RP/NRP</w:t>
            </w:r>
          </w:p>
        </w:tc>
        <w:tc>
          <w:tcPr>
            <w:tcW w:w="956" w:type="dxa"/>
            <w:vAlign w:val="center"/>
          </w:tcPr>
          <w:p w14:paraId="5A296698" w14:textId="77777777" w:rsidR="00976265" w:rsidRPr="002D7798" w:rsidRDefault="0064263D">
            <w:pPr>
              <w:spacing w:before="0" w:after="200" w:line="276" w:lineRule="auto"/>
              <w:jc w:val="center"/>
              <w:rPr>
                <w:noProof/>
                <w:sz w:val="18"/>
                <w:szCs w:val="20"/>
              </w:rPr>
            </w:pPr>
            <w:r w:rsidRPr="002D7798">
              <w:rPr>
                <w:noProof/>
                <w:sz w:val="18"/>
              </w:rPr>
              <w:t>zemí ESVO</w:t>
            </w:r>
          </w:p>
        </w:tc>
        <w:tc>
          <w:tcPr>
            <w:tcW w:w="1080" w:type="dxa"/>
            <w:vAlign w:val="center"/>
          </w:tcPr>
          <w:p w14:paraId="0151C803" w14:textId="77777777" w:rsidR="00976265" w:rsidRPr="002D7798" w:rsidRDefault="0064263D">
            <w:pPr>
              <w:spacing w:before="0" w:after="200" w:line="276" w:lineRule="auto"/>
              <w:jc w:val="center"/>
              <w:rPr>
                <w:noProof/>
                <w:sz w:val="18"/>
                <w:szCs w:val="20"/>
              </w:rPr>
            </w:pPr>
            <w:r w:rsidRPr="002D7798">
              <w:rPr>
                <w:noProof/>
                <w:sz w:val="18"/>
              </w:rPr>
              <w:t>kandidátských zemí a potenciálních kandidátů</w:t>
            </w:r>
          </w:p>
        </w:tc>
        <w:tc>
          <w:tcPr>
            <w:tcW w:w="956" w:type="dxa"/>
            <w:vAlign w:val="center"/>
          </w:tcPr>
          <w:p w14:paraId="3972D90E" w14:textId="77777777" w:rsidR="00976265" w:rsidRPr="002D7798" w:rsidRDefault="0064263D">
            <w:pPr>
              <w:spacing w:before="0" w:after="200" w:line="276" w:lineRule="auto"/>
              <w:jc w:val="center"/>
              <w:rPr>
                <w:noProof/>
                <w:sz w:val="18"/>
                <w:szCs w:val="20"/>
              </w:rPr>
            </w:pPr>
            <w:r w:rsidRPr="002D7798">
              <w:rPr>
                <w:noProof/>
                <w:sz w:val="18"/>
              </w:rPr>
              <w:t>jiných třetích zemí</w:t>
            </w:r>
          </w:p>
        </w:tc>
        <w:tc>
          <w:tcPr>
            <w:tcW w:w="1564" w:type="dxa"/>
            <w:vAlign w:val="center"/>
          </w:tcPr>
          <w:p w14:paraId="05FDD03F" w14:textId="77777777" w:rsidR="00976265" w:rsidRPr="002D7798" w:rsidRDefault="0064263D">
            <w:pPr>
              <w:spacing w:before="0" w:after="200" w:line="276" w:lineRule="auto"/>
              <w:jc w:val="center"/>
              <w:rPr>
                <w:noProof/>
                <w:szCs w:val="20"/>
              </w:rPr>
            </w:pPr>
            <w:r w:rsidRPr="002D7798">
              <w:rPr>
                <w:noProof/>
                <w:sz w:val="16"/>
              </w:rPr>
              <w:t xml:space="preserve">jiné účelově vázané příjmy </w:t>
            </w:r>
          </w:p>
        </w:tc>
      </w:tr>
      <w:tr w:rsidR="00851B85" w:rsidRPr="002D7798" w14:paraId="0EE8BB64" w14:textId="77777777">
        <w:tc>
          <w:tcPr>
            <w:tcW w:w="1080" w:type="dxa"/>
            <w:vAlign w:val="center"/>
          </w:tcPr>
          <w:p w14:paraId="03C33509" w14:textId="77777777" w:rsidR="00976265" w:rsidRPr="002D7798" w:rsidRDefault="00976265">
            <w:pPr>
              <w:spacing w:before="0" w:after="200" w:line="276" w:lineRule="auto"/>
              <w:jc w:val="center"/>
              <w:rPr>
                <w:noProof/>
                <w:szCs w:val="20"/>
              </w:rPr>
            </w:pPr>
          </w:p>
        </w:tc>
        <w:tc>
          <w:tcPr>
            <w:tcW w:w="3960" w:type="dxa"/>
            <w:vAlign w:val="center"/>
          </w:tcPr>
          <w:p w14:paraId="72D65B14" w14:textId="77777777" w:rsidR="00976265" w:rsidRPr="002D7798" w:rsidRDefault="0064263D">
            <w:pPr>
              <w:spacing w:before="60" w:after="200" w:line="276" w:lineRule="auto"/>
              <w:jc w:val="left"/>
              <w:rPr>
                <w:noProof/>
                <w:szCs w:val="20"/>
              </w:rPr>
            </w:pPr>
            <w:r w:rsidRPr="002D7798">
              <w:rPr>
                <w:noProof/>
              </w:rPr>
              <w:t>[XX.YY.YY.YY]</w:t>
            </w:r>
          </w:p>
          <w:p w14:paraId="2471130A" w14:textId="77777777" w:rsidR="00976265" w:rsidRPr="002D7798" w:rsidRDefault="00976265">
            <w:pPr>
              <w:spacing w:before="0" w:after="60" w:line="276" w:lineRule="auto"/>
              <w:jc w:val="left"/>
              <w:rPr>
                <w:noProof/>
                <w:szCs w:val="20"/>
              </w:rPr>
            </w:pPr>
          </w:p>
        </w:tc>
        <w:tc>
          <w:tcPr>
            <w:tcW w:w="1080" w:type="dxa"/>
            <w:vAlign w:val="center"/>
          </w:tcPr>
          <w:p w14:paraId="20F43B61" w14:textId="77777777" w:rsidR="00976265" w:rsidRPr="002D7798" w:rsidRDefault="00976265">
            <w:pPr>
              <w:spacing w:before="0" w:after="200" w:line="276" w:lineRule="auto"/>
              <w:jc w:val="center"/>
              <w:rPr>
                <w:noProof/>
                <w:szCs w:val="20"/>
              </w:rPr>
            </w:pPr>
          </w:p>
        </w:tc>
        <w:tc>
          <w:tcPr>
            <w:tcW w:w="956" w:type="dxa"/>
            <w:vAlign w:val="center"/>
          </w:tcPr>
          <w:p w14:paraId="5496BC6C" w14:textId="77777777" w:rsidR="00976265" w:rsidRPr="002D7798" w:rsidRDefault="0064263D">
            <w:pPr>
              <w:spacing w:before="0" w:after="200" w:line="276" w:lineRule="auto"/>
              <w:jc w:val="center"/>
              <w:rPr>
                <w:noProof/>
                <w:sz w:val="20"/>
                <w:szCs w:val="20"/>
              </w:rPr>
            </w:pPr>
            <w:r w:rsidRPr="002D7798">
              <w:rPr>
                <w:noProof/>
                <w:sz w:val="20"/>
              </w:rPr>
              <w:t>ANO/NE</w:t>
            </w:r>
          </w:p>
        </w:tc>
        <w:tc>
          <w:tcPr>
            <w:tcW w:w="1080" w:type="dxa"/>
            <w:vAlign w:val="center"/>
          </w:tcPr>
          <w:p w14:paraId="35C76050" w14:textId="77777777" w:rsidR="00976265" w:rsidRPr="002D7798" w:rsidRDefault="0064263D">
            <w:pPr>
              <w:spacing w:before="0" w:after="200" w:line="276" w:lineRule="auto"/>
              <w:jc w:val="center"/>
              <w:rPr>
                <w:noProof/>
                <w:sz w:val="20"/>
                <w:szCs w:val="20"/>
              </w:rPr>
            </w:pPr>
            <w:r w:rsidRPr="002D7798">
              <w:rPr>
                <w:noProof/>
                <w:sz w:val="20"/>
              </w:rPr>
              <w:t>ANO/NE</w:t>
            </w:r>
          </w:p>
        </w:tc>
        <w:tc>
          <w:tcPr>
            <w:tcW w:w="956" w:type="dxa"/>
            <w:vAlign w:val="center"/>
          </w:tcPr>
          <w:p w14:paraId="3CC6B82D" w14:textId="77777777" w:rsidR="00976265" w:rsidRPr="002D7798" w:rsidRDefault="0064263D">
            <w:pPr>
              <w:spacing w:before="0" w:after="200" w:line="276" w:lineRule="auto"/>
              <w:jc w:val="center"/>
              <w:rPr>
                <w:noProof/>
                <w:sz w:val="20"/>
                <w:szCs w:val="20"/>
              </w:rPr>
            </w:pPr>
            <w:r w:rsidRPr="002D7798">
              <w:rPr>
                <w:noProof/>
                <w:sz w:val="20"/>
              </w:rPr>
              <w:t>ANO/NE</w:t>
            </w:r>
          </w:p>
        </w:tc>
        <w:tc>
          <w:tcPr>
            <w:tcW w:w="1564" w:type="dxa"/>
            <w:vAlign w:val="center"/>
          </w:tcPr>
          <w:p w14:paraId="2E946B65" w14:textId="77777777" w:rsidR="00976265" w:rsidRPr="002D7798" w:rsidRDefault="0064263D">
            <w:pPr>
              <w:spacing w:before="0" w:after="200" w:line="276" w:lineRule="auto"/>
              <w:jc w:val="center"/>
              <w:rPr>
                <w:noProof/>
                <w:sz w:val="20"/>
                <w:szCs w:val="20"/>
              </w:rPr>
            </w:pPr>
            <w:r w:rsidRPr="002D7798">
              <w:rPr>
                <w:noProof/>
                <w:sz w:val="20"/>
              </w:rPr>
              <w:t>ANO/NE</w:t>
            </w:r>
          </w:p>
        </w:tc>
      </w:tr>
    </w:tbl>
    <w:p w14:paraId="11699990" w14:textId="77777777" w:rsidR="00976265" w:rsidRPr="002D7798" w:rsidRDefault="00976265">
      <w:pPr>
        <w:spacing w:before="0" w:after="200" w:line="276" w:lineRule="auto"/>
        <w:jc w:val="left"/>
        <w:rPr>
          <w:noProof/>
          <w:szCs w:val="20"/>
        </w:rPr>
        <w:sectPr w:rsidR="00976265" w:rsidRPr="002D7798" w:rsidSect="007D2204">
          <w:pgSz w:w="12240" w:h="15840"/>
          <w:pgMar w:top="794" w:right="907" w:bottom="851" w:left="1361" w:header="510" w:footer="454" w:gutter="0"/>
          <w:cols w:space="720"/>
          <w:docGrid w:linePitch="326"/>
        </w:sectPr>
      </w:pPr>
    </w:p>
    <w:p w14:paraId="1B34DF90" w14:textId="77777777" w:rsidR="00976265" w:rsidRPr="002D7798" w:rsidRDefault="0064263D">
      <w:pPr>
        <w:keepNext/>
        <w:tabs>
          <w:tab w:val="left" w:pos="850"/>
        </w:tabs>
        <w:ind w:left="850" w:hanging="850"/>
        <w:outlineLvl w:val="1"/>
        <w:rPr>
          <w:b/>
          <w:noProof/>
        </w:rPr>
      </w:pPr>
      <w:bookmarkStart w:id="92" w:name="_Toc514938685"/>
      <w:bookmarkStart w:id="93" w:name="_Toc128753781"/>
      <w:r w:rsidRPr="002D7798">
        <w:rPr>
          <w:b/>
          <w:noProof/>
        </w:rPr>
        <w:t>3.2.</w:t>
      </w:r>
      <w:r w:rsidRPr="002D7798">
        <w:rPr>
          <w:noProof/>
        </w:rPr>
        <w:tab/>
      </w:r>
      <w:r w:rsidRPr="002D7798">
        <w:rPr>
          <w:b/>
          <w:noProof/>
        </w:rPr>
        <w:t>Odhadovaný dopad na výdaje</w:t>
      </w:r>
      <w:bookmarkEnd w:id="92"/>
      <w:bookmarkEnd w:id="93"/>
      <w:r w:rsidRPr="002D7798">
        <w:rPr>
          <w:b/>
          <w:noProof/>
        </w:rPr>
        <w:t xml:space="preserve"> </w:t>
      </w:r>
    </w:p>
    <w:p w14:paraId="56715E45" w14:textId="77777777" w:rsidR="00976265" w:rsidRPr="002D7798" w:rsidRDefault="0064263D">
      <w:pPr>
        <w:keepNext/>
        <w:tabs>
          <w:tab w:val="left" w:pos="850"/>
        </w:tabs>
        <w:ind w:left="850" w:hanging="850"/>
        <w:outlineLvl w:val="2"/>
        <w:rPr>
          <w:i/>
          <w:noProof/>
        </w:rPr>
      </w:pPr>
      <w:bookmarkStart w:id="94" w:name="_Toc514938686"/>
      <w:bookmarkStart w:id="95" w:name="_Toc128753782"/>
      <w:r w:rsidRPr="002D7798">
        <w:rPr>
          <w:i/>
          <w:noProof/>
        </w:rPr>
        <w:t>3.2.1.</w:t>
      </w:r>
      <w:r w:rsidRPr="002D7798">
        <w:rPr>
          <w:noProof/>
        </w:rPr>
        <w:tab/>
      </w:r>
      <w:r w:rsidRPr="002D7798">
        <w:rPr>
          <w:i/>
          <w:noProof/>
        </w:rPr>
        <w:t>Odhadovaný souhrnný dopad na výdaje</w:t>
      </w:r>
      <w:bookmarkEnd w:id="94"/>
      <w:bookmarkEnd w:id="95"/>
      <w:r w:rsidRPr="002D7798">
        <w:rPr>
          <w:i/>
          <w:noProof/>
        </w:rPr>
        <w:t xml:space="preserve"> </w:t>
      </w:r>
    </w:p>
    <w:p w14:paraId="563A576E" w14:textId="77777777" w:rsidR="00976265" w:rsidRPr="002D7798" w:rsidRDefault="0064263D">
      <w:pPr>
        <w:spacing w:before="0" w:after="200" w:line="276" w:lineRule="auto"/>
        <w:jc w:val="right"/>
        <w:rPr>
          <w:noProof/>
          <w:sz w:val="20"/>
          <w:szCs w:val="20"/>
        </w:rPr>
      </w:pPr>
      <w:r w:rsidRPr="002D7798">
        <w:rPr>
          <w:noProof/>
          <w:sz w:val="20"/>
        </w:rPr>
        <w:t>v milionech EUR (zaokrouhleno na tři desetinná místa)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851B85" w:rsidRPr="002D7798" w14:paraId="3E527DC3" w14:textId="77777777">
        <w:trPr>
          <w:jc w:val="center"/>
        </w:trPr>
        <w:tc>
          <w:tcPr>
            <w:tcW w:w="4744" w:type="dxa"/>
            <w:shd w:val="thinDiagStripe" w:color="C0C0C0" w:fill="auto"/>
            <w:vAlign w:val="center"/>
          </w:tcPr>
          <w:p w14:paraId="1738F30D" w14:textId="77777777" w:rsidR="00976265" w:rsidRPr="002D7798" w:rsidRDefault="0064263D">
            <w:pPr>
              <w:spacing w:before="60" w:after="60" w:line="276" w:lineRule="auto"/>
              <w:jc w:val="center"/>
              <w:rPr>
                <w:b/>
                <w:noProof/>
                <w:szCs w:val="20"/>
              </w:rPr>
            </w:pPr>
            <w:r w:rsidRPr="002D7798">
              <w:rPr>
                <w:b/>
                <w:noProof/>
                <w:sz w:val="22"/>
              </w:rPr>
              <w:t xml:space="preserve">Okruh víceletého finančního </w:t>
            </w:r>
            <w:r w:rsidRPr="002D7798">
              <w:rPr>
                <w:noProof/>
              </w:rPr>
              <w:t xml:space="preserve"> </w:t>
            </w:r>
            <w:r w:rsidRPr="002D7798">
              <w:rPr>
                <w:noProof/>
              </w:rPr>
              <w:br/>
            </w:r>
            <w:r w:rsidRPr="002D7798">
              <w:rPr>
                <w:b/>
                <w:noProof/>
                <w:sz w:val="22"/>
              </w:rPr>
              <w:t xml:space="preserve">rámce </w:t>
            </w:r>
          </w:p>
        </w:tc>
        <w:tc>
          <w:tcPr>
            <w:tcW w:w="1080" w:type="dxa"/>
            <w:vAlign w:val="center"/>
          </w:tcPr>
          <w:p w14:paraId="7ED0F643" w14:textId="77777777" w:rsidR="00976265" w:rsidRPr="002D7798" w:rsidRDefault="0064263D">
            <w:pPr>
              <w:spacing w:before="60" w:after="60" w:line="276" w:lineRule="auto"/>
              <w:jc w:val="center"/>
              <w:rPr>
                <w:noProof/>
                <w:szCs w:val="20"/>
              </w:rPr>
            </w:pPr>
            <w:r w:rsidRPr="002D7798">
              <w:rPr>
                <w:noProof/>
                <w:sz w:val="22"/>
              </w:rPr>
              <w:t>01</w:t>
            </w:r>
          </w:p>
        </w:tc>
        <w:tc>
          <w:tcPr>
            <w:tcW w:w="7817" w:type="dxa"/>
            <w:vAlign w:val="center"/>
          </w:tcPr>
          <w:p w14:paraId="31845F8D" w14:textId="77777777" w:rsidR="00976265" w:rsidRPr="002D7798" w:rsidRDefault="0064263D">
            <w:pPr>
              <w:spacing w:before="60" w:after="60" w:line="276" w:lineRule="auto"/>
              <w:jc w:val="left"/>
              <w:rPr>
                <w:noProof/>
                <w:szCs w:val="20"/>
              </w:rPr>
            </w:pPr>
            <w:r w:rsidRPr="002D7798">
              <w:rPr>
                <w:noProof/>
              </w:rPr>
              <w:t>Jednotný trh, inovace a digitální oblast</w:t>
            </w:r>
          </w:p>
        </w:tc>
      </w:tr>
    </w:tbl>
    <w:p w14:paraId="7DAF7E00" w14:textId="77777777" w:rsidR="00976265" w:rsidRPr="002D7798" w:rsidRDefault="00976265">
      <w:pPr>
        <w:spacing w:before="0" w:after="200" w:line="276" w:lineRule="auto"/>
        <w:jc w:val="left"/>
        <w:rPr>
          <w:noProof/>
          <w:sz w:val="16"/>
          <w:szCs w:val="20"/>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120"/>
        <w:gridCol w:w="534"/>
        <w:gridCol w:w="868"/>
        <w:gridCol w:w="868"/>
        <w:gridCol w:w="868"/>
        <w:gridCol w:w="868"/>
        <w:gridCol w:w="868"/>
        <w:gridCol w:w="868"/>
        <w:gridCol w:w="868"/>
        <w:gridCol w:w="1777"/>
      </w:tblGrid>
      <w:tr w:rsidR="00851B85" w:rsidRPr="002D7798" w14:paraId="24E7DC32" w14:textId="77777777">
        <w:tc>
          <w:tcPr>
            <w:tcW w:w="3960" w:type="dxa"/>
            <w:vAlign w:val="center"/>
          </w:tcPr>
          <w:p w14:paraId="5081AFDF" w14:textId="77777777" w:rsidR="00976265" w:rsidRPr="002D7798" w:rsidRDefault="0064263D">
            <w:pPr>
              <w:spacing w:before="0" w:after="200" w:line="276" w:lineRule="auto"/>
              <w:jc w:val="center"/>
              <w:rPr>
                <w:noProof/>
                <w:szCs w:val="20"/>
              </w:rPr>
            </w:pPr>
            <w:r w:rsidRPr="002D7798">
              <w:rPr>
                <w:noProof/>
              </w:rPr>
              <w:t>ACER</w:t>
            </w:r>
          </w:p>
        </w:tc>
        <w:tc>
          <w:tcPr>
            <w:tcW w:w="1560" w:type="dxa"/>
            <w:gridSpan w:val="2"/>
          </w:tcPr>
          <w:p w14:paraId="1A44F12E" w14:textId="77777777" w:rsidR="00976265" w:rsidRPr="002D7798" w:rsidRDefault="00976265">
            <w:pPr>
              <w:spacing w:before="0" w:after="200" w:line="276" w:lineRule="auto"/>
              <w:jc w:val="left"/>
              <w:rPr>
                <w:noProof/>
                <w:sz w:val="20"/>
                <w:szCs w:val="20"/>
              </w:rPr>
            </w:pPr>
          </w:p>
        </w:tc>
        <w:tc>
          <w:tcPr>
            <w:tcW w:w="534" w:type="dxa"/>
          </w:tcPr>
          <w:p w14:paraId="61E52C27" w14:textId="77777777" w:rsidR="00976265" w:rsidRPr="002D7798" w:rsidRDefault="00976265">
            <w:pPr>
              <w:spacing w:before="0" w:after="200" w:line="276" w:lineRule="auto"/>
              <w:jc w:val="center"/>
              <w:rPr>
                <w:noProof/>
                <w:sz w:val="20"/>
                <w:szCs w:val="20"/>
              </w:rPr>
            </w:pPr>
          </w:p>
        </w:tc>
        <w:tc>
          <w:tcPr>
            <w:tcW w:w="868" w:type="dxa"/>
            <w:vAlign w:val="center"/>
          </w:tcPr>
          <w:p w14:paraId="2FDBC815" w14:textId="77777777" w:rsidR="00976265" w:rsidRPr="002D7798" w:rsidRDefault="0064263D">
            <w:pPr>
              <w:spacing w:before="0" w:after="200" w:line="276" w:lineRule="auto"/>
              <w:jc w:val="center"/>
              <w:rPr>
                <w:noProof/>
                <w:sz w:val="20"/>
                <w:szCs w:val="20"/>
              </w:rPr>
            </w:pPr>
            <w:r w:rsidRPr="002D7798">
              <w:rPr>
                <w:noProof/>
                <w:sz w:val="20"/>
              </w:rPr>
              <w:t>Rok</w:t>
            </w:r>
            <w:r w:rsidRPr="002D7798">
              <w:rPr>
                <w:noProof/>
              </w:rPr>
              <w:t xml:space="preserve"> </w:t>
            </w:r>
            <w:r w:rsidRPr="002D7798">
              <w:rPr>
                <w:noProof/>
              </w:rPr>
              <w:br/>
            </w:r>
            <w:r w:rsidRPr="002D7798">
              <w:rPr>
                <w:b/>
                <w:noProof/>
                <w:sz w:val="20"/>
              </w:rPr>
              <w:t>2024</w:t>
            </w:r>
          </w:p>
        </w:tc>
        <w:tc>
          <w:tcPr>
            <w:tcW w:w="868" w:type="dxa"/>
            <w:vAlign w:val="center"/>
          </w:tcPr>
          <w:p w14:paraId="1D97A765" w14:textId="77777777" w:rsidR="00976265" w:rsidRPr="002D7798" w:rsidRDefault="0064263D">
            <w:pPr>
              <w:spacing w:before="0" w:after="200" w:line="276" w:lineRule="auto"/>
              <w:jc w:val="center"/>
              <w:rPr>
                <w:noProof/>
                <w:sz w:val="20"/>
                <w:szCs w:val="20"/>
              </w:rPr>
            </w:pPr>
            <w:r w:rsidRPr="002D7798">
              <w:rPr>
                <w:noProof/>
                <w:sz w:val="20"/>
              </w:rPr>
              <w:t>Rok</w:t>
            </w:r>
            <w:r w:rsidRPr="002D7798">
              <w:rPr>
                <w:noProof/>
              </w:rPr>
              <w:t xml:space="preserve"> </w:t>
            </w:r>
            <w:r w:rsidRPr="002D7798">
              <w:rPr>
                <w:noProof/>
              </w:rPr>
              <w:br/>
            </w:r>
            <w:r w:rsidRPr="002D7798">
              <w:rPr>
                <w:b/>
                <w:noProof/>
                <w:sz w:val="20"/>
              </w:rPr>
              <w:t>2025</w:t>
            </w:r>
          </w:p>
        </w:tc>
        <w:tc>
          <w:tcPr>
            <w:tcW w:w="868" w:type="dxa"/>
            <w:vAlign w:val="center"/>
          </w:tcPr>
          <w:p w14:paraId="5DFD9865" w14:textId="77777777" w:rsidR="00976265" w:rsidRPr="002D7798" w:rsidRDefault="0064263D">
            <w:pPr>
              <w:spacing w:before="0" w:after="200" w:line="276" w:lineRule="auto"/>
              <w:jc w:val="center"/>
              <w:rPr>
                <w:noProof/>
                <w:sz w:val="20"/>
                <w:szCs w:val="20"/>
              </w:rPr>
            </w:pPr>
            <w:r w:rsidRPr="002D7798">
              <w:rPr>
                <w:noProof/>
                <w:sz w:val="20"/>
              </w:rPr>
              <w:t>Rok</w:t>
            </w:r>
            <w:r w:rsidRPr="002D7798">
              <w:rPr>
                <w:noProof/>
              </w:rPr>
              <w:t xml:space="preserve"> </w:t>
            </w:r>
            <w:r w:rsidRPr="002D7798">
              <w:rPr>
                <w:noProof/>
              </w:rPr>
              <w:br/>
            </w:r>
            <w:r w:rsidRPr="002D7798">
              <w:rPr>
                <w:b/>
                <w:noProof/>
                <w:sz w:val="20"/>
              </w:rPr>
              <w:t>2026</w:t>
            </w:r>
          </w:p>
        </w:tc>
        <w:tc>
          <w:tcPr>
            <w:tcW w:w="868" w:type="dxa"/>
            <w:vAlign w:val="center"/>
          </w:tcPr>
          <w:p w14:paraId="64CC3833" w14:textId="77777777" w:rsidR="00976265" w:rsidRPr="002D7798" w:rsidRDefault="0064263D">
            <w:pPr>
              <w:spacing w:before="0" w:after="200" w:line="276" w:lineRule="auto"/>
              <w:jc w:val="center"/>
              <w:rPr>
                <w:noProof/>
                <w:sz w:val="20"/>
                <w:szCs w:val="20"/>
              </w:rPr>
            </w:pPr>
            <w:r w:rsidRPr="002D7798">
              <w:rPr>
                <w:noProof/>
                <w:sz w:val="20"/>
              </w:rPr>
              <w:t>Rok</w:t>
            </w:r>
            <w:r w:rsidRPr="002D7798">
              <w:rPr>
                <w:noProof/>
              </w:rPr>
              <w:t xml:space="preserve"> </w:t>
            </w:r>
            <w:r w:rsidRPr="002D7798">
              <w:rPr>
                <w:noProof/>
              </w:rPr>
              <w:br/>
            </w:r>
            <w:r w:rsidRPr="002D7798">
              <w:rPr>
                <w:b/>
                <w:noProof/>
                <w:sz w:val="20"/>
              </w:rPr>
              <w:t>2027</w:t>
            </w:r>
          </w:p>
        </w:tc>
        <w:tc>
          <w:tcPr>
            <w:tcW w:w="2604" w:type="dxa"/>
            <w:gridSpan w:val="3"/>
            <w:vAlign w:val="center"/>
          </w:tcPr>
          <w:p w14:paraId="0994F0BF" w14:textId="77777777" w:rsidR="00976265" w:rsidRPr="002D7798" w:rsidRDefault="0064263D">
            <w:pPr>
              <w:spacing w:before="0" w:after="200" w:line="276" w:lineRule="auto"/>
              <w:jc w:val="center"/>
              <w:rPr>
                <w:b/>
                <w:noProof/>
                <w:sz w:val="18"/>
                <w:szCs w:val="20"/>
              </w:rPr>
            </w:pPr>
            <w:r w:rsidRPr="002D7798">
              <w:rPr>
                <w:noProof/>
                <w:sz w:val="18"/>
              </w:rPr>
              <w:t>Vložit počet let podle trvání finančního dopadu (viz bod 1.6)</w:t>
            </w:r>
          </w:p>
        </w:tc>
        <w:tc>
          <w:tcPr>
            <w:tcW w:w="1777" w:type="dxa"/>
            <w:vAlign w:val="center"/>
          </w:tcPr>
          <w:p w14:paraId="31E4784C" w14:textId="77777777" w:rsidR="00976265" w:rsidRPr="002D7798" w:rsidRDefault="0064263D">
            <w:pPr>
              <w:spacing w:before="0" w:after="200" w:line="276" w:lineRule="auto"/>
              <w:jc w:val="center"/>
              <w:rPr>
                <w:b/>
                <w:noProof/>
                <w:sz w:val="20"/>
                <w:szCs w:val="20"/>
              </w:rPr>
            </w:pPr>
            <w:r w:rsidRPr="002D7798">
              <w:rPr>
                <w:b/>
                <w:noProof/>
                <w:sz w:val="20"/>
              </w:rPr>
              <w:t>CELKEM</w:t>
            </w:r>
          </w:p>
        </w:tc>
      </w:tr>
      <w:tr w:rsidR="00851B85" w:rsidRPr="002D7798" w14:paraId="731426FE" w14:textId="77777777">
        <w:trPr>
          <w:trHeight w:val="277"/>
        </w:trPr>
        <w:tc>
          <w:tcPr>
            <w:tcW w:w="3960" w:type="dxa"/>
            <w:vMerge w:val="restart"/>
            <w:vAlign w:val="center"/>
          </w:tcPr>
          <w:p w14:paraId="6DF722CF" w14:textId="77777777" w:rsidR="00976265" w:rsidRPr="002D7798" w:rsidRDefault="0064263D">
            <w:pPr>
              <w:spacing w:before="0" w:after="200" w:line="276" w:lineRule="auto"/>
              <w:jc w:val="left"/>
              <w:rPr>
                <w:noProof/>
                <w:szCs w:val="20"/>
              </w:rPr>
            </w:pPr>
            <w:r w:rsidRPr="002D7798">
              <w:rPr>
                <w:noProof/>
                <w:sz w:val="20"/>
              </w:rPr>
              <w:t>Rozpočtová hlava 1:</w:t>
            </w:r>
          </w:p>
        </w:tc>
        <w:tc>
          <w:tcPr>
            <w:tcW w:w="1440" w:type="dxa"/>
            <w:vAlign w:val="center"/>
          </w:tcPr>
          <w:p w14:paraId="3CFF4554" w14:textId="77777777" w:rsidR="00976265" w:rsidRPr="002D7798" w:rsidRDefault="0064263D">
            <w:pPr>
              <w:spacing w:before="20" w:after="20" w:line="276" w:lineRule="auto"/>
              <w:jc w:val="left"/>
              <w:rPr>
                <w:noProof/>
                <w:szCs w:val="20"/>
              </w:rPr>
            </w:pPr>
            <w:r w:rsidRPr="002D7798">
              <w:rPr>
                <w:noProof/>
                <w:sz w:val="18"/>
              </w:rPr>
              <w:t>Závazky</w:t>
            </w:r>
          </w:p>
        </w:tc>
        <w:tc>
          <w:tcPr>
            <w:tcW w:w="654" w:type="dxa"/>
            <w:gridSpan w:val="2"/>
            <w:vAlign w:val="center"/>
          </w:tcPr>
          <w:p w14:paraId="2813712C" w14:textId="77777777" w:rsidR="00976265" w:rsidRPr="002D7798" w:rsidRDefault="0064263D">
            <w:pPr>
              <w:spacing w:before="20" w:after="20" w:line="276" w:lineRule="auto"/>
              <w:jc w:val="center"/>
              <w:rPr>
                <w:noProof/>
                <w:sz w:val="14"/>
                <w:szCs w:val="20"/>
              </w:rPr>
            </w:pPr>
            <w:r w:rsidRPr="002D7798">
              <w:rPr>
                <w:noProof/>
                <w:sz w:val="14"/>
              </w:rPr>
              <w:t>(1)</w:t>
            </w:r>
          </w:p>
        </w:tc>
        <w:tc>
          <w:tcPr>
            <w:tcW w:w="868" w:type="dxa"/>
            <w:vAlign w:val="center"/>
          </w:tcPr>
          <w:p w14:paraId="0CE96DAB" w14:textId="77777777" w:rsidR="00976265" w:rsidRPr="002D7798" w:rsidRDefault="0064263D">
            <w:pPr>
              <w:spacing w:before="20" w:after="20" w:line="276" w:lineRule="auto"/>
              <w:jc w:val="right"/>
              <w:rPr>
                <w:noProof/>
                <w:sz w:val="20"/>
                <w:szCs w:val="20"/>
              </w:rPr>
            </w:pPr>
            <w:r w:rsidRPr="002D7798">
              <w:rPr>
                <w:noProof/>
                <w:sz w:val="20"/>
              </w:rPr>
              <w:t>0,684</w:t>
            </w:r>
          </w:p>
        </w:tc>
        <w:tc>
          <w:tcPr>
            <w:tcW w:w="868" w:type="dxa"/>
            <w:vAlign w:val="center"/>
          </w:tcPr>
          <w:p w14:paraId="7220F3F0" w14:textId="77777777" w:rsidR="00976265" w:rsidRPr="002D7798" w:rsidRDefault="0064263D">
            <w:pPr>
              <w:spacing w:before="20" w:after="20" w:line="276" w:lineRule="auto"/>
              <w:jc w:val="right"/>
              <w:rPr>
                <w:noProof/>
                <w:sz w:val="20"/>
                <w:szCs w:val="20"/>
              </w:rPr>
            </w:pPr>
            <w:r w:rsidRPr="002D7798">
              <w:rPr>
                <w:noProof/>
                <w:sz w:val="20"/>
              </w:rPr>
              <w:t>0,684</w:t>
            </w:r>
          </w:p>
        </w:tc>
        <w:tc>
          <w:tcPr>
            <w:tcW w:w="868" w:type="dxa"/>
            <w:vAlign w:val="center"/>
          </w:tcPr>
          <w:p w14:paraId="753B2E94" w14:textId="77777777" w:rsidR="00976265" w:rsidRPr="002D7798" w:rsidRDefault="0064263D">
            <w:pPr>
              <w:spacing w:before="20" w:after="20" w:line="276" w:lineRule="auto"/>
              <w:jc w:val="right"/>
              <w:rPr>
                <w:noProof/>
                <w:sz w:val="20"/>
                <w:szCs w:val="20"/>
              </w:rPr>
            </w:pPr>
            <w:r w:rsidRPr="002D7798">
              <w:rPr>
                <w:noProof/>
                <w:sz w:val="20"/>
              </w:rPr>
              <w:t>0,684</w:t>
            </w:r>
          </w:p>
        </w:tc>
        <w:tc>
          <w:tcPr>
            <w:tcW w:w="868" w:type="dxa"/>
            <w:vAlign w:val="center"/>
          </w:tcPr>
          <w:p w14:paraId="7A76CF49" w14:textId="77777777" w:rsidR="00976265" w:rsidRPr="002D7798" w:rsidRDefault="0064263D">
            <w:pPr>
              <w:spacing w:before="20" w:after="20" w:line="276" w:lineRule="auto"/>
              <w:jc w:val="right"/>
              <w:rPr>
                <w:noProof/>
                <w:sz w:val="20"/>
                <w:szCs w:val="20"/>
              </w:rPr>
            </w:pPr>
            <w:r w:rsidRPr="002D7798">
              <w:rPr>
                <w:noProof/>
                <w:sz w:val="20"/>
              </w:rPr>
              <w:t>0,684</w:t>
            </w:r>
          </w:p>
        </w:tc>
        <w:tc>
          <w:tcPr>
            <w:tcW w:w="868" w:type="dxa"/>
            <w:vAlign w:val="center"/>
          </w:tcPr>
          <w:p w14:paraId="3AFB1689" w14:textId="77777777" w:rsidR="00976265" w:rsidRPr="002D7798" w:rsidRDefault="00976265">
            <w:pPr>
              <w:spacing w:before="20" w:after="20" w:line="276" w:lineRule="auto"/>
              <w:jc w:val="right"/>
              <w:rPr>
                <w:noProof/>
                <w:sz w:val="20"/>
                <w:szCs w:val="20"/>
              </w:rPr>
            </w:pPr>
          </w:p>
        </w:tc>
        <w:tc>
          <w:tcPr>
            <w:tcW w:w="868" w:type="dxa"/>
            <w:vAlign w:val="center"/>
          </w:tcPr>
          <w:p w14:paraId="4D9C58B7" w14:textId="77777777" w:rsidR="00976265" w:rsidRPr="002D7798" w:rsidRDefault="00976265">
            <w:pPr>
              <w:spacing w:before="20" w:after="20" w:line="276" w:lineRule="auto"/>
              <w:jc w:val="right"/>
              <w:rPr>
                <w:noProof/>
                <w:sz w:val="20"/>
                <w:szCs w:val="20"/>
              </w:rPr>
            </w:pPr>
          </w:p>
        </w:tc>
        <w:tc>
          <w:tcPr>
            <w:tcW w:w="868" w:type="dxa"/>
            <w:vAlign w:val="center"/>
          </w:tcPr>
          <w:p w14:paraId="0204413F" w14:textId="77777777" w:rsidR="00976265" w:rsidRPr="002D7798" w:rsidRDefault="00976265">
            <w:pPr>
              <w:spacing w:before="20" w:after="20" w:line="276" w:lineRule="auto"/>
              <w:jc w:val="right"/>
              <w:rPr>
                <w:b/>
                <w:noProof/>
                <w:sz w:val="20"/>
                <w:szCs w:val="20"/>
              </w:rPr>
            </w:pPr>
          </w:p>
        </w:tc>
        <w:tc>
          <w:tcPr>
            <w:tcW w:w="1777" w:type="dxa"/>
            <w:vAlign w:val="center"/>
          </w:tcPr>
          <w:p w14:paraId="7847BC6A" w14:textId="77777777" w:rsidR="00976265" w:rsidRPr="002D7798" w:rsidRDefault="0064263D">
            <w:pPr>
              <w:spacing w:before="20" w:after="20" w:line="276" w:lineRule="auto"/>
              <w:jc w:val="right"/>
              <w:rPr>
                <w:b/>
                <w:noProof/>
                <w:sz w:val="20"/>
                <w:szCs w:val="20"/>
              </w:rPr>
            </w:pPr>
            <w:r w:rsidRPr="002D7798">
              <w:rPr>
                <w:b/>
                <w:noProof/>
                <w:sz w:val="20"/>
              </w:rPr>
              <w:t>2,736</w:t>
            </w:r>
          </w:p>
        </w:tc>
      </w:tr>
      <w:tr w:rsidR="00851B85" w:rsidRPr="002D7798" w14:paraId="5914A9F5" w14:textId="77777777">
        <w:tc>
          <w:tcPr>
            <w:tcW w:w="3960" w:type="dxa"/>
            <w:vMerge/>
            <w:vAlign w:val="center"/>
          </w:tcPr>
          <w:p w14:paraId="6728D22F" w14:textId="77777777" w:rsidR="00976265" w:rsidRPr="002D7798" w:rsidRDefault="00976265">
            <w:pPr>
              <w:spacing w:before="0" w:after="200" w:line="276" w:lineRule="auto"/>
              <w:jc w:val="left"/>
              <w:rPr>
                <w:noProof/>
                <w:szCs w:val="20"/>
              </w:rPr>
            </w:pPr>
          </w:p>
        </w:tc>
        <w:tc>
          <w:tcPr>
            <w:tcW w:w="1440" w:type="dxa"/>
            <w:vAlign w:val="center"/>
          </w:tcPr>
          <w:p w14:paraId="24145547" w14:textId="77777777" w:rsidR="00976265" w:rsidRPr="002D7798" w:rsidRDefault="0064263D">
            <w:pPr>
              <w:spacing w:before="20" w:after="20" w:line="276" w:lineRule="auto"/>
              <w:jc w:val="left"/>
              <w:rPr>
                <w:noProof/>
                <w:sz w:val="18"/>
                <w:szCs w:val="20"/>
              </w:rPr>
            </w:pPr>
            <w:r w:rsidRPr="002D7798">
              <w:rPr>
                <w:noProof/>
                <w:sz w:val="18"/>
              </w:rPr>
              <w:t>Platby</w:t>
            </w:r>
          </w:p>
        </w:tc>
        <w:tc>
          <w:tcPr>
            <w:tcW w:w="654" w:type="dxa"/>
            <w:gridSpan w:val="2"/>
            <w:vAlign w:val="center"/>
          </w:tcPr>
          <w:p w14:paraId="3B185677" w14:textId="77777777" w:rsidR="00976265" w:rsidRPr="002D7798" w:rsidRDefault="0064263D">
            <w:pPr>
              <w:spacing w:before="20" w:after="20" w:line="276" w:lineRule="auto"/>
              <w:jc w:val="center"/>
              <w:rPr>
                <w:noProof/>
                <w:sz w:val="14"/>
                <w:szCs w:val="20"/>
              </w:rPr>
            </w:pPr>
            <w:r w:rsidRPr="002D7798">
              <w:rPr>
                <w:noProof/>
                <w:sz w:val="14"/>
              </w:rPr>
              <w:t>(2)</w:t>
            </w:r>
          </w:p>
        </w:tc>
        <w:tc>
          <w:tcPr>
            <w:tcW w:w="868" w:type="dxa"/>
            <w:vAlign w:val="center"/>
          </w:tcPr>
          <w:p w14:paraId="2FB9EC9F" w14:textId="77777777" w:rsidR="00976265" w:rsidRPr="002D7798" w:rsidRDefault="0064263D">
            <w:pPr>
              <w:spacing w:before="20" w:after="20" w:line="276" w:lineRule="auto"/>
              <w:jc w:val="right"/>
              <w:rPr>
                <w:noProof/>
                <w:sz w:val="20"/>
                <w:szCs w:val="20"/>
              </w:rPr>
            </w:pPr>
            <w:r w:rsidRPr="002D7798">
              <w:rPr>
                <w:noProof/>
                <w:sz w:val="20"/>
              </w:rPr>
              <w:t>0,684</w:t>
            </w:r>
          </w:p>
        </w:tc>
        <w:tc>
          <w:tcPr>
            <w:tcW w:w="868" w:type="dxa"/>
            <w:vAlign w:val="center"/>
          </w:tcPr>
          <w:p w14:paraId="0AB75DFE" w14:textId="77777777" w:rsidR="00976265" w:rsidRPr="002D7798" w:rsidRDefault="0064263D">
            <w:pPr>
              <w:spacing w:before="20" w:after="20" w:line="276" w:lineRule="auto"/>
              <w:jc w:val="right"/>
              <w:rPr>
                <w:noProof/>
                <w:sz w:val="20"/>
                <w:szCs w:val="20"/>
              </w:rPr>
            </w:pPr>
            <w:r w:rsidRPr="002D7798">
              <w:rPr>
                <w:noProof/>
                <w:sz w:val="20"/>
              </w:rPr>
              <w:t>0,684</w:t>
            </w:r>
          </w:p>
        </w:tc>
        <w:tc>
          <w:tcPr>
            <w:tcW w:w="868" w:type="dxa"/>
            <w:vAlign w:val="center"/>
          </w:tcPr>
          <w:p w14:paraId="379D7EAA" w14:textId="77777777" w:rsidR="00976265" w:rsidRPr="002D7798" w:rsidRDefault="0064263D">
            <w:pPr>
              <w:spacing w:before="20" w:after="20" w:line="276" w:lineRule="auto"/>
              <w:jc w:val="right"/>
              <w:rPr>
                <w:noProof/>
                <w:sz w:val="20"/>
                <w:szCs w:val="20"/>
              </w:rPr>
            </w:pPr>
            <w:r w:rsidRPr="002D7798">
              <w:rPr>
                <w:noProof/>
                <w:sz w:val="20"/>
              </w:rPr>
              <w:t>0,684</w:t>
            </w:r>
          </w:p>
        </w:tc>
        <w:tc>
          <w:tcPr>
            <w:tcW w:w="868" w:type="dxa"/>
            <w:vAlign w:val="center"/>
          </w:tcPr>
          <w:p w14:paraId="30110BBD" w14:textId="77777777" w:rsidR="00976265" w:rsidRPr="002D7798" w:rsidRDefault="0064263D">
            <w:pPr>
              <w:spacing w:before="20" w:after="20" w:line="276" w:lineRule="auto"/>
              <w:jc w:val="right"/>
              <w:rPr>
                <w:noProof/>
                <w:sz w:val="20"/>
                <w:szCs w:val="20"/>
              </w:rPr>
            </w:pPr>
            <w:r w:rsidRPr="002D7798">
              <w:rPr>
                <w:noProof/>
                <w:sz w:val="20"/>
              </w:rPr>
              <w:t>0,684</w:t>
            </w:r>
          </w:p>
        </w:tc>
        <w:tc>
          <w:tcPr>
            <w:tcW w:w="868" w:type="dxa"/>
            <w:vAlign w:val="center"/>
          </w:tcPr>
          <w:p w14:paraId="18FC0C2F" w14:textId="77777777" w:rsidR="00976265" w:rsidRPr="002D7798" w:rsidRDefault="00976265">
            <w:pPr>
              <w:spacing w:before="20" w:after="20" w:line="276" w:lineRule="auto"/>
              <w:jc w:val="right"/>
              <w:rPr>
                <w:noProof/>
                <w:sz w:val="20"/>
                <w:szCs w:val="20"/>
              </w:rPr>
            </w:pPr>
          </w:p>
        </w:tc>
        <w:tc>
          <w:tcPr>
            <w:tcW w:w="868" w:type="dxa"/>
            <w:vAlign w:val="center"/>
          </w:tcPr>
          <w:p w14:paraId="186C153C" w14:textId="77777777" w:rsidR="00976265" w:rsidRPr="002D7798" w:rsidRDefault="00976265">
            <w:pPr>
              <w:spacing w:before="20" w:after="20" w:line="276" w:lineRule="auto"/>
              <w:jc w:val="right"/>
              <w:rPr>
                <w:noProof/>
                <w:sz w:val="20"/>
                <w:szCs w:val="20"/>
              </w:rPr>
            </w:pPr>
          </w:p>
        </w:tc>
        <w:tc>
          <w:tcPr>
            <w:tcW w:w="868" w:type="dxa"/>
            <w:vAlign w:val="center"/>
          </w:tcPr>
          <w:p w14:paraId="05774E15" w14:textId="77777777" w:rsidR="00976265" w:rsidRPr="002D7798" w:rsidRDefault="00976265">
            <w:pPr>
              <w:spacing w:before="20" w:after="20" w:line="276" w:lineRule="auto"/>
              <w:jc w:val="right"/>
              <w:rPr>
                <w:b/>
                <w:noProof/>
                <w:sz w:val="20"/>
                <w:szCs w:val="20"/>
              </w:rPr>
            </w:pPr>
          </w:p>
        </w:tc>
        <w:tc>
          <w:tcPr>
            <w:tcW w:w="1777" w:type="dxa"/>
            <w:vAlign w:val="center"/>
          </w:tcPr>
          <w:p w14:paraId="4CFB2058" w14:textId="77777777" w:rsidR="00976265" w:rsidRPr="002D7798" w:rsidRDefault="0064263D">
            <w:pPr>
              <w:spacing w:before="20" w:after="20" w:line="276" w:lineRule="auto"/>
              <w:jc w:val="right"/>
              <w:rPr>
                <w:b/>
                <w:noProof/>
                <w:sz w:val="20"/>
                <w:szCs w:val="20"/>
              </w:rPr>
            </w:pPr>
            <w:r w:rsidRPr="002D7798">
              <w:rPr>
                <w:b/>
                <w:noProof/>
                <w:sz w:val="20"/>
              </w:rPr>
              <w:t>2,736</w:t>
            </w:r>
          </w:p>
        </w:tc>
      </w:tr>
      <w:tr w:rsidR="00851B85" w:rsidRPr="002D7798" w14:paraId="0E3F78E0" w14:textId="77777777">
        <w:tc>
          <w:tcPr>
            <w:tcW w:w="3960" w:type="dxa"/>
            <w:vMerge w:val="restart"/>
            <w:vAlign w:val="center"/>
          </w:tcPr>
          <w:p w14:paraId="08C8FB9E" w14:textId="77777777" w:rsidR="00976265" w:rsidRPr="002D7798" w:rsidRDefault="0064263D">
            <w:pPr>
              <w:spacing w:before="0" w:after="200" w:line="276" w:lineRule="auto"/>
              <w:jc w:val="left"/>
              <w:rPr>
                <w:noProof/>
                <w:szCs w:val="20"/>
              </w:rPr>
            </w:pPr>
            <w:r w:rsidRPr="002D7798">
              <w:rPr>
                <w:noProof/>
                <w:sz w:val="20"/>
              </w:rPr>
              <w:t>Rozpočtová hlava 2:</w:t>
            </w:r>
          </w:p>
        </w:tc>
        <w:tc>
          <w:tcPr>
            <w:tcW w:w="1440" w:type="dxa"/>
            <w:vAlign w:val="center"/>
          </w:tcPr>
          <w:p w14:paraId="2169872F" w14:textId="77777777" w:rsidR="00976265" w:rsidRPr="002D7798" w:rsidRDefault="0064263D">
            <w:pPr>
              <w:spacing w:before="20" w:after="20" w:line="276" w:lineRule="auto"/>
              <w:jc w:val="left"/>
              <w:rPr>
                <w:noProof/>
                <w:sz w:val="18"/>
                <w:szCs w:val="20"/>
              </w:rPr>
            </w:pPr>
            <w:r w:rsidRPr="002D7798">
              <w:rPr>
                <w:noProof/>
                <w:sz w:val="18"/>
              </w:rPr>
              <w:t>Závazky</w:t>
            </w:r>
          </w:p>
        </w:tc>
        <w:tc>
          <w:tcPr>
            <w:tcW w:w="654" w:type="dxa"/>
            <w:gridSpan w:val="2"/>
            <w:vAlign w:val="center"/>
          </w:tcPr>
          <w:p w14:paraId="6873E50C" w14:textId="77777777" w:rsidR="00976265" w:rsidRPr="002D7798" w:rsidRDefault="0064263D">
            <w:pPr>
              <w:spacing w:before="20" w:after="20" w:line="276" w:lineRule="auto"/>
              <w:jc w:val="center"/>
              <w:rPr>
                <w:noProof/>
                <w:sz w:val="14"/>
                <w:szCs w:val="20"/>
              </w:rPr>
            </w:pPr>
            <w:r w:rsidRPr="002D7798">
              <w:rPr>
                <w:noProof/>
                <w:sz w:val="14"/>
              </w:rPr>
              <w:t>(1a)</w:t>
            </w:r>
          </w:p>
        </w:tc>
        <w:tc>
          <w:tcPr>
            <w:tcW w:w="868" w:type="dxa"/>
            <w:vAlign w:val="center"/>
          </w:tcPr>
          <w:p w14:paraId="4126E86F" w14:textId="77777777" w:rsidR="00976265" w:rsidRPr="002D7798" w:rsidRDefault="00976265">
            <w:pPr>
              <w:spacing w:before="20" w:after="20" w:line="276" w:lineRule="auto"/>
              <w:jc w:val="right"/>
              <w:rPr>
                <w:noProof/>
                <w:sz w:val="20"/>
                <w:szCs w:val="20"/>
              </w:rPr>
            </w:pPr>
          </w:p>
        </w:tc>
        <w:tc>
          <w:tcPr>
            <w:tcW w:w="868" w:type="dxa"/>
            <w:vAlign w:val="center"/>
          </w:tcPr>
          <w:p w14:paraId="0CAFB375" w14:textId="77777777" w:rsidR="00976265" w:rsidRPr="002D7798" w:rsidRDefault="00976265">
            <w:pPr>
              <w:spacing w:before="20" w:after="20" w:line="276" w:lineRule="auto"/>
              <w:jc w:val="right"/>
              <w:rPr>
                <w:noProof/>
                <w:sz w:val="20"/>
                <w:szCs w:val="20"/>
              </w:rPr>
            </w:pPr>
          </w:p>
        </w:tc>
        <w:tc>
          <w:tcPr>
            <w:tcW w:w="868" w:type="dxa"/>
            <w:vAlign w:val="center"/>
          </w:tcPr>
          <w:p w14:paraId="4B844DC5" w14:textId="77777777" w:rsidR="00976265" w:rsidRPr="002D7798" w:rsidRDefault="00976265">
            <w:pPr>
              <w:spacing w:before="20" w:after="20" w:line="276" w:lineRule="auto"/>
              <w:jc w:val="right"/>
              <w:rPr>
                <w:noProof/>
                <w:sz w:val="20"/>
                <w:szCs w:val="20"/>
              </w:rPr>
            </w:pPr>
          </w:p>
        </w:tc>
        <w:tc>
          <w:tcPr>
            <w:tcW w:w="868" w:type="dxa"/>
            <w:vAlign w:val="center"/>
          </w:tcPr>
          <w:p w14:paraId="2DA8563C" w14:textId="77777777" w:rsidR="00976265" w:rsidRPr="002D7798" w:rsidRDefault="00976265">
            <w:pPr>
              <w:spacing w:before="20" w:after="20" w:line="276" w:lineRule="auto"/>
              <w:jc w:val="right"/>
              <w:rPr>
                <w:noProof/>
                <w:sz w:val="20"/>
                <w:szCs w:val="20"/>
              </w:rPr>
            </w:pPr>
          </w:p>
        </w:tc>
        <w:tc>
          <w:tcPr>
            <w:tcW w:w="868" w:type="dxa"/>
            <w:vAlign w:val="center"/>
          </w:tcPr>
          <w:p w14:paraId="2E010334" w14:textId="77777777" w:rsidR="00976265" w:rsidRPr="002D7798" w:rsidRDefault="00976265">
            <w:pPr>
              <w:spacing w:before="20" w:after="20" w:line="276" w:lineRule="auto"/>
              <w:jc w:val="right"/>
              <w:rPr>
                <w:noProof/>
                <w:sz w:val="20"/>
                <w:szCs w:val="20"/>
              </w:rPr>
            </w:pPr>
          </w:p>
        </w:tc>
        <w:tc>
          <w:tcPr>
            <w:tcW w:w="868" w:type="dxa"/>
            <w:vAlign w:val="center"/>
          </w:tcPr>
          <w:p w14:paraId="77E4BFB3" w14:textId="77777777" w:rsidR="00976265" w:rsidRPr="002D7798" w:rsidRDefault="00976265">
            <w:pPr>
              <w:spacing w:before="20" w:after="20" w:line="276" w:lineRule="auto"/>
              <w:jc w:val="right"/>
              <w:rPr>
                <w:noProof/>
                <w:sz w:val="20"/>
                <w:szCs w:val="20"/>
              </w:rPr>
            </w:pPr>
          </w:p>
        </w:tc>
        <w:tc>
          <w:tcPr>
            <w:tcW w:w="868" w:type="dxa"/>
            <w:vAlign w:val="center"/>
          </w:tcPr>
          <w:p w14:paraId="1D9B1FC1" w14:textId="77777777" w:rsidR="00976265" w:rsidRPr="002D7798" w:rsidRDefault="00976265">
            <w:pPr>
              <w:spacing w:before="20" w:after="20" w:line="276" w:lineRule="auto"/>
              <w:jc w:val="right"/>
              <w:rPr>
                <w:b/>
                <w:noProof/>
                <w:sz w:val="20"/>
                <w:szCs w:val="20"/>
              </w:rPr>
            </w:pPr>
          </w:p>
        </w:tc>
        <w:tc>
          <w:tcPr>
            <w:tcW w:w="1777" w:type="dxa"/>
            <w:vAlign w:val="center"/>
          </w:tcPr>
          <w:p w14:paraId="631DEDFA" w14:textId="77777777" w:rsidR="00976265" w:rsidRPr="002D7798" w:rsidRDefault="00976265">
            <w:pPr>
              <w:spacing w:before="20" w:after="20" w:line="276" w:lineRule="auto"/>
              <w:jc w:val="right"/>
              <w:rPr>
                <w:b/>
                <w:noProof/>
                <w:sz w:val="20"/>
                <w:szCs w:val="20"/>
              </w:rPr>
            </w:pPr>
          </w:p>
        </w:tc>
      </w:tr>
      <w:tr w:rsidR="00851B85" w:rsidRPr="002D7798" w14:paraId="37598417" w14:textId="77777777">
        <w:tc>
          <w:tcPr>
            <w:tcW w:w="3960" w:type="dxa"/>
            <w:vMerge/>
            <w:vAlign w:val="center"/>
          </w:tcPr>
          <w:p w14:paraId="340CCFD0" w14:textId="77777777" w:rsidR="00976265" w:rsidRPr="002D7798" w:rsidRDefault="00976265">
            <w:pPr>
              <w:spacing w:before="0" w:after="200" w:line="276" w:lineRule="auto"/>
              <w:jc w:val="left"/>
              <w:rPr>
                <w:noProof/>
                <w:szCs w:val="20"/>
              </w:rPr>
            </w:pPr>
          </w:p>
        </w:tc>
        <w:tc>
          <w:tcPr>
            <w:tcW w:w="1440" w:type="dxa"/>
            <w:vAlign w:val="center"/>
          </w:tcPr>
          <w:p w14:paraId="6A8D3F5E" w14:textId="77777777" w:rsidR="00976265" w:rsidRPr="002D7798" w:rsidRDefault="0064263D">
            <w:pPr>
              <w:spacing w:before="20" w:after="20" w:line="276" w:lineRule="auto"/>
              <w:jc w:val="left"/>
              <w:rPr>
                <w:noProof/>
                <w:sz w:val="18"/>
                <w:szCs w:val="20"/>
              </w:rPr>
            </w:pPr>
            <w:r w:rsidRPr="002D7798">
              <w:rPr>
                <w:noProof/>
                <w:sz w:val="18"/>
              </w:rPr>
              <w:t>Platby</w:t>
            </w:r>
          </w:p>
        </w:tc>
        <w:tc>
          <w:tcPr>
            <w:tcW w:w="654" w:type="dxa"/>
            <w:gridSpan w:val="2"/>
            <w:vAlign w:val="center"/>
          </w:tcPr>
          <w:p w14:paraId="47C4ED10" w14:textId="77777777" w:rsidR="00976265" w:rsidRPr="002D7798" w:rsidRDefault="0064263D">
            <w:pPr>
              <w:spacing w:before="20" w:after="20" w:line="276" w:lineRule="auto"/>
              <w:jc w:val="center"/>
              <w:rPr>
                <w:noProof/>
                <w:sz w:val="14"/>
                <w:szCs w:val="20"/>
              </w:rPr>
            </w:pPr>
            <w:r w:rsidRPr="002D7798">
              <w:rPr>
                <w:noProof/>
                <w:sz w:val="14"/>
              </w:rPr>
              <w:t>(2a)</w:t>
            </w:r>
          </w:p>
        </w:tc>
        <w:tc>
          <w:tcPr>
            <w:tcW w:w="868" w:type="dxa"/>
            <w:vAlign w:val="center"/>
          </w:tcPr>
          <w:p w14:paraId="68C75893" w14:textId="77777777" w:rsidR="00976265" w:rsidRPr="002D7798" w:rsidRDefault="00976265">
            <w:pPr>
              <w:spacing w:before="20" w:after="20" w:line="276" w:lineRule="auto"/>
              <w:jc w:val="right"/>
              <w:rPr>
                <w:noProof/>
                <w:sz w:val="20"/>
                <w:szCs w:val="20"/>
              </w:rPr>
            </w:pPr>
          </w:p>
        </w:tc>
        <w:tc>
          <w:tcPr>
            <w:tcW w:w="868" w:type="dxa"/>
            <w:vAlign w:val="center"/>
          </w:tcPr>
          <w:p w14:paraId="429DF078" w14:textId="77777777" w:rsidR="00976265" w:rsidRPr="002D7798" w:rsidRDefault="00976265">
            <w:pPr>
              <w:spacing w:before="20" w:after="20" w:line="276" w:lineRule="auto"/>
              <w:jc w:val="right"/>
              <w:rPr>
                <w:noProof/>
                <w:sz w:val="20"/>
                <w:szCs w:val="20"/>
              </w:rPr>
            </w:pPr>
          </w:p>
        </w:tc>
        <w:tc>
          <w:tcPr>
            <w:tcW w:w="868" w:type="dxa"/>
            <w:vAlign w:val="center"/>
          </w:tcPr>
          <w:p w14:paraId="401F091B" w14:textId="77777777" w:rsidR="00976265" w:rsidRPr="002D7798" w:rsidRDefault="00976265">
            <w:pPr>
              <w:spacing w:before="20" w:after="20" w:line="276" w:lineRule="auto"/>
              <w:jc w:val="right"/>
              <w:rPr>
                <w:noProof/>
                <w:sz w:val="20"/>
                <w:szCs w:val="20"/>
              </w:rPr>
            </w:pPr>
          </w:p>
        </w:tc>
        <w:tc>
          <w:tcPr>
            <w:tcW w:w="868" w:type="dxa"/>
            <w:vAlign w:val="center"/>
          </w:tcPr>
          <w:p w14:paraId="01AD1EAA" w14:textId="77777777" w:rsidR="00976265" w:rsidRPr="002D7798" w:rsidRDefault="00976265">
            <w:pPr>
              <w:spacing w:before="20" w:after="20" w:line="276" w:lineRule="auto"/>
              <w:jc w:val="right"/>
              <w:rPr>
                <w:noProof/>
                <w:sz w:val="20"/>
                <w:szCs w:val="20"/>
              </w:rPr>
            </w:pPr>
          </w:p>
        </w:tc>
        <w:tc>
          <w:tcPr>
            <w:tcW w:w="868" w:type="dxa"/>
            <w:vAlign w:val="center"/>
          </w:tcPr>
          <w:p w14:paraId="697E08AB" w14:textId="77777777" w:rsidR="00976265" w:rsidRPr="002D7798" w:rsidRDefault="00976265">
            <w:pPr>
              <w:spacing w:before="20" w:after="20" w:line="276" w:lineRule="auto"/>
              <w:jc w:val="right"/>
              <w:rPr>
                <w:noProof/>
                <w:sz w:val="20"/>
                <w:szCs w:val="20"/>
              </w:rPr>
            </w:pPr>
          </w:p>
        </w:tc>
        <w:tc>
          <w:tcPr>
            <w:tcW w:w="868" w:type="dxa"/>
            <w:vAlign w:val="center"/>
          </w:tcPr>
          <w:p w14:paraId="231F68B5" w14:textId="77777777" w:rsidR="00976265" w:rsidRPr="002D7798" w:rsidRDefault="00976265">
            <w:pPr>
              <w:spacing w:before="20" w:after="20" w:line="276" w:lineRule="auto"/>
              <w:jc w:val="right"/>
              <w:rPr>
                <w:noProof/>
                <w:sz w:val="20"/>
                <w:szCs w:val="20"/>
              </w:rPr>
            </w:pPr>
          </w:p>
        </w:tc>
        <w:tc>
          <w:tcPr>
            <w:tcW w:w="868" w:type="dxa"/>
            <w:vAlign w:val="center"/>
          </w:tcPr>
          <w:p w14:paraId="0700B768" w14:textId="77777777" w:rsidR="00976265" w:rsidRPr="002D7798" w:rsidRDefault="00976265">
            <w:pPr>
              <w:spacing w:before="20" w:after="20" w:line="276" w:lineRule="auto"/>
              <w:jc w:val="right"/>
              <w:rPr>
                <w:b/>
                <w:noProof/>
                <w:sz w:val="20"/>
                <w:szCs w:val="20"/>
              </w:rPr>
            </w:pPr>
          </w:p>
        </w:tc>
        <w:tc>
          <w:tcPr>
            <w:tcW w:w="1777" w:type="dxa"/>
            <w:vAlign w:val="center"/>
          </w:tcPr>
          <w:p w14:paraId="4188C77B" w14:textId="77777777" w:rsidR="00976265" w:rsidRPr="002D7798" w:rsidRDefault="00976265">
            <w:pPr>
              <w:spacing w:before="20" w:after="20" w:line="276" w:lineRule="auto"/>
              <w:jc w:val="right"/>
              <w:rPr>
                <w:b/>
                <w:noProof/>
                <w:sz w:val="20"/>
                <w:szCs w:val="20"/>
              </w:rPr>
            </w:pPr>
          </w:p>
        </w:tc>
      </w:tr>
      <w:tr w:rsidR="00851B85" w:rsidRPr="002D7798" w14:paraId="05AECA90" w14:textId="77777777">
        <w:trPr>
          <w:trHeight w:val="319"/>
        </w:trPr>
        <w:tc>
          <w:tcPr>
            <w:tcW w:w="3960" w:type="dxa"/>
            <w:vAlign w:val="center"/>
          </w:tcPr>
          <w:p w14:paraId="002D27FF" w14:textId="77777777" w:rsidR="00976265" w:rsidRPr="002D7798" w:rsidRDefault="0064263D">
            <w:pPr>
              <w:spacing w:before="60" w:after="60" w:line="276" w:lineRule="auto"/>
              <w:jc w:val="left"/>
              <w:rPr>
                <w:noProof/>
                <w:szCs w:val="20"/>
              </w:rPr>
            </w:pPr>
            <w:r w:rsidRPr="002D7798">
              <w:rPr>
                <w:noProof/>
                <w:sz w:val="20"/>
              </w:rPr>
              <w:t>Rozpočtová hlava 3:</w:t>
            </w:r>
          </w:p>
        </w:tc>
        <w:tc>
          <w:tcPr>
            <w:tcW w:w="1440" w:type="dxa"/>
            <w:vAlign w:val="center"/>
          </w:tcPr>
          <w:p w14:paraId="5F64199B" w14:textId="77777777" w:rsidR="00976265" w:rsidRPr="002D7798" w:rsidRDefault="0064263D">
            <w:pPr>
              <w:spacing w:before="40" w:after="40" w:line="276" w:lineRule="auto"/>
              <w:jc w:val="left"/>
              <w:rPr>
                <w:noProof/>
                <w:sz w:val="18"/>
                <w:szCs w:val="20"/>
              </w:rPr>
            </w:pPr>
            <w:r w:rsidRPr="002D7798">
              <w:rPr>
                <w:noProof/>
                <w:sz w:val="18"/>
              </w:rPr>
              <w:t>Závazky</w:t>
            </w:r>
          </w:p>
        </w:tc>
        <w:tc>
          <w:tcPr>
            <w:tcW w:w="654" w:type="dxa"/>
            <w:gridSpan w:val="2"/>
            <w:vAlign w:val="center"/>
          </w:tcPr>
          <w:p w14:paraId="1E374374" w14:textId="77777777" w:rsidR="00976265" w:rsidRPr="002D7798" w:rsidRDefault="0064263D">
            <w:pPr>
              <w:spacing w:before="40" w:after="40" w:line="276" w:lineRule="auto"/>
              <w:jc w:val="center"/>
              <w:rPr>
                <w:noProof/>
                <w:sz w:val="14"/>
                <w:szCs w:val="20"/>
              </w:rPr>
            </w:pPr>
            <w:r w:rsidRPr="002D7798">
              <w:rPr>
                <w:noProof/>
                <w:sz w:val="14"/>
              </w:rPr>
              <w:t>(3a)</w:t>
            </w:r>
          </w:p>
        </w:tc>
        <w:tc>
          <w:tcPr>
            <w:tcW w:w="868" w:type="dxa"/>
            <w:vAlign w:val="center"/>
          </w:tcPr>
          <w:p w14:paraId="49236978" w14:textId="77777777" w:rsidR="00976265" w:rsidRPr="002D7798" w:rsidRDefault="00976265">
            <w:pPr>
              <w:spacing w:before="40" w:after="40" w:line="276" w:lineRule="auto"/>
              <w:jc w:val="right"/>
              <w:rPr>
                <w:b/>
                <w:noProof/>
                <w:sz w:val="20"/>
                <w:szCs w:val="20"/>
              </w:rPr>
            </w:pPr>
          </w:p>
        </w:tc>
        <w:tc>
          <w:tcPr>
            <w:tcW w:w="868" w:type="dxa"/>
            <w:vAlign w:val="center"/>
          </w:tcPr>
          <w:p w14:paraId="6E920080" w14:textId="77777777" w:rsidR="00976265" w:rsidRPr="002D7798" w:rsidRDefault="00976265">
            <w:pPr>
              <w:spacing w:before="40" w:after="40" w:line="276" w:lineRule="auto"/>
              <w:jc w:val="right"/>
              <w:rPr>
                <w:b/>
                <w:noProof/>
                <w:sz w:val="20"/>
                <w:szCs w:val="20"/>
              </w:rPr>
            </w:pPr>
          </w:p>
        </w:tc>
        <w:tc>
          <w:tcPr>
            <w:tcW w:w="868" w:type="dxa"/>
            <w:vAlign w:val="center"/>
          </w:tcPr>
          <w:p w14:paraId="722A1B85" w14:textId="77777777" w:rsidR="00976265" w:rsidRPr="002D7798" w:rsidRDefault="00976265">
            <w:pPr>
              <w:spacing w:before="40" w:after="40" w:line="276" w:lineRule="auto"/>
              <w:jc w:val="right"/>
              <w:rPr>
                <w:b/>
                <w:noProof/>
                <w:sz w:val="20"/>
                <w:szCs w:val="20"/>
              </w:rPr>
            </w:pPr>
          </w:p>
        </w:tc>
        <w:tc>
          <w:tcPr>
            <w:tcW w:w="868" w:type="dxa"/>
            <w:vAlign w:val="center"/>
          </w:tcPr>
          <w:p w14:paraId="546EA23E" w14:textId="77777777" w:rsidR="00976265" w:rsidRPr="002D7798" w:rsidRDefault="00976265">
            <w:pPr>
              <w:spacing w:before="40" w:after="40" w:line="276" w:lineRule="auto"/>
              <w:jc w:val="right"/>
              <w:rPr>
                <w:b/>
                <w:noProof/>
                <w:sz w:val="20"/>
                <w:szCs w:val="20"/>
              </w:rPr>
            </w:pPr>
          </w:p>
        </w:tc>
        <w:tc>
          <w:tcPr>
            <w:tcW w:w="868" w:type="dxa"/>
            <w:vAlign w:val="center"/>
          </w:tcPr>
          <w:p w14:paraId="33531824" w14:textId="77777777" w:rsidR="00976265" w:rsidRPr="002D7798" w:rsidRDefault="00976265">
            <w:pPr>
              <w:spacing w:before="40" w:after="40" w:line="276" w:lineRule="auto"/>
              <w:jc w:val="right"/>
              <w:rPr>
                <w:b/>
                <w:noProof/>
                <w:sz w:val="20"/>
                <w:szCs w:val="20"/>
              </w:rPr>
            </w:pPr>
          </w:p>
        </w:tc>
        <w:tc>
          <w:tcPr>
            <w:tcW w:w="868" w:type="dxa"/>
            <w:vAlign w:val="center"/>
          </w:tcPr>
          <w:p w14:paraId="15D1DAF9" w14:textId="77777777" w:rsidR="00976265" w:rsidRPr="002D7798" w:rsidRDefault="00976265">
            <w:pPr>
              <w:spacing w:before="40" w:after="40" w:line="276" w:lineRule="auto"/>
              <w:jc w:val="right"/>
              <w:rPr>
                <w:b/>
                <w:noProof/>
                <w:sz w:val="20"/>
                <w:szCs w:val="20"/>
              </w:rPr>
            </w:pPr>
          </w:p>
        </w:tc>
        <w:tc>
          <w:tcPr>
            <w:tcW w:w="868" w:type="dxa"/>
            <w:vAlign w:val="center"/>
          </w:tcPr>
          <w:p w14:paraId="2ECA3748" w14:textId="77777777" w:rsidR="00976265" w:rsidRPr="002D7798" w:rsidRDefault="00976265">
            <w:pPr>
              <w:spacing w:before="40" w:after="40" w:line="276" w:lineRule="auto"/>
              <w:jc w:val="right"/>
              <w:rPr>
                <w:b/>
                <w:noProof/>
                <w:sz w:val="20"/>
                <w:szCs w:val="20"/>
              </w:rPr>
            </w:pPr>
          </w:p>
        </w:tc>
        <w:tc>
          <w:tcPr>
            <w:tcW w:w="1777" w:type="dxa"/>
            <w:vAlign w:val="center"/>
          </w:tcPr>
          <w:p w14:paraId="1EB7A12C" w14:textId="77777777" w:rsidR="00976265" w:rsidRPr="002D7798" w:rsidRDefault="00976265">
            <w:pPr>
              <w:spacing w:before="40" w:after="40" w:line="276" w:lineRule="auto"/>
              <w:jc w:val="right"/>
              <w:rPr>
                <w:b/>
                <w:noProof/>
                <w:sz w:val="20"/>
                <w:szCs w:val="20"/>
              </w:rPr>
            </w:pPr>
          </w:p>
        </w:tc>
      </w:tr>
      <w:tr w:rsidR="00851B85" w:rsidRPr="002D7798" w14:paraId="1673D5ED" w14:textId="77777777">
        <w:trPr>
          <w:trHeight w:val="319"/>
        </w:trPr>
        <w:tc>
          <w:tcPr>
            <w:tcW w:w="3960" w:type="dxa"/>
            <w:vAlign w:val="center"/>
          </w:tcPr>
          <w:p w14:paraId="1D9DA4EC" w14:textId="77777777" w:rsidR="00976265" w:rsidRPr="002D7798" w:rsidRDefault="00976265">
            <w:pPr>
              <w:spacing w:before="60" w:after="60" w:line="276" w:lineRule="auto"/>
              <w:jc w:val="left"/>
              <w:rPr>
                <w:b/>
                <w:noProof/>
                <w:sz w:val="20"/>
                <w:szCs w:val="20"/>
              </w:rPr>
            </w:pPr>
          </w:p>
        </w:tc>
        <w:tc>
          <w:tcPr>
            <w:tcW w:w="1440" w:type="dxa"/>
            <w:vAlign w:val="center"/>
          </w:tcPr>
          <w:p w14:paraId="43CCA476" w14:textId="77777777" w:rsidR="00976265" w:rsidRPr="002D7798" w:rsidRDefault="0064263D">
            <w:pPr>
              <w:spacing w:before="40" w:after="40" w:line="276" w:lineRule="auto"/>
              <w:jc w:val="left"/>
              <w:rPr>
                <w:noProof/>
                <w:sz w:val="18"/>
                <w:szCs w:val="20"/>
              </w:rPr>
            </w:pPr>
            <w:r w:rsidRPr="002D7798">
              <w:rPr>
                <w:noProof/>
                <w:sz w:val="18"/>
              </w:rPr>
              <w:t>Platby</w:t>
            </w:r>
          </w:p>
        </w:tc>
        <w:tc>
          <w:tcPr>
            <w:tcW w:w="654" w:type="dxa"/>
            <w:gridSpan w:val="2"/>
            <w:vAlign w:val="center"/>
          </w:tcPr>
          <w:p w14:paraId="1CCE1B96" w14:textId="77777777" w:rsidR="00976265" w:rsidRPr="002D7798" w:rsidRDefault="0064263D">
            <w:pPr>
              <w:spacing w:before="40" w:after="40" w:line="276" w:lineRule="auto"/>
              <w:jc w:val="center"/>
              <w:rPr>
                <w:noProof/>
                <w:sz w:val="14"/>
                <w:szCs w:val="20"/>
              </w:rPr>
            </w:pPr>
            <w:r w:rsidRPr="002D7798">
              <w:rPr>
                <w:noProof/>
                <w:sz w:val="14"/>
              </w:rPr>
              <w:t>(3b)</w:t>
            </w:r>
          </w:p>
        </w:tc>
        <w:tc>
          <w:tcPr>
            <w:tcW w:w="868" w:type="dxa"/>
            <w:vAlign w:val="center"/>
          </w:tcPr>
          <w:p w14:paraId="2A04FF5E" w14:textId="77777777" w:rsidR="00976265" w:rsidRPr="002D7798" w:rsidRDefault="00976265">
            <w:pPr>
              <w:spacing w:before="40" w:after="40" w:line="276" w:lineRule="auto"/>
              <w:jc w:val="right"/>
              <w:rPr>
                <w:b/>
                <w:noProof/>
                <w:sz w:val="20"/>
                <w:szCs w:val="20"/>
              </w:rPr>
            </w:pPr>
          </w:p>
        </w:tc>
        <w:tc>
          <w:tcPr>
            <w:tcW w:w="868" w:type="dxa"/>
            <w:vAlign w:val="center"/>
          </w:tcPr>
          <w:p w14:paraId="1CC583A1" w14:textId="77777777" w:rsidR="00976265" w:rsidRPr="002D7798" w:rsidRDefault="00976265">
            <w:pPr>
              <w:spacing w:before="40" w:after="40" w:line="276" w:lineRule="auto"/>
              <w:jc w:val="right"/>
              <w:rPr>
                <w:b/>
                <w:noProof/>
                <w:sz w:val="20"/>
                <w:szCs w:val="20"/>
              </w:rPr>
            </w:pPr>
          </w:p>
        </w:tc>
        <w:tc>
          <w:tcPr>
            <w:tcW w:w="868" w:type="dxa"/>
            <w:vAlign w:val="center"/>
          </w:tcPr>
          <w:p w14:paraId="60578018" w14:textId="77777777" w:rsidR="00976265" w:rsidRPr="002D7798" w:rsidRDefault="00976265">
            <w:pPr>
              <w:spacing w:before="40" w:after="40" w:line="276" w:lineRule="auto"/>
              <w:jc w:val="right"/>
              <w:rPr>
                <w:b/>
                <w:noProof/>
                <w:sz w:val="20"/>
                <w:szCs w:val="20"/>
              </w:rPr>
            </w:pPr>
          </w:p>
        </w:tc>
        <w:tc>
          <w:tcPr>
            <w:tcW w:w="868" w:type="dxa"/>
            <w:vAlign w:val="center"/>
          </w:tcPr>
          <w:p w14:paraId="17D9F2EF" w14:textId="77777777" w:rsidR="00976265" w:rsidRPr="002D7798" w:rsidRDefault="00976265">
            <w:pPr>
              <w:spacing w:before="40" w:after="40" w:line="276" w:lineRule="auto"/>
              <w:jc w:val="right"/>
              <w:rPr>
                <w:b/>
                <w:noProof/>
                <w:sz w:val="20"/>
                <w:szCs w:val="20"/>
              </w:rPr>
            </w:pPr>
          </w:p>
        </w:tc>
        <w:tc>
          <w:tcPr>
            <w:tcW w:w="868" w:type="dxa"/>
            <w:vAlign w:val="center"/>
          </w:tcPr>
          <w:p w14:paraId="1F4988FA" w14:textId="77777777" w:rsidR="00976265" w:rsidRPr="002D7798" w:rsidRDefault="00976265">
            <w:pPr>
              <w:spacing w:before="40" w:after="40" w:line="276" w:lineRule="auto"/>
              <w:jc w:val="right"/>
              <w:rPr>
                <w:b/>
                <w:noProof/>
                <w:sz w:val="20"/>
                <w:szCs w:val="20"/>
              </w:rPr>
            </w:pPr>
          </w:p>
        </w:tc>
        <w:tc>
          <w:tcPr>
            <w:tcW w:w="868" w:type="dxa"/>
            <w:vAlign w:val="center"/>
          </w:tcPr>
          <w:p w14:paraId="6318A39A" w14:textId="77777777" w:rsidR="00976265" w:rsidRPr="002D7798" w:rsidRDefault="00976265">
            <w:pPr>
              <w:spacing w:before="40" w:after="40" w:line="276" w:lineRule="auto"/>
              <w:jc w:val="right"/>
              <w:rPr>
                <w:b/>
                <w:noProof/>
                <w:sz w:val="20"/>
                <w:szCs w:val="20"/>
              </w:rPr>
            </w:pPr>
          </w:p>
        </w:tc>
        <w:tc>
          <w:tcPr>
            <w:tcW w:w="868" w:type="dxa"/>
            <w:vAlign w:val="center"/>
          </w:tcPr>
          <w:p w14:paraId="43494168" w14:textId="77777777" w:rsidR="00976265" w:rsidRPr="002D7798" w:rsidRDefault="00976265">
            <w:pPr>
              <w:spacing w:before="40" w:after="40" w:line="276" w:lineRule="auto"/>
              <w:jc w:val="right"/>
              <w:rPr>
                <w:b/>
                <w:noProof/>
                <w:sz w:val="20"/>
                <w:szCs w:val="20"/>
              </w:rPr>
            </w:pPr>
          </w:p>
        </w:tc>
        <w:tc>
          <w:tcPr>
            <w:tcW w:w="1777" w:type="dxa"/>
            <w:vAlign w:val="center"/>
          </w:tcPr>
          <w:p w14:paraId="6C5F1349" w14:textId="77777777" w:rsidR="00976265" w:rsidRPr="002D7798" w:rsidRDefault="00976265">
            <w:pPr>
              <w:spacing w:before="40" w:after="40" w:line="276" w:lineRule="auto"/>
              <w:jc w:val="right"/>
              <w:rPr>
                <w:b/>
                <w:noProof/>
                <w:sz w:val="20"/>
                <w:szCs w:val="20"/>
              </w:rPr>
            </w:pPr>
          </w:p>
        </w:tc>
      </w:tr>
      <w:tr w:rsidR="00851B85" w:rsidRPr="002D7798" w14:paraId="50F3B4C0" w14:textId="77777777">
        <w:tc>
          <w:tcPr>
            <w:tcW w:w="3960" w:type="dxa"/>
            <w:vMerge w:val="restart"/>
            <w:vAlign w:val="center"/>
          </w:tcPr>
          <w:p w14:paraId="74E2A90E" w14:textId="77777777" w:rsidR="00976265" w:rsidRPr="002D7798" w:rsidRDefault="0064263D">
            <w:pPr>
              <w:spacing w:before="0" w:after="200" w:line="276" w:lineRule="auto"/>
              <w:jc w:val="center"/>
              <w:rPr>
                <w:noProof/>
                <w:szCs w:val="20"/>
              </w:rPr>
            </w:pPr>
            <w:r w:rsidRPr="002D7798">
              <w:rPr>
                <w:b/>
                <w:noProof/>
                <w:sz w:val="22"/>
              </w:rPr>
              <w:t>Prostředky</w:t>
            </w:r>
            <w:r w:rsidRPr="002D7798">
              <w:rPr>
                <w:noProof/>
              </w:rPr>
              <w:t xml:space="preserve"> </w:t>
            </w:r>
            <w:r w:rsidRPr="002D7798">
              <w:rPr>
                <w:noProof/>
              </w:rPr>
              <w:br/>
            </w:r>
            <w:r w:rsidRPr="002D7798">
              <w:rPr>
                <w:b/>
                <w:noProof/>
                <w:sz w:val="22"/>
              </w:rPr>
              <w:t>za ACER CELKEM</w:t>
            </w:r>
          </w:p>
        </w:tc>
        <w:tc>
          <w:tcPr>
            <w:tcW w:w="1440" w:type="dxa"/>
            <w:vAlign w:val="center"/>
          </w:tcPr>
          <w:p w14:paraId="367C74A0" w14:textId="77777777" w:rsidR="00976265" w:rsidRPr="002D7798" w:rsidRDefault="0064263D">
            <w:pPr>
              <w:spacing w:before="0" w:after="200" w:line="276" w:lineRule="auto"/>
              <w:jc w:val="left"/>
              <w:rPr>
                <w:noProof/>
                <w:sz w:val="18"/>
                <w:szCs w:val="20"/>
              </w:rPr>
            </w:pPr>
            <w:r w:rsidRPr="002D7798">
              <w:rPr>
                <w:noProof/>
                <w:sz w:val="18"/>
              </w:rPr>
              <w:t>Závazky</w:t>
            </w:r>
          </w:p>
        </w:tc>
        <w:tc>
          <w:tcPr>
            <w:tcW w:w="654" w:type="dxa"/>
            <w:gridSpan w:val="2"/>
            <w:vAlign w:val="center"/>
          </w:tcPr>
          <w:p w14:paraId="5F92DF63" w14:textId="77777777" w:rsidR="00976265" w:rsidRPr="002D7798" w:rsidRDefault="0064263D">
            <w:pPr>
              <w:spacing w:before="0" w:after="200" w:line="276" w:lineRule="auto"/>
              <w:jc w:val="center"/>
              <w:rPr>
                <w:noProof/>
                <w:sz w:val="14"/>
                <w:szCs w:val="20"/>
              </w:rPr>
            </w:pPr>
            <w:r w:rsidRPr="002D7798">
              <w:rPr>
                <w:noProof/>
                <w:sz w:val="14"/>
              </w:rPr>
              <w:t>=1+1a+3a</w:t>
            </w:r>
          </w:p>
        </w:tc>
        <w:tc>
          <w:tcPr>
            <w:tcW w:w="868" w:type="dxa"/>
            <w:vAlign w:val="center"/>
          </w:tcPr>
          <w:p w14:paraId="2090BAD3" w14:textId="77777777" w:rsidR="00976265" w:rsidRPr="002D7798" w:rsidRDefault="0064263D">
            <w:pPr>
              <w:spacing w:before="20" w:after="20" w:line="276" w:lineRule="auto"/>
              <w:jc w:val="right"/>
              <w:rPr>
                <w:b/>
                <w:bCs/>
                <w:noProof/>
                <w:sz w:val="20"/>
                <w:szCs w:val="20"/>
              </w:rPr>
            </w:pPr>
            <w:r w:rsidRPr="002D7798">
              <w:rPr>
                <w:b/>
                <w:noProof/>
                <w:sz w:val="20"/>
              </w:rPr>
              <w:t>0,684</w:t>
            </w:r>
          </w:p>
        </w:tc>
        <w:tc>
          <w:tcPr>
            <w:tcW w:w="868" w:type="dxa"/>
            <w:vAlign w:val="center"/>
          </w:tcPr>
          <w:p w14:paraId="6B5BECAB" w14:textId="77777777" w:rsidR="00976265" w:rsidRPr="002D7798" w:rsidRDefault="0064263D">
            <w:pPr>
              <w:spacing w:before="20" w:after="20" w:line="276" w:lineRule="auto"/>
              <w:jc w:val="right"/>
              <w:rPr>
                <w:b/>
                <w:bCs/>
                <w:noProof/>
                <w:sz w:val="20"/>
                <w:szCs w:val="20"/>
              </w:rPr>
            </w:pPr>
            <w:r w:rsidRPr="002D7798">
              <w:rPr>
                <w:b/>
                <w:noProof/>
                <w:sz w:val="20"/>
              </w:rPr>
              <w:t>0,684</w:t>
            </w:r>
          </w:p>
        </w:tc>
        <w:tc>
          <w:tcPr>
            <w:tcW w:w="868" w:type="dxa"/>
            <w:vAlign w:val="center"/>
          </w:tcPr>
          <w:p w14:paraId="409348EB" w14:textId="77777777" w:rsidR="00976265" w:rsidRPr="002D7798" w:rsidRDefault="0064263D">
            <w:pPr>
              <w:spacing w:before="20" w:after="20" w:line="276" w:lineRule="auto"/>
              <w:jc w:val="right"/>
              <w:rPr>
                <w:b/>
                <w:bCs/>
                <w:noProof/>
                <w:sz w:val="20"/>
                <w:szCs w:val="20"/>
              </w:rPr>
            </w:pPr>
            <w:r w:rsidRPr="002D7798">
              <w:rPr>
                <w:b/>
                <w:noProof/>
                <w:sz w:val="20"/>
              </w:rPr>
              <w:t>0,684</w:t>
            </w:r>
          </w:p>
        </w:tc>
        <w:tc>
          <w:tcPr>
            <w:tcW w:w="868" w:type="dxa"/>
            <w:vAlign w:val="center"/>
          </w:tcPr>
          <w:p w14:paraId="6D612F51" w14:textId="77777777" w:rsidR="00976265" w:rsidRPr="002D7798" w:rsidRDefault="0064263D">
            <w:pPr>
              <w:spacing w:before="20" w:after="20" w:line="276" w:lineRule="auto"/>
              <w:jc w:val="right"/>
              <w:rPr>
                <w:b/>
                <w:bCs/>
                <w:noProof/>
                <w:sz w:val="20"/>
                <w:szCs w:val="20"/>
              </w:rPr>
            </w:pPr>
            <w:r w:rsidRPr="002D7798">
              <w:rPr>
                <w:b/>
                <w:noProof/>
                <w:sz w:val="20"/>
              </w:rPr>
              <w:t>0,684</w:t>
            </w:r>
          </w:p>
        </w:tc>
        <w:tc>
          <w:tcPr>
            <w:tcW w:w="868" w:type="dxa"/>
            <w:vAlign w:val="center"/>
          </w:tcPr>
          <w:p w14:paraId="44612F5C" w14:textId="77777777" w:rsidR="00976265" w:rsidRPr="002D7798" w:rsidRDefault="00976265">
            <w:pPr>
              <w:spacing w:before="20" w:after="20" w:line="276" w:lineRule="auto"/>
              <w:jc w:val="right"/>
              <w:rPr>
                <w:noProof/>
                <w:sz w:val="20"/>
                <w:szCs w:val="20"/>
              </w:rPr>
            </w:pPr>
          </w:p>
        </w:tc>
        <w:tc>
          <w:tcPr>
            <w:tcW w:w="868" w:type="dxa"/>
            <w:vAlign w:val="center"/>
          </w:tcPr>
          <w:p w14:paraId="5F62BCDA" w14:textId="77777777" w:rsidR="00976265" w:rsidRPr="002D7798" w:rsidRDefault="00976265">
            <w:pPr>
              <w:spacing w:before="20" w:after="20" w:line="276" w:lineRule="auto"/>
              <w:jc w:val="right"/>
              <w:rPr>
                <w:noProof/>
                <w:sz w:val="20"/>
                <w:szCs w:val="20"/>
              </w:rPr>
            </w:pPr>
          </w:p>
        </w:tc>
        <w:tc>
          <w:tcPr>
            <w:tcW w:w="868" w:type="dxa"/>
            <w:vAlign w:val="center"/>
          </w:tcPr>
          <w:p w14:paraId="69F3EEA1" w14:textId="77777777" w:rsidR="00976265" w:rsidRPr="002D7798" w:rsidRDefault="00976265">
            <w:pPr>
              <w:spacing w:before="20" w:after="20" w:line="276" w:lineRule="auto"/>
              <w:jc w:val="right"/>
              <w:rPr>
                <w:b/>
                <w:noProof/>
                <w:sz w:val="20"/>
                <w:szCs w:val="20"/>
              </w:rPr>
            </w:pPr>
          </w:p>
        </w:tc>
        <w:tc>
          <w:tcPr>
            <w:tcW w:w="1777" w:type="dxa"/>
            <w:vAlign w:val="center"/>
          </w:tcPr>
          <w:p w14:paraId="4E1684DB" w14:textId="77777777" w:rsidR="00976265" w:rsidRPr="002D7798" w:rsidRDefault="0064263D">
            <w:pPr>
              <w:spacing w:before="20" w:after="20" w:line="276" w:lineRule="auto"/>
              <w:jc w:val="right"/>
              <w:rPr>
                <w:b/>
                <w:noProof/>
                <w:sz w:val="20"/>
                <w:szCs w:val="20"/>
              </w:rPr>
            </w:pPr>
            <w:r w:rsidRPr="002D7798">
              <w:rPr>
                <w:b/>
                <w:noProof/>
                <w:sz w:val="20"/>
              </w:rPr>
              <w:t>2,736</w:t>
            </w:r>
          </w:p>
        </w:tc>
      </w:tr>
      <w:tr w:rsidR="00851B85" w:rsidRPr="002D7798" w14:paraId="17A0423C" w14:textId="77777777">
        <w:tc>
          <w:tcPr>
            <w:tcW w:w="3960" w:type="dxa"/>
            <w:vMerge/>
            <w:vAlign w:val="center"/>
          </w:tcPr>
          <w:p w14:paraId="306A18DF" w14:textId="77777777" w:rsidR="00976265" w:rsidRPr="002D7798" w:rsidRDefault="00976265">
            <w:pPr>
              <w:spacing w:before="0" w:after="200" w:line="276" w:lineRule="auto"/>
              <w:jc w:val="left"/>
              <w:rPr>
                <w:b/>
                <w:noProof/>
                <w:szCs w:val="20"/>
              </w:rPr>
            </w:pPr>
          </w:p>
        </w:tc>
        <w:tc>
          <w:tcPr>
            <w:tcW w:w="1440" w:type="dxa"/>
            <w:vAlign w:val="center"/>
          </w:tcPr>
          <w:p w14:paraId="7148E4CC" w14:textId="77777777" w:rsidR="00976265" w:rsidRPr="002D7798" w:rsidRDefault="0064263D">
            <w:pPr>
              <w:spacing w:before="0" w:after="200" w:line="276" w:lineRule="auto"/>
              <w:jc w:val="left"/>
              <w:rPr>
                <w:noProof/>
                <w:sz w:val="18"/>
                <w:szCs w:val="20"/>
              </w:rPr>
            </w:pPr>
            <w:r w:rsidRPr="002D7798">
              <w:rPr>
                <w:noProof/>
                <w:sz w:val="18"/>
              </w:rPr>
              <w:t>Platby</w:t>
            </w:r>
          </w:p>
        </w:tc>
        <w:tc>
          <w:tcPr>
            <w:tcW w:w="654" w:type="dxa"/>
            <w:gridSpan w:val="2"/>
            <w:vAlign w:val="center"/>
          </w:tcPr>
          <w:p w14:paraId="147E5262" w14:textId="77777777" w:rsidR="00976265" w:rsidRPr="002D7798" w:rsidRDefault="0064263D">
            <w:pPr>
              <w:spacing w:before="0" w:after="200" w:line="276" w:lineRule="auto"/>
              <w:jc w:val="center"/>
              <w:rPr>
                <w:noProof/>
                <w:sz w:val="14"/>
                <w:szCs w:val="20"/>
              </w:rPr>
            </w:pPr>
            <w:r w:rsidRPr="002D7798">
              <w:rPr>
                <w:noProof/>
                <w:sz w:val="14"/>
              </w:rPr>
              <w:t>=2+2a</w:t>
            </w:r>
          </w:p>
          <w:p w14:paraId="4D2B3F36" w14:textId="77777777" w:rsidR="00976265" w:rsidRPr="002D7798" w:rsidRDefault="0064263D">
            <w:pPr>
              <w:spacing w:before="0" w:after="200" w:line="276" w:lineRule="auto"/>
              <w:jc w:val="center"/>
              <w:rPr>
                <w:noProof/>
                <w:sz w:val="14"/>
                <w:szCs w:val="20"/>
              </w:rPr>
            </w:pPr>
            <w:r w:rsidRPr="002D7798">
              <w:rPr>
                <w:noProof/>
                <w:sz w:val="14"/>
              </w:rPr>
              <w:t>+3b</w:t>
            </w:r>
          </w:p>
        </w:tc>
        <w:tc>
          <w:tcPr>
            <w:tcW w:w="868" w:type="dxa"/>
            <w:vAlign w:val="center"/>
          </w:tcPr>
          <w:p w14:paraId="0F24CAA5" w14:textId="77777777" w:rsidR="00976265" w:rsidRPr="002D7798" w:rsidRDefault="0064263D">
            <w:pPr>
              <w:spacing w:before="20" w:after="20" w:line="276" w:lineRule="auto"/>
              <w:jc w:val="right"/>
              <w:rPr>
                <w:b/>
                <w:bCs/>
                <w:noProof/>
                <w:sz w:val="20"/>
                <w:szCs w:val="20"/>
              </w:rPr>
            </w:pPr>
            <w:r w:rsidRPr="002D7798">
              <w:rPr>
                <w:b/>
                <w:noProof/>
                <w:sz w:val="20"/>
              </w:rPr>
              <w:t>0,684</w:t>
            </w:r>
          </w:p>
        </w:tc>
        <w:tc>
          <w:tcPr>
            <w:tcW w:w="868" w:type="dxa"/>
            <w:vAlign w:val="center"/>
          </w:tcPr>
          <w:p w14:paraId="117ECF1F" w14:textId="77777777" w:rsidR="00976265" w:rsidRPr="002D7798" w:rsidRDefault="0064263D">
            <w:pPr>
              <w:spacing w:before="20" w:after="20" w:line="276" w:lineRule="auto"/>
              <w:jc w:val="right"/>
              <w:rPr>
                <w:b/>
                <w:bCs/>
                <w:noProof/>
                <w:sz w:val="20"/>
                <w:szCs w:val="20"/>
              </w:rPr>
            </w:pPr>
            <w:r w:rsidRPr="002D7798">
              <w:rPr>
                <w:b/>
                <w:noProof/>
                <w:sz w:val="20"/>
              </w:rPr>
              <w:t>0,684</w:t>
            </w:r>
          </w:p>
        </w:tc>
        <w:tc>
          <w:tcPr>
            <w:tcW w:w="868" w:type="dxa"/>
            <w:vAlign w:val="center"/>
          </w:tcPr>
          <w:p w14:paraId="48DC8E0F" w14:textId="77777777" w:rsidR="00976265" w:rsidRPr="002D7798" w:rsidRDefault="0064263D">
            <w:pPr>
              <w:spacing w:before="20" w:after="20" w:line="276" w:lineRule="auto"/>
              <w:jc w:val="right"/>
              <w:rPr>
                <w:b/>
                <w:bCs/>
                <w:noProof/>
                <w:sz w:val="20"/>
                <w:szCs w:val="20"/>
              </w:rPr>
            </w:pPr>
            <w:r w:rsidRPr="002D7798">
              <w:rPr>
                <w:b/>
                <w:noProof/>
                <w:sz w:val="20"/>
              </w:rPr>
              <w:t>0,684</w:t>
            </w:r>
          </w:p>
        </w:tc>
        <w:tc>
          <w:tcPr>
            <w:tcW w:w="868" w:type="dxa"/>
            <w:vAlign w:val="center"/>
          </w:tcPr>
          <w:p w14:paraId="5042BF52" w14:textId="77777777" w:rsidR="00976265" w:rsidRPr="002D7798" w:rsidRDefault="0064263D">
            <w:pPr>
              <w:spacing w:before="20" w:after="20" w:line="276" w:lineRule="auto"/>
              <w:jc w:val="right"/>
              <w:rPr>
                <w:b/>
                <w:bCs/>
                <w:noProof/>
                <w:sz w:val="20"/>
                <w:szCs w:val="20"/>
              </w:rPr>
            </w:pPr>
            <w:r w:rsidRPr="002D7798">
              <w:rPr>
                <w:b/>
                <w:noProof/>
                <w:sz w:val="20"/>
              </w:rPr>
              <w:t>0,684</w:t>
            </w:r>
          </w:p>
        </w:tc>
        <w:tc>
          <w:tcPr>
            <w:tcW w:w="868" w:type="dxa"/>
            <w:vAlign w:val="center"/>
          </w:tcPr>
          <w:p w14:paraId="2BB29FE1" w14:textId="77777777" w:rsidR="00976265" w:rsidRPr="002D7798" w:rsidRDefault="00976265">
            <w:pPr>
              <w:spacing w:before="20" w:after="20" w:line="276" w:lineRule="auto"/>
              <w:jc w:val="right"/>
              <w:rPr>
                <w:noProof/>
                <w:sz w:val="20"/>
                <w:szCs w:val="20"/>
              </w:rPr>
            </w:pPr>
          </w:p>
        </w:tc>
        <w:tc>
          <w:tcPr>
            <w:tcW w:w="868" w:type="dxa"/>
            <w:vAlign w:val="center"/>
          </w:tcPr>
          <w:p w14:paraId="7EAC5493" w14:textId="77777777" w:rsidR="00976265" w:rsidRPr="002D7798" w:rsidRDefault="00976265">
            <w:pPr>
              <w:spacing w:before="20" w:after="20" w:line="276" w:lineRule="auto"/>
              <w:jc w:val="right"/>
              <w:rPr>
                <w:noProof/>
                <w:sz w:val="20"/>
                <w:szCs w:val="20"/>
              </w:rPr>
            </w:pPr>
          </w:p>
        </w:tc>
        <w:tc>
          <w:tcPr>
            <w:tcW w:w="868" w:type="dxa"/>
            <w:vAlign w:val="center"/>
          </w:tcPr>
          <w:p w14:paraId="34358370" w14:textId="77777777" w:rsidR="00976265" w:rsidRPr="002D7798" w:rsidRDefault="00976265">
            <w:pPr>
              <w:spacing w:before="20" w:after="20" w:line="276" w:lineRule="auto"/>
              <w:jc w:val="right"/>
              <w:rPr>
                <w:b/>
                <w:noProof/>
                <w:sz w:val="20"/>
                <w:szCs w:val="20"/>
              </w:rPr>
            </w:pPr>
          </w:p>
        </w:tc>
        <w:tc>
          <w:tcPr>
            <w:tcW w:w="1777" w:type="dxa"/>
            <w:vAlign w:val="center"/>
          </w:tcPr>
          <w:p w14:paraId="0400393B" w14:textId="77777777" w:rsidR="00976265" w:rsidRPr="002D7798" w:rsidRDefault="0064263D">
            <w:pPr>
              <w:spacing w:before="20" w:after="20" w:line="276" w:lineRule="auto"/>
              <w:jc w:val="right"/>
              <w:rPr>
                <w:b/>
                <w:noProof/>
                <w:sz w:val="20"/>
                <w:szCs w:val="20"/>
              </w:rPr>
            </w:pPr>
            <w:r w:rsidRPr="002D7798">
              <w:rPr>
                <w:b/>
                <w:noProof/>
                <w:sz w:val="20"/>
              </w:rPr>
              <w:t>2,736</w:t>
            </w:r>
          </w:p>
        </w:tc>
      </w:tr>
    </w:tbl>
    <w:p w14:paraId="7A19BB4E" w14:textId="77777777" w:rsidR="00976265" w:rsidRPr="002D7798" w:rsidRDefault="0064263D">
      <w:pPr>
        <w:spacing w:before="0" w:after="200" w:line="276" w:lineRule="auto"/>
        <w:jc w:val="left"/>
        <w:rPr>
          <w:noProof/>
          <w:szCs w:val="20"/>
        </w:rPr>
      </w:pPr>
      <w:r w:rsidRPr="002D7798">
        <w:rPr>
          <w:noProof/>
        </w:rPr>
        <w:t xml:space="preserve"> </w:t>
      </w:r>
      <w:r w:rsidRPr="002D7798">
        <w:rPr>
          <w:noProof/>
        </w:rPr>
        <w:br/>
        <w:t xml:space="preserve"> </w:t>
      </w:r>
      <w:r w:rsidRPr="002D7798">
        <w:rPr>
          <w:noProof/>
        </w:rPr>
        <w:br/>
      </w:r>
    </w:p>
    <w:p w14:paraId="4833926D" w14:textId="77777777" w:rsidR="00976265" w:rsidRPr="002D7798" w:rsidRDefault="0064263D">
      <w:pPr>
        <w:spacing w:before="0" w:after="200" w:line="276" w:lineRule="auto"/>
        <w:jc w:val="left"/>
        <w:rPr>
          <w:noProof/>
          <w:szCs w:val="20"/>
        </w:rPr>
      </w:pPr>
      <w:r w:rsidRPr="002D7798">
        <w:rPr>
          <w:noProof/>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851B85" w:rsidRPr="002D7798" w14:paraId="75FC9A9A" w14:textId="77777777">
        <w:trPr>
          <w:jc w:val="center"/>
        </w:trPr>
        <w:tc>
          <w:tcPr>
            <w:tcW w:w="4744" w:type="dxa"/>
            <w:shd w:val="thinDiagStripe" w:color="C0C0C0" w:fill="auto"/>
            <w:vAlign w:val="center"/>
          </w:tcPr>
          <w:p w14:paraId="7D85396F" w14:textId="77777777" w:rsidR="00976265" w:rsidRPr="002D7798" w:rsidRDefault="0064263D">
            <w:pPr>
              <w:spacing w:before="60" w:after="60" w:line="276" w:lineRule="auto"/>
              <w:jc w:val="center"/>
              <w:rPr>
                <w:b/>
                <w:noProof/>
                <w:szCs w:val="20"/>
              </w:rPr>
            </w:pPr>
            <w:r w:rsidRPr="002D7798">
              <w:rPr>
                <w:noProof/>
              </w:rPr>
              <w:br w:type="page"/>
            </w:r>
            <w:r w:rsidRPr="002D7798">
              <w:rPr>
                <w:b/>
                <w:noProof/>
                <w:sz w:val="22"/>
              </w:rPr>
              <w:t xml:space="preserve">Okruh víceletého finančního </w:t>
            </w:r>
            <w:r w:rsidRPr="002D7798">
              <w:rPr>
                <w:noProof/>
              </w:rPr>
              <w:t xml:space="preserve"> </w:t>
            </w:r>
            <w:r w:rsidRPr="002D7798">
              <w:rPr>
                <w:noProof/>
              </w:rPr>
              <w:br/>
            </w:r>
            <w:r w:rsidRPr="002D7798">
              <w:rPr>
                <w:b/>
                <w:noProof/>
                <w:sz w:val="22"/>
              </w:rPr>
              <w:t xml:space="preserve">rámce </w:t>
            </w:r>
          </w:p>
        </w:tc>
        <w:tc>
          <w:tcPr>
            <w:tcW w:w="1080" w:type="dxa"/>
            <w:shd w:val="thinDiagStripe" w:color="C0C0C0" w:fill="auto"/>
            <w:vAlign w:val="center"/>
          </w:tcPr>
          <w:p w14:paraId="7AF94F5B" w14:textId="77777777" w:rsidR="00976265" w:rsidRPr="002D7798" w:rsidRDefault="0064263D">
            <w:pPr>
              <w:spacing w:before="60" w:after="60" w:line="276" w:lineRule="auto"/>
              <w:jc w:val="center"/>
              <w:rPr>
                <w:noProof/>
                <w:szCs w:val="20"/>
              </w:rPr>
            </w:pPr>
            <w:r w:rsidRPr="002D7798">
              <w:rPr>
                <w:b/>
                <w:noProof/>
                <w:sz w:val="22"/>
              </w:rPr>
              <w:t>7</w:t>
            </w:r>
          </w:p>
        </w:tc>
        <w:tc>
          <w:tcPr>
            <w:tcW w:w="7817" w:type="dxa"/>
            <w:vAlign w:val="center"/>
          </w:tcPr>
          <w:p w14:paraId="496655F6" w14:textId="77777777" w:rsidR="00976265" w:rsidRPr="002D7798" w:rsidRDefault="0064263D">
            <w:pPr>
              <w:spacing w:before="60" w:after="60" w:line="276" w:lineRule="auto"/>
              <w:jc w:val="left"/>
              <w:rPr>
                <w:noProof/>
                <w:szCs w:val="20"/>
              </w:rPr>
            </w:pPr>
            <w:r w:rsidRPr="002D7798">
              <w:rPr>
                <w:noProof/>
                <w:sz w:val="22"/>
              </w:rPr>
              <w:t>„Správní výdaje“</w:t>
            </w:r>
          </w:p>
        </w:tc>
      </w:tr>
    </w:tbl>
    <w:p w14:paraId="76C3F6C9" w14:textId="77777777" w:rsidR="00976265" w:rsidRPr="002D7798" w:rsidRDefault="0064263D">
      <w:pPr>
        <w:spacing w:before="0" w:after="200" w:line="276" w:lineRule="auto"/>
        <w:jc w:val="right"/>
        <w:rPr>
          <w:noProof/>
          <w:sz w:val="20"/>
          <w:szCs w:val="20"/>
        </w:rPr>
      </w:pPr>
      <w:r w:rsidRPr="002D7798">
        <w:rPr>
          <w:noProof/>
          <w:sz w:val="20"/>
        </w:rPr>
        <w:t>v milionech EUR (zaokrouhleno na tři desetinná místa)</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rsidR="00851B85" w:rsidRPr="002D7798" w14:paraId="65EA4929" w14:textId="77777777">
        <w:tc>
          <w:tcPr>
            <w:tcW w:w="3960" w:type="dxa"/>
            <w:tcBorders>
              <w:top w:val="nil"/>
              <w:left w:val="nil"/>
              <w:right w:val="nil"/>
            </w:tcBorders>
            <w:vAlign w:val="center"/>
          </w:tcPr>
          <w:p w14:paraId="56DF6C23" w14:textId="77777777" w:rsidR="00976265" w:rsidRPr="002D7798" w:rsidRDefault="00976265">
            <w:pPr>
              <w:spacing w:before="0" w:after="200" w:line="276" w:lineRule="auto"/>
              <w:jc w:val="center"/>
              <w:rPr>
                <w:noProof/>
                <w:szCs w:val="20"/>
              </w:rPr>
            </w:pPr>
          </w:p>
        </w:tc>
        <w:tc>
          <w:tcPr>
            <w:tcW w:w="1560" w:type="dxa"/>
            <w:tcBorders>
              <w:top w:val="nil"/>
              <w:left w:val="nil"/>
              <w:right w:val="nil"/>
            </w:tcBorders>
          </w:tcPr>
          <w:p w14:paraId="544462F0" w14:textId="77777777" w:rsidR="00976265" w:rsidRPr="002D7798" w:rsidRDefault="00976265">
            <w:pPr>
              <w:spacing w:before="0" w:after="200" w:line="276" w:lineRule="auto"/>
              <w:jc w:val="left"/>
              <w:rPr>
                <w:noProof/>
                <w:sz w:val="20"/>
                <w:szCs w:val="20"/>
              </w:rPr>
            </w:pPr>
          </w:p>
        </w:tc>
        <w:tc>
          <w:tcPr>
            <w:tcW w:w="534" w:type="dxa"/>
            <w:tcBorders>
              <w:top w:val="nil"/>
              <w:left w:val="nil"/>
            </w:tcBorders>
          </w:tcPr>
          <w:p w14:paraId="5E94846D" w14:textId="77777777" w:rsidR="00976265" w:rsidRPr="002D7798" w:rsidRDefault="00976265">
            <w:pPr>
              <w:spacing w:before="0" w:after="200" w:line="276" w:lineRule="auto"/>
              <w:jc w:val="center"/>
              <w:rPr>
                <w:noProof/>
                <w:sz w:val="20"/>
                <w:szCs w:val="20"/>
              </w:rPr>
            </w:pPr>
          </w:p>
        </w:tc>
        <w:tc>
          <w:tcPr>
            <w:tcW w:w="868" w:type="dxa"/>
            <w:vAlign w:val="center"/>
          </w:tcPr>
          <w:p w14:paraId="02A93161" w14:textId="77777777" w:rsidR="00976265" w:rsidRPr="002D7798" w:rsidRDefault="0064263D">
            <w:pPr>
              <w:spacing w:before="0" w:after="200" w:line="276" w:lineRule="auto"/>
              <w:jc w:val="center"/>
              <w:rPr>
                <w:noProof/>
                <w:sz w:val="20"/>
                <w:szCs w:val="20"/>
              </w:rPr>
            </w:pPr>
            <w:r w:rsidRPr="002D7798">
              <w:rPr>
                <w:noProof/>
                <w:sz w:val="20"/>
              </w:rPr>
              <w:t>Rok</w:t>
            </w:r>
            <w:r w:rsidRPr="002D7798">
              <w:rPr>
                <w:noProof/>
              </w:rPr>
              <w:t xml:space="preserve"> </w:t>
            </w:r>
            <w:r w:rsidRPr="002D7798">
              <w:rPr>
                <w:noProof/>
              </w:rPr>
              <w:br/>
            </w:r>
            <w:r w:rsidRPr="002D7798">
              <w:rPr>
                <w:b/>
                <w:noProof/>
                <w:sz w:val="20"/>
              </w:rPr>
              <w:t>2024</w:t>
            </w:r>
          </w:p>
        </w:tc>
        <w:tc>
          <w:tcPr>
            <w:tcW w:w="868" w:type="dxa"/>
            <w:vAlign w:val="center"/>
          </w:tcPr>
          <w:p w14:paraId="2FD7F94E" w14:textId="77777777" w:rsidR="00976265" w:rsidRPr="002D7798" w:rsidRDefault="0064263D">
            <w:pPr>
              <w:spacing w:before="0" w:after="200" w:line="276" w:lineRule="auto"/>
              <w:jc w:val="center"/>
              <w:rPr>
                <w:noProof/>
                <w:sz w:val="20"/>
                <w:szCs w:val="20"/>
              </w:rPr>
            </w:pPr>
            <w:r w:rsidRPr="002D7798">
              <w:rPr>
                <w:noProof/>
                <w:sz w:val="20"/>
              </w:rPr>
              <w:t>Rok</w:t>
            </w:r>
            <w:r w:rsidRPr="002D7798">
              <w:rPr>
                <w:noProof/>
              </w:rPr>
              <w:t xml:space="preserve"> </w:t>
            </w:r>
            <w:r w:rsidRPr="002D7798">
              <w:rPr>
                <w:noProof/>
              </w:rPr>
              <w:br/>
            </w:r>
            <w:r w:rsidRPr="002D7798">
              <w:rPr>
                <w:b/>
                <w:noProof/>
                <w:sz w:val="20"/>
              </w:rPr>
              <w:t>2025</w:t>
            </w:r>
          </w:p>
        </w:tc>
        <w:tc>
          <w:tcPr>
            <w:tcW w:w="868" w:type="dxa"/>
            <w:vAlign w:val="center"/>
          </w:tcPr>
          <w:p w14:paraId="0B83FF7B" w14:textId="77777777" w:rsidR="00976265" w:rsidRPr="002D7798" w:rsidRDefault="0064263D">
            <w:pPr>
              <w:spacing w:before="0" w:after="200" w:line="276" w:lineRule="auto"/>
              <w:jc w:val="center"/>
              <w:rPr>
                <w:noProof/>
                <w:sz w:val="20"/>
                <w:szCs w:val="20"/>
              </w:rPr>
            </w:pPr>
            <w:r w:rsidRPr="002D7798">
              <w:rPr>
                <w:noProof/>
                <w:sz w:val="20"/>
              </w:rPr>
              <w:t>Rok</w:t>
            </w:r>
            <w:r w:rsidRPr="002D7798">
              <w:rPr>
                <w:noProof/>
              </w:rPr>
              <w:t xml:space="preserve"> </w:t>
            </w:r>
            <w:r w:rsidRPr="002D7798">
              <w:rPr>
                <w:noProof/>
              </w:rPr>
              <w:br/>
            </w:r>
            <w:r w:rsidRPr="002D7798">
              <w:rPr>
                <w:b/>
                <w:noProof/>
                <w:sz w:val="20"/>
              </w:rPr>
              <w:t>2026</w:t>
            </w:r>
          </w:p>
        </w:tc>
        <w:tc>
          <w:tcPr>
            <w:tcW w:w="868" w:type="dxa"/>
            <w:vAlign w:val="center"/>
          </w:tcPr>
          <w:p w14:paraId="61ECC981" w14:textId="77777777" w:rsidR="00976265" w:rsidRPr="002D7798" w:rsidRDefault="0064263D">
            <w:pPr>
              <w:spacing w:before="0" w:after="200" w:line="276" w:lineRule="auto"/>
              <w:jc w:val="center"/>
              <w:rPr>
                <w:noProof/>
                <w:sz w:val="20"/>
                <w:szCs w:val="20"/>
              </w:rPr>
            </w:pPr>
            <w:r w:rsidRPr="002D7798">
              <w:rPr>
                <w:noProof/>
                <w:sz w:val="20"/>
              </w:rPr>
              <w:t>Rok</w:t>
            </w:r>
            <w:r w:rsidRPr="002D7798">
              <w:rPr>
                <w:noProof/>
              </w:rPr>
              <w:t xml:space="preserve"> </w:t>
            </w:r>
            <w:r w:rsidRPr="002D7798">
              <w:rPr>
                <w:noProof/>
              </w:rPr>
              <w:br/>
            </w:r>
            <w:r w:rsidRPr="002D7798">
              <w:rPr>
                <w:b/>
                <w:noProof/>
                <w:sz w:val="20"/>
              </w:rPr>
              <w:t>2027</w:t>
            </w:r>
          </w:p>
        </w:tc>
        <w:tc>
          <w:tcPr>
            <w:tcW w:w="2604" w:type="dxa"/>
            <w:gridSpan w:val="3"/>
            <w:vAlign w:val="center"/>
          </w:tcPr>
          <w:p w14:paraId="53FB4011" w14:textId="77777777" w:rsidR="00976265" w:rsidRPr="002D7798" w:rsidRDefault="0064263D">
            <w:pPr>
              <w:spacing w:before="0" w:after="200" w:line="276" w:lineRule="auto"/>
              <w:jc w:val="center"/>
              <w:rPr>
                <w:b/>
                <w:noProof/>
                <w:sz w:val="18"/>
                <w:szCs w:val="20"/>
              </w:rPr>
            </w:pPr>
            <w:r w:rsidRPr="002D7798">
              <w:rPr>
                <w:noProof/>
                <w:sz w:val="18"/>
              </w:rPr>
              <w:t xml:space="preserve">Vložit počet let podle trvání finančního dopadu (viz bod 1.6) </w:t>
            </w:r>
          </w:p>
        </w:tc>
        <w:tc>
          <w:tcPr>
            <w:tcW w:w="1777" w:type="dxa"/>
            <w:vAlign w:val="center"/>
          </w:tcPr>
          <w:p w14:paraId="68D59CB9" w14:textId="77777777" w:rsidR="00976265" w:rsidRPr="002D7798" w:rsidRDefault="0064263D">
            <w:pPr>
              <w:spacing w:before="0" w:after="200" w:line="276" w:lineRule="auto"/>
              <w:jc w:val="center"/>
              <w:rPr>
                <w:b/>
                <w:noProof/>
                <w:sz w:val="20"/>
                <w:szCs w:val="20"/>
              </w:rPr>
            </w:pPr>
            <w:r w:rsidRPr="002D7798">
              <w:rPr>
                <w:b/>
                <w:noProof/>
                <w:sz w:val="20"/>
              </w:rPr>
              <w:t>CELKEM</w:t>
            </w:r>
          </w:p>
        </w:tc>
      </w:tr>
      <w:tr w:rsidR="00851B85" w:rsidRPr="002D7798" w14:paraId="3861C089" w14:textId="77777777">
        <w:trPr>
          <w:gridAfter w:val="10"/>
          <w:wAfter w:w="9947" w:type="dxa"/>
        </w:trPr>
        <w:tc>
          <w:tcPr>
            <w:tcW w:w="3960" w:type="dxa"/>
            <w:vAlign w:val="center"/>
          </w:tcPr>
          <w:p w14:paraId="68058F92" w14:textId="77777777" w:rsidR="00976265" w:rsidRPr="002D7798" w:rsidRDefault="0064263D">
            <w:pPr>
              <w:spacing w:before="60" w:after="60" w:line="276" w:lineRule="auto"/>
              <w:jc w:val="center"/>
              <w:rPr>
                <w:noProof/>
                <w:szCs w:val="20"/>
              </w:rPr>
            </w:pPr>
            <w:r w:rsidRPr="002D7798">
              <w:rPr>
                <w:noProof/>
                <w:sz w:val="22"/>
              </w:rPr>
              <w:t xml:space="preserve">GŘ: </w:t>
            </w:r>
            <w:r w:rsidRPr="002D7798">
              <w:rPr>
                <w:noProof/>
              </w:rPr>
              <w:t>ENER</w:t>
            </w:r>
          </w:p>
        </w:tc>
      </w:tr>
      <w:tr w:rsidR="00851B85" w:rsidRPr="002D7798" w14:paraId="6A49C1A6" w14:textId="77777777">
        <w:trPr>
          <w:trHeight w:val="313"/>
        </w:trPr>
        <w:tc>
          <w:tcPr>
            <w:tcW w:w="6054" w:type="dxa"/>
            <w:gridSpan w:val="3"/>
            <w:vAlign w:val="center"/>
          </w:tcPr>
          <w:p w14:paraId="19242236" w14:textId="77777777" w:rsidR="00976265" w:rsidRPr="002D7798" w:rsidRDefault="0064263D">
            <w:pPr>
              <w:spacing w:before="20" w:after="20" w:line="276" w:lineRule="auto"/>
              <w:jc w:val="left"/>
              <w:rPr>
                <w:noProof/>
                <w:szCs w:val="20"/>
              </w:rPr>
            </w:pPr>
            <w:r w:rsidRPr="002D7798">
              <w:rPr>
                <w:rFonts w:ascii="Wingdings" w:hAnsi="Wingdings"/>
                <w:noProof/>
                <w:sz w:val="22"/>
              </w:rPr>
              <w:t>□</w:t>
            </w:r>
            <w:r w:rsidRPr="002D7798">
              <w:rPr>
                <w:noProof/>
                <w:sz w:val="22"/>
              </w:rPr>
              <w:t xml:space="preserve"> Lidské zdroje </w:t>
            </w:r>
          </w:p>
        </w:tc>
        <w:tc>
          <w:tcPr>
            <w:tcW w:w="868" w:type="dxa"/>
            <w:vAlign w:val="center"/>
          </w:tcPr>
          <w:p w14:paraId="1A412E50" w14:textId="77777777" w:rsidR="00976265" w:rsidRPr="002D7798" w:rsidRDefault="0064263D">
            <w:pPr>
              <w:spacing w:before="20" w:after="20" w:line="276" w:lineRule="auto"/>
              <w:jc w:val="right"/>
              <w:rPr>
                <w:noProof/>
                <w:sz w:val="20"/>
                <w:szCs w:val="20"/>
              </w:rPr>
            </w:pPr>
            <w:r w:rsidRPr="002D7798">
              <w:rPr>
                <w:noProof/>
                <w:sz w:val="20"/>
              </w:rPr>
              <w:t>0,513</w:t>
            </w:r>
          </w:p>
        </w:tc>
        <w:tc>
          <w:tcPr>
            <w:tcW w:w="868" w:type="dxa"/>
            <w:vAlign w:val="center"/>
          </w:tcPr>
          <w:p w14:paraId="519A6B7C" w14:textId="77777777" w:rsidR="00976265" w:rsidRPr="002D7798" w:rsidRDefault="0064263D">
            <w:pPr>
              <w:spacing w:before="20" w:after="20" w:line="276" w:lineRule="auto"/>
              <w:jc w:val="right"/>
              <w:rPr>
                <w:noProof/>
                <w:sz w:val="20"/>
                <w:szCs w:val="20"/>
              </w:rPr>
            </w:pPr>
            <w:r w:rsidRPr="002D7798">
              <w:rPr>
                <w:noProof/>
                <w:sz w:val="20"/>
              </w:rPr>
              <w:t>0,513</w:t>
            </w:r>
          </w:p>
        </w:tc>
        <w:tc>
          <w:tcPr>
            <w:tcW w:w="868" w:type="dxa"/>
            <w:vAlign w:val="center"/>
          </w:tcPr>
          <w:p w14:paraId="2C1A4545" w14:textId="77777777" w:rsidR="00976265" w:rsidRPr="002D7798" w:rsidRDefault="0064263D">
            <w:pPr>
              <w:spacing w:before="20" w:after="20" w:line="276" w:lineRule="auto"/>
              <w:jc w:val="right"/>
              <w:rPr>
                <w:noProof/>
                <w:sz w:val="20"/>
                <w:szCs w:val="20"/>
              </w:rPr>
            </w:pPr>
            <w:r w:rsidRPr="002D7798">
              <w:rPr>
                <w:noProof/>
                <w:sz w:val="20"/>
              </w:rPr>
              <w:t>0,513</w:t>
            </w:r>
          </w:p>
        </w:tc>
        <w:tc>
          <w:tcPr>
            <w:tcW w:w="868" w:type="dxa"/>
            <w:vAlign w:val="center"/>
          </w:tcPr>
          <w:p w14:paraId="06E03E03" w14:textId="77777777" w:rsidR="00976265" w:rsidRPr="002D7798" w:rsidRDefault="0064263D">
            <w:pPr>
              <w:spacing w:before="20" w:after="20" w:line="276" w:lineRule="auto"/>
              <w:jc w:val="right"/>
              <w:rPr>
                <w:noProof/>
                <w:sz w:val="20"/>
                <w:szCs w:val="20"/>
              </w:rPr>
            </w:pPr>
            <w:r w:rsidRPr="002D7798">
              <w:rPr>
                <w:noProof/>
                <w:sz w:val="20"/>
              </w:rPr>
              <w:t>0,513</w:t>
            </w:r>
          </w:p>
        </w:tc>
        <w:tc>
          <w:tcPr>
            <w:tcW w:w="868" w:type="dxa"/>
            <w:vAlign w:val="center"/>
          </w:tcPr>
          <w:p w14:paraId="63B7B9AD" w14:textId="77777777" w:rsidR="00976265" w:rsidRPr="002D7798" w:rsidRDefault="00976265">
            <w:pPr>
              <w:spacing w:before="20" w:after="20" w:line="276" w:lineRule="auto"/>
              <w:jc w:val="right"/>
              <w:rPr>
                <w:noProof/>
                <w:sz w:val="20"/>
                <w:szCs w:val="20"/>
              </w:rPr>
            </w:pPr>
          </w:p>
        </w:tc>
        <w:tc>
          <w:tcPr>
            <w:tcW w:w="868" w:type="dxa"/>
            <w:vAlign w:val="center"/>
          </w:tcPr>
          <w:p w14:paraId="1A5B11B8" w14:textId="77777777" w:rsidR="00976265" w:rsidRPr="002D7798" w:rsidRDefault="00976265">
            <w:pPr>
              <w:spacing w:before="20" w:after="20" w:line="276" w:lineRule="auto"/>
              <w:jc w:val="right"/>
              <w:rPr>
                <w:noProof/>
                <w:sz w:val="20"/>
                <w:szCs w:val="20"/>
              </w:rPr>
            </w:pPr>
          </w:p>
        </w:tc>
        <w:tc>
          <w:tcPr>
            <w:tcW w:w="868" w:type="dxa"/>
            <w:vAlign w:val="center"/>
          </w:tcPr>
          <w:p w14:paraId="32C37A97" w14:textId="77777777" w:rsidR="00976265" w:rsidRPr="002D7798" w:rsidRDefault="00976265">
            <w:pPr>
              <w:spacing w:before="20" w:after="20" w:line="276" w:lineRule="auto"/>
              <w:jc w:val="right"/>
              <w:rPr>
                <w:b/>
                <w:noProof/>
                <w:sz w:val="20"/>
                <w:szCs w:val="20"/>
              </w:rPr>
            </w:pPr>
          </w:p>
        </w:tc>
        <w:tc>
          <w:tcPr>
            <w:tcW w:w="1777" w:type="dxa"/>
            <w:vAlign w:val="center"/>
          </w:tcPr>
          <w:p w14:paraId="1042B5EB" w14:textId="77777777" w:rsidR="00976265" w:rsidRPr="002D7798" w:rsidRDefault="0064263D">
            <w:pPr>
              <w:spacing w:before="20" w:after="20" w:line="276" w:lineRule="auto"/>
              <w:jc w:val="right"/>
              <w:rPr>
                <w:b/>
                <w:noProof/>
                <w:sz w:val="20"/>
                <w:szCs w:val="20"/>
              </w:rPr>
            </w:pPr>
            <w:r w:rsidRPr="002D7798">
              <w:rPr>
                <w:b/>
                <w:noProof/>
                <w:sz w:val="20"/>
              </w:rPr>
              <w:t>2,052</w:t>
            </w:r>
          </w:p>
        </w:tc>
      </w:tr>
      <w:tr w:rsidR="00851B85" w:rsidRPr="002D7798" w14:paraId="1544AEC9" w14:textId="77777777">
        <w:trPr>
          <w:trHeight w:val="351"/>
        </w:trPr>
        <w:tc>
          <w:tcPr>
            <w:tcW w:w="6054" w:type="dxa"/>
            <w:gridSpan w:val="3"/>
            <w:vAlign w:val="center"/>
          </w:tcPr>
          <w:p w14:paraId="2A96EFDF" w14:textId="77777777" w:rsidR="00976265" w:rsidRPr="002D7798" w:rsidRDefault="0064263D">
            <w:pPr>
              <w:spacing w:before="20" w:after="20" w:line="276" w:lineRule="auto"/>
              <w:jc w:val="left"/>
              <w:rPr>
                <w:noProof/>
                <w:szCs w:val="20"/>
              </w:rPr>
            </w:pPr>
            <w:r w:rsidRPr="002D7798">
              <w:rPr>
                <w:rFonts w:ascii="Wingdings" w:hAnsi="Wingdings"/>
                <w:noProof/>
                <w:sz w:val="22"/>
              </w:rPr>
              <w:t>□</w:t>
            </w:r>
            <w:r w:rsidRPr="002D7798">
              <w:rPr>
                <w:noProof/>
                <w:sz w:val="22"/>
              </w:rPr>
              <w:t xml:space="preserve"> Ostatní správní výdaje </w:t>
            </w:r>
          </w:p>
        </w:tc>
        <w:tc>
          <w:tcPr>
            <w:tcW w:w="868" w:type="dxa"/>
            <w:vAlign w:val="center"/>
          </w:tcPr>
          <w:p w14:paraId="7B7D0D6F" w14:textId="77777777" w:rsidR="00976265" w:rsidRPr="002D7798" w:rsidRDefault="00976265">
            <w:pPr>
              <w:spacing w:before="20" w:after="20" w:line="276" w:lineRule="auto"/>
              <w:jc w:val="right"/>
              <w:rPr>
                <w:b/>
                <w:noProof/>
                <w:sz w:val="20"/>
                <w:szCs w:val="20"/>
              </w:rPr>
            </w:pPr>
          </w:p>
        </w:tc>
        <w:tc>
          <w:tcPr>
            <w:tcW w:w="868" w:type="dxa"/>
            <w:vAlign w:val="center"/>
          </w:tcPr>
          <w:p w14:paraId="077949D9" w14:textId="77777777" w:rsidR="00976265" w:rsidRPr="002D7798" w:rsidRDefault="00976265">
            <w:pPr>
              <w:spacing w:before="20" w:after="20" w:line="276" w:lineRule="auto"/>
              <w:jc w:val="right"/>
              <w:rPr>
                <w:b/>
                <w:noProof/>
                <w:sz w:val="20"/>
                <w:szCs w:val="20"/>
              </w:rPr>
            </w:pPr>
          </w:p>
        </w:tc>
        <w:tc>
          <w:tcPr>
            <w:tcW w:w="868" w:type="dxa"/>
            <w:vAlign w:val="center"/>
          </w:tcPr>
          <w:p w14:paraId="5312BA4F" w14:textId="77777777" w:rsidR="00976265" w:rsidRPr="002D7798" w:rsidRDefault="00976265">
            <w:pPr>
              <w:spacing w:before="20" w:after="20" w:line="276" w:lineRule="auto"/>
              <w:jc w:val="right"/>
              <w:rPr>
                <w:b/>
                <w:noProof/>
                <w:sz w:val="20"/>
                <w:szCs w:val="20"/>
              </w:rPr>
            </w:pPr>
          </w:p>
        </w:tc>
        <w:tc>
          <w:tcPr>
            <w:tcW w:w="868" w:type="dxa"/>
            <w:vAlign w:val="center"/>
          </w:tcPr>
          <w:p w14:paraId="1082568C" w14:textId="77777777" w:rsidR="00976265" w:rsidRPr="002D7798" w:rsidRDefault="00976265">
            <w:pPr>
              <w:spacing w:before="20" w:after="20" w:line="276" w:lineRule="auto"/>
              <w:jc w:val="right"/>
              <w:rPr>
                <w:b/>
                <w:noProof/>
                <w:sz w:val="20"/>
                <w:szCs w:val="20"/>
              </w:rPr>
            </w:pPr>
          </w:p>
        </w:tc>
        <w:tc>
          <w:tcPr>
            <w:tcW w:w="868" w:type="dxa"/>
            <w:vAlign w:val="center"/>
          </w:tcPr>
          <w:p w14:paraId="733EF746" w14:textId="77777777" w:rsidR="00976265" w:rsidRPr="002D7798" w:rsidRDefault="00976265">
            <w:pPr>
              <w:spacing w:before="20" w:after="20" w:line="276" w:lineRule="auto"/>
              <w:jc w:val="right"/>
              <w:rPr>
                <w:b/>
                <w:noProof/>
                <w:sz w:val="20"/>
                <w:szCs w:val="20"/>
              </w:rPr>
            </w:pPr>
          </w:p>
        </w:tc>
        <w:tc>
          <w:tcPr>
            <w:tcW w:w="868" w:type="dxa"/>
            <w:vAlign w:val="center"/>
          </w:tcPr>
          <w:p w14:paraId="51A11E08" w14:textId="77777777" w:rsidR="00976265" w:rsidRPr="002D7798" w:rsidRDefault="00976265">
            <w:pPr>
              <w:spacing w:before="20" w:after="20" w:line="276" w:lineRule="auto"/>
              <w:jc w:val="right"/>
              <w:rPr>
                <w:b/>
                <w:noProof/>
                <w:sz w:val="20"/>
                <w:szCs w:val="20"/>
              </w:rPr>
            </w:pPr>
          </w:p>
        </w:tc>
        <w:tc>
          <w:tcPr>
            <w:tcW w:w="868" w:type="dxa"/>
            <w:vAlign w:val="center"/>
          </w:tcPr>
          <w:p w14:paraId="2D09FE70" w14:textId="77777777" w:rsidR="00976265" w:rsidRPr="002D7798" w:rsidRDefault="00976265">
            <w:pPr>
              <w:spacing w:before="20" w:after="20" w:line="276" w:lineRule="auto"/>
              <w:jc w:val="right"/>
              <w:rPr>
                <w:b/>
                <w:noProof/>
                <w:sz w:val="20"/>
                <w:szCs w:val="20"/>
              </w:rPr>
            </w:pPr>
          </w:p>
        </w:tc>
        <w:tc>
          <w:tcPr>
            <w:tcW w:w="1777" w:type="dxa"/>
            <w:vAlign w:val="center"/>
          </w:tcPr>
          <w:p w14:paraId="7372C6E2" w14:textId="77777777" w:rsidR="00976265" w:rsidRPr="002D7798" w:rsidRDefault="00976265">
            <w:pPr>
              <w:spacing w:before="20" w:after="20" w:line="276" w:lineRule="auto"/>
              <w:jc w:val="right"/>
              <w:rPr>
                <w:b/>
                <w:noProof/>
                <w:sz w:val="20"/>
                <w:szCs w:val="20"/>
              </w:rPr>
            </w:pPr>
          </w:p>
        </w:tc>
      </w:tr>
      <w:tr w:rsidR="00851B85" w:rsidRPr="002D7798" w14:paraId="73EBA36C" w14:textId="77777777">
        <w:tc>
          <w:tcPr>
            <w:tcW w:w="3960" w:type="dxa"/>
            <w:vAlign w:val="center"/>
          </w:tcPr>
          <w:p w14:paraId="06F2110A" w14:textId="77777777" w:rsidR="00976265" w:rsidRPr="002D7798" w:rsidRDefault="0064263D">
            <w:pPr>
              <w:spacing w:before="0" w:after="200" w:line="276" w:lineRule="auto"/>
              <w:jc w:val="center"/>
              <w:rPr>
                <w:b/>
                <w:noProof/>
                <w:szCs w:val="20"/>
              </w:rPr>
            </w:pPr>
            <w:r w:rsidRPr="002D7798">
              <w:rPr>
                <w:b/>
                <w:noProof/>
                <w:sz w:val="22"/>
              </w:rPr>
              <w:t xml:space="preserve">GŘ ENER </w:t>
            </w:r>
            <w:r w:rsidRPr="002D7798">
              <w:rPr>
                <w:noProof/>
              </w:rPr>
              <w:t>CELKEM</w:t>
            </w:r>
          </w:p>
        </w:tc>
        <w:tc>
          <w:tcPr>
            <w:tcW w:w="2094" w:type="dxa"/>
            <w:gridSpan w:val="2"/>
            <w:vAlign w:val="center"/>
          </w:tcPr>
          <w:p w14:paraId="0F847312" w14:textId="77777777" w:rsidR="00976265" w:rsidRPr="002D7798" w:rsidRDefault="0064263D">
            <w:pPr>
              <w:spacing w:before="0" w:after="200" w:line="276" w:lineRule="auto"/>
              <w:jc w:val="left"/>
              <w:rPr>
                <w:noProof/>
                <w:sz w:val="14"/>
                <w:szCs w:val="20"/>
              </w:rPr>
            </w:pPr>
            <w:r w:rsidRPr="002D7798">
              <w:rPr>
                <w:noProof/>
                <w:sz w:val="18"/>
              </w:rPr>
              <w:t xml:space="preserve">Prostředky </w:t>
            </w:r>
          </w:p>
        </w:tc>
        <w:tc>
          <w:tcPr>
            <w:tcW w:w="868" w:type="dxa"/>
            <w:vAlign w:val="center"/>
          </w:tcPr>
          <w:p w14:paraId="673F231F" w14:textId="77777777" w:rsidR="00976265" w:rsidRPr="002D7798" w:rsidRDefault="0064263D">
            <w:pPr>
              <w:spacing w:before="60" w:after="60" w:line="276" w:lineRule="auto"/>
              <w:jc w:val="right"/>
              <w:rPr>
                <w:noProof/>
                <w:sz w:val="20"/>
                <w:szCs w:val="20"/>
              </w:rPr>
            </w:pPr>
            <w:r w:rsidRPr="002D7798">
              <w:rPr>
                <w:noProof/>
                <w:sz w:val="20"/>
              </w:rPr>
              <w:t>0,513</w:t>
            </w:r>
          </w:p>
        </w:tc>
        <w:tc>
          <w:tcPr>
            <w:tcW w:w="868" w:type="dxa"/>
            <w:vAlign w:val="center"/>
          </w:tcPr>
          <w:p w14:paraId="7C335531" w14:textId="77777777" w:rsidR="00976265" w:rsidRPr="002D7798" w:rsidRDefault="0064263D">
            <w:pPr>
              <w:spacing w:before="20" w:after="20" w:line="276" w:lineRule="auto"/>
              <w:jc w:val="right"/>
              <w:rPr>
                <w:noProof/>
                <w:sz w:val="20"/>
                <w:szCs w:val="20"/>
              </w:rPr>
            </w:pPr>
            <w:r w:rsidRPr="002D7798">
              <w:rPr>
                <w:noProof/>
                <w:sz w:val="20"/>
              </w:rPr>
              <w:t>0,513</w:t>
            </w:r>
          </w:p>
        </w:tc>
        <w:tc>
          <w:tcPr>
            <w:tcW w:w="868" w:type="dxa"/>
            <w:vAlign w:val="center"/>
          </w:tcPr>
          <w:p w14:paraId="58583F72" w14:textId="77777777" w:rsidR="00976265" w:rsidRPr="002D7798" w:rsidRDefault="0064263D">
            <w:pPr>
              <w:spacing w:before="20" w:after="20" w:line="276" w:lineRule="auto"/>
              <w:jc w:val="right"/>
              <w:rPr>
                <w:noProof/>
                <w:sz w:val="20"/>
                <w:szCs w:val="20"/>
              </w:rPr>
            </w:pPr>
            <w:r w:rsidRPr="002D7798">
              <w:rPr>
                <w:noProof/>
                <w:sz w:val="20"/>
              </w:rPr>
              <w:t>0,513</w:t>
            </w:r>
          </w:p>
        </w:tc>
        <w:tc>
          <w:tcPr>
            <w:tcW w:w="868" w:type="dxa"/>
            <w:vAlign w:val="center"/>
          </w:tcPr>
          <w:p w14:paraId="4C86E1FD" w14:textId="77777777" w:rsidR="00976265" w:rsidRPr="002D7798" w:rsidRDefault="0064263D">
            <w:pPr>
              <w:spacing w:before="20" w:after="20" w:line="276" w:lineRule="auto"/>
              <w:jc w:val="right"/>
              <w:rPr>
                <w:noProof/>
                <w:sz w:val="20"/>
                <w:szCs w:val="20"/>
              </w:rPr>
            </w:pPr>
            <w:r w:rsidRPr="002D7798">
              <w:rPr>
                <w:noProof/>
                <w:sz w:val="20"/>
              </w:rPr>
              <w:t>0,513</w:t>
            </w:r>
          </w:p>
        </w:tc>
        <w:tc>
          <w:tcPr>
            <w:tcW w:w="868" w:type="dxa"/>
            <w:vAlign w:val="center"/>
          </w:tcPr>
          <w:p w14:paraId="6D987E20" w14:textId="77777777" w:rsidR="00976265" w:rsidRPr="002D7798" w:rsidRDefault="00976265">
            <w:pPr>
              <w:spacing w:before="20" w:after="20" w:line="276" w:lineRule="auto"/>
              <w:jc w:val="right"/>
              <w:rPr>
                <w:noProof/>
                <w:sz w:val="20"/>
                <w:szCs w:val="20"/>
              </w:rPr>
            </w:pPr>
          </w:p>
        </w:tc>
        <w:tc>
          <w:tcPr>
            <w:tcW w:w="868" w:type="dxa"/>
            <w:vAlign w:val="center"/>
          </w:tcPr>
          <w:p w14:paraId="0E2B7BF4" w14:textId="77777777" w:rsidR="00976265" w:rsidRPr="002D7798" w:rsidRDefault="00976265">
            <w:pPr>
              <w:spacing w:before="20" w:after="20" w:line="276" w:lineRule="auto"/>
              <w:jc w:val="right"/>
              <w:rPr>
                <w:noProof/>
                <w:sz w:val="20"/>
                <w:szCs w:val="20"/>
              </w:rPr>
            </w:pPr>
          </w:p>
        </w:tc>
        <w:tc>
          <w:tcPr>
            <w:tcW w:w="868" w:type="dxa"/>
            <w:vAlign w:val="center"/>
          </w:tcPr>
          <w:p w14:paraId="353EE987" w14:textId="77777777" w:rsidR="00976265" w:rsidRPr="002D7798" w:rsidRDefault="00976265">
            <w:pPr>
              <w:spacing w:before="20" w:after="20" w:line="276" w:lineRule="auto"/>
              <w:jc w:val="right"/>
              <w:rPr>
                <w:b/>
                <w:noProof/>
                <w:sz w:val="20"/>
                <w:szCs w:val="20"/>
              </w:rPr>
            </w:pPr>
          </w:p>
        </w:tc>
        <w:tc>
          <w:tcPr>
            <w:tcW w:w="1777" w:type="dxa"/>
            <w:vAlign w:val="center"/>
          </w:tcPr>
          <w:p w14:paraId="4991A820" w14:textId="77777777" w:rsidR="00976265" w:rsidRPr="002D7798" w:rsidRDefault="0064263D">
            <w:pPr>
              <w:spacing w:before="20" w:after="20" w:line="276" w:lineRule="auto"/>
              <w:jc w:val="right"/>
              <w:rPr>
                <w:b/>
                <w:noProof/>
                <w:sz w:val="20"/>
                <w:szCs w:val="20"/>
              </w:rPr>
            </w:pPr>
            <w:r w:rsidRPr="002D7798">
              <w:rPr>
                <w:b/>
                <w:noProof/>
                <w:sz w:val="20"/>
              </w:rPr>
              <w:t>2,052</w:t>
            </w:r>
          </w:p>
        </w:tc>
      </w:tr>
    </w:tbl>
    <w:p w14:paraId="31E9513C" w14:textId="77777777" w:rsidR="00976265" w:rsidRPr="002D7798" w:rsidRDefault="00976265">
      <w:pPr>
        <w:spacing w:before="0" w:after="200" w:line="276" w:lineRule="auto"/>
        <w:jc w:val="left"/>
        <w:rPr>
          <w:noProof/>
          <w:szCs w:val="20"/>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1777"/>
      </w:tblGrid>
      <w:tr w:rsidR="00851B85" w:rsidRPr="002D7798" w14:paraId="260416B8" w14:textId="77777777" w:rsidTr="208CACCC">
        <w:tc>
          <w:tcPr>
            <w:tcW w:w="3960" w:type="dxa"/>
            <w:shd w:val="clear" w:color="auto" w:fill="auto"/>
            <w:vAlign w:val="center"/>
          </w:tcPr>
          <w:p w14:paraId="5EDE2CF5" w14:textId="77777777" w:rsidR="00976265" w:rsidRPr="002D7798" w:rsidRDefault="0064263D">
            <w:pPr>
              <w:spacing w:before="0" w:after="200" w:line="276" w:lineRule="auto"/>
              <w:jc w:val="center"/>
              <w:rPr>
                <w:b/>
                <w:noProof/>
                <w:szCs w:val="20"/>
              </w:rPr>
            </w:pPr>
            <w:r w:rsidRPr="002D7798">
              <w:rPr>
                <w:b/>
                <w:noProof/>
                <w:sz w:val="22"/>
              </w:rPr>
              <w:t>Prostředky z OKRUHU 7</w:t>
            </w:r>
            <w:r w:rsidRPr="002D7798">
              <w:rPr>
                <w:noProof/>
              </w:rPr>
              <w:t xml:space="preserve"> </w:t>
            </w:r>
            <w:r w:rsidRPr="002D7798">
              <w:rPr>
                <w:noProof/>
              </w:rPr>
              <w:br/>
            </w:r>
            <w:r w:rsidRPr="002D7798">
              <w:rPr>
                <w:b/>
                <w:noProof/>
                <w:sz w:val="22"/>
              </w:rPr>
              <w:t>víceletého finančního rámce</w:t>
            </w:r>
            <w:r w:rsidRPr="002D7798">
              <w:rPr>
                <w:rStyle w:val="FootnoteReference"/>
                <w:b/>
                <w:bCs/>
                <w:noProof/>
                <w:sz w:val="22"/>
              </w:rPr>
              <w:footnoteReference w:id="35"/>
            </w:r>
            <w:r w:rsidRPr="002D7798">
              <w:rPr>
                <w:noProof/>
              </w:rPr>
              <w:t xml:space="preserve"> </w:t>
            </w:r>
            <w:r w:rsidRPr="002D7798">
              <w:rPr>
                <w:noProof/>
              </w:rPr>
              <w:br/>
            </w:r>
            <w:r w:rsidRPr="002D7798">
              <w:rPr>
                <w:noProof/>
                <w:sz w:val="22"/>
              </w:rPr>
              <w:t>CELKEM</w:t>
            </w:r>
            <w:r w:rsidRPr="002D7798">
              <w:rPr>
                <w:b/>
                <w:noProof/>
                <w:sz w:val="22"/>
              </w:rPr>
              <w:t xml:space="preserve"> </w:t>
            </w:r>
          </w:p>
        </w:tc>
        <w:tc>
          <w:tcPr>
            <w:tcW w:w="2094" w:type="dxa"/>
            <w:vAlign w:val="center"/>
          </w:tcPr>
          <w:p w14:paraId="0C6F9BC2" w14:textId="77777777" w:rsidR="00976265" w:rsidRPr="002D7798" w:rsidRDefault="0064263D">
            <w:pPr>
              <w:spacing w:before="40" w:after="40" w:line="276" w:lineRule="auto"/>
              <w:jc w:val="left"/>
              <w:rPr>
                <w:noProof/>
                <w:szCs w:val="20"/>
              </w:rPr>
            </w:pPr>
            <w:r w:rsidRPr="002D7798">
              <w:rPr>
                <w:noProof/>
                <w:sz w:val="18"/>
              </w:rPr>
              <w:t>(Závazky celkem = platby celkem)</w:t>
            </w:r>
          </w:p>
        </w:tc>
        <w:tc>
          <w:tcPr>
            <w:tcW w:w="868" w:type="dxa"/>
            <w:vAlign w:val="center"/>
          </w:tcPr>
          <w:p w14:paraId="30B71268" w14:textId="77777777" w:rsidR="00976265" w:rsidRPr="002D7798" w:rsidRDefault="0064263D">
            <w:pPr>
              <w:spacing w:before="20" w:after="20" w:line="276" w:lineRule="auto"/>
              <w:jc w:val="right"/>
              <w:rPr>
                <w:noProof/>
                <w:sz w:val="20"/>
                <w:szCs w:val="20"/>
              </w:rPr>
            </w:pPr>
            <w:r w:rsidRPr="002D7798">
              <w:rPr>
                <w:noProof/>
                <w:sz w:val="20"/>
              </w:rPr>
              <w:t>0,513</w:t>
            </w:r>
          </w:p>
        </w:tc>
        <w:tc>
          <w:tcPr>
            <w:tcW w:w="868" w:type="dxa"/>
            <w:vAlign w:val="center"/>
          </w:tcPr>
          <w:p w14:paraId="7A49EAB5" w14:textId="77777777" w:rsidR="00976265" w:rsidRPr="002D7798" w:rsidRDefault="0064263D">
            <w:pPr>
              <w:spacing w:before="20" w:after="20" w:line="276" w:lineRule="auto"/>
              <w:jc w:val="right"/>
              <w:rPr>
                <w:noProof/>
                <w:sz w:val="20"/>
                <w:szCs w:val="20"/>
              </w:rPr>
            </w:pPr>
            <w:r w:rsidRPr="002D7798">
              <w:rPr>
                <w:noProof/>
                <w:sz w:val="20"/>
              </w:rPr>
              <w:t>0,513</w:t>
            </w:r>
          </w:p>
        </w:tc>
        <w:tc>
          <w:tcPr>
            <w:tcW w:w="868" w:type="dxa"/>
            <w:vAlign w:val="center"/>
          </w:tcPr>
          <w:p w14:paraId="00BE142C" w14:textId="77777777" w:rsidR="00976265" w:rsidRPr="002D7798" w:rsidRDefault="0064263D">
            <w:pPr>
              <w:spacing w:before="20" w:after="20" w:line="276" w:lineRule="auto"/>
              <w:jc w:val="right"/>
              <w:rPr>
                <w:noProof/>
                <w:sz w:val="20"/>
                <w:szCs w:val="20"/>
              </w:rPr>
            </w:pPr>
            <w:r w:rsidRPr="002D7798">
              <w:rPr>
                <w:noProof/>
                <w:sz w:val="20"/>
              </w:rPr>
              <w:t>0,513</w:t>
            </w:r>
          </w:p>
        </w:tc>
        <w:tc>
          <w:tcPr>
            <w:tcW w:w="868" w:type="dxa"/>
            <w:vAlign w:val="center"/>
          </w:tcPr>
          <w:p w14:paraId="17189D8D" w14:textId="77777777" w:rsidR="00976265" w:rsidRPr="002D7798" w:rsidRDefault="0064263D">
            <w:pPr>
              <w:spacing w:before="20" w:after="20" w:line="276" w:lineRule="auto"/>
              <w:jc w:val="right"/>
              <w:rPr>
                <w:noProof/>
                <w:sz w:val="20"/>
                <w:szCs w:val="20"/>
              </w:rPr>
            </w:pPr>
            <w:r w:rsidRPr="002D7798">
              <w:rPr>
                <w:noProof/>
                <w:sz w:val="20"/>
              </w:rPr>
              <w:t>0,513</w:t>
            </w:r>
          </w:p>
        </w:tc>
        <w:tc>
          <w:tcPr>
            <w:tcW w:w="868" w:type="dxa"/>
            <w:vAlign w:val="center"/>
          </w:tcPr>
          <w:p w14:paraId="2660DB3B" w14:textId="77777777" w:rsidR="00976265" w:rsidRPr="002D7798" w:rsidRDefault="00976265">
            <w:pPr>
              <w:spacing w:before="20" w:after="20" w:line="276" w:lineRule="auto"/>
              <w:jc w:val="right"/>
              <w:rPr>
                <w:noProof/>
                <w:sz w:val="20"/>
                <w:szCs w:val="20"/>
              </w:rPr>
            </w:pPr>
          </w:p>
        </w:tc>
        <w:tc>
          <w:tcPr>
            <w:tcW w:w="868" w:type="dxa"/>
            <w:vAlign w:val="center"/>
          </w:tcPr>
          <w:p w14:paraId="6CC71D77" w14:textId="77777777" w:rsidR="00976265" w:rsidRPr="002D7798" w:rsidRDefault="00976265">
            <w:pPr>
              <w:spacing w:before="20" w:after="20" w:line="276" w:lineRule="auto"/>
              <w:jc w:val="right"/>
              <w:rPr>
                <w:noProof/>
                <w:sz w:val="20"/>
                <w:szCs w:val="20"/>
              </w:rPr>
            </w:pPr>
          </w:p>
        </w:tc>
        <w:tc>
          <w:tcPr>
            <w:tcW w:w="868" w:type="dxa"/>
            <w:vAlign w:val="center"/>
          </w:tcPr>
          <w:p w14:paraId="2DC25B2D" w14:textId="77777777" w:rsidR="00976265" w:rsidRPr="002D7798" w:rsidRDefault="00976265">
            <w:pPr>
              <w:spacing w:before="20" w:after="20" w:line="276" w:lineRule="auto"/>
              <w:jc w:val="right"/>
              <w:rPr>
                <w:b/>
                <w:noProof/>
                <w:sz w:val="20"/>
                <w:szCs w:val="20"/>
              </w:rPr>
            </w:pPr>
          </w:p>
        </w:tc>
        <w:tc>
          <w:tcPr>
            <w:tcW w:w="1777" w:type="dxa"/>
            <w:vAlign w:val="center"/>
          </w:tcPr>
          <w:p w14:paraId="14308FAA" w14:textId="77777777" w:rsidR="00976265" w:rsidRPr="002D7798" w:rsidRDefault="0064263D">
            <w:pPr>
              <w:spacing w:before="20" w:after="20" w:line="276" w:lineRule="auto"/>
              <w:jc w:val="right"/>
              <w:rPr>
                <w:b/>
                <w:noProof/>
                <w:sz w:val="20"/>
                <w:szCs w:val="20"/>
              </w:rPr>
            </w:pPr>
            <w:r w:rsidRPr="002D7798">
              <w:rPr>
                <w:b/>
                <w:noProof/>
                <w:sz w:val="20"/>
              </w:rPr>
              <w:t>2,052</w:t>
            </w:r>
          </w:p>
        </w:tc>
      </w:tr>
    </w:tbl>
    <w:p w14:paraId="05E85FE6" w14:textId="77777777" w:rsidR="00976265" w:rsidRPr="002D7798" w:rsidRDefault="0064263D">
      <w:pPr>
        <w:spacing w:before="0" w:after="200" w:line="276" w:lineRule="auto"/>
        <w:jc w:val="right"/>
        <w:rPr>
          <w:noProof/>
          <w:sz w:val="20"/>
          <w:szCs w:val="20"/>
        </w:rPr>
      </w:pPr>
      <w:r w:rsidRPr="002D7798">
        <w:rPr>
          <w:noProof/>
          <w:sz w:val="20"/>
        </w:rPr>
        <w:t>v milionech EUR (zaokrouhleno na tři desetinná místa)</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rsidR="00851B85" w:rsidRPr="002D7798" w14:paraId="4A4118BB" w14:textId="77777777">
        <w:tc>
          <w:tcPr>
            <w:tcW w:w="3960" w:type="dxa"/>
            <w:tcBorders>
              <w:top w:val="nil"/>
              <w:left w:val="nil"/>
              <w:right w:val="nil"/>
            </w:tcBorders>
            <w:vAlign w:val="center"/>
          </w:tcPr>
          <w:p w14:paraId="3EB39FDF" w14:textId="77777777" w:rsidR="00976265" w:rsidRPr="002D7798" w:rsidRDefault="00976265">
            <w:pPr>
              <w:spacing w:before="0" w:after="200" w:line="276" w:lineRule="auto"/>
              <w:jc w:val="center"/>
              <w:rPr>
                <w:noProof/>
                <w:szCs w:val="20"/>
              </w:rPr>
            </w:pPr>
          </w:p>
        </w:tc>
        <w:tc>
          <w:tcPr>
            <w:tcW w:w="1560" w:type="dxa"/>
            <w:tcBorders>
              <w:top w:val="nil"/>
              <w:left w:val="nil"/>
              <w:right w:val="nil"/>
            </w:tcBorders>
          </w:tcPr>
          <w:p w14:paraId="0C08F306" w14:textId="77777777" w:rsidR="00976265" w:rsidRPr="002D7798" w:rsidRDefault="00976265">
            <w:pPr>
              <w:spacing w:before="0" w:after="200" w:line="276" w:lineRule="auto"/>
              <w:jc w:val="left"/>
              <w:rPr>
                <w:noProof/>
                <w:sz w:val="20"/>
                <w:szCs w:val="20"/>
              </w:rPr>
            </w:pPr>
          </w:p>
        </w:tc>
        <w:tc>
          <w:tcPr>
            <w:tcW w:w="534" w:type="dxa"/>
            <w:tcBorders>
              <w:top w:val="nil"/>
              <w:left w:val="nil"/>
            </w:tcBorders>
          </w:tcPr>
          <w:p w14:paraId="4E5FEBD2" w14:textId="77777777" w:rsidR="00976265" w:rsidRPr="002D7798" w:rsidRDefault="00976265">
            <w:pPr>
              <w:spacing w:before="0" w:after="200" w:line="276" w:lineRule="auto"/>
              <w:jc w:val="center"/>
              <w:rPr>
                <w:noProof/>
                <w:sz w:val="20"/>
                <w:szCs w:val="20"/>
              </w:rPr>
            </w:pPr>
          </w:p>
        </w:tc>
        <w:tc>
          <w:tcPr>
            <w:tcW w:w="868" w:type="dxa"/>
            <w:vAlign w:val="center"/>
          </w:tcPr>
          <w:p w14:paraId="50E6AB6F" w14:textId="77777777" w:rsidR="00976265" w:rsidRPr="002D7798" w:rsidRDefault="0064263D">
            <w:pPr>
              <w:spacing w:before="0" w:after="200" w:line="276" w:lineRule="auto"/>
              <w:jc w:val="center"/>
              <w:rPr>
                <w:noProof/>
                <w:sz w:val="20"/>
                <w:szCs w:val="20"/>
              </w:rPr>
            </w:pPr>
            <w:r w:rsidRPr="002D7798">
              <w:rPr>
                <w:noProof/>
                <w:sz w:val="20"/>
              </w:rPr>
              <w:t>Rok</w:t>
            </w:r>
            <w:r w:rsidRPr="002D7798">
              <w:rPr>
                <w:noProof/>
              </w:rPr>
              <w:t xml:space="preserve"> </w:t>
            </w:r>
            <w:r w:rsidRPr="002D7798">
              <w:rPr>
                <w:noProof/>
              </w:rPr>
              <w:br/>
            </w:r>
            <w:r w:rsidRPr="002D7798">
              <w:rPr>
                <w:b/>
                <w:noProof/>
                <w:sz w:val="20"/>
              </w:rPr>
              <w:t>2024</w:t>
            </w:r>
          </w:p>
        </w:tc>
        <w:tc>
          <w:tcPr>
            <w:tcW w:w="868" w:type="dxa"/>
            <w:vAlign w:val="center"/>
          </w:tcPr>
          <w:p w14:paraId="3C4B9A7D" w14:textId="77777777" w:rsidR="00976265" w:rsidRPr="002D7798" w:rsidRDefault="0064263D">
            <w:pPr>
              <w:spacing w:before="0" w:after="200" w:line="276" w:lineRule="auto"/>
              <w:jc w:val="center"/>
              <w:rPr>
                <w:noProof/>
                <w:sz w:val="20"/>
                <w:szCs w:val="20"/>
              </w:rPr>
            </w:pPr>
            <w:r w:rsidRPr="002D7798">
              <w:rPr>
                <w:noProof/>
                <w:sz w:val="20"/>
              </w:rPr>
              <w:t>Rok</w:t>
            </w:r>
            <w:r w:rsidRPr="002D7798">
              <w:rPr>
                <w:noProof/>
              </w:rPr>
              <w:t xml:space="preserve"> </w:t>
            </w:r>
            <w:r w:rsidRPr="002D7798">
              <w:rPr>
                <w:noProof/>
              </w:rPr>
              <w:br/>
            </w:r>
            <w:r w:rsidRPr="002D7798">
              <w:rPr>
                <w:b/>
                <w:noProof/>
                <w:sz w:val="20"/>
              </w:rPr>
              <w:t>2025</w:t>
            </w:r>
          </w:p>
        </w:tc>
        <w:tc>
          <w:tcPr>
            <w:tcW w:w="868" w:type="dxa"/>
            <w:vAlign w:val="center"/>
          </w:tcPr>
          <w:p w14:paraId="3B728D18" w14:textId="77777777" w:rsidR="00976265" w:rsidRPr="002D7798" w:rsidRDefault="0064263D">
            <w:pPr>
              <w:spacing w:before="0" w:after="200" w:line="276" w:lineRule="auto"/>
              <w:jc w:val="center"/>
              <w:rPr>
                <w:noProof/>
                <w:sz w:val="20"/>
                <w:szCs w:val="20"/>
              </w:rPr>
            </w:pPr>
            <w:r w:rsidRPr="002D7798">
              <w:rPr>
                <w:noProof/>
                <w:sz w:val="20"/>
              </w:rPr>
              <w:t>Rok</w:t>
            </w:r>
            <w:r w:rsidRPr="002D7798">
              <w:rPr>
                <w:noProof/>
              </w:rPr>
              <w:t xml:space="preserve"> </w:t>
            </w:r>
            <w:r w:rsidRPr="002D7798">
              <w:rPr>
                <w:noProof/>
              </w:rPr>
              <w:br/>
            </w:r>
            <w:r w:rsidRPr="002D7798">
              <w:rPr>
                <w:b/>
                <w:noProof/>
                <w:sz w:val="20"/>
              </w:rPr>
              <w:t>2026</w:t>
            </w:r>
          </w:p>
        </w:tc>
        <w:tc>
          <w:tcPr>
            <w:tcW w:w="868" w:type="dxa"/>
            <w:vAlign w:val="center"/>
          </w:tcPr>
          <w:p w14:paraId="349BA9D6" w14:textId="77777777" w:rsidR="00976265" w:rsidRPr="002D7798" w:rsidRDefault="0064263D">
            <w:pPr>
              <w:spacing w:before="0" w:after="200" w:line="276" w:lineRule="auto"/>
              <w:jc w:val="center"/>
              <w:rPr>
                <w:noProof/>
                <w:sz w:val="20"/>
                <w:szCs w:val="20"/>
              </w:rPr>
            </w:pPr>
            <w:r w:rsidRPr="002D7798">
              <w:rPr>
                <w:noProof/>
                <w:sz w:val="20"/>
              </w:rPr>
              <w:t>Rok</w:t>
            </w:r>
            <w:r w:rsidRPr="002D7798">
              <w:rPr>
                <w:noProof/>
              </w:rPr>
              <w:t xml:space="preserve"> </w:t>
            </w:r>
            <w:r w:rsidRPr="002D7798">
              <w:rPr>
                <w:noProof/>
              </w:rPr>
              <w:br/>
            </w:r>
            <w:r w:rsidRPr="002D7798">
              <w:rPr>
                <w:b/>
                <w:noProof/>
                <w:sz w:val="20"/>
              </w:rPr>
              <w:t>2027</w:t>
            </w:r>
          </w:p>
        </w:tc>
        <w:tc>
          <w:tcPr>
            <w:tcW w:w="2604" w:type="dxa"/>
            <w:gridSpan w:val="3"/>
            <w:vAlign w:val="center"/>
          </w:tcPr>
          <w:p w14:paraId="52CF4198" w14:textId="77777777" w:rsidR="00976265" w:rsidRPr="002D7798" w:rsidRDefault="0064263D">
            <w:pPr>
              <w:spacing w:before="0" w:after="200" w:line="276" w:lineRule="auto"/>
              <w:jc w:val="center"/>
              <w:rPr>
                <w:b/>
                <w:noProof/>
                <w:sz w:val="18"/>
                <w:szCs w:val="20"/>
              </w:rPr>
            </w:pPr>
            <w:r w:rsidRPr="002D7798">
              <w:rPr>
                <w:noProof/>
                <w:sz w:val="18"/>
              </w:rPr>
              <w:t>Vložit počet let podle trvání finančního dopadu (viz bod 1.6)</w:t>
            </w:r>
          </w:p>
        </w:tc>
        <w:tc>
          <w:tcPr>
            <w:tcW w:w="1777" w:type="dxa"/>
            <w:vAlign w:val="center"/>
          </w:tcPr>
          <w:p w14:paraId="74144FAA" w14:textId="77777777" w:rsidR="00976265" w:rsidRPr="002D7798" w:rsidRDefault="0064263D">
            <w:pPr>
              <w:spacing w:before="0" w:after="200" w:line="276" w:lineRule="auto"/>
              <w:jc w:val="center"/>
              <w:rPr>
                <w:b/>
                <w:noProof/>
                <w:sz w:val="20"/>
                <w:szCs w:val="20"/>
              </w:rPr>
            </w:pPr>
            <w:r w:rsidRPr="002D7798">
              <w:rPr>
                <w:b/>
                <w:noProof/>
                <w:sz w:val="20"/>
              </w:rPr>
              <w:t>CELKEM</w:t>
            </w:r>
          </w:p>
        </w:tc>
      </w:tr>
      <w:tr w:rsidR="00851B85" w:rsidRPr="002D7798" w14:paraId="7AFD4A3F" w14:textId="77777777">
        <w:tc>
          <w:tcPr>
            <w:tcW w:w="3960" w:type="dxa"/>
            <w:vMerge w:val="restart"/>
            <w:shd w:val="clear" w:color="auto" w:fill="C0C0C0"/>
            <w:vAlign w:val="center"/>
          </w:tcPr>
          <w:p w14:paraId="3E5E8E08" w14:textId="77777777" w:rsidR="00976265" w:rsidRPr="002D7798" w:rsidRDefault="0064263D">
            <w:pPr>
              <w:spacing w:before="0" w:after="200" w:line="276" w:lineRule="auto"/>
              <w:jc w:val="center"/>
              <w:rPr>
                <w:b/>
                <w:noProof/>
                <w:szCs w:val="20"/>
              </w:rPr>
            </w:pPr>
            <w:r w:rsidRPr="002D7798">
              <w:rPr>
                <w:b/>
                <w:noProof/>
                <w:sz w:val="22"/>
              </w:rPr>
              <w:t xml:space="preserve">Prostředky z OKRUHŮ 1 až 7 </w:t>
            </w:r>
            <w:r w:rsidRPr="002D7798">
              <w:rPr>
                <w:noProof/>
              </w:rPr>
              <w:t xml:space="preserve"> </w:t>
            </w:r>
            <w:r w:rsidRPr="002D7798">
              <w:rPr>
                <w:noProof/>
              </w:rPr>
              <w:cr/>
            </w:r>
            <w:r w:rsidRPr="002D7798">
              <w:rPr>
                <w:noProof/>
              </w:rPr>
              <w:br/>
            </w:r>
            <w:r w:rsidRPr="002D7798">
              <w:rPr>
                <w:b/>
                <w:noProof/>
                <w:sz w:val="22"/>
              </w:rPr>
              <w:t>víceletého finančního rámce</w:t>
            </w:r>
            <w:r w:rsidRPr="002D7798">
              <w:rPr>
                <w:noProof/>
              </w:rPr>
              <w:t xml:space="preserve"> </w:t>
            </w:r>
            <w:r w:rsidRPr="002D7798">
              <w:rPr>
                <w:noProof/>
              </w:rPr>
              <w:br/>
            </w:r>
            <w:r w:rsidRPr="002D7798">
              <w:rPr>
                <w:noProof/>
                <w:sz w:val="22"/>
              </w:rPr>
              <w:t>CELKEM</w:t>
            </w:r>
            <w:r w:rsidRPr="002D7798">
              <w:rPr>
                <w:b/>
                <w:noProof/>
                <w:sz w:val="22"/>
              </w:rPr>
              <w:t xml:space="preserve"> </w:t>
            </w:r>
          </w:p>
        </w:tc>
        <w:tc>
          <w:tcPr>
            <w:tcW w:w="2094" w:type="dxa"/>
            <w:gridSpan w:val="2"/>
            <w:vAlign w:val="center"/>
          </w:tcPr>
          <w:p w14:paraId="4C7BA96A" w14:textId="77777777" w:rsidR="00976265" w:rsidRPr="002D7798" w:rsidRDefault="0064263D">
            <w:pPr>
              <w:spacing w:before="0" w:after="200" w:line="276" w:lineRule="auto"/>
              <w:jc w:val="left"/>
              <w:rPr>
                <w:noProof/>
                <w:sz w:val="14"/>
                <w:szCs w:val="20"/>
              </w:rPr>
            </w:pPr>
            <w:r w:rsidRPr="002D7798">
              <w:rPr>
                <w:noProof/>
                <w:sz w:val="18"/>
              </w:rPr>
              <w:t>Závazky</w:t>
            </w:r>
          </w:p>
        </w:tc>
        <w:tc>
          <w:tcPr>
            <w:tcW w:w="868" w:type="dxa"/>
            <w:vAlign w:val="center"/>
          </w:tcPr>
          <w:p w14:paraId="3F1F1F8D" w14:textId="77777777" w:rsidR="00976265" w:rsidRPr="002D7798" w:rsidRDefault="0064263D">
            <w:pPr>
              <w:spacing w:before="60" w:after="60" w:line="276" w:lineRule="auto"/>
              <w:jc w:val="right"/>
              <w:rPr>
                <w:noProof/>
                <w:sz w:val="20"/>
                <w:szCs w:val="20"/>
              </w:rPr>
            </w:pPr>
            <w:r w:rsidRPr="002D7798">
              <w:rPr>
                <w:noProof/>
                <w:sz w:val="20"/>
              </w:rPr>
              <w:t>1.197</w:t>
            </w:r>
          </w:p>
        </w:tc>
        <w:tc>
          <w:tcPr>
            <w:tcW w:w="868" w:type="dxa"/>
            <w:vAlign w:val="center"/>
          </w:tcPr>
          <w:p w14:paraId="280A281C" w14:textId="77777777" w:rsidR="00976265" w:rsidRPr="002D7798" w:rsidRDefault="0064263D">
            <w:pPr>
              <w:spacing w:before="60" w:after="60" w:line="276" w:lineRule="auto"/>
              <w:jc w:val="right"/>
              <w:rPr>
                <w:noProof/>
                <w:sz w:val="20"/>
                <w:szCs w:val="20"/>
              </w:rPr>
            </w:pPr>
            <w:r w:rsidRPr="002D7798">
              <w:rPr>
                <w:noProof/>
                <w:sz w:val="20"/>
              </w:rPr>
              <w:t>1.197</w:t>
            </w:r>
          </w:p>
        </w:tc>
        <w:tc>
          <w:tcPr>
            <w:tcW w:w="868" w:type="dxa"/>
            <w:vAlign w:val="center"/>
          </w:tcPr>
          <w:p w14:paraId="28B18361" w14:textId="77777777" w:rsidR="00976265" w:rsidRPr="002D7798" w:rsidRDefault="0064263D">
            <w:pPr>
              <w:spacing w:before="60" w:after="60" w:line="276" w:lineRule="auto"/>
              <w:jc w:val="right"/>
              <w:rPr>
                <w:noProof/>
                <w:sz w:val="20"/>
                <w:szCs w:val="20"/>
              </w:rPr>
            </w:pPr>
            <w:r w:rsidRPr="002D7798">
              <w:rPr>
                <w:noProof/>
                <w:sz w:val="20"/>
              </w:rPr>
              <w:t>1.197</w:t>
            </w:r>
          </w:p>
        </w:tc>
        <w:tc>
          <w:tcPr>
            <w:tcW w:w="868" w:type="dxa"/>
            <w:vAlign w:val="center"/>
          </w:tcPr>
          <w:p w14:paraId="3D09E579" w14:textId="77777777" w:rsidR="00976265" w:rsidRPr="002D7798" w:rsidRDefault="0064263D">
            <w:pPr>
              <w:spacing w:before="60" w:after="60" w:line="276" w:lineRule="auto"/>
              <w:jc w:val="right"/>
              <w:rPr>
                <w:noProof/>
                <w:sz w:val="20"/>
                <w:szCs w:val="20"/>
              </w:rPr>
            </w:pPr>
            <w:r w:rsidRPr="002D7798">
              <w:rPr>
                <w:noProof/>
                <w:sz w:val="20"/>
              </w:rPr>
              <w:t>1.197</w:t>
            </w:r>
          </w:p>
        </w:tc>
        <w:tc>
          <w:tcPr>
            <w:tcW w:w="868" w:type="dxa"/>
            <w:vAlign w:val="center"/>
          </w:tcPr>
          <w:p w14:paraId="3FB52681" w14:textId="77777777" w:rsidR="00976265" w:rsidRPr="002D7798" w:rsidRDefault="00976265">
            <w:pPr>
              <w:spacing w:before="60" w:after="60" w:line="276" w:lineRule="auto"/>
              <w:jc w:val="right"/>
              <w:rPr>
                <w:noProof/>
                <w:sz w:val="20"/>
                <w:szCs w:val="20"/>
              </w:rPr>
            </w:pPr>
          </w:p>
        </w:tc>
        <w:tc>
          <w:tcPr>
            <w:tcW w:w="868" w:type="dxa"/>
            <w:vAlign w:val="center"/>
          </w:tcPr>
          <w:p w14:paraId="2392EAA6" w14:textId="77777777" w:rsidR="00976265" w:rsidRPr="002D7798" w:rsidRDefault="00976265">
            <w:pPr>
              <w:spacing w:before="60" w:after="60" w:line="276" w:lineRule="auto"/>
              <w:jc w:val="right"/>
              <w:rPr>
                <w:noProof/>
                <w:sz w:val="20"/>
                <w:szCs w:val="20"/>
              </w:rPr>
            </w:pPr>
          </w:p>
        </w:tc>
        <w:tc>
          <w:tcPr>
            <w:tcW w:w="868" w:type="dxa"/>
            <w:vAlign w:val="center"/>
          </w:tcPr>
          <w:p w14:paraId="5640963B" w14:textId="77777777" w:rsidR="00976265" w:rsidRPr="002D7798" w:rsidRDefault="00976265">
            <w:pPr>
              <w:spacing w:before="60" w:after="60" w:line="276" w:lineRule="auto"/>
              <w:jc w:val="right"/>
              <w:rPr>
                <w:b/>
                <w:noProof/>
                <w:sz w:val="20"/>
                <w:szCs w:val="20"/>
              </w:rPr>
            </w:pPr>
          </w:p>
        </w:tc>
        <w:tc>
          <w:tcPr>
            <w:tcW w:w="1777" w:type="dxa"/>
            <w:vAlign w:val="center"/>
          </w:tcPr>
          <w:p w14:paraId="06D02A8E" w14:textId="77777777" w:rsidR="00976265" w:rsidRPr="002D7798" w:rsidRDefault="0064263D">
            <w:pPr>
              <w:spacing w:before="60" w:after="60" w:line="276" w:lineRule="auto"/>
              <w:jc w:val="right"/>
              <w:rPr>
                <w:b/>
                <w:noProof/>
                <w:sz w:val="20"/>
                <w:szCs w:val="20"/>
              </w:rPr>
            </w:pPr>
            <w:r w:rsidRPr="002D7798">
              <w:rPr>
                <w:b/>
                <w:noProof/>
                <w:sz w:val="20"/>
              </w:rPr>
              <w:t>4,788</w:t>
            </w:r>
          </w:p>
        </w:tc>
      </w:tr>
      <w:tr w:rsidR="00851B85" w:rsidRPr="002D7798" w14:paraId="20EE5DE4" w14:textId="77777777">
        <w:tc>
          <w:tcPr>
            <w:tcW w:w="3960" w:type="dxa"/>
            <w:vMerge/>
            <w:vAlign w:val="center"/>
          </w:tcPr>
          <w:p w14:paraId="621649B9" w14:textId="77777777" w:rsidR="00976265" w:rsidRPr="002D7798" w:rsidRDefault="00976265">
            <w:pPr>
              <w:spacing w:before="0" w:after="200" w:line="276" w:lineRule="auto"/>
              <w:jc w:val="left"/>
              <w:rPr>
                <w:b/>
                <w:noProof/>
                <w:szCs w:val="20"/>
              </w:rPr>
            </w:pPr>
          </w:p>
        </w:tc>
        <w:tc>
          <w:tcPr>
            <w:tcW w:w="2094" w:type="dxa"/>
            <w:gridSpan w:val="2"/>
            <w:vAlign w:val="center"/>
          </w:tcPr>
          <w:p w14:paraId="0C171B59" w14:textId="77777777" w:rsidR="00976265" w:rsidRPr="002D7798" w:rsidRDefault="0064263D">
            <w:pPr>
              <w:spacing w:before="0" w:after="200" w:line="276" w:lineRule="auto"/>
              <w:jc w:val="left"/>
              <w:rPr>
                <w:noProof/>
                <w:sz w:val="14"/>
                <w:szCs w:val="14"/>
              </w:rPr>
            </w:pPr>
            <w:r w:rsidRPr="002D7798">
              <w:rPr>
                <w:noProof/>
                <w:sz w:val="18"/>
              </w:rPr>
              <w:t>Platby</w:t>
            </w:r>
          </w:p>
        </w:tc>
        <w:tc>
          <w:tcPr>
            <w:tcW w:w="868" w:type="dxa"/>
            <w:vAlign w:val="center"/>
          </w:tcPr>
          <w:p w14:paraId="6D80D057" w14:textId="77777777" w:rsidR="00976265" w:rsidRPr="002D7798" w:rsidRDefault="0064263D">
            <w:pPr>
              <w:spacing w:before="60" w:after="60" w:line="276" w:lineRule="auto"/>
              <w:jc w:val="right"/>
              <w:rPr>
                <w:noProof/>
                <w:sz w:val="20"/>
                <w:szCs w:val="20"/>
              </w:rPr>
            </w:pPr>
            <w:r w:rsidRPr="002D7798">
              <w:rPr>
                <w:noProof/>
                <w:sz w:val="20"/>
              </w:rPr>
              <w:t>1.197</w:t>
            </w:r>
          </w:p>
        </w:tc>
        <w:tc>
          <w:tcPr>
            <w:tcW w:w="868" w:type="dxa"/>
            <w:vAlign w:val="center"/>
          </w:tcPr>
          <w:p w14:paraId="01C57D7D" w14:textId="77777777" w:rsidR="00976265" w:rsidRPr="002D7798" w:rsidRDefault="0064263D">
            <w:pPr>
              <w:spacing w:before="60" w:after="60" w:line="276" w:lineRule="auto"/>
              <w:jc w:val="right"/>
              <w:rPr>
                <w:noProof/>
                <w:sz w:val="20"/>
                <w:szCs w:val="20"/>
              </w:rPr>
            </w:pPr>
            <w:r w:rsidRPr="002D7798">
              <w:rPr>
                <w:noProof/>
                <w:sz w:val="20"/>
              </w:rPr>
              <w:t>1.197</w:t>
            </w:r>
          </w:p>
        </w:tc>
        <w:tc>
          <w:tcPr>
            <w:tcW w:w="868" w:type="dxa"/>
            <w:vAlign w:val="center"/>
          </w:tcPr>
          <w:p w14:paraId="106BDCD6" w14:textId="77777777" w:rsidR="00976265" w:rsidRPr="002D7798" w:rsidRDefault="0064263D">
            <w:pPr>
              <w:spacing w:before="60" w:after="60" w:line="276" w:lineRule="auto"/>
              <w:jc w:val="right"/>
              <w:rPr>
                <w:noProof/>
                <w:sz w:val="20"/>
                <w:szCs w:val="20"/>
              </w:rPr>
            </w:pPr>
            <w:r w:rsidRPr="002D7798">
              <w:rPr>
                <w:noProof/>
                <w:sz w:val="20"/>
              </w:rPr>
              <w:t>1.197</w:t>
            </w:r>
          </w:p>
        </w:tc>
        <w:tc>
          <w:tcPr>
            <w:tcW w:w="868" w:type="dxa"/>
            <w:vAlign w:val="center"/>
          </w:tcPr>
          <w:p w14:paraId="1503A89B" w14:textId="77777777" w:rsidR="00976265" w:rsidRPr="002D7798" w:rsidRDefault="0064263D">
            <w:pPr>
              <w:spacing w:before="60" w:after="60" w:line="276" w:lineRule="auto"/>
              <w:jc w:val="right"/>
              <w:rPr>
                <w:noProof/>
                <w:sz w:val="20"/>
                <w:szCs w:val="20"/>
              </w:rPr>
            </w:pPr>
            <w:r w:rsidRPr="002D7798">
              <w:rPr>
                <w:noProof/>
                <w:sz w:val="20"/>
              </w:rPr>
              <w:t>1.197</w:t>
            </w:r>
          </w:p>
        </w:tc>
        <w:tc>
          <w:tcPr>
            <w:tcW w:w="868" w:type="dxa"/>
            <w:vAlign w:val="center"/>
          </w:tcPr>
          <w:p w14:paraId="486808E4" w14:textId="77777777" w:rsidR="00976265" w:rsidRPr="002D7798" w:rsidRDefault="00976265">
            <w:pPr>
              <w:spacing w:before="60" w:after="60" w:line="276" w:lineRule="auto"/>
              <w:jc w:val="right"/>
              <w:rPr>
                <w:noProof/>
                <w:sz w:val="20"/>
                <w:szCs w:val="20"/>
              </w:rPr>
            </w:pPr>
          </w:p>
        </w:tc>
        <w:tc>
          <w:tcPr>
            <w:tcW w:w="868" w:type="dxa"/>
            <w:vAlign w:val="center"/>
          </w:tcPr>
          <w:p w14:paraId="5A29F0B6" w14:textId="77777777" w:rsidR="00976265" w:rsidRPr="002D7798" w:rsidRDefault="00976265">
            <w:pPr>
              <w:spacing w:before="60" w:after="60" w:line="276" w:lineRule="auto"/>
              <w:jc w:val="right"/>
              <w:rPr>
                <w:noProof/>
                <w:sz w:val="20"/>
                <w:szCs w:val="20"/>
              </w:rPr>
            </w:pPr>
          </w:p>
        </w:tc>
        <w:tc>
          <w:tcPr>
            <w:tcW w:w="868" w:type="dxa"/>
            <w:vAlign w:val="center"/>
          </w:tcPr>
          <w:p w14:paraId="160466D0" w14:textId="77777777" w:rsidR="00976265" w:rsidRPr="002D7798" w:rsidRDefault="00976265">
            <w:pPr>
              <w:spacing w:before="60" w:after="60" w:line="276" w:lineRule="auto"/>
              <w:jc w:val="right"/>
              <w:rPr>
                <w:b/>
                <w:noProof/>
                <w:sz w:val="20"/>
                <w:szCs w:val="20"/>
              </w:rPr>
            </w:pPr>
          </w:p>
        </w:tc>
        <w:tc>
          <w:tcPr>
            <w:tcW w:w="1777" w:type="dxa"/>
            <w:vAlign w:val="center"/>
          </w:tcPr>
          <w:p w14:paraId="41E8F43B" w14:textId="77777777" w:rsidR="00976265" w:rsidRPr="002D7798" w:rsidRDefault="0064263D">
            <w:pPr>
              <w:spacing w:before="60" w:after="60" w:line="276" w:lineRule="auto"/>
              <w:jc w:val="right"/>
              <w:rPr>
                <w:b/>
                <w:noProof/>
                <w:sz w:val="20"/>
                <w:szCs w:val="20"/>
              </w:rPr>
            </w:pPr>
            <w:r w:rsidRPr="002D7798">
              <w:rPr>
                <w:b/>
                <w:noProof/>
                <w:sz w:val="20"/>
              </w:rPr>
              <w:t>4,788</w:t>
            </w:r>
          </w:p>
        </w:tc>
      </w:tr>
    </w:tbl>
    <w:p w14:paraId="7394C13A" w14:textId="77777777" w:rsidR="00976265" w:rsidRPr="002D7798" w:rsidRDefault="00976265">
      <w:pPr>
        <w:spacing w:before="0" w:after="200" w:line="276" w:lineRule="auto"/>
        <w:jc w:val="left"/>
        <w:rPr>
          <w:noProof/>
          <w:szCs w:val="20"/>
        </w:rPr>
        <w:sectPr w:rsidR="00976265" w:rsidRPr="002D7798" w:rsidSect="007D2204">
          <w:headerReference w:type="default" r:id="rId12"/>
          <w:footerReference w:type="default" r:id="rId13"/>
          <w:headerReference w:type="first" r:id="rId14"/>
          <w:footerReference w:type="first" r:id="rId15"/>
          <w:pgSz w:w="15840" w:h="12240" w:orient="landscape"/>
          <w:pgMar w:top="1134" w:right="1077" w:bottom="902" w:left="1247" w:header="709" w:footer="510" w:gutter="0"/>
          <w:cols w:space="720"/>
          <w:docGrid w:linePitch="326"/>
        </w:sectPr>
      </w:pPr>
    </w:p>
    <w:p w14:paraId="2CC5C043" w14:textId="77777777" w:rsidR="00976265" w:rsidRPr="002D7798" w:rsidRDefault="0064263D">
      <w:pPr>
        <w:keepNext/>
        <w:tabs>
          <w:tab w:val="left" w:pos="850"/>
        </w:tabs>
        <w:ind w:left="850" w:hanging="850"/>
        <w:outlineLvl w:val="2"/>
        <w:rPr>
          <w:bCs/>
          <w:i/>
          <w:noProof/>
          <w:szCs w:val="24"/>
        </w:rPr>
      </w:pPr>
      <w:bookmarkStart w:id="97" w:name="_Toc514938687"/>
      <w:bookmarkStart w:id="98" w:name="_Toc128753783"/>
      <w:r w:rsidRPr="002D7798">
        <w:rPr>
          <w:i/>
          <w:noProof/>
        </w:rPr>
        <w:t>3.2.2.</w:t>
      </w:r>
      <w:r w:rsidRPr="002D7798">
        <w:rPr>
          <w:noProof/>
        </w:rPr>
        <w:tab/>
      </w:r>
      <w:r w:rsidRPr="002D7798">
        <w:rPr>
          <w:i/>
          <w:noProof/>
        </w:rPr>
        <w:t>Odhadovaný dopad na prostředky [subjektu]</w:t>
      </w:r>
      <w:bookmarkEnd w:id="97"/>
      <w:bookmarkEnd w:id="98"/>
      <w:r w:rsidRPr="002D7798">
        <w:rPr>
          <w:i/>
          <w:noProof/>
        </w:rPr>
        <w:t xml:space="preserve"> </w:t>
      </w:r>
    </w:p>
    <w:p w14:paraId="396D9D49" w14:textId="77777777" w:rsidR="00976265" w:rsidRPr="002D7798" w:rsidRDefault="0064263D">
      <w:pPr>
        <w:tabs>
          <w:tab w:val="num" w:pos="1134"/>
        </w:tabs>
        <w:ind w:left="1134" w:hanging="283"/>
        <w:rPr>
          <w:noProof/>
        </w:rPr>
      </w:pPr>
      <w:r w:rsidRPr="002D7798">
        <w:rPr>
          <w:rFonts w:ascii="Wingdings" w:hAnsi="Wingdings"/>
          <w:noProof/>
        </w:rPr>
        <w:t></w:t>
      </w:r>
      <w:r w:rsidRPr="002D7798">
        <w:rPr>
          <w:noProof/>
        </w:rPr>
        <w:tab/>
        <w:t xml:space="preserve">Návrh/podnět nevyžaduje využití operačních prostředků. </w:t>
      </w:r>
    </w:p>
    <w:p w14:paraId="3D37D648" w14:textId="77777777" w:rsidR="00976265" w:rsidRPr="002D7798" w:rsidRDefault="0064263D">
      <w:pPr>
        <w:tabs>
          <w:tab w:val="num" w:pos="1134"/>
        </w:tabs>
        <w:ind w:left="1134" w:hanging="283"/>
        <w:rPr>
          <w:noProof/>
        </w:rPr>
      </w:pPr>
      <w:r w:rsidRPr="002D7798">
        <w:rPr>
          <w:rFonts w:ascii="Wingdings" w:hAnsi="Wingdings"/>
          <w:noProof/>
        </w:rPr>
        <w:t></w:t>
      </w:r>
      <w:r w:rsidRPr="002D7798">
        <w:rPr>
          <w:noProof/>
        </w:rPr>
        <w:tab/>
        <w:t>Návrh/podnět vyžaduje využití operačních prostředků, jak je vysvětleno dále:</w:t>
      </w:r>
    </w:p>
    <w:p w14:paraId="22245D0D" w14:textId="77777777" w:rsidR="00976265" w:rsidRPr="002D7798" w:rsidRDefault="0064263D">
      <w:pPr>
        <w:spacing w:before="0" w:after="200" w:line="276" w:lineRule="auto"/>
        <w:jc w:val="right"/>
        <w:rPr>
          <w:noProof/>
          <w:sz w:val="20"/>
          <w:szCs w:val="20"/>
        </w:rPr>
      </w:pPr>
      <w:r w:rsidRPr="002D7798">
        <w:rPr>
          <w:noProof/>
          <w:sz w:val="20"/>
        </w:rPr>
        <w:t>Částky v milionech EUR (zaokrouhleno na tři desetinná místa)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51"/>
        <w:gridCol w:w="669"/>
        <w:gridCol w:w="540"/>
        <w:gridCol w:w="648"/>
        <w:gridCol w:w="432"/>
        <w:gridCol w:w="720"/>
        <w:gridCol w:w="540"/>
        <w:gridCol w:w="720"/>
        <w:gridCol w:w="720"/>
        <w:gridCol w:w="900"/>
      </w:tblGrid>
      <w:tr w:rsidR="00851B85" w:rsidRPr="002D7798" w14:paraId="50275839" w14:textId="77777777" w:rsidTr="208CACCC">
        <w:trPr>
          <w:jc w:val="center"/>
        </w:trPr>
        <w:tc>
          <w:tcPr>
            <w:tcW w:w="1423" w:type="dxa"/>
            <w:vMerge w:val="restart"/>
            <w:vAlign w:val="center"/>
          </w:tcPr>
          <w:p w14:paraId="68128DD8" w14:textId="77777777" w:rsidR="00976265" w:rsidRPr="002D7798" w:rsidRDefault="0064263D">
            <w:pPr>
              <w:spacing w:before="0" w:after="200" w:line="276" w:lineRule="auto"/>
              <w:ind w:right="-29"/>
              <w:jc w:val="center"/>
              <w:rPr>
                <w:b/>
                <w:noProof/>
                <w:sz w:val="18"/>
                <w:szCs w:val="20"/>
              </w:rPr>
            </w:pPr>
            <w:r w:rsidRPr="002D7798">
              <w:rPr>
                <w:b/>
                <w:noProof/>
                <w:sz w:val="18"/>
              </w:rPr>
              <w:t xml:space="preserve">Uveďte cíle a výstupy </w:t>
            </w:r>
          </w:p>
          <w:p w14:paraId="2AD8744E" w14:textId="77777777" w:rsidR="00976265" w:rsidRPr="002D7798" w:rsidRDefault="00976265">
            <w:pPr>
              <w:spacing w:before="0" w:after="200" w:line="276" w:lineRule="auto"/>
              <w:ind w:right="-29"/>
              <w:jc w:val="center"/>
              <w:rPr>
                <w:b/>
                <w:noProof/>
                <w:sz w:val="18"/>
                <w:szCs w:val="20"/>
              </w:rPr>
            </w:pPr>
          </w:p>
          <w:p w14:paraId="4CF2B033" w14:textId="77777777" w:rsidR="00976265" w:rsidRPr="002D7798" w:rsidRDefault="0064263D">
            <w:pPr>
              <w:spacing w:before="0" w:after="200" w:line="276" w:lineRule="auto"/>
              <w:ind w:right="-29"/>
              <w:jc w:val="center"/>
              <w:rPr>
                <w:noProof/>
                <w:sz w:val="18"/>
                <w:szCs w:val="20"/>
              </w:rPr>
            </w:pPr>
            <w:r w:rsidRPr="002D7798">
              <w:rPr>
                <w:rFonts w:ascii="Wingdings" w:hAnsi="Wingdings"/>
                <w:noProof/>
                <w:sz w:val="18"/>
              </w:rPr>
              <w:t></w:t>
            </w:r>
          </w:p>
        </w:tc>
        <w:tc>
          <w:tcPr>
            <w:tcW w:w="720" w:type="dxa"/>
            <w:vAlign w:val="center"/>
          </w:tcPr>
          <w:p w14:paraId="155E6288" w14:textId="77777777" w:rsidR="00976265" w:rsidRPr="002D7798" w:rsidRDefault="00976265">
            <w:pPr>
              <w:spacing w:before="0" w:after="200" w:line="276" w:lineRule="auto"/>
              <w:ind w:right="-29"/>
              <w:jc w:val="center"/>
              <w:rPr>
                <w:noProof/>
                <w:sz w:val="18"/>
                <w:szCs w:val="20"/>
              </w:rPr>
            </w:pPr>
          </w:p>
        </w:tc>
        <w:tc>
          <w:tcPr>
            <w:tcW w:w="701" w:type="dxa"/>
            <w:vAlign w:val="center"/>
          </w:tcPr>
          <w:p w14:paraId="60F6B241" w14:textId="77777777" w:rsidR="00976265" w:rsidRPr="002D7798" w:rsidRDefault="00976265">
            <w:pPr>
              <w:spacing w:before="0" w:after="200" w:line="276" w:lineRule="auto"/>
              <w:ind w:right="-29"/>
              <w:jc w:val="center"/>
              <w:rPr>
                <w:noProof/>
                <w:sz w:val="18"/>
                <w:szCs w:val="20"/>
              </w:rPr>
            </w:pPr>
          </w:p>
        </w:tc>
        <w:tc>
          <w:tcPr>
            <w:tcW w:w="1224" w:type="dxa"/>
            <w:gridSpan w:val="2"/>
            <w:tcBorders>
              <w:left w:val="nil"/>
            </w:tcBorders>
            <w:vAlign w:val="center"/>
          </w:tcPr>
          <w:p w14:paraId="73213FF3" w14:textId="77777777" w:rsidR="00976265" w:rsidRPr="002D7798" w:rsidRDefault="0064263D">
            <w:pPr>
              <w:spacing w:before="0" w:after="200" w:line="276" w:lineRule="auto"/>
              <w:ind w:right="-29"/>
              <w:jc w:val="center"/>
              <w:rPr>
                <w:noProof/>
                <w:sz w:val="18"/>
                <w:szCs w:val="20"/>
              </w:rPr>
            </w:pPr>
            <w:r w:rsidRPr="002D7798">
              <w:rPr>
                <w:noProof/>
                <w:sz w:val="18"/>
              </w:rPr>
              <w:t>Rok</w:t>
            </w:r>
            <w:r w:rsidRPr="002D7798">
              <w:rPr>
                <w:noProof/>
              </w:rPr>
              <w:t xml:space="preserve"> </w:t>
            </w:r>
            <w:r w:rsidRPr="002D7798">
              <w:rPr>
                <w:noProof/>
              </w:rPr>
              <w:br/>
            </w:r>
            <w:r w:rsidRPr="002D7798">
              <w:rPr>
                <w:b/>
                <w:noProof/>
                <w:sz w:val="18"/>
              </w:rPr>
              <w:t>N</w:t>
            </w:r>
          </w:p>
        </w:tc>
        <w:tc>
          <w:tcPr>
            <w:tcW w:w="1260" w:type="dxa"/>
            <w:gridSpan w:val="2"/>
            <w:vAlign w:val="center"/>
          </w:tcPr>
          <w:p w14:paraId="5D9F5366" w14:textId="77777777" w:rsidR="00976265" w:rsidRPr="002D7798" w:rsidRDefault="0064263D">
            <w:pPr>
              <w:spacing w:before="0" w:after="200" w:line="276" w:lineRule="auto"/>
              <w:ind w:right="-29"/>
              <w:jc w:val="center"/>
              <w:rPr>
                <w:noProof/>
                <w:sz w:val="18"/>
                <w:szCs w:val="20"/>
              </w:rPr>
            </w:pPr>
            <w:r w:rsidRPr="002D7798">
              <w:rPr>
                <w:noProof/>
                <w:sz w:val="18"/>
              </w:rPr>
              <w:t>Rok</w:t>
            </w:r>
            <w:r w:rsidRPr="002D7798">
              <w:rPr>
                <w:noProof/>
              </w:rPr>
              <w:t xml:space="preserve"> </w:t>
            </w:r>
            <w:r w:rsidRPr="002D7798">
              <w:rPr>
                <w:noProof/>
              </w:rPr>
              <w:br/>
            </w:r>
            <w:r w:rsidRPr="002D7798">
              <w:rPr>
                <w:b/>
                <w:noProof/>
                <w:sz w:val="18"/>
              </w:rPr>
              <w:t>N+1</w:t>
            </w:r>
          </w:p>
        </w:tc>
        <w:tc>
          <w:tcPr>
            <w:tcW w:w="1440" w:type="dxa"/>
            <w:gridSpan w:val="2"/>
            <w:vAlign w:val="center"/>
          </w:tcPr>
          <w:p w14:paraId="444F4F4A" w14:textId="77777777" w:rsidR="00976265" w:rsidRPr="002D7798" w:rsidRDefault="0064263D">
            <w:pPr>
              <w:spacing w:before="0" w:after="200" w:line="276" w:lineRule="auto"/>
              <w:ind w:right="-29"/>
              <w:jc w:val="center"/>
              <w:rPr>
                <w:noProof/>
                <w:sz w:val="18"/>
                <w:szCs w:val="20"/>
              </w:rPr>
            </w:pPr>
            <w:r w:rsidRPr="002D7798">
              <w:rPr>
                <w:noProof/>
                <w:sz w:val="18"/>
              </w:rPr>
              <w:t>Rok</w:t>
            </w:r>
            <w:r w:rsidRPr="002D7798">
              <w:rPr>
                <w:noProof/>
              </w:rPr>
              <w:t xml:space="preserve"> </w:t>
            </w:r>
            <w:r w:rsidRPr="002D7798">
              <w:rPr>
                <w:noProof/>
              </w:rPr>
              <w:br/>
            </w:r>
            <w:r w:rsidRPr="002D7798">
              <w:rPr>
                <w:b/>
                <w:noProof/>
                <w:sz w:val="18"/>
              </w:rPr>
              <w:t>N+2</w:t>
            </w:r>
          </w:p>
        </w:tc>
        <w:tc>
          <w:tcPr>
            <w:tcW w:w="1620" w:type="dxa"/>
            <w:gridSpan w:val="3"/>
            <w:vAlign w:val="center"/>
          </w:tcPr>
          <w:p w14:paraId="31A19E8E" w14:textId="77777777" w:rsidR="00976265" w:rsidRPr="002D7798" w:rsidRDefault="0064263D">
            <w:pPr>
              <w:spacing w:before="0" w:after="200" w:line="276" w:lineRule="auto"/>
              <w:ind w:right="-29"/>
              <w:jc w:val="center"/>
              <w:rPr>
                <w:noProof/>
                <w:sz w:val="18"/>
                <w:szCs w:val="20"/>
              </w:rPr>
            </w:pPr>
            <w:r w:rsidRPr="002D7798">
              <w:rPr>
                <w:noProof/>
                <w:sz w:val="18"/>
              </w:rPr>
              <w:t>Rok</w:t>
            </w:r>
            <w:r w:rsidRPr="002D7798">
              <w:rPr>
                <w:noProof/>
              </w:rPr>
              <w:t xml:space="preserve"> </w:t>
            </w:r>
            <w:r w:rsidRPr="002D7798">
              <w:rPr>
                <w:noProof/>
              </w:rPr>
              <w:br/>
            </w:r>
            <w:r w:rsidRPr="002D7798">
              <w:rPr>
                <w:b/>
                <w:noProof/>
                <w:sz w:val="18"/>
              </w:rPr>
              <w:t>N+3</w:t>
            </w:r>
          </w:p>
        </w:tc>
        <w:tc>
          <w:tcPr>
            <w:tcW w:w="3600" w:type="dxa"/>
            <w:gridSpan w:val="6"/>
            <w:vAlign w:val="center"/>
          </w:tcPr>
          <w:p w14:paraId="204C6ACE" w14:textId="77777777" w:rsidR="00976265" w:rsidRPr="002D7798" w:rsidRDefault="0064263D">
            <w:pPr>
              <w:spacing w:before="0" w:after="200" w:line="276" w:lineRule="auto"/>
              <w:jc w:val="center"/>
              <w:rPr>
                <w:b/>
                <w:noProof/>
                <w:sz w:val="18"/>
                <w:szCs w:val="20"/>
              </w:rPr>
            </w:pPr>
            <w:r w:rsidRPr="002D7798">
              <w:rPr>
                <w:noProof/>
                <w:sz w:val="18"/>
              </w:rPr>
              <w:t>Vložit počet let podle trvání finančního dopadu (viz bod 1.6)</w:t>
            </w:r>
          </w:p>
        </w:tc>
        <w:tc>
          <w:tcPr>
            <w:tcW w:w="1620" w:type="dxa"/>
            <w:gridSpan w:val="2"/>
            <w:tcBorders>
              <w:left w:val="nil"/>
              <w:bottom w:val="nil"/>
            </w:tcBorders>
            <w:vAlign w:val="center"/>
          </w:tcPr>
          <w:p w14:paraId="2EAA23AC" w14:textId="77777777" w:rsidR="00976265" w:rsidRPr="002D7798" w:rsidRDefault="0064263D">
            <w:pPr>
              <w:spacing w:before="0" w:after="200" w:line="276" w:lineRule="auto"/>
              <w:ind w:right="-29"/>
              <w:jc w:val="center"/>
              <w:rPr>
                <w:noProof/>
                <w:sz w:val="18"/>
                <w:szCs w:val="20"/>
              </w:rPr>
            </w:pPr>
            <w:r w:rsidRPr="002D7798">
              <w:rPr>
                <w:b/>
                <w:noProof/>
                <w:sz w:val="18"/>
              </w:rPr>
              <w:t>CELKEM</w:t>
            </w:r>
          </w:p>
        </w:tc>
      </w:tr>
      <w:tr w:rsidR="00851B85" w:rsidRPr="002D7798" w14:paraId="28278AA8" w14:textId="77777777" w:rsidTr="208CACCC">
        <w:trPr>
          <w:jc w:val="center"/>
        </w:trPr>
        <w:tc>
          <w:tcPr>
            <w:tcW w:w="1423" w:type="dxa"/>
            <w:vMerge/>
            <w:vAlign w:val="center"/>
          </w:tcPr>
          <w:p w14:paraId="10705B47" w14:textId="77777777" w:rsidR="00976265" w:rsidRPr="002D7798" w:rsidRDefault="00976265">
            <w:pPr>
              <w:spacing w:before="0" w:after="200" w:line="276" w:lineRule="auto"/>
              <w:jc w:val="left"/>
              <w:rPr>
                <w:noProof/>
                <w:sz w:val="18"/>
                <w:szCs w:val="20"/>
              </w:rPr>
            </w:pPr>
          </w:p>
        </w:tc>
        <w:tc>
          <w:tcPr>
            <w:tcW w:w="12185" w:type="dxa"/>
            <w:gridSpan w:val="19"/>
            <w:vAlign w:val="center"/>
          </w:tcPr>
          <w:p w14:paraId="416A5ABB" w14:textId="77777777" w:rsidR="00976265" w:rsidRPr="002D7798" w:rsidRDefault="0064263D">
            <w:pPr>
              <w:spacing w:before="60" w:after="60" w:line="276" w:lineRule="auto"/>
              <w:ind w:right="-29"/>
              <w:jc w:val="center"/>
              <w:rPr>
                <w:noProof/>
                <w:sz w:val="18"/>
                <w:szCs w:val="20"/>
              </w:rPr>
            </w:pPr>
            <w:r w:rsidRPr="002D7798">
              <w:rPr>
                <w:b/>
                <w:noProof/>
                <w:sz w:val="18"/>
              </w:rPr>
              <w:t>VÝSTUPY</w:t>
            </w:r>
          </w:p>
        </w:tc>
      </w:tr>
      <w:tr w:rsidR="00851B85" w:rsidRPr="002D7798" w14:paraId="0F3084D2" w14:textId="77777777" w:rsidTr="208CACCC">
        <w:trPr>
          <w:cantSplit/>
          <w:trHeight w:val="1134"/>
          <w:jc w:val="center"/>
        </w:trPr>
        <w:tc>
          <w:tcPr>
            <w:tcW w:w="1423" w:type="dxa"/>
            <w:vMerge/>
            <w:vAlign w:val="center"/>
          </w:tcPr>
          <w:p w14:paraId="0FFF16E4" w14:textId="77777777" w:rsidR="00976265" w:rsidRPr="002D7798" w:rsidRDefault="00976265">
            <w:pPr>
              <w:spacing w:before="0" w:after="200" w:line="276" w:lineRule="auto"/>
              <w:jc w:val="left"/>
              <w:rPr>
                <w:noProof/>
                <w:sz w:val="18"/>
                <w:szCs w:val="20"/>
              </w:rPr>
            </w:pPr>
          </w:p>
        </w:tc>
        <w:tc>
          <w:tcPr>
            <w:tcW w:w="720" w:type="dxa"/>
            <w:vAlign w:val="center"/>
          </w:tcPr>
          <w:p w14:paraId="481DE3B9" w14:textId="77777777" w:rsidR="00976265" w:rsidRPr="002D7798" w:rsidRDefault="0064263D">
            <w:pPr>
              <w:spacing w:before="0" w:after="200" w:line="276" w:lineRule="auto"/>
              <w:jc w:val="center"/>
              <w:rPr>
                <w:noProof/>
                <w:sz w:val="18"/>
                <w:szCs w:val="20"/>
              </w:rPr>
            </w:pPr>
            <w:r w:rsidRPr="002D7798">
              <w:rPr>
                <w:noProof/>
                <w:sz w:val="18"/>
              </w:rPr>
              <w:t>Druh</w:t>
            </w:r>
            <w:r w:rsidRPr="002D7798">
              <w:rPr>
                <w:rStyle w:val="FootnoteReference"/>
                <w:noProof/>
              </w:rPr>
              <w:footnoteReference w:id="36"/>
            </w:r>
          </w:p>
        </w:tc>
        <w:tc>
          <w:tcPr>
            <w:tcW w:w="701" w:type="dxa"/>
            <w:vAlign w:val="center"/>
          </w:tcPr>
          <w:p w14:paraId="3DB60134" w14:textId="77777777" w:rsidR="00976265" w:rsidRPr="002D7798" w:rsidRDefault="0064263D">
            <w:pPr>
              <w:spacing w:before="0" w:after="200" w:line="276" w:lineRule="auto"/>
              <w:jc w:val="center"/>
              <w:rPr>
                <w:noProof/>
                <w:szCs w:val="20"/>
              </w:rPr>
            </w:pPr>
            <w:r w:rsidRPr="002D7798">
              <w:rPr>
                <w:noProof/>
                <w:sz w:val="18"/>
              </w:rPr>
              <w:t>Průměrné náklady</w:t>
            </w:r>
          </w:p>
        </w:tc>
        <w:tc>
          <w:tcPr>
            <w:tcW w:w="504" w:type="dxa"/>
            <w:tcBorders>
              <w:left w:val="nil"/>
              <w:right w:val="dashSmallGap" w:sz="4" w:space="0" w:color="auto"/>
            </w:tcBorders>
            <w:shd w:val="clear" w:color="auto" w:fill="auto"/>
            <w:textDirection w:val="btLr"/>
            <w:vAlign w:val="center"/>
          </w:tcPr>
          <w:p w14:paraId="0A590F4C" w14:textId="77777777" w:rsidR="00976265" w:rsidRPr="002D7798" w:rsidRDefault="0064263D">
            <w:pPr>
              <w:spacing w:before="0" w:after="200" w:line="276" w:lineRule="auto"/>
              <w:ind w:left="113" w:right="113"/>
              <w:jc w:val="center"/>
              <w:rPr>
                <w:noProof/>
                <w:szCs w:val="20"/>
              </w:rPr>
            </w:pPr>
            <w:r w:rsidRPr="002D7798">
              <w:rPr>
                <w:noProof/>
                <w:sz w:val="18"/>
              </w:rPr>
              <w:t>Počet</w:t>
            </w:r>
          </w:p>
        </w:tc>
        <w:tc>
          <w:tcPr>
            <w:tcW w:w="720" w:type="dxa"/>
            <w:tcBorders>
              <w:left w:val="dashSmallGap" w:sz="4" w:space="0" w:color="auto"/>
            </w:tcBorders>
            <w:shd w:val="clear" w:color="auto" w:fill="auto"/>
            <w:vAlign w:val="center"/>
          </w:tcPr>
          <w:p w14:paraId="15AC7D33" w14:textId="77777777" w:rsidR="00976265" w:rsidRPr="002D7798" w:rsidRDefault="0064263D">
            <w:pPr>
              <w:spacing w:before="0" w:after="200" w:line="276" w:lineRule="auto"/>
              <w:jc w:val="center"/>
              <w:rPr>
                <w:noProof/>
                <w:sz w:val="18"/>
                <w:szCs w:val="20"/>
              </w:rPr>
            </w:pPr>
            <w:r w:rsidRPr="002D7798">
              <w:rPr>
                <w:noProof/>
                <w:sz w:val="18"/>
              </w:rPr>
              <w:t>Náklady</w:t>
            </w:r>
          </w:p>
        </w:tc>
        <w:tc>
          <w:tcPr>
            <w:tcW w:w="540" w:type="dxa"/>
            <w:tcBorders>
              <w:right w:val="dashSmallGap" w:sz="4" w:space="0" w:color="auto"/>
            </w:tcBorders>
            <w:shd w:val="clear" w:color="auto" w:fill="auto"/>
            <w:textDirection w:val="btLr"/>
            <w:vAlign w:val="center"/>
          </w:tcPr>
          <w:p w14:paraId="154BD5E9" w14:textId="77777777" w:rsidR="00976265" w:rsidRPr="002D7798" w:rsidRDefault="0064263D">
            <w:pPr>
              <w:spacing w:before="0" w:after="200" w:line="276" w:lineRule="auto"/>
              <w:ind w:left="113" w:right="113"/>
              <w:jc w:val="center"/>
              <w:rPr>
                <w:noProof/>
                <w:szCs w:val="20"/>
              </w:rPr>
            </w:pPr>
            <w:r w:rsidRPr="002D7798">
              <w:rPr>
                <w:noProof/>
                <w:sz w:val="18"/>
              </w:rPr>
              <w:t>Počet</w:t>
            </w:r>
          </w:p>
        </w:tc>
        <w:tc>
          <w:tcPr>
            <w:tcW w:w="720" w:type="dxa"/>
            <w:tcBorders>
              <w:left w:val="dashSmallGap" w:sz="4" w:space="0" w:color="auto"/>
            </w:tcBorders>
            <w:shd w:val="clear" w:color="auto" w:fill="auto"/>
            <w:vAlign w:val="center"/>
          </w:tcPr>
          <w:p w14:paraId="195A10F5" w14:textId="77777777" w:rsidR="00976265" w:rsidRPr="002D7798" w:rsidRDefault="0064263D">
            <w:pPr>
              <w:spacing w:before="0" w:after="200" w:line="276" w:lineRule="auto"/>
              <w:jc w:val="center"/>
              <w:rPr>
                <w:noProof/>
                <w:sz w:val="18"/>
                <w:szCs w:val="20"/>
              </w:rPr>
            </w:pPr>
            <w:r w:rsidRPr="002D7798">
              <w:rPr>
                <w:noProof/>
                <w:sz w:val="18"/>
              </w:rPr>
              <w:t>Náklady</w:t>
            </w:r>
          </w:p>
        </w:tc>
        <w:tc>
          <w:tcPr>
            <w:tcW w:w="720" w:type="dxa"/>
            <w:tcBorders>
              <w:right w:val="dashSmallGap" w:sz="4" w:space="0" w:color="auto"/>
            </w:tcBorders>
            <w:shd w:val="clear" w:color="auto" w:fill="auto"/>
            <w:textDirection w:val="btLr"/>
            <w:vAlign w:val="center"/>
          </w:tcPr>
          <w:p w14:paraId="2F493B28" w14:textId="77777777" w:rsidR="00976265" w:rsidRPr="002D7798" w:rsidRDefault="0064263D">
            <w:pPr>
              <w:spacing w:before="0" w:after="200" w:line="276" w:lineRule="auto"/>
              <w:ind w:left="113" w:right="113"/>
              <w:jc w:val="center"/>
              <w:rPr>
                <w:noProof/>
                <w:szCs w:val="20"/>
              </w:rPr>
            </w:pPr>
            <w:r w:rsidRPr="002D7798">
              <w:rPr>
                <w:noProof/>
                <w:sz w:val="18"/>
              </w:rPr>
              <w:t>Počet</w:t>
            </w:r>
          </w:p>
        </w:tc>
        <w:tc>
          <w:tcPr>
            <w:tcW w:w="720" w:type="dxa"/>
            <w:tcBorders>
              <w:left w:val="dashSmallGap" w:sz="4" w:space="0" w:color="auto"/>
            </w:tcBorders>
            <w:shd w:val="clear" w:color="auto" w:fill="auto"/>
            <w:vAlign w:val="center"/>
          </w:tcPr>
          <w:p w14:paraId="276F3131" w14:textId="77777777" w:rsidR="00976265" w:rsidRPr="002D7798" w:rsidRDefault="0064263D">
            <w:pPr>
              <w:spacing w:before="0" w:after="200" w:line="276" w:lineRule="auto"/>
              <w:jc w:val="center"/>
              <w:rPr>
                <w:noProof/>
                <w:sz w:val="18"/>
                <w:szCs w:val="20"/>
              </w:rPr>
            </w:pPr>
            <w:r w:rsidRPr="002D7798">
              <w:rPr>
                <w:noProof/>
                <w:sz w:val="18"/>
              </w:rPr>
              <w:t>Náklady</w:t>
            </w:r>
          </w:p>
        </w:tc>
        <w:tc>
          <w:tcPr>
            <w:tcW w:w="900" w:type="dxa"/>
            <w:tcBorders>
              <w:right w:val="dashSmallGap" w:sz="4" w:space="0" w:color="auto"/>
            </w:tcBorders>
            <w:shd w:val="clear" w:color="auto" w:fill="auto"/>
            <w:textDirection w:val="btLr"/>
            <w:vAlign w:val="center"/>
          </w:tcPr>
          <w:p w14:paraId="6FBEFF76" w14:textId="77777777" w:rsidR="00976265" w:rsidRPr="002D7798" w:rsidRDefault="0064263D">
            <w:pPr>
              <w:spacing w:before="0" w:after="200" w:line="276" w:lineRule="auto"/>
              <w:ind w:left="113" w:right="113"/>
              <w:jc w:val="center"/>
              <w:rPr>
                <w:noProof/>
                <w:szCs w:val="20"/>
              </w:rPr>
            </w:pPr>
            <w:r w:rsidRPr="002D7798">
              <w:rPr>
                <w:noProof/>
                <w:sz w:val="18"/>
              </w:rPr>
              <w:t>Počet</w:t>
            </w:r>
          </w:p>
        </w:tc>
        <w:tc>
          <w:tcPr>
            <w:tcW w:w="720" w:type="dxa"/>
            <w:gridSpan w:val="2"/>
            <w:tcBorders>
              <w:left w:val="dashSmallGap" w:sz="4" w:space="0" w:color="auto"/>
            </w:tcBorders>
            <w:shd w:val="clear" w:color="auto" w:fill="auto"/>
            <w:vAlign w:val="center"/>
          </w:tcPr>
          <w:p w14:paraId="0D5B49D5" w14:textId="77777777" w:rsidR="00976265" w:rsidRPr="002D7798" w:rsidRDefault="0064263D">
            <w:pPr>
              <w:spacing w:before="0" w:after="200" w:line="276" w:lineRule="auto"/>
              <w:jc w:val="center"/>
              <w:rPr>
                <w:noProof/>
                <w:sz w:val="18"/>
                <w:szCs w:val="20"/>
              </w:rPr>
            </w:pPr>
            <w:r w:rsidRPr="002D7798">
              <w:rPr>
                <w:noProof/>
                <w:sz w:val="18"/>
              </w:rPr>
              <w:t>Náklady</w:t>
            </w:r>
          </w:p>
        </w:tc>
        <w:tc>
          <w:tcPr>
            <w:tcW w:w="540" w:type="dxa"/>
            <w:tcBorders>
              <w:right w:val="dashSmallGap" w:sz="4" w:space="0" w:color="auto"/>
            </w:tcBorders>
            <w:shd w:val="clear" w:color="auto" w:fill="auto"/>
            <w:textDirection w:val="btLr"/>
            <w:vAlign w:val="center"/>
          </w:tcPr>
          <w:p w14:paraId="022C1C84" w14:textId="77777777" w:rsidR="00976265" w:rsidRPr="002D7798" w:rsidRDefault="0064263D">
            <w:pPr>
              <w:spacing w:before="0" w:after="200" w:line="276" w:lineRule="auto"/>
              <w:ind w:left="113" w:right="113"/>
              <w:jc w:val="center"/>
              <w:rPr>
                <w:noProof/>
                <w:szCs w:val="20"/>
              </w:rPr>
            </w:pPr>
            <w:r w:rsidRPr="002D7798">
              <w:rPr>
                <w:noProof/>
                <w:sz w:val="18"/>
              </w:rPr>
              <w:t>Počet</w:t>
            </w:r>
          </w:p>
        </w:tc>
        <w:tc>
          <w:tcPr>
            <w:tcW w:w="648" w:type="dxa"/>
            <w:tcBorders>
              <w:left w:val="dashSmallGap" w:sz="4" w:space="0" w:color="auto"/>
            </w:tcBorders>
            <w:shd w:val="clear" w:color="auto" w:fill="auto"/>
            <w:vAlign w:val="center"/>
          </w:tcPr>
          <w:p w14:paraId="714EA6E7" w14:textId="77777777" w:rsidR="00976265" w:rsidRPr="002D7798" w:rsidRDefault="0064263D">
            <w:pPr>
              <w:spacing w:before="0" w:after="200" w:line="276" w:lineRule="auto"/>
              <w:jc w:val="center"/>
              <w:rPr>
                <w:noProof/>
                <w:sz w:val="18"/>
                <w:szCs w:val="20"/>
              </w:rPr>
            </w:pPr>
            <w:r w:rsidRPr="002D7798">
              <w:rPr>
                <w:noProof/>
                <w:sz w:val="18"/>
              </w:rPr>
              <w:t>Náklady</w:t>
            </w:r>
          </w:p>
        </w:tc>
        <w:tc>
          <w:tcPr>
            <w:tcW w:w="432" w:type="dxa"/>
            <w:tcBorders>
              <w:right w:val="dashSmallGap" w:sz="4" w:space="0" w:color="auto"/>
            </w:tcBorders>
            <w:shd w:val="clear" w:color="auto" w:fill="auto"/>
            <w:textDirection w:val="btLr"/>
            <w:vAlign w:val="center"/>
          </w:tcPr>
          <w:p w14:paraId="7165D98A" w14:textId="77777777" w:rsidR="00976265" w:rsidRPr="002D7798" w:rsidRDefault="0064263D">
            <w:pPr>
              <w:spacing w:before="0" w:after="200" w:line="276" w:lineRule="auto"/>
              <w:ind w:left="113" w:right="113"/>
              <w:jc w:val="center"/>
              <w:rPr>
                <w:noProof/>
                <w:szCs w:val="20"/>
              </w:rPr>
            </w:pPr>
            <w:r w:rsidRPr="002D7798">
              <w:rPr>
                <w:noProof/>
                <w:sz w:val="18"/>
              </w:rPr>
              <w:t>Počet</w:t>
            </w:r>
          </w:p>
        </w:tc>
        <w:tc>
          <w:tcPr>
            <w:tcW w:w="720" w:type="dxa"/>
            <w:tcBorders>
              <w:left w:val="dashSmallGap" w:sz="4" w:space="0" w:color="auto"/>
            </w:tcBorders>
            <w:shd w:val="clear" w:color="auto" w:fill="auto"/>
            <w:vAlign w:val="center"/>
          </w:tcPr>
          <w:p w14:paraId="6B576A02" w14:textId="77777777" w:rsidR="00976265" w:rsidRPr="002D7798" w:rsidRDefault="0064263D">
            <w:pPr>
              <w:spacing w:before="0" w:after="200" w:line="276" w:lineRule="auto"/>
              <w:jc w:val="center"/>
              <w:rPr>
                <w:noProof/>
                <w:sz w:val="18"/>
                <w:szCs w:val="20"/>
              </w:rPr>
            </w:pPr>
            <w:r w:rsidRPr="002D7798">
              <w:rPr>
                <w:noProof/>
                <w:sz w:val="18"/>
              </w:rPr>
              <w:t>Náklady</w:t>
            </w:r>
          </w:p>
        </w:tc>
        <w:tc>
          <w:tcPr>
            <w:tcW w:w="540" w:type="dxa"/>
            <w:tcBorders>
              <w:right w:val="dashSmallGap" w:sz="4" w:space="0" w:color="auto"/>
            </w:tcBorders>
            <w:shd w:val="clear" w:color="auto" w:fill="auto"/>
            <w:textDirection w:val="btLr"/>
            <w:vAlign w:val="center"/>
          </w:tcPr>
          <w:p w14:paraId="138AB7B4" w14:textId="77777777" w:rsidR="00976265" w:rsidRPr="002D7798" w:rsidRDefault="0064263D">
            <w:pPr>
              <w:spacing w:before="0" w:after="200" w:line="276" w:lineRule="auto"/>
              <w:ind w:left="113" w:right="113"/>
              <w:jc w:val="center"/>
              <w:rPr>
                <w:noProof/>
                <w:szCs w:val="20"/>
              </w:rPr>
            </w:pPr>
            <w:r w:rsidRPr="002D7798">
              <w:rPr>
                <w:noProof/>
                <w:sz w:val="18"/>
              </w:rPr>
              <w:t>Počet</w:t>
            </w:r>
          </w:p>
        </w:tc>
        <w:tc>
          <w:tcPr>
            <w:tcW w:w="720" w:type="dxa"/>
            <w:tcBorders>
              <w:left w:val="dashSmallGap" w:sz="4" w:space="0" w:color="auto"/>
            </w:tcBorders>
            <w:shd w:val="clear" w:color="auto" w:fill="auto"/>
            <w:vAlign w:val="center"/>
          </w:tcPr>
          <w:p w14:paraId="4BB63A4C" w14:textId="77777777" w:rsidR="00976265" w:rsidRPr="002D7798" w:rsidRDefault="0064263D">
            <w:pPr>
              <w:spacing w:before="0" w:after="200" w:line="276" w:lineRule="auto"/>
              <w:jc w:val="center"/>
              <w:rPr>
                <w:noProof/>
                <w:sz w:val="18"/>
                <w:szCs w:val="20"/>
              </w:rPr>
            </w:pPr>
            <w:r w:rsidRPr="002D7798">
              <w:rPr>
                <w:noProof/>
                <w:sz w:val="18"/>
              </w:rPr>
              <w:t>Náklady</w:t>
            </w:r>
          </w:p>
        </w:tc>
        <w:tc>
          <w:tcPr>
            <w:tcW w:w="720" w:type="dxa"/>
            <w:tcBorders>
              <w:right w:val="dashSmallGap" w:sz="4" w:space="0" w:color="auto"/>
            </w:tcBorders>
            <w:shd w:val="clear" w:color="auto" w:fill="auto"/>
            <w:vAlign w:val="center"/>
          </w:tcPr>
          <w:p w14:paraId="28E76182" w14:textId="77777777" w:rsidR="00976265" w:rsidRPr="002D7798" w:rsidRDefault="0064263D">
            <w:pPr>
              <w:spacing w:before="0" w:after="200" w:line="276" w:lineRule="auto"/>
              <w:jc w:val="center"/>
              <w:rPr>
                <w:noProof/>
                <w:sz w:val="18"/>
                <w:szCs w:val="20"/>
              </w:rPr>
            </w:pPr>
            <w:r w:rsidRPr="002D7798">
              <w:rPr>
                <w:noProof/>
                <w:sz w:val="18"/>
              </w:rPr>
              <w:t>Celkový počet</w:t>
            </w:r>
          </w:p>
        </w:tc>
        <w:tc>
          <w:tcPr>
            <w:tcW w:w="900" w:type="dxa"/>
            <w:tcBorders>
              <w:left w:val="dashSmallGap" w:sz="4" w:space="0" w:color="auto"/>
            </w:tcBorders>
            <w:shd w:val="clear" w:color="auto" w:fill="auto"/>
            <w:vAlign w:val="center"/>
          </w:tcPr>
          <w:p w14:paraId="4F948148" w14:textId="77777777" w:rsidR="00976265" w:rsidRPr="002D7798" w:rsidRDefault="0064263D">
            <w:pPr>
              <w:spacing w:before="0" w:after="200" w:line="276" w:lineRule="auto"/>
              <w:jc w:val="center"/>
              <w:rPr>
                <w:noProof/>
                <w:szCs w:val="20"/>
              </w:rPr>
            </w:pPr>
            <w:r w:rsidRPr="002D7798">
              <w:rPr>
                <w:noProof/>
                <w:sz w:val="18"/>
              </w:rPr>
              <w:t>Náklady celkem</w:t>
            </w:r>
          </w:p>
        </w:tc>
      </w:tr>
      <w:tr w:rsidR="00851B85" w:rsidRPr="002D7798" w14:paraId="130BD9C8" w14:textId="77777777" w:rsidTr="208CACCC">
        <w:trPr>
          <w:jc w:val="center"/>
        </w:trPr>
        <w:tc>
          <w:tcPr>
            <w:tcW w:w="2844" w:type="dxa"/>
            <w:gridSpan w:val="3"/>
            <w:vAlign w:val="center"/>
          </w:tcPr>
          <w:p w14:paraId="536421B6" w14:textId="77777777" w:rsidR="00976265" w:rsidRPr="002D7798" w:rsidRDefault="0064263D">
            <w:pPr>
              <w:spacing w:before="60" w:after="60" w:line="276" w:lineRule="auto"/>
              <w:ind w:right="-29"/>
              <w:jc w:val="center"/>
              <w:rPr>
                <w:noProof/>
                <w:sz w:val="18"/>
                <w:szCs w:val="20"/>
              </w:rPr>
            </w:pPr>
            <w:r w:rsidRPr="002D7798">
              <w:rPr>
                <w:noProof/>
                <w:sz w:val="18"/>
              </w:rPr>
              <w:t>SPECIFICKÝ CÍL č. 1</w:t>
            </w:r>
            <w:r w:rsidRPr="002D7798">
              <w:rPr>
                <w:rStyle w:val="FootnoteReference"/>
                <w:noProof/>
              </w:rPr>
              <w:footnoteReference w:id="37"/>
            </w:r>
            <w:r w:rsidRPr="002D7798">
              <w:rPr>
                <w:noProof/>
                <w:sz w:val="18"/>
              </w:rPr>
              <w:t>…</w:t>
            </w:r>
          </w:p>
        </w:tc>
        <w:tc>
          <w:tcPr>
            <w:tcW w:w="504" w:type="dxa"/>
            <w:tcBorders>
              <w:top w:val="nil"/>
              <w:left w:val="nil"/>
              <w:bottom w:val="nil"/>
              <w:right w:val="nil"/>
            </w:tcBorders>
          </w:tcPr>
          <w:p w14:paraId="436E3083" w14:textId="77777777" w:rsidR="00976265" w:rsidRPr="002D7798" w:rsidRDefault="00976265">
            <w:pPr>
              <w:spacing w:before="60" w:after="60" w:line="276" w:lineRule="auto"/>
              <w:ind w:right="-29"/>
              <w:jc w:val="center"/>
              <w:rPr>
                <w:noProof/>
                <w:sz w:val="18"/>
                <w:szCs w:val="20"/>
              </w:rPr>
            </w:pPr>
          </w:p>
        </w:tc>
        <w:tc>
          <w:tcPr>
            <w:tcW w:w="720" w:type="dxa"/>
            <w:tcBorders>
              <w:top w:val="nil"/>
              <w:left w:val="nil"/>
              <w:bottom w:val="nil"/>
              <w:right w:val="nil"/>
            </w:tcBorders>
          </w:tcPr>
          <w:p w14:paraId="7547F2EB" w14:textId="77777777" w:rsidR="00976265" w:rsidRPr="002D7798" w:rsidRDefault="00976265">
            <w:pPr>
              <w:spacing w:before="60" w:after="60" w:line="276" w:lineRule="auto"/>
              <w:ind w:right="-29"/>
              <w:jc w:val="center"/>
              <w:rPr>
                <w:noProof/>
                <w:sz w:val="18"/>
                <w:szCs w:val="20"/>
              </w:rPr>
            </w:pPr>
          </w:p>
        </w:tc>
        <w:tc>
          <w:tcPr>
            <w:tcW w:w="540" w:type="dxa"/>
            <w:tcBorders>
              <w:top w:val="nil"/>
              <w:left w:val="nil"/>
              <w:bottom w:val="nil"/>
              <w:right w:val="nil"/>
            </w:tcBorders>
          </w:tcPr>
          <w:p w14:paraId="643F1FB3" w14:textId="77777777" w:rsidR="00976265" w:rsidRPr="002D7798" w:rsidRDefault="00976265">
            <w:pPr>
              <w:spacing w:before="60" w:after="60" w:line="276" w:lineRule="auto"/>
              <w:ind w:right="-29"/>
              <w:jc w:val="center"/>
              <w:rPr>
                <w:noProof/>
                <w:sz w:val="18"/>
                <w:szCs w:val="20"/>
              </w:rPr>
            </w:pPr>
          </w:p>
        </w:tc>
        <w:tc>
          <w:tcPr>
            <w:tcW w:w="720" w:type="dxa"/>
            <w:tcBorders>
              <w:top w:val="nil"/>
              <w:left w:val="nil"/>
              <w:bottom w:val="nil"/>
              <w:right w:val="nil"/>
            </w:tcBorders>
          </w:tcPr>
          <w:p w14:paraId="64AFF975" w14:textId="77777777" w:rsidR="00976265" w:rsidRPr="002D7798" w:rsidRDefault="00976265">
            <w:pPr>
              <w:spacing w:before="60" w:after="60" w:line="276" w:lineRule="auto"/>
              <w:ind w:right="-29"/>
              <w:jc w:val="center"/>
              <w:rPr>
                <w:noProof/>
                <w:sz w:val="18"/>
                <w:szCs w:val="20"/>
              </w:rPr>
            </w:pPr>
          </w:p>
        </w:tc>
        <w:tc>
          <w:tcPr>
            <w:tcW w:w="720" w:type="dxa"/>
            <w:tcBorders>
              <w:top w:val="nil"/>
              <w:left w:val="nil"/>
              <w:bottom w:val="nil"/>
              <w:right w:val="nil"/>
            </w:tcBorders>
          </w:tcPr>
          <w:p w14:paraId="4E01D8C4" w14:textId="77777777" w:rsidR="00976265" w:rsidRPr="002D7798" w:rsidRDefault="00976265">
            <w:pPr>
              <w:spacing w:before="60" w:after="60" w:line="276" w:lineRule="auto"/>
              <w:ind w:right="-29"/>
              <w:jc w:val="center"/>
              <w:rPr>
                <w:noProof/>
                <w:sz w:val="18"/>
                <w:szCs w:val="20"/>
              </w:rPr>
            </w:pPr>
          </w:p>
        </w:tc>
        <w:tc>
          <w:tcPr>
            <w:tcW w:w="720" w:type="dxa"/>
            <w:tcBorders>
              <w:top w:val="nil"/>
              <w:left w:val="nil"/>
              <w:bottom w:val="nil"/>
              <w:right w:val="nil"/>
            </w:tcBorders>
          </w:tcPr>
          <w:p w14:paraId="37E5BA2F" w14:textId="77777777" w:rsidR="00976265" w:rsidRPr="002D7798" w:rsidRDefault="00976265">
            <w:pPr>
              <w:spacing w:before="60" w:after="60" w:line="276" w:lineRule="auto"/>
              <w:ind w:right="-29"/>
              <w:jc w:val="center"/>
              <w:rPr>
                <w:noProof/>
                <w:sz w:val="18"/>
                <w:szCs w:val="20"/>
              </w:rPr>
            </w:pPr>
          </w:p>
        </w:tc>
        <w:tc>
          <w:tcPr>
            <w:tcW w:w="900" w:type="dxa"/>
            <w:tcBorders>
              <w:top w:val="nil"/>
              <w:left w:val="nil"/>
              <w:bottom w:val="nil"/>
              <w:right w:val="nil"/>
            </w:tcBorders>
          </w:tcPr>
          <w:p w14:paraId="032474E5" w14:textId="77777777" w:rsidR="00976265" w:rsidRPr="002D7798" w:rsidRDefault="00976265">
            <w:pPr>
              <w:spacing w:before="60" w:after="60" w:line="276" w:lineRule="auto"/>
              <w:ind w:right="-29"/>
              <w:jc w:val="center"/>
              <w:rPr>
                <w:noProof/>
                <w:sz w:val="18"/>
                <w:szCs w:val="20"/>
              </w:rPr>
            </w:pPr>
          </w:p>
        </w:tc>
        <w:tc>
          <w:tcPr>
            <w:tcW w:w="720" w:type="dxa"/>
            <w:gridSpan w:val="2"/>
            <w:tcBorders>
              <w:top w:val="nil"/>
              <w:left w:val="nil"/>
              <w:bottom w:val="nil"/>
              <w:right w:val="nil"/>
            </w:tcBorders>
          </w:tcPr>
          <w:p w14:paraId="28A5242C" w14:textId="77777777" w:rsidR="00976265" w:rsidRPr="002D7798" w:rsidRDefault="00976265">
            <w:pPr>
              <w:spacing w:before="60" w:after="60" w:line="276" w:lineRule="auto"/>
              <w:ind w:right="-29"/>
              <w:jc w:val="center"/>
              <w:rPr>
                <w:noProof/>
                <w:sz w:val="18"/>
                <w:szCs w:val="20"/>
              </w:rPr>
            </w:pPr>
          </w:p>
        </w:tc>
        <w:tc>
          <w:tcPr>
            <w:tcW w:w="540" w:type="dxa"/>
            <w:tcBorders>
              <w:top w:val="nil"/>
              <w:left w:val="nil"/>
              <w:bottom w:val="nil"/>
              <w:right w:val="nil"/>
            </w:tcBorders>
          </w:tcPr>
          <w:p w14:paraId="6269818E" w14:textId="77777777" w:rsidR="00976265" w:rsidRPr="002D7798" w:rsidRDefault="00976265">
            <w:pPr>
              <w:spacing w:before="60" w:after="60" w:line="276" w:lineRule="auto"/>
              <w:ind w:right="-29"/>
              <w:jc w:val="center"/>
              <w:rPr>
                <w:noProof/>
                <w:sz w:val="18"/>
                <w:szCs w:val="20"/>
              </w:rPr>
            </w:pPr>
          </w:p>
        </w:tc>
        <w:tc>
          <w:tcPr>
            <w:tcW w:w="648" w:type="dxa"/>
            <w:tcBorders>
              <w:top w:val="nil"/>
              <w:left w:val="nil"/>
              <w:bottom w:val="nil"/>
              <w:right w:val="nil"/>
            </w:tcBorders>
          </w:tcPr>
          <w:p w14:paraId="049BFFB4" w14:textId="77777777" w:rsidR="00976265" w:rsidRPr="002D7798" w:rsidRDefault="00976265">
            <w:pPr>
              <w:spacing w:before="60" w:after="60" w:line="276" w:lineRule="auto"/>
              <w:ind w:right="-29"/>
              <w:jc w:val="center"/>
              <w:rPr>
                <w:noProof/>
                <w:sz w:val="18"/>
                <w:szCs w:val="20"/>
              </w:rPr>
            </w:pPr>
          </w:p>
        </w:tc>
        <w:tc>
          <w:tcPr>
            <w:tcW w:w="432" w:type="dxa"/>
            <w:tcBorders>
              <w:top w:val="nil"/>
              <w:left w:val="nil"/>
              <w:bottom w:val="nil"/>
              <w:right w:val="nil"/>
            </w:tcBorders>
          </w:tcPr>
          <w:p w14:paraId="6FAD4B12" w14:textId="77777777" w:rsidR="00976265" w:rsidRPr="002D7798" w:rsidRDefault="00976265">
            <w:pPr>
              <w:spacing w:before="60" w:after="60" w:line="276" w:lineRule="auto"/>
              <w:ind w:right="-29"/>
              <w:jc w:val="center"/>
              <w:rPr>
                <w:noProof/>
                <w:sz w:val="18"/>
                <w:szCs w:val="20"/>
              </w:rPr>
            </w:pPr>
          </w:p>
        </w:tc>
        <w:tc>
          <w:tcPr>
            <w:tcW w:w="720" w:type="dxa"/>
            <w:tcBorders>
              <w:top w:val="nil"/>
              <w:left w:val="nil"/>
              <w:bottom w:val="nil"/>
              <w:right w:val="nil"/>
            </w:tcBorders>
          </w:tcPr>
          <w:p w14:paraId="6625D198" w14:textId="77777777" w:rsidR="00976265" w:rsidRPr="002D7798" w:rsidRDefault="00976265">
            <w:pPr>
              <w:spacing w:before="60" w:after="60" w:line="276" w:lineRule="auto"/>
              <w:ind w:right="-29"/>
              <w:jc w:val="center"/>
              <w:rPr>
                <w:noProof/>
                <w:sz w:val="18"/>
                <w:szCs w:val="20"/>
              </w:rPr>
            </w:pPr>
          </w:p>
        </w:tc>
        <w:tc>
          <w:tcPr>
            <w:tcW w:w="540" w:type="dxa"/>
            <w:tcBorders>
              <w:top w:val="nil"/>
              <w:left w:val="nil"/>
              <w:bottom w:val="nil"/>
              <w:right w:val="nil"/>
            </w:tcBorders>
          </w:tcPr>
          <w:p w14:paraId="53E6AF53" w14:textId="77777777" w:rsidR="00976265" w:rsidRPr="002D7798" w:rsidRDefault="00976265">
            <w:pPr>
              <w:spacing w:before="60" w:after="60" w:line="276" w:lineRule="auto"/>
              <w:ind w:right="-29"/>
              <w:jc w:val="center"/>
              <w:rPr>
                <w:noProof/>
                <w:sz w:val="18"/>
                <w:szCs w:val="20"/>
              </w:rPr>
            </w:pPr>
          </w:p>
        </w:tc>
        <w:tc>
          <w:tcPr>
            <w:tcW w:w="720" w:type="dxa"/>
            <w:tcBorders>
              <w:top w:val="nil"/>
              <w:left w:val="nil"/>
              <w:bottom w:val="nil"/>
              <w:right w:val="nil"/>
            </w:tcBorders>
          </w:tcPr>
          <w:p w14:paraId="53E0EDB3" w14:textId="77777777" w:rsidR="00976265" w:rsidRPr="002D7798" w:rsidRDefault="00976265">
            <w:pPr>
              <w:spacing w:before="60" w:after="60" w:line="276" w:lineRule="auto"/>
              <w:ind w:right="-29"/>
              <w:jc w:val="center"/>
              <w:rPr>
                <w:noProof/>
                <w:sz w:val="18"/>
                <w:szCs w:val="20"/>
              </w:rPr>
            </w:pPr>
          </w:p>
        </w:tc>
        <w:tc>
          <w:tcPr>
            <w:tcW w:w="720" w:type="dxa"/>
            <w:tcBorders>
              <w:top w:val="nil"/>
              <w:left w:val="nil"/>
              <w:bottom w:val="nil"/>
              <w:right w:val="nil"/>
            </w:tcBorders>
          </w:tcPr>
          <w:p w14:paraId="770BD11A" w14:textId="77777777" w:rsidR="00976265" w:rsidRPr="002D7798" w:rsidRDefault="00976265">
            <w:pPr>
              <w:spacing w:before="60" w:after="60" w:line="276" w:lineRule="auto"/>
              <w:ind w:right="-29"/>
              <w:jc w:val="center"/>
              <w:rPr>
                <w:noProof/>
                <w:sz w:val="18"/>
                <w:szCs w:val="20"/>
              </w:rPr>
            </w:pPr>
          </w:p>
        </w:tc>
        <w:tc>
          <w:tcPr>
            <w:tcW w:w="900" w:type="dxa"/>
            <w:tcBorders>
              <w:top w:val="nil"/>
              <w:left w:val="nil"/>
              <w:bottom w:val="nil"/>
              <w:right w:val="nil"/>
            </w:tcBorders>
          </w:tcPr>
          <w:p w14:paraId="1B61D3ED" w14:textId="77777777" w:rsidR="00976265" w:rsidRPr="002D7798" w:rsidRDefault="00976265">
            <w:pPr>
              <w:spacing w:before="60" w:after="60" w:line="276" w:lineRule="auto"/>
              <w:ind w:right="-29"/>
              <w:jc w:val="center"/>
              <w:rPr>
                <w:noProof/>
                <w:sz w:val="18"/>
                <w:szCs w:val="20"/>
              </w:rPr>
            </w:pPr>
          </w:p>
        </w:tc>
      </w:tr>
      <w:tr w:rsidR="00851B85" w:rsidRPr="002D7798" w14:paraId="22463DB2" w14:textId="77777777" w:rsidTr="208CACCC">
        <w:trPr>
          <w:trHeight w:hRule="exact" w:val="369"/>
          <w:jc w:val="center"/>
        </w:trPr>
        <w:tc>
          <w:tcPr>
            <w:tcW w:w="1423" w:type="dxa"/>
          </w:tcPr>
          <w:p w14:paraId="48AE875A" w14:textId="77777777" w:rsidR="00976265" w:rsidRPr="002D7798" w:rsidRDefault="0064263D">
            <w:pPr>
              <w:spacing w:before="0" w:after="200" w:line="276" w:lineRule="auto"/>
              <w:ind w:right="-29"/>
              <w:jc w:val="center"/>
              <w:rPr>
                <w:noProof/>
                <w:sz w:val="18"/>
                <w:szCs w:val="20"/>
              </w:rPr>
            </w:pPr>
            <w:r w:rsidRPr="002D7798">
              <w:rPr>
                <w:noProof/>
                <w:sz w:val="18"/>
              </w:rPr>
              <w:t>– Výstup</w:t>
            </w:r>
          </w:p>
        </w:tc>
        <w:tc>
          <w:tcPr>
            <w:tcW w:w="720" w:type="dxa"/>
          </w:tcPr>
          <w:p w14:paraId="6A8B5C49" w14:textId="77777777" w:rsidR="00976265" w:rsidRPr="002D7798" w:rsidRDefault="00976265">
            <w:pPr>
              <w:spacing w:before="0" w:after="200" w:line="276" w:lineRule="auto"/>
              <w:ind w:right="-29"/>
              <w:jc w:val="center"/>
              <w:rPr>
                <w:noProof/>
                <w:sz w:val="18"/>
                <w:szCs w:val="20"/>
              </w:rPr>
            </w:pPr>
          </w:p>
        </w:tc>
        <w:tc>
          <w:tcPr>
            <w:tcW w:w="701" w:type="dxa"/>
          </w:tcPr>
          <w:p w14:paraId="7F605F7E" w14:textId="77777777" w:rsidR="00976265" w:rsidRPr="002D7798" w:rsidRDefault="00976265">
            <w:pPr>
              <w:spacing w:before="0" w:after="200" w:line="276" w:lineRule="auto"/>
              <w:ind w:right="-29"/>
              <w:jc w:val="center"/>
              <w:rPr>
                <w:noProof/>
                <w:sz w:val="18"/>
                <w:szCs w:val="20"/>
              </w:rPr>
            </w:pPr>
          </w:p>
        </w:tc>
        <w:tc>
          <w:tcPr>
            <w:tcW w:w="504" w:type="dxa"/>
            <w:tcBorders>
              <w:right w:val="dashSmallGap" w:sz="4" w:space="0" w:color="auto"/>
            </w:tcBorders>
          </w:tcPr>
          <w:p w14:paraId="2F3C5218" w14:textId="77777777" w:rsidR="00976265" w:rsidRPr="002D7798" w:rsidRDefault="00976265">
            <w:pPr>
              <w:spacing w:before="0" w:after="200" w:line="276" w:lineRule="auto"/>
              <w:ind w:right="-29"/>
              <w:jc w:val="center"/>
              <w:rPr>
                <w:noProof/>
                <w:sz w:val="18"/>
                <w:szCs w:val="20"/>
              </w:rPr>
            </w:pPr>
          </w:p>
        </w:tc>
        <w:tc>
          <w:tcPr>
            <w:tcW w:w="720" w:type="dxa"/>
            <w:tcBorders>
              <w:left w:val="dashSmallGap" w:sz="4" w:space="0" w:color="auto"/>
            </w:tcBorders>
          </w:tcPr>
          <w:p w14:paraId="38263D28" w14:textId="77777777" w:rsidR="00976265" w:rsidRPr="002D7798" w:rsidRDefault="00976265">
            <w:pPr>
              <w:spacing w:before="0" w:after="200" w:line="276" w:lineRule="auto"/>
              <w:ind w:right="-29"/>
              <w:jc w:val="center"/>
              <w:rPr>
                <w:noProof/>
                <w:sz w:val="18"/>
                <w:szCs w:val="20"/>
              </w:rPr>
            </w:pPr>
          </w:p>
        </w:tc>
        <w:tc>
          <w:tcPr>
            <w:tcW w:w="540" w:type="dxa"/>
            <w:tcBorders>
              <w:right w:val="dashSmallGap" w:sz="4" w:space="0" w:color="auto"/>
            </w:tcBorders>
          </w:tcPr>
          <w:p w14:paraId="2E050A96" w14:textId="77777777" w:rsidR="00976265" w:rsidRPr="002D7798" w:rsidRDefault="00976265">
            <w:pPr>
              <w:spacing w:before="0" w:after="200" w:line="276" w:lineRule="auto"/>
              <w:ind w:right="-29"/>
              <w:jc w:val="center"/>
              <w:rPr>
                <w:noProof/>
                <w:sz w:val="18"/>
                <w:szCs w:val="20"/>
              </w:rPr>
            </w:pPr>
          </w:p>
        </w:tc>
        <w:tc>
          <w:tcPr>
            <w:tcW w:w="720" w:type="dxa"/>
            <w:tcBorders>
              <w:left w:val="dashSmallGap" w:sz="4" w:space="0" w:color="auto"/>
            </w:tcBorders>
          </w:tcPr>
          <w:p w14:paraId="1273FB48" w14:textId="77777777" w:rsidR="00976265" w:rsidRPr="002D7798" w:rsidRDefault="00976265">
            <w:pPr>
              <w:spacing w:before="0" w:after="200" w:line="276" w:lineRule="auto"/>
              <w:ind w:right="-29"/>
              <w:jc w:val="center"/>
              <w:rPr>
                <w:noProof/>
                <w:sz w:val="18"/>
                <w:szCs w:val="20"/>
              </w:rPr>
            </w:pPr>
          </w:p>
        </w:tc>
        <w:tc>
          <w:tcPr>
            <w:tcW w:w="720" w:type="dxa"/>
            <w:tcBorders>
              <w:right w:val="dashSmallGap" w:sz="4" w:space="0" w:color="auto"/>
            </w:tcBorders>
          </w:tcPr>
          <w:p w14:paraId="067BA405" w14:textId="77777777" w:rsidR="00976265" w:rsidRPr="002D7798" w:rsidRDefault="00976265">
            <w:pPr>
              <w:spacing w:before="0" w:after="200" w:line="276" w:lineRule="auto"/>
              <w:ind w:right="-29"/>
              <w:jc w:val="center"/>
              <w:rPr>
                <w:noProof/>
                <w:sz w:val="18"/>
                <w:szCs w:val="20"/>
              </w:rPr>
            </w:pPr>
          </w:p>
        </w:tc>
        <w:tc>
          <w:tcPr>
            <w:tcW w:w="720" w:type="dxa"/>
            <w:tcBorders>
              <w:left w:val="dashSmallGap" w:sz="4" w:space="0" w:color="auto"/>
            </w:tcBorders>
          </w:tcPr>
          <w:p w14:paraId="50500365" w14:textId="77777777" w:rsidR="00976265" w:rsidRPr="002D7798" w:rsidRDefault="00976265">
            <w:pPr>
              <w:spacing w:before="0" w:after="200" w:line="276" w:lineRule="auto"/>
              <w:ind w:right="-29"/>
              <w:jc w:val="center"/>
              <w:rPr>
                <w:noProof/>
                <w:sz w:val="18"/>
                <w:szCs w:val="20"/>
              </w:rPr>
            </w:pPr>
          </w:p>
        </w:tc>
        <w:tc>
          <w:tcPr>
            <w:tcW w:w="900" w:type="dxa"/>
            <w:tcBorders>
              <w:right w:val="dashSmallGap" w:sz="4" w:space="0" w:color="auto"/>
            </w:tcBorders>
          </w:tcPr>
          <w:p w14:paraId="289F20A5" w14:textId="77777777" w:rsidR="00976265" w:rsidRPr="002D7798" w:rsidRDefault="00976265">
            <w:pPr>
              <w:spacing w:before="0" w:after="200" w:line="276" w:lineRule="auto"/>
              <w:ind w:right="-29"/>
              <w:jc w:val="center"/>
              <w:rPr>
                <w:noProof/>
                <w:sz w:val="18"/>
                <w:szCs w:val="20"/>
              </w:rPr>
            </w:pPr>
          </w:p>
        </w:tc>
        <w:tc>
          <w:tcPr>
            <w:tcW w:w="720" w:type="dxa"/>
            <w:gridSpan w:val="2"/>
            <w:tcBorders>
              <w:left w:val="dashSmallGap" w:sz="4" w:space="0" w:color="auto"/>
            </w:tcBorders>
          </w:tcPr>
          <w:p w14:paraId="7BB42371" w14:textId="77777777" w:rsidR="00976265" w:rsidRPr="002D7798" w:rsidRDefault="00976265">
            <w:pPr>
              <w:spacing w:before="0" w:after="200" w:line="276" w:lineRule="auto"/>
              <w:ind w:right="-29"/>
              <w:jc w:val="center"/>
              <w:rPr>
                <w:noProof/>
                <w:sz w:val="18"/>
                <w:szCs w:val="20"/>
              </w:rPr>
            </w:pPr>
          </w:p>
        </w:tc>
        <w:tc>
          <w:tcPr>
            <w:tcW w:w="540" w:type="dxa"/>
            <w:tcBorders>
              <w:right w:val="dashSmallGap" w:sz="4" w:space="0" w:color="auto"/>
            </w:tcBorders>
          </w:tcPr>
          <w:p w14:paraId="48C0AD85" w14:textId="77777777" w:rsidR="00976265" w:rsidRPr="002D7798" w:rsidRDefault="00976265">
            <w:pPr>
              <w:spacing w:before="0" w:after="200" w:line="276" w:lineRule="auto"/>
              <w:ind w:right="-29"/>
              <w:jc w:val="center"/>
              <w:rPr>
                <w:noProof/>
                <w:sz w:val="18"/>
                <w:szCs w:val="20"/>
              </w:rPr>
            </w:pPr>
          </w:p>
        </w:tc>
        <w:tc>
          <w:tcPr>
            <w:tcW w:w="648" w:type="dxa"/>
            <w:tcBorders>
              <w:left w:val="dashSmallGap" w:sz="4" w:space="0" w:color="auto"/>
            </w:tcBorders>
          </w:tcPr>
          <w:p w14:paraId="22CDB0BE" w14:textId="77777777" w:rsidR="00976265" w:rsidRPr="002D7798" w:rsidRDefault="00976265">
            <w:pPr>
              <w:spacing w:before="0" w:after="200" w:line="276" w:lineRule="auto"/>
              <w:ind w:right="-29"/>
              <w:jc w:val="center"/>
              <w:rPr>
                <w:noProof/>
                <w:sz w:val="18"/>
                <w:szCs w:val="20"/>
              </w:rPr>
            </w:pPr>
          </w:p>
        </w:tc>
        <w:tc>
          <w:tcPr>
            <w:tcW w:w="432" w:type="dxa"/>
            <w:tcBorders>
              <w:right w:val="dashSmallGap" w:sz="4" w:space="0" w:color="auto"/>
            </w:tcBorders>
          </w:tcPr>
          <w:p w14:paraId="4802324E" w14:textId="77777777" w:rsidR="00976265" w:rsidRPr="002D7798" w:rsidRDefault="00976265">
            <w:pPr>
              <w:spacing w:before="0" w:after="200" w:line="276" w:lineRule="auto"/>
              <w:ind w:right="-29"/>
              <w:jc w:val="center"/>
              <w:rPr>
                <w:noProof/>
                <w:sz w:val="18"/>
                <w:szCs w:val="20"/>
              </w:rPr>
            </w:pPr>
          </w:p>
        </w:tc>
        <w:tc>
          <w:tcPr>
            <w:tcW w:w="720" w:type="dxa"/>
            <w:tcBorders>
              <w:left w:val="dashSmallGap" w:sz="4" w:space="0" w:color="auto"/>
            </w:tcBorders>
          </w:tcPr>
          <w:p w14:paraId="1750A68A" w14:textId="77777777" w:rsidR="00976265" w:rsidRPr="002D7798" w:rsidRDefault="00976265">
            <w:pPr>
              <w:spacing w:before="0" w:after="200" w:line="276" w:lineRule="auto"/>
              <w:ind w:right="-29"/>
              <w:jc w:val="center"/>
              <w:rPr>
                <w:noProof/>
                <w:sz w:val="18"/>
                <w:szCs w:val="20"/>
              </w:rPr>
            </w:pPr>
          </w:p>
        </w:tc>
        <w:tc>
          <w:tcPr>
            <w:tcW w:w="540" w:type="dxa"/>
            <w:tcBorders>
              <w:right w:val="dashSmallGap" w:sz="4" w:space="0" w:color="auto"/>
            </w:tcBorders>
          </w:tcPr>
          <w:p w14:paraId="0C11CB8F" w14:textId="77777777" w:rsidR="00976265" w:rsidRPr="002D7798" w:rsidRDefault="00976265">
            <w:pPr>
              <w:spacing w:before="0" w:after="200" w:line="276" w:lineRule="auto"/>
              <w:ind w:right="-29"/>
              <w:jc w:val="center"/>
              <w:rPr>
                <w:noProof/>
                <w:sz w:val="18"/>
                <w:szCs w:val="20"/>
              </w:rPr>
            </w:pPr>
          </w:p>
        </w:tc>
        <w:tc>
          <w:tcPr>
            <w:tcW w:w="720" w:type="dxa"/>
            <w:tcBorders>
              <w:left w:val="dashSmallGap" w:sz="4" w:space="0" w:color="auto"/>
            </w:tcBorders>
          </w:tcPr>
          <w:p w14:paraId="21BAF51B" w14:textId="77777777" w:rsidR="00976265" w:rsidRPr="002D7798" w:rsidRDefault="00976265">
            <w:pPr>
              <w:spacing w:before="0" w:after="200" w:line="276" w:lineRule="auto"/>
              <w:ind w:right="-29"/>
              <w:jc w:val="center"/>
              <w:rPr>
                <w:noProof/>
                <w:sz w:val="18"/>
                <w:szCs w:val="20"/>
              </w:rPr>
            </w:pPr>
          </w:p>
        </w:tc>
        <w:tc>
          <w:tcPr>
            <w:tcW w:w="720" w:type="dxa"/>
          </w:tcPr>
          <w:p w14:paraId="1C59E394" w14:textId="77777777" w:rsidR="00976265" w:rsidRPr="002D7798" w:rsidRDefault="00976265">
            <w:pPr>
              <w:spacing w:before="0" w:after="200" w:line="276" w:lineRule="auto"/>
              <w:ind w:right="-29"/>
              <w:jc w:val="center"/>
              <w:rPr>
                <w:noProof/>
                <w:sz w:val="18"/>
                <w:szCs w:val="20"/>
              </w:rPr>
            </w:pPr>
          </w:p>
        </w:tc>
        <w:tc>
          <w:tcPr>
            <w:tcW w:w="900" w:type="dxa"/>
          </w:tcPr>
          <w:p w14:paraId="3F7C6547" w14:textId="77777777" w:rsidR="00976265" w:rsidRPr="002D7798" w:rsidRDefault="00976265">
            <w:pPr>
              <w:spacing w:before="0" w:after="200" w:line="276" w:lineRule="auto"/>
              <w:ind w:right="-29"/>
              <w:jc w:val="center"/>
              <w:rPr>
                <w:noProof/>
                <w:sz w:val="18"/>
                <w:szCs w:val="20"/>
              </w:rPr>
            </w:pPr>
          </w:p>
        </w:tc>
      </w:tr>
      <w:tr w:rsidR="00851B85" w:rsidRPr="002D7798" w14:paraId="3316A503" w14:textId="77777777" w:rsidTr="208CACCC">
        <w:trPr>
          <w:trHeight w:hRule="exact" w:val="369"/>
          <w:jc w:val="center"/>
        </w:trPr>
        <w:tc>
          <w:tcPr>
            <w:tcW w:w="1423" w:type="dxa"/>
          </w:tcPr>
          <w:p w14:paraId="7BB99487" w14:textId="77777777" w:rsidR="00976265" w:rsidRPr="002D7798" w:rsidRDefault="0064263D">
            <w:pPr>
              <w:spacing w:before="0" w:after="200" w:line="276" w:lineRule="auto"/>
              <w:ind w:right="-29"/>
              <w:jc w:val="center"/>
              <w:rPr>
                <w:noProof/>
                <w:sz w:val="18"/>
                <w:szCs w:val="20"/>
              </w:rPr>
            </w:pPr>
            <w:r w:rsidRPr="002D7798">
              <w:rPr>
                <w:noProof/>
                <w:sz w:val="18"/>
              </w:rPr>
              <w:t>– Výstup</w:t>
            </w:r>
          </w:p>
        </w:tc>
        <w:tc>
          <w:tcPr>
            <w:tcW w:w="720" w:type="dxa"/>
          </w:tcPr>
          <w:p w14:paraId="1983E818" w14:textId="77777777" w:rsidR="00976265" w:rsidRPr="002D7798" w:rsidRDefault="00976265">
            <w:pPr>
              <w:spacing w:before="0" w:after="200" w:line="276" w:lineRule="auto"/>
              <w:ind w:right="-29"/>
              <w:jc w:val="center"/>
              <w:rPr>
                <w:noProof/>
                <w:sz w:val="18"/>
                <w:szCs w:val="20"/>
              </w:rPr>
            </w:pPr>
          </w:p>
        </w:tc>
        <w:tc>
          <w:tcPr>
            <w:tcW w:w="701" w:type="dxa"/>
          </w:tcPr>
          <w:p w14:paraId="746BADAB" w14:textId="77777777" w:rsidR="00976265" w:rsidRPr="002D7798" w:rsidRDefault="00976265">
            <w:pPr>
              <w:spacing w:before="0" w:after="200" w:line="276" w:lineRule="auto"/>
              <w:ind w:right="-29"/>
              <w:jc w:val="center"/>
              <w:rPr>
                <w:noProof/>
                <w:sz w:val="18"/>
                <w:szCs w:val="20"/>
              </w:rPr>
            </w:pPr>
          </w:p>
        </w:tc>
        <w:tc>
          <w:tcPr>
            <w:tcW w:w="504" w:type="dxa"/>
            <w:tcBorders>
              <w:right w:val="dashSmallGap" w:sz="4" w:space="0" w:color="auto"/>
            </w:tcBorders>
          </w:tcPr>
          <w:p w14:paraId="61F267DD" w14:textId="77777777" w:rsidR="00976265" w:rsidRPr="002D7798" w:rsidRDefault="00976265">
            <w:pPr>
              <w:spacing w:before="0" w:after="200" w:line="276" w:lineRule="auto"/>
              <w:ind w:right="-29"/>
              <w:jc w:val="center"/>
              <w:rPr>
                <w:noProof/>
                <w:sz w:val="18"/>
                <w:szCs w:val="20"/>
              </w:rPr>
            </w:pPr>
          </w:p>
        </w:tc>
        <w:tc>
          <w:tcPr>
            <w:tcW w:w="720" w:type="dxa"/>
            <w:tcBorders>
              <w:left w:val="dashSmallGap" w:sz="4" w:space="0" w:color="auto"/>
            </w:tcBorders>
          </w:tcPr>
          <w:p w14:paraId="2B87751C" w14:textId="77777777" w:rsidR="00976265" w:rsidRPr="002D7798" w:rsidRDefault="00976265">
            <w:pPr>
              <w:spacing w:before="0" w:after="200" w:line="276" w:lineRule="auto"/>
              <w:ind w:right="-29"/>
              <w:jc w:val="center"/>
              <w:rPr>
                <w:noProof/>
                <w:sz w:val="18"/>
                <w:szCs w:val="20"/>
              </w:rPr>
            </w:pPr>
          </w:p>
        </w:tc>
        <w:tc>
          <w:tcPr>
            <w:tcW w:w="540" w:type="dxa"/>
            <w:tcBorders>
              <w:right w:val="dashSmallGap" w:sz="4" w:space="0" w:color="auto"/>
            </w:tcBorders>
          </w:tcPr>
          <w:p w14:paraId="06A47543" w14:textId="77777777" w:rsidR="00976265" w:rsidRPr="002D7798" w:rsidRDefault="00976265">
            <w:pPr>
              <w:spacing w:before="0" w:after="200" w:line="276" w:lineRule="auto"/>
              <w:ind w:right="-29"/>
              <w:jc w:val="center"/>
              <w:rPr>
                <w:noProof/>
                <w:sz w:val="18"/>
                <w:szCs w:val="20"/>
              </w:rPr>
            </w:pPr>
          </w:p>
        </w:tc>
        <w:tc>
          <w:tcPr>
            <w:tcW w:w="720" w:type="dxa"/>
            <w:tcBorders>
              <w:left w:val="dashSmallGap" w:sz="4" w:space="0" w:color="auto"/>
            </w:tcBorders>
          </w:tcPr>
          <w:p w14:paraId="6E3346C1" w14:textId="77777777" w:rsidR="00976265" w:rsidRPr="002D7798" w:rsidRDefault="00976265">
            <w:pPr>
              <w:spacing w:before="0" w:after="200" w:line="276" w:lineRule="auto"/>
              <w:ind w:right="-29"/>
              <w:jc w:val="center"/>
              <w:rPr>
                <w:noProof/>
                <w:sz w:val="18"/>
                <w:szCs w:val="20"/>
              </w:rPr>
            </w:pPr>
          </w:p>
        </w:tc>
        <w:tc>
          <w:tcPr>
            <w:tcW w:w="720" w:type="dxa"/>
            <w:tcBorders>
              <w:right w:val="dashSmallGap" w:sz="4" w:space="0" w:color="auto"/>
            </w:tcBorders>
          </w:tcPr>
          <w:p w14:paraId="402E5BE4" w14:textId="77777777" w:rsidR="00976265" w:rsidRPr="002D7798" w:rsidRDefault="00976265">
            <w:pPr>
              <w:spacing w:before="0" w:after="200" w:line="276" w:lineRule="auto"/>
              <w:ind w:right="-29"/>
              <w:jc w:val="center"/>
              <w:rPr>
                <w:noProof/>
                <w:sz w:val="18"/>
                <w:szCs w:val="20"/>
              </w:rPr>
            </w:pPr>
          </w:p>
        </w:tc>
        <w:tc>
          <w:tcPr>
            <w:tcW w:w="720" w:type="dxa"/>
            <w:tcBorders>
              <w:left w:val="dashSmallGap" w:sz="4" w:space="0" w:color="auto"/>
            </w:tcBorders>
          </w:tcPr>
          <w:p w14:paraId="4D880462" w14:textId="77777777" w:rsidR="00976265" w:rsidRPr="002D7798" w:rsidRDefault="00976265">
            <w:pPr>
              <w:spacing w:before="0" w:after="200" w:line="276" w:lineRule="auto"/>
              <w:ind w:right="-29"/>
              <w:jc w:val="center"/>
              <w:rPr>
                <w:noProof/>
                <w:sz w:val="18"/>
                <w:szCs w:val="20"/>
              </w:rPr>
            </w:pPr>
          </w:p>
        </w:tc>
        <w:tc>
          <w:tcPr>
            <w:tcW w:w="900" w:type="dxa"/>
            <w:tcBorders>
              <w:right w:val="dashSmallGap" w:sz="4" w:space="0" w:color="auto"/>
            </w:tcBorders>
          </w:tcPr>
          <w:p w14:paraId="761CF32C" w14:textId="77777777" w:rsidR="00976265" w:rsidRPr="002D7798" w:rsidRDefault="00976265">
            <w:pPr>
              <w:spacing w:before="0" w:after="200" w:line="276" w:lineRule="auto"/>
              <w:ind w:right="-29"/>
              <w:jc w:val="center"/>
              <w:rPr>
                <w:noProof/>
                <w:sz w:val="18"/>
                <w:szCs w:val="20"/>
              </w:rPr>
            </w:pPr>
          </w:p>
        </w:tc>
        <w:tc>
          <w:tcPr>
            <w:tcW w:w="720" w:type="dxa"/>
            <w:gridSpan w:val="2"/>
            <w:tcBorders>
              <w:left w:val="dashSmallGap" w:sz="4" w:space="0" w:color="auto"/>
            </w:tcBorders>
          </w:tcPr>
          <w:p w14:paraId="4FA9DB71" w14:textId="77777777" w:rsidR="00976265" w:rsidRPr="002D7798" w:rsidRDefault="00976265">
            <w:pPr>
              <w:spacing w:before="0" w:after="200" w:line="276" w:lineRule="auto"/>
              <w:ind w:right="-29"/>
              <w:jc w:val="center"/>
              <w:rPr>
                <w:noProof/>
                <w:sz w:val="18"/>
                <w:szCs w:val="20"/>
              </w:rPr>
            </w:pPr>
          </w:p>
        </w:tc>
        <w:tc>
          <w:tcPr>
            <w:tcW w:w="540" w:type="dxa"/>
            <w:tcBorders>
              <w:right w:val="dashSmallGap" w:sz="4" w:space="0" w:color="auto"/>
            </w:tcBorders>
          </w:tcPr>
          <w:p w14:paraId="42544CA7" w14:textId="77777777" w:rsidR="00976265" w:rsidRPr="002D7798" w:rsidRDefault="00976265">
            <w:pPr>
              <w:spacing w:before="0" w:after="200" w:line="276" w:lineRule="auto"/>
              <w:ind w:right="-29"/>
              <w:jc w:val="center"/>
              <w:rPr>
                <w:noProof/>
                <w:sz w:val="18"/>
                <w:szCs w:val="20"/>
              </w:rPr>
            </w:pPr>
          </w:p>
        </w:tc>
        <w:tc>
          <w:tcPr>
            <w:tcW w:w="648" w:type="dxa"/>
            <w:tcBorders>
              <w:left w:val="dashSmallGap" w:sz="4" w:space="0" w:color="auto"/>
            </w:tcBorders>
          </w:tcPr>
          <w:p w14:paraId="370D6AE6" w14:textId="77777777" w:rsidR="00976265" w:rsidRPr="002D7798" w:rsidRDefault="00976265">
            <w:pPr>
              <w:spacing w:before="0" w:after="200" w:line="276" w:lineRule="auto"/>
              <w:ind w:right="-29"/>
              <w:jc w:val="center"/>
              <w:rPr>
                <w:noProof/>
                <w:sz w:val="18"/>
                <w:szCs w:val="20"/>
              </w:rPr>
            </w:pPr>
          </w:p>
        </w:tc>
        <w:tc>
          <w:tcPr>
            <w:tcW w:w="432" w:type="dxa"/>
            <w:tcBorders>
              <w:right w:val="dashSmallGap" w:sz="4" w:space="0" w:color="auto"/>
            </w:tcBorders>
          </w:tcPr>
          <w:p w14:paraId="18CAD74B" w14:textId="77777777" w:rsidR="00976265" w:rsidRPr="002D7798" w:rsidRDefault="00976265">
            <w:pPr>
              <w:spacing w:before="0" w:after="200" w:line="276" w:lineRule="auto"/>
              <w:ind w:right="-29"/>
              <w:jc w:val="center"/>
              <w:rPr>
                <w:noProof/>
                <w:sz w:val="18"/>
                <w:szCs w:val="20"/>
              </w:rPr>
            </w:pPr>
          </w:p>
        </w:tc>
        <w:tc>
          <w:tcPr>
            <w:tcW w:w="720" w:type="dxa"/>
            <w:tcBorders>
              <w:left w:val="dashSmallGap" w:sz="4" w:space="0" w:color="auto"/>
            </w:tcBorders>
          </w:tcPr>
          <w:p w14:paraId="38B214A4" w14:textId="77777777" w:rsidR="00976265" w:rsidRPr="002D7798" w:rsidRDefault="00976265">
            <w:pPr>
              <w:spacing w:before="0" w:after="200" w:line="276" w:lineRule="auto"/>
              <w:ind w:right="-29"/>
              <w:jc w:val="center"/>
              <w:rPr>
                <w:noProof/>
                <w:sz w:val="18"/>
                <w:szCs w:val="20"/>
              </w:rPr>
            </w:pPr>
          </w:p>
        </w:tc>
        <w:tc>
          <w:tcPr>
            <w:tcW w:w="540" w:type="dxa"/>
            <w:tcBorders>
              <w:right w:val="dashSmallGap" w:sz="4" w:space="0" w:color="auto"/>
            </w:tcBorders>
          </w:tcPr>
          <w:p w14:paraId="22CE9A7E" w14:textId="77777777" w:rsidR="00976265" w:rsidRPr="002D7798" w:rsidRDefault="00976265">
            <w:pPr>
              <w:spacing w:before="0" w:after="200" w:line="276" w:lineRule="auto"/>
              <w:ind w:right="-29"/>
              <w:jc w:val="center"/>
              <w:rPr>
                <w:noProof/>
                <w:sz w:val="18"/>
                <w:szCs w:val="20"/>
              </w:rPr>
            </w:pPr>
          </w:p>
        </w:tc>
        <w:tc>
          <w:tcPr>
            <w:tcW w:w="720" w:type="dxa"/>
            <w:tcBorders>
              <w:left w:val="dashSmallGap" w:sz="4" w:space="0" w:color="auto"/>
            </w:tcBorders>
          </w:tcPr>
          <w:p w14:paraId="6B098F1D" w14:textId="77777777" w:rsidR="00976265" w:rsidRPr="002D7798" w:rsidRDefault="00976265">
            <w:pPr>
              <w:spacing w:before="0" w:after="200" w:line="276" w:lineRule="auto"/>
              <w:ind w:right="-29"/>
              <w:jc w:val="center"/>
              <w:rPr>
                <w:noProof/>
                <w:sz w:val="18"/>
                <w:szCs w:val="20"/>
              </w:rPr>
            </w:pPr>
          </w:p>
        </w:tc>
        <w:tc>
          <w:tcPr>
            <w:tcW w:w="720" w:type="dxa"/>
          </w:tcPr>
          <w:p w14:paraId="68C44657" w14:textId="77777777" w:rsidR="00976265" w:rsidRPr="002D7798" w:rsidRDefault="00976265">
            <w:pPr>
              <w:spacing w:before="0" w:after="200" w:line="276" w:lineRule="auto"/>
              <w:ind w:right="-29"/>
              <w:jc w:val="center"/>
              <w:rPr>
                <w:noProof/>
                <w:sz w:val="18"/>
                <w:szCs w:val="20"/>
              </w:rPr>
            </w:pPr>
          </w:p>
        </w:tc>
        <w:tc>
          <w:tcPr>
            <w:tcW w:w="900" w:type="dxa"/>
          </w:tcPr>
          <w:p w14:paraId="4CCB6CB8" w14:textId="77777777" w:rsidR="00976265" w:rsidRPr="002D7798" w:rsidRDefault="00976265">
            <w:pPr>
              <w:spacing w:before="0" w:after="200" w:line="276" w:lineRule="auto"/>
              <w:ind w:right="-29"/>
              <w:jc w:val="center"/>
              <w:rPr>
                <w:noProof/>
                <w:sz w:val="18"/>
                <w:szCs w:val="20"/>
              </w:rPr>
            </w:pPr>
          </w:p>
        </w:tc>
      </w:tr>
      <w:tr w:rsidR="00851B85" w:rsidRPr="002D7798" w14:paraId="683E642A" w14:textId="77777777" w:rsidTr="208CACCC">
        <w:trPr>
          <w:trHeight w:hRule="exact" w:val="369"/>
          <w:jc w:val="center"/>
        </w:trPr>
        <w:tc>
          <w:tcPr>
            <w:tcW w:w="1423" w:type="dxa"/>
          </w:tcPr>
          <w:p w14:paraId="06C53996" w14:textId="77777777" w:rsidR="00976265" w:rsidRPr="002D7798" w:rsidRDefault="0064263D">
            <w:pPr>
              <w:spacing w:before="0" w:after="200" w:line="276" w:lineRule="auto"/>
              <w:ind w:right="-29"/>
              <w:jc w:val="center"/>
              <w:rPr>
                <w:noProof/>
                <w:sz w:val="18"/>
                <w:szCs w:val="20"/>
              </w:rPr>
            </w:pPr>
            <w:r w:rsidRPr="002D7798">
              <w:rPr>
                <w:noProof/>
                <w:sz w:val="18"/>
              </w:rPr>
              <w:t>– Výstup</w:t>
            </w:r>
          </w:p>
        </w:tc>
        <w:tc>
          <w:tcPr>
            <w:tcW w:w="720" w:type="dxa"/>
          </w:tcPr>
          <w:p w14:paraId="573EECA2" w14:textId="77777777" w:rsidR="00976265" w:rsidRPr="002D7798" w:rsidRDefault="00976265">
            <w:pPr>
              <w:spacing w:before="0" w:after="200" w:line="276" w:lineRule="auto"/>
              <w:ind w:right="-29"/>
              <w:jc w:val="center"/>
              <w:rPr>
                <w:noProof/>
                <w:sz w:val="18"/>
                <w:szCs w:val="20"/>
              </w:rPr>
            </w:pPr>
          </w:p>
        </w:tc>
        <w:tc>
          <w:tcPr>
            <w:tcW w:w="701" w:type="dxa"/>
          </w:tcPr>
          <w:p w14:paraId="2408E516" w14:textId="77777777" w:rsidR="00976265" w:rsidRPr="002D7798" w:rsidRDefault="00976265">
            <w:pPr>
              <w:spacing w:before="0" w:after="200" w:line="276" w:lineRule="auto"/>
              <w:ind w:right="-29"/>
              <w:jc w:val="center"/>
              <w:rPr>
                <w:noProof/>
                <w:sz w:val="18"/>
                <w:szCs w:val="20"/>
              </w:rPr>
            </w:pPr>
          </w:p>
        </w:tc>
        <w:tc>
          <w:tcPr>
            <w:tcW w:w="504" w:type="dxa"/>
          </w:tcPr>
          <w:p w14:paraId="0449357E" w14:textId="77777777" w:rsidR="00976265" w:rsidRPr="002D7798" w:rsidRDefault="00976265">
            <w:pPr>
              <w:spacing w:before="0" w:after="200" w:line="276" w:lineRule="auto"/>
              <w:ind w:right="-29"/>
              <w:jc w:val="center"/>
              <w:rPr>
                <w:noProof/>
                <w:sz w:val="18"/>
                <w:szCs w:val="20"/>
              </w:rPr>
            </w:pPr>
          </w:p>
        </w:tc>
        <w:tc>
          <w:tcPr>
            <w:tcW w:w="720" w:type="dxa"/>
          </w:tcPr>
          <w:p w14:paraId="0795D49B" w14:textId="77777777" w:rsidR="00976265" w:rsidRPr="002D7798" w:rsidRDefault="00976265">
            <w:pPr>
              <w:spacing w:before="0" w:after="200" w:line="276" w:lineRule="auto"/>
              <w:ind w:right="-29"/>
              <w:jc w:val="center"/>
              <w:rPr>
                <w:noProof/>
                <w:sz w:val="18"/>
                <w:szCs w:val="20"/>
              </w:rPr>
            </w:pPr>
          </w:p>
        </w:tc>
        <w:tc>
          <w:tcPr>
            <w:tcW w:w="540" w:type="dxa"/>
          </w:tcPr>
          <w:p w14:paraId="1A09E9C5" w14:textId="77777777" w:rsidR="00976265" w:rsidRPr="002D7798" w:rsidRDefault="00976265">
            <w:pPr>
              <w:spacing w:before="0" w:after="200" w:line="276" w:lineRule="auto"/>
              <w:ind w:right="-29"/>
              <w:jc w:val="center"/>
              <w:rPr>
                <w:noProof/>
                <w:sz w:val="18"/>
                <w:szCs w:val="20"/>
              </w:rPr>
            </w:pPr>
          </w:p>
        </w:tc>
        <w:tc>
          <w:tcPr>
            <w:tcW w:w="720" w:type="dxa"/>
          </w:tcPr>
          <w:p w14:paraId="0959EB88" w14:textId="77777777" w:rsidR="00976265" w:rsidRPr="002D7798" w:rsidRDefault="00976265">
            <w:pPr>
              <w:spacing w:before="0" w:after="200" w:line="276" w:lineRule="auto"/>
              <w:ind w:right="-29"/>
              <w:jc w:val="center"/>
              <w:rPr>
                <w:noProof/>
                <w:sz w:val="18"/>
                <w:szCs w:val="20"/>
              </w:rPr>
            </w:pPr>
          </w:p>
        </w:tc>
        <w:tc>
          <w:tcPr>
            <w:tcW w:w="720" w:type="dxa"/>
          </w:tcPr>
          <w:p w14:paraId="59AD8663" w14:textId="77777777" w:rsidR="00976265" w:rsidRPr="002D7798" w:rsidRDefault="00976265">
            <w:pPr>
              <w:spacing w:before="0" w:after="200" w:line="276" w:lineRule="auto"/>
              <w:ind w:right="-29"/>
              <w:jc w:val="center"/>
              <w:rPr>
                <w:noProof/>
                <w:sz w:val="18"/>
                <w:szCs w:val="20"/>
              </w:rPr>
            </w:pPr>
          </w:p>
        </w:tc>
        <w:tc>
          <w:tcPr>
            <w:tcW w:w="720" w:type="dxa"/>
          </w:tcPr>
          <w:p w14:paraId="710976D4" w14:textId="77777777" w:rsidR="00976265" w:rsidRPr="002D7798" w:rsidRDefault="00976265">
            <w:pPr>
              <w:spacing w:before="0" w:after="200" w:line="276" w:lineRule="auto"/>
              <w:ind w:right="-29"/>
              <w:jc w:val="center"/>
              <w:rPr>
                <w:noProof/>
                <w:sz w:val="18"/>
                <w:szCs w:val="20"/>
              </w:rPr>
            </w:pPr>
          </w:p>
        </w:tc>
        <w:tc>
          <w:tcPr>
            <w:tcW w:w="900" w:type="dxa"/>
          </w:tcPr>
          <w:p w14:paraId="13208E51" w14:textId="77777777" w:rsidR="00976265" w:rsidRPr="002D7798" w:rsidRDefault="00976265">
            <w:pPr>
              <w:spacing w:before="0" w:after="200" w:line="276" w:lineRule="auto"/>
              <w:ind w:right="-29"/>
              <w:jc w:val="center"/>
              <w:rPr>
                <w:noProof/>
                <w:sz w:val="18"/>
                <w:szCs w:val="20"/>
              </w:rPr>
            </w:pPr>
          </w:p>
        </w:tc>
        <w:tc>
          <w:tcPr>
            <w:tcW w:w="720" w:type="dxa"/>
            <w:gridSpan w:val="2"/>
          </w:tcPr>
          <w:p w14:paraId="63007118" w14:textId="77777777" w:rsidR="00976265" w:rsidRPr="002D7798" w:rsidRDefault="00976265">
            <w:pPr>
              <w:spacing w:before="0" w:after="200" w:line="276" w:lineRule="auto"/>
              <w:ind w:right="-29"/>
              <w:jc w:val="center"/>
              <w:rPr>
                <w:noProof/>
                <w:sz w:val="18"/>
                <w:szCs w:val="20"/>
              </w:rPr>
            </w:pPr>
          </w:p>
        </w:tc>
        <w:tc>
          <w:tcPr>
            <w:tcW w:w="540" w:type="dxa"/>
          </w:tcPr>
          <w:p w14:paraId="22FFA45A" w14:textId="77777777" w:rsidR="00976265" w:rsidRPr="002D7798" w:rsidRDefault="00976265">
            <w:pPr>
              <w:spacing w:before="0" w:after="200" w:line="276" w:lineRule="auto"/>
              <w:ind w:right="-29"/>
              <w:jc w:val="center"/>
              <w:rPr>
                <w:noProof/>
                <w:sz w:val="18"/>
                <w:szCs w:val="20"/>
              </w:rPr>
            </w:pPr>
          </w:p>
        </w:tc>
        <w:tc>
          <w:tcPr>
            <w:tcW w:w="648" w:type="dxa"/>
          </w:tcPr>
          <w:p w14:paraId="4450C31F" w14:textId="77777777" w:rsidR="00976265" w:rsidRPr="002D7798" w:rsidRDefault="00976265">
            <w:pPr>
              <w:spacing w:before="0" w:after="200" w:line="276" w:lineRule="auto"/>
              <w:ind w:right="-29"/>
              <w:jc w:val="center"/>
              <w:rPr>
                <w:noProof/>
                <w:sz w:val="18"/>
                <w:szCs w:val="20"/>
              </w:rPr>
            </w:pPr>
          </w:p>
        </w:tc>
        <w:tc>
          <w:tcPr>
            <w:tcW w:w="432" w:type="dxa"/>
          </w:tcPr>
          <w:p w14:paraId="695A5F77" w14:textId="77777777" w:rsidR="00976265" w:rsidRPr="002D7798" w:rsidRDefault="00976265">
            <w:pPr>
              <w:spacing w:before="0" w:after="200" w:line="276" w:lineRule="auto"/>
              <w:ind w:right="-29"/>
              <w:jc w:val="center"/>
              <w:rPr>
                <w:noProof/>
                <w:sz w:val="18"/>
                <w:szCs w:val="20"/>
              </w:rPr>
            </w:pPr>
          </w:p>
        </w:tc>
        <w:tc>
          <w:tcPr>
            <w:tcW w:w="720" w:type="dxa"/>
          </w:tcPr>
          <w:p w14:paraId="4B0D44F3" w14:textId="77777777" w:rsidR="00976265" w:rsidRPr="002D7798" w:rsidRDefault="00976265">
            <w:pPr>
              <w:spacing w:before="0" w:after="200" w:line="276" w:lineRule="auto"/>
              <w:ind w:right="-29"/>
              <w:jc w:val="center"/>
              <w:rPr>
                <w:noProof/>
                <w:sz w:val="18"/>
                <w:szCs w:val="20"/>
              </w:rPr>
            </w:pPr>
          </w:p>
        </w:tc>
        <w:tc>
          <w:tcPr>
            <w:tcW w:w="540" w:type="dxa"/>
          </w:tcPr>
          <w:p w14:paraId="571B0D9F" w14:textId="77777777" w:rsidR="00976265" w:rsidRPr="002D7798" w:rsidRDefault="00976265">
            <w:pPr>
              <w:spacing w:before="0" w:after="200" w:line="276" w:lineRule="auto"/>
              <w:ind w:right="-29"/>
              <w:jc w:val="center"/>
              <w:rPr>
                <w:noProof/>
                <w:sz w:val="18"/>
                <w:szCs w:val="20"/>
              </w:rPr>
            </w:pPr>
          </w:p>
        </w:tc>
        <w:tc>
          <w:tcPr>
            <w:tcW w:w="720" w:type="dxa"/>
          </w:tcPr>
          <w:p w14:paraId="43E66374" w14:textId="77777777" w:rsidR="00976265" w:rsidRPr="002D7798" w:rsidRDefault="00976265">
            <w:pPr>
              <w:spacing w:before="0" w:after="200" w:line="276" w:lineRule="auto"/>
              <w:ind w:right="-29"/>
              <w:jc w:val="center"/>
              <w:rPr>
                <w:noProof/>
                <w:sz w:val="18"/>
                <w:szCs w:val="20"/>
              </w:rPr>
            </w:pPr>
          </w:p>
        </w:tc>
        <w:tc>
          <w:tcPr>
            <w:tcW w:w="720" w:type="dxa"/>
          </w:tcPr>
          <w:p w14:paraId="7882390C" w14:textId="77777777" w:rsidR="00976265" w:rsidRPr="002D7798" w:rsidRDefault="00976265">
            <w:pPr>
              <w:spacing w:before="0" w:after="200" w:line="276" w:lineRule="auto"/>
              <w:ind w:right="-29"/>
              <w:jc w:val="center"/>
              <w:rPr>
                <w:noProof/>
                <w:sz w:val="18"/>
                <w:szCs w:val="20"/>
              </w:rPr>
            </w:pPr>
          </w:p>
        </w:tc>
        <w:tc>
          <w:tcPr>
            <w:tcW w:w="900" w:type="dxa"/>
          </w:tcPr>
          <w:p w14:paraId="36D36E62" w14:textId="77777777" w:rsidR="00976265" w:rsidRPr="002D7798" w:rsidRDefault="00976265">
            <w:pPr>
              <w:spacing w:before="0" w:after="200" w:line="276" w:lineRule="auto"/>
              <w:ind w:right="-29"/>
              <w:jc w:val="center"/>
              <w:rPr>
                <w:noProof/>
                <w:sz w:val="18"/>
                <w:szCs w:val="20"/>
              </w:rPr>
            </w:pPr>
          </w:p>
        </w:tc>
      </w:tr>
      <w:tr w:rsidR="00851B85" w:rsidRPr="002D7798" w14:paraId="46F719DD" w14:textId="77777777" w:rsidTr="208CACCC">
        <w:trPr>
          <w:jc w:val="center"/>
        </w:trPr>
        <w:tc>
          <w:tcPr>
            <w:tcW w:w="2844" w:type="dxa"/>
            <w:gridSpan w:val="3"/>
            <w:tcBorders>
              <w:bottom w:val="single" w:sz="12" w:space="0" w:color="auto"/>
            </w:tcBorders>
            <w:vAlign w:val="center"/>
          </w:tcPr>
          <w:p w14:paraId="3C9592CC" w14:textId="77777777" w:rsidR="00976265" w:rsidRPr="002D7798" w:rsidRDefault="0064263D">
            <w:pPr>
              <w:spacing w:before="0" w:after="200" w:line="276" w:lineRule="auto"/>
              <w:ind w:right="-29"/>
              <w:jc w:val="center"/>
              <w:rPr>
                <w:noProof/>
                <w:sz w:val="18"/>
                <w:szCs w:val="20"/>
              </w:rPr>
            </w:pPr>
            <w:r w:rsidRPr="002D7798">
              <w:rPr>
                <w:noProof/>
                <w:sz w:val="18"/>
              </w:rPr>
              <w:t>Mezisoučet za specifický cíl č. 1</w:t>
            </w:r>
          </w:p>
        </w:tc>
        <w:tc>
          <w:tcPr>
            <w:tcW w:w="504" w:type="dxa"/>
            <w:tcBorders>
              <w:bottom w:val="single" w:sz="12" w:space="0" w:color="auto"/>
            </w:tcBorders>
          </w:tcPr>
          <w:p w14:paraId="512D7965" w14:textId="77777777" w:rsidR="00976265" w:rsidRPr="002D7798" w:rsidRDefault="00976265">
            <w:pPr>
              <w:spacing w:before="0" w:after="200" w:line="276" w:lineRule="auto"/>
              <w:ind w:right="-29"/>
              <w:jc w:val="center"/>
              <w:rPr>
                <w:noProof/>
                <w:sz w:val="18"/>
                <w:szCs w:val="20"/>
              </w:rPr>
            </w:pPr>
          </w:p>
        </w:tc>
        <w:tc>
          <w:tcPr>
            <w:tcW w:w="720" w:type="dxa"/>
            <w:tcBorders>
              <w:bottom w:val="single" w:sz="12" w:space="0" w:color="auto"/>
            </w:tcBorders>
          </w:tcPr>
          <w:p w14:paraId="5896F700" w14:textId="77777777" w:rsidR="00976265" w:rsidRPr="002D7798" w:rsidRDefault="00976265">
            <w:pPr>
              <w:spacing w:before="0" w:after="200" w:line="276" w:lineRule="auto"/>
              <w:ind w:right="-29"/>
              <w:jc w:val="center"/>
              <w:rPr>
                <w:noProof/>
                <w:sz w:val="18"/>
                <w:szCs w:val="20"/>
              </w:rPr>
            </w:pPr>
          </w:p>
        </w:tc>
        <w:tc>
          <w:tcPr>
            <w:tcW w:w="540" w:type="dxa"/>
            <w:tcBorders>
              <w:bottom w:val="single" w:sz="12" w:space="0" w:color="auto"/>
            </w:tcBorders>
          </w:tcPr>
          <w:p w14:paraId="328E96A3" w14:textId="77777777" w:rsidR="00976265" w:rsidRPr="002D7798" w:rsidRDefault="00976265">
            <w:pPr>
              <w:spacing w:before="0" w:after="200" w:line="276" w:lineRule="auto"/>
              <w:ind w:right="-29"/>
              <w:jc w:val="center"/>
              <w:rPr>
                <w:noProof/>
                <w:sz w:val="18"/>
                <w:szCs w:val="20"/>
              </w:rPr>
            </w:pPr>
          </w:p>
        </w:tc>
        <w:tc>
          <w:tcPr>
            <w:tcW w:w="720" w:type="dxa"/>
            <w:tcBorders>
              <w:bottom w:val="single" w:sz="12" w:space="0" w:color="auto"/>
            </w:tcBorders>
          </w:tcPr>
          <w:p w14:paraId="2335CAAD" w14:textId="77777777" w:rsidR="00976265" w:rsidRPr="002D7798" w:rsidRDefault="00976265">
            <w:pPr>
              <w:spacing w:before="0" w:after="200" w:line="276" w:lineRule="auto"/>
              <w:ind w:right="-29"/>
              <w:jc w:val="center"/>
              <w:rPr>
                <w:noProof/>
                <w:sz w:val="18"/>
                <w:szCs w:val="20"/>
              </w:rPr>
            </w:pPr>
          </w:p>
        </w:tc>
        <w:tc>
          <w:tcPr>
            <w:tcW w:w="720" w:type="dxa"/>
            <w:tcBorders>
              <w:bottom w:val="single" w:sz="12" w:space="0" w:color="auto"/>
            </w:tcBorders>
          </w:tcPr>
          <w:p w14:paraId="61AD120E" w14:textId="77777777" w:rsidR="00976265" w:rsidRPr="002D7798" w:rsidRDefault="00976265">
            <w:pPr>
              <w:spacing w:before="0" w:after="200" w:line="276" w:lineRule="auto"/>
              <w:ind w:right="-29"/>
              <w:jc w:val="center"/>
              <w:rPr>
                <w:noProof/>
                <w:sz w:val="18"/>
                <w:szCs w:val="20"/>
              </w:rPr>
            </w:pPr>
          </w:p>
        </w:tc>
        <w:tc>
          <w:tcPr>
            <w:tcW w:w="720" w:type="dxa"/>
            <w:tcBorders>
              <w:bottom w:val="single" w:sz="12" w:space="0" w:color="auto"/>
            </w:tcBorders>
          </w:tcPr>
          <w:p w14:paraId="479AA0AA" w14:textId="77777777" w:rsidR="00976265" w:rsidRPr="002D7798" w:rsidRDefault="00976265">
            <w:pPr>
              <w:spacing w:before="0" w:after="200" w:line="276" w:lineRule="auto"/>
              <w:ind w:right="-29"/>
              <w:jc w:val="center"/>
              <w:rPr>
                <w:noProof/>
                <w:sz w:val="18"/>
                <w:szCs w:val="20"/>
              </w:rPr>
            </w:pPr>
          </w:p>
        </w:tc>
        <w:tc>
          <w:tcPr>
            <w:tcW w:w="900" w:type="dxa"/>
            <w:tcBorders>
              <w:bottom w:val="single" w:sz="12" w:space="0" w:color="auto"/>
            </w:tcBorders>
          </w:tcPr>
          <w:p w14:paraId="12128416" w14:textId="77777777" w:rsidR="00976265" w:rsidRPr="002D7798" w:rsidRDefault="00976265">
            <w:pPr>
              <w:spacing w:before="0" w:after="200" w:line="276" w:lineRule="auto"/>
              <w:ind w:right="-29"/>
              <w:jc w:val="center"/>
              <w:rPr>
                <w:noProof/>
                <w:sz w:val="18"/>
                <w:szCs w:val="20"/>
              </w:rPr>
            </w:pPr>
          </w:p>
        </w:tc>
        <w:tc>
          <w:tcPr>
            <w:tcW w:w="720" w:type="dxa"/>
            <w:gridSpan w:val="2"/>
            <w:tcBorders>
              <w:bottom w:val="single" w:sz="12" w:space="0" w:color="auto"/>
            </w:tcBorders>
          </w:tcPr>
          <w:p w14:paraId="6B61E9CD" w14:textId="77777777" w:rsidR="00976265" w:rsidRPr="002D7798" w:rsidRDefault="00976265">
            <w:pPr>
              <w:spacing w:before="0" w:after="200" w:line="276" w:lineRule="auto"/>
              <w:ind w:right="-29"/>
              <w:jc w:val="center"/>
              <w:rPr>
                <w:noProof/>
                <w:sz w:val="18"/>
                <w:szCs w:val="20"/>
              </w:rPr>
            </w:pPr>
          </w:p>
        </w:tc>
        <w:tc>
          <w:tcPr>
            <w:tcW w:w="540" w:type="dxa"/>
            <w:tcBorders>
              <w:bottom w:val="single" w:sz="12" w:space="0" w:color="auto"/>
            </w:tcBorders>
          </w:tcPr>
          <w:p w14:paraId="265344F3" w14:textId="77777777" w:rsidR="00976265" w:rsidRPr="002D7798" w:rsidRDefault="00976265">
            <w:pPr>
              <w:spacing w:before="0" w:after="200" w:line="276" w:lineRule="auto"/>
              <w:ind w:right="-29"/>
              <w:jc w:val="center"/>
              <w:rPr>
                <w:noProof/>
                <w:sz w:val="18"/>
                <w:szCs w:val="20"/>
              </w:rPr>
            </w:pPr>
          </w:p>
        </w:tc>
        <w:tc>
          <w:tcPr>
            <w:tcW w:w="648" w:type="dxa"/>
            <w:tcBorders>
              <w:bottom w:val="single" w:sz="12" w:space="0" w:color="auto"/>
            </w:tcBorders>
          </w:tcPr>
          <w:p w14:paraId="6388F245" w14:textId="77777777" w:rsidR="00976265" w:rsidRPr="002D7798" w:rsidRDefault="00976265">
            <w:pPr>
              <w:spacing w:before="0" w:after="200" w:line="276" w:lineRule="auto"/>
              <w:ind w:right="-29"/>
              <w:jc w:val="center"/>
              <w:rPr>
                <w:noProof/>
                <w:sz w:val="18"/>
                <w:szCs w:val="20"/>
              </w:rPr>
            </w:pPr>
          </w:p>
        </w:tc>
        <w:tc>
          <w:tcPr>
            <w:tcW w:w="432" w:type="dxa"/>
            <w:tcBorders>
              <w:bottom w:val="single" w:sz="12" w:space="0" w:color="auto"/>
            </w:tcBorders>
          </w:tcPr>
          <w:p w14:paraId="17C332A9" w14:textId="77777777" w:rsidR="00976265" w:rsidRPr="002D7798" w:rsidRDefault="00976265">
            <w:pPr>
              <w:spacing w:before="0" w:after="200" w:line="276" w:lineRule="auto"/>
              <w:ind w:right="-29"/>
              <w:jc w:val="center"/>
              <w:rPr>
                <w:noProof/>
                <w:sz w:val="18"/>
                <w:szCs w:val="20"/>
              </w:rPr>
            </w:pPr>
          </w:p>
        </w:tc>
        <w:tc>
          <w:tcPr>
            <w:tcW w:w="720" w:type="dxa"/>
            <w:tcBorders>
              <w:bottom w:val="single" w:sz="12" w:space="0" w:color="auto"/>
            </w:tcBorders>
          </w:tcPr>
          <w:p w14:paraId="367B3EF5" w14:textId="77777777" w:rsidR="00976265" w:rsidRPr="002D7798" w:rsidRDefault="00976265">
            <w:pPr>
              <w:spacing w:before="0" w:after="200" w:line="276" w:lineRule="auto"/>
              <w:ind w:right="-29"/>
              <w:jc w:val="center"/>
              <w:rPr>
                <w:noProof/>
                <w:sz w:val="18"/>
                <w:szCs w:val="20"/>
              </w:rPr>
            </w:pPr>
          </w:p>
        </w:tc>
        <w:tc>
          <w:tcPr>
            <w:tcW w:w="540" w:type="dxa"/>
            <w:tcBorders>
              <w:bottom w:val="single" w:sz="12" w:space="0" w:color="auto"/>
            </w:tcBorders>
          </w:tcPr>
          <w:p w14:paraId="312B145F" w14:textId="77777777" w:rsidR="00976265" w:rsidRPr="002D7798" w:rsidRDefault="00976265">
            <w:pPr>
              <w:spacing w:before="0" w:after="200" w:line="276" w:lineRule="auto"/>
              <w:ind w:right="-29"/>
              <w:jc w:val="center"/>
              <w:rPr>
                <w:noProof/>
                <w:sz w:val="18"/>
                <w:szCs w:val="20"/>
              </w:rPr>
            </w:pPr>
          </w:p>
        </w:tc>
        <w:tc>
          <w:tcPr>
            <w:tcW w:w="720" w:type="dxa"/>
            <w:tcBorders>
              <w:bottom w:val="single" w:sz="12" w:space="0" w:color="auto"/>
            </w:tcBorders>
          </w:tcPr>
          <w:p w14:paraId="5CB95268" w14:textId="77777777" w:rsidR="00976265" w:rsidRPr="002D7798" w:rsidRDefault="00976265">
            <w:pPr>
              <w:spacing w:before="0" w:after="200" w:line="276" w:lineRule="auto"/>
              <w:ind w:right="-29"/>
              <w:jc w:val="center"/>
              <w:rPr>
                <w:noProof/>
                <w:sz w:val="18"/>
                <w:szCs w:val="20"/>
              </w:rPr>
            </w:pPr>
          </w:p>
        </w:tc>
        <w:tc>
          <w:tcPr>
            <w:tcW w:w="720" w:type="dxa"/>
            <w:tcBorders>
              <w:bottom w:val="single" w:sz="12" w:space="0" w:color="auto"/>
            </w:tcBorders>
          </w:tcPr>
          <w:p w14:paraId="4C9B4E13" w14:textId="77777777" w:rsidR="00976265" w:rsidRPr="002D7798" w:rsidRDefault="00976265">
            <w:pPr>
              <w:spacing w:before="0" w:after="200" w:line="276" w:lineRule="auto"/>
              <w:ind w:right="-29"/>
              <w:jc w:val="center"/>
              <w:rPr>
                <w:noProof/>
                <w:sz w:val="18"/>
                <w:szCs w:val="20"/>
              </w:rPr>
            </w:pPr>
          </w:p>
        </w:tc>
        <w:tc>
          <w:tcPr>
            <w:tcW w:w="900" w:type="dxa"/>
            <w:tcBorders>
              <w:bottom w:val="single" w:sz="12" w:space="0" w:color="auto"/>
            </w:tcBorders>
          </w:tcPr>
          <w:p w14:paraId="7D0F1720" w14:textId="77777777" w:rsidR="00976265" w:rsidRPr="002D7798" w:rsidRDefault="00976265">
            <w:pPr>
              <w:spacing w:before="0" w:after="200" w:line="276" w:lineRule="auto"/>
              <w:ind w:right="-29"/>
              <w:jc w:val="center"/>
              <w:rPr>
                <w:noProof/>
                <w:sz w:val="18"/>
                <w:szCs w:val="20"/>
              </w:rPr>
            </w:pPr>
          </w:p>
        </w:tc>
      </w:tr>
      <w:tr w:rsidR="00851B85" w:rsidRPr="002D7798" w14:paraId="47795C70" w14:textId="77777777" w:rsidTr="208CACCC">
        <w:trPr>
          <w:jc w:val="center"/>
        </w:trPr>
        <w:tc>
          <w:tcPr>
            <w:tcW w:w="2844" w:type="dxa"/>
            <w:gridSpan w:val="3"/>
            <w:vAlign w:val="center"/>
          </w:tcPr>
          <w:p w14:paraId="10A81B37" w14:textId="77777777" w:rsidR="00976265" w:rsidRPr="002D7798" w:rsidRDefault="0064263D">
            <w:pPr>
              <w:spacing w:before="60" w:after="60" w:line="276" w:lineRule="auto"/>
              <w:ind w:right="-29"/>
              <w:jc w:val="center"/>
              <w:rPr>
                <w:noProof/>
                <w:sz w:val="18"/>
                <w:szCs w:val="20"/>
              </w:rPr>
            </w:pPr>
            <w:r w:rsidRPr="002D7798">
              <w:rPr>
                <w:noProof/>
                <w:sz w:val="18"/>
              </w:rPr>
              <w:t>SPECIFICKÝ CÍL č. 2 …</w:t>
            </w:r>
          </w:p>
        </w:tc>
        <w:tc>
          <w:tcPr>
            <w:tcW w:w="504" w:type="dxa"/>
            <w:tcBorders>
              <w:top w:val="nil"/>
              <w:left w:val="nil"/>
              <w:bottom w:val="nil"/>
              <w:right w:val="nil"/>
            </w:tcBorders>
          </w:tcPr>
          <w:p w14:paraId="1C28BDFC" w14:textId="77777777" w:rsidR="00976265" w:rsidRPr="002D7798" w:rsidRDefault="00976265">
            <w:pPr>
              <w:spacing w:before="60" w:after="60" w:line="276" w:lineRule="auto"/>
              <w:ind w:right="-29"/>
              <w:jc w:val="center"/>
              <w:rPr>
                <w:noProof/>
                <w:sz w:val="18"/>
                <w:szCs w:val="20"/>
              </w:rPr>
            </w:pPr>
          </w:p>
        </w:tc>
        <w:tc>
          <w:tcPr>
            <w:tcW w:w="720" w:type="dxa"/>
            <w:tcBorders>
              <w:top w:val="nil"/>
              <w:left w:val="nil"/>
              <w:bottom w:val="nil"/>
              <w:right w:val="nil"/>
            </w:tcBorders>
          </w:tcPr>
          <w:p w14:paraId="620D3E71" w14:textId="77777777" w:rsidR="00976265" w:rsidRPr="002D7798" w:rsidRDefault="00976265">
            <w:pPr>
              <w:spacing w:before="60" w:after="60" w:line="276" w:lineRule="auto"/>
              <w:ind w:right="-29"/>
              <w:jc w:val="center"/>
              <w:rPr>
                <w:noProof/>
                <w:sz w:val="18"/>
                <w:szCs w:val="20"/>
              </w:rPr>
            </w:pPr>
          </w:p>
        </w:tc>
        <w:tc>
          <w:tcPr>
            <w:tcW w:w="540" w:type="dxa"/>
            <w:tcBorders>
              <w:top w:val="nil"/>
              <w:left w:val="nil"/>
              <w:bottom w:val="nil"/>
              <w:right w:val="nil"/>
            </w:tcBorders>
          </w:tcPr>
          <w:p w14:paraId="31216359" w14:textId="77777777" w:rsidR="00976265" w:rsidRPr="002D7798" w:rsidRDefault="00976265">
            <w:pPr>
              <w:spacing w:before="60" w:after="60" w:line="276" w:lineRule="auto"/>
              <w:ind w:right="-29"/>
              <w:jc w:val="center"/>
              <w:rPr>
                <w:noProof/>
                <w:sz w:val="18"/>
                <w:szCs w:val="20"/>
              </w:rPr>
            </w:pPr>
          </w:p>
        </w:tc>
        <w:tc>
          <w:tcPr>
            <w:tcW w:w="720" w:type="dxa"/>
            <w:tcBorders>
              <w:top w:val="nil"/>
              <w:left w:val="nil"/>
              <w:bottom w:val="nil"/>
              <w:right w:val="nil"/>
            </w:tcBorders>
          </w:tcPr>
          <w:p w14:paraId="68ED0F31" w14:textId="77777777" w:rsidR="00976265" w:rsidRPr="002D7798" w:rsidRDefault="00976265">
            <w:pPr>
              <w:spacing w:before="60" w:after="60" w:line="276" w:lineRule="auto"/>
              <w:ind w:right="-29"/>
              <w:jc w:val="center"/>
              <w:rPr>
                <w:noProof/>
                <w:sz w:val="18"/>
                <w:szCs w:val="20"/>
              </w:rPr>
            </w:pPr>
          </w:p>
        </w:tc>
        <w:tc>
          <w:tcPr>
            <w:tcW w:w="720" w:type="dxa"/>
            <w:tcBorders>
              <w:top w:val="nil"/>
              <w:left w:val="nil"/>
              <w:bottom w:val="nil"/>
              <w:right w:val="nil"/>
            </w:tcBorders>
          </w:tcPr>
          <w:p w14:paraId="696CBE0A" w14:textId="77777777" w:rsidR="00976265" w:rsidRPr="002D7798" w:rsidRDefault="00976265">
            <w:pPr>
              <w:spacing w:before="60" w:after="60" w:line="276" w:lineRule="auto"/>
              <w:ind w:right="-29"/>
              <w:jc w:val="center"/>
              <w:rPr>
                <w:noProof/>
                <w:sz w:val="18"/>
                <w:szCs w:val="20"/>
              </w:rPr>
            </w:pPr>
          </w:p>
        </w:tc>
        <w:tc>
          <w:tcPr>
            <w:tcW w:w="720" w:type="dxa"/>
            <w:tcBorders>
              <w:top w:val="nil"/>
              <w:left w:val="nil"/>
              <w:bottom w:val="nil"/>
              <w:right w:val="nil"/>
            </w:tcBorders>
          </w:tcPr>
          <w:p w14:paraId="0BC36D69" w14:textId="77777777" w:rsidR="00976265" w:rsidRPr="002D7798" w:rsidRDefault="00976265">
            <w:pPr>
              <w:spacing w:before="60" w:after="60" w:line="276" w:lineRule="auto"/>
              <w:ind w:right="-29"/>
              <w:jc w:val="center"/>
              <w:rPr>
                <w:noProof/>
                <w:sz w:val="18"/>
                <w:szCs w:val="20"/>
              </w:rPr>
            </w:pPr>
          </w:p>
        </w:tc>
        <w:tc>
          <w:tcPr>
            <w:tcW w:w="900" w:type="dxa"/>
            <w:tcBorders>
              <w:top w:val="nil"/>
              <w:left w:val="nil"/>
              <w:bottom w:val="nil"/>
              <w:right w:val="nil"/>
            </w:tcBorders>
          </w:tcPr>
          <w:p w14:paraId="63491E93" w14:textId="77777777" w:rsidR="00976265" w:rsidRPr="002D7798" w:rsidRDefault="00976265">
            <w:pPr>
              <w:spacing w:before="60" w:after="60" w:line="276" w:lineRule="auto"/>
              <w:ind w:right="-29"/>
              <w:jc w:val="center"/>
              <w:rPr>
                <w:noProof/>
                <w:sz w:val="18"/>
                <w:szCs w:val="20"/>
              </w:rPr>
            </w:pPr>
          </w:p>
        </w:tc>
        <w:tc>
          <w:tcPr>
            <w:tcW w:w="720" w:type="dxa"/>
            <w:gridSpan w:val="2"/>
            <w:tcBorders>
              <w:top w:val="nil"/>
              <w:left w:val="nil"/>
              <w:bottom w:val="nil"/>
              <w:right w:val="nil"/>
            </w:tcBorders>
          </w:tcPr>
          <w:p w14:paraId="0726C78B" w14:textId="77777777" w:rsidR="00976265" w:rsidRPr="002D7798" w:rsidRDefault="00976265">
            <w:pPr>
              <w:spacing w:before="60" w:after="60" w:line="276" w:lineRule="auto"/>
              <w:ind w:right="-29"/>
              <w:jc w:val="center"/>
              <w:rPr>
                <w:noProof/>
                <w:sz w:val="18"/>
                <w:szCs w:val="20"/>
              </w:rPr>
            </w:pPr>
          </w:p>
        </w:tc>
        <w:tc>
          <w:tcPr>
            <w:tcW w:w="540" w:type="dxa"/>
            <w:tcBorders>
              <w:top w:val="nil"/>
              <w:left w:val="nil"/>
              <w:bottom w:val="nil"/>
              <w:right w:val="nil"/>
            </w:tcBorders>
          </w:tcPr>
          <w:p w14:paraId="75C1E6AD" w14:textId="77777777" w:rsidR="00976265" w:rsidRPr="002D7798" w:rsidRDefault="00976265">
            <w:pPr>
              <w:spacing w:before="60" w:after="60" w:line="276" w:lineRule="auto"/>
              <w:ind w:right="-29"/>
              <w:jc w:val="center"/>
              <w:rPr>
                <w:noProof/>
                <w:sz w:val="18"/>
                <w:szCs w:val="20"/>
              </w:rPr>
            </w:pPr>
          </w:p>
        </w:tc>
        <w:tc>
          <w:tcPr>
            <w:tcW w:w="648" w:type="dxa"/>
            <w:tcBorders>
              <w:top w:val="nil"/>
              <w:left w:val="nil"/>
              <w:bottom w:val="nil"/>
              <w:right w:val="nil"/>
            </w:tcBorders>
          </w:tcPr>
          <w:p w14:paraId="2ABB6A1E" w14:textId="77777777" w:rsidR="00976265" w:rsidRPr="002D7798" w:rsidRDefault="00976265">
            <w:pPr>
              <w:spacing w:before="60" w:after="60" w:line="276" w:lineRule="auto"/>
              <w:ind w:right="-29"/>
              <w:jc w:val="center"/>
              <w:rPr>
                <w:noProof/>
                <w:sz w:val="18"/>
                <w:szCs w:val="20"/>
              </w:rPr>
            </w:pPr>
          </w:p>
        </w:tc>
        <w:tc>
          <w:tcPr>
            <w:tcW w:w="432" w:type="dxa"/>
            <w:tcBorders>
              <w:top w:val="nil"/>
              <w:left w:val="nil"/>
              <w:bottom w:val="nil"/>
              <w:right w:val="nil"/>
            </w:tcBorders>
          </w:tcPr>
          <w:p w14:paraId="72E2D0B2" w14:textId="77777777" w:rsidR="00976265" w:rsidRPr="002D7798" w:rsidRDefault="00976265">
            <w:pPr>
              <w:spacing w:before="60" w:after="60" w:line="276" w:lineRule="auto"/>
              <w:ind w:right="-29"/>
              <w:jc w:val="center"/>
              <w:rPr>
                <w:noProof/>
                <w:sz w:val="18"/>
                <w:szCs w:val="20"/>
              </w:rPr>
            </w:pPr>
          </w:p>
        </w:tc>
        <w:tc>
          <w:tcPr>
            <w:tcW w:w="720" w:type="dxa"/>
            <w:tcBorders>
              <w:top w:val="nil"/>
              <w:left w:val="nil"/>
              <w:bottom w:val="nil"/>
              <w:right w:val="nil"/>
            </w:tcBorders>
          </w:tcPr>
          <w:p w14:paraId="026D27AA" w14:textId="77777777" w:rsidR="00976265" w:rsidRPr="002D7798" w:rsidRDefault="00976265">
            <w:pPr>
              <w:spacing w:before="60" w:after="60" w:line="276" w:lineRule="auto"/>
              <w:ind w:right="-29"/>
              <w:jc w:val="center"/>
              <w:rPr>
                <w:noProof/>
                <w:sz w:val="18"/>
                <w:szCs w:val="20"/>
              </w:rPr>
            </w:pPr>
          </w:p>
        </w:tc>
        <w:tc>
          <w:tcPr>
            <w:tcW w:w="540" w:type="dxa"/>
            <w:tcBorders>
              <w:top w:val="nil"/>
              <w:left w:val="nil"/>
              <w:bottom w:val="nil"/>
              <w:right w:val="nil"/>
            </w:tcBorders>
          </w:tcPr>
          <w:p w14:paraId="309766EC" w14:textId="77777777" w:rsidR="00976265" w:rsidRPr="002D7798" w:rsidRDefault="00976265">
            <w:pPr>
              <w:spacing w:before="60" w:after="60" w:line="276" w:lineRule="auto"/>
              <w:ind w:right="-29"/>
              <w:jc w:val="center"/>
              <w:rPr>
                <w:noProof/>
                <w:sz w:val="18"/>
                <w:szCs w:val="20"/>
              </w:rPr>
            </w:pPr>
          </w:p>
        </w:tc>
        <w:tc>
          <w:tcPr>
            <w:tcW w:w="720" w:type="dxa"/>
            <w:tcBorders>
              <w:top w:val="nil"/>
              <w:left w:val="nil"/>
              <w:bottom w:val="nil"/>
              <w:right w:val="nil"/>
            </w:tcBorders>
          </w:tcPr>
          <w:p w14:paraId="3B542E20" w14:textId="77777777" w:rsidR="00976265" w:rsidRPr="002D7798" w:rsidRDefault="00976265">
            <w:pPr>
              <w:spacing w:before="60" w:after="60" w:line="276" w:lineRule="auto"/>
              <w:ind w:right="-29"/>
              <w:jc w:val="center"/>
              <w:rPr>
                <w:noProof/>
                <w:sz w:val="18"/>
                <w:szCs w:val="20"/>
              </w:rPr>
            </w:pPr>
          </w:p>
        </w:tc>
        <w:tc>
          <w:tcPr>
            <w:tcW w:w="720" w:type="dxa"/>
            <w:tcBorders>
              <w:top w:val="nil"/>
              <w:left w:val="nil"/>
              <w:bottom w:val="nil"/>
              <w:right w:val="nil"/>
            </w:tcBorders>
          </w:tcPr>
          <w:p w14:paraId="277A498F" w14:textId="77777777" w:rsidR="00976265" w:rsidRPr="002D7798" w:rsidRDefault="00976265">
            <w:pPr>
              <w:spacing w:before="60" w:after="60" w:line="276" w:lineRule="auto"/>
              <w:ind w:right="-29"/>
              <w:jc w:val="center"/>
              <w:rPr>
                <w:noProof/>
                <w:sz w:val="18"/>
                <w:szCs w:val="20"/>
              </w:rPr>
            </w:pPr>
          </w:p>
        </w:tc>
        <w:tc>
          <w:tcPr>
            <w:tcW w:w="900" w:type="dxa"/>
            <w:tcBorders>
              <w:top w:val="nil"/>
              <w:left w:val="nil"/>
              <w:bottom w:val="nil"/>
              <w:right w:val="nil"/>
            </w:tcBorders>
          </w:tcPr>
          <w:p w14:paraId="1964B4D0" w14:textId="77777777" w:rsidR="00976265" w:rsidRPr="002D7798" w:rsidRDefault="00976265">
            <w:pPr>
              <w:spacing w:before="60" w:after="60" w:line="276" w:lineRule="auto"/>
              <w:ind w:right="-29"/>
              <w:jc w:val="center"/>
              <w:rPr>
                <w:noProof/>
                <w:sz w:val="18"/>
                <w:szCs w:val="20"/>
              </w:rPr>
            </w:pPr>
          </w:p>
        </w:tc>
      </w:tr>
      <w:tr w:rsidR="00851B85" w:rsidRPr="002D7798" w14:paraId="6EE5145F" w14:textId="77777777" w:rsidTr="208CACCC">
        <w:trPr>
          <w:trHeight w:hRule="exact" w:val="369"/>
          <w:jc w:val="center"/>
        </w:trPr>
        <w:tc>
          <w:tcPr>
            <w:tcW w:w="1423" w:type="dxa"/>
          </w:tcPr>
          <w:p w14:paraId="15DC1C77" w14:textId="77777777" w:rsidR="00976265" w:rsidRPr="002D7798" w:rsidRDefault="0064263D">
            <w:pPr>
              <w:spacing w:before="0" w:after="200" w:line="276" w:lineRule="auto"/>
              <w:ind w:right="-29"/>
              <w:jc w:val="center"/>
              <w:rPr>
                <w:noProof/>
                <w:sz w:val="18"/>
                <w:szCs w:val="20"/>
              </w:rPr>
            </w:pPr>
            <w:r w:rsidRPr="002D7798">
              <w:rPr>
                <w:noProof/>
                <w:sz w:val="18"/>
              </w:rPr>
              <w:t>– Výstup</w:t>
            </w:r>
          </w:p>
        </w:tc>
        <w:tc>
          <w:tcPr>
            <w:tcW w:w="720" w:type="dxa"/>
          </w:tcPr>
          <w:p w14:paraId="383CCAA9" w14:textId="77777777" w:rsidR="00976265" w:rsidRPr="002D7798" w:rsidRDefault="00976265">
            <w:pPr>
              <w:spacing w:before="0" w:after="200" w:line="276" w:lineRule="auto"/>
              <w:ind w:right="-29"/>
              <w:jc w:val="center"/>
              <w:rPr>
                <w:noProof/>
                <w:sz w:val="18"/>
                <w:szCs w:val="20"/>
              </w:rPr>
            </w:pPr>
          </w:p>
        </w:tc>
        <w:tc>
          <w:tcPr>
            <w:tcW w:w="701" w:type="dxa"/>
          </w:tcPr>
          <w:p w14:paraId="0F378F89" w14:textId="77777777" w:rsidR="00976265" w:rsidRPr="002D7798" w:rsidRDefault="00976265">
            <w:pPr>
              <w:spacing w:before="0" w:after="200" w:line="276" w:lineRule="auto"/>
              <w:ind w:right="-29"/>
              <w:jc w:val="center"/>
              <w:rPr>
                <w:noProof/>
                <w:sz w:val="18"/>
                <w:szCs w:val="20"/>
              </w:rPr>
            </w:pPr>
          </w:p>
        </w:tc>
        <w:tc>
          <w:tcPr>
            <w:tcW w:w="504" w:type="dxa"/>
          </w:tcPr>
          <w:p w14:paraId="618A41F3" w14:textId="77777777" w:rsidR="00976265" w:rsidRPr="002D7798" w:rsidRDefault="00976265">
            <w:pPr>
              <w:spacing w:before="0" w:after="200" w:line="276" w:lineRule="auto"/>
              <w:ind w:right="-29"/>
              <w:jc w:val="center"/>
              <w:rPr>
                <w:noProof/>
                <w:sz w:val="18"/>
                <w:szCs w:val="20"/>
              </w:rPr>
            </w:pPr>
          </w:p>
        </w:tc>
        <w:tc>
          <w:tcPr>
            <w:tcW w:w="720" w:type="dxa"/>
          </w:tcPr>
          <w:p w14:paraId="1010F68D" w14:textId="77777777" w:rsidR="00976265" w:rsidRPr="002D7798" w:rsidRDefault="00976265">
            <w:pPr>
              <w:spacing w:before="0" w:after="200" w:line="276" w:lineRule="auto"/>
              <w:ind w:right="-29"/>
              <w:jc w:val="center"/>
              <w:rPr>
                <w:noProof/>
                <w:sz w:val="18"/>
                <w:szCs w:val="20"/>
              </w:rPr>
            </w:pPr>
          </w:p>
        </w:tc>
        <w:tc>
          <w:tcPr>
            <w:tcW w:w="540" w:type="dxa"/>
          </w:tcPr>
          <w:p w14:paraId="75CF2895" w14:textId="77777777" w:rsidR="00976265" w:rsidRPr="002D7798" w:rsidRDefault="00976265">
            <w:pPr>
              <w:spacing w:before="0" w:after="200" w:line="276" w:lineRule="auto"/>
              <w:ind w:right="-29"/>
              <w:jc w:val="center"/>
              <w:rPr>
                <w:noProof/>
                <w:sz w:val="18"/>
                <w:szCs w:val="20"/>
              </w:rPr>
            </w:pPr>
          </w:p>
        </w:tc>
        <w:tc>
          <w:tcPr>
            <w:tcW w:w="720" w:type="dxa"/>
          </w:tcPr>
          <w:p w14:paraId="2754C029" w14:textId="77777777" w:rsidR="00976265" w:rsidRPr="002D7798" w:rsidRDefault="00976265">
            <w:pPr>
              <w:spacing w:before="0" w:after="200" w:line="276" w:lineRule="auto"/>
              <w:ind w:right="-29"/>
              <w:jc w:val="center"/>
              <w:rPr>
                <w:noProof/>
                <w:sz w:val="18"/>
                <w:szCs w:val="20"/>
              </w:rPr>
            </w:pPr>
          </w:p>
        </w:tc>
        <w:tc>
          <w:tcPr>
            <w:tcW w:w="720" w:type="dxa"/>
          </w:tcPr>
          <w:p w14:paraId="795CAB40" w14:textId="77777777" w:rsidR="00976265" w:rsidRPr="002D7798" w:rsidRDefault="00976265">
            <w:pPr>
              <w:spacing w:before="0" w:after="200" w:line="276" w:lineRule="auto"/>
              <w:ind w:right="-29"/>
              <w:jc w:val="center"/>
              <w:rPr>
                <w:noProof/>
                <w:sz w:val="18"/>
                <w:szCs w:val="20"/>
              </w:rPr>
            </w:pPr>
          </w:p>
        </w:tc>
        <w:tc>
          <w:tcPr>
            <w:tcW w:w="720" w:type="dxa"/>
          </w:tcPr>
          <w:p w14:paraId="7322A597" w14:textId="77777777" w:rsidR="00976265" w:rsidRPr="002D7798" w:rsidRDefault="00976265">
            <w:pPr>
              <w:spacing w:before="0" w:after="200" w:line="276" w:lineRule="auto"/>
              <w:ind w:right="-29"/>
              <w:jc w:val="center"/>
              <w:rPr>
                <w:noProof/>
                <w:sz w:val="18"/>
                <w:szCs w:val="20"/>
              </w:rPr>
            </w:pPr>
          </w:p>
        </w:tc>
        <w:tc>
          <w:tcPr>
            <w:tcW w:w="900" w:type="dxa"/>
          </w:tcPr>
          <w:p w14:paraId="13378F10" w14:textId="77777777" w:rsidR="00976265" w:rsidRPr="002D7798" w:rsidRDefault="00976265">
            <w:pPr>
              <w:spacing w:before="0" w:after="200" w:line="276" w:lineRule="auto"/>
              <w:ind w:right="-29"/>
              <w:jc w:val="center"/>
              <w:rPr>
                <w:noProof/>
                <w:sz w:val="18"/>
                <w:szCs w:val="20"/>
              </w:rPr>
            </w:pPr>
          </w:p>
        </w:tc>
        <w:tc>
          <w:tcPr>
            <w:tcW w:w="720" w:type="dxa"/>
            <w:gridSpan w:val="2"/>
          </w:tcPr>
          <w:p w14:paraId="5578205E" w14:textId="77777777" w:rsidR="00976265" w:rsidRPr="002D7798" w:rsidRDefault="00976265">
            <w:pPr>
              <w:spacing w:before="0" w:after="200" w:line="276" w:lineRule="auto"/>
              <w:ind w:right="-29"/>
              <w:jc w:val="center"/>
              <w:rPr>
                <w:noProof/>
                <w:sz w:val="18"/>
                <w:szCs w:val="20"/>
              </w:rPr>
            </w:pPr>
          </w:p>
        </w:tc>
        <w:tc>
          <w:tcPr>
            <w:tcW w:w="540" w:type="dxa"/>
          </w:tcPr>
          <w:p w14:paraId="7C7EA1E4" w14:textId="77777777" w:rsidR="00976265" w:rsidRPr="002D7798" w:rsidRDefault="00976265">
            <w:pPr>
              <w:spacing w:before="0" w:after="200" w:line="276" w:lineRule="auto"/>
              <w:ind w:right="-29"/>
              <w:jc w:val="center"/>
              <w:rPr>
                <w:noProof/>
                <w:sz w:val="18"/>
                <w:szCs w:val="20"/>
              </w:rPr>
            </w:pPr>
          </w:p>
        </w:tc>
        <w:tc>
          <w:tcPr>
            <w:tcW w:w="648" w:type="dxa"/>
          </w:tcPr>
          <w:p w14:paraId="2115AFAD" w14:textId="77777777" w:rsidR="00976265" w:rsidRPr="002D7798" w:rsidRDefault="00976265">
            <w:pPr>
              <w:spacing w:before="0" w:after="200" w:line="276" w:lineRule="auto"/>
              <w:ind w:right="-29"/>
              <w:jc w:val="center"/>
              <w:rPr>
                <w:noProof/>
                <w:sz w:val="18"/>
                <w:szCs w:val="20"/>
              </w:rPr>
            </w:pPr>
          </w:p>
        </w:tc>
        <w:tc>
          <w:tcPr>
            <w:tcW w:w="432" w:type="dxa"/>
          </w:tcPr>
          <w:p w14:paraId="58013F76" w14:textId="77777777" w:rsidR="00976265" w:rsidRPr="002D7798" w:rsidRDefault="00976265">
            <w:pPr>
              <w:spacing w:before="0" w:after="200" w:line="276" w:lineRule="auto"/>
              <w:ind w:right="-29"/>
              <w:jc w:val="center"/>
              <w:rPr>
                <w:noProof/>
                <w:sz w:val="18"/>
                <w:szCs w:val="20"/>
              </w:rPr>
            </w:pPr>
          </w:p>
        </w:tc>
        <w:tc>
          <w:tcPr>
            <w:tcW w:w="720" w:type="dxa"/>
          </w:tcPr>
          <w:p w14:paraId="42EC73E0" w14:textId="77777777" w:rsidR="00976265" w:rsidRPr="002D7798" w:rsidRDefault="00976265">
            <w:pPr>
              <w:spacing w:before="0" w:after="200" w:line="276" w:lineRule="auto"/>
              <w:ind w:right="-29"/>
              <w:jc w:val="center"/>
              <w:rPr>
                <w:noProof/>
                <w:sz w:val="18"/>
                <w:szCs w:val="20"/>
              </w:rPr>
            </w:pPr>
          </w:p>
        </w:tc>
        <w:tc>
          <w:tcPr>
            <w:tcW w:w="540" w:type="dxa"/>
          </w:tcPr>
          <w:p w14:paraId="04262255" w14:textId="77777777" w:rsidR="00976265" w:rsidRPr="002D7798" w:rsidRDefault="00976265">
            <w:pPr>
              <w:spacing w:before="0" w:after="200" w:line="276" w:lineRule="auto"/>
              <w:ind w:right="-29"/>
              <w:jc w:val="center"/>
              <w:rPr>
                <w:noProof/>
                <w:sz w:val="18"/>
                <w:szCs w:val="20"/>
              </w:rPr>
            </w:pPr>
          </w:p>
        </w:tc>
        <w:tc>
          <w:tcPr>
            <w:tcW w:w="720" w:type="dxa"/>
          </w:tcPr>
          <w:p w14:paraId="45FFD512" w14:textId="77777777" w:rsidR="00976265" w:rsidRPr="002D7798" w:rsidRDefault="00976265">
            <w:pPr>
              <w:spacing w:before="0" w:after="200" w:line="276" w:lineRule="auto"/>
              <w:ind w:right="-29"/>
              <w:jc w:val="center"/>
              <w:rPr>
                <w:noProof/>
                <w:sz w:val="18"/>
                <w:szCs w:val="20"/>
              </w:rPr>
            </w:pPr>
          </w:p>
        </w:tc>
        <w:tc>
          <w:tcPr>
            <w:tcW w:w="720" w:type="dxa"/>
          </w:tcPr>
          <w:p w14:paraId="029DE43E" w14:textId="77777777" w:rsidR="00976265" w:rsidRPr="002D7798" w:rsidRDefault="00976265">
            <w:pPr>
              <w:spacing w:before="0" w:after="200" w:line="276" w:lineRule="auto"/>
              <w:ind w:right="-29"/>
              <w:jc w:val="center"/>
              <w:rPr>
                <w:noProof/>
                <w:sz w:val="18"/>
                <w:szCs w:val="20"/>
              </w:rPr>
            </w:pPr>
          </w:p>
        </w:tc>
        <w:tc>
          <w:tcPr>
            <w:tcW w:w="900" w:type="dxa"/>
          </w:tcPr>
          <w:p w14:paraId="7E49C3AF" w14:textId="77777777" w:rsidR="00976265" w:rsidRPr="002D7798" w:rsidRDefault="00976265">
            <w:pPr>
              <w:spacing w:before="0" w:after="200" w:line="276" w:lineRule="auto"/>
              <w:ind w:right="-29"/>
              <w:jc w:val="center"/>
              <w:rPr>
                <w:noProof/>
                <w:sz w:val="18"/>
                <w:szCs w:val="20"/>
              </w:rPr>
            </w:pPr>
          </w:p>
        </w:tc>
      </w:tr>
      <w:tr w:rsidR="00851B85" w:rsidRPr="002D7798" w14:paraId="7AB0C3A2" w14:textId="77777777" w:rsidTr="208CACCC">
        <w:trPr>
          <w:jc w:val="center"/>
        </w:trPr>
        <w:tc>
          <w:tcPr>
            <w:tcW w:w="2844" w:type="dxa"/>
            <w:gridSpan w:val="3"/>
            <w:tcBorders>
              <w:bottom w:val="single" w:sz="12" w:space="0" w:color="auto"/>
            </w:tcBorders>
            <w:vAlign w:val="center"/>
          </w:tcPr>
          <w:p w14:paraId="654B84C2" w14:textId="77777777" w:rsidR="00976265" w:rsidRPr="002D7798" w:rsidRDefault="0064263D">
            <w:pPr>
              <w:spacing w:before="0" w:after="200" w:line="276" w:lineRule="auto"/>
              <w:jc w:val="center"/>
              <w:rPr>
                <w:noProof/>
                <w:sz w:val="18"/>
                <w:szCs w:val="20"/>
              </w:rPr>
            </w:pPr>
            <w:r w:rsidRPr="002D7798">
              <w:rPr>
                <w:noProof/>
                <w:sz w:val="18"/>
              </w:rPr>
              <w:t>Mezisoučet za specifický cíl č. 2</w:t>
            </w:r>
          </w:p>
        </w:tc>
        <w:tc>
          <w:tcPr>
            <w:tcW w:w="504" w:type="dxa"/>
            <w:tcBorders>
              <w:bottom w:val="single" w:sz="12" w:space="0" w:color="auto"/>
            </w:tcBorders>
          </w:tcPr>
          <w:p w14:paraId="1D30F73F" w14:textId="77777777" w:rsidR="00976265" w:rsidRPr="002D7798" w:rsidRDefault="00976265">
            <w:pPr>
              <w:spacing w:before="0" w:after="200" w:line="276" w:lineRule="auto"/>
              <w:ind w:right="-29"/>
              <w:jc w:val="center"/>
              <w:rPr>
                <w:noProof/>
                <w:sz w:val="18"/>
                <w:szCs w:val="20"/>
              </w:rPr>
            </w:pPr>
          </w:p>
        </w:tc>
        <w:tc>
          <w:tcPr>
            <w:tcW w:w="720" w:type="dxa"/>
            <w:tcBorders>
              <w:bottom w:val="single" w:sz="12" w:space="0" w:color="auto"/>
            </w:tcBorders>
          </w:tcPr>
          <w:p w14:paraId="7A89ED85" w14:textId="77777777" w:rsidR="00976265" w:rsidRPr="002D7798" w:rsidRDefault="00976265">
            <w:pPr>
              <w:spacing w:before="0" w:after="200" w:line="276" w:lineRule="auto"/>
              <w:ind w:right="-29"/>
              <w:jc w:val="center"/>
              <w:rPr>
                <w:noProof/>
                <w:sz w:val="18"/>
                <w:szCs w:val="20"/>
              </w:rPr>
            </w:pPr>
          </w:p>
        </w:tc>
        <w:tc>
          <w:tcPr>
            <w:tcW w:w="540" w:type="dxa"/>
            <w:tcBorders>
              <w:bottom w:val="single" w:sz="12" w:space="0" w:color="auto"/>
            </w:tcBorders>
          </w:tcPr>
          <w:p w14:paraId="186A0C04" w14:textId="77777777" w:rsidR="00976265" w:rsidRPr="002D7798" w:rsidRDefault="00976265">
            <w:pPr>
              <w:spacing w:before="0" w:after="200" w:line="276" w:lineRule="auto"/>
              <w:ind w:right="-29"/>
              <w:jc w:val="center"/>
              <w:rPr>
                <w:noProof/>
                <w:sz w:val="18"/>
                <w:szCs w:val="20"/>
              </w:rPr>
            </w:pPr>
          </w:p>
        </w:tc>
        <w:tc>
          <w:tcPr>
            <w:tcW w:w="720" w:type="dxa"/>
            <w:tcBorders>
              <w:bottom w:val="single" w:sz="12" w:space="0" w:color="auto"/>
            </w:tcBorders>
          </w:tcPr>
          <w:p w14:paraId="375BC34E" w14:textId="77777777" w:rsidR="00976265" w:rsidRPr="002D7798" w:rsidRDefault="00976265">
            <w:pPr>
              <w:spacing w:before="0" w:after="200" w:line="276" w:lineRule="auto"/>
              <w:ind w:right="-29"/>
              <w:jc w:val="center"/>
              <w:rPr>
                <w:noProof/>
                <w:sz w:val="18"/>
                <w:szCs w:val="20"/>
              </w:rPr>
            </w:pPr>
          </w:p>
        </w:tc>
        <w:tc>
          <w:tcPr>
            <w:tcW w:w="720" w:type="dxa"/>
            <w:tcBorders>
              <w:bottom w:val="single" w:sz="12" w:space="0" w:color="auto"/>
            </w:tcBorders>
          </w:tcPr>
          <w:p w14:paraId="5660569C" w14:textId="77777777" w:rsidR="00976265" w:rsidRPr="002D7798" w:rsidRDefault="00976265">
            <w:pPr>
              <w:spacing w:before="0" w:after="200" w:line="276" w:lineRule="auto"/>
              <w:ind w:right="-29"/>
              <w:jc w:val="center"/>
              <w:rPr>
                <w:noProof/>
                <w:sz w:val="18"/>
                <w:szCs w:val="20"/>
              </w:rPr>
            </w:pPr>
          </w:p>
        </w:tc>
        <w:tc>
          <w:tcPr>
            <w:tcW w:w="720" w:type="dxa"/>
            <w:tcBorders>
              <w:bottom w:val="single" w:sz="12" w:space="0" w:color="auto"/>
            </w:tcBorders>
          </w:tcPr>
          <w:p w14:paraId="48E77F41" w14:textId="77777777" w:rsidR="00976265" w:rsidRPr="002D7798" w:rsidRDefault="00976265">
            <w:pPr>
              <w:spacing w:before="0" w:after="200" w:line="276" w:lineRule="auto"/>
              <w:ind w:right="-29"/>
              <w:jc w:val="center"/>
              <w:rPr>
                <w:noProof/>
                <w:sz w:val="18"/>
                <w:szCs w:val="20"/>
              </w:rPr>
            </w:pPr>
          </w:p>
        </w:tc>
        <w:tc>
          <w:tcPr>
            <w:tcW w:w="951" w:type="dxa"/>
            <w:gridSpan w:val="2"/>
            <w:tcBorders>
              <w:bottom w:val="single" w:sz="12" w:space="0" w:color="auto"/>
            </w:tcBorders>
          </w:tcPr>
          <w:p w14:paraId="7409BF9F" w14:textId="77777777" w:rsidR="00976265" w:rsidRPr="002D7798" w:rsidRDefault="00976265">
            <w:pPr>
              <w:spacing w:before="0" w:after="200" w:line="276" w:lineRule="auto"/>
              <w:ind w:right="-29"/>
              <w:jc w:val="center"/>
              <w:rPr>
                <w:noProof/>
                <w:sz w:val="18"/>
                <w:szCs w:val="20"/>
              </w:rPr>
            </w:pPr>
          </w:p>
        </w:tc>
        <w:tc>
          <w:tcPr>
            <w:tcW w:w="669" w:type="dxa"/>
            <w:tcBorders>
              <w:bottom w:val="single" w:sz="12" w:space="0" w:color="auto"/>
            </w:tcBorders>
          </w:tcPr>
          <w:p w14:paraId="35091CE4" w14:textId="77777777" w:rsidR="00976265" w:rsidRPr="002D7798" w:rsidRDefault="00976265">
            <w:pPr>
              <w:spacing w:before="0" w:after="200" w:line="276" w:lineRule="auto"/>
              <w:ind w:right="-29"/>
              <w:jc w:val="center"/>
              <w:rPr>
                <w:noProof/>
                <w:sz w:val="18"/>
                <w:szCs w:val="20"/>
              </w:rPr>
            </w:pPr>
          </w:p>
        </w:tc>
        <w:tc>
          <w:tcPr>
            <w:tcW w:w="540" w:type="dxa"/>
            <w:tcBorders>
              <w:bottom w:val="single" w:sz="12" w:space="0" w:color="auto"/>
            </w:tcBorders>
          </w:tcPr>
          <w:p w14:paraId="39A6207C" w14:textId="77777777" w:rsidR="00976265" w:rsidRPr="002D7798" w:rsidRDefault="00976265">
            <w:pPr>
              <w:spacing w:before="0" w:after="200" w:line="276" w:lineRule="auto"/>
              <w:ind w:right="-29"/>
              <w:jc w:val="center"/>
              <w:rPr>
                <w:noProof/>
                <w:sz w:val="18"/>
                <w:szCs w:val="20"/>
              </w:rPr>
            </w:pPr>
          </w:p>
        </w:tc>
        <w:tc>
          <w:tcPr>
            <w:tcW w:w="648" w:type="dxa"/>
            <w:tcBorders>
              <w:bottom w:val="single" w:sz="12" w:space="0" w:color="auto"/>
            </w:tcBorders>
          </w:tcPr>
          <w:p w14:paraId="3538FDBA" w14:textId="77777777" w:rsidR="00976265" w:rsidRPr="002D7798" w:rsidRDefault="00976265">
            <w:pPr>
              <w:spacing w:before="0" w:after="200" w:line="276" w:lineRule="auto"/>
              <w:ind w:right="-29"/>
              <w:jc w:val="center"/>
              <w:rPr>
                <w:noProof/>
                <w:sz w:val="18"/>
                <w:szCs w:val="20"/>
              </w:rPr>
            </w:pPr>
          </w:p>
        </w:tc>
        <w:tc>
          <w:tcPr>
            <w:tcW w:w="432" w:type="dxa"/>
            <w:tcBorders>
              <w:bottom w:val="single" w:sz="12" w:space="0" w:color="auto"/>
            </w:tcBorders>
          </w:tcPr>
          <w:p w14:paraId="666AA9C0" w14:textId="77777777" w:rsidR="00976265" w:rsidRPr="002D7798" w:rsidRDefault="00976265">
            <w:pPr>
              <w:spacing w:before="0" w:after="200" w:line="276" w:lineRule="auto"/>
              <w:ind w:right="-29"/>
              <w:jc w:val="center"/>
              <w:rPr>
                <w:noProof/>
                <w:sz w:val="18"/>
                <w:szCs w:val="20"/>
              </w:rPr>
            </w:pPr>
          </w:p>
        </w:tc>
        <w:tc>
          <w:tcPr>
            <w:tcW w:w="720" w:type="dxa"/>
            <w:tcBorders>
              <w:bottom w:val="single" w:sz="12" w:space="0" w:color="auto"/>
            </w:tcBorders>
          </w:tcPr>
          <w:p w14:paraId="24FF1B25" w14:textId="77777777" w:rsidR="00976265" w:rsidRPr="002D7798" w:rsidRDefault="00976265">
            <w:pPr>
              <w:spacing w:before="0" w:after="200" w:line="276" w:lineRule="auto"/>
              <w:ind w:right="-29"/>
              <w:jc w:val="center"/>
              <w:rPr>
                <w:noProof/>
                <w:sz w:val="18"/>
                <w:szCs w:val="20"/>
              </w:rPr>
            </w:pPr>
          </w:p>
        </w:tc>
        <w:tc>
          <w:tcPr>
            <w:tcW w:w="540" w:type="dxa"/>
            <w:tcBorders>
              <w:bottom w:val="single" w:sz="12" w:space="0" w:color="auto"/>
            </w:tcBorders>
          </w:tcPr>
          <w:p w14:paraId="69C11F99" w14:textId="77777777" w:rsidR="00976265" w:rsidRPr="002D7798" w:rsidRDefault="00976265">
            <w:pPr>
              <w:spacing w:before="0" w:after="200" w:line="276" w:lineRule="auto"/>
              <w:ind w:right="-29"/>
              <w:jc w:val="center"/>
              <w:rPr>
                <w:noProof/>
                <w:sz w:val="18"/>
                <w:szCs w:val="20"/>
              </w:rPr>
            </w:pPr>
          </w:p>
        </w:tc>
        <w:tc>
          <w:tcPr>
            <w:tcW w:w="720" w:type="dxa"/>
            <w:tcBorders>
              <w:bottom w:val="single" w:sz="12" w:space="0" w:color="auto"/>
            </w:tcBorders>
          </w:tcPr>
          <w:p w14:paraId="30E62386" w14:textId="77777777" w:rsidR="00976265" w:rsidRPr="002D7798" w:rsidRDefault="00976265">
            <w:pPr>
              <w:spacing w:before="0" w:after="200" w:line="276" w:lineRule="auto"/>
              <w:ind w:right="-29"/>
              <w:jc w:val="center"/>
              <w:rPr>
                <w:noProof/>
                <w:sz w:val="18"/>
                <w:szCs w:val="20"/>
              </w:rPr>
            </w:pPr>
          </w:p>
        </w:tc>
        <w:tc>
          <w:tcPr>
            <w:tcW w:w="720" w:type="dxa"/>
            <w:tcBorders>
              <w:bottom w:val="single" w:sz="12" w:space="0" w:color="auto"/>
            </w:tcBorders>
          </w:tcPr>
          <w:p w14:paraId="07ED9796" w14:textId="77777777" w:rsidR="00976265" w:rsidRPr="002D7798" w:rsidRDefault="00976265">
            <w:pPr>
              <w:spacing w:before="0" w:after="200" w:line="276" w:lineRule="auto"/>
              <w:ind w:right="-29"/>
              <w:jc w:val="center"/>
              <w:rPr>
                <w:noProof/>
                <w:sz w:val="18"/>
                <w:szCs w:val="20"/>
              </w:rPr>
            </w:pPr>
          </w:p>
        </w:tc>
        <w:tc>
          <w:tcPr>
            <w:tcW w:w="900" w:type="dxa"/>
            <w:tcBorders>
              <w:bottom w:val="single" w:sz="12" w:space="0" w:color="auto"/>
            </w:tcBorders>
          </w:tcPr>
          <w:p w14:paraId="40DD090B" w14:textId="77777777" w:rsidR="00976265" w:rsidRPr="002D7798" w:rsidRDefault="00976265">
            <w:pPr>
              <w:spacing w:before="0" w:after="200" w:line="276" w:lineRule="auto"/>
              <w:ind w:right="-29"/>
              <w:jc w:val="center"/>
              <w:rPr>
                <w:noProof/>
                <w:sz w:val="18"/>
                <w:szCs w:val="20"/>
              </w:rPr>
            </w:pPr>
          </w:p>
        </w:tc>
      </w:tr>
      <w:tr w:rsidR="00851B85" w:rsidRPr="002D7798" w14:paraId="42D99A19" w14:textId="77777777" w:rsidTr="208CACCC">
        <w:trPr>
          <w:jc w:val="center"/>
        </w:trPr>
        <w:tc>
          <w:tcPr>
            <w:tcW w:w="2844" w:type="dxa"/>
            <w:gridSpan w:val="3"/>
            <w:tcBorders>
              <w:top w:val="single" w:sz="12" w:space="0" w:color="auto"/>
              <w:left w:val="single" w:sz="12" w:space="0" w:color="auto"/>
              <w:bottom w:val="single" w:sz="12" w:space="0" w:color="auto"/>
            </w:tcBorders>
            <w:vAlign w:val="center"/>
          </w:tcPr>
          <w:p w14:paraId="6A4E197B" w14:textId="77777777" w:rsidR="00976265" w:rsidRPr="002D7798" w:rsidRDefault="0064263D">
            <w:pPr>
              <w:spacing w:before="0" w:after="200" w:line="276" w:lineRule="auto"/>
              <w:ind w:right="-29"/>
              <w:jc w:val="center"/>
              <w:rPr>
                <w:noProof/>
                <w:sz w:val="18"/>
                <w:szCs w:val="20"/>
              </w:rPr>
            </w:pPr>
            <w:r w:rsidRPr="002D7798">
              <w:rPr>
                <w:b/>
                <w:noProof/>
                <w:sz w:val="18"/>
              </w:rPr>
              <w:t>NÁKLADY CELKEM</w:t>
            </w:r>
          </w:p>
        </w:tc>
        <w:tc>
          <w:tcPr>
            <w:tcW w:w="504" w:type="dxa"/>
            <w:tcBorders>
              <w:top w:val="single" w:sz="12" w:space="0" w:color="auto"/>
              <w:bottom w:val="single" w:sz="12" w:space="0" w:color="auto"/>
            </w:tcBorders>
          </w:tcPr>
          <w:p w14:paraId="513478CC" w14:textId="77777777" w:rsidR="00976265" w:rsidRPr="002D7798" w:rsidRDefault="00976265">
            <w:pPr>
              <w:spacing w:before="180" w:after="180" w:line="276" w:lineRule="auto"/>
              <w:ind w:right="-29"/>
              <w:jc w:val="center"/>
              <w:rPr>
                <w:noProof/>
                <w:sz w:val="18"/>
                <w:szCs w:val="20"/>
              </w:rPr>
            </w:pPr>
          </w:p>
        </w:tc>
        <w:tc>
          <w:tcPr>
            <w:tcW w:w="720" w:type="dxa"/>
            <w:tcBorders>
              <w:top w:val="single" w:sz="12" w:space="0" w:color="auto"/>
              <w:bottom w:val="single" w:sz="12" w:space="0" w:color="auto"/>
            </w:tcBorders>
          </w:tcPr>
          <w:p w14:paraId="650B0046" w14:textId="77777777" w:rsidR="00976265" w:rsidRPr="002D7798" w:rsidRDefault="00976265">
            <w:pPr>
              <w:spacing w:before="180" w:after="180" w:line="276" w:lineRule="auto"/>
              <w:ind w:right="-29"/>
              <w:jc w:val="center"/>
              <w:rPr>
                <w:noProof/>
                <w:sz w:val="18"/>
                <w:szCs w:val="20"/>
              </w:rPr>
            </w:pPr>
          </w:p>
        </w:tc>
        <w:tc>
          <w:tcPr>
            <w:tcW w:w="540" w:type="dxa"/>
            <w:tcBorders>
              <w:top w:val="single" w:sz="12" w:space="0" w:color="auto"/>
              <w:bottom w:val="single" w:sz="12" w:space="0" w:color="auto"/>
            </w:tcBorders>
          </w:tcPr>
          <w:p w14:paraId="72167949" w14:textId="77777777" w:rsidR="00976265" w:rsidRPr="002D7798" w:rsidRDefault="00976265">
            <w:pPr>
              <w:spacing w:before="180" w:after="180" w:line="276" w:lineRule="auto"/>
              <w:ind w:right="-29"/>
              <w:jc w:val="center"/>
              <w:rPr>
                <w:noProof/>
                <w:sz w:val="18"/>
                <w:szCs w:val="20"/>
              </w:rPr>
            </w:pPr>
          </w:p>
        </w:tc>
        <w:tc>
          <w:tcPr>
            <w:tcW w:w="720" w:type="dxa"/>
            <w:tcBorders>
              <w:top w:val="single" w:sz="12" w:space="0" w:color="auto"/>
              <w:bottom w:val="single" w:sz="12" w:space="0" w:color="auto"/>
            </w:tcBorders>
          </w:tcPr>
          <w:p w14:paraId="6337C906" w14:textId="77777777" w:rsidR="00976265" w:rsidRPr="002D7798" w:rsidRDefault="00976265">
            <w:pPr>
              <w:spacing w:before="180" w:after="180" w:line="276" w:lineRule="auto"/>
              <w:ind w:right="-29"/>
              <w:jc w:val="center"/>
              <w:rPr>
                <w:noProof/>
                <w:sz w:val="18"/>
                <w:szCs w:val="20"/>
              </w:rPr>
            </w:pPr>
          </w:p>
        </w:tc>
        <w:tc>
          <w:tcPr>
            <w:tcW w:w="720" w:type="dxa"/>
            <w:tcBorders>
              <w:top w:val="single" w:sz="12" w:space="0" w:color="auto"/>
              <w:bottom w:val="single" w:sz="12" w:space="0" w:color="auto"/>
            </w:tcBorders>
          </w:tcPr>
          <w:p w14:paraId="6E27CD68" w14:textId="77777777" w:rsidR="00976265" w:rsidRPr="002D7798" w:rsidRDefault="00976265">
            <w:pPr>
              <w:spacing w:before="180" w:after="180" w:line="276" w:lineRule="auto"/>
              <w:ind w:right="-29"/>
              <w:jc w:val="center"/>
              <w:rPr>
                <w:noProof/>
                <w:sz w:val="18"/>
                <w:szCs w:val="20"/>
              </w:rPr>
            </w:pPr>
          </w:p>
        </w:tc>
        <w:tc>
          <w:tcPr>
            <w:tcW w:w="720" w:type="dxa"/>
            <w:tcBorders>
              <w:top w:val="single" w:sz="12" w:space="0" w:color="auto"/>
              <w:bottom w:val="single" w:sz="12" w:space="0" w:color="auto"/>
            </w:tcBorders>
          </w:tcPr>
          <w:p w14:paraId="08001402" w14:textId="77777777" w:rsidR="00976265" w:rsidRPr="002D7798" w:rsidRDefault="00976265">
            <w:pPr>
              <w:spacing w:before="180" w:after="180" w:line="276" w:lineRule="auto"/>
              <w:ind w:right="-29"/>
              <w:jc w:val="center"/>
              <w:rPr>
                <w:noProof/>
                <w:sz w:val="18"/>
                <w:szCs w:val="20"/>
              </w:rPr>
            </w:pPr>
          </w:p>
        </w:tc>
        <w:tc>
          <w:tcPr>
            <w:tcW w:w="900" w:type="dxa"/>
            <w:tcBorders>
              <w:top w:val="single" w:sz="12" w:space="0" w:color="auto"/>
              <w:bottom w:val="single" w:sz="12" w:space="0" w:color="auto"/>
            </w:tcBorders>
          </w:tcPr>
          <w:p w14:paraId="060C42B5" w14:textId="77777777" w:rsidR="00976265" w:rsidRPr="002D7798" w:rsidRDefault="00976265">
            <w:pPr>
              <w:spacing w:before="180" w:after="180" w:line="276" w:lineRule="auto"/>
              <w:ind w:right="-29"/>
              <w:jc w:val="center"/>
              <w:rPr>
                <w:noProof/>
                <w:sz w:val="18"/>
                <w:szCs w:val="20"/>
              </w:rPr>
            </w:pPr>
          </w:p>
        </w:tc>
        <w:tc>
          <w:tcPr>
            <w:tcW w:w="720" w:type="dxa"/>
            <w:gridSpan w:val="2"/>
            <w:tcBorders>
              <w:top w:val="single" w:sz="12" w:space="0" w:color="auto"/>
              <w:bottom w:val="single" w:sz="12" w:space="0" w:color="auto"/>
            </w:tcBorders>
          </w:tcPr>
          <w:p w14:paraId="1F67D327" w14:textId="77777777" w:rsidR="00976265" w:rsidRPr="002D7798" w:rsidRDefault="00976265">
            <w:pPr>
              <w:spacing w:before="180" w:after="180" w:line="276" w:lineRule="auto"/>
              <w:ind w:right="-29"/>
              <w:jc w:val="center"/>
              <w:rPr>
                <w:noProof/>
                <w:sz w:val="18"/>
                <w:szCs w:val="20"/>
              </w:rPr>
            </w:pPr>
          </w:p>
        </w:tc>
        <w:tc>
          <w:tcPr>
            <w:tcW w:w="540" w:type="dxa"/>
            <w:tcBorders>
              <w:top w:val="single" w:sz="12" w:space="0" w:color="auto"/>
              <w:bottom w:val="single" w:sz="12" w:space="0" w:color="auto"/>
            </w:tcBorders>
          </w:tcPr>
          <w:p w14:paraId="6D1C37E3" w14:textId="77777777" w:rsidR="00976265" w:rsidRPr="002D7798" w:rsidRDefault="00976265">
            <w:pPr>
              <w:spacing w:before="180" w:after="180" w:line="276" w:lineRule="auto"/>
              <w:ind w:right="-29"/>
              <w:jc w:val="center"/>
              <w:rPr>
                <w:noProof/>
                <w:sz w:val="18"/>
                <w:szCs w:val="20"/>
              </w:rPr>
            </w:pPr>
          </w:p>
        </w:tc>
        <w:tc>
          <w:tcPr>
            <w:tcW w:w="648" w:type="dxa"/>
            <w:tcBorders>
              <w:top w:val="single" w:sz="12" w:space="0" w:color="auto"/>
              <w:bottom w:val="single" w:sz="12" w:space="0" w:color="auto"/>
            </w:tcBorders>
          </w:tcPr>
          <w:p w14:paraId="6E98EC8F" w14:textId="77777777" w:rsidR="00976265" w:rsidRPr="002D7798" w:rsidRDefault="00976265">
            <w:pPr>
              <w:spacing w:before="180" w:after="180" w:line="276" w:lineRule="auto"/>
              <w:ind w:right="-29"/>
              <w:jc w:val="center"/>
              <w:rPr>
                <w:noProof/>
                <w:sz w:val="18"/>
                <w:szCs w:val="20"/>
              </w:rPr>
            </w:pPr>
          </w:p>
        </w:tc>
        <w:tc>
          <w:tcPr>
            <w:tcW w:w="432" w:type="dxa"/>
            <w:tcBorders>
              <w:top w:val="single" w:sz="12" w:space="0" w:color="auto"/>
              <w:bottom w:val="single" w:sz="12" w:space="0" w:color="auto"/>
            </w:tcBorders>
          </w:tcPr>
          <w:p w14:paraId="7BB815C5" w14:textId="77777777" w:rsidR="00976265" w:rsidRPr="002D7798" w:rsidRDefault="00976265">
            <w:pPr>
              <w:spacing w:before="180" w:after="180" w:line="276" w:lineRule="auto"/>
              <w:ind w:right="-29"/>
              <w:jc w:val="center"/>
              <w:rPr>
                <w:noProof/>
                <w:sz w:val="18"/>
                <w:szCs w:val="20"/>
              </w:rPr>
            </w:pPr>
          </w:p>
        </w:tc>
        <w:tc>
          <w:tcPr>
            <w:tcW w:w="720" w:type="dxa"/>
            <w:tcBorders>
              <w:top w:val="single" w:sz="12" w:space="0" w:color="auto"/>
              <w:bottom w:val="single" w:sz="12" w:space="0" w:color="auto"/>
            </w:tcBorders>
          </w:tcPr>
          <w:p w14:paraId="60280F17" w14:textId="77777777" w:rsidR="00976265" w:rsidRPr="002D7798" w:rsidRDefault="00976265">
            <w:pPr>
              <w:spacing w:before="180" w:after="180" w:line="276" w:lineRule="auto"/>
              <w:ind w:right="-29"/>
              <w:jc w:val="center"/>
              <w:rPr>
                <w:noProof/>
                <w:sz w:val="18"/>
                <w:szCs w:val="20"/>
              </w:rPr>
            </w:pPr>
          </w:p>
        </w:tc>
        <w:tc>
          <w:tcPr>
            <w:tcW w:w="540" w:type="dxa"/>
            <w:tcBorders>
              <w:top w:val="single" w:sz="12" w:space="0" w:color="auto"/>
              <w:bottom w:val="single" w:sz="12" w:space="0" w:color="auto"/>
            </w:tcBorders>
          </w:tcPr>
          <w:p w14:paraId="7BD7CE2D" w14:textId="77777777" w:rsidR="00976265" w:rsidRPr="002D7798" w:rsidRDefault="00976265">
            <w:pPr>
              <w:spacing w:before="180" w:after="180" w:line="276" w:lineRule="auto"/>
              <w:ind w:right="-29"/>
              <w:jc w:val="center"/>
              <w:rPr>
                <w:noProof/>
                <w:sz w:val="18"/>
                <w:szCs w:val="20"/>
              </w:rPr>
            </w:pPr>
          </w:p>
        </w:tc>
        <w:tc>
          <w:tcPr>
            <w:tcW w:w="720" w:type="dxa"/>
            <w:tcBorders>
              <w:top w:val="single" w:sz="12" w:space="0" w:color="auto"/>
              <w:bottom w:val="single" w:sz="12" w:space="0" w:color="auto"/>
            </w:tcBorders>
          </w:tcPr>
          <w:p w14:paraId="210D98F9" w14:textId="77777777" w:rsidR="00976265" w:rsidRPr="002D7798" w:rsidRDefault="00976265">
            <w:pPr>
              <w:spacing w:before="180" w:after="180" w:line="276" w:lineRule="auto"/>
              <w:ind w:right="-29"/>
              <w:jc w:val="center"/>
              <w:rPr>
                <w:noProof/>
                <w:sz w:val="18"/>
                <w:szCs w:val="20"/>
              </w:rPr>
            </w:pPr>
          </w:p>
        </w:tc>
        <w:tc>
          <w:tcPr>
            <w:tcW w:w="720" w:type="dxa"/>
            <w:tcBorders>
              <w:top w:val="single" w:sz="12" w:space="0" w:color="auto"/>
              <w:bottom w:val="single" w:sz="12" w:space="0" w:color="auto"/>
            </w:tcBorders>
          </w:tcPr>
          <w:p w14:paraId="21B24F6B" w14:textId="77777777" w:rsidR="00976265" w:rsidRPr="002D7798" w:rsidRDefault="00976265">
            <w:pPr>
              <w:spacing w:before="180" w:after="180" w:line="276" w:lineRule="auto"/>
              <w:ind w:right="-29"/>
              <w:jc w:val="center"/>
              <w:rPr>
                <w:noProof/>
                <w:sz w:val="18"/>
                <w:szCs w:val="20"/>
              </w:rPr>
            </w:pPr>
          </w:p>
        </w:tc>
        <w:tc>
          <w:tcPr>
            <w:tcW w:w="900" w:type="dxa"/>
            <w:tcBorders>
              <w:top w:val="single" w:sz="12" w:space="0" w:color="auto"/>
              <w:bottom w:val="single" w:sz="12" w:space="0" w:color="auto"/>
              <w:right w:val="single" w:sz="12" w:space="0" w:color="auto"/>
            </w:tcBorders>
          </w:tcPr>
          <w:p w14:paraId="509D6FDF" w14:textId="77777777" w:rsidR="00976265" w:rsidRPr="002D7798" w:rsidRDefault="00976265">
            <w:pPr>
              <w:spacing w:before="180" w:after="180" w:line="276" w:lineRule="auto"/>
              <w:ind w:right="-29"/>
              <w:jc w:val="center"/>
              <w:rPr>
                <w:noProof/>
                <w:sz w:val="18"/>
                <w:szCs w:val="20"/>
              </w:rPr>
            </w:pPr>
          </w:p>
        </w:tc>
      </w:tr>
    </w:tbl>
    <w:p w14:paraId="30F993FD" w14:textId="77777777" w:rsidR="00976265" w:rsidRPr="002D7798" w:rsidRDefault="0064263D">
      <w:pPr>
        <w:spacing w:before="0" w:after="200" w:line="276" w:lineRule="auto"/>
        <w:jc w:val="left"/>
        <w:rPr>
          <w:noProof/>
          <w:sz w:val="20"/>
          <w:szCs w:val="20"/>
        </w:rPr>
        <w:sectPr w:rsidR="00976265" w:rsidRPr="002D7798" w:rsidSect="007D2204">
          <w:pgSz w:w="15840" w:h="12240" w:orient="landscape"/>
          <w:pgMar w:top="1418" w:right="902" w:bottom="902" w:left="567" w:header="709" w:footer="709" w:gutter="0"/>
          <w:cols w:space="720"/>
          <w:docGrid w:linePitch="326"/>
        </w:sectPr>
      </w:pPr>
      <w:r w:rsidRPr="002D7798">
        <w:rPr>
          <w:noProof/>
          <w:sz w:val="20"/>
        </w:rPr>
        <w:t>Částky případně odrážejí součet příspěvku Unie agentuře a dalších příjmů agentury (poplatků a plateb).</w:t>
      </w:r>
    </w:p>
    <w:p w14:paraId="71AF21C1" w14:textId="77777777" w:rsidR="00976265" w:rsidRPr="002D7798" w:rsidRDefault="0064263D">
      <w:pPr>
        <w:keepNext/>
        <w:tabs>
          <w:tab w:val="left" w:pos="850"/>
        </w:tabs>
        <w:ind w:left="850" w:hanging="850"/>
        <w:outlineLvl w:val="2"/>
        <w:rPr>
          <w:i/>
          <w:noProof/>
        </w:rPr>
      </w:pPr>
      <w:bookmarkStart w:id="99" w:name="_Toc514938688"/>
      <w:bookmarkStart w:id="100" w:name="_Toc128753784"/>
      <w:r w:rsidRPr="002D7798">
        <w:rPr>
          <w:i/>
          <w:noProof/>
        </w:rPr>
        <w:t>3.2.3.</w:t>
      </w:r>
      <w:r w:rsidRPr="002D7798">
        <w:rPr>
          <w:noProof/>
        </w:rPr>
        <w:tab/>
      </w:r>
      <w:r w:rsidRPr="002D7798">
        <w:rPr>
          <w:i/>
          <w:noProof/>
        </w:rPr>
        <w:t>Odhadovaný dopad na lidské zdroje agentury ACER</w:t>
      </w:r>
      <w:bookmarkEnd w:id="99"/>
      <w:bookmarkEnd w:id="100"/>
      <w:r w:rsidRPr="002D7798">
        <w:rPr>
          <w:i/>
          <w:noProof/>
        </w:rPr>
        <w:t xml:space="preserve"> </w:t>
      </w:r>
    </w:p>
    <w:p w14:paraId="66AEE8F0" w14:textId="77777777" w:rsidR="00976265" w:rsidRPr="002D7798" w:rsidRDefault="0064263D">
      <w:pPr>
        <w:keepNext/>
        <w:tabs>
          <w:tab w:val="left" w:pos="850"/>
        </w:tabs>
        <w:ind w:left="850" w:hanging="850"/>
        <w:outlineLvl w:val="3"/>
        <w:rPr>
          <w:bCs/>
          <w:noProof/>
          <w:szCs w:val="24"/>
        </w:rPr>
      </w:pPr>
      <w:r w:rsidRPr="002D7798">
        <w:rPr>
          <w:noProof/>
        </w:rPr>
        <w:t>3.2.3.1.</w:t>
      </w:r>
      <w:r w:rsidRPr="002D7798">
        <w:rPr>
          <w:noProof/>
        </w:rPr>
        <w:tab/>
        <w:t xml:space="preserve">Shrnutí </w:t>
      </w:r>
    </w:p>
    <w:p w14:paraId="5F2B3AE4" w14:textId="77777777" w:rsidR="00976265" w:rsidRPr="002D7798" w:rsidRDefault="0064263D">
      <w:pPr>
        <w:tabs>
          <w:tab w:val="num" w:pos="1134"/>
        </w:tabs>
        <w:ind w:left="1134" w:hanging="283"/>
        <w:rPr>
          <w:noProof/>
        </w:rPr>
      </w:pPr>
      <w:r w:rsidRPr="002D7798">
        <w:rPr>
          <w:rFonts w:ascii="Wingdings" w:hAnsi="Wingdings"/>
          <w:noProof/>
        </w:rPr>
        <w:t></w:t>
      </w:r>
      <w:r w:rsidRPr="002D7798">
        <w:rPr>
          <w:noProof/>
        </w:rPr>
        <w:tab/>
        <w:t xml:space="preserve">Návrh/podnět nevyžaduje využití prostředků správní povahy. </w:t>
      </w:r>
    </w:p>
    <w:p w14:paraId="187F38C3" w14:textId="77777777" w:rsidR="00976265" w:rsidRPr="002D7798" w:rsidRDefault="0064263D">
      <w:pPr>
        <w:tabs>
          <w:tab w:val="num" w:pos="1134"/>
        </w:tabs>
        <w:ind w:left="1134" w:hanging="283"/>
        <w:rPr>
          <w:noProof/>
        </w:rPr>
      </w:pPr>
      <w:r w:rsidRPr="002D7798">
        <w:rPr>
          <w:b/>
          <w:noProof/>
        </w:rPr>
        <w:t>X</w:t>
      </w:r>
      <w:r w:rsidRPr="002D7798">
        <w:rPr>
          <w:noProof/>
        </w:rPr>
        <w:tab/>
        <w:t>Návrh/podnět vyžaduje využití prostředků správní povahy, jak je vysvětleno dále:</w:t>
      </w:r>
    </w:p>
    <w:p w14:paraId="63B154F3" w14:textId="77777777" w:rsidR="00976265" w:rsidRPr="002D7798" w:rsidRDefault="0064263D">
      <w:pPr>
        <w:spacing w:before="0" w:after="200" w:line="276" w:lineRule="auto"/>
        <w:jc w:val="left"/>
        <w:rPr>
          <w:noProof/>
          <w:sz w:val="20"/>
          <w:szCs w:val="20"/>
        </w:rPr>
      </w:pPr>
      <w:r w:rsidRPr="002D7798">
        <w:rPr>
          <w:noProof/>
          <w:sz w:val="20"/>
        </w:rPr>
        <w:t>v milionech EUR (zaokrouhleno na tři desetinná místa) Částky případně odrážejí součet příspěvku Unie agentuře a dalších příjmů agentury (poplatků a plateb).</w:t>
      </w:r>
    </w:p>
    <w:tbl>
      <w:tblPr>
        <w:tblW w:w="738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tblGrid>
      <w:tr w:rsidR="00851B85" w:rsidRPr="002D7798" w14:paraId="74A7BBFA" w14:textId="77777777">
        <w:trPr>
          <w:trHeight w:val="585"/>
        </w:trPr>
        <w:tc>
          <w:tcPr>
            <w:tcW w:w="1980" w:type="dxa"/>
          </w:tcPr>
          <w:p w14:paraId="2514CC64" w14:textId="77777777" w:rsidR="00976265" w:rsidRPr="002D7798" w:rsidRDefault="00976265">
            <w:pPr>
              <w:spacing w:before="60" w:after="60" w:line="276" w:lineRule="auto"/>
              <w:jc w:val="left"/>
              <w:rPr>
                <w:noProof/>
                <w:sz w:val="20"/>
                <w:szCs w:val="20"/>
              </w:rPr>
            </w:pPr>
          </w:p>
        </w:tc>
        <w:tc>
          <w:tcPr>
            <w:tcW w:w="1080" w:type="dxa"/>
            <w:vAlign w:val="center"/>
          </w:tcPr>
          <w:p w14:paraId="29F1D133" w14:textId="77777777" w:rsidR="00976265" w:rsidRPr="002D7798" w:rsidRDefault="0064263D">
            <w:pPr>
              <w:spacing w:before="60" w:after="60" w:line="276" w:lineRule="auto"/>
              <w:jc w:val="center"/>
              <w:rPr>
                <w:b/>
                <w:bCs/>
                <w:noProof/>
                <w:sz w:val="20"/>
                <w:szCs w:val="20"/>
                <w:vertAlign w:val="superscript"/>
              </w:rPr>
            </w:pPr>
            <w:r w:rsidRPr="002D7798">
              <w:rPr>
                <w:noProof/>
                <w:sz w:val="20"/>
              </w:rPr>
              <w:t>Rok</w:t>
            </w:r>
            <w:r w:rsidRPr="002D7798">
              <w:rPr>
                <w:noProof/>
              </w:rPr>
              <w:t xml:space="preserve"> </w:t>
            </w:r>
            <w:r w:rsidRPr="002D7798">
              <w:rPr>
                <w:noProof/>
              </w:rPr>
              <w:br/>
            </w:r>
            <w:r w:rsidRPr="002D7798">
              <w:rPr>
                <w:b/>
                <w:noProof/>
                <w:sz w:val="20"/>
              </w:rPr>
              <w:t>2024</w:t>
            </w:r>
          </w:p>
        </w:tc>
        <w:tc>
          <w:tcPr>
            <w:tcW w:w="1080" w:type="dxa"/>
            <w:vAlign w:val="center"/>
          </w:tcPr>
          <w:p w14:paraId="3CF36632" w14:textId="77777777" w:rsidR="00976265" w:rsidRPr="002D7798" w:rsidRDefault="0064263D">
            <w:pPr>
              <w:spacing w:before="60" w:after="60" w:line="276" w:lineRule="auto"/>
              <w:jc w:val="center"/>
              <w:rPr>
                <w:b/>
                <w:bCs/>
                <w:noProof/>
                <w:sz w:val="20"/>
                <w:szCs w:val="20"/>
              </w:rPr>
            </w:pPr>
            <w:r w:rsidRPr="002D7798">
              <w:rPr>
                <w:noProof/>
                <w:sz w:val="20"/>
              </w:rPr>
              <w:t>Rok</w:t>
            </w:r>
            <w:r w:rsidRPr="002D7798">
              <w:rPr>
                <w:noProof/>
              </w:rPr>
              <w:t xml:space="preserve"> </w:t>
            </w:r>
            <w:r w:rsidRPr="002D7798">
              <w:rPr>
                <w:noProof/>
              </w:rPr>
              <w:br/>
            </w:r>
            <w:r w:rsidRPr="002D7798">
              <w:rPr>
                <w:b/>
                <w:noProof/>
                <w:sz w:val="20"/>
              </w:rPr>
              <w:t>2025</w:t>
            </w:r>
          </w:p>
        </w:tc>
        <w:tc>
          <w:tcPr>
            <w:tcW w:w="1080" w:type="dxa"/>
            <w:vAlign w:val="center"/>
          </w:tcPr>
          <w:p w14:paraId="60A46FBE" w14:textId="77777777" w:rsidR="00976265" w:rsidRPr="002D7798" w:rsidRDefault="0064263D">
            <w:pPr>
              <w:spacing w:before="60" w:after="60" w:line="276" w:lineRule="auto"/>
              <w:jc w:val="center"/>
              <w:rPr>
                <w:b/>
                <w:bCs/>
                <w:noProof/>
                <w:sz w:val="20"/>
                <w:szCs w:val="20"/>
              </w:rPr>
            </w:pPr>
            <w:r w:rsidRPr="002D7798">
              <w:rPr>
                <w:noProof/>
                <w:sz w:val="20"/>
              </w:rPr>
              <w:t>Rok</w:t>
            </w:r>
            <w:r w:rsidRPr="002D7798">
              <w:rPr>
                <w:noProof/>
              </w:rPr>
              <w:t xml:space="preserve"> </w:t>
            </w:r>
            <w:r w:rsidRPr="002D7798">
              <w:rPr>
                <w:noProof/>
              </w:rPr>
              <w:br/>
            </w:r>
            <w:r w:rsidRPr="002D7798">
              <w:rPr>
                <w:b/>
                <w:noProof/>
                <w:sz w:val="20"/>
              </w:rPr>
              <w:t>2026</w:t>
            </w:r>
          </w:p>
        </w:tc>
        <w:tc>
          <w:tcPr>
            <w:tcW w:w="1080" w:type="dxa"/>
            <w:vAlign w:val="center"/>
          </w:tcPr>
          <w:p w14:paraId="1F5FB53A" w14:textId="77777777" w:rsidR="00976265" w:rsidRPr="002D7798" w:rsidRDefault="0064263D">
            <w:pPr>
              <w:spacing w:before="60" w:after="60" w:line="276" w:lineRule="auto"/>
              <w:jc w:val="center"/>
              <w:rPr>
                <w:b/>
                <w:bCs/>
                <w:noProof/>
                <w:sz w:val="20"/>
                <w:szCs w:val="20"/>
              </w:rPr>
            </w:pPr>
            <w:r w:rsidRPr="002D7798">
              <w:rPr>
                <w:noProof/>
                <w:sz w:val="20"/>
              </w:rPr>
              <w:t>Rok</w:t>
            </w:r>
            <w:r w:rsidRPr="002D7798">
              <w:rPr>
                <w:noProof/>
              </w:rPr>
              <w:t xml:space="preserve"> </w:t>
            </w:r>
            <w:r w:rsidRPr="002D7798">
              <w:rPr>
                <w:noProof/>
              </w:rPr>
              <w:br/>
            </w:r>
            <w:r w:rsidRPr="002D7798">
              <w:rPr>
                <w:b/>
                <w:noProof/>
                <w:sz w:val="20"/>
              </w:rPr>
              <w:t>2027</w:t>
            </w:r>
          </w:p>
        </w:tc>
        <w:tc>
          <w:tcPr>
            <w:tcW w:w="1080" w:type="dxa"/>
            <w:vAlign w:val="center"/>
          </w:tcPr>
          <w:p w14:paraId="35B82672" w14:textId="77777777" w:rsidR="00976265" w:rsidRPr="002D7798" w:rsidRDefault="0064263D">
            <w:pPr>
              <w:spacing w:before="60" w:after="60" w:line="276" w:lineRule="auto"/>
              <w:jc w:val="center"/>
              <w:rPr>
                <w:b/>
                <w:noProof/>
                <w:sz w:val="20"/>
                <w:szCs w:val="20"/>
              </w:rPr>
            </w:pPr>
            <w:r w:rsidRPr="002D7798">
              <w:rPr>
                <w:b/>
                <w:noProof/>
                <w:sz w:val="20"/>
              </w:rPr>
              <w:t>CELKEM</w:t>
            </w:r>
          </w:p>
        </w:tc>
      </w:tr>
    </w:tbl>
    <w:p w14:paraId="61E35A7B" w14:textId="77777777" w:rsidR="00976265" w:rsidRPr="002D7798" w:rsidRDefault="00976265">
      <w:pPr>
        <w:spacing w:before="0" w:after="200" w:line="276" w:lineRule="auto"/>
        <w:jc w:val="left"/>
        <w:rPr>
          <w:noProof/>
          <w:sz w:val="20"/>
          <w:szCs w:val="20"/>
        </w:rPr>
      </w:pPr>
    </w:p>
    <w:tbl>
      <w:tblPr>
        <w:tblW w:w="738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tblGrid>
      <w:tr w:rsidR="00851B85" w:rsidRPr="002D7798" w14:paraId="5E067019" w14:textId="77777777">
        <w:trPr>
          <w:trHeight w:val="585"/>
        </w:trPr>
        <w:tc>
          <w:tcPr>
            <w:tcW w:w="1980" w:type="dxa"/>
            <w:shd w:val="clear" w:color="auto" w:fill="D9D9D9" w:themeFill="background1" w:themeFillShade="D9"/>
            <w:vAlign w:val="center"/>
          </w:tcPr>
          <w:p w14:paraId="6A1319D7" w14:textId="77777777" w:rsidR="00976265" w:rsidRPr="002D7798" w:rsidRDefault="0064263D">
            <w:pPr>
              <w:spacing w:before="60" w:after="60" w:line="276" w:lineRule="auto"/>
              <w:jc w:val="center"/>
              <w:rPr>
                <w:noProof/>
                <w:szCs w:val="20"/>
              </w:rPr>
            </w:pPr>
            <w:r w:rsidRPr="002D7798">
              <w:rPr>
                <w:noProof/>
                <w:sz w:val="18"/>
              </w:rPr>
              <w:t>Dočasní zaměstnanci (třídy AD)</w:t>
            </w:r>
          </w:p>
        </w:tc>
        <w:tc>
          <w:tcPr>
            <w:tcW w:w="1080" w:type="dxa"/>
            <w:vAlign w:val="center"/>
          </w:tcPr>
          <w:p w14:paraId="79D3424A" w14:textId="77777777" w:rsidR="00976265" w:rsidRPr="002D7798" w:rsidRDefault="0064263D">
            <w:pPr>
              <w:spacing w:before="60" w:after="60" w:line="276" w:lineRule="auto"/>
              <w:jc w:val="right"/>
              <w:rPr>
                <w:noProof/>
                <w:sz w:val="20"/>
                <w:szCs w:val="20"/>
              </w:rPr>
            </w:pPr>
            <w:r w:rsidRPr="002D7798">
              <w:rPr>
                <w:noProof/>
                <w:sz w:val="20"/>
              </w:rPr>
              <w:t>0,513</w:t>
            </w:r>
          </w:p>
        </w:tc>
        <w:tc>
          <w:tcPr>
            <w:tcW w:w="1080" w:type="dxa"/>
            <w:vAlign w:val="center"/>
          </w:tcPr>
          <w:p w14:paraId="38A31462" w14:textId="77777777" w:rsidR="00976265" w:rsidRPr="002D7798" w:rsidRDefault="0064263D">
            <w:pPr>
              <w:spacing w:before="60" w:after="60" w:line="276" w:lineRule="auto"/>
              <w:jc w:val="right"/>
              <w:rPr>
                <w:noProof/>
                <w:sz w:val="20"/>
                <w:szCs w:val="20"/>
              </w:rPr>
            </w:pPr>
            <w:r w:rsidRPr="002D7798">
              <w:rPr>
                <w:noProof/>
                <w:sz w:val="20"/>
              </w:rPr>
              <w:t>0,513</w:t>
            </w:r>
          </w:p>
        </w:tc>
        <w:tc>
          <w:tcPr>
            <w:tcW w:w="1080" w:type="dxa"/>
            <w:vAlign w:val="center"/>
          </w:tcPr>
          <w:p w14:paraId="6351C50C" w14:textId="77777777" w:rsidR="00976265" w:rsidRPr="002D7798" w:rsidRDefault="0064263D">
            <w:pPr>
              <w:spacing w:before="60" w:after="60" w:line="276" w:lineRule="auto"/>
              <w:jc w:val="right"/>
              <w:rPr>
                <w:noProof/>
                <w:sz w:val="20"/>
                <w:szCs w:val="20"/>
              </w:rPr>
            </w:pPr>
            <w:r w:rsidRPr="002D7798">
              <w:rPr>
                <w:noProof/>
                <w:sz w:val="20"/>
              </w:rPr>
              <w:t>0,513</w:t>
            </w:r>
          </w:p>
        </w:tc>
        <w:tc>
          <w:tcPr>
            <w:tcW w:w="1080" w:type="dxa"/>
            <w:vAlign w:val="center"/>
          </w:tcPr>
          <w:p w14:paraId="53014835" w14:textId="77777777" w:rsidR="00976265" w:rsidRPr="002D7798" w:rsidRDefault="0064263D">
            <w:pPr>
              <w:spacing w:before="60" w:after="60" w:line="276" w:lineRule="auto"/>
              <w:jc w:val="right"/>
              <w:rPr>
                <w:noProof/>
                <w:sz w:val="20"/>
                <w:szCs w:val="20"/>
              </w:rPr>
            </w:pPr>
            <w:r w:rsidRPr="002D7798">
              <w:rPr>
                <w:noProof/>
                <w:sz w:val="20"/>
              </w:rPr>
              <w:t>0,513</w:t>
            </w:r>
          </w:p>
        </w:tc>
        <w:tc>
          <w:tcPr>
            <w:tcW w:w="1080" w:type="dxa"/>
            <w:vAlign w:val="center"/>
          </w:tcPr>
          <w:p w14:paraId="733BF3D7" w14:textId="77777777" w:rsidR="00976265" w:rsidRPr="002D7798" w:rsidRDefault="0064263D">
            <w:pPr>
              <w:spacing w:before="60" w:after="60" w:line="276" w:lineRule="auto"/>
              <w:jc w:val="right"/>
              <w:rPr>
                <w:b/>
                <w:bCs/>
                <w:noProof/>
                <w:sz w:val="20"/>
                <w:szCs w:val="20"/>
              </w:rPr>
            </w:pPr>
            <w:r w:rsidRPr="002D7798">
              <w:rPr>
                <w:b/>
                <w:noProof/>
                <w:sz w:val="20"/>
              </w:rPr>
              <w:t>2,052</w:t>
            </w:r>
          </w:p>
        </w:tc>
      </w:tr>
      <w:tr w:rsidR="00851B85" w:rsidRPr="002D7798" w14:paraId="5AD3E07F" w14:textId="77777777">
        <w:trPr>
          <w:trHeight w:val="585"/>
        </w:trPr>
        <w:tc>
          <w:tcPr>
            <w:tcW w:w="1980" w:type="dxa"/>
            <w:shd w:val="clear" w:color="auto" w:fill="BFBFBF" w:themeFill="background1" w:themeFillShade="BF"/>
            <w:vAlign w:val="center"/>
          </w:tcPr>
          <w:p w14:paraId="380745A0" w14:textId="77777777" w:rsidR="00976265" w:rsidRPr="002D7798" w:rsidRDefault="0064263D">
            <w:pPr>
              <w:spacing w:before="60" w:after="60" w:line="276" w:lineRule="auto"/>
              <w:ind w:left="72"/>
              <w:jc w:val="left"/>
              <w:rPr>
                <w:noProof/>
                <w:szCs w:val="20"/>
              </w:rPr>
            </w:pPr>
            <w:r w:rsidRPr="002D7798">
              <w:rPr>
                <w:noProof/>
                <w:sz w:val="20"/>
              </w:rPr>
              <w:t>Dočasní zaměstnanci (třídy AST)</w:t>
            </w:r>
          </w:p>
        </w:tc>
        <w:tc>
          <w:tcPr>
            <w:tcW w:w="1080" w:type="dxa"/>
            <w:vAlign w:val="center"/>
          </w:tcPr>
          <w:p w14:paraId="0A06DD1A" w14:textId="77777777" w:rsidR="00976265" w:rsidRPr="002D7798" w:rsidRDefault="0064263D">
            <w:pPr>
              <w:spacing w:before="60" w:after="60" w:line="276" w:lineRule="auto"/>
              <w:jc w:val="right"/>
              <w:rPr>
                <w:noProof/>
                <w:sz w:val="20"/>
                <w:szCs w:val="20"/>
              </w:rPr>
            </w:pPr>
            <w:r w:rsidRPr="002D7798">
              <w:rPr>
                <w:noProof/>
                <w:sz w:val="20"/>
              </w:rPr>
              <w:t>0,171</w:t>
            </w:r>
          </w:p>
        </w:tc>
        <w:tc>
          <w:tcPr>
            <w:tcW w:w="1080" w:type="dxa"/>
            <w:vAlign w:val="center"/>
          </w:tcPr>
          <w:p w14:paraId="445CD6FB" w14:textId="77777777" w:rsidR="00976265" w:rsidRPr="002D7798" w:rsidRDefault="0064263D">
            <w:pPr>
              <w:spacing w:before="60" w:after="60" w:line="276" w:lineRule="auto"/>
              <w:jc w:val="right"/>
              <w:rPr>
                <w:noProof/>
                <w:sz w:val="20"/>
                <w:szCs w:val="20"/>
              </w:rPr>
            </w:pPr>
            <w:r w:rsidRPr="002D7798">
              <w:rPr>
                <w:noProof/>
                <w:sz w:val="20"/>
              </w:rPr>
              <w:t>0,171</w:t>
            </w:r>
          </w:p>
        </w:tc>
        <w:tc>
          <w:tcPr>
            <w:tcW w:w="1080" w:type="dxa"/>
            <w:vAlign w:val="center"/>
          </w:tcPr>
          <w:p w14:paraId="38B03F4A" w14:textId="77777777" w:rsidR="00976265" w:rsidRPr="002D7798" w:rsidRDefault="0064263D">
            <w:pPr>
              <w:spacing w:before="60" w:after="60" w:line="276" w:lineRule="auto"/>
              <w:jc w:val="right"/>
              <w:rPr>
                <w:noProof/>
                <w:sz w:val="20"/>
                <w:szCs w:val="20"/>
              </w:rPr>
            </w:pPr>
            <w:r w:rsidRPr="002D7798">
              <w:rPr>
                <w:noProof/>
                <w:sz w:val="20"/>
              </w:rPr>
              <w:t>0,171</w:t>
            </w:r>
          </w:p>
        </w:tc>
        <w:tc>
          <w:tcPr>
            <w:tcW w:w="1080" w:type="dxa"/>
            <w:vAlign w:val="center"/>
          </w:tcPr>
          <w:p w14:paraId="5C78C722" w14:textId="77777777" w:rsidR="00976265" w:rsidRPr="002D7798" w:rsidRDefault="0064263D">
            <w:pPr>
              <w:spacing w:before="60" w:after="60" w:line="276" w:lineRule="auto"/>
              <w:jc w:val="right"/>
              <w:rPr>
                <w:noProof/>
                <w:sz w:val="20"/>
                <w:szCs w:val="20"/>
              </w:rPr>
            </w:pPr>
            <w:r w:rsidRPr="002D7798">
              <w:rPr>
                <w:noProof/>
                <w:sz w:val="20"/>
              </w:rPr>
              <w:t>0,171</w:t>
            </w:r>
          </w:p>
        </w:tc>
        <w:tc>
          <w:tcPr>
            <w:tcW w:w="1080" w:type="dxa"/>
            <w:vAlign w:val="center"/>
          </w:tcPr>
          <w:p w14:paraId="207C479C" w14:textId="77777777" w:rsidR="00976265" w:rsidRPr="002D7798" w:rsidRDefault="0064263D">
            <w:pPr>
              <w:spacing w:before="60" w:after="60" w:line="276" w:lineRule="auto"/>
              <w:jc w:val="right"/>
              <w:rPr>
                <w:b/>
                <w:bCs/>
                <w:noProof/>
                <w:sz w:val="20"/>
                <w:szCs w:val="20"/>
              </w:rPr>
            </w:pPr>
            <w:r w:rsidRPr="002D7798">
              <w:rPr>
                <w:b/>
                <w:noProof/>
                <w:sz w:val="20"/>
              </w:rPr>
              <w:t>0,684</w:t>
            </w:r>
          </w:p>
        </w:tc>
      </w:tr>
      <w:tr w:rsidR="00851B85" w:rsidRPr="002D7798" w14:paraId="1F485E37" w14:textId="77777777">
        <w:trPr>
          <w:trHeight w:val="585"/>
        </w:trPr>
        <w:tc>
          <w:tcPr>
            <w:tcW w:w="1980" w:type="dxa"/>
            <w:shd w:val="clear" w:color="auto" w:fill="BFBFBF" w:themeFill="background1" w:themeFillShade="BF"/>
            <w:vAlign w:val="center"/>
          </w:tcPr>
          <w:p w14:paraId="0D584427" w14:textId="77777777" w:rsidR="00976265" w:rsidRPr="002D7798" w:rsidRDefault="0064263D">
            <w:pPr>
              <w:spacing w:before="0" w:after="200" w:line="276" w:lineRule="auto"/>
              <w:jc w:val="left"/>
              <w:rPr>
                <w:noProof/>
                <w:sz w:val="20"/>
                <w:szCs w:val="20"/>
              </w:rPr>
            </w:pPr>
            <w:r w:rsidRPr="002D7798">
              <w:rPr>
                <w:noProof/>
                <w:sz w:val="20"/>
              </w:rPr>
              <w:t>Dočasní zaměstnanci (třídy AST/SC)</w:t>
            </w:r>
          </w:p>
        </w:tc>
        <w:tc>
          <w:tcPr>
            <w:tcW w:w="1080" w:type="dxa"/>
            <w:vAlign w:val="center"/>
          </w:tcPr>
          <w:p w14:paraId="0E3B41BF" w14:textId="77777777" w:rsidR="00976265" w:rsidRPr="002D7798" w:rsidRDefault="00976265">
            <w:pPr>
              <w:spacing w:before="0" w:after="200" w:line="276" w:lineRule="auto"/>
              <w:jc w:val="right"/>
              <w:rPr>
                <w:noProof/>
                <w:sz w:val="20"/>
                <w:szCs w:val="20"/>
              </w:rPr>
            </w:pPr>
          </w:p>
        </w:tc>
        <w:tc>
          <w:tcPr>
            <w:tcW w:w="1080" w:type="dxa"/>
            <w:vAlign w:val="center"/>
          </w:tcPr>
          <w:p w14:paraId="1255EAFF" w14:textId="77777777" w:rsidR="00976265" w:rsidRPr="002D7798" w:rsidRDefault="00976265">
            <w:pPr>
              <w:spacing w:before="0" w:after="200" w:line="276" w:lineRule="auto"/>
              <w:jc w:val="right"/>
              <w:rPr>
                <w:noProof/>
                <w:sz w:val="20"/>
                <w:szCs w:val="20"/>
              </w:rPr>
            </w:pPr>
          </w:p>
        </w:tc>
        <w:tc>
          <w:tcPr>
            <w:tcW w:w="1080" w:type="dxa"/>
            <w:vAlign w:val="center"/>
          </w:tcPr>
          <w:p w14:paraId="0524EB5E" w14:textId="77777777" w:rsidR="00976265" w:rsidRPr="002D7798" w:rsidRDefault="00976265">
            <w:pPr>
              <w:spacing w:before="0" w:after="200" w:line="276" w:lineRule="auto"/>
              <w:jc w:val="right"/>
              <w:rPr>
                <w:noProof/>
                <w:sz w:val="20"/>
                <w:szCs w:val="20"/>
              </w:rPr>
            </w:pPr>
          </w:p>
        </w:tc>
        <w:tc>
          <w:tcPr>
            <w:tcW w:w="1080" w:type="dxa"/>
            <w:vAlign w:val="center"/>
          </w:tcPr>
          <w:p w14:paraId="7466277F" w14:textId="77777777" w:rsidR="00976265" w:rsidRPr="002D7798" w:rsidRDefault="00976265">
            <w:pPr>
              <w:spacing w:before="0" w:after="200" w:line="276" w:lineRule="auto"/>
              <w:jc w:val="right"/>
              <w:rPr>
                <w:noProof/>
                <w:sz w:val="20"/>
                <w:szCs w:val="20"/>
              </w:rPr>
            </w:pPr>
          </w:p>
        </w:tc>
        <w:tc>
          <w:tcPr>
            <w:tcW w:w="1080" w:type="dxa"/>
            <w:vAlign w:val="center"/>
          </w:tcPr>
          <w:p w14:paraId="0E0635BD" w14:textId="77777777" w:rsidR="00976265" w:rsidRPr="002D7798" w:rsidRDefault="00976265">
            <w:pPr>
              <w:spacing w:before="0" w:after="200" w:line="276" w:lineRule="auto"/>
              <w:jc w:val="right"/>
              <w:rPr>
                <w:b/>
                <w:bCs/>
                <w:noProof/>
                <w:sz w:val="20"/>
                <w:szCs w:val="20"/>
              </w:rPr>
            </w:pPr>
          </w:p>
        </w:tc>
      </w:tr>
      <w:tr w:rsidR="00851B85" w:rsidRPr="002D7798" w14:paraId="34339C56" w14:textId="77777777">
        <w:trPr>
          <w:trHeight w:val="585"/>
        </w:trPr>
        <w:tc>
          <w:tcPr>
            <w:tcW w:w="1980" w:type="dxa"/>
            <w:shd w:val="clear" w:color="auto" w:fill="BFBFBF" w:themeFill="background1" w:themeFillShade="BF"/>
            <w:vAlign w:val="center"/>
          </w:tcPr>
          <w:p w14:paraId="3653338E" w14:textId="77777777" w:rsidR="00976265" w:rsidRPr="002D7798" w:rsidRDefault="0064263D">
            <w:pPr>
              <w:spacing w:before="60" w:after="60" w:line="276" w:lineRule="auto"/>
              <w:ind w:left="72"/>
              <w:jc w:val="left"/>
              <w:rPr>
                <w:noProof/>
                <w:szCs w:val="20"/>
              </w:rPr>
            </w:pPr>
            <w:r w:rsidRPr="002D7798">
              <w:rPr>
                <w:noProof/>
                <w:sz w:val="20"/>
              </w:rPr>
              <w:t>Smluvní zaměstnanci</w:t>
            </w:r>
          </w:p>
        </w:tc>
        <w:tc>
          <w:tcPr>
            <w:tcW w:w="1080" w:type="dxa"/>
            <w:shd w:val="clear" w:color="auto" w:fill="BFBFBF" w:themeFill="background1" w:themeFillShade="BF"/>
            <w:vAlign w:val="center"/>
          </w:tcPr>
          <w:p w14:paraId="30EDA4AE" w14:textId="77777777" w:rsidR="00976265" w:rsidRPr="002D7798" w:rsidRDefault="00976265">
            <w:pPr>
              <w:spacing w:before="60" w:after="60" w:line="276" w:lineRule="auto"/>
              <w:jc w:val="right"/>
              <w:rPr>
                <w:noProof/>
                <w:sz w:val="20"/>
                <w:szCs w:val="20"/>
              </w:rPr>
            </w:pPr>
          </w:p>
        </w:tc>
        <w:tc>
          <w:tcPr>
            <w:tcW w:w="1080" w:type="dxa"/>
            <w:shd w:val="clear" w:color="auto" w:fill="BFBFBF" w:themeFill="background1" w:themeFillShade="BF"/>
            <w:vAlign w:val="center"/>
          </w:tcPr>
          <w:p w14:paraId="27D375BD" w14:textId="77777777" w:rsidR="00976265" w:rsidRPr="002D7798" w:rsidRDefault="00976265">
            <w:pPr>
              <w:spacing w:before="60" w:after="60" w:line="276" w:lineRule="auto"/>
              <w:jc w:val="right"/>
              <w:rPr>
                <w:noProof/>
                <w:sz w:val="20"/>
                <w:szCs w:val="20"/>
              </w:rPr>
            </w:pPr>
          </w:p>
        </w:tc>
        <w:tc>
          <w:tcPr>
            <w:tcW w:w="1080" w:type="dxa"/>
            <w:shd w:val="clear" w:color="auto" w:fill="BFBFBF" w:themeFill="background1" w:themeFillShade="BF"/>
            <w:vAlign w:val="center"/>
          </w:tcPr>
          <w:p w14:paraId="765894EB" w14:textId="77777777" w:rsidR="00976265" w:rsidRPr="002D7798" w:rsidRDefault="00976265">
            <w:pPr>
              <w:spacing w:before="60" w:after="60" w:line="276" w:lineRule="auto"/>
              <w:jc w:val="right"/>
              <w:rPr>
                <w:noProof/>
                <w:sz w:val="20"/>
                <w:szCs w:val="20"/>
              </w:rPr>
            </w:pPr>
          </w:p>
        </w:tc>
        <w:tc>
          <w:tcPr>
            <w:tcW w:w="1080" w:type="dxa"/>
            <w:shd w:val="clear" w:color="auto" w:fill="BFBFBF" w:themeFill="background1" w:themeFillShade="BF"/>
            <w:vAlign w:val="center"/>
          </w:tcPr>
          <w:p w14:paraId="3F560397" w14:textId="77777777" w:rsidR="00976265" w:rsidRPr="002D7798" w:rsidRDefault="00976265">
            <w:pPr>
              <w:spacing w:before="60" w:after="60" w:line="276" w:lineRule="auto"/>
              <w:jc w:val="right"/>
              <w:rPr>
                <w:noProof/>
                <w:sz w:val="20"/>
                <w:szCs w:val="20"/>
              </w:rPr>
            </w:pPr>
          </w:p>
        </w:tc>
        <w:tc>
          <w:tcPr>
            <w:tcW w:w="1080" w:type="dxa"/>
            <w:shd w:val="clear" w:color="auto" w:fill="BFBFBF" w:themeFill="background1" w:themeFillShade="BF"/>
            <w:vAlign w:val="center"/>
          </w:tcPr>
          <w:p w14:paraId="61D49A62" w14:textId="77777777" w:rsidR="00976265" w:rsidRPr="002D7798" w:rsidRDefault="00976265">
            <w:pPr>
              <w:spacing w:before="60" w:after="60" w:line="276" w:lineRule="auto"/>
              <w:jc w:val="right"/>
              <w:rPr>
                <w:b/>
                <w:noProof/>
                <w:sz w:val="20"/>
                <w:szCs w:val="20"/>
              </w:rPr>
            </w:pPr>
          </w:p>
        </w:tc>
      </w:tr>
      <w:tr w:rsidR="00851B85" w:rsidRPr="002D7798" w14:paraId="0EA2B5EC" w14:textId="77777777">
        <w:trPr>
          <w:trHeight w:val="585"/>
        </w:trPr>
        <w:tc>
          <w:tcPr>
            <w:tcW w:w="1980" w:type="dxa"/>
            <w:shd w:val="clear" w:color="auto" w:fill="CCCCCC"/>
            <w:vAlign w:val="center"/>
          </w:tcPr>
          <w:p w14:paraId="3B0156F3" w14:textId="77777777" w:rsidR="00976265" w:rsidRPr="002D7798" w:rsidRDefault="0064263D">
            <w:pPr>
              <w:spacing w:before="60" w:after="60" w:line="276" w:lineRule="auto"/>
              <w:jc w:val="center"/>
              <w:rPr>
                <w:noProof/>
                <w:szCs w:val="20"/>
              </w:rPr>
            </w:pPr>
            <w:r w:rsidRPr="002D7798">
              <w:rPr>
                <w:noProof/>
                <w:sz w:val="18"/>
              </w:rPr>
              <w:t>Vyslaní národní odborníci</w:t>
            </w:r>
          </w:p>
        </w:tc>
        <w:tc>
          <w:tcPr>
            <w:tcW w:w="1080" w:type="dxa"/>
            <w:vAlign w:val="center"/>
          </w:tcPr>
          <w:p w14:paraId="3D717B99" w14:textId="77777777" w:rsidR="00976265" w:rsidRPr="002D7798" w:rsidRDefault="00976265">
            <w:pPr>
              <w:spacing w:before="60" w:after="60" w:line="276" w:lineRule="auto"/>
              <w:jc w:val="right"/>
              <w:rPr>
                <w:noProof/>
                <w:sz w:val="20"/>
                <w:szCs w:val="20"/>
              </w:rPr>
            </w:pPr>
          </w:p>
        </w:tc>
        <w:tc>
          <w:tcPr>
            <w:tcW w:w="1080" w:type="dxa"/>
            <w:vAlign w:val="center"/>
          </w:tcPr>
          <w:p w14:paraId="459F75D2" w14:textId="77777777" w:rsidR="00976265" w:rsidRPr="002D7798" w:rsidRDefault="00976265">
            <w:pPr>
              <w:spacing w:before="60" w:after="60" w:line="276" w:lineRule="auto"/>
              <w:jc w:val="right"/>
              <w:rPr>
                <w:noProof/>
                <w:sz w:val="20"/>
                <w:szCs w:val="20"/>
              </w:rPr>
            </w:pPr>
          </w:p>
        </w:tc>
        <w:tc>
          <w:tcPr>
            <w:tcW w:w="1080" w:type="dxa"/>
            <w:vAlign w:val="center"/>
          </w:tcPr>
          <w:p w14:paraId="1177DFF2" w14:textId="77777777" w:rsidR="00976265" w:rsidRPr="002D7798" w:rsidRDefault="00976265">
            <w:pPr>
              <w:spacing w:before="60" w:after="60" w:line="276" w:lineRule="auto"/>
              <w:jc w:val="right"/>
              <w:rPr>
                <w:noProof/>
                <w:sz w:val="20"/>
                <w:szCs w:val="20"/>
              </w:rPr>
            </w:pPr>
          </w:p>
        </w:tc>
        <w:tc>
          <w:tcPr>
            <w:tcW w:w="1080" w:type="dxa"/>
            <w:vAlign w:val="center"/>
          </w:tcPr>
          <w:p w14:paraId="3ED6F48C" w14:textId="77777777" w:rsidR="00976265" w:rsidRPr="002D7798" w:rsidRDefault="00976265">
            <w:pPr>
              <w:spacing w:before="60" w:after="60" w:line="276" w:lineRule="auto"/>
              <w:jc w:val="right"/>
              <w:rPr>
                <w:noProof/>
                <w:sz w:val="20"/>
                <w:szCs w:val="20"/>
              </w:rPr>
            </w:pPr>
          </w:p>
        </w:tc>
        <w:tc>
          <w:tcPr>
            <w:tcW w:w="1080" w:type="dxa"/>
            <w:vAlign w:val="center"/>
          </w:tcPr>
          <w:p w14:paraId="57706A16" w14:textId="77777777" w:rsidR="00976265" w:rsidRPr="002D7798" w:rsidRDefault="00976265">
            <w:pPr>
              <w:spacing w:before="60" w:after="60" w:line="276" w:lineRule="auto"/>
              <w:jc w:val="right"/>
              <w:rPr>
                <w:b/>
                <w:noProof/>
                <w:sz w:val="20"/>
                <w:szCs w:val="20"/>
              </w:rPr>
            </w:pPr>
          </w:p>
        </w:tc>
      </w:tr>
    </w:tbl>
    <w:p w14:paraId="1329CFBE" w14:textId="77777777" w:rsidR="00976265" w:rsidRPr="002D7798" w:rsidRDefault="00976265">
      <w:pPr>
        <w:spacing w:before="0" w:after="200" w:line="276" w:lineRule="auto"/>
        <w:jc w:val="left"/>
        <w:rPr>
          <w:noProof/>
          <w:sz w:val="20"/>
          <w:szCs w:val="20"/>
        </w:rPr>
      </w:pPr>
    </w:p>
    <w:tbl>
      <w:tblPr>
        <w:tblW w:w="7380" w:type="dxa"/>
        <w:tblInd w:w="-612" w:type="dxa"/>
        <w:tblLayout w:type="fixed"/>
        <w:tblLook w:val="01E0" w:firstRow="1" w:lastRow="1" w:firstColumn="1" w:lastColumn="1" w:noHBand="0" w:noVBand="0"/>
      </w:tblPr>
      <w:tblGrid>
        <w:gridCol w:w="1980"/>
        <w:gridCol w:w="1080"/>
        <w:gridCol w:w="1080"/>
        <w:gridCol w:w="1080"/>
        <w:gridCol w:w="1080"/>
        <w:gridCol w:w="1080"/>
      </w:tblGrid>
      <w:tr w:rsidR="00851B85" w:rsidRPr="002D7798" w14:paraId="6B841B93" w14:textId="77777777">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14:paraId="4613578F" w14:textId="77777777" w:rsidR="00976265" w:rsidRPr="002D7798" w:rsidRDefault="0064263D">
            <w:pPr>
              <w:spacing w:before="60" w:after="60" w:line="276" w:lineRule="auto"/>
              <w:jc w:val="center"/>
              <w:rPr>
                <w:noProof/>
                <w:sz w:val="20"/>
                <w:szCs w:val="20"/>
              </w:rPr>
            </w:pPr>
            <w:r w:rsidRPr="002D7798">
              <w:rPr>
                <w:b/>
                <w:noProof/>
                <w:sz w:val="20"/>
              </w:rPr>
              <w:t>CELKEM</w:t>
            </w:r>
          </w:p>
        </w:tc>
        <w:tc>
          <w:tcPr>
            <w:tcW w:w="1080" w:type="dxa"/>
            <w:tcBorders>
              <w:top w:val="single" w:sz="12" w:space="0" w:color="auto"/>
              <w:left w:val="single" w:sz="2" w:space="0" w:color="auto"/>
              <w:bottom w:val="single" w:sz="12" w:space="0" w:color="auto"/>
              <w:right w:val="single" w:sz="2" w:space="0" w:color="auto"/>
            </w:tcBorders>
            <w:vAlign w:val="center"/>
          </w:tcPr>
          <w:p w14:paraId="6F12D0E1" w14:textId="77777777" w:rsidR="00976265" w:rsidRPr="002D7798" w:rsidRDefault="0064263D">
            <w:pPr>
              <w:spacing w:before="60" w:after="60" w:line="276" w:lineRule="auto"/>
              <w:jc w:val="right"/>
              <w:rPr>
                <w:b/>
                <w:bCs/>
                <w:noProof/>
                <w:sz w:val="20"/>
                <w:szCs w:val="20"/>
              </w:rPr>
            </w:pPr>
            <w:r w:rsidRPr="002D7798">
              <w:rPr>
                <w:b/>
                <w:noProof/>
                <w:sz w:val="20"/>
              </w:rPr>
              <w:t>0,684</w:t>
            </w:r>
          </w:p>
        </w:tc>
        <w:tc>
          <w:tcPr>
            <w:tcW w:w="1080" w:type="dxa"/>
            <w:tcBorders>
              <w:top w:val="single" w:sz="12" w:space="0" w:color="auto"/>
              <w:left w:val="single" w:sz="2" w:space="0" w:color="auto"/>
              <w:bottom w:val="single" w:sz="12" w:space="0" w:color="auto"/>
              <w:right w:val="single" w:sz="2" w:space="0" w:color="auto"/>
            </w:tcBorders>
            <w:vAlign w:val="center"/>
          </w:tcPr>
          <w:p w14:paraId="3FE42FF7" w14:textId="77777777" w:rsidR="00976265" w:rsidRPr="002D7798" w:rsidRDefault="0064263D">
            <w:pPr>
              <w:spacing w:before="60" w:after="60" w:line="276" w:lineRule="auto"/>
              <w:jc w:val="right"/>
              <w:rPr>
                <w:b/>
                <w:bCs/>
                <w:noProof/>
                <w:sz w:val="20"/>
                <w:szCs w:val="20"/>
              </w:rPr>
            </w:pPr>
            <w:r w:rsidRPr="002D7798">
              <w:rPr>
                <w:b/>
                <w:noProof/>
                <w:sz w:val="20"/>
              </w:rPr>
              <w:t>0,684</w:t>
            </w:r>
          </w:p>
        </w:tc>
        <w:tc>
          <w:tcPr>
            <w:tcW w:w="1080" w:type="dxa"/>
            <w:tcBorders>
              <w:top w:val="single" w:sz="12" w:space="0" w:color="auto"/>
              <w:left w:val="single" w:sz="2" w:space="0" w:color="auto"/>
              <w:bottom w:val="single" w:sz="12" w:space="0" w:color="auto"/>
              <w:right w:val="single" w:sz="2" w:space="0" w:color="auto"/>
            </w:tcBorders>
            <w:vAlign w:val="center"/>
          </w:tcPr>
          <w:p w14:paraId="3010E3AF" w14:textId="77777777" w:rsidR="00976265" w:rsidRPr="002D7798" w:rsidRDefault="0064263D">
            <w:pPr>
              <w:spacing w:before="60" w:after="60" w:line="276" w:lineRule="auto"/>
              <w:jc w:val="right"/>
              <w:rPr>
                <w:b/>
                <w:bCs/>
                <w:noProof/>
                <w:sz w:val="20"/>
                <w:szCs w:val="20"/>
              </w:rPr>
            </w:pPr>
            <w:r w:rsidRPr="002D7798">
              <w:rPr>
                <w:b/>
                <w:noProof/>
                <w:sz w:val="20"/>
              </w:rPr>
              <w:t>0,684</w:t>
            </w:r>
          </w:p>
        </w:tc>
        <w:tc>
          <w:tcPr>
            <w:tcW w:w="1080" w:type="dxa"/>
            <w:tcBorders>
              <w:top w:val="single" w:sz="12" w:space="0" w:color="auto"/>
              <w:left w:val="single" w:sz="2" w:space="0" w:color="auto"/>
              <w:bottom w:val="single" w:sz="12" w:space="0" w:color="auto"/>
              <w:right w:val="single" w:sz="2" w:space="0" w:color="auto"/>
            </w:tcBorders>
            <w:vAlign w:val="center"/>
          </w:tcPr>
          <w:p w14:paraId="12FB78F5" w14:textId="77777777" w:rsidR="00976265" w:rsidRPr="002D7798" w:rsidRDefault="0064263D">
            <w:pPr>
              <w:spacing w:before="60" w:after="60" w:line="276" w:lineRule="auto"/>
              <w:jc w:val="right"/>
              <w:rPr>
                <w:b/>
                <w:bCs/>
                <w:noProof/>
                <w:sz w:val="20"/>
                <w:szCs w:val="20"/>
              </w:rPr>
            </w:pPr>
            <w:r w:rsidRPr="002D7798">
              <w:rPr>
                <w:b/>
                <w:noProof/>
                <w:sz w:val="20"/>
              </w:rPr>
              <w:t>0,684</w:t>
            </w:r>
          </w:p>
        </w:tc>
        <w:tc>
          <w:tcPr>
            <w:tcW w:w="1080" w:type="dxa"/>
            <w:tcBorders>
              <w:top w:val="single" w:sz="12" w:space="0" w:color="auto"/>
              <w:left w:val="single" w:sz="2" w:space="0" w:color="auto"/>
              <w:bottom w:val="single" w:sz="12" w:space="0" w:color="auto"/>
              <w:right w:val="single" w:sz="12" w:space="0" w:color="auto"/>
            </w:tcBorders>
            <w:vAlign w:val="center"/>
          </w:tcPr>
          <w:p w14:paraId="545C1450" w14:textId="77777777" w:rsidR="00976265" w:rsidRPr="002D7798" w:rsidRDefault="0064263D">
            <w:pPr>
              <w:spacing w:before="60" w:after="60" w:line="276" w:lineRule="auto"/>
              <w:jc w:val="right"/>
              <w:rPr>
                <w:b/>
                <w:bCs/>
                <w:noProof/>
                <w:sz w:val="20"/>
                <w:szCs w:val="20"/>
              </w:rPr>
            </w:pPr>
            <w:r w:rsidRPr="002D7798">
              <w:rPr>
                <w:b/>
                <w:noProof/>
                <w:sz w:val="20"/>
              </w:rPr>
              <w:t>2,736</w:t>
            </w:r>
          </w:p>
        </w:tc>
      </w:tr>
    </w:tbl>
    <w:p w14:paraId="4622C06D" w14:textId="77777777" w:rsidR="00976265" w:rsidRPr="002D7798" w:rsidRDefault="00976265">
      <w:pPr>
        <w:spacing w:before="0" w:after="200" w:line="276" w:lineRule="auto"/>
        <w:jc w:val="left"/>
        <w:rPr>
          <w:noProof/>
          <w:szCs w:val="20"/>
          <w:u w:val="single"/>
        </w:rPr>
      </w:pPr>
    </w:p>
    <w:p w14:paraId="3E3CF056" w14:textId="77777777" w:rsidR="00976265" w:rsidRPr="002D7798" w:rsidRDefault="0064263D">
      <w:pPr>
        <w:spacing w:before="0" w:after="200" w:line="276" w:lineRule="auto"/>
        <w:jc w:val="left"/>
        <w:rPr>
          <w:noProof/>
          <w:sz w:val="20"/>
          <w:szCs w:val="20"/>
        </w:rPr>
      </w:pPr>
      <w:r w:rsidRPr="002D7798">
        <w:rPr>
          <w:noProof/>
          <w:sz w:val="20"/>
        </w:rPr>
        <w:t>Požadavky na zaměstnance (FTE):</w:t>
      </w:r>
    </w:p>
    <w:tbl>
      <w:tblPr>
        <w:tblW w:w="738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tblGrid>
      <w:tr w:rsidR="00851B85" w:rsidRPr="002D7798" w14:paraId="6F8F7CAB" w14:textId="77777777">
        <w:trPr>
          <w:trHeight w:val="585"/>
        </w:trPr>
        <w:tc>
          <w:tcPr>
            <w:tcW w:w="1980" w:type="dxa"/>
          </w:tcPr>
          <w:p w14:paraId="42DCEBCF" w14:textId="77777777" w:rsidR="00976265" w:rsidRPr="002D7798" w:rsidRDefault="00976265">
            <w:pPr>
              <w:spacing w:before="60" w:after="60" w:line="276" w:lineRule="auto"/>
              <w:jc w:val="left"/>
              <w:rPr>
                <w:noProof/>
                <w:sz w:val="20"/>
                <w:szCs w:val="20"/>
              </w:rPr>
            </w:pPr>
          </w:p>
        </w:tc>
        <w:tc>
          <w:tcPr>
            <w:tcW w:w="1080" w:type="dxa"/>
            <w:vAlign w:val="center"/>
          </w:tcPr>
          <w:p w14:paraId="304F3280" w14:textId="77777777" w:rsidR="00976265" w:rsidRPr="002D7798" w:rsidRDefault="0064263D">
            <w:pPr>
              <w:spacing w:before="60" w:after="60" w:line="276" w:lineRule="auto"/>
              <w:jc w:val="center"/>
              <w:rPr>
                <w:b/>
                <w:bCs/>
                <w:noProof/>
                <w:sz w:val="20"/>
                <w:szCs w:val="20"/>
                <w:vertAlign w:val="superscript"/>
              </w:rPr>
            </w:pPr>
            <w:r w:rsidRPr="002D7798">
              <w:rPr>
                <w:noProof/>
                <w:sz w:val="20"/>
              </w:rPr>
              <w:t>Rok</w:t>
            </w:r>
            <w:r w:rsidRPr="002D7798">
              <w:rPr>
                <w:noProof/>
              </w:rPr>
              <w:t xml:space="preserve"> </w:t>
            </w:r>
            <w:r w:rsidRPr="002D7798">
              <w:rPr>
                <w:noProof/>
              </w:rPr>
              <w:br/>
            </w:r>
            <w:r w:rsidRPr="002D7798">
              <w:rPr>
                <w:b/>
                <w:noProof/>
                <w:sz w:val="20"/>
              </w:rPr>
              <w:t>2024</w:t>
            </w:r>
          </w:p>
        </w:tc>
        <w:tc>
          <w:tcPr>
            <w:tcW w:w="1080" w:type="dxa"/>
            <w:vAlign w:val="center"/>
          </w:tcPr>
          <w:p w14:paraId="69512B38" w14:textId="77777777" w:rsidR="00976265" w:rsidRPr="002D7798" w:rsidRDefault="0064263D">
            <w:pPr>
              <w:spacing w:before="60" w:after="60" w:line="276" w:lineRule="auto"/>
              <w:jc w:val="center"/>
              <w:rPr>
                <w:b/>
                <w:bCs/>
                <w:noProof/>
                <w:sz w:val="20"/>
                <w:szCs w:val="20"/>
              </w:rPr>
            </w:pPr>
            <w:r w:rsidRPr="002D7798">
              <w:rPr>
                <w:noProof/>
                <w:sz w:val="20"/>
              </w:rPr>
              <w:t>Rok</w:t>
            </w:r>
            <w:r w:rsidRPr="002D7798">
              <w:rPr>
                <w:noProof/>
              </w:rPr>
              <w:t xml:space="preserve"> </w:t>
            </w:r>
            <w:r w:rsidRPr="002D7798">
              <w:rPr>
                <w:noProof/>
              </w:rPr>
              <w:br/>
            </w:r>
            <w:r w:rsidRPr="002D7798">
              <w:rPr>
                <w:b/>
                <w:noProof/>
                <w:sz w:val="20"/>
              </w:rPr>
              <w:t>2025</w:t>
            </w:r>
          </w:p>
        </w:tc>
        <w:tc>
          <w:tcPr>
            <w:tcW w:w="1080" w:type="dxa"/>
            <w:vAlign w:val="center"/>
          </w:tcPr>
          <w:p w14:paraId="69F3F190" w14:textId="77777777" w:rsidR="00976265" w:rsidRPr="002D7798" w:rsidRDefault="0064263D">
            <w:pPr>
              <w:spacing w:before="60" w:after="60" w:line="276" w:lineRule="auto"/>
              <w:jc w:val="center"/>
              <w:rPr>
                <w:b/>
                <w:bCs/>
                <w:noProof/>
                <w:sz w:val="20"/>
                <w:szCs w:val="20"/>
              </w:rPr>
            </w:pPr>
            <w:r w:rsidRPr="002D7798">
              <w:rPr>
                <w:noProof/>
                <w:sz w:val="20"/>
              </w:rPr>
              <w:t>Rok</w:t>
            </w:r>
            <w:r w:rsidRPr="002D7798">
              <w:rPr>
                <w:noProof/>
              </w:rPr>
              <w:t xml:space="preserve"> </w:t>
            </w:r>
            <w:r w:rsidRPr="002D7798">
              <w:rPr>
                <w:noProof/>
              </w:rPr>
              <w:br/>
            </w:r>
            <w:r w:rsidRPr="002D7798">
              <w:rPr>
                <w:b/>
                <w:noProof/>
                <w:sz w:val="20"/>
              </w:rPr>
              <w:t>2026</w:t>
            </w:r>
          </w:p>
        </w:tc>
        <w:tc>
          <w:tcPr>
            <w:tcW w:w="1080" w:type="dxa"/>
            <w:vAlign w:val="center"/>
          </w:tcPr>
          <w:p w14:paraId="4E870292" w14:textId="77777777" w:rsidR="00976265" w:rsidRPr="002D7798" w:rsidRDefault="0064263D">
            <w:pPr>
              <w:spacing w:before="60" w:after="60" w:line="276" w:lineRule="auto"/>
              <w:jc w:val="center"/>
              <w:rPr>
                <w:b/>
                <w:bCs/>
                <w:noProof/>
                <w:sz w:val="20"/>
                <w:szCs w:val="20"/>
              </w:rPr>
            </w:pPr>
            <w:r w:rsidRPr="002D7798">
              <w:rPr>
                <w:noProof/>
                <w:sz w:val="20"/>
              </w:rPr>
              <w:t>Rok</w:t>
            </w:r>
            <w:r w:rsidRPr="002D7798">
              <w:rPr>
                <w:noProof/>
              </w:rPr>
              <w:t xml:space="preserve"> </w:t>
            </w:r>
            <w:r w:rsidRPr="002D7798">
              <w:rPr>
                <w:noProof/>
              </w:rPr>
              <w:br/>
            </w:r>
            <w:r w:rsidRPr="002D7798">
              <w:rPr>
                <w:b/>
                <w:noProof/>
                <w:sz w:val="20"/>
              </w:rPr>
              <w:t>2027</w:t>
            </w:r>
          </w:p>
        </w:tc>
        <w:tc>
          <w:tcPr>
            <w:tcW w:w="1080" w:type="dxa"/>
            <w:vAlign w:val="center"/>
          </w:tcPr>
          <w:p w14:paraId="2C7A6C0A" w14:textId="77777777" w:rsidR="00976265" w:rsidRPr="002D7798" w:rsidRDefault="0064263D">
            <w:pPr>
              <w:spacing w:before="60" w:after="60" w:line="276" w:lineRule="auto"/>
              <w:jc w:val="center"/>
              <w:rPr>
                <w:b/>
                <w:noProof/>
                <w:sz w:val="20"/>
                <w:szCs w:val="20"/>
              </w:rPr>
            </w:pPr>
            <w:r w:rsidRPr="002D7798">
              <w:rPr>
                <w:b/>
                <w:noProof/>
                <w:sz w:val="20"/>
              </w:rPr>
              <w:t>CELKEM</w:t>
            </w:r>
          </w:p>
        </w:tc>
      </w:tr>
    </w:tbl>
    <w:p w14:paraId="6EAE9F6F" w14:textId="77777777" w:rsidR="00976265" w:rsidRPr="002D7798" w:rsidRDefault="00976265">
      <w:pPr>
        <w:spacing w:before="0" w:after="200" w:line="276" w:lineRule="auto"/>
        <w:jc w:val="left"/>
        <w:rPr>
          <w:noProof/>
          <w:sz w:val="20"/>
          <w:szCs w:val="20"/>
        </w:rPr>
      </w:pPr>
    </w:p>
    <w:tbl>
      <w:tblPr>
        <w:tblW w:w="738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tblGrid>
      <w:tr w:rsidR="00851B85" w:rsidRPr="002D7798" w14:paraId="1EE4C181" w14:textId="77777777">
        <w:trPr>
          <w:trHeight w:val="585"/>
        </w:trPr>
        <w:tc>
          <w:tcPr>
            <w:tcW w:w="1980" w:type="dxa"/>
            <w:shd w:val="clear" w:color="auto" w:fill="D9D9D9" w:themeFill="background1" w:themeFillShade="D9"/>
            <w:vAlign w:val="center"/>
          </w:tcPr>
          <w:p w14:paraId="3C275425" w14:textId="77777777" w:rsidR="00976265" w:rsidRPr="002D7798" w:rsidRDefault="0064263D">
            <w:pPr>
              <w:spacing w:before="60" w:after="60" w:line="276" w:lineRule="auto"/>
              <w:jc w:val="center"/>
              <w:rPr>
                <w:noProof/>
                <w:szCs w:val="20"/>
              </w:rPr>
            </w:pPr>
            <w:r w:rsidRPr="002D7798">
              <w:rPr>
                <w:noProof/>
                <w:sz w:val="18"/>
              </w:rPr>
              <w:t>Dočasní zaměstnanci (třídy AD)</w:t>
            </w:r>
          </w:p>
        </w:tc>
        <w:tc>
          <w:tcPr>
            <w:tcW w:w="1080" w:type="dxa"/>
            <w:vAlign w:val="center"/>
          </w:tcPr>
          <w:p w14:paraId="4BD3DBCB" w14:textId="77777777" w:rsidR="00976265" w:rsidRPr="002D7798" w:rsidRDefault="0064263D">
            <w:pPr>
              <w:spacing w:before="60" w:after="60" w:line="276" w:lineRule="auto"/>
              <w:jc w:val="right"/>
              <w:rPr>
                <w:noProof/>
                <w:sz w:val="20"/>
                <w:szCs w:val="20"/>
              </w:rPr>
            </w:pPr>
            <w:r w:rsidRPr="002D7798">
              <w:rPr>
                <w:noProof/>
                <w:sz w:val="20"/>
              </w:rPr>
              <w:t>3</w:t>
            </w:r>
          </w:p>
        </w:tc>
        <w:tc>
          <w:tcPr>
            <w:tcW w:w="1080" w:type="dxa"/>
            <w:vAlign w:val="center"/>
          </w:tcPr>
          <w:p w14:paraId="19A3D81C" w14:textId="77777777" w:rsidR="00976265" w:rsidRPr="002D7798" w:rsidRDefault="0064263D">
            <w:pPr>
              <w:spacing w:before="60" w:after="60" w:line="276" w:lineRule="auto"/>
              <w:jc w:val="right"/>
              <w:rPr>
                <w:noProof/>
                <w:sz w:val="20"/>
                <w:szCs w:val="20"/>
              </w:rPr>
            </w:pPr>
            <w:r w:rsidRPr="002D7798">
              <w:rPr>
                <w:noProof/>
                <w:sz w:val="20"/>
              </w:rPr>
              <w:t>3</w:t>
            </w:r>
          </w:p>
        </w:tc>
        <w:tc>
          <w:tcPr>
            <w:tcW w:w="1080" w:type="dxa"/>
            <w:vAlign w:val="center"/>
          </w:tcPr>
          <w:p w14:paraId="3DA66A16" w14:textId="77777777" w:rsidR="00976265" w:rsidRPr="002D7798" w:rsidRDefault="0064263D">
            <w:pPr>
              <w:spacing w:before="60" w:after="60" w:line="276" w:lineRule="auto"/>
              <w:jc w:val="right"/>
              <w:rPr>
                <w:noProof/>
                <w:sz w:val="20"/>
                <w:szCs w:val="20"/>
              </w:rPr>
            </w:pPr>
            <w:r w:rsidRPr="002D7798">
              <w:rPr>
                <w:noProof/>
                <w:sz w:val="20"/>
              </w:rPr>
              <w:t>3</w:t>
            </w:r>
          </w:p>
        </w:tc>
        <w:tc>
          <w:tcPr>
            <w:tcW w:w="1080" w:type="dxa"/>
            <w:vAlign w:val="center"/>
          </w:tcPr>
          <w:p w14:paraId="3440A582" w14:textId="77777777" w:rsidR="00976265" w:rsidRPr="002D7798" w:rsidRDefault="0064263D">
            <w:pPr>
              <w:spacing w:before="60" w:after="60" w:line="276" w:lineRule="auto"/>
              <w:jc w:val="right"/>
              <w:rPr>
                <w:noProof/>
                <w:sz w:val="20"/>
                <w:szCs w:val="20"/>
              </w:rPr>
            </w:pPr>
            <w:r w:rsidRPr="002D7798">
              <w:rPr>
                <w:noProof/>
                <w:sz w:val="20"/>
              </w:rPr>
              <w:t>3</w:t>
            </w:r>
          </w:p>
        </w:tc>
        <w:tc>
          <w:tcPr>
            <w:tcW w:w="1080" w:type="dxa"/>
            <w:vAlign w:val="center"/>
          </w:tcPr>
          <w:p w14:paraId="2F1A4C10" w14:textId="77777777" w:rsidR="00976265" w:rsidRPr="002D7798" w:rsidRDefault="0064263D">
            <w:pPr>
              <w:spacing w:before="60" w:after="60" w:line="276" w:lineRule="auto"/>
              <w:jc w:val="right"/>
              <w:rPr>
                <w:b/>
                <w:bCs/>
                <w:noProof/>
                <w:sz w:val="20"/>
                <w:szCs w:val="20"/>
              </w:rPr>
            </w:pPr>
            <w:r w:rsidRPr="002D7798">
              <w:rPr>
                <w:b/>
                <w:noProof/>
                <w:sz w:val="20"/>
              </w:rPr>
              <w:t>3</w:t>
            </w:r>
          </w:p>
        </w:tc>
      </w:tr>
      <w:tr w:rsidR="00851B85" w:rsidRPr="002D7798" w14:paraId="409FFCF1" w14:textId="77777777">
        <w:trPr>
          <w:trHeight w:val="585"/>
        </w:trPr>
        <w:tc>
          <w:tcPr>
            <w:tcW w:w="1980" w:type="dxa"/>
            <w:shd w:val="clear" w:color="auto" w:fill="BFBFBF" w:themeFill="background1" w:themeFillShade="BF"/>
            <w:vAlign w:val="center"/>
          </w:tcPr>
          <w:p w14:paraId="48E03479" w14:textId="77777777" w:rsidR="00976265" w:rsidRPr="002D7798" w:rsidRDefault="0064263D">
            <w:pPr>
              <w:spacing w:before="60" w:after="60" w:line="276" w:lineRule="auto"/>
              <w:ind w:left="72"/>
              <w:jc w:val="left"/>
              <w:rPr>
                <w:noProof/>
                <w:szCs w:val="20"/>
              </w:rPr>
            </w:pPr>
            <w:r w:rsidRPr="002D7798">
              <w:rPr>
                <w:noProof/>
                <w:sz w:val="20"/>
              </w:rPr>
              <w:t>Dočasní zaměstnanci (třídy AST)</w:t>
            </w:r>
          </w:p>
        </w:tc>
        <w:tc>
          <w:tcPr>
            <w:tcW w:w="1080" w:type="dxa"/>
            <w:vAlign w:val="center"/>
          </w:tcPr>
          <w:p w14:paraId="5C49F227" w14:textId="77777777" w:rsidR="00976265" w:rsidRPr="002D7798" w:rsidRDefault="0064263D">
            <w:pPr>
              <w:spacing w:before="60" w:after="60" w:line="276" w:lineRule="auto"/>
              <w:jc w:val="right"/>
              <w:rPr>
                <w:noProof/>
                <w:sz w:val="20"/>
                <w:szCs w:val="20"/>
              </w:rPr>
            </w:pPr>
            <w:r w:rsidRPr="002D7798">
              <w:rPr>
                <w:noProof/>
                <w:sz w:val="20"/>
              </w:rPr>
              <w:t>1</w:t>
            </w:r>
          </w:p>
        </w:tc>
        <w:tc>
          <w:tcPr>
            <w:tcW w:w="1080" w:type="dxa"/>
            <w:vAlign w:val="center"/>
          </w:tcPr>
          <w:p w14:paraId="1BDBA719" w14:textId="77777777" w:rsidR="00976265" w:rsidRPr="002D7798" w:rsidRDefault="0064263D">
            <w:pPr>
              <w:spacing w:before="60" w:after="60" w:line="276" w:lineRule="auto"/>
              <w:jc w:val="right"/>
              <w:rPr>
                <w:noProof/>
                <w:sz w:val="20"/>
                <w:szCs w:val="20"/>
              </w:rPr>
            </w:pPr>
            <w:r w:rsidRPr="002D7798">
              <w:rPr>
                <w:noProof/>
                <w:sz w:val="20"/>
              </w:rPr>
              <w:t>1</w:t>
            </w:r>
          </w:p>
        </w:tc>
        <w:tc>
          <w:tcPr>
            <w:tcW w:w="1080" w:type="dxa"/>
            <w:vAlign w:val="center"/>
          </w:tcPr>
          <w:p w14:paraId="54A63742" w14:textId="77777777" w:rsidR="00976265" w:rsidRPr="002D7798" w:rsidRDefault="0064263D">
            <w:pPr>
              <w:spacing w:before="60" w:after="60" w:line="276" w:lineRule="auto"/>
              <w:jc w:val="right"/>
              <w:rPr>
                <w:noProof/>
                <w:sz w:val="20"/>
                <w:szCs w:val="20"/>
              </w:rPr>
            </w:pPr>
            <w:r w:rsidRPr="002D7798">
              <w:rPr>
                <w:noProof/>
                <w:sz w:val="20"/>
              </w:rPr>
              <w:t>1</w:t>
            </w:r>
          </w:p>
        </w:tc>
        <w:tc>
          <w:tcPr>
            <w:tcW w:w="1080" w:type="dxa"/>
            <w:vAlign w:val="center"/>
          </w:tcPr>
          <w:p w14:paraId="07A2BC44" w14:textId="77777777" w:rsidR="00976265" w:rsidRPr="002D7798" w:rsidRDefault="0064263D">
            <w:pPr>
              <w:spacing w:before="60" w:after="60" w:line="276" w:lineRule="auto"/>
              <w:jc w:val="right"/>
              <w:rPr>
                <w:noProof/>
                <w:sz w:val="20"/>
                <w:szCs w:val="20"/>
              </w:rPr>
            </w:pPr>
            <w:r w:rsidRPr="002D7798">
              <w:rPr>
                <w:noProof/>
                <w:sz w:val="20"/>
              </w:rPr>
              <w:t>1</w:t>
            </w:r>
          </w:p>
        </w:tc>
        <w:tc>
          <w:tcPr>
            <w:tcW w:w="1080" w:type="dxa"/>
            <w:vAlign w:val="center"/>
          </w:tcPr>
          <w:p w14:paraId="091D35A7" w14:textId="77777777" w:rsidR="00976265" w:rsidRPr="002D7798" w:rsidRDefault="0064263D">
            <w:pPr>
              <w:spacing w:before="60" w:after="60" w:line="276" w:lineRule="auto"/>
              <w:jc w:val="right"/>
              <w:rPr>
                <w:noProof/>
                <w:szCs w:val="20"/>
              </w:rPr>
            </w:pPr>
            <w:r w:rsidRPr="002D7798">
              <w:rPr>
                <w:b/>
                <w:noProof/>
                <w:sz w:val="20"/>
              </w:rPr>
              <w:t>1</w:t>
            </w:r>
          </w:p>
        </w:tc>
      </w:tr>
      <w:tr w:rsidR="00851B85" w:rsidRPr="002D7798" w14:paraId="0E886899" w14:textId="77777777">
        <w:trPr>
          <w:trHeight w:val="585"/>
        </w:trPr>
        <w:tc>
          <w:tcPr>
            <w:tcW w:w="1980" w:type="dxa"/>
            <w:shd w:val="clear" w:color="auto" w:fill="BFBFBF" w:themeFill="background1" w:themeFillShade="BF"/>
            <w:vAlign w:val="center"/>
          </w:tcPr>
          <w:p w14:paraId="54B78902" w14:textId="77777777" w:rsidR="00976265" w:rsidRPr="002D7798" w:rsidRDefault="0064263D">
            <w:pPr>
              <w:spacing w:before="0" w:after="200" w:line="276" w:lineRule="auto"/>
              <w:jc w:val="left"/>
              <w:rPr>
                <w:noProof/>
                <w:sz w:val="20"/>
                <w:szCs w:val="20"/>
              </w:rPr>
            </w:pPr>
            <w:r w:rsidRPr="002D7798">
              <w:rPr>
                <w:noProof/>
                <w:sz w:val="20"/>
              </w:rPr>
              <w:t>Dočasní zaměstnanci (třídy AST/SC)</w:t>
            </w:r>
          </w:p>
        </w:tc>
        <w:tc>
          <w:tcPr>
            <w:tcW w:w="1080" w:type="dxa"/>
            <w:vAlign w:val="center"/>
          </w:tcPr>
          <w:p w14:paraId="200FFB4E" w14:textId="77777777" w:rsidR="00976265" w:rsidRPr="002D7798" w:rsidRDefault="00976265">
            <w:pPr>
              <w:spacing w:before="0" w:after="200" w:line="276" w:lineRule="auto"/>
              <w:jc w:val="right"/>
              <w:rPr>
                <w:noProof/>
                <w:sz w:val="20"/>
                <w:szCs w:val="20"/>
              </w:rPr>
            </w:pPr>
          </w:p>
        </w:tc>
        <w:tc>
          <w:tcPr>
            <w:tcW w:w="1080" w:type="dxa"/>
            <w:vAlign w:val="center"/>
          </w:tcPr>
          <w:p w14:paraId="20289031" w14:textId="77777777" w:rsidR="00976265" w:rsidRPr="002D7798" w:rsidRDefault="00976265">
            <w:pPr>
              <w:spacing w:before="0" w:after="200" w:line="276" w:lineRule="auto"/>
              <w:jc w:val="right"/>
              <w:rPr>
                <w:noProof/>
                <w:sz w:val="20"/>
                <w:szCs w:val="20"/>
              </w:rPr>
            </w:pPr>
          </w:p>
        </w:tc>
        <w:tc>
          <w:tcPr>
            <w:tcW w:w="1080" w:type="dxa"/>
            <w:vAlign w:val="center"/>
          </w:tcPr>
          <w:p w14:paraId="4F306BC3" w14:textId="77777777" w:rsidR="00976265" w:rsidRPr="002D7798" w:rsidRDefault="00976265">
            <w:pPr>
              <w:spacing w:before="0" w:after="200" w:line="276" w:lineRule="auto"/>
              <w:jc w:val="right"/>
              <w:rPr>
                <w:noProof/>
                <w:sz w:val="20"/>
                <w:szCs w:val="20"/>
              </w:rPr>
            </w:pPr>
          </w:p>
        </w:tc>
        <w:tc>
          <w:tcPr>
            <w:tcW w:w="1080" w:type="dxa"/>
            <w:vAlign w:val="center"/>
          </w:tcPr>
          <w:p w14:paraId="0FA2E804" w14:textId="77777777" w:rsidR="00976265" w:rsidRPr="002D7798" w:rsidRDefault="00976265">
            <w:pPr>
              <w:spacing w:before="0" w:after="200" w:line="276" w:lineRule="auto"/>
              <w:jc w:val="right"/>
              <w:rPr>
                <w:noProof/>
                <w:sz w:val="20"/>
                <w:szCs w:val="20"/>
              </w:rPr>
            </w:pPr>
          </w:p>
        </w:tc>
        <w:tc>
          <w:tcPr>
            <w:tcW w:w="1080" w:type="dxa"/>
            <w:vAlign w:val="center"/>
          </w:tcPr>
          <w:p w14:paraId="77ABA290" w14:textId="77777777" w:rsidR="00976265" w:rsidRPr="002D7798" w:rsidRDefault="00976265">
            <w:pPr>
              <w:spacing w:before="0" w:after="200" w:line="276" w:lineRule="auto"/>
              <w:jc w:val="right"/>
              <w:rPr>
                <w:b/>
                <w:bCs/>
                <w:noProof/>
                <w:sz w:val="20"/>
                <w:szCs w:val="20"/>
              </w:rPr>
            </w:pPr>
          </w:p>
        </w:tc>
      </w:tr>
      <w:tr w:rsidR="00851B85" w:rsidRPr="002D7798" w14:paraId="52F85767" w14:textId="77777777">
        <w:trPr>
          <w:trHeight w:val="585"/>
        </w:trPr>
        <w:tc>
          <w:tcPr>
            <w:tcW w:w="1980" w:type="dxa"/>
            <w:shd w:val="clear" w:color="auto" w:fill="BFBFBF" w:themeFill="background1" w:themeFillShade="BF"/>
            <w:vAlign w:val="center"/>
          </w:tcPr>
          <w:p w14:paraId="222179D8" w14:textId="77777777" w:rsidR="00976265" w:rsidRPr="002D7798" w:rsidRDefault="0064263D">
            <w:pPr>
              <w:spacing w:before="60" w:after="60" w:line="276" w:lineRule="auto"/>
              <w:ind w:left="72"/>
              <w:jc w:val="left"/>
              <w:rPr>
                <w:noProof/>
                <w:szCs w:val="20"/>
              </w:rPr>
            </w:pPr>
            <w:r w:rsidRPr="002D7798">
              <w:rPr>
                <w:noProof/>
                <w:sz w:val="20"/>
              </w:rPr>
              <w:t>Smluvní zaměstnanci</w:t>
            </w:r>
          </w:p>
        </w:tc>
        <w:tc>
          <w:tcPr>
            <w:tcW w:w="1080" w:type="dxa"/>
            <w:shd w:val="clear" w:color="auto" w:fill="BFBFBF" w:themeFill="background1" w:themeFillShade="BF"/>
            <w:vAlign w:val="center"/>
          </w:tcPr>
          <w:p w14:paraId="794C1926" w14:textId="77777777" w:rsidR="00976265" w:rsidRPr="002D7798" w:rsidRDefault="00976265">
            <w:pPr>
              <w:spacing w:before="60" w:after="60" w:line="276" w:lineRule="auto"/>
              <w:jc w:val="right"/>
              <w:rPr>
                <w:noProof/>
                <w:sz w:val="20"/>
                <w:szCs w:val="20"/>
              </w:rPr>
            </w:pPr>
          </w:p>
        </w:tc>
        <w:tc>
          <w:tcPr>
            <w:tcW w:w="1080" w:type="dxa"/>
            <w:shd w:val="clear" w:color="auto" w:fill="BFBFBF" w:themeFill="background1" w:themeFillShade="BF"/>
            <w:vAlign w:val="center"/>
          </w:tcPr>
          <w:p w14:paraId="776DC428" w14:textId="77777777" w:rsidR="00976265" w:rsidRPr="002D7798" w:rsidRDefault="00976265">
            <w:pPr>
              <w:spacing w:before="60" w:after="60" w:line="276" w:lineRule="auto"/>
              <w:jc w:val="right"/>
              <w:rPr>
                <w:noProof/>
                <w:sz w:val="20"/>
                <w:szCs w:val="20"/>
              </w:rPr>
            </w:pPr>
          </w:p>
        </w:tc>
        <w:tc>
          <w:tcPr>
            <w:tcW w:w="1080" w:type="dxa"/>
            <w:shd w:val="clear" w:color="auto" w:fill="BFBFBF" w:themeFill="background1" w:themeFillShade="BF"/>
            <w:vAlign w:val="center"/>
          </w:tcPr>
          <w:p w14:paraId="490B2E63" w14:textId="77777777" w:rsidR="00976265" w:rsidRPr="002D7798" w:rsidRDefault="00976265">
            <w:pPr>
              <w:spacing w:before="60" w:after="60" w:line="276" w:lineRule="auto"/>
              <w:jc w:val="right"/>
              <w:rPr>
                <w:noProof/>
                <w:sz w:val="20"/>
                <w:szCs w:val="20"/>
              </w:rPr>
            </w:pPr>
          </w:p>
        </w:tc>
        <w:tc>
          <w:tcPr>
            <w:tcW w:w="1080" w:type="dxa"/>
            <w:shd w:val="clear" w:color="auto" w:fill="BFBFBF" w:themeFill="background1" w:themeFillShade="BF"/>
            <w:vAlign w:val="center"/>
          </w:tcPr>
          <w:p w14:paraId="4CFF6F8B" w14:textId="77777777" w:rsidR="00976265" w:rsidRPr="002D7798" w:rsidRDefault="00976265">
            <w:pPr>
              <w:spacing w:before="60" w:after="60" w:line="276" w:lineRule="auto"/>
              <w:jc w:val="right"/>
              <w:rPr>
                <w:noProof/>
                <w:sz w:val="20"/>
                <w:szCs w:val="20"/>
              </w:rPr>
            </w:pPr>
          </w:p>
        </w:tc>
        <w:tc>
          <w:tcPr>
            <w:tcW w:w="1080" w:type="dxa"/>
            <w:shd w:val="clear" w:color="auto" w:fill="BFBFBF" w:themeFill="background1" w:themeFillShade="BF"/>
            <w:vAlign w:val="center"/>
          </w:tcPr>
          <w:p w14:paraId="7E6710B1" w14:textId="77777777" w:rsidR="00976265" w:rsidRPr="002D7798" w:rsidRDefault="00976265">
            <w:pPr>
              <w:spacing w:before="60" w:after="60" w:line="276" w:lineRule="auto"/>
              <w:jc w:val="right"/>
              <w:rPr>
                <w:b/>
                <w:noProof/>
                <w:sz w:val="20"/>
                <w:szCs w:val="20"/>
              </w:rPr>
            </w:pPr>
          </w:p>
        </w:tc>
      </w:tr>
      <w:tr w:rsidR="00851B85" w:rsidRPr="002D7798" w14:paraId="3451F038" w14:textId="77777777">
        <w:trPr>
          <w:trHeight w:val="585"/>
        </w:trPr>
        <w:tc>
          <w:tcPr>
            <w:tcW w:w="1980" w:type="dxa"/>
            <w:shd w:val="clear" w:color="auto" w:fill="CCCCCC"/>
            <w:vAlign w:val="center"/>
          </w:tcPr>
          <w:p w14:paraId="1C3DE310" w14:textId="77777777" w:rsidR="00976265" w:rsidRPr="002D7798" w:rsidRDefault="0064263D">
            <w:pPr>
              <w:spacing w:before="60" w:after="60" w:line="276" w:lineRule="auto"/>
              <w:jc w:val="center"/>
              <w:rPr>
                <w:noProof/>
                <w:szCs w:val="20"/>
              </w:rPr>
            </w:pPr>
            <w:r w:rsidRPr="002D7798">
              <w:rPr>
                <w:noProof/>
                <w:sz w:val="18"/>
              </w:rPr>
              <w:t>Vyslaní národní odborníci</w:t>
            </w:r>
          </w:p>
        </w:tc>
        <w:tc>
          <w:tcPr>
            <w:tcW w:w="1080" w:type="dxa"/>
            <w:vAlign w:val="center"/>
          </w:tcPr>
          <w:p w14:paraId="0D3C8BB9" w14:textId="77777777" w:rsidR="00976265" w:rsidRPr="002D7798" w:rsidRDefault="00976265">
            <w:pPr>
              <w:spacing w:before="60" w:after="60" w:line="276" w:lineRule="auto"/>
              <w:jc w:val="right"/>
              <w:rPr>
                <w:noProof/>
                <w:sz w:val="20"/>
                <w:szCs w:val="20"/>
              </w:rPr>
            </w:pPr>
          </w:p>
        </w:tc>
        <w:tc>
          <w:tcPr>
            <w:tcW w:w="1080" w:type="dxa"/>
            <w:vAlign w:val="center"/>
          </w:tcPr>
          <w:p w14:paraId="66C8E071" w14:textId="77777777" w:rsidR="00976265" w:rsidRPr="002D7798" w:rsidRDefault="00976265">
            <w:pPr>
              <w:spacing w:before="60" w:after="60" w:line="276" w:lineRule="auto"/>
              <w:jc w:val="right"/>
              <w:rPr>
                <w:noProof/>
                <w:sz w:val="20"/>
                <w:szCs w:val="20"/>
              </w:rPr>
            </w:pPr>
          </w:p>
        </w:tc>
        <w:tc>
          <w:tcPr>
            <w:tcW w:w="1080" w:type="dxa"/>
            <w:vAlign w:val="center"/>
          </w:tcPr>
          <w:p w14:paraId="43573DA5" w14:textId="77777777" w:rsidR="00976265" w:rsidRPr="002D7798" w:rsidRDefault="00976265">
            <w:pPr>
              <w:spacing w:before="60" w:after="60" w:line="276" w:lineRule="auto"/>
              <w:jc w:val="right"/>
              <w:rPr>
                <w:noProof/>
                <w:sz w:val="20"/>
                <w:szCs w:val="20"/>
              </w:rPr>
            </w:pPr>
          </w:p>
        </w:tc>
        <w:tc>
          <w:tcPr>
            <w:tcW w:w="1080" w:type="dxa"/>
            <w:vAlign w:val="center"/>
          </w:tcPr>
          <w:p w14:paraId="04E4C0AE" w14:textId="77777777" w:rsidR="00976265" w:rsidRPr="002D7798" w:rsidRDefault="00976265">
            <w:pPr>
              <w:spacing w:before="60" w:after="60" w:line="276" w:lineRule="auto"/>
              <w:jc w:val="right"/>
              <w:rPr>
                <w:noProof/>
                <w:sz w:val="20"/>
                <w:szCs w:val="20"/>
              </w:rPr>
            </w:pPr>
          </w:p>
        </w:tc>
        <w:tc>
          <w:tcPr>
            <w:tcW w:w="1080" w:type="dxa"/>
            <w:vAlign w:val="center"/>
          </w:tcPr>
          <w:p w14:paraId="56C08F9A" w14:textId="77777777" w:rsidR="00976265" w:rsidRPr="002D7798" w:rsidRDefault="00976265">
            <w:pPr>
              <w:spacing w:before="60" w:after="60" w:line="276" w:lineRule="auto"/>
              <w:jc w:val="right"/>
              <w:rPr>
                <w:b/>
                <w:noProof/>
                <w:sz w:val="20"/>
                <w:szCs w:val="20"/>
              </w:rPr>
            </w:pPr>
          </w:p>
        </w:tc>
      </w:tr>
    </w:tbl>
    <w:p w14:paraId="4679760D" w14:textId="77777777" w:rsidR="00976265" w:rsidRPr="002D7798" w:rsidRDefault="00976265">
      <w:pPr>
        <w:spacing w:before="0" w:after="200" w:line="276" w:lineRule="auto"/>
        <w:jc w:val="left"/>
        <w:rPr>
          <w:noProof/>
          <w:sz w:val="20"/>
          <w:szCs w:val="20"/>
        </w:rPr>
      </w:pPr>
    </w:p>
    <w:tbl>
      <w:tblPr>
        <w:tblW w:w="7380" w:type="dxa"/>
        <w:tblInd w:w="-612" w:type="dxa"/>
        <w:tblLayout w:type="fixed"/>
        <w:tblLook w:val="01E0" w:firstRow="1" w:lastRow="1" w:firstColumn="1" w:lastColumn="1" w:noHBand="0" w:noVBand="0"/>
      </w:tblPr>
      <w:tblGrid>
        <w:gridCol w:w="1980"/>
        <w:gridCol w:w="1080"/>
        <w:gridCol w:w="1080"/>
        <w:gridCol w:w="1080"/>
        <w:gridCol w:w="1080"/>
        <w:gridCol w:w="1080"/>
      </w:tblGrid>
      <w:tr w:rsidR="00851B85" w:rsidRPr="002D7798" w14:paraId="02D4BC32" w14:textId="77777777">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14:paraId="3CB2A52B" w14:textId="77777777" w:rsidR="00976265" w:rsidRPr="002D7798" w:rsidRDefault="0064263D">
            <w:pPr>
              <w:spacing w:before="60" w:after="60" w:line="276" w:lineRule="auto"/>
              <w:jc w:val="center"/>
              <w:rPr>
                <w:noProof/>
                <w:sz w:val="20"/>
                <w:szCs w:val="20"/>
              </w:rPr>
            </w:pPr>
            <w:r w:rsidRPr="002D7798">
              <w:rPr>
                <w:b/>
                <w:noProof/>
                <w:sz w:val="20"/>
              </w:rPr>
              <w:t>CELKEM</w:t>
            </w:r>
          </w:p>
        </w:tc>
        <w:tc>
          <w:tcPr>
            <w:tcW w:w="1080" w:type="dxa"/>
            <w:tcBorders>
              <w:top w:val="single" w:sz="12" w:space="0" w:color="auto"/>
              <w:left w:val="single" w:sz="2" w:space="0" w:color="auto"/>
              <w:bottom w:val="single" w:sz="12" w:space="0" w:color="auto"/>
              <w:right w:val="single" w:sz="2" w:space="0" w:color="auto"/>
            </w:tcBorders>
            <w:vAlign w:val="center"/>
          </w:tcPr>
          <w:p w14:paraId="2C77314C" w14:textId="77777777" w:rsidR="00976265" w:rsidRPr="002D7798" w:rsidRDefault="0064263D">
            <w:pPr>
              <w:spacing w:before="60" w:after="60" w:line="276" w:lineRule="auto"/>
              <w:jc w:val="right"/>
              <w:rPr>
                <w:b/>
                <w:bCs/>
                <w:noProof/>
                <w:sz w:val="20"/>
                <w:szCs w:val="20"/>
              </w:rPr>
            </w:pPr>
            <w:r w:rsidRPr="002D7798">
              <w:rPr>
                <w:b/>
                <w:noProof/>
                <w:sz w:val="20"/>
              </w:rPr>
              <w:t>4</w:t>
            </w:r>
          </w:p>
        </w:tc>
        <w:tc>
          <w:tcPr>
            <w:tcW w:w="1080" w:type="dxa"/>
            <w:tcBorders>
              <w:top w:val="single" w:sz="12" w:space="0" w:color="auto"/>
              <w:left w:val="single" w:sz="2" w:space="0" w:color="auto"/>
              <w:bottom w:val="single" w:sz="12" w:space="0" w:color="auto"/>
              <w:right w:val="single" w:sz="2" w:space="0" w:color="auto"/>
            </w:tcBorders>
            <w:vAlign w:val="center"/>
          </w:tcPr>
          <w:p w14:paraId="73AAFFCE" w14:textId="77777777" w:rsidR="00976265" w:rsidRPr="002D7798" w:rsidRDefault="0064263D">
            <w:pPr>
              <w:spacing w:before="60" w:after="60" w:line="276" w:lineRule="auto"/>
              <w:jc w:val="right"/>
              <w:rPr>
                <w:b/>
                <w:bCs/>
                <w:noProof/>
                <w:sz w:val="20"/>
                <w:szCs w:val="20"/>
              </w:rPr>
            </w:pPr>
            <w:r w:rsidRPr="002D7798">
              <w:rPr>
                <w:b/>
                <w:noProof/>
                <w:sz w:val="20"/>
              </w:rPr>
              <w:t>4</w:t>
            </w:r>
          </w:p>
        </w:tc>
        <w:tc>
          <w:tcPr>
            <w:tcW w:w="1080" w:type="dxa"/>
            <w:tcBorders>
              <w:top w:val="single" w:sz="12" w:space="0" w:color="auto"/>
              <w:left w:val="single" w:sz="2" w:space="0" w:color="auto"/>
              <w:bottom w:val="single" w:sz="12" w:space="0" w:color="auto"/>
              <w:right w:val="single" w:sz="2" w:space="0" w:color="auto"/>
            </w:tcBorders>
            <w:vAlign w:val="center"/>
          </w:tcPr>
          <w:p w14:paraId="022481D1" w14:textId="77777777" w:rsidR="00976265" w:rsidRPr="002D7798" w:rsidRDefault="0064263D">
            <w:pPr>
              <w:spacing w:before="60" w:after="60" w:line="276" w:lineRule="auto"/>
              <w:jc w:val="right"/>
              <w:rPr>
                <w:b/>
                <w:bCs/>
                <w:noProof/>
                <w:sz w:val="20"/>
                <w:szCs w:val="20"/>
              </w:rPr>
            </w:pPr>
            <w:r w:rsidRPr="002D7798">
              <w:rPr>
                <w:b/>
                <w:noProof/>
                <w:sz w:val="20"/>
              </w:rPr>
              <w:t>4</w:t>
            </w:r>
          </w:p>
        </w:tc>
        <w:tc>
          <w:tcPr>
            <w:tcW w:w="1080" w:type="dxa"/>
            <w:tcBorders>
              <w:top w:val="single" w:sz="12" w:space="0" w:color="auto"/>
              <w:left w:val="single" w:sz="2" w:space="0" w:color="auto"/>
              <w:bottom w:val="single" w:sz="12" w:space="0" w:color="auto"/>
              <w:right w:val="single" w:sz="2" w:space="0" w:color="auto"/>
            </w:tcBorders>
            <w:vAlign w:val="center"/>
          </w:tcPr>
          <w:p w14:paraId="4D94EBB1" w14:textId="77777777" w:rsidR="00976265" w:rsidRPr="002D7798" w:rsidRDefault="0064263D">
            <w:pPr>
              <w:spacing w:before="60" w:after="60" w:line="276" w:lineRule="auto"/>
              <w:jc w:val="right"/>
              <w:rPr>
                <w:b/>
                <w:bCs/>
                <w:noProof/>
                <w:sz w:val="20"/>
                <w:szCs w:val="20"/>
              </w:rPr>
            </w:pPr>
            <w:r w:rsidRPr="002D7798">
              <w:rPr>
                <w:b/>
                <w:noProof/>
                <w:sz w:val="20"/>
              </w:rPr>
              <w:t>4</w:t>
            </w:r>
          </w:p>
        </w:tc>
        <w:tc>
          <w:tcPr>
            <w:tcW w:w="1080" w:type="dxa"/>
            <w:tcBorders>
              <w:top w:val="single" w:sz="12" w:space="0" w:color="auto"/>
              <w:left w:val="single" w:sz="2" w:space="0" w:color="auto"/>
              <w:bottom w:val="single" w:sz="12" w:space="0" w:color="auto"/>
              <w:right w:val="single" w:sz="12" w:space="0" w:color="auto"/>
            </w:tcBorders>
            <w:vAlign w:val="center"/>
          </w:tcPr>
          <w:p w14:paraId="6522CB0E" w14:textId="77777777" w:rsidR="00976265" w:rsidRPr="002D7798" w:rsidRDefault="0064263D">
            <w:pPr>
              <w:spacing w:before="60" w:after="60" w:line="276" w:lineRule="auto"/>
              <w:jc w:val="right"/>
              <w:rPr>
                <w:b/>
                <w:bCs/>
                <w:noProof/>
                <w:sz w:val="20"/>
                <w:szCs w:val="20"/>
              </w:rPr>
            </w:pPr>
            <w:r w:rsidRPr="002D7798">
              <w:rPr>
                <w:b/>
                <w:noProof/>
                <w:sz w:val="20"/>
              </w:rPr>
              <w:t>4</w:t>
            </w:r>
          </w:p>
        </w:tc>
      </w:tr>
    </w:tbl>
    <w:p w14:paraId="3644710E" w14:textId="77777777" w:rsidR="00976265" w:rsidRPr="002D7798" w:rsidRDefault="00976265">
      <w:pPr>
        <w:spacing w:before="0" w:after="200" w:line="276" w:lineRule="auto"/>
        <w:jc w:val="left"/>
        <w:rPr>
          <w:noProof/>
          <w:szCs w:val="20"/>
          <w:u w:val="single"/>
        </w:rPr>
      </w:pPr>
    </w:p>
    <w:p w14:paraId="7AB1E3FA" w14:textId="77777777" w:rsidR="00976265" w:rsidRPr="002D7798" w:rsidRDefault="0064263D">
      <w:pPr>
        <w:spacing w:before="0" w:after="200" w:line="276" w:lineRule="auto"/>
        <w:jc w:val="left"/>
        <w:rPr>
          <w:noProof/>
        </w:rPr>
      </w:pPr>
      <w:bookmarkStart w:id="101" w:name="_Hlk128577487"/>
      <w:r w:rsidRPr="002D7798">
        <w:rPr>
          <w:noProof/>
          <w:u w:val="single"/>
        </w:rPr>
        <w:t xml:space="preserve">Plánovaným datem náboru pro plné pracovní úvazky (FTE) je 1. leden 2024. </w:t>
      </w:r>
    </w:p>
    <w:bookmarkEnd w:id="101"/>
    <w:p w14:paraId="1583E004" w14:textId="77777777" w:rsidR="00976265" w:rsidRPr="002D7798" w:rsidRDefault="00976265">
      <w:pPr>
        <w:spacing w:before="0" w:after="200" w:line="276" w:lineRule="auto"/>
        <w:jc w:val="left"/>
        <w:rPr>
          <w:noProof/>
          <w:szCs w:val="20"/>
        </w:rPr>
        <w:sectPr w:rsidR="00976265" w:rsidRPr="002D7798" w:rsidSect="007D2204">
          <w:headerReference w:type="default" r:id="rId16"/>
          <w:footerReference w:type="default" r:id="rId17"/>
          <w:headerReference w:type="first" r:id="rId18"/>
          <w:footerReference w:type="first" r:id="rId19"/>
          <w:pgSz w:w="11907" w:h="16839"/>
          <w:pgMar w:top="1134" w:right="1417" w:bottom="1134" w:left="1417" w:header="709" w:footer="709" w:gutter="0"/>
          <w:cols w:space="720"/>
          <w:docGrid w:linePitch="326"/>
        </w:sectPr>
      </w:pPr>
    </w:p>
    <w:p w14:paraId="7F35A608" w14:textId="77777777" w:rsidR="00976265" w:rsidRPr="002D7798" w:rsidRDefault="0064263D">
      <w:pPr>
        <w:keepNext/>
        <w:tabs>
          <w:tab w:val="left" w:pos="850"/>
        </w:tabs>
        <w:ind w:left="850" w:hanging="850"/>
        <w:outlineLvl w:val="3"/>
        <w:rPr>
          <w:bCs/>
          <w:noProof/>
          <w:szCs w:val="24"/>
        </w:rPr>
      </w:pPr>
      <w:r w:rsidRPr="002D7798">
        <w:rPr>
          <w:noProof/>
        </w:rPr>
        <w:t>3.2.3.2.</w:t>
      </w:r>
      <w:r w:rsidRPr="002D7798">
        <w:rPr>
          <w:noProof/>
        </w:rPr>
        <w:tab/>
        <w:t>Odhadované potřeby v oblasti lidských zdrojů pro mateřské GŘ</w:t>
      </w:r>
    </w:p>
    <w:p w14:paraId="482F8408" w14:textId="77777777" w:rsidR="00976265" w:rsidRPr="002D7798" w:rsidRDefault="0064263D">
      <w:pPr>
        <w:tabs>
          <w:tab w:val="num" w:pos="1134"/>
        </w:tabs>
        <w:ind w:left="1134" w:hanging="283"/>
        <w:rPr>
          <w:noProof/>
        </w:rPr>
      </w:pPr>
      <w:r w:rsidRPr="002D7798">
        <w:rPr>
          <w:rFonts w:ascii="Wingdings" w:hAnsi="Wingdings"/>
          <w:noProof/>
        </w:rPr>
        <w:t></w:t>
      </w:r>
      <w:r w:rsidRPr="002D7798">
        <w:rPr>
          <w:noProof/>
        </w:rPr>
        <w:tab/>
        <w:t xml:space="preserve">Návrh/podnět nevyžaduje využití lidských zdrojů. </w:t>
      </w:r>
    </w:p>
    <w:p w14:paraId="61E8FBF3" w14:textId="77777777" w:rsidR="00976265" w:rsidRPr="002D7798" w:rsidRDefault="0064263D">
      <w:pPr>
        <w:tabs>
          <w:tab w:val="num" w:pos="1134"/>
        </w:tabs>
        <w:ind w:left="1134" w:hanging="283"/>
        <w:rPr>
          <w:noProof/>
        </w:rPr>
      </w:pPr>
      <w:r w:rsidRPr="002D7798">
        <w:rPr>
          <w:rFonts w:ascii="Wingdings" w:hAnsi="Wingdings"/>
          <w:noProof/>
        </w:rPr>
        <w:t></w:t>
      </w:r>
      <w:r w:rsidRPr="002D7798">
        <w:rPr>
          <w:noProof/>
        </w:rPr>
        <w:tab/>
        <w:t>Návrh/podnět vyžaduje využití lidských zdrojů, jak je vysvětleno dále:</w:t>
      </w:r>
    </w:p>
    <w:p w14:paraId="42167956" w14:textId="77777777" w:rsidR="00976265" w:rsidRPr="002D7798" w:rsidRDefault="0064263D">
      <w:pPr>
        <w:spacing w:before="0" w:after="60" w:line="276" w:lineRule="auto"/>
        <w:jc w:val="right"/>
        <w:rPr>
          <w:i/>
          <w:noProof/>
          <w:sz w:val="20"/>
          <w:szCs w:val="20"/>
        </w:rPr>
      </w:pPr>
      <w:r w:rsidRPr="002D7798">
        <w:rPr>
          <w:i/>
          <w:noProof/>
          <w:sz w:val="20"/>
        </w:rPr>
        <w:t>Odhad vyjádřete v celých číslech (nebo zaokrouhlete nejvýše na jedno desetinné místo)</w:t>
      </w:r>
    </w:p>
    <w:tbl>
      <w:tblPr>
        <w:tblW w:w="5402"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44"/>
        <w:gridCol w:w="2058"/>
        <w:gridCol w:w="757"/>
        <w:gridCol w:w="757"/>
        <w:gridCol w:w="815"/>
        <w:gridCol w:w="998"/>
        <w:gridCol w:w="851"/>
        <w:gridCol w:w="849"/>
        <w:gridCol w:w="897"/>
        <w:gridCol w:w="10"/>
      </w:tblGrid>
      <w:tr w:rsidR="00851B85" w:rsidRPr="002D7798" w14:paraId="6662F17B" w14:textId="77777777" w:rsidTr="208CACCC">
        <w:trPr>
          <w:gridAfter w:val="1"/>
          <w:wAfter w:w="5" w:type="pct"/>
          <w:trHeight w:val="289"/>
          <w:jc w:val="center"/>
        </w:trPr>
        <w:tc>
          <w:tcPr>
            <w:tcW w:w="2043" w:type="pct"/>
            <w:gridSpan w:val="2"/>
            <w:shd w:val="clear" w:color="auto" w:fill="auto"/>
          </w:tcPr>
          <w:p w14:paraId="7339ACD5" w14:textId="77777777" w:rsidR="00976265" w:rsidRPr="002D7798" w:rsidRDefault="00976265">
            <w:pPr>
              <w:spacing w:before="40" w:after="40" w:line="276" w:lineRule="auto"/>
              <w:rPr>
                <w:i/>
                <w:noProof/>
                <w:sz w:val="20"/>
              </w:rPr>
            </w:pPr>
          </w:p>
        </w:tc>
        <w:tc>
          <w:tcPr>
            <w:tcW w:w="377" w:type="pct"/>
            <w:shd w:val="clear" w:color="auto" w:fill="auto"/>
            <w:vAlign w:val="center"/>
          </w:tcPr>
          <w:p w14:paraId="06A86A5B" w14:textId="77777777" w:rsidR="00976265" w:rsidRPr="002D7798" w:rsidRDefault="0064263D">
            <w:pPr>
              <w:spacing w:before="20" w:after="20" w:line="276" w:lineRule="auto"/>
              <w:jc w:val="center"/>
              <w:rPr>
                <w:b/>
                <w:bCs/>
                <w:noProof/>
                <w:sz w:val="20"/>
                <w:szCs w:val="20"/>
              </w:rPr>
            </w:pPr>
            <w:r w:rsidRPr="002D7798">
              <w:rPr>
                <w:noProof/>
                <w:sz w:val="20"/>
              </w:rPr>
              <w:t>Rok</w:t>
            </w:r>
            <w:r w:rsidRPr="002D7798">
              <w:rPr>
                <w:noProof/>
              </w:rPr>
              <w:t xml:space="preserve"> </w:t>
            </w:r>
            <w:r w:rsidRPr="002D7798">
              <w:rPr>
                <w:noProof/>
              </w:rPr>
              <w:br/>
            </w:r>
            <w:r w:rsidRPr="002D7798">
              <w:rPr>
                <w:b/>
                <w:noProof/>
                <w:sz w:val="20"/>
              </w:rPr>
              <w:t>2024</w:t>
            </w:r>
          </w:p>
        </w:tc>
        <w:tc>
          <w:tcPr>
            <w:tcW w:w="377" w:type="pct"/>
            <w:shd w:val="clear" w:color="auto" w:fill="auto"/>
            <w:vAlign w:val="center"/>
          </w:tcPr>
          <w:p w14:paraId="0604EC05" w14:textId="77777777" w:rsidR="00976265" w:rsidRPr="002D7798" w:rsidRDefault="0064263D">
            <w:pPr>
              <w:spacing w:before="20" w:after="20" w:line="276" w:lineRule="auto"/>
              <w:jc w:val="center"/>
              <w:rPr>
                <w:b/>
                <w:bCs/>
                <w:noProof/>
                <w:sz w:val="20"/>
                <w:szCs w:val="20"/>
              </w:rPr>
            </w:pPr>
            <w:r w:rsidRPr="002D7798">
              <w:rPr>
                <w:noProof/>
                <w:sz w:val="20"/>
              </w:rPr>
              <w:t>Rok</w:t>
            </w:r>
            <w:r w:rsidRPr="002D7798">
              <w:rPr>
                <w:noProof/>
              </w:rPr>
              <w:t xml:space="preserve"> </w:t>
            </w:r>
            <w:r w:rsidRPr="002D7798">
              <w:rPr>
                <w:noProof/>
              </w:rPr>
              <w:br/>
            </w:r>
            <w:r w:rsidRPr="002D7798">
              <w:rPr>
                <w:b/>
                <w:noProof/>
                <w:sz w:val="20"/>
              </w:rPr>
              <w:t>2025</w:t>
            </w:r>
          </w:p>
        </w:tc>
        <w:tc>
          <w:tcPr>
            <w:tcW w:w="406" w:type="pct"/>
            <w:shd w:val="clear" w:color="auto" w:fill="auto"/>
            <w:vAlign w:val="center"/>
          </w:tcPr>
          <w:p w14:paraId="05DF2FD2" w14:textId="77777777" w:rsidR="00976265" w:rsidRPr="002D7798" w:rsidRDefault="0064263D">
            <w:pPr>
              <w:spacing w:before="20" w:after="20" w:line="276" w:lineRule="auto"/>
              <w:jc w:val="center"/>
              <w:rPr>
                <w:b/>
                <w:bCs/>
                <w:noProof/>
                <w:sz w:val="20"/>
                <w:szCs w:val="20"/>
              </w:rPr>
            </w:pPr>
            <w:r w:rsidRPr="002D7798">
              <w:rPr>
                <w:noProof/>
                <w:sz w:val="20"/>
              </w:rPr>
              <w:t xml:space="preserve">Rok </w:t>
            </w:r>
            <w:r w:rsidRPr="002D7798">
              <w:rPr>
                <w:b/>
                <w:noProof/>
                <w:sz w:val="20"/>
              </w:rPr>
              <w:t>2026</w:t>
            </w:r>
          </w:p>
        </w:tc>
        <w:tc>
          <w:tcPr>
            <w:tcW w:w="497" w:type="pct"/>
            <w:shd w:val="clear" w:color="auto" w:fill="auto"/>
            <w:vAlign w:val="center"/>
          </w:tcPr>
          <w:p w14:paraId="5E3A4103" w14:textId="77777777" w:rsidR="00976265" w:rsidRPr="002D7798" w:rsidRDefault="0064263D">
            <w:pPr>
              <w:spacing w:before="20" w:after="20" w:line="276" w:lineRule="auto"/>
              <w:jc w:val="center"/>
              <w:rPr>
                <w:b/>
                <w:bCs/>
                <w:noProof/>
                <w:sz w:val="20"/>
                <w:szCs w:val="20"/>
              </w:rPr>
            </w:pPr>
            <w:r w:rsidRPr="002D7798">
              <w:rPr>
                <w:noProof/>
                <w:sz w:val="20"/>
              </w:rPr>
              <w:t xml:space="preserve">Rok </w:t>
            </w:r>
            <w:r w:rsidRPr="002D7798">
              <w:rPr>
                <w:b/>
                <w:noProof/>
                <w:sz w:val="20"/>
              </w:rPr>
              <w:t>2027</w:t>
            </w:r>
          </w:p>
        </w:tc>
        <w:tc>
          <w:tcPr>
            <w:tcW w:w="1294" w:type="pct"/>
            <w:gridSpan w:val="3"/>
            <w:shd w:val="clear" w:color="auto" w:fill="auto"/>
            <w:vAlign w:val="center"/>
          </w:tcPr>
          <w:p w14:paraId="7BDCF2FE" w14:textId="77777777" w:rsidR="00976265" w:rsidRPr="002D7798" w:rsidRDefault="0064263D">
            <w:pPr>
              <w:tabs>
                <w:tab w:val="left" w:pos="685"/>
              </w:tabs>
              <w:spacing w:before="0" w:after="200" w:line="276" w:lineRule="auto"/>
              <w:jc w:val="center"/>
              <w:rPr>
                <w:b/>
                <w:noProof/>
                <w:sz w:val="20"/>
                <w:szCs w:val="20"/>
              </w:rPr>
            </w:pPr>
            <w:r w:rsidRPr="002D7798">
              <w:rPr>
                <w:noProof/>
                <w:sz w:val="20"/>
              </w:rPr>
              <w:t>Vložit počet let podle trvání finančního dopadu (viz bod 1.6)</w:t>
            </w:r>
          </w:p>
        </w:tc>
      </w:tr>
      <w:tr w:rsidR="00851B85" w:rsidRPr="002D7798" w14:paraId="002667F5" w14:textId="77777777" w:rsidTr="208CACCC">
        <w:trPr>
          <w:trHeight w:val="289"/>
          <w:jc w:val="center"/>
        </w:trPr>
        <w:tc>
          <w:tcPr>
            <w:tcW w:w="2043" w:type="pct"/>
            <w:gridSpan w:val="2"/>
            <w:shd w:val="clear" w:color="auto" w:fill="auto"/>
            <w:vAlign w:val="center"/>
          </w:tcPr>
          <w:p w14:paraId="7CD6FB95" w14:textId="77777777" w:rsidR="00976265" w:rsidRPr="002D7798" w:rsidRDefault="0064263D" w:rsidP="00BC16CB">
            <w:pPr>
              <w:numPr>
                <w:ilvl w:val="0"/>
                <w:numId w:val="30"/>
              </w:numPr>
              <w:tabs>
                <w:tab w:val="left" w:pos="208"/>
              </w:tabs>
              <w:spacing w:beforeLines="20" w:before="48" w:afterLines="20" w:after="48" w:line="276" w:lineRule="auto"/>
              <w:ind w:left="208" w:hanging="120"/>
              <w:jc w:val="left"/>
              <w:rPr>
                <w:b/>
                <w:noProof/>
                <w:sz w:val="20"/>
              </w:rPr>
            </w:pPr>
            <w:r w:rsidRPr="002D7798">
              <w:rPr>
                <w:b/>
                <w:noProof/>
                <w:sz w:val="20"/>
              </w:rPr>
              <w:t>Pracovní místa podle plánu pracovních míst (místa úředníků a dočasných zaměstnanců)</w:t>
            </w:r>
          </w:p>
        </w:tc>
        <w:tc>
          <w:tcPr>
            <w:tcW w:w="377" w:type="pct"/>
            <w:shd w:val="clear" w:color="auto" w:fill="auto"/>
            <w:vAlign w:val="center"/>
          </w:tcPr>
          <w:p w14:paraId="5E7E85A7" w14:textId="77777777" w:rsidR="00976265" w:rsidRPr="002D7798" w:rsidRDefault="00976265">
            <w:pPr>
              <w:spacing w:beforeLines="20" w:before="48" w:afterLines="20" w:after="48" w:line="276" w:lineRule="auto"/>
              <w:jc w:val="center"/>
              <w:rPr>
                <w:noProof/>
                <w:sz w:val="20"/>
                <w:szCs w:val="20"/>
              </w:rPr>
            </w:pPr>
          </w:p>
        </w:tc>
        <w:tc>
          <w:tcPr>
            <w:tcW w:w="377" w:type="pct"/>
            <w:shd w:val="clear" w:color="auto" w:fill="auto"/>
            <w:vAlign w:val="center"/>
          </w:tcPr>
          <w:p w14:paraId="36DA41B1" w14:textId="77777777" w:rsidR="00976265" w:rsidRPr="002D7798" w:rsidRDefault="00976265">
            <w:pPr>
              <w:spacing w:beforeLines="20" w:before="48" w:afterLines="20" w:after="48" w:line="276" w:lineRule="auto"/>
              <w:jc w:val="center"/>
              <w:rPr>
                <w:noProof/>
                <w:sz w:val="20"/>
                <w:szCs w:val="20"/>
              </w:rPr>
            </w:pPr>
          </w:p>
        </w:tc>
        <w:tc>
          <w:tcPr>
            <w:tcW w:w="406" w:type="pct"/>
            <w:shd w:val="clear" w:color="auto" w:fill="auto"/>
            <w:vAlign w:val="center"/>
          </w:tcPr>
          <w:p w14:paraId="6E16FDF6" w14:textId="77777777" w:rsidR="00976265" w:rsidRPr="002D7798" w:rsidRDefault="00976265">
            <w:pPr>
              <w:spacing w:beforeLines="20" w:before="48" w:afterLines="20" w:after="48" w:line="276" w:lineRule="auto"/>
              <w:jc w:val="center"/>
              <w:rPr>
                <w:noProof/>
                <w:sz w:val="20"/>
                <w:szCs w:val="20"/>
              </w:rPr>
            </w:pPr>
          </w:p>
        </w:tc>
        <w:tc>
          <w:tcPr>
            <w:tcW w:w="497" w:type="pct"/>
            <w:shd w:val="clear" w:color="auto" w:fill="auto"/>
            <w:vAlign w:val="center"/>
          </w:tcPr>
          <w:p w14:paraId="0319BE55" w14:textId="77777777" w:rsidR="00976265" w:rsidRPr="002D7798" w:rsidRDefault="00976265">
            <w:pPr>
              <w:spacing w:beforeLines="20" w:before="48" w:afterLines="20" w:after="48" w:line="276" w:lineRule="auto"/>
              <w:jc w:val="center"/>
              <w:rPr>
                <w:noProof/>
                <w:sz w:val="20"/>
                <w:szCs w:val="20"/>
              </w:rPr>
            </w:pPr>
          </w:p>
        </w:tc>
        <w:tc>
          <w:tcPr>
            <w:tcW w:w="424" w:type="pct"/>
            <w:shd w:val="clear" w:color="auto" w:fill="auto"/>
            <w:vAlign w:val="center"/>
          </w:tcPr>
          <w:p w14:paraId="0DA76F04" w14:textId="77777777" w:rsidR="00976265" w:rsidRPr="002D7798" w:rsidRDefault="00976265">
            <w:pPr>
              <w:spacing w:beforeLines="20" w:before="48" w:afterLines="20" w:after="48" w:line="276" w:lineRule="auto"/>
              <w:jc w:val="center"/>
              <w:rPr>
                <w:noProof/>
                <w:sz w:val="20"/>
                <w:szCs w:val="20"/>
              </w:rPr>
            </w:pPr>
          </w:p>
        </w:tc>
        <w:tc>
          <w:tcPr>
            <w:tcW w:w="423" w:type="pct"/>
            <w:shd w:val="clear" w:color="auto" w:fill="auto"/>
            <w:vAlign w:val="center"/>
          </w:tcPr>
          <w:p w14:paraId="6B5A9F68" w14:textId="77777777" w:rsidR="00976265" w:rsidRPr="002D7798" w:rsidRDefault="00976265">
            <w:pPr>
              <w:spacing w:beforeLines="20" w:before="48" w:afterLines="20" w:after="48" w:line="276" w:lineRule="auto"/>
              <w:jc w:val="center"/>
              <w:rPr>
                <w:noProof/>
                <w:sz w:val="20"/>
                <w:szCs w:val="20"/>
              </w:rPr>
            </w:pPr>
          </w:p>
        </w:tc>
        <w:tc>
          <w:tcPr>
            <w:tcW w:w="452" w:type="pct"/>
            <w:gridSpan w:val="2"/>
            <w:shd w:val="clear" w:color="auto" w:fill="auto"/>
            <w:vAlign w:val="center"/>
          </w:tcPr>
          <w:p w14:paraId="0EA2370B" w14:textId="77777777" w:rsidR="00976265" w:rsidRPr="002D7798" w:rsidRDefault="00976265">
            <w:pPr>
              <w:spacing w:beforeLines="20" w:before="48" w:afterLines="20" w:after="48" w:line="276" w:lineRule="auto"/>
              <w:jc w:val="center"/>
              <w:rPr>
                <w:noProof/>
                <w:sz w:val="20"/>
                <w:szCs w:val="20"/>
              </w:rPr>
            </w:pPr>
          </w:p>
        </w:tc>
      </w:tr>
      <w:tr w:rsidR="00851B85" w:rsidRPr="002D7798" w14:paraId="315D0C64" w14:textId="77777777" w:rsidTr="208CACCC">
        <w:trPr>
          <w:trHeight w:val="289"/>
          <w:jc w:val="center"/>
        </w:trPr>
        <w:tc>
          <w:tcPr>
            <w:tcW w:w="2043" w:type="pct"/>
            <w:gridSpan w:val="2"/>
            <w:shd w:val="clear" w:color="auto" w:fill="auto"/>
            <w:vAlign w:val="center"/>
          </w:tcPr>
          <w:p w14:paraId="5C6ED601" w14:textId="77777777" w:rsidR="00976265" w:rsidRPr="002D7798" w:rsidRDefault="0064263D">
            <w:pPr>
              <w:spacing w:beforeLines="20" w:before="48" w:afterLines="20" w:after="48" w:line="276" w:lineRule="auto"/>
              <w:ind w:left="984"/>
              <w:jc w:val="left"/>
              <w:rPr>
                <w:b/>
                <w:noProof/>
                <w:sz w:val="20"/>
              </w:rPr>
            </w:pPr>
            <w:r w:rsidRPr="002D7798">
              <w:rPr>
                <w:noProof/>
                <w:sz w:val="20"/>
              </w:rPr>
              <w:t>20 01 02 01 a 20 01 02 02 (v ústředí a v zastoupeních Komise)</w:t>
            </w:r>
          </w:p>
        </w:tc>
        <w:tc>
          <w:tcPr>
            <w:tcW w:w="377" w:type="pct"/>
            <w:shd w:val="clear" w:color="auto" w:fill="auto"/>
            <w:vAlign w:val="center"/>
          </w:tcPr>
          <w:p w14:paraId="2314C074" w14:textId="77777777" w:rsidR="00976265" w:rsidRPr="002D7798" w:rsidRDefault="0064263D">
            <w:pPr>
              <w:spacing w:beforeLines="20" w:before="48" w:afterLines="20" w:after="48" w:line="276" w:lineRule="auto"/>
              <w:jc w:val="center"/>
              <w:rPr>
                <w:noProof/>
                <w:sz w:val="20"/>
                <w:szCs w:val="20"/>
              </w:rPr>
            </w:pPr>
            <w:r w:rsidRPr="002D7798">
              <w:rPr>
                <w:noProof/>
                <w:sz w:val="20"/>
              </w:rPr>
              <w:t>3</w:t>
            </w:r>
          </w:p>
        </w:tc>
        <w:tc>
          <w:tcPr>
            <w:tcW w:w="377" w:type="pct"/>
            <w:shd w:val="clear" w:color="auto" w:fill="auto"/>
            <w:vAlign w:val="center"/>
          </w:tcPr>
          <w:p w14:paraId="6E27ED11" w14:textId="77777777" w:rsidR="00976265" w:rsidRPr="002D7798" w:rsidRDefault="0064263D">
            <w:pPr>
              <w:spacing w:beforeLines="20" w:before="48" w:afterLines="20" w:after="48" w:line="276" w:lineRule="auto"/>
              <w:jc w:val="center"/>
              <w:rPr>
                <w:noProof/>
                <w:sz w:val="20"/>
                <w:szCs w:val="20"/>
              </w:rPr>
            </w:pPr>
            <w:r w:rsidRPr="002D7798">
              <w:rPr>
                <w:noProof/>
                <w:sz w:val="20"/>
              </w:rPr>
              <w:t>3</w:t>
            </w:r>
          </w:p>
        </w:tc>
        <w:tc>
          <w:tcPr>
            <w:tcW w:w="406" w:type="pct"/>
            <w:shd w:val="clear" w:color="auto" w:fill="auto"/>
            <w:vAlign w:val="center"/>
          </w:tcPr>
          <w:p w14:paraId="0CBE9798" w14:textId="77777777" w:rsidR="00976265" w:rsidRPr="002D7798" w:rsidRDefault="0064263D">
            <w:pPr>
              <w:spacing w:beforeLines="20" w:before="48" w:afterLines="20" w:after="48" w:line="276" w:lineRule="auto"/>
              <w:jc w:val="center"/>
              <w:rPr>
                <w:noProof/>
                <w:sz w:val="20"/>
                <w:szCs w:val="20"/>
              </w:rPr>
            </w:pPr>
            <w:r w:rsidRPr="002D7798">
              <w:rPr>
                <w:noProof/>
                <w:sz w:val="20"/>
              </w:rPr>
              <w:t>3</w:t>
            </w:r>
          </w:p>
        </w:tc>
        <w:tc>
          <w:tcPr>
            <w:tcW w:w="497" w:type="pct"/>
            <w:shd w:val="clear" w:color="auto" w:fill="auto"/>
            <w:vAlign w:val="center"/>
          </w:tcPr>
          <w:p w14:paraId="06CA63C9" w14:textId="77777777" w:rsidR="00976265" w:rsidRPr="002D7798" w:rsidRDefault="0064263D">
            <w:pPr>
              <w:spacing w:beforeLines="20" w:before="48" w:afterLines="20" w:after="48" w:line="276" w:lineRule="auto"/>
              <w:jc w:val="center"/>
              <w:rPr>
                <w:noProof/>
                <w:sz w:val="20"/>
                <w:szCs w:val="20"/>
              </w:rPr>
            </w:pPr>
            <w:r w:rsidRPr="002D7798">
              <w:rPr>
                <w:noProof/>
                <w:sz w:val="20"/>
              </w:rPr>
              <w:t>3</w:t>
            </w:r>
          </w:p>
        </w:tc>
        <w:tc>
          <w:tcPr>
            <w:tcW w:w="424" w:type="pct"/>
            <w:shd w:val="clear" w:color="auto" w:fill="auto"/>
            <w:vAlign w:val="center"/>
          </w:tcPr>
          <w:p w14:paraId="1D62C706" w14:textId="77777777" w:rsidR="00976265" w:rsidRPr="002D7798" w:rsidRDefault="00976265">
            <w:pPr>
              <w:spacing w:beforeLines="20" w:before="48" w:afterLines="20" w:after="48" w:line="276" w:lineRule="auto"/>
              <w:jc w:val="center"/>
              <w:rPr>
                <w:noProof/>
                <w:sz w:val="20"/>
                <w:szCs w:val="20"/>
              </w:rPr>
            </w:pPr>
          </w:p>
        </w:tc>
        <w:tc>
          <w:tcPr>
            <w:tcW w:w="423" w:type="pct"/>
            <w:shd w:val="clear" w:color="auto" w:fill="auto"/>
            <w:vAlign w:val="center"/>
          </w:tcPr>
          <w:p w14:paraId="717A0313" w14:textId="77777777" w:rsidR="00976265" w:rsidRPr="002D7798" w:rsidRDefault="00976265">
            <w:pPr>
              <w:spacing w:beforeLines="20" w:before="48" w:afterLines="20" w:after="48" w:line="276" w:lineRule="auto"/>
              <w:jc w:val="center"/>
              <w:rPr>
                <w:noProof/>
                <w:sz w:val="20"/>
                <w:szCs w:val="20"/>
              </w:rPr>
            </w:pPr>
          </w:p>
        </w:tc>
        <w:tc>
          <w:tcPr>
            <w:tcW w:w="452" w:type="pct"/>
            <w:gridSpan w:val="2"/>
            <w:shd w:val="clear" w:color="auto" w:fill="auto"/>
            <w:vAlign w:val="center"/>
          </w:tcPr>
          <w:p w14:paraId="70D4DE32" w14:textId="77777777" w:rsidR="00976265" w:rsidRPr="002D7798" w:rsidRDefault="00976265">
            <w:pPr>
              <w:spacing w:beforeLines="20" w:before="48" w:afterLines="20" w:after="48" w:line="276" w:lineRule="auto"/>
              <w:jc w:val="center"/>
              <w:rPr>
                <w:noProof/>
                <w:sz w:val="20"/>
                <w:szCs w:val="20"/>
              </w:rPr>
            </w:pPr>
          </w:p>
        </w:tc>
      </w:tr>
      <w:tr w:rsidR="00851B85" w:rsidRPr="002D7798" w14:paraId="68BE7725" w14:textId="77777777" w:rsidTr="208CACCC">
        <w:trPr>
          <w:trHeight w:val="289"/>
          <w:jc w:val="center"/>
        </w:trPr>
        <w:tc>
          <w:tcPr>
            <w:tcW w:w="2043" w:type="pct"/>
            <w:gridSpan w:val="2"/>
            <w:shd w:val="clear" w:color="auto" w:fill="auto"/>
            <w:vAlign w:val="center"/>
          </w:tcPr>
          <w:p w14:paraId="59B12547" w14:textId="77777777" w:rsidR="00976265" w:rsidRPr="002D7798" w:rsidRDefault="0064263D">
            <w:pPr>
              <w:spacing w:beforeLines="20" w:before="48" w:afterLines="20" w:after="48" w:line="276" w:lineRule="auto"/>
              <w:ind w:left="984"/>
              <w:jc w:val="left"/>
              <w:rPr>
                <w:noProof/>
                <w:sz w:val="20"/>
              </w:rPr>
            </w:pPr>
            <w:r w:rsidRPr="002D7798">
              <w:rPr>
                <w:noProof/>
                <w:sz w:val="20"/>
              </w:rPr>
              <w:t>20 01 02 03 (při delegacích)</w:t>
            </w:r>
          </w:p>
        </w:tc>
        <w:tc>
          <w:tcPr>
            <w:tcW w:w="377" w:type="pct"/>
            <w:shd w:val="clear" w:color="auto" w:fill="auto"/>
            <w:vAlign w:val="center"/>
          </w:tcPr>
          <w:p w14:paraId="7BF00389" w14:textId="77777777" w:rsidR="00976265" w:rsidRPr="002D7798" w:rsidRDefault="00976265">
            <w:pPr>
              <w:spacing w:beforeLines="20" w:before="48" w:afterLines="20" w:after="48" w:line="276" w:lineRule="auto"/>
              <w:jc w:val="center"/>
              <w:rPr>
                <w:noProof/>
                <w:sz w:val="20"/>
                <w:szCs w:val="20"/>
              </w:rPr>
            </w:pPr>
          </w:p>
        </w:tc>
        <w:tc>
          <w:tcPr>
            <w:tcW w:w="377" w:type="pct"/>
            <w:shd w:val="clear" w:color="auto" w:fill="auto"/>
            <w:vAlign w:val="center"/>
          </w:tcPr>
          <w:p w14:paraId="41C48A71" w14:textId="77777777" w:rsidR="00976265" w:rsidRPr="002D7798" w:rsidRDefault="00976265">
            <w:pPr>
              <w:spacing w:beforeLines="20" w:before="48" w:afterLines="20" w:after="48" w:line="276" w:lineRule="auto"/>
              <w:jc w:val="center"/>
              <w:rPr>
                <w:noProof/>
                <w:sz w:val="20"/>
                <w:szCs w:val="20"/>
              </w:rPr>
            </w:pPr>
          </w:p>
        </w:tc>
        <w:tc>
          <w:tcPr>
            <w:tcW w:w="406" w:type="pct"/>
            <w:shd w:val="clear" w:color="auto" w:fill="auto"/>
            <w:vAlign w:val="center"/>
          </w:tcPr>
          <w:p w14:paraId="2BFFEBA4" w14:textId="77777777" w:rsidR="00976265" w:rsidRPr="002D7798" w:rsidRDefault="00976265">
            <w:pPr>
              <w:spacing w:beforeLines="20" w:before="48" w:afterLines="20" w:after="48" w:line="276" w:lineRule="auto"/>
              <w:jc w:val="center"/>
              <w:rPr>
                <w:noProof/>
                <w:sz w:val="20"/>
                <w:szCs w:val="20"/>
              </w:rPr>
            </w:pPr>
          </w:p>
        </w:tc>
        <w:tc>
          <w:tcPr>
            <w:tcW w:w="497" w:type="pct"/>
            <w:shd w:val="clear" w:color="auto" w:fill="auto"/>
            <w:vAlign w:val="center"/>
          </w:tcPr>
          <w:p w14:paraId="13FFBD36" w14:textId="77777777" w:rsidR="00976265" w:rsidRPr="002D7798" w:rsidRDefault="00976265">
            <w:pPr>
              <w:spacing w:beforeLines="20" w:before="48" w:afterLines="20" w:after="48" w:line="276" w:lineRule="auto"/>
              <w:jc w:val="center"/>
              <w:rPr>
                <w:noProof/>
                <w:sz w:val="20"/>
                <w:szCs w:val="20"/>
              </w:rPr>
            </w:pPr>
          </w:p>
        </w:tc>
        <w:tc>
          <w:tcPr>
            <w:tcW w:w="424" w:type="pct"/>
            <w:shd w:val="clear" w:color="auto" w:fill="auto"/>
            <w:vAlign w:val="center"/>
          </w:tcPr>
          <w:p w14:paraId="550A70CC" w14:textId="77777777" w:rsidR="00976265" w:rsidRPr="002D7798" w:rsidRDefault="00976265">
            <w:pPr>
              <w:spacing w:beforeLines="20" w:before="48" w:afterLines="20" w:after="48" w:line="276" w:lineRule="auto"/>
              <w:jc w:val="center"/>
              <w:rPr>
                <w:noProof/>
                <w:sz w:val="20"/>
                <w:szCs w:val="20"/>
              </w:rPr>
            </w:pPr>
          </w:p>
        </w:tc>
        <w:tc>
          <w:tcPr>
            <w:tcW w:w="423" w:type="pct"/>
            <w:shd w:val="clear" w:color="auto" w:fill="auto"/>
            <w:vAlign w:val="center"/>
          </w:tcPr>
          <w:p w14:paraId="0C961416" w14:textId="77777777" w:rsidR="00976265" w:rsidRPr="002D7798" w:rsidRDefault="00976265">
            <w:pPr>
              <w:spacing w:beforeLines="20" w:before="48" w:afterLines="20" w:after="48" w:line="276" w:lineRule="auto"/>
              <w:jc w:val="center"/>
              <w:rPr>
                <w:noProof/>
                <w:sz w:val="20"/>
                <w:szCs w:val="20"/>
              </w:rPr>
            </w:pPr>
          </w:p>
        </w:tc>
        <w:tc>
          <w:tcPr>
            <w:tcW w:w="452" w:type="pct"/>
            <w:gridSpan w:val="2"/>
            <w:shd w:val="clear" w:color="auto" w:fill="auto"/>
            <w:vAlign w:val="center"/>
          </w:tcPr>
          <w:p w14:paraId="748D3887" w14:textId="77777777" w:rsidR="00976265" w:rsidRPr="002D7798" w:rsidRDefault="00976265">
            <w:pPr>
              <w:spacing w:beforeLines="20" w:before="48" w:afterLines="20" w:after="48" w:line="276" w:lineRule="auto"/>
              <w:jc w:val="center"/>
              <w:rPr>
                <w:noProof/>
                <w:sz w:val="20"/>
                <w:szCs w:val="20"/>
              </w:rPr>
            </w:pPr>
          </w:p>
        </w:tc>
      </w:tr>
      <w:tr w:rsidR="00851B85" w:rsidRPr="002D7798" w14:paraId="33BF9C78" w14:textId="77777777" w:rsidTr="208CACCC">
        <w:trPr>
          <w:trHeight w:val="953"/>
          <w:jc w:val="center"/>
        </w:trPr>
        <w:tc>
          <w:tcPr>
            <w:tcW w:w="2043" w:type="pct"/>
            <w:gridSpan w:val="2"/>
            <w:shd w:val="clear" w:color="auto" w:fill="auto"/>
            <w:vAlign w:val="center"/>
          </w:tcPr>
          <w:p w14:paraId="6DEDBA0E" w14:textId="77777777" w:rsidR="00976265" w:rsidRPr="002D7798" w:rsidRDefault="0064263D">
            <w:pPr>
              <w:spacing w:beforeLines="20" w:before="48" w:afterLines="20" w:after="48" w:line="276" w:lineRule="auto"/>
              <w:ind w:left="984"/>
              <w:jc w:val="left"/>
              <w:rPr>
                <w:noProof/>
                <w:sz w:val="20"/>
              </w:rPr>
            </w:pPr>
            <w:r w:rsidRPr="002D7798">
              <w:rPr>
                <w:noProof/>
                <w:sz w:val="20"/>
              </w:rPr>
              <w:t>01 01 01 01 (v nepřímém výzkumu)</w:t>
            </w:r>
          </w:p>
        </w:tc>
        <w:tc>
          <w:tcPr>
            <w:tcW w:w="377" w:type="pct"/>
            <w:shd w:val="clear" w:color="auto" w:fill="auto"/>
            <w:vAlign w:val="center"/>
          </w:tcPr>
          <w:p w14:paraId="54078F57" w14:textId="77777777" w:rsidR="00976265" w:rsidRPr="002D7798" w:rsidRDefault="00976265">
            <w:pPr>
              <w:spacing w:beforeLines="20" w:before="48" w:afterLines="20" w:after="48" w:line="276" w:lineRule="auto"/>
              <w:jc w:val="center"/>
              <w:rPr>
                <w:noProof/>
                <w:sz w:val="20"/>
                <w:szCs w:val="20"/>
              </w:rPr>
            </w:pPr>
          </w:p>
        </w:tc>
        <w:tc>
          <w:tcPr>
            <w:tcW w:w="377" w:type="pct"/>
            <w:shd w:val="clear" w:color="auto" w:fill="auto"/>
            <w:vAlign w:val="center"/>
          </w:tcPr>
          <w:p w14:paraId="4112D7F1" w14:textId="77777777" w:rsidR="00976265" w:rsidRPr="002D7798" w:rsidRDefault="00976265">
            <w:pPr>
              <w:spacing w:beforeLines="20" w:before="48" w:afterLines="20" w:after="48" w:line="276" w:lineRule="auto"/>
              <w:jc w:val="center"/>
              <w:rPr>
                <w:noProof/>
                <w:sz w:val="20"/>
                <w:szCs w:val="20"/>
              </w:rPr>
            </w:pPr>
          </w:p>
        </w:tc>
        <w:tc>
          <w:tcPr>
            <w:tcW w:w="406" w:type="pct"/>
            <w:shd w:val="clear" w:color="auto" w:fill="auto"/>
            <w:vAlign w:val="center"/>
          </w:tcPr>
          <w:p w14:paraId="0AF32281" w14:textId="77777777" w:rsidR="00976265" w:rsidRPr="002D7798" w:rsidRDefault="00976265">
            <w:pPr>
              <w:spacing w:beforeLines="20" w:before="48" w:afterLines="20" w:after="48" w:line="276" w:lineRule="auto"/>
              <w:jc w:val="center"/>
              <w:rPr>
                <w:noProof/>
                <w:sz w:val="20"/>
                <w:szCs w:val="20"/>
              </w:rPr>
            </w:pPr>
          </w:p>
        </w:tc>
        <w:tc>
          <w:tcPr>
            <w:tcW w:w="497" w:type="pct"/>
            <w:shd w:val="clear" w:color="auto" w:fill="auto"/>
            <w:vAlign w:val="center"/>
          </w:tcPr>
          <w:p w14:paraId="2C7F5C32" w14:textId="77777777" w:rsidR="00976265" w:rsidRPr="002D7798" w:rsidRDefault="00976265">
            <w:pPr>
              <w:spacing w:beforeLines="20" w:before="48" w:afterLines="20" w:after="48" w:line="276" w:lineRule="auto"/>
              <w:jc w:val="center"/>
              <w:rPr>
                <w:noProof/>
                <w:sz w:val="20"/>
                <w:szCs w:val="20"/>
              </w:rPr>
            </w:pPr>
          </w:p>
        </w:tc>
        <w:tc>
          <w:tcPr>
            <w:tcW w:w="424" w:type="pct"/>
            <w:shd w:val="clear" w:color="auto" w:fill="auto"/>
            <w:vAlign w:val="center"/>
          </w:tcPr>
          <w:p w14:paraId="2D00BFE2" w14:textId="77777777" w:rsidR="00976265" w:rsidRPr="002D7798" w:rsidRDefault="00976265">
            <w:pPr>
              <w:spacing w:beforeLines="20" w:before="48" w:afterLines="20" w:after="48" w:line="276" w:lineRule="auto"/>
              <w:jc w:val="center"/>
              <w:rPr>
                <w:noProof/>
                <w:sz w:val="20"/>
                <w:szCs w:val="20"/>
              </w:rPr>
            </w:pPr>
          </w:p>
        </w:tc>
        <w:tc>
          <w:tcPr>
            <w:tcW w:w="423" w:type="pct"/>
            <w:shd w:val="clear" w:color="auto" w:fill="auto"/>
            <w:vAlign w:val="center"/>
          </w:tcPr>
          <w:p w14:paraId="10CE1327" w14:textId="77777777" w:rsidR="00976265" w:rsidRPr="002D7798" w:rsidRDefault="00976265">
            <w:pPr>
              <w:spacing w:beforeLines="20" w:before="48" w:afterLines="20" w:after="48" w:line="276" w:lineRule="auto"/>
              <w:jc w:val="center"/>
              <w:rPr>
                <w:noProof/>
                <w:sz w:val="20"/>
                <w:szCs w:val="20"/>
              </w:rPr>
            </w:pPr>
          </w:p>
        </w:tc>
        <w:tc>
          <w:tcPr>
            <w:tcW w:w="452" w:type="pct"/>
            <w:gridSpan w:val="2"/>
            <w:shd w:val="clear" w:color="auto" w:fill="auto"/>
            <w:vAlign w:val="center"/>
          </w:tcPr>
          <w:p w14:paraId="4CC16EAC" w14:textId="77777777" w:rsidR="00976265" w:rsidRPr="002D7798" w:rsidRDefault="00976265">
            <w:pPr>
              <w:spacing w:beforeLines="20" w:before="48" w:afterLines="20" w:after="48" w:line="276" w:lineRule="auto"/>
              <w:jc w:val="center"/>
              <w:rPr>
                <w:noProof/>
                <w:sz w:val="20"/>
                <w:szCs w:val="20"/>
              </w:rPr>
            </w:pPr>
          </w:p>
        </w:tc>
      </w:tr>
      <w:tr w:rsidR="00851B85" w:rsidRPr="002D7798" w14:paraId="5206C878" w14:textId="77777777" w:rsidTr="208CACCC">
        <w:trPr>
          <w:trHeight w:val="289"/>
          <w:jc w:val="center"/>
        </w:trPr>
        <w:tc>
          <w:tcPr>
            <w:tcW w:w="2043" w:type="pct"/>
            <w:gridSpan w:val="2"/>
            <w:shd w:val="clear" w:color="auto" w:fill="auto"/>
            <w:vAlign w:val="center"/>
          </w:tcPr>
          <w:p w14:paraId="58E27538" w14:textId="77777777" w:rsidR="00976265" w:rsidRPr="002D7798" w:rsidRDefault="0064263D">
            <w:pPr>
              <w:spacing w:beforeLines="20" w:before="48" w:afterLines="20" w:after="48" w:line="276" w:lineRule="auto"/>
              <w:ind w:left="984"/>
              <w:jc w:val="left"/>
              <w:rPr>
                <w:noProof/>
                <w:sz w:val="20"/>
              </w:rPr>
            </w:pPr>
            <w:r w:rsidRPr="002D7798">
              <w:rPr>
                <w:noProof/>
                <w:sz w:val="20"/>
              </w:rPr>
              <w:t>10 01 05 01 (v přímém výzkumu)</w:t>
            </w:r>
          </w:p>
        </w:tc>
        <w:tc>
          <w:tcPr>
            <w:tcW w:w="377" w:type="pct"/>
            <w:shd w:val="clear" w:color="auto" w:fill="auto"/>
            <w:vAlign w:val="center"/>
          </w:tcPr>
          <w:p w14:paraId="02B7C615" w14:textId="77777777" w:rsidR="00976265" w:rsidRPr="002D7798" w:rsidRDefault="00976265">
            <w:pPr>
              <w:spacing w:beforeLines="20" w:before="48" w:afterLines="20" w:after="48" w:line="276" w:lineRule="auto"/>
              <w:jc w:val="center"/>
              <w:rPr>
                <w:noProof/>
                <w:sz w:val="20"/>
                <w:szCs w:val="20"/>
              </w:rPr>
            </w:pPr>
          </w:p>
        </w:tc>
        <w:tc>
          <w:tcPr>
            <w:tcW w:w="377" w:type="pct"/>
            <w:shd w:val="clear" w:color="auto" w:fill="auto"/>
            <w:vAlign w:val="center"/>
          </w:tcPr>
          <w:p w14:paraId="5F36B3D9" w14:textId="77777777" w:rsidR="00976265" w:rsidRPr="002D7798" w:rsidRDefault="00976265">
            <w:pPr>
              <w:spacing w:beforeLines="20" w:before="48" w:afterLines="20" w:after="48" w:line="276" w:lineRule="auto"/>
              <w:jc w:val="center"/>
              <w:rPr>
                <w:noProof/>
                <w:sz w:val="20"/>
                <w:szCs w:val="20"/>
              </w:rPr>
            </w:pPr>
          </w:p>
        </w:tc>
        <w:tc>
          <w:tcPr>
            <w:tcW w:w="406" w:type="pct"/>
            <w:shd w:val="clear" w:color="auto" w:fill="auto"/>
            <w:vAlign w:val="center"/>
          </w:tcPr>
          <w:p w14:paraId="509E69B8" w14:textId="77777777" w:rsidR="00976265" w:rsidRPr="002D7798" w:rsidRDefault="00976265">
            <w:pPr>
              <w:spacing w:beforeLines="20" w:before="48" w:afterLines="20" w:after="48" w:line="276" w:lineRule="auto"/>
              <w:jc w:val="center"/>
              <w:rPr>
                <w:noProof/>
                <w:sz w:val="20"/>
                <w:szCs w:val="20"/>
              </w:rPr>
            </w:pPr>
          </w:p>
        </w:tc>
        <w:tc>
          <w:tcPr>
            <w:tcW w:w="497" w:type="pct"/>
            <w:shd w:val="clear" w:color="auto" w:fill="auto"/>
            <w:vAlign w:val="center"/>
          </w:tcPr>
          <w:p w14:paraId="684A992C" w14:textId="77777777" w:rsidR="00976265" w:rsidRPr="002D7798" w:rsidRDefault="00976265">
            <w:pPr>
              <w:spacing w:beforeLines="20" w:before="48" w:afterLines="20" w:after="48" w:line="276" w:lineRule="auto"/>
              <w:jc w:val="center"/>
              <w:rPr>
                <w:noProof/>
                <w:sz w:val="20"/>
                <w:szCs w:val="20"/>
              </w:rPr>
            </w:pPr>
          </w:p>
        </w:tc>
        <w:tc>
          <w:tcPr>
            <w:tcW w:w="424" w:type="pct"/>
            <w:shd w:val="clear" w:color="auto" w:fill="auto"/>
            <w:vAlign w:val="center"/>
          </w:tcPr>
          <w:p w14:paraId="10E32B51" w14:textId="77777777" w:rsidR="00976265" w:rsidRPr="002D7798" w:rsidRDefault="00976265">
            <w:pPr>
              <w:spacing w:beforeLines="20" w:before="48" w:afterLines="20" w:after="48" w:line="276" w:lineRule="auto"/>
              <w:jc w:val="center"/>
              <w:rPr>
                <w:noProof/>
                <w:sz w:val="20"/>
                <w:szCs w:val="20"/>
              </w:rPr>
            </w:pPr>
          </w:p>
        </w:tc>
        <w:tc>
          <w:tcPr>
            <w:tcW w:w="423" w:type="pct"/>
            <w:shd w:val="clear" w:color="auto" w:fill="auto"/>
            <w:vAlign w:val="center"/>
          </w:tcPr>
          <w:p w14:paraId="76017F57" w14:textId="77777777" w:rsidR="00976265" w:rsidRPr="002D7798" w:rsidRDefault="00976265">
            <w:pPr>
              <w:spacing w:beforeLines="20" w:before="48" w:afterLines="20" w:after="48" w:line="276" w:lineRule="auto"/>
              <w:jc w:val="center"/>
              <w:rPr>
                <w:noProof/>
                <w:sz w:val="20"/>
                <w:szCs w:val="20"/>
              </w:rPr>
            </w:pPr>
          </w:p>
        </w:tc>
        <w:tc>
          <w:tcPr>
            <w:tcW w:w="452" w:type="pct"/>
            <w:gridSpan w:val="2"/>
            <w:shd w:val="clear" w:color="auto" w:fill="auto"/>
            <w:vAlign w:val="center"/>
          </w:tcPr>
          <w:p w14:paraId="327F204C" w14:textId="77777777" w:rsidR="00976265" w:rsidRPr="002D7798" w:rsidRDefault="00976265">
            <w:pPr>
              <w:spacing w:beforeLines="20" w:before="48" w:afterLines="20" w:after="48" w:line="276" w:lineRule="auto"/>
              <w:jc w:val="center"/>
              <w:rPr>
                <w:noProof/>
                <w:sz w:val="20"/>
                <w:szCs w:val="20"/>
              </w:rPr>
            </w:pPr>
          </w:p>
        </w:tc>
      </w:tr>
      <w:tr w:rsidR="00851B85" w:rsidRPr="002D7798" w14:paraId="4BBE18B6" w14:textId="77777777" w:rsidTr="208CACCC">
        <w:trPr>
          <w:trHeight w:val="289"/>
          <w:jc w:val="center"/>
        </w:trPr>
        <w:tc>
          <w:tcPr>
            <w:tcW w:w="2043" w:type="pct"/>
            <w:gridSpan w:val="2"/>
            <w:shd w:val="clear" w:color="auto" w:fill="auto"/>
            <w:vAlign w:val="center"/>
          </w:tcPr>
          <w:p w14:paraId="69457AA9" w14:textId="77777777" w:rsidR="00976265" w:rsidRPr="002D7798" w:rsidRDefault="00976265">
            <w:pPr>
              <w:spacing w:beforeLines="20" w:before="48" w:afterLines="20" w:after="48" w:line="276" w:lineRule="auto"/>
              <w:ind w:left="984"/>
              <w:jc w:val="left"/>
              <w:rPr>
                <w:noProof/>
                <w:sz w:val="20"/>
              </w:rPr>
            </w:pPr>
          </w:p>
        </w:tc>
        <w:tc>
          <w:tcPr>
            <w:tcW w:w="377" w:type="pct"/>
            <w:shd w:val="clear" w:color="auto" w:fill="auto"/>
            <w:vAlign w:val="center"/>
          </w:tcPr>
          <w:p w14:paraId="297F81C8" w14:textId="77777777" w:rsidR="00976265" w:rsidRPr="002D7798" w:rsidRDefault="00976265">
            <w:pPr>
              <w:spacing w:beforeLines="20" w:before="48" w:afterLines="20" w:after="48" w:line="276" w:lineRule="auto"/>
              <w:jc w:val="center"/>
              <w:rPr>
                <w:noProof/>
                <w:sz w:val="20"/>
                <w:szCs w:val="20"/>
              </w:rPr>
            </w:pPr>
          </w:p>
        </w:tc>
        <w:tc>
          <w:tcPr>
            <w:tcW w:w="377" w:type="pct"/>
            <w:shd w:val="clear" w:color="auto" w:fill="auto"/>
            <w:vAlign w:val="center"/>
          </w:tcPr>
          <w:p w14:paraId="1BA2AE13" w14:textId="77777777" w:rsidR="00976265" w:rsidRPr="002D7798" w:rsidRDefault="00976265">
            <w:pPr>
              <w:spacing w:beforeLines="20" w:before="48" w:afterLines="20" w:after="48" w:line="276" w:lineRule="auto"/>
              <w:jc w:val="center"/>
              <w:rPr>
                <w:noProof/>
                <w:sz w:val="20"/>
                <w:szCs w:val="20"/>
              </w:rPr>
            </w:pPr>
          </w:p>
        </w:tc>
        <w:tc>
          <w:tcPr>
            <w:tcW w:w="406" w:type="pct"/>
            <w:shd w:val="clear" w:color="auto" w:fill="auto"/>
            <w:vAlign w:val="center"/>
          </w:tcPr>
          <w:p w14:paraId="4AFCCF44" w14:textId="77777777" w:rsidR="00976265" w:rsidRPr="002D7798" w:rsidRDefault="00976265">
            <w:pPr>
              <w:spacing w:beforeLines="20" w:before="48" w:afterLines="20" w:after="48" w:line="276" w:lineRule="auto"/>
              <w:jc w:val="center"/>
              <w:rPr>
                <w:noProof/>
                <w:sz w:val="20"/>
                <w:szCs w:val="20"/>
              </w:rPr>
            </w:pPr>
          </w:p>
        </w:tc>
        <w:tc>
          <w:tcPr>
            <w:tcW w:w="497" w:type="pct"/>
            <w:shd w:val="clear" w:color="auto" w:fill="auto"/>
            <w:vAlign w:val="center"/>
          </w:tcPr>
          <w:p w14:paraId="5FA83EAA" w14:textId="77777777" w:rsidR="00976265" w:rsidRPr="002D7798" w:rsidRDefault="00976265">
            <w:pPr>
              <w:spacing w:beforeLines="20" w:before="48" w:afterLines="20" w:after="48" w:line="276" w:lineRule="auto"/>
              <w:jc w:val="center"/>
              <w:rPr>
                <w:noProof/>
                <w:sz w:val="20"/>
                <w:szCs w:val="20"/>
              </w:rPr>
            </w:pPr>
          </w:p>
        </w:tc>
        <w:tc>
          <w:tcPr>
            <w:tcW w:w="424" w:type="pct"/>
            <w:shd w:val="clear" w:color="auto" w:fill="auto"/>
            <w:vAlign w:val="center"/>
          </w:tcPr>
          <w:p w14:paraId="5478ED3A" w14:textId="77777777" w:rsidR="00976265" w:rsidRPr="002D7798" w:rsidRDefault="00976265">
            <w:pPr>
              <w:spacing w:beforeLines="20" w:before="48" w:afterLines="20" w:after="48" w:line="276" w:lineRule="auto"/>
              <w:jc w:val="center"/>
              <w:rPr>
                <w:noProof/>
                <w:sz w:val="20"/>
                <w:szCs w:val="20"/>
              </w:rPr>
            </w:pPr>
          </w:p>
        </w:tc>
        <w:tc>
          <w:tcPr>
            <w:tcW w:w="423" w:type="pct"/>
            <w:shd w:val="clear" w:color="auto" w:fill="auto"/>
            <w:vAlign w:val="center"/>
          </w:tcPr>
          <w:p w14:paraId="3E31B25F" w14:textId="77777777" w:rsidR="00976265" w:rsidRPr="002D7798" w:rsidRDefault="00976265">
            <w:pPr>
              <w:spacing w:beforeLines="20" w:before="48" w:afterLines="20" w:after="48" w:line="276" w:lineRule="auto"/>
              <w:jc w:val="center"/>
              <w:rPr>
                <w:noProof/>
                <w:sz w:val="20"/>
                <w:szCs w:val="20"/>
              </w:rPr>
            </w:pPr>
          </w:p>
        </w:tc>
        <w:tc>
          <w:tcPr>
            <w:tcW w:w="452" w:type="pct"/>
            <w:gridSpan w:val="2"/>
            <w:shd w:val="clear" w:color="auto" w:fill="auto"/>
            <w:vAlign w:val="center"/>
          </w:tcPr>
          <w:p w14:paraId="1394BA5C" w14:textId="77777777" w:rsidR="00976265" w:rsidRPr="002D7798" w:rsidRDefault="00976265">
            <w:pPr>
              <w:spacing w:beforeLines="20" w:before="48" w:afterLines="20" w:after="48" w:line="276" w:lineRule="auto"/>
              <w:jc w:val="center"/>
              <w:rPr>
                <w:noProof/>
                <w:sz w:val="20"/>
                <w:szCs w:val="20"/>
              </w:rPr>
            </w:pPr>
          </w:p>
        </w:tc>
      </w:tr>
      <w:tr w:rsidR="00851B85" w:rsidRPr="002D7798" w14:paraId="62A2AD21" w14:textId="77777777" w:rsidTr="208CACCC">
        <w:trPr>
          <w:trHeight w:val="289"/>
          <w:jc w:val="center"/>
        </w:trPr>
        <w:tc>
          <w:tcPr>
            <w:tcW w:w="2043" w:type="pct"/>
            <w:gridSpan w:val="2"/>
            <w:shd w:val="clear" w:color="auto" w:fill="auto"/>
            <w:vAlign w:val="center"/>
          </w:tcPr>
          <w:p w14:paraId="56C6EE49" w14:textId="77777777" w:rsidR="00976265" w:rsidRPr="002D7798" w:rsidRDefault="0064263D">
            <w:pPr>
              <w:spacing w:beforeLines="20" w:before="48" w:afterLines="20" w:after="48" w:line="276" w:lineRule="auto"/>
              <w:ind w:left="208"/>
              <w:jc w:val="left"/>
              <w:rPr>
                <w:noProof/>
                <w:sz w:val="20"/>
              </w:rPr>
            </w:pPr>
            <w:r w:rsidRPr="002D7798">
              <w:rPr>
                <w:rFonts w:ascii="Wingdings" w:hAnsi="Wingdings"/>
                <w:b/>
                <w:noProof/>
                <w:sz w:val="20"/>
              </w:rPr>
              <w:t>□</w:t>
            </w:r>
            <w:r w:rsidRPr="002D7798">
              <w:rPr>
                <w:b/>
                <w:noProof/>
                <w:sz w:val="20"/>
              </w:rPr>
              <w:t xml:space="preserve"> Externí zaměstnanci (v přepočtu na plné pracovní úvazky: FTE)</w:t>
            </w:r>
            <w:r w:rsidRPr="002D7798">
              <w:rPr>
                <w:rStyle w:val="FootnoteReference"/>
                <w:noProof/>
              </w:rPr>
              <w:footnoteReference w:id="38"/>
            </w:r>
          </w:p>
        </w:tc>
        <w:tc>
          <w:tcPr>
            <w:tcW w:w="377" w:type="pct"/>
            <w:shd w:val="clear" w:color="auto" w:fill="auto"/>
            <w:vAlign w:val="center"/>
          </w:tcPr>
          <w:p w14:paraId="28B03D23" w14:textId="77777777" w:rsidR="00976265" w:rsidRPr="002D7798" w:rsidRDefault="00976265">
            <w:pPr>
              <w:spacing w:beforeLines="20" w:before="48" w:afterLines="20" w:after="48" w:line="276" w:lineRule="auto"/>
              <w:jc w:val="center"/>
              <w:rPr>
                <w:noProof/>
                <w:sz w:val="20"/>
                <w:szCs w:val="20"/>
              </w:rPr>
            </w:pPr>
          </w:p>
        </w:tc>
        <w:tc>
          <w:tcPr>
            <w:tcW w:w="377" w:type="pct"/>
            <w:shd w:val="clear" w:color="auto" w:fill="auto"/>
            <w:vAlign w:val="center"/>
          </w:tcPr>
          <w:p w14:paraId="0C2640A9" w14:textId="77777777" w:rsidR="00976265" w:rsidRPr="002D7798" w:rsidRDefault="00976265">
            <w:pPr>
              <w:spacing w:beforeLines="20" w:before="48" w:afterLines="20" w:after="48" w:line="276" w:lineRule="auto"/>
              <w:jc w:val="center"/>
              <w:rPr>
                <w:noProof/>
                <w:sz w:val="20"/>
                <w:szCs w:val="20"/>
              </w:rPr>
            </w:pPr>
          </w:p>
        </w:tc>
        <w:tc>
          <w:tcPr>
            <w:tcW w:w="406" w:type="pct"/>
            <w:shd w:val="clear" w:color="auto" w:fill="auto"/>
            <w:vAlign w:val="center"/>
          </w:tcPr>
          <w:p w14:paraId="328B37D0" w14:textId="77777777" w:rsidR="00976265" w:rsidRPr="002D7798" w:rsidRDefault="00976265">
            <w:pPr>
              <w:spacing w:beforeLines="20" w:before="48" w:afterLines="20" w:after="48" w:line="276" w:lineRule="auto"/>
              <w:jc w:val="center"/>
              <w:rPr>
                <w:noProof/>
                <w:sz w:val="20"/>
                <w:szCs w:val="20"/>
              </w:rPr>
            </w:pPr>
          </w:p>
        </w:tc>
        <w:tc>
          <w:tcPr>
            <w:tcW w:w="497" w:type="pct"/>
            <w:shd w:val="clear" w:color="auto" w:fill="auto"/>
            <w:vAlign w:val="center"/>
          </w:tcPr>
          <w:p w14:paraId="21E8E4AE" w14:textId="77777777" w:rsidR="00976265" w:rsidRPr="002D7798" w:rsidRDefault="00976265">
            <w:pPr>
              <w:spacing w:beforeLines="20" w:before="48" w:afterLines="20" w:after="48" w:line="276" w:lineRule="auto"/>
              <w:jc w:val="center"/>
              <w:rPr>
                <w:noProof/>
                <w:sz w:val="20"/>
                <w:szCs w:val="20"/>
              </w:rPr>
            </w:pPr>
          </w:p>
        </w:tc>
        <w:tc>
          <w:tcPr>
            <w:tcW w:w="424" w:type="pct"/>
            <w:shd w:val="clear" w:color="auto" w:fill="auto"/>
            <w:vAlign w:val="center"/>
          </w:tcPr>
          <w:p w14:paraId="7E99B0F0" w14:textId="77777777" w:rsidR="00976265" w:rsidRPr="002D7798" w:rsidRDefault="00976265">
            <w:pPr>
              <w:spacing w:beforeLines="20" w:before="48" w:afterLines="20" w:after="48" w:line="276" w:lineRule="auto"/>
              <w:jc w:val="center"/>
              <w:rPr>
                <w:noProof/>
                <w:sz w:val="20"/>
                <w:szCs w:val="20"/>
              </w:rPr>
            </w:pPr>
          </w:p>
        </w:tc>
        <w:tc>
          <w:tcPr>
            <w:tcW w:w="423" w:type="pct"/>
            <w:shd w:val="clear" w:color="auto" w:fill="auto"/>
            <w:vAlign w:val="center"/>
          </w:tcPr>
          <w:p w14:paraId="6925DD33" w14:textId="77777777" w:rsidR="00976265" w:rsidRPr="002D7798" w:rsidRDefault="00976265">
            <w:pPr>
              <w:spacing w:beforeLines="20" w:before="48" w:afterLines="20" w:after="48" w:line="276" w:lineRule="auto"/>
              <w:jc w:val="center"/>
              <w:rPr>
                <w:noProof/>
                <w:sz w:val="20"/>
                <w:szCs w:val="20"/>
              </w:rPr>
            </w:pPr>
          </w:p>
        </w:tc>
        <w:tc>
          <w:tcPr>
            <w:tcW w:w="452" w:type="pct"/>
            <w:gridSpan w:val="2"/>
            <w:shd w:val="clear" w:color="auto" w:fill="auto"/>
            <w:vAlign w:val="center"/>
          </w:tcPr>
          <w:p w14:paraId="6CA3CAA9" w14:textId="77777777" w:rsidR="00976265" w:rsidRPr="002D7798" w:rsidRDefault="00976265">
            <w:pPr>
              <w:spacing w:beforeLines="20" w:before="48" w:afterLines="20" w:after="48" w:line="276" w:lineRule="auto"/>
              <w:jc w:val="center"/>
              <w:rPr>
                <w:noProof/>
                <w:sz w:val="20"/>
                <w:szCs w:val="20"/>
              </w:rPr>
            </w:pPr>
          </w:p>
        </w:tc>
      </w:tr>
      <w:tr w:rsidR="00851B85" w:rsidRPr="002D7798" w14:paraId="616B7942" w14:textId="77777777" w:rsidTr="208CACCC">
        <w:trPr>
          <w:trHeight w:val="289"/>
          <w:jc w:val="center"/>
        </w:trPr>
        <w:tc>
          <w:tcPr>
            <w:tcW w:w="2043" w:type="pct"/>
            <w:gridSpan w:val="2"/>
            <w:shd w:val="clear" w:color="auto" w:fill="auto"/>
            <w:vAlign w:val="center"/>
          </w:tcPr>
          <w:p w14:paraId="15D8AF05" w14:textId="77777777" w:rsidR="00976265" w:rsidRPr="002D7798" w:rsidRDefault="0064263D">
            <w:pPr>
              <w:spacing w:beforeLines="20" w:before="48" w:afterLines="20" w:after="48" w:line="276" w:lineRule="auto"/>
              <w:ind w:left="986"/>
              <w:jc w:val="left"/>
              <w:rPr>
                <w:b/>
                <w:noProof/>
                <w:sz w:val="20"/>
              </w:rPr>
            </w:pPr>
            <w:r w:rsidRPr="002D7798">
              <w:rPr>
                <w:noProof/>
                <w:sz w:val="20"/>
              </w:rPr>
              <w:t>20 02 01 (SZ, VNO, ZAP z celkového rámce)</w:t>
            </w:r>
          </w:p>
        </w:tc>
        <w:tc>
          <w:tcPr>
            <w:tcW w:w="377" w:type="pct"/>
            <w:shd w:val="clear" w:color="auto" w:fill="auto"/>
            <w:vAlign w:val="center"/>
          </w:tcPr>
          <w:p w14:paraId="34BF191A" w14:textId="77777777" w:rsidR="00976265" w:rsidRPr="002D7798" w:rsidRDefault="00976265">
            <w:pPr>
              <w:spacing w:beforeLines="20" w:before="48" w:afterLines="20" w:after="48" w:line="276" w:lineRule="auto"/>
              <w:jc w:val="center"/>
              <w:rPr>
                <w:noProof/>
                <w:sz w:val="20"/>
                <w:szCs w:val="20"/>
              </w:rPr>
            </w:pPr>
          </w:p>
        </w:tc>
        <w:tc>
          <w:tcPr>
            <w:tcW w:w="377" w:type="pct"/>
            <w:shd w:val="clear" w:color="auto" w:fill="auto"/>
            <w:vAlign w:val="center"/>
          </w:tcPr>
          <w:p w14:paraId="2232BC76" w14:textId="77777777" w:rsidR="00976265" w:rsidRPr="002D7798" w:rsidRDefault="00976265">
            <w:pPr>
              <w:spacing w:beforeLines="20" w:before="48" w:afterLines="20" w:after="48" w:line="276" w:lineRule="auto"/>
              <w:jc w:val="center"/>
              <w:rPr>
                <w:noProof/>
                <w:sz w:val="20"/>
                <w:szCs w:val="20"/>
              </w:rPr>
            </w:pPr>
          </w:p>
        </w:tc>
        <w:tc>
          <w:tcPr>
            <w:tcW w:w="406" w:type="pct"/>
            <w:shd w:val="clear" w:color="auto" w:fill="auto"/>
            <w:vAlign w:val="center"/>
          </w:tcPr>
          <w:p w14:paraId="0F74AF52" w14:textId="77777777" w:rsidR="00976265" w:rsidRPr="002D7798" w:rsidRDefault="00976265">
            <w:pPr>
              <w:spacing w:beforeLines="20" w:before="48" w:afterLines="20" w:after="48" w:line="276" w:lineRule="auto"/>
              <w:jc w:val="center"/>
              <w:rPr>
                <w:noProof/>
                <w:sz w:val="20"/>
                <w:szCs w:val="20"/>
              </w:rPr>
            </w:pPr>
          </w:p>
        </w:tc>
        <w:tc>
          <w:tcPr>
            <w:tcW w:w="497" w:type="pct"/>
            <w:shd w:val="clear" w:color="auto" w:fill="auto"/>
            <w:vAlign w:val="center"/>
          </w:tcPr>
          <w:p w14:paraId="0A7695F7" w14:textId="77777777" w:rsidR="00976265" w:rsidRPr="002D7798" w:rsidRDefault="00976265">
            <w:pPr>
              <w:spacing w:beforeLines="20" w:before="48" w:afterLines="20" w:after="48" w:line="276" w:lineRule="auto"/>
              <w:jc w:val="center"/>
              <w:rPr>
                <w:noProof/>
                <w:sz w:val="20"/>
                <w:szCs w:val="20"/>
              </w:rPr>
            </w:pPr>
          </w:p>
        </w:tc>
        <w:tc>
          <w:tcPr>
            <w:tcW w:w="424" w:type="pct"/>
            <w:shd w:val="clear" w:color="auto" w:fill="auto"/>
            <w:vAlign w:val="center"/>
          </w:tcPr>
          <w:p w14:paraId="0263C88D" w14:textId="77777777" w:rsidR="00976265" w:rsidRPr="002D7798" w:rsidRDefault="00976265">
            <w:pPr>
              <w:spacing w:beforeLines="20" w:before="48" w:afterLines="20" w:after="48" w:line="276" w:lineRule="auto"/>
              <w:jc w:val="center"/>
              <w:rPr>
                <w:noProof/>
                <w:sz w:val="20"/>
                <w:szCs w:val="20"/>
              </w:rPr>
            </w:pPr>
          </w:p>
        </w:tc>
        <w:tc>
          <w:tcPr>
            <w:tcW w:w="423" w:type="pct"/>
            <w:shd w:val="clear" w:color="auto" w:fill="auto"/>
            <w:vAlign w:val="center"/>
          </w:tcPr>
          <w:p w14:paraId="491175F4" w14:textId="77777777" w:rsidR="00976265" w:rsidRPr="002D7798" w:rsidRDefault="00976265">
            <w:pPr>
              <w:spacing w:beforeLines="20" w:before="48" w:afterLines="20" w:after="48" w:line="276" w:lineRule="auto"/>
              <w:jc w:val="center"/>
              <w:rPr>
                <w:noProof/>
                <w:sz w:val="20"/>
                <w:szCs w:val="20"/>
              </w:rPr>
            </w:pPr>
          </w:p>
        </w:tc>
        <w:tc>
          <w:tcPr>
            <w:tcW w:w="452" w:type="pct"/>
            <w:gridSpan w:val="2"/>
            <w:shd w:val="clear" w:color="auto" w:fill="auto"/>
            <w:vAlign w:val="center"/>
          </w:tcPr>
          <w:p w14:paraId="3DE6FC57" w14:textId="77777777" w:rsidR="00976265" w:rsidRPr="002D7798" w:rsidRDefault="00976265">
            <w:pPr>
              <w:spacing w:beforeLines="20" w:before="48" w:afterLines="20" w:after="48" w:line="276" w:lineRule="auto"/>
              <w:jc w:val="center"/>
              <w:rPr>
                <w:noProof/>
                <w:sz w:val="20"/>
                <w:szCs w:val="20"/>
              </w:rPr>
            </w:pPr>
          </w:p>
        </w:tc>
      </w:tr>
      <w:tr w:rsidR="00851B85" w:rsidRPr="002D7798" w14:paraId="6D055486" w14:textId="77777777" w:rsidTr="208CACCC">
        <w:trPr>
          <w:trHeight w:val="289"/>
          <w:jc w:val="center"/>
        </w:trPr>
        <w:tc>
          <w:tcPr>
            <w:tcW w:w="2043" w:type="pct"/>
            <w:gridSpan w:val="2"/>
            <w:shd w:val="clear" w:color="auto" w:fill="auto"/>
            <w:vAlign w:val="center"/>
          </w:tcPr>
          <w:p w14:paraId="7317C924" w14:textId="77777777" w:rsidR="00976265" w:rsidRPr="002D7798" w:rsidRDefault="0064263D">
            <w:pPr>
              <w:spacing w:beforeLines="20" w:before="48" w:afterLines="20" w:after="48" w:line="276" w:lineRule="auto"/>
              <w:ind w:left="986"/>
              <w:jc w:val="left"/>
              <w:rPr>
                <w:noProof/>
                <w:sz w:val="20"/>
              </w:rPr>
            </w:pPr>
            <w:r w:rsidRPr="002D7798">
              <w:rPr>
                <w:noProof/>
                <w:sz w:val="20"/>
              </w:rPr>
              <w:t>20 02 03 (SZ, MZ, VNO, ZAP a MOD při delegacích)</w:t>
            </w:r>
          </w:p>
        </w:tc>
        <w:tc>
          <w:tcPr>
            <w:tcW w:w="377" w:type="pct"/>
            <w:shd w:val="clear" w:color="auto" w:fill="auto"/>
            <w:vAlign w:val="center"/>
          </w:tcPr>
          <w:p w14:paraId="728C670E" w14:textId="77777777" w:rsidR="00976265" w:rsidRPr="002D7798" w:rsidRDefault="00976265">
            <w:pPr>
              <w:spacing w:beforeLines="20" w:before="48" w:afterLines="20" w:after="48" w:line="276" w:lineRule="auto"/>
              <w:jc w:val="center"/>
              <w:rPr>
                <w:noProof/>
                <w:sz w:val="20"/>
                <w:szCs w:val="20"/>
              </w:rPr>
            </w:pPr>
          </w:p>
        </w:tc>
        <w:tc>
          <w:tcPr>
            <w:tcW w:w="377" w:type="pct"/>
            <w:shd w:val="clear" w:color="auto" w:fill="auto"/>
            <w:vAlign w:val="center"/>
          </w:tcPr>
          <w:p w14:paraId="0F5A8364" w14:textId="77777777" w:rsidR="00976265" w:rsidRPr="002D7798" w:rsidRDefault="00976265">
            <w:pPr>
              <w:spacing w:beforeLines="20" w:before="48" w:afterLines="20" w:after="48" w:line="276" w:lineRule="auto"/>
              <w:jc w:val="center"/>
              <w:rPr>
                <w:noProof/>
                <w:sz w:val="20"/>
                <w:szCs w:val="20"/>
              </w:rPr>
            </w:pPr>
          </w:p>
        </w:tc>
        <w:tc>
          <w:tcPr>
            <w:tcW w:w="406" w:type="pct"/>
            <w:shd w:val="clear" w:color="auto" w:fill="auto"/>
            <w:vAlign w:val="center"/>
          </w:tcPr>
          <w:p w14:paraId="1E6F5E2F" w14:textId="77777777" w:rsidR="00976265" w:rsidRPr="002D7798" w:rsidRDefault="00976265">
            <w:pPr>
              <w:spacing w:beforeLines="20" w:before="48" w:afterLines="20" w:after="48" w:line="276" w:lineRule="auto"/>
              <w:jc w:val="center"/>
              <w:rPr>
                <w:noProof/>
                <w:sz w:val="20"/>
                <w:szCs w:val="20"/>
              </w:rPr>
            </w:pPr>
          </w:p>
        </w:tc>
        <w:tc>
          <w:tcPr>
            <w:tcW w:w="497" w:type="pct"/>
            <w:shd w:val="clear" w:color="auto" w:fill="auto"/>
            <w:vAlign w:val="center"/>
          </w:tcPr>
          <w:p w14:paraId="317CF629" w14:textId="77777777" w:rsidR="00976265" w:rsidRPr="002D7798" w:rsidRDefault="00976265">
            <w:pPr>
              <w:spacing w:beforeLines="20" w:before="48" w:afterLines="20" w:after="48" w:line="276" w:lineRule="auto"/>
              <w:jc w:val="center"/>
              <w:rPr>
                <w:noProof/>
                <w:sz w:val="20"/>
                <w:szCs w:val="20"/>
              </w:rPr>
            </w:pPr>
          </w:p>
        </w:tc>
        <w:tc>
          <w:tcPr>
            <w:tcW w:w="424" w:type="pct"/>
            <w:shd w:val="clear" w:color="auto" w:fill="auto"/>
            <w:vAlign w:val="center"/>
          </w:tcPr>
          <w:p w14:paraId="21FC4881" w14:textId="77777777" w:rsidR="00976265" w:rsidRPr="002D7798" w:rsidRDefault="00976265">
            <w:pPr>
              <w:spacing w:beforeLines="20" w:before="48" w:afterLines="20" w:after="48" w:line="276" w:lineRule="auto"/>
              <w:jc w:val="center"/>
              <w:rPr>
                <w:noProof/>
                <w:sz w:val="20"/>
                <w:szCs w:val="20"/>
              </w:rPr>
            </w:pPr>
          </w:p>
        </w:tc>
        <w:tc>
          <w:tcPr>
            <w:tcW w:w="423" w:type="pct"/>
            <w:shd w:val="clear" w:color="auto" w:fill="auto"/>
            <w:vAlign w:val="center"/>
          </w:tcPr>
          <w:p w14:paraId="66764CE2" w14:textId="77777777" w:rsidR="00976265" w:rsidRPr="002D7798" w:rsidRDefault="00976265">
            <w:pPr>
              <w:spacing w:beforeLines="20" w:before="48" w:afterLines="20" w:after="48" w:line="276" w:lineRule="auto"/>
              <w:jc w:val="center"/>
              <w:rPr>
                <w:noProof/>
                <w:sz w:val="20"/>
                <w:szCs w:val="20"/>
              </w:rPr>
            </w:pPr>
          </w:p>
        </w:tc>
        <w:tc>
          <w:tcPr>
            <w:tcW w:w="452" w:type="pct"/>
            <w:gridSpan w:val="2"/>
            <w:shd w:val="clear" w:color="auto" w:fill="auto"/>
            <w:vAlign w:val="center"/>
          </w:tcPr>
          <w:p w14:paraId="63707A01" w14:textId="77777777" w:rsidR="00976265" w:rsidRPr="002D7798" w:rsidRDefault="00976265">
            <w:pPr>
              <w:spacing w:beforeLines="20" w:before="48" w:afterLines="20" w:after="48" w:line="276" w:lineRule="auto"/>
              <w:jc w:val="center"/>
              <w:rPr>
                <w:noProof/>
                <w:sz w:val="20"/>
                <w:szCs w:val="20"/>
              </w:rPr>
            </w:pPr>
          </w:p>
        </w:tc>
      </w:tr>
      <w:tr w:rsidR="00851B85" w:rsidRPr="002D7798" w14:paraId="64726450" w14:textId="77777777" w:rsidTr="208CACCC">
        <w:trPr>
          <w:trHeight w:val="289"/>
          <w:jc w:val="center"/>
        </w:trPr>
        <w:tc>
          <w:tcPr>
            <w:tcW w:w="1018" w:type="pct"/>
            <w:vMerge w:val="restart"/>
            <w:shd w:val="clear" w:color="auto" w:fill="auto"/>
            <w:vAlign w:val="center"/>
          </w:tcPr>
          <w:p w14:paraId="0088828F" w14:textId="77777777" w:rsidR="00976265" w:rsidRPr="002D7798" w:rsidRDefault="0064263D">
            <w:pPr>
              <w:spacing w:beforeLines="20" w:before="48" w:afterLines="20" w:after="48" w:line="276" w:lineRule="auto"/>
              <w:ind w:left="986"/>
              <w:jc w:val="left"/>
              <w:rPr>
                <w:b/>
                <w:noProof/>
                <w:sz w:val="20"/>
              </w:rPr>
            </w:pPr>
            <w:r w:rsidRPr="002D7798">
              <w:rPr>
                <w:noProof/>
                <w:sz w:val="20"/>
              </w:rPr>
              <w:t>Rozpočtová položka (položky) (upřesněte)</w:t>
            </w:r>
            <w:r w:rsidRPr="002D7798">
              <w:rPr>
                <w:b/>
                <w:noProof/>
                <w:sz w:val="20"/>
              </w:rPr>
              <w:t xml:space="preserve"> </w:t>
            </w:r>
            <w:r w:rsidRPr="002D7798">
              <w:rPr>
                <w:rStyle w:val="FootnoteReference"/>
                <w:noProof/>
              </w:rPr>
              <w:footnoteReference w:id="39"/>
            </w:r>
          </w:p>
        </w:tc>
        <w:tc>
          <w:tcPr>
            <w:tcW w:w="1025" w:type="pct"/>
            <w:shd w:val="clear" w:color="auto" w:fill="auto"/>
            <w:vAlign w:val="center"/>
          </w:tcPr>
          <w:p w14:paraId="10054E64" w14:textId="77777777" w:rsidR="00976265" w:rsidRPr="002D7798" w:rsidRDefault="0064263D">
            <w:pPr>
              <w:spacing w:beforeLines="20" w:before="48" w:afterLines="20" w:after="48" w:line="276" w:lineRule="auto"/>
              <w:ind w:left="598"/>
              <w:jc w:val="left"/>
              <w:rPr>
                <w:b/>
                <w:noProof/>
                <w:sz w:val="20"/>
              </w:rPr>
            </w:pPr>
            <w:r w:rsidRPr="002D7798">
              <w:rPr>
                <w:noProof/>
                <w:sz w:val="20"/>
              </w:rPr>
              <w:t>– v ústředí</w:t>
            </w:r>
            <w:r w:rsidRPr="002D7798">
              <w:rPr>
                <w:rStyle w:val="FootnoteReference"/>
                <w:noProof/>
              </w:rPr>
              <w:footnoteReference w:id="40"/>
            </w:r>
            <w:r w:rsidRPr="002D7798">
              <w:rPr>
                <w:noProof/>
              </w:rPr>
              <w:t xml:space="preserve"> </w:t>
            </w:r>
            <w:r w:rsidRPr="002D7798">
              <w:rPr>
                <w:noProof/>
              </w:rPr>
              <w:br/>
            </w:r>
          </w:p>
        </w:tc>
        <w:tc>
          <w:tcPr>
            <w:tcW w:w="377" w:type="pct"/>
            <w:shd w:val="clear" w:color="auto" w:fill="auto"/>
            <w:vAlign w:val="center"/>
          </w:tcPr>
          <w:p w14:paraId="369D0CC6" w14:textId="77777777" w:rsidR="00976265" w:rsidRPr="002D7798" w:rsidRDefault="00976265" w:rsidP="00BC16CB">
            <w:pPr>
              <w:numPr>
                <w:ilvl w:val="0"/>
                <w:numId w:val="29"/>
              </w:numPr>
              <w:spacing w:beforeLines="20" w:before="48" w:afterLines="20" w:after="48" w:line="276" w:lineRule="auto"/>
              <w:ind w:firstLine="0"/>
              <w:jc w:val="left"/>
              <w:rPr>
                <w:noProof/>
                <w:sz w:val="20"/>
              </w:rPr>
            </w:pPr>
          </w:p>
        </w:tc>
        <w:tc>
          <w:tcPr>
            <w:tcW w:w="377" w:type="pct"/>
            <w:shd w:val="clear" w:color="auto" w:fill="auto"/>
            <w:vAlign w:val="center"/>
          </w:tcPr>
          <w:p w14:paraId="41FFE0FB" w14:textId="77777777" w:rsidR="00976265" w:rsidRPr="002D7798" w:rsidRDefault="00976265">
            <w:pPr>
              <w:spacing w:beforeLines="20" w:before="48" w:afterLines="20" w:after="48" w:line="276" w:lineRule="auto"/>
              <w:jc w:val="center"/>
              <w:rPr>
                <w:noProof/>
                <w:sz w:val="20"/>
                <w:szCs w:val="20"/>
              </w:rPr>
            </w:pPr>
          </w:p>
        </w:tc>
        <w:tc>
          <w:tcPr>
            <w:tcW w:w="406" w:type="pct"/>
            <w:shd w:val="clear" w:color="auto" w:fill="auto"/>
            <w:vAlign w:val="center"/>
          </w:tcPr>
          <w:p w14:paraId="1066E5A3" w14:textId="77777777" w:rsidR="00976265" w:rsidRPr="002D7798" w:rsidRDefault="00976265">
            <w:pPr>
              <w:spacing w:beforeLines="20" w:before="48" w:afterLines="20" w:after="48" w:line="276" w:lineRule="auto"/>
              <w:jc w:val="center"/>
              <w:rPr>
                <w:noProof/>
                <w:sz w:val="20"/>
                <w:szCs w:val="20"/>
              </w:rPr>
            </w:pPr>
          </w:p>
        </w:tc>
        <w:tc>
          <w:tcPr>
            <w:tcW w:w="497" w:type="pct"/>
            <w:shd w:val="clear" w:color="auto" w:fill="auto"/>
            <w:vAlign w:val="center"/>
          </w:tcPr>
          <w:p w14:paraId="568459A2" w14:textId="77777777" w:rsidR="00976265" w:rsidRPr="002D7798" w:rsidRDefault="00976265">
            <w:pPr>
              <w:spacing w:beforeLines="20" w:before="48" w:afterLines="20" w:after="48" w:line="276" w:lineRule="auto"/>
              <w:jc w:val="center"/>
              <w:rPr>
                <w:noProof/>
                <w:sz w:val="20"/>
                <w:szCs w:val="20"/>
              </w:rPr>
            </w:pPr>
          </w:p>
        </w:tc>
        <w:tc>
          <w:tcPr>
            <w:tcW w:w="424" w:type="pct"/>
            <w:shd w:val="clear" w:color="auto" w:fill="auto"/>
            <w:vAlign w:val="center"/>
          </w:tcPr>
          <w:p w14:paraId="2E6F7744" w14:textId="77777777" w:rsidR="00976265" w:rsidRPr="002D7798" w:rsidRDefault="00976265">
            <w:pPr>
              <w:spacing w:beforeLines="20" w:before="48" w:afterLines="20" w:after="48" w:line="276" w:lineRule="auto"/>
              <w:jc w:val="center"/>
              <w:rPr>
                <w:noProof/>
                <w:sz w:val="20"/>
                <w:szCs w:val="20"/>
              </w:rPr>
            </w:pPr>
          </w:p>
        </w:tc>
        <w:tc>
          <w:tcPr>
            <w:tcW w:w="423" w:type="pct"/>
            <w:shd w:val="clear" w:color="auto" w:fill="auto"/>
            <w:vAlign w:val="center"/>
          </w:tcPr>
          <w:p w14:paraId="053F3643" w14:textId="77777777" w:rsidR="00976265" w:rsidRPr="002D7798" w:rsidRDefault="00976265">
            <w:pPr>
              <w:spacing w:beforeLines="20" w:before="48" w:afterLines="20" w:after="48" w:line="276" w:lineRule="auto"/>
              <w:jc w:val="center"/>
              <w:rPr>
                <w:noProof/>
                <w:sz w:val="20"/>
                <w:szCs w:val="20"/>
              </w:rPr>
            </w:pPr>
          </w:p>
        </w:tc>
        <w:tc>
          <w:tcPr>
            <w:tcW w:w="452" w:type="pct"/>
            <w:gridSpan w:val="2"/>
            <w:shd w:val="clear" w:color="auto" w:fill="auto"/>
            <w:vAlign w:val="center"/>
          </w:tcPr>
          <w:p w14:paraId="6511518C" w14:textId="77777777" w:rsidR="00976265" w:rsidRPr="002D7798" w:rsidRDefault="00976265">
            <w:pPr>
              <w:spacing w:beforeLines="20" w:before="48" w:afterLines="20" w:after="48" w:line="276" w:lineRule="auto"/>
              <w:jc w:val="center"/>
              <w:rPr>
                <w:noProof/>
                <w:sz w:val="20"/>
                <w:szCs w:val="20"/>
              </w:rPr>
            </w:pPr>
          </w:p>
        </w:tc>
      </w:tr>
      <w:tr w:rsidR="00851B85" w:rsidRPr="002D7798" w14:paraId="39CFC718" w14:textId="77777777" w:rsidTr="208CACCC">
        <w:trPr>
          <w:trHeight w:val="289"/>
          <w:jc w:val="center"/>
        </w:trPr>
        <w:tc>
          <w:tcPr>
            <w:tcW w:w="1018" w:type="pct"/>
            <w:vMerge/>
            <w:vAlign w:val="center"/>
          </w:tcPr>
          <w:p w14:paraId="137F45F4" w14:textId="77777777" w:rsidR="00976265" w:rsidRPr="002D7798" w:rsidRDefault="00976265">
            <w:pPr>
              <w:spacing w:before="0" w:after="200" w:line="276" w:lineRule="auto"/>
              <w:jc w:val="left"/>
              <w:rPr>
                <w:b/>
                <w:noProof/>
                <w:sz w:val="20"/>
                <w:szCs w:val="20"/>
              </w:rPr>
            </w:pPr>
          </w:p>
        </w:tc>
        <w:tc>
          <w:tcPr>
            <w:tcW w:w="1025" w:type="pct"/>
            <w:shd w:val="clear" w:color="auto" w:fill="auto"/>
            <w:vAlign w:val="center"/>
          </w:tcPr>
          <w:p w14:paraId="14AB62E8" w14:textId="77777777" w:rsidR="00976265" w:rsidRPr="002D7798" w:rsidRDefault="0064263D">
            <w:pPr>
              <w:spacing w:beforeLines="20" w:before="48" w:afterLines="20" w:after="48" w:line="276" w:lineRule="auto"/>
              <w:ind w:left="598"/>
              <w:jc w:val="left"/>
              <w:rPr>
                <w:b/>
                <w:noProof/>
                <w:sz w:val="20"/>
              </w:rPr>
            </w:pPr>
            <w:r w:rsidRPr="002D7798">
              <w:rPr>
                <w:noProof/>
                <w:sz w:val="20"/>
              </w:rPr>
              <w:t xml:space="preserve">– při delegacích </w:t>
            </w:r>
          </w:p>
        </w:tc>
        <w:tc>
          <w:tcPr>
            <w:tcW w:w="377" w:type="pct"/>
            <w:shd w:val="clear" w:color="auto" w:fill="auto"/>
            <w:vAlign w:val="center"/>
          </w:tcPr>
          <w:p w14:paraId="0DFE19C7" w14:textId="77777777" w:rsidR="00976265" w:rsidRPr="002D7798" w:rsidRDefault="00976265" w:rsidP="00BC16CB">
            <w:pPr>
              <w:numPr>
                <w:ilvl w:val="0"/>
                <w:numId w:val="29"/>
              </w:numPr>
              <w:spacing w:beforeLines="20" w:before="48" w:afterLines="20" w:after="48" w:line="276" w:lineRule="auto"/>
              <w:ind w:firstLine="0"/>
              <w:jc w:val="left"/>
              <w:rPr>
                <w:noProof/>
                <w:sz w:val="20"/>
              </w:rPr>
            </w:pPr>
          </w:p>
        </w:tc>
        <w:tc>
          <w:tcPr>
            <w:tcW w:w="377" w:type="pct"/>
            <w:shd w:val="clear" w:color="auto" w:fill="auto"/>
            <w:vAlign w:val="center"/>
          </w:tcPr>
          <w:p w14:paraId="682FA34F" w14:textId="77777777" w:rsidR="00976265" w:rsidRPr="002D7798" w:rsidRDefault="00976265">
            <w:pPr>
              <w:spacing w:beforeLines="20" w:before="48" w:afterLines="20" w:after="48" w:line="276" w:lineRule="auto"/>
              <w:jc w:val="center"/>
              <w:rPr>
                <w:noProof/>
                <w:sz w:val="20"/>
                <w:szCs w:val="20"/>
              </w:rPr>
            </w:pPr>
          </w:p>
        </w:tc>
        <w:tc>
          <w:tcPr>
            <w:tcW w:w="406" w:type="pct"/>
            <w:shd w:val="clear" w:color="auto" w:fill="auto"/>
            <w:vAlign w:val="center"/>
          </w:tcPr>
          <w:p w14:paraId="0698FA80" w14:textId="77777777" w:rsidR="00976265" w:rsidRPr="002D7798" w:rsidRDefault="00976265">
            <w:pPr>
              <w:spacing w:beforeLines="20" w:before="48" w:afterLines="20" w:after="48" w:line="276" w:lineRule="auto"/>
              <w:jc w:val="center"/>
              <w:rPr>
                <w:noProof/>
                <w:sz w:val="20"/>
                <w:szCs w:val="20"/>
              </w:rPr>
            </w:pPr>
          </w:p>
        </w:tc>
        <w:tc>
          <w:tcPr>
            <w:tcW w:w="497" w:type="pct"/>
            <w:shd w:val="clear" w:color="auto" w:fill="auto"/>
            <w:vAlign w:val="center"/>
          </w:tcPr>
          <w:p w14:paraId="35CEAA16" w14:textId="77777777" w:rsidR="00976265" w:rsidRPr="002D7798" w:rsidRDefault="00976265">
            <w:pPr>
              <w:spacing w:beforeLines="20" w:before="48" w:afterLines="20" w:after="48" w:line="276" w:lineRule="auto"/>
              <w:jc w:val="center"/>
              <w:rPr>
                <w:noProof/>
                <w:sz w:val="20"/>
                <w:szCs w:val="20"/>
              </w:rPr>
            </w:pPr>
          </w:p>
        </w:tc>
        <w:tc>
          <w:tcPr>
            <w:tcW w:w="424" w:type="pct"/>
            <w:shd w:val="clear" w:color="auto" w:fill="auto"/>
            <w:vAlign w:val="center"/>
          </w:tcPr>
          <w:p w14:paraId="545FE090" w14:textId="77777777" w:rsidR="00976265" w:rsidRPr="002D7798" w:rsidRDefault="00976265">
            <w:pPr>
              <w:spacing w:beforeLines="20" w:before="48" w:afterLines="20" w:after="48" w:line="276" w:lineRule="auto"/>
              <w:jc w:val="center"/>
              <w:rPr>
                <w:noProof/>
                <w:sz w:val="20"/>
                <w:szCs w:val="20"/>
              </w:rPr>
            </w:pPr>
          </w:p>
        </w:tc>
        <w:tc>
          <w:tcPr>
            <w:tcW w:w="423" w:type="pct"/>
            <w:shd w:val="clear" w:color="auto" w:fill="auto"/>
            <w:vAlign w:val="center"/>
          </w:tcPr>
          <w:p w14:paraId="7D36D498" w14:textId="77777777" w:rsidR="00976265" w:rsidRPr="002D7798" w:rsidRDefault="00976265">
            <w:pPr>
              <w:spacing w:beforeLines="20" w:before="48" w:afterLines="20" w:after="48" w:line="276" w:lineRule="auto"/>
              <w:jc w:val="center"/>
              <w:rPr>
                <w:noProof/>
                <w:sz w:val="20"/>
                <w:szCs w:val="20"/>
              </w:rPr>
            </w:pPr>
          </w:p>
        </w:tc>
        <w:tc>
          <w:tcPr>
            <w:tcW w:w="452" w:type="pct"/>
            <w:gridSpan w:val="2"/>
            <w:shd w:val="clear" w:color="auto" w:fill="auto"/>
            <w:vAlign w:val="center"/>
          </w:tcPr>
          <w:p w14:paraId="3B86B4B8" w14:textId="77777777" w:rsidR="00976265" w:rsidRPr="002D7798" w:rsidRDefault="00976265">
            <w:pPr>
              <w:spacing w:beforeLines="20" w:before="48" w:afterLines="20" w:after="48" w:line="276" w:lineRule="auto"/>
              <w:jc w:val="center"/>
              <w:rPr>
                <w:noProof/>
                <w:sz w:val="20"/>
                <w:szCs w:val="20"/>
              </w:rPr>
            </w:pPr>
          </w:p>
        </w:tc>
      </w:tr>
      <w:tr w:rsidR="00851B85" w:rsidRPr="002D7798" w14:paraId="50781AC6" w14:textId="77777777" w:rsidTr="208CACCC">
        <w:trPr>
          <w:trHeight w:val="289"/>
          <w:jc w:val="center"/>
        </w:trPr>
        <w:tc>
          <w:tcPr>
            <w:tcW w:w="2043" w:type="pct"/>
            <w:gridSpan w:val="2"/>
            <w:shd w:val="clear" w:color="auto" w:fill="auto"/>
            <w:vAlign w:val="center"/>
          </w:tcPr>
          <w:p w14:paraId="7315ABCC" w14:textId="77777777" w:rsidR="00976265" w:rsidRPr="002D7798" w:rsidRDefault="0064263D">
            <w:pPr>
              <w:spacing w:beforeLines="20" w:before="48" w:afterLines="20" w:after="48" w:line="276" w:lineRule="auto"/>
              <w:ind w:left="986"/>
              <w:jc w:val="left"/>
              <w:rPr>
                <w:noProof/>
                <w:sz w:val="20"/>
              </w:rPr>
            </w:pPr>
            <w:r w:rsidRPr="002D7798">
              <w:rPr>
                <w:b/>
                <w:noProof/>
                <w:sz w:val="20"/>
              </w:rPr>
              <w:t>01 01 01 02</w:t>
            </w:r>
            <w:r w:rsidRPr="002D7798">
              <w:rPr>
                <w:noProof/>
                <w:sz w:val="20"/>
              </w:rPr>
              <w:t xml:space="preserve"> (SZ, VNO, ZAP v nepřímém výzkumu)</w:t>
            </w:r>
          </w:p>
        </w:tc>
        <w:tc>
          <w:tcPr>
            <w:tcW w:w="377" w:type="pct"/>
            <w:shd w:val="clear" w:color="auto" w:fill="auto"/>
            <w:vAlign w:val="center"/>
          </w:tcPr>
          <w:p w14:paraId="216CA746" w14:textId="77777777" w:rsidR="00976265" w:rsidRPr="002D7798" w:rsidRDefault="00976265">
            <w:pPr>
              <w:spacing w:beforeLines="20" w:before="48" w:afterLines="20" w:after="48" w:line="276" w:lineRule="auto"/>
              <w:jc w:val="center"/>
              <w:rPr>
                <w:noProof/>
                <w:sz w:val="20"/>
                <w:szCs w:val="20"/>
              </w:rPr>
            </w:pPr>
          </w:p>
        </w:tc>
        <w:tc>
          <w:tcPr>
            <w:tcW w:w="377" w:type="pct"/>
            <w:shd w:val="clear" w:color="auto" w:fill="auto"/>
            <w:vAlign w:val="center"/>
          </w:tcPr>
          <w:p w14:paraId="6059ED23" w14:textId="77777777" w:rsidR="00976265" w:rsidRPr="002D7798" w:rsidRDefault="00976265">
            <w:pPr>
              <w:spacing w:beforeLines="20" w:before="48" w:afterLines="20" w:after="48" w:line="276" w:lineRule="auto"/>
              <w:jc w:val="center"/>
              <w:rPr>
                <w:noProof/>
                <w:sz w:val="20"/>
                <w:szCs w:val="20"/>
              </w:rPr>
            </w:pPr>
          </w:p>
        </w:tc>
        <w:tc>
          <w:tcPr>
            <w:tcW w:w="406" w:type="pct"/>
            <w:shd w:val="clear" w:color="auto" w:fill="auto"/>
            <w:vAlign w:val="center"/>
          </w:tcPr>
          <w:p w14:paraId="74EB4735" w14:textId="77777777" w:rsidR="00976265" w:rsidRPr="002D7798" w:rsidRDefault="00976265">
            <w:pPr>
              <w:spacing w:beforeLines="20" w:before="48" w:afterLines="20" w:after="48" w:line="276" w:lineRule="auto"/>
              <w:jc w:val="center"/>
              <w:rPr>
                <w:noProof/>
                <w:sz w:val="20"/>
                <w:szCs w:val="20"/>
              </w:rPr>
            </w:pPr>
          </w:p>
        </w:tc>
        <w:tc>
          <w:tcPr>
            <w:tcW w:w="497" w:type="pct"/>
            <w:shd w:val="clear" w:color="auto" w:fill="auto"/>
            <w:vAlign w:val="center"/>
          </w:tcPr>
          <w:p w14:paraId="0117A0E3" w14:textId="77777777" w:rsidR="00976265" w:rsidRPr="002D7798" w:rsidRDefault="00976265">
            <w:pPr>
              <w:spacing w:beforeLines="20" w:before="48" w:afterLines="20" w:after="48" w:line="276" w:lineRule="auto"/>
              <w:jc w:val="center"/>
              <w:rPr>
                <w:noProof/>
                <w:sz w:val="20"/>
                <w:szCs w:val="20"/>
              </w:rPr>
            </w:pPr>
          </w:p>
        </w:tc>
        <w:tc>
          <w:tcPr>
            <w:tcW w:w="424" w:type="pct"/>
            <w:shd w:val="clear" w:color="auto" w:fill="auto"/>
            <w:vAlign w:val="center"/>
          </w:tcPr>
          <w:p w14:paraId="0283D5D9" w14:textId="77777777" w:rsidR="00976265" w:rsidRPr="002D7798" w:rsidRDefault="00976265">
            <w:pPr>
              <w:spacing w:beforeLines="20" w:before="48" w:afterLines="20" w:after="48" w:line="276" w:lineRule="auto"/>
              <w:jc w:val="center"/>
              <w:rPr>
                <w:noProof/>
                <w:sz w:val="20"/>
                <w:szCs w:val="20"/>
              </w:rPr>
            </w:pPr>
          </w:p>
        </w:tc>
        <w:tc>
          <w:tcPr>
            <w:tcW w:w="423" w:type="pct"/>
            <w:shd w:val="clear" w:color="auto" w:fill="auto"/>
            <w:vAlign w:val="center"/>
          </w:tcPr>
          <w:p w14:paraId="16AF8DD9" w14:textId="77777777" w:rsidR="00976265" w:rsidRPr="002D7798" w:rsidRDefault="00976265">
            <w:pPr>
              <w:spacing w:beforeLines="20" w:before="48" w:afterLines="20" w:after="48" w:line="276" w:lineRule="auto"/>
              <w:jc w:val="center"/>
              <w:rPr>
                <w:noProof/>
                <w:sz w:val="20"/>
                <w:szCs w:val="20"/>
              </w:rPr>
            </w:pPr>
          </w:p>
        </w:tc>
        <w:tc>
          <w:tcPr>
            <w:tcW w:w="452" w:type="pct"/>
            <w:gridSpan w:val="2"/>
            <w:shd w:val="clear" w:color="auto" w:fill="auto"/>
            <w:vAlign w:val="center"/>
          </w:tcPr>
          <w:p w14:paraId="67E17CA8" w14:textId="77777777" w:rsidR="00976265" w:rsidRPr="002D7798" w:rsidRDefault="00976265">
            <w:pPr>
              <w:spacing w:beforeLines="20" w:before="48" w:afterLines="20" w:after="48" w:line="276" w:lineRule="auto"/>
              <w:jc w:val="center"/>
              <w:rPr>
                <w:noProof/>
                <w:sz w:val="20"/>
                <w:szCs w:val="20"/>
              </w:rPr>
            </w:pPr>
          </w:p>
        </w:tc>
      </w:tr>
      <w:tr w:rsidR="00851B85" w:rsidRPr="002D7798" w14:paraId="750C2A9D" w14:textId="77777777" w:rsidTr="208CACCC">
        <w:trPr>
          <w:trHeight w:val="289"/>
          <w:jc w:val="center"/>
        </w:trPr>
        <w:tc>
          <w:tcPr>
            <w:tcW w:w="2043" w:type="pct"/>
            <w:gridSpan w:val="2"/>
            <w:shd w:val="clear" w:color="auto" w:fill="auto"/>
            <w:vAlign w:val="center"/>
          </w:tcPr>
          <w:p w14:paraId="2AA80914" w14:textId="77777777" w:rsidR="00976265" w:rsidRPr="002D7798" w:rsidRDefault="0064263D">
            <w:pPr>
              <w:spacing w:beforeLines="20" w:before="48" w:afterLines="20" w:after="48" w:line="276" w:lineRule="auto"/>
              <w:ind w:left="986"/>
              <w:jc w:val="left"/>
              <w:rPr>
                <w:noProof/>
                <w:sz w:val="20"/>
              </w:rPr>
            </w:pPr>
            <w:r w:rsidRPr="002D7798">
              <w:rPr>
                <w:noProof/>
                <w:sz w:val="20"/>
              </w:rPr>
              <w:t>10 01 05 02 (SZ, VNO, ZAP v přímém výzkumu)</w:t>
            </w:r>
          </w:p>
        </w:tc>
        <w:tc>
          <w:tcPr>
            <w:tcW w:w="377" w:type="pct"/>
            <w:shd w:val="clear" w:color="auto" w:fill="auto"/>
            <w:vAlign w:val="center"/>
          </w:tcPr>
          <w:p w14:paraId="0B71145E" w14:textId="77777777" w:rsidR="00976265" w:rsidRPr="002D7798" w:rsidRDefault="00976265">
            <w:pPr>
              <w:spacing w:beforeLines="20" w:before="48" w:afterLines="20" w:after="48" w:line="276" w:lineRule="auto"/>
              <w:jc w:val="center"/>
              <w:rPr>
                <w:noProof/>
                <w:sz w:val="20"/>
                <w:szCs w:val="20"/>
              </w:rPr>
            </w:pPr>
          </w:p>
        </w:tc>
        <w:tc>
          <w:tcPr>
            <w:tcW w:w="377" w:type="pct"/>
            <w:shd w:val="clear" w:color="auto" w:fill="auto"/>
            <w:vAlign w:val="center"/>
          </w:tcPr>
          <w:p w14:paraId="0C27144C" w14:textId="77777777" w:rsidR="00976265" w:rsidRPr="002D7798" w:rsidRDefault="00976265">
            <w:pPr>
              <w:spacing w:beforeLines="20" w:before="48" w:afterLines="20" w:after="48" w:line="276" w:lineRule="auto"/>
              <w:jc w:val="center"/>
              <w:rPr>
                <w:noProof/>
                <w:sz w:val="20"/>
                <w:szCs w:val="20"/>
              </w:rPr>
            </w:pPr>
          </w:p>
        </w:tc>
        <w:tc>
          <w:tcPr>
            <w:tcW w:w="406" w:type="pct"/>
            <w:shd w:val="clear" w:color="auto" w:fill="auto"/>
            <w:vAlign w:val="center"/>
          </w:tcPr>
          <w:p w14:paraId="52425949" w14:textId="77777777" w:rsidR="00976265" w:rsidRPr="002D7798" w:rsidRDefault="00976265">
            <w:pPr>
              <w:spacing w:beforeLines="20" w:before="48" w:afterLines="20" w:after="48" w:line="276" w:lineRule="auto"/>
              <w:jc w:val="center"/>
              <w:rPr>
                <w:noProof/>
                <w:sz w:val="20"/>
                <w:szCs w:val="20"/>
              </w:rPr>
            </w:pPr>
          </w:p>
        </w:tc>
        <w:tc>
          <w:tcPr>
            <w:tcW w:w="497" w:type="pct"/>
            <w:shd w:val="clear" w:color="auto" w:fill="auto"/>
            <w:vAlign w:val="center"/>
          </w:tcPr>
          <w:p w14:paraId="56682FC4" w14:textId="77777777" w:rsidR="00976265" w:rsidRPr="002D7798" w:rsidRDefault="00976265">
            <w:pPr>
              <w:spacing w:beforeLines="20" w:before="48" w:afterLines="20" w:after="48" w:line="276" w:lineRule="auto"/>
              <w:jc w:val="center"/>
              <w:rPr>
                <w:noProof/>
                <w:sz w:val="20"/>
                <w:szCs w:val="20"/>
              </w:rPr>
            </w:pPr>
          </w:p>
        </w:tc>
        <w:tc>
          <w:tcPr>
            <w:tcW w:w="424" w:type="pct"/>
            <w:shd w:val="clear" w:color="auto" w:fill="auto"/>
            <w:vAlign w:val="center"/>
          </w:tcPr>
          <w:p w14:paraId="75FD61C5" w14:textId="77777777" w:rsidR="00976265" w:rsidRPr="002D7798" w:rsidRDefault="00976265">
            <w:pPr>
              <w:spacing w:beforeLines="20" w:before="48" w:afterLines="20" w:after="48" w:line="276" w:lineRule="auto"/>
              <w:jc w:val="center"/>
              <w:rPr>
                <w:noProof/>
                <w:sz w:val="20"/>
                <w:szCs w:val="20"/>
              </w:rPr>
            </w:pPr>
          </w:p>
        </w:tc>
        <w:tc>
          <w:tcPr>
            <w:tcW w:w="423" w:type="pct"/>
            <w:shd w:val="clear" w:color="auto" w:fill="auto"/>
            <w:vAlign w:val="center"/>
          </w:tcPr>
          <w:p w14:paraId="149CAE2B" w14:textId="77777777" w:rsidR="00976265" w:rsidRPr="002D7798" w:rsidRDefault="00976265">
            <w:pPr>
              <w:spacing w:beforeLines="20" w:before="48" w:afterLines="20" w:after="48" w:line="276" w:lineRule="auto"/>
              <w:jc w:val="center"/>
              <w:rPr>
                <w:noProof/>
                <w:sz w:val="20"/>
                <w:szCs w:val="20"/>
              </w:rPr>
            </w:pPr>
          </w:p>
        </w:tc>
        <w:tc>
          <w:tcPr>
            <w:tcW w:w="452" w:type="pct"/>
            <w:gridSpan w:val="2"/>
            <w:shd w:val="clear" w:color="auto" w:fill="auto"/>
            <w:vAlign w:val="center"/>
          </w:tcPr>
          <w:p w14:paraId="59D254CD" w14:textId="77777777" w:rsidR="00976265" w:rsidRPr="002D7798" w:rsidRDefault="00976265">
            <w:pPr>
              <w:spacing w:beforeLines="20" w:before="48" w:afterLines="20" w:after="48" w:line="276" w:lineRule="auto"/>
              <w:jc w:val="center"/>
              <w:rPr>
                <w:noProof/>
                <w:sz w:val="20"/>
                <w:szCs w:val="20"/>
              </w:rPr>
            </w:pPr>
          </w:p>
        </w:tc>
      </w:tr>
      <w:tr w:rsidR="00851B85" w:rsidRPr="002D7798" w14:paraId="42D2EBEE" w14:textId="77777777" w:rsidTr="208CACCC">
        <w:trPr>
          <w:trHeight w:val="289"/>
          <w:jc w:val="center"/>
        </w:trPr>
        <w:tc>
          <w:tcPr>
            <w:tcW w:w="2043" w:type="pct"/>
            <w:gridSpan w:val="2"/>
            <w:tcBorders>
              <w:bottom w:val="double" w:sz="4" w:space="0" w:color="auto"/>
            </w:tcBorders>
            <w:shd w:val="clear" w:color="auto" w:fill="auto"/>
            <w:vAlign w:val="center"/>
          </w:tcPr>
          <w:p w14:paraId="6ECBC9AF" w14:textId="77777777" w:rsidR="00976265" w:rsidRPr="002D7798" w:rsidRDefault="0064263D">
            <w:pPr>
              <w:spacing w:beforeLines="20" w:before="48" w:afterLines="20" w:after="48" w:line="276" w:lineRule="auto"/>
              <w:ind w:left="984"/>
              <w:jc w:val="left"/>
              <w:rPr>
                <w:noProof/>
                <w:sz w:val="20"/>
              </w:rPr>
            </w:pPr>
            <w:r w:rsidRPr="002D7798">
              <w:rPr>
                <w:noProof/>
                <w:sz w:val="20"/>
              </w:rPr>
              <w:t>Jiné rozpočtové položky (upřesněte)</w:t>
            </w:r>
          </w:p>
        </w:tc>
        <w:tc>
          <w:tcPr>
            <w:tcW w:w="377" w:type="pct"/>
            <w:tcBorders>
              <w:bottom w:val="double" w:sz="4" w:space="0" w:color="auto"/>
            </w:tcBorders>
            <w:shd w:val="clear" w:color="auto" w:fill="auto"/>
            <w:vAlign w:val="center"/>
          </w:tcPr>
          <w:p w14:paraId="1B053A22" w14:textId="77777777" w:rsidR="00976265" w:rsidRPr="002D7798" w:rsidRDefault="00976265">
            <w:pPr>
              <w:spacing w:beforeLines="20" w:before="48" w:afterLines="20" w:after="48" w:line="276" w:lineRule="auto"/>
              <w:jc w:val="center"/>
              <w:rPr>
                <w:noProof/>
                <w:sz w:val="20"/>
                <w:szCs w:val="20"/>
              </w:rPr>
            </w:pPr>
          </w:p>
        </w:tc>
        <w:tc>
          <w:tcPr>
            <w:tcW w:w="377" w:type="pct"/>
            <w:tcBorders>
              <w:bottom w:val="double" w:sz="4" w:space="0" w:color="auto"/>
            </w:tcBorders>
            <w:shd w:val="clear" w:color="auto" w:fill="auto"/>
            <w:vAlign w:val="center"/>
          </w:tcPr>
          <w:p w14:paraId="3293F20F" w14:textId="77777777" w:rsidR="00976265" w:rsidRPr="002D7798" w:rsidRDefault="00976265">
            <w:pPr>
              <w:spacing w:beforeLines="20" w:before="48" w:afterLines="20" w:after="48" w:line="276" w:lineRule="auto"/>
              <w:jc w:val="center"/>
              <w:rPr>
                <w:noProof/>
                <w:sz w:val="20"/>
                <w:szCs w:val="20"/>
              </w:rPr>
            </w:pPr>
          </w:p>
        </w:tc>
        <w:tc>
          <w:tcPr>
            <w:tcW w:w="406" w:type="pct"/>
            <w:tcBorders>
              <w:bottom w:val="double" w:sz="4" w:space="0" w:color="auto"/>
            </w:tcBorders>
            <w:shd w:val="clear" w:color="auto" w:fill="auto"/>
            <w:vAlign w:val="center"/>
          </w:tcPr>
          <w:p w14:paraId="70B9FCC4" w14:textId="77777777" w:rsidR="00976265" w:rsidRPr="002D7798" w:rsidRDefault="00976265">
            <w:pPr>
              <w:spacing w:beforeLines="20" w:before="48" w:afterLines="20" w:after="48" w:line="276" w:lineRule="auto"/>
              <w:jc w:val="center"/>
              <w:rPr>
                <w:noProof/>
                <w:sz w:val="20"/>
                <w:szCs w:val="20"/>
              </w:rPr>
            </w:pPr>
          </w:p>
        </w:tc>
        <w:tc>
          <w:tcPr>
            <w:tcW w:w="497" w:type="pct"/>
            <w:tcBorders>
              <w:bottom w:val="double" w:sz="4" w:space="0" w:color="auto"/>
            </w:tcBorders>
            <w:shd w:val="clear" w:color="auto" w:fill="auto"/>
            <w:vAlign w:val="center"/>
          </w:tcPr>
          <w:p w14:paraId="2A22EACF" w14:textId="77777777" w:rsidR="00976265" w:rsidRPr="002D7798" w:rsidRDefault="00976265">
            <w:pPr>
              <w:spacing w:beforeLines="20" w:before="48" w:afterLines="20" w:after="48" w:line="276" w:lineRule="auto"/>
              <w:jc w:val="center"/>
              <w:rPr>
                <w:noProof/>
                <w:sz w:val="20"/>
                <w:szCs w:val="20"/>
              </w:rPr>
            </w:pPr>
          </w:p>
        </w:tc>
        <w:tc>
          <w:tcPr>
            <w:tcW w:w="424" w:type="pct"/>
            <w:tcBorders>
              <w:bottom w:val="double" w:sz="4" w:space="0" w:color="auto"/>
            </w:tcBorders>
            <w:shd w:val="clear" w:color="auto" w:fill="auto"/>
            <w:vAlign w:val="center"/>
          </w:tcPr>
          <w:p w14:paraId="1896C791" w14:textId="77777777" w:rsidR="00976265" w:rsidRPr="002D7798" w:rsidRDefault="00976265">
            <w:pPr>
              <w:spacing w:beforeLines="20" w:before="48" w:afterLines="20" w:after="48" w:line="276" w:lineRule="auto"/>
              <w:jc w:val="center"/>
              <w:rPr>
                <w:noProof/>
                <w:sz w:val="20"/>
                <w:szCs w:val="20"/>
              </w:rPr>
            </w:pPr>
          </w:p>
        </w:tc>
        <w:tc>
          <w:tcPr>
            <w:tcW w:w="423" w:type="pct"/>
            <w:tcBorders>
              <w:bottom w:val="double" w:sz="4" w:space="0" w:color="auto"/>
            </w:tcBorders>
            <w:shd w:val="clear" w:color="auto" w:fill="auto"/>
            <w:vAlign w:val="center"/>
          </w:tcPr>
          <w:p w14:paraId="6B72BA46" w14:textId="77777777" w:rsidR="00976265" w:rsidRPr="002D7798" w:rsidRDefault="00976265">
            <w:pPr>
              <w:spacing w:beforeLines="20" w:before="48" w:afterLines="20" w:after="48" w:line="276" w:lineRule="auto"/>
              <w:jc w:val="center"/>
              <w:rPr>
                <w:noProof/>
                <w:sz w:val="20"/>
                <w:szCs w:val="20"/>
              </w:rPr>
            </w:pPr>
          </w:p>
        </w:tc>
        <w:tc>
          <w:tcPr>
            <w:tcW w:w="452" w:type="pct"/>
            <w:gridSpan w:val="2"/>
            <w:tcBorders>
              <w:bottom w:val="double" w:sz="4" w:space="0" w:color="auto"/>
            </w:tcBorders>
            <w:shd w:val="clear" w:color="auto" w:fill="auto"/>
            <w:vAlign w:val="center"/>
          </w:tcPr>
          <w:p w14:paraId="2B60FCE7" w14:textId="77777777" w:rsidR="00976265" w:rsidRPr="002D7798" w:rsidRDefault="00976265">
            <w:pPr>
              <w:spacing w:beforeLines="20" w:before="48" w:afterLines="20" w:after="48" w:line="276" w:lineRule="auto"/>
              <w:jc w:val="center"/>
              <w:rPr>
                <w:noProof/>
                <w:sz w:val="20"/>
                <w:szCs w:val="20"/>
              </w:rPr>
            </w:pPr>
          </w:p>
        </w:tc>
      </w:tr>
      <w:tr w:rsidR="00851B85" w:rsidRPr="002D7798" w14:paraId="3B305B39" w14:textId="77777777" w:rsidTr="208CACCC">
        <w:trPr>
          <w:trHeight w:val="289"/>
          <w:jc w:val="center"/>
        </w:trPr>
        <w:tc>
          <w:tcPr>
            <w:tcW w:w="2043" w:type="pct"/>
            <w:gridSpan w:val="2"/>
            <w:tcBorders>
              <w:top w:val="double" w:sz="4" w:space="0" w:color="auto"/>
            </w:tcBorders>
            <w:shd w:val="clear" w:color="auto" w:fill="auto"/>
            <w:vAlign w:val="center"/>
          </w:tcPr>
          <w:p w14:paraId="30B1E446" w14:textId="77777777" w:rsidR="00976265" w:rsidRPr="002D7798" w:rsidRDefault="0064263D">
            <w:pPr>
              <w:spacing w:beforeLines="20" w:before="48" w:afterLines="20" w:after="48" w:line="276" w:lineRule="auto"/>
              <w:ind w:left="986"/>
              <w:jc w:val="left"/>
              <w:rPr>
                <w:noProof/>
                <w:sz w:val="20"/>
                <w:szCs w:val="20"/>
              </w:rPr>
            </w:pPr>
            <w:r w:rsidRPr="002D7798">
              <w:rPr>
                <w:b/>
                <w:noProof/>
                <w:sz w:val="20"/>
              </w:rPr>
              <w:t>CELKEM</w:t>
            </w:r>
          </w:p>
        </w:tc>
        <w:tc>
          <w:tcPr>
            <w:tcW w:w="377" w:type="pct"/>
            <w:tcBorders>
              <w:top w:val="double" w:sz="4" w:space="0" w:color="auto"/>
            </w:tcBorders>
            <w:shd w:val="clear" w:color="auto" w:fill="auto"/>
            <w:vAlign w:val="center"/>
          </w:tcPr>
          <w:p w14:paraId="338F30F7" w14:textId="77777777" w:rsidR="00976265" w:rsidRPr="002D7798" w:rsidRDefault="0064263D">
            <w:pPr>
              <w:spacing w:beforeLines="20" w:before="48" w:afterLines="20" w:after="48" w:line="276" w:lineRule="auto"/>
              <w:jc w:val="center"/>
              <w:rPr>
                <w:b/>
                <w:bCs/>
                <w:noProof/>
                <w:sz w:val="20"/>
                <w:szCs w:val="20"/>
              </w:rPr>
            </w:pPr>
            <w:r w:rsidRPr="002D7798">
              <w:rPr>
                <w:b/>
                <w:noProof/>
                <w:sz w:val="20"/>
              </w:rPr>
              <w:t>3</w:t>
            </w:r>
          </w:p>
        </w:tc>
        <w:tc>
          <w:tcPr>
            <w:tcW w:w="377" w:type="pct"/>
            <w:tcBorders>
              <w:top w:val="double" w:sz="4" w:space="0" w:color="auto"/>
            </w:tcBorders>
            <w:shd w:val="clear" w:color="auto" w:fill="auto"/>
            <w:vAlign w:val="center"/>
          </w:tcPr>
          <w:p w14:paraId="17563DEA" w14:textId="77777777" w:rsidR="00976265" w:rsidRPr="002D7798" w:rsidRDefault="0064263D">
            <w:pPr>
              <w:spacing w:beforeLines="20" w:before="48" w:afterLines="20" w:after="48" w:line="276" w:lineRule="auto"/>
              <w:jc w:val="center"/>
              <w:rPr>
                <w:b/>
                <w:bCs/>
                <w:noProof/>
                <w:sz w:val="20"/>
                <w:szCs w:val="20"/>
              </w:rPr>
            </w:pPr>
            <w:r w:rsidRPr="002D7798">
              <w:rPr>
                <w:b/>
                <w:noProof/>
                <w:sz w:val="20"/>
              </w:rPr>
              <w:t>3</w:t>
            </w:r>
          </w:p>
        </w:tc>
        <w:tc>
          <w:tcPr>
            <w:tcW w:w="406" w:type="pct"/>
            <w:tcBorders>
              <w:top w:val="double" w:sz="4" w:space="0" w:color="auto"/>
            </w:tcBorders>
            <w:shd w:val="clear" w:color="auto" w:fill="auto"/>
            <w:vAlign w:val="center"/>
          </w:tcPr>
          <w:p w14:paraId="6291E6BD" w14:textId="77777777" w:rsidR="00976265" w:rsidRPr="002D7798" w:rsidRDefault="0064263D">
            <w:pPr>
              <w:spacing w:beforeLines="20" w:before="48" w:afterLines="20" w:after="48" w:line="276" w:lineRule="auto"/>
              <w:jc w:val="center"/>
              <w:rPr>
                <w:b/>
                <w:bCs/>
                <w:noProof/>
                <w:sz w:val="20"/>
                <w:szCs w:val="20"/>
              </w:rPr>
            </w:pPr>
            <w:r w:rsidRPr="002D7798">
              <w:rPr>
                <w:b/>
                <w:noProof/>
                <w:sz w:val="20"/>
              </w:rPr>
              <w:t>3</w:t>
            </w:r>
          </w:p>
        </w:tc>
        <w:tc>
          <w:tcPr>
            <w:tcW w:w="497" w:type="pct"/>
            <w:tcBorders>
              <w:top w:val="double" w:sz="4" w:space="0" w:color="auto"/>
            </w:tcBorders>
            <w:shd w:val="clear" w:color="auto" w:fill="auto"/>
            <w:vAlign w:val="center"/>
          </w:tcPr>
          <w:p w14:paraId="124DCB5C" w14:textId="77777777" w:rsidR="00976265" w:rsidRPr="002D7798" w:rsidRDefault="0064263D">
            <w:pPr>
              <w:spacing w:beforeLines="20" w:before="48" w:afterLines="20" w:after="48" w:line="276" w:lineRule="auto"/>
              <w:jc w:val="center"/>
              <w:rPr>
                <w:b/>
                <w:bCs/>
                <w:noProof/>
                <w:sz w:val="20"/>
                <w:szCs w:val="20"/>
              </w:rPr>
            </w:pPr>
            <w:r w:rsidRPr="002D7798">
              <w:rPr>
                <w:b/>
                <w:noProof/>
                <w:sz w:val="20"/>
              </w:rPr>
              <w:t>3</w:t>
            </w:r>
          </w:p>
        </w:tc>
        <w:tc>
          <w:tcPr>
            <w:tcW w:w="424" w:type="pct"/>
            <w:tcBorders>
              <w:top w:val="double" w:sz="4" w:space="0" w:color="auto"/>
            </w:tcBorders>
            <w:shd w:val="clear" w:color="auto" w:fill="auto"/>
            <w:vAlign w:val="center"/>
          </w:tcPr>
          <w:p w14:paraId="4D7F5513" w14:textId="77777777" w:rsidR="00976265" w:rsidRPr="002D7798" w:rsidRDefault="00976265">
            <w:pPr>
              <w:spacing w:beforeLines="20" w:before="48" w:afterLines="20" w:after="48" w:line="276" w:lineRule="auto"/>
              <w:jc w:val="center"/>
              <w:rPr>
                <w:b/>
                <w:noProof/>
                <w:sz w:val="20"/>
                <w:szCs w:val="20"/>
              </w:rPr>
            </w:pPr>
          </w:p>
        </w:tc>
        <w:tc>
          <w:tcPr>
            <w:tcW w:w="423" w:type="pct"/>
            <w:tcBorders>
              <w:top w:val="double" w:sz="4" w:space="0" w:color="auto"/>
            </w:tcBorders>
            <w:shd w:val="clear" w:color="auto" w:fill="auto"/>
            <w:vAlign w:val="center"/>
          </w:tcPr>
          <w:p w14:paraId="28EF8CC6" w14:textId="77777777" w:rsidR="00976265" w:rsidRPr="002D7798" w:rsidRDefault="00976265">
            <w:pPr>
              <w:spacing w:beforeLines="20" w:before="48" w:afterLines="20" w:after="48" w:line="276" w:lineRule="auto"/>
              <w:jc w:val="center"/>
              <w:rPr>
                <w:b/>
                <w:noProof/>
                <w:sz w:val="20"/>
                <w:szCs w:val="20"/>
              </w:rPr>
            </w:pPr>
          </w:p>
        </w:tc>
        <w:tc>
          <w:tcPr>
            <w:tcW w:w="452" w:type="pct"/>
            <w:gridSpan w:val="2"/>
            <w:tcBorders>
              <w:top w:val="double" w:sz="4" w:space="0" w:color="auto"/>
            </w:tcBorders>
            <w:shd w:val="clear" w:color="auto" w:fill="auto"/>
            <w:vAlign w:val="center"/>
          </w:tcPr>
          <w:p w14:paraId="08F85DBA" w14:textId="77777777" w:rsidR="00976265" w:rsidRPr="002D7798" w:rsidRDefault="00976265">
            <w:pPr>
              <w:spacing w:beforeLines="20" w:before="48" w:afterLines="20" w:after="48" w:line="276" w:lineRule="auto"/>
              <w:jc w:val="center"/>
              <w:rPr>
                <w:b/>
                <w:noProof/>
                <w:sz w:val="20"/>
                <w:szCs w:val="20"/>
              </w:rPr>
            </w:pPr>
          </w:p>
        </w:tc>
      </w:tr>
    </w:tbl>
    <w:p w14:paraId="49286B74" w14:textId="77777777" w:rsidR="00976265" w:rsidRPr="002D7798" w:rsidRDefault="0064263D">
      <w:pPr>
        <w:spacing w:before="0" w:after="200" w:line="276" w:lineRule="auto"/>
        <w:ind w:left="850"/>
        <w:jc w:val="left"/>
        <w:rPr>
          <w:noProof/>
          <w:sz w:val="22"/>
        </w:rPr>
      </w:pPr>
      <w:r w:rsidRPr="002D7798">
        <w:rPr>
          <w:noProof/>
          <w:sz w:val="22"/>
        </w:rPr>
        <w:t>Potřeby v oblasti lidských zdrojů budou pokryty ze zdrojů GŘ, které jsou již vyčleněny na řízení akce a/nebo byly vnitřně přeobsazeny v rámci GŘ, a případně doplněny z dodatečného přídělu, který lze řídicímu GŘ poskytnout v rámci ročního přidělování a s ohledem na rozpočtová omezení.</w:t>
      </w:r>
    </w:p>
    <w:p w14:paraId="2EAF2180" w14:textId="77777777" w:rsidR="00976265" w:rsidRPr="002D7798" w:rsidRDefault="0064263D">
      <w:pPr>
        <w:spacing w:before="0" w:after="200" w:line="276" w:lineRule="auto"/>
        <w:ind w:left="850"/>
        <w:jc w:val="left"/>
        <w:rPr>
          <w:noProof/>
          <w:sz w:val="22"/>
        </w:rPr>
      </w:pPr>
      <w:r w:rsidRPr="002D7798">
        <w:rPr>
          <w:noProof/>
          <w:sz w:val="22"/>
        </w:rPr>
        <w:t>Popis úkolů:</w:t>
      </w:r>
    </w:p>
    <w:p w14:paraId="0FA4F59B" w14:textId="77777777" w:rsidR="00976265" w:rsidRPr="002D7798" w:rsidRDefault="00976265">
      <w:pPr>
        <w:spacing w:before="0" w:after="200" w:line="276" w:lineRule="auto"/>
        <w:jc w:val="left"/>
        <w:rPr>
          <w:noProof/>
          <w:szCs w:val="20"/>
        </w:rPr>
      </w:pP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851B85" w:rsidRPr="002D7798" w14:paraId="6A749D4E" w14:textId="77777777">
        <w:tc>
          <w:tcPr>
            <w:tcW w:w="3240" w:type="dxa"/>
          </w:tcPr>
          <w:p w14:paraId="466F0770" w14:textId="77777777" w:rsidR="00976265" w:rsidRPr="002D7798" w:rsidRDefault="0064263D">
            <w:pPr>
              <w:spacing w:before="0" w:after="200" w:line="276" w:lineRule="auto"/>
              <w:jc w:val="left"/>
              <w:rPr>
                <w:noProof/>
                <w:szCs w:val="20"/>
              </w:rPr>
            </w:pPr>
            <w:r w:rsidRPr="002D7798">
              <w:rPr>
                <w:noProof/>
              </w:rPr>
              <w:t>Úředníci a dočasní zaměstnanci</w:t>
            </w:r>
          </w:p>
        </w:tc>
        <w:tc>
          <w:tcPr>
            <w:tcW w:w="7200" w:type="dxa"/>
          </w:tcPr>
          <w:p w14:paraId="2C7D1C25" w14:textId="77777777" w:rsidR="00976265" w:rsidRPr="002D7798" w:rsidRDefault="0064263D">
            <w:pPr>
              <w:spacing w:before="0" w:after="200" w:line="276" w:lineRule="auto"/>
              <w:jc w:val="left"/>
              <w:rPr>
                <w:noProof/>
                <w:szCs w:val="20"/>
              </w:rPr>
            </w:pPr>
            <w:r w:rsidRPr="002D7798">
              <w:rPr>
                <w:noProof/>
              </w:rPr>
              <w:t>Tři další plné pracovní úvazky (třídy AD) jsou zapotřebí pro tyto dodatečné úkoly:</w:t>
            </w:r>
          </w:p>
          <w:p w14:paraId="56AD83B8" w14:textId="77777777" w:rsidR="00976265" w:rsidRPr="002D7798" w:rsidRDefault="0064263D" w:rsidP="00BC16CB">
            <w:pPr>
              <w:numPr>
                <w:ilvl w:val="0"/>
                <w:numId w:val="31"/>
              </w:numPr>
              <w:spacing w:before="0" w:after="200" w:line="276" w:lineRule="auto"/>
              <w:contextualSpacing/>
              <w:jc w:val="left"/>
              <w:rPr>
                <w:noProof/>
              </w:rPr>
            </w:pPr>
            <w:r w:rsidRPr="002D7798">
              <w:rPr>
                <w:noProof/>
              </w:rPr>
              <w:t xml:space="preserve">Zajistit řádné provádění nových ustanovení </w:t>
            </w:r>
          </w:p>
          <w:p w14:paraId="59A3003C" w14:textId="77777777" w:rsidR="00976265" w:rsidRPr="002D7798" w:rsidRDefault="0064263D" w:rsidP="00BC16CB">
            <w:pPr>
              <w:numPr>
                <w:ilvl w:val="0"/>
                <w:numId w:val="31"/>
              </w:numPr>
              <w:spacing w:before="0" w:after="200" w:line="276" w:lineRule="auto"/>
              <w:contextualSpacing/>
              <w:jc w:val="left"/>
              <w:rPr>
                <w:noProof/>
              </w:rPr>
            </w:pPr>
            <w:r w:rsidRPr="002D7798">
              <w:rPr>
                <w:noProof/>
              </w:rPr>
              <w:t xml:space="preserve">Kromě toho budou členské státy podávat v rámci vnitrostátního plánu v oblasti energetiky a klimatu zprávy o vnitrostátních cílech pro odezvu strany poptávky. Tyto informace bude muset Komise zpracovat. </w:t>
            </w:r>
          </w:p>
          <w:p w14:paraId="5D4CE832" w14:textId="77777777" w:rsidR="00976265" w:rsidRPr="002D7798" w:rsidRDefault="0064263D" w:rsidP="00BC16CB">
            <w:pPr>
              <w:numPr>
                <w:ilvl w:val="0"/>
                <w:numId w:val="31"/>
              </w:numPr>
              <w:spacing w:before="0" w:after="200" w:line="276" w:lineRule="auto"/>
              <w:contextualSpacing/>
              <w:jc w:val="left"/>
              <w:rPr>
                <w:noProof/>
              </w:rPr>
            </w:pPr>
            <w:r w:rsidRPr="002D7798">
              <w:rPr>
                <w:noProof/>
              </w:rPr>
              <w:t xml:space="preserve">Sledovat řádné provedení a uplatňování nových pravidel obsažených ve směrnici o elektřině členskými státy. Navíc vzhledem k tomu, že se týká přímo spotřebitelů, může vést ke značnému počtu stížností, dopisů apod. </w:t>
            </w:r>
          </w:p>
        </w:tc>
      </w:tr>
      <w:tr w:rsidR="00851B85" w:rsidRPr="002D7798" w14:paraId="7D8CDC51" w14:textId="77777777">
        <w:tc>
          <w:tcPr>
            <w:tcW w:w="3240" w:type="dxa"/>
          </w:tcPr>
          <w:p w14:paraId="16C39CB2" w14:textId="77777777" w:rsidR="00976265" w:rsidRPr="002D7798" w:rsidRDefault="0064263D">
            <w:pPr>
              <w:spacing w:before="0" w:after="200" w:line="276" w:lineRule="auto"/>
              <w:jc w:val="left"/>
              <w:rPr>
                <w:noProof/>
                <w:szCs w:val="20"/>
              </w:rPr>
            </w:pPr>
            <w:r w:rsidRPr="002D7798">
              <w:rPr>
                <w:noProof/>
              </w:rPr>
              <w:t>Externí zaměstnanci</w:t>
            </w:r>
          </w:p>
        </w:tc>
        <w:tc>
          <w:tcPr>
            <w:tcW w:w="7200" w:type="dxa"/>
          </w:tcPr>
          <w:p w14:paraId="695F0698" w14:textId="77777777" w:rsidR="00976265" w:rsidRPr="002D7798" w:rsidRDefault="0064263D">
            <w:pPr>
              <w:spacing w:before="0" w:after="200" w:line="276" w:lineRule="auto"/>
              <w:jc w:val="left"/>
              <w:rPr>
                <w:noProof/>
                <w:szCs w:val="20"/>
              </w:rPr>
            </w:pPr>
            <w:r w:rsidRPr="002D7798">
              <w:rPr>
                <w:noProof/>
              </w:rPr>
              <w:t>Nevztahuje se na tento návrh.</w:t>
            </w:r>
          </w:p>
        </w:tc>
      </w:tr>
    </w:tbl>
    <w:p w14:paraId="1FED0D3C" w14:textId="77777777" w:rsidR="00976265" w:rsidRPr="002D7798" w:rsidRDefault="00976265">
      <w:pPr>
        <w:spacing w:before="0" w:after="200" w:line="276" w:lineRule="auto"/>
        <w:jc w:val="left"/>
        <w:rPr>
          <w:noProof/>
          <w:szCs w:val="20"/>
        </w:rPr>
        <w:sectPr w:rsidR="00976265" w:rsidRPr="002D7798" w:rsidSect="007D2204">
          <w:pgSz w:w="11907" w:h="16839"/>
          <w:pgMar w:top="1134" w:right="1417" w:bottom="1134" w:left="1417" w:header="709" w:footer="709" w:gutter="0"/>
          <w:cols w:space="720"/>
          <w:docGrid w:linePitch="326"/>
        </w:sectPr>
      </w:pPr>
    </w:p>
    <w:p w14:paraId="6421695F" w14:textId="77777777" w:rsidR="00976265" w:rsidRPr="002D7798" w:rsidRDefault="0064263D">
      <w:pPr>
        <w:keepNext/>
        <w:tabs>
          <w:tab w:val="left" w:pos="850"/>
        </w:tabs>
        <w:ind w:left="850" w:hanging="850"/>
        <w:outlineLvl w:val="2"/>
        <w:rPr>
          <w:bCs/>
          <w:i/>
          <w:noProof/>
          <w:szCs w:val="24"/>
        </w:rPr>
      </w:pPr>
      <w:bookmarkStart w:id="102" w:name="_Toc514938689"/>
      <w:bookmarkStart w:id="103" w:name="_Toc128753785"/>
      <w:r w:rsidRPr="002D7798">
        <w:rPr>
          <w:i/>
          <w:noProof/>
        </w:rPr>
        <w:t>3.2.4.</w:t>
      </w:r>
      <w:r w:rsidRPr="002D7798">
        <w:rPr>
          <w:noProof/>
        </w:rPr>
        <w:tab/>
      </w:r>
      <w:r w:rsidRPr="002D7798">
        <w:rPr>
          <w:i/>
          <w:noProof/>
        </w:rPr>
        <w:t>Slučitelnost se stávajícím víceletým finančním rámcem</w:t>
      </w:r>
      <w:bookmarkEnd w:id="102"/>
      <w:bookmarkEnd w:id="103"/>
      <w:r w:rsidRPr="002D7798">
        <w:rPr>
          <w:i/>
          <w:noProof/>
        </w:rPr>
        <w:t xml:space="preserve"> </w:t>
      </w:r>
    </w:p>
    <w:p w14:paraId="70D452A7" w14:textId="77777777" w:rsidR="00976265" w:rsidRPr="002D7798" w:rsidRDefault="0064263D">
      <w:pPr>
        <w:tabs>
          <w:tab w:val="num" w:pos="1134"/>
        </w:tabs>
        <w:ind w:left="1134" w:hanging="283"/>
        <w:rPr>
          <w:noProof/>
        </w:rPr>
      </w:pPr>
      <w:r w:rsidRPr="002D7798">
        <w:rPr>
          <w:rFonts w:ascii="Wingdings" w:hAnsi="Wingdings"/>
          <w:noProof/>
        </w:rPr>
        <w:t></w:t>
      </w:r>
      <w:r w:rsidRPr="002D7798">
        <w:rPr>
          <w:noProof/>
        </w:rPr>
        <w:tab/>
        <w:t>Návrh/podnět je v souladu se stávajícím víceletým finančním rámcem.</w:t>
      </w:r>
    </w:p>
    <w:p w14:paraId="1C73B526" w14:textId="77777777" w:rsidR="00976265" w:rsidRPr="002D7798" w:rsidRDefault="0064263D">
      <w:pPr>
        <w:tabs>
          <w:tab w:val="num" w:pos="1134"/>
        </w:tabs>
        <w:ind w:left="1134" w:hanging="283"/>
        <w:rPr>
          <w:noProof/>
        </w:rPr>
      </w:pPr>
      <w:r w:rsidRPr="002D7798">
        <w:rPr>
          <w:b/>
          <w:noProof/>
        </w:rPr>
        <w:t>X</w:t>
      </w:r>
      <w:r w:rsidRPr="002D7798">
        <w:rPr>
          <w:noProof/>
        </w:rPr>
        <w:tab/>
        <w:t>Návrh/podnět si vyžádá úpravu příslušného okruhu víceletého finančního rámce.</w:t>
      </w:r>
    </w:p>
    <w:p w14:paraId="1DF93C9D" w14:textId="77777777" w:rsidR="00976265" w:rsidRPr="002D7798" w:rsidRDefault="0064263D">
      <w:pPr>
        <w:spacing w:before="0" w:after="200" w:line="276" w:lineRule="auto"/>
        <w:ind w:left="850"/>
        <w:jc w:val="left"/>
        <w:rPr>
          <w:noProof/>
        </w:rPr>
      </w:pPr>
      <w:bookmarkStart w:id="104" w:name="_Hlk128577573"/>
      <w:r w:rsidRPr="002D7798">
        <w:rPr>
          <w:noProof/>
        </w:rPr>
        <w:t xml:space="preserve">Tento podnět je reakcí na současnou energetickou krizi, a proto nebyl zohledněn při výpočtu okruhů víceletého finančního rámce. Tento konkrétní podnět, který je nový, si vyžádá úpravu jak u položky příspěvku pro agenturu ACER, tak u položky, která bude podporovat další práci v rámci Generálního ředitelství pro energetiku. Rozpočtové dopady na agenturu ACER uvedené v tomto legislativním finančním výkazu budou vyváženy </w:t>
      </w:r>
      <w:r w:rsidRPr="002D7798">
        <w:rPr>
          <w:noProof/>
          <w:shd w:val="clear" w:color="auto" w:fill="E6E6E6"/>
        </w:rPr>
        <w:t xml:space="preserve">kompenzačním snížením plánovaných výdajů </w:t>
      </w:r>
      <w:r w:rsidRPr="002D7798">
        <w:rPr>
          <w:noProof/>
        </w:rPr>
        <w:t xml:space="preserve">v rozpočtové položce ITER. </w:t>
      </w:r>
    </w:p>
    <w:bookmarkEnd w:id="104"/>
    <w:p w14:paraId="7D970349" w14:textId="77777777" w:rsidR="00976265" w:rsidRPr="002D7798" w:rsidRDefault="00976265">
      <w:pPr>
        <w:pBdr>
          <w:top w:val="single" w:sz="4" w:space="1" w:color="auto"/>
          <w:left w:val="single" w:sz="4" w:space="4" w:color="auto"/>
          <w:bottom w:val="single" w:sz="4" w:space="1" w:color="auto"/>
          <w:right w:val="single" w:sz="4" w:space="4" w:color="auto"/>
        </w:pBdr>
        <w:spacing w:before="0" w:after="200" w:line="276" w:lineRule="auto"/>
        <w:ind w:left="850"/>
        <w:jc w:val="left"/>
        <w:rPr>
          <w:noProof/>
          <w:szCs w:val="24"/>
        </w:rPr>
      </w:pPr>
    </w:p>
    <w:p w14:paraId="256606D3" w14:textId="77777777" w:rsidR="00976265" w:rsidRPr="002D7798" w:rsidRDefault="0064263D">
      <w:pPr>
        <w:tabs>
          <w:tab w:val="num" w:pos="1134"/>
        </w:tabs>
        <w:ind w:left="1134" w:hanging="283"/>
        <w:rPr>
          <w:noProof/>
        </w:rPr>
      </w:pPr>
      <w:r w:rsidRPr="002D7798">
        <w:rPr>
          <w:rFonts w:ascii="Wingdings" w:hAnsi="Wingdings"/>
          <w:noProof/>
        </w:rPr>
        <w:t></w:t>
      </w:r>
      <w:r w:rsidRPr="002D7798">
        <w:rPr>
          <w:noProof/>
        </w:rPr>
        <w:tab/>
        <w:t>Návrh/podnět vyžaduje použití nástroje flexibility nebo revizi víceletého finančního rámce</w:t>
      </w:r>
      <w:r w:rsidRPr="002D7798">
        <w:rPr>
          <w:rStyle w:val="FootnoteReference"/>
          <w:noProof/>
        </w:rPr>
        <w:footnoteReference w:id="41"/>
      </w:r>
      <w:r w:rsidRPr="002D7798">
        <w:rPr>
          <w:noProof/>
        </w:rPr>
        <w:t>.</w:t>
      </w:r>
    </w:p>
    <w:p w14:paraId="56209781" w14:textId="77777777" w:rsidR="00976265" w:rsidRPr="002D7798" w:rsidRDefault="0064263D">
      <w:pPr>
        <w:pBdr>
          <w:top w:val="single" w:sz="4" w:space="1" w:color="auto"/>
          <w:left w:val="single" w:sz="4" w:space="4" w:color="auto"/>
          <w:bottom w:val="single" w:sz="4" w:space="1" w:color="auto"/>
          <w:right w:val="single" w:sz="4" w:space="4" w:color="auto"/>
        </w:pBdr>
        <w:spacing w:before="0" w:after="200" w:line="276" w:lineRule="auto"/>
        <w:ind w:left="850"/>
        <w:jc w:val="left"/>
        <w:rPr>
          <w:noProof/>
          <w:sz w:val="20"/>
        </w:rPr>
      </w:pPr>
      <w:r w:rsidRPr="002D7798">
        <w:rPr>
          <w:noProof/>
          <w:sz w:val="20"/>
        </w:rPr>
        <w:t>Upřesněte, co se požaduje, příslušné okruhy a rozpočtové položky a odpovídající částky.</w:t>
      </w:r>
    </w:p>
    <w:p w14:paraId="3B611B50" w14:textId="77777777" w:rsidR="00976265" w:rsidRPr="002D7798" w:rsidRDefault="00976265">
      <w:pPr>
        <w:pBdr>
          <w:top w:val="single" w:sz="4" w:space="1" w:color="auto"/>
          <w:left w:val="single" w:sz="4" w:space="4" w:color="auto"/>
          <w:bottom w:val="single" w:sz="4" w:space="1" w:color="auto"/>
          <w:right w:val="single" w:sz="4" w:space="4" w:color="auto"/>
        </w:pBdr>
        <w:spacing w:before="0" w:after="200" w:line="276" w:lineRule="auto"/>
        <w:ind w:left="850"/>
        <w:jc w:val="left"/>
        <w:rPr>
          <w:noProof/>
          <w:sz w:val="20"/>
        </w:rPr>
      </w:pPr>
    </w:p>
    <w:p w14:paraId="176191AC" w14:textId="77777777" w:rsidR="00976265" w:rsidRPr="002D7798" w:rsidRDefault="0064263D">
      <w:pPr>
        <w:keepNext/>
        <w:tabs>
          <w:tab w:val="left" w:pos="850"/>
        </w:tabs>
        <w:ind w:left="850" w:hanging="850"/>
        <w:outlineLvl w:val="2"/>
        <w:rPr>
          <w:bCs/>
          <w:i/>
          <w:noProof/>
          <w:szCs w:val="24"/>
        </w:rPr>
      </w:pPr>
      <w:bookmarkStart w:id="105" w:name="_Toc514938690"/>
      <w:bookmarkStart w:id="106" w:name="_Toc128753786"/>
      <w:r w:rsidRPr="002D7798">
        <w:rPr>
          <w:i/>
          <w:noProof/>
        </w:rPr>
        <w:t>3.2.5.</w:t>
      </w:r>
      <w:r w:rsidRPr="002D7798">
        <w:rPr>
          <w:noProof/>
        </w:rPr>
        <w:tab/>
      </w:r>
      <w:r w:rsidRPr="002D7798">
        <w:rPr>
          <w:i/>
          <w:noProof/>
        </w:rPr>
        <w:t>Příspěvky třetích stran</w:t>
      </w:r>
      <w:bookmarkEnd w:id="105"/>
      <w:bookmarkEnd w:id="106"/>
      <w:r w:rsidRPr="002D7798">
        <w:rPr>
          <w:i/>
          <w:noProof/>
        </w:rPr>
        <w:t xml:space="preserve"> </w:t>
      </w:r>
    </w:p>
    <w:p w14:paraId="151E4383" w14:textId="77777777" w:rsidR="00976265" w:rsidRPr="002D7798" w:rsidRDefault="0064263D">
      <w:pPr>
        <w:tabs>
          <w:tab w:val="num" w:pos="1134"/>
        </w:tabs>
        <w:ind w:left="1134" w:hanging="283"/>
        <w:rPr>
          <w:noProof/>
        </w:rPr>
      </w:pPr>
      <w:r w:rsidRPr="002D7798">
        <w:rPr>
          <w:noProof/>
        </w:rPr>
        <w:t xml:space="preserve">Návrh/podnět nepočítá se spolufinancováním od třetích stran. </w:t>
      </w:r>
    </w:p>
    <w:p w14:paraId="4510ABC4" w14:textId="77777777" w:rsidR="00976265" w:rsidRPr="002D7798" w:rsidRDefault="0064263D">
      <w:pPr>
        <w:tabs>
          <w:tab w:val="num" w:pos="1134"/>
        </w:tabs>
        <w:ind w:left="1134" w:hanging="283"/>
        <w:rPr>
          <w:noProof/>
        </w:rPr>
      </w:pPr>
      <w:r w:rsidRPr="002D7798">
        <w:rPr>
          <w:noProof/>
        </w:rPr>
        <w:t>Návrh/podnět počítá se spolufinancováním podle následujícího odhadu:</w:t>
      </w:r>
    </w:p>
    <w:p w14:paraId="2B9A5A5E" w14:textId="77777777" w:rsidR="00976265" w:rsidRPr="002D7798" w:rsidRDefault="0064263D">
      <w:pPr>
        <w:spacing w:before="0" w:after="200" w:line="276" w:lineRule="auto"/>
        <w:jc w:val="right"/>
        <w:rPr>
          <w:noProof/>
          <w:sz w:val="20"/>
          <w:szCs w:val="20"/>
        </w:rPr>
      </w:pPr>
      <w:r w:rsidRPr="002D7798">
        <w:rPr>
          <w:noProof/>
          <w:sz w:val="20"/>
        </w:rPr>
        <w:t>v milionech EUR (zaokrouhleno na tři desetinná místa)</w:t>
      </w:r>
    </w:p>
    <w:tbl>
      <w:tblPr>
        <w:tblW w:w="0" w:type="auto"/>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rsidR="00851B85" w:rsidRPr="002D7798" w14:paraId="78783F12" w14:textId="77777777">
        <w:trPr>
          <w:cantSplit/>
        </w:trPr>
        <w:tc>
          <w:tcPr>
            <w:tcW w:w="2340" w:type="dxa"/>
          </w:tcPr>
          <w:p w14:paraId="5B898BA8" w14:textId="77777777" w:rsidR="00976265" w:rsidRPr="002D7798" w:rsidRDefault="00976265">
            <w:pPr>
              <w:spacing w:before="60" w:after="60" w:line="276" w:lineRule="auto"/>
              <w:jc w:val="left"/>
              <w:rPr>
                <w:noProof/>
                <w:sz w:val="20"/>
                <w:szCs w:val="20"/>
              </w:rPr>
            </w:pPr>
          </w:p>
        </w:tc>
        <w:tc>
          <w:tcPr>
            <w:tcW w:w="964" w:type="dxa"/>
            <w:vAlign w:val="center"/>
          </w:tcPr>
          <w:p w14:paraId="46BF9F1F" w14:textId="77777777" w:rsidR="00976265" w:rsidRPr="002D7798" w:rsidRDefault="0064263D">
            <w:pPr>
              <w:spacing w:before="0" w:after="200" w:line="276" w:lineRule="auto"/>
              <w:jc w:val="center"/>
              <w:rPr>
                <w:noProof/>
                <w:sz w:val="20"/>
                <w:szCs w:val="20"/>
              </w:rPr>
            </w:pPr>
            <w:r w:rsidRPr="002D7798">
              <w:rPr>
                <w:noProof/>
                <w:sz w:val="20"/>
              </w:rPr>
              <w:t>Rok</w:t>
            </w:r>
            <w:r w:rsidRPr="002D7798">
              <w:rPr>
                <w:noProof/>
              </w:rPr>
              <w:t xml:space="preserve"> </w:t>
            </w:r>
            <w:r w:rsidRPr="002D7798">
              <w:rPr>
                <w:noProof/>
              </w:rPr>
              <w:br/>
            </w:r>
            <w:r w:rsidRPr="002D7798">
              <w:rPr>
                <w:b/>
                <w:noProof/>
                <w:sz w:val="20"/>
              </w:rPr>
              <w:t>N</w:t>
            </w:r>
          </w:p>
        </w:tc>
        <w:tc>
          <w:tcPr>
            <w:tcW w:w="964" w:type="dxa"/>
            <w:vAlign w:val="center"/>
          </w:tcPr>
          <w:p w14:paraId="4048421A" w14:textId="77777777" w:rsidR="00976265" w:rsidRPr="002D7798" w:rsidRDefault="0064263D">
            <w:pPr>
              <w:spacing w:before="0" w:after="200" w:line="276" w:lineRule="auto"/>
              <w:jc w:val="center"/>
              <w:rPr>
                <w:noProof/>
                <w:sz w:val="20"/>
                <w:szCs w:val="20"/>
              </w:rPr>
            </w:pPr>
            <w:r w:rsidRPr="002D7798">
              <w:rPr>
                <w:noProof/>
                <w:sz w:val="20"/>
              </w:rPr>
              <w:t>Rok</w:t>
            </w:r>
            <w:r w:rsidRPr="002D7798">
              <w:rPr>
                <w:noProof/>
              </w:rPr>
              <w:t xml:space="preserve"> </w:t>
            </w:r>
            <w:r w:rsidRPr="002D7798">
              <w:rPr>
                <w:noProof/>
              </w:rPr>
              <w:br/>
            </w:r>
            <w:r w:rsidRPr="002D7798">
              <w:rPr>
                <w:b/>
                <w:noProof/>
                <w:sz w:val="20"/>
              </w:rPr>
              <w:t>N+1</w:t>
            </w:r>
          </w:p>
        </w:tc>
        <w:tc>
          <w:tcPr>
            <w:tcW w:w="964" w:type="dxa"/>
            <w:vAlign w:val="center"/>
          </w:tcPr>
          <w:p w14:paraId="2F1CB11E" w14:textId="77777777" w:rsidR="00976265" w:rsidRPr="002D7798" w:rsidRDefault="0064263D">
            <w:pPr>
              <w:spacing w:before="0" w:after="200" w:line="276" w:lineRule="auto"/>
              <w:jc w:val="center"/>
              <w:rPr>
                <w:noProof/>
                <w:sz w:val="20"/>
                <w:szCs w:val="20"/>
              </w:rPr>
            </w:pPr>
            <w:r w:rsidRPr="002D7798">
              <w:rPr>
                <w:noProof/>
                <w:sz w:val="20"/>
              </w:rPr>
              <w:t>Rok</w:t>
            </w:r>
            <w:r w:rsidRPr="002D7798">
              <w:rPr>
                <w:noProof/>
              </w:rPr>
              <w:t xml:space="preserve"> </w:t>
            </w:r>
            <w:r w:rsidRPr="002D7798">
              <w:rPr>
                <w:noProof/>
              </w:rPr>
              <w:br/>
            </w:r>
            <w:r w:rsidRPr="002D7798">
              <w:rPr>
                <w:b/>
                <w:noProof/>
                <w:sz w:val="20"/>
              </w:rPr>
              <w:t>N+2</w:t>
            </w:r>
          </w:p>
        </w:tc>
        <w:tc>
          <w:tcPr>
            <w:tcW w:w="964" w:type="dxa"/>
            <w:vAlign w:val="center"/>
          </w:tcPr>
          <w:p w14:paraId="7AC3A549" w14:textId="77777777" w:rsidR="00976265" w:rsidRPr="002D7798" w:rsidRDefault="0064263D">
            <w:pPr>
              <w:spacing w:before="0" w:after="200" w:line="276" w:lineRule="auto"/>
              <w:jc w:val="center"/>
              <w:rPr>
                <w:noProof/>
                <w:sz w:val="20"/>
                <w:szCs w:val="20"/>
              </w:rPr>
            </w:pPr>
            <w:r w:rsidRPr="002D7798">
              <w:rPr>
                <w:noProof/>
                <w:sz w:val="20"/>
              </w:rPr>
              <w:t>Rok</w:t>
            </w:r>
            <w:r w:rsidRPr="002D7798">
              <w:rPr>
                <w:noProof/>
              </w:rPr>
              <w:t xml:space="preserve"> </w:t>
            </w:r>
            <w:r w:rsidRPr="002D7798">
              <w:rPr>
                <w:noProof/>
              </w:rPr>
              <w:br/>
            </w:r>
            <w:r w:rsidRPr="002D7798">
              <w:rPr>
                <w:b/>
                <w:noProof/>
                <w:sz w:val="20"/>
              </w:rPr>
              <w:t>N+3</w:t>
            </w:r>
          </w:p>
        </w:tc>
        <w:tc>
          <w:tcPr>
            <w:tcW w:w="2892" w:type="dxa"/>
            <w:gridSpan w:val="3"/>
            <w:vAlign w:val="center"/>
          </w:tcPr>
          <w:p w14:paraId="3EA8D61C" w14:textId="77777777" w:rsidR="00976265" w:rsidRPr="002D7798" w:rsidRDefault="0064263D">
            <w:pPr>
              <w:spacing w:before="0" w:after="200" w:line="276" w:lineRule="auto"/>
              <w:jc w:val="center"/>
              <w:rPr>
                <w:b/>
                <w:noProof/>
                <w:sz w:val="20"/>
                <w:szCs w:val="20"/>
              </w:rPr>
            </w:pPr>
            <w:r w:rsidRPr="002D7798">
              <w:rPr>
                <w:noProof/>
                <w:sz w:val="20"/>
              </w:rPr>
              <w:t>Vložit počet let podle trvání finančního dopadu (viz bod 1.6)</w:t>
            </w:r>
          </w:p>
        </w:tc>
        <w:tc>
          <w:tcPr>
            <w:tcW w:w="1158" w:type="dxa"/>
            <w:vAlign w:val="center"/>
          </w:tcPr>
          <w:p w14:paraId="6E2ABBEC" w14:textId="77777777" w:rsidR="00976265" w:rsidRPr="002D7798" w:rsidRDefault="0064263D">
            <w:pPr>
              <w:spacing w:before="60" w:after="60" w:line="276" w:lineRule="auto"/>
              <w:jc w:val="center"/>
              <w:rPr>
                <w:noProof/>
                <w:sz w:val="20"/>
                <w:szCs w:val="20"/>
              </w:rPr>
            </w:pPr>
            <w:r w:rsidRPr="002D7798">
              <w:rPr>
                <w:noProof/>
                <w:sz w:val="20"/>
              </w:rPr>
              <w:t>Celkem</w:t>
            </w:r>
          </w:p>
        </w:tc>
      </w:tr>
      <w:tr w:rsidR="00851B85" w:rsidRPr="002D7798" w14:paraId="417BD5E3" w14:textId="77777777">
        <w:trPr>
          <w:cantSplit/>
        </w:trPr>
        <w:tc>
          <w:tcPr>
            <w:tcW w:w="2340" w:type="dxa"/>
          </w:tcPr>
          <w:p w14:paraId="38189CEF" w14:textId="77777777" w:rsidR="00976265" w:rsidRPr="002D7798" w:rsidRDefault="0064263D">
            <w:pPr>
              <w:spacing w:before="0" w:after="200" w:line="276" w:lineRule="auto"/>
              <w:jc w:val="left"/>
              <w:rPr>
                <w:noProof/>
                <w:szCs w:val="20"/>
              </w:rPr>
            </w:pPr>
            <w:r w:rsidRPr="002D7798">
              <w:rPr>
                <w:noProof/>
                <w:sz w:val="20"/>
              </w:rPr>
              <w:t>Upřesněte spolufinancující subjekt</w:t>
            </w:r>
            <w:r w:rsidRPr="002D7798">
              <w:rPr>
                <w:i/>
                <w:noProof/>
                <w:sz w:val="20"/>
              </w:rPr>
              <w:t xml:space="preserve"> </w:t>
            </w:r>
          </w:p>
        </w:tc>
        <w:tc>
          <w:tcPr>
            <w:tcW w:w="964" w:type="dxa"/>
            <w:vAlign w:val="center"/>
          </w:tcPr>
          <w:p w14:paraId="23495F5B" w14:textId="77777777" w:rsidR="00976265" w:rsidRPr="002D7798" w:rsidRDefault="00976265">
            <w:pPr>
              <w:spacing w:before="60" w:after="60" w:line="276" w:lineRule="auto"/>
              <w:jc w:val="center"/>
              <w:rPr>
                <w:noProof/>
                <w:sz w:val="20"/>
                <w:szCs w:val="20"/>
              </w:rPr>
            </w:pPr>
          </w:p>
        </w:tc>
        <w:tc>
          <w:tcPr>
            <w:tcW w:w="964" w:type="dxa"/>
            <w:vAlign w:val="center"/>
          </w:tcPr>
          <w:p w14:paraId="50DBFA6D" w14:textId="77777777" w:rsidR="00976265" w:rsidRPr="002D7798" w:rsidRDefault="00976265">
            <w:pPr>
              <w:spacing w:before="60" w:after="60" w:line="276" w:lineRule="auto"/>
              <w:jc w:val="center"/>
              <w:rPr>
                <w:noProof/>
                <w:sz w:val="20"/>
                <w:szCs w:val="20"/>
              </w:rPr>
            </w:pPr>
          </w:p>
        </w:tc>
        <w:tc>
          <w:tcPr>
            <w:tcW w:w="964" w:type="dxa"/>
            <w:vAlign w:val="center"/>
          </w:tcPr>
          <w:p w14:paraId="222315AB" w14:textId="77777777" w:rsidR="00976265" w:rsidRPr="002D7798" w:rsidRDefault="00976265">
            <w:pPr>
              <w:spacing w:before="60" w:after="60" w:line="276" w:lineRule="auto"/>
              <w:jc w:val="center"/>
              <w:rPr>
                <w:noProof/>
                <w:sz w:val="20"/>
                <w:szCs w:val="20"/>
              </w:rPr>
            </w:pPr>
          </w:p>
        </w:tc>
        <w:tc>
          <w:tcPr>
            <w:tcW w:w="964" w:type="dxa"/>
            <w:vAlign w:val="center"/>
          </w:tcPr>
          <w:p w14:paraId="37031471" w14:textId="77777777" w:rsidR="00976265" w:rsidRPr="002D7798" w:rsidRDefault="00976265">
            <w:pPr>
              <w:spacing w:before="60" w:after="60" w:line="276" w:lineRule="auto"/>
              <w:jc w:val="center"/>
              <w:rPr>
                <w:noProof/>
                <w:sz w:val="20"/>
                <w:szCs w:val="20"/>
              </w:rPr>
            </w:pPr>
          </w:p>
        </w:tc>
        <w:tc>
          <w:tcPr>
            <w:tcW w:w="964" w:type="dxa"/>
            <w:vAlign w:val="center"/>
          </w:tcPr>
          <w:p w14:paraId="0C340C4B" w14:textId="77777777" w:rsidR="00976265" w:rsidRPr="002D7798" w:rsidRDefault="00976265">
            <w:pPr>
              <w:spacing w:before="60" w:after="60" w:line="276" w:lineRule="auto"/>
              <w:jc w:val="center"/>
              <w:rPr>
                <w:noProof/>
                <w:sz w:val="20"/>
                <w:szCs w:val="20"/>
              </w:rPr>
            </w:pPr>
          </w:p>
        </w:tc>
        <w:tc>
          <w:tcPr>
            <w:tcW w:w="964" w:type="dxa"/>
            <w:vAlign w:val="center"/>
          </w:tcPr>
          <w:p w14:paraId="43C85989" w14:textId="77777777" w:rsidR="00976265" w:rsidRPr="002D7798" w:rsidRDefault="00976265">
            <w:pPr>
              <w:spacing w:before="60" w:after="60" w:line="276" w:lineRule="auto"/>
              <w:jc w:val="center"/>
              <w:rPr>
                <w:noProof/>
                <w:sz w:val="20"/>
                <w:szCs w:val="20"/>
              </w:rPr>
            </w:pPr>
          </w:p>
        </w:tc>
        <w:tc>
          <w:tcPr>
            <w:tcW w:w="964" w:type="dxa"/>
            <w:vAlign w:val="center"/>
          </w:tcPr>
          <w:p w14:paraId="781FB0C3" w14:textId="77777777" w:rsidR="00976265" w:rsidRPr="002D7798" w:rsidRDefault="00976265">
            <w:pPr>
              <w:spacing w:before="60" w:after="60" w:line="276" w:lineRule="auto"/>
              <w:jc w:val="center"/>
              <w:rPr>
                <w:noProof/>
                <w:sz w:val="20"/>
                <w:szCs w:val="20"/>
              </w:rPr>
            </w:pPr>
          </w:p>
        </w:tc>
        <w:tc>
          <w:tcPr>
            <w:tcW w:w="1158" w:type="dxa"/>
            <w:vAlign w:val="center"/>
          </w:tcPr>
          <w:p w14:paraId="72CD1A6E" w14:textId="77777777" w:rsidR="00976265" w:rsidRPr="002D7798" w:rsidRDefault="00976265">
            <w:pPr>
              <w:spacing w:before="60" w:after="60" w:line="276" w:lineRule="auto"/>
              <w:jc w:val="center"/>
              <w:rPr>
                <w:noProof/>
                <w:sz w:val="20"/>
                <w:szCs w:val="20"/>
              </w:rPr>
            </w:pPr>
          </w:p>
        </w:tc>
      </w:tr>
      <w:tr w:rsidR="00851B85" w:rsidRPr="002D7798" w14:paraId="463808D8" w14:textId="77777777">
        <w:trPr>
          <w:cantSplit/>
        </w:trPr>
        <w:tc>
          <w:tcPr>
            <w:tcW w:w="2340" w:type="dxa"/>
          </w:tcPr>
          <w:p w14:paraId="46C93CE8" w14:textId="77777777" w:rsidR="00976265" w:rsidRPr="002D7798" w:rsidRDefault="0064263D">
            <w:pPr>
              <w:spacing w:before="60" w:after="60" w:line="276" w:lineRule="auto"/>
              <w:jc w:val="left"/>
              <w:rPr>
                <w:noProof/>
                <w:sz w:val="20"/>
                <w:szCs w:val="20"/>
              </w:rPr>
            </w:pPr>
            <w:r w:rsidRPr="002D7798">
              <w:rPr>
                <w:noProof/>
                <w:sz w:val="20"/>
              </w:rPr>
              <w:t xml:space="preserve">Spolufinancované prostředky CELKEM </w:t>
            </w:r>
          </w:p>
        </w:tc>
        <w:tc>
          <w:tcPr>
            <w:tcW w:w="964" w:type="dxa"/>
            <w:vAlign w:val="center"/>
          </w:tcPr>
          <w:p w14:paraId="31326926" w14:textId="77777777" w:rsidR="00976265" w:rsidRPr="002D7798" w:rsidRDefault="00976265">
            <w:pPr>
              <w:spacing w:before="60" w:after="60" w:line="276" w:lineRule="auto"/>
              <w:jc w:val="center"/>
              <w:rPr>
                <w:noProof/>
                <w:sz w:val="20"/>
                <w:szCs w:val="20"/>
              </w:rPr>
            </w:pPr>
          </w:p>
        </w:tc>
        <w:tc>
          <w:tcPr>
            <w:tcW w:w="964" w:type="dxa"/>
            <w:vAlign w:val="center"/>
          </w:tcPr>
          <w:p w14:paraId="75F89A9D" w14:textId="77777777" w:rsidR="00976265" w:rsidRPr="002D7798" w:rsidRDefault="00976265">
            <w:pPr>
              <w:spacing w:before="60" w:after="60" w:line="276" w:lineRule="auto"/>
              <w:jc w:val="center"/>
              <w:rPr>
                <w:noProof/>
                <w:sz w:val="20"/>
                <w:szCs w:val="20"/>
              </w:rPr>
            </w:pPr>
          </w:p>
        </w:tc>
        <w:tc>
          <w:tcPr>
            <w:tcW w:w="964" w:type="dxa"/>
            <w:vAlign w:val="center"/>
          </w:tcPr>
          <w:p w14:paraId="5D5061A2" w14:textId="77777777" w:rsidR="00976265" w:rsidRPr="002D7798" w:rsidRDefault="00976265">
            <w:pPr>
              <w:spacing w:before="60" w:after="60" w:line="276" w:lineRule="auto"/>
              <w:jc w:val="center"/>
              <w:rPr>
                <w:noProof/>
                <w:sz w:val="20"/>
                <w:szCs w:val="20"/>
              </w:rPr>
            </w:pPr>
          </w:p>
        </w:tc>
        <w:tc>
          <w:tcPr>
            <w:tcW w:w="964" w:type="dxa"/>
            <w:vAlign w:val="center"/>
          </w:tcPr>
          <w:p w14:paraId="6FBE7391" w14:textId="77777777" w:rsidR="00976265" w:rsidRPr="002D7798" w:rsidRDefault="00976265">
            <w:pPr>
              <w:spacing w:before="60" w:after="60" w:line="276" w:lineRule="auto"/>
              <w:jc w:val="center"/>
              <w:rPr>
                <w:noProof/>
                <w:sz w:val="20"/>
                <w:szCs w:val="20"/>
              </w:rPr>
            </w:pPr>
          </w:p>
        </w:tc>
        <w:tc>
          <w:tcPr>
            <w:tcW w:w="964" w:type="dxa"/>
            <w:vAlign w:val="center"/>
          </w:tcPr>
          <w:p w14:paraId="78647B35" w14:textId="77777777" w:rsidR="00976265" w:rsidRPr="002D7798" w:rsidRDefault="00976265">
            <w:pPr>
              <w:spacing w:before="60" w:after="60" w:line="276" w:lineRule="auto"/>
              <w:jc w:val="center"/>
              <w:rPr>
                <w:noProof/>
                <w:sz w:val="20"/>
                <w:szCs w:val="20"/>
              </w:rPr>
            </w:pPr>
          </w:p>
        </w:tc>
        <w:tc>
          <w:tcPr>
            <w:tcW w:w="964" w:type="dxa"/>
            <w:vAlign w:val="center"/>
          </w:tcPr>
          <w:p w14:paraId="41D79212" w14:textId="77777777" w:rsidR="00976265" w:rsidRPr="002D7798" w:rsidRDefault="00976265">
            <w:pPr>
              <w:spacing w:before="60" w:after="60" w:line="276" w:lineRule="auto"/>
              <w:jc w:val="center"/>
              <w:rPr>
                <w:noProof/>
                <w:sz w:val="20"/>
                <w:szCs w:val="20"/>
              </w:rPr>
            </w:pPr>
          </w:p>
        </w:tc>
        <w:tc>
          <w:tcPr>
            <w:tcW w:w="964" w:type="dxa"/>
            <w:vAlign w:val="center"/>
          </w:tcPr>
          <w:p w14:paraId="060B9316" w14:textId="77777777" w:rsidR="00976265" w:rsidRPr="002D7798" w:rsidRDefault="00976265">
            <w:pPr>
              <w:spacing w:before="60" w:after="60" w:line="276" w:lineRule="auto"/>
              <w:jc w:val="center"/>
              <w:rPr>
                <w:noProof/>
                <w:sz w:val="20"/>
                <w:szCs w:val="20"/>
              </w:rPr>
            </w:pPr>
          </w:p>
        </w:tc>
        <w:tc>
          <w:tcPr>
            <w:tcW w:w="1158" w:type="dxa"/>
            <w:vAlign w:val="center"/>
          </w:tcPr>
          <w:p w14:paraId="05165E9B" w14:textId="77777777" w:rsidR="00976265" w:rsidRPr="002D7798" w:rsidRDefault="00976265">
            <w:pPr>
              <w:spacing w:before="60" w:after="60" w:line="276" w:lineRule="auto"/>
              <w:jc w:val="center"/>
              <w:rPr>
                <w:noProof/>
                <w:sz w:val="20"/>
                <w:szCs w:val="20"/>
              </w:rPr>
            </w:pPr>
          </w:p>
        </w:tc>
      </w:tr>
    </w:tbl>
    <w:p w14:paraId="6EB82A92" w14:textId="77777777" w:rsidR="00976265" w:rsidRPr="002D7798" w:rsidRDefault="0064263D">
      <w:pPr>
        <w:spacing w:before="0" w:after="200" w:line="276" w:lineRule="auto"/>
        <w:jc w:val="left"/>
        <w:rPr>
          <w:noProof/>
          <w:szCs w:val="20"/>
        </w:rPr>
      </w:pPr>
      <w:r w:rsidRPr="002D7798">
        <w:rPr>
          <w:noProof/>
        </w:rPr>
        <w:t xml:space="preserve"> </w:t>
      </w:r>
      <w:r w:rsidRPr="002D7798">
        <w:rPr>
          <w:noProof/>
        </w:rPr>
        <w:br/>
      </w:r>
    </w:p>
    <w:p w14:paraId="2A4616A8" w14:textId="77777777" w:rsidR="00976265" w:rsidRPr="002D7798" w:rsidRDefault="0064263D">
      <w:pPr>
        <w:keepNext/>
        <w:tabs>
          <w:tab w:val="left" w:pos="850"/>
        </w:tabs>
        <w:ind w:left="850" w:hanging="850"/>
        <w:outlineLvl w:val="1"/>
        <w:rPr>
          <w:b/>
          <w:bCs/>
          <w:noProof/>
          <w:szCs w:val="24"/>
        </w:rPr>
      </w:pPr>
      <w:r w:rsidRPr="002D7798">
        <w:rPr>
          <w:noProof/>
        </w:rPr>
        <w:br w:type="page"/>
      </w:r>
      <w:bookmarkStart w:id="107" w:name="_Toc514938691"/>
      <w:bookmarkStart w:id="108" w:name="_Toc128753787"/>
      <w:r w:rsidRPr="002D7798">
        <w:rPr>
          <w:b/>
          <w:noProof/>
        </w:rPr>
        <w:t>3.3.</w:t>
      </w:r>
      <w:r w:rsidRPr="002D7798">
        <w:rPr>
          <w:noProof/>
        </w:rPr>
        <w:tab/>
      </w:r>
      <w:r w:rsidRPr="002D7798">
        <w:rPr>
          <w:b/>
          <w:noProof/>
        </w:rPr>
        <w:t>Odhadovaný dopad na příjmy</w:t>
      </w:r>
      <w:bookmarkEnd w:id="107"/>
      <w:bookmarkEnd w:id="108"/>
      <w:r w:rsidRPr="002D7798">
        <w:rPr>
          <w:b/>
          <w:noProof/>
        </w:rPr>
        <w:t xml:space="preserve"> </w:t>
      </w:r>
    </w:p>
    <w:p w14:paraId="5DDFE8FF" w14:textId="77777777" w:rsidR="00976265" w:rsidRPr="002D7798" w:rsidRDefault="0064263D">
      <w:pPr>
        <w:tabs>
          <w:tab w:val="num" w:pos="1134"/>
        </w:tabs>
        <w:ind w:left="1134" w:hanging="283"/>
        <w:rPr>
          <w:noProof/>
        </w:rPr>
      </w:pPr>
      <w:r w:rsidRPr="002D7798">
        <w:rPr>
          <w:b/>
          <w:noProof/>
        </w:rPr>
        <w:t>X</w:t>
      </w:r>
      <w:r w:rsidRPr="002D7798">
        <w:rPr>
          <w:noProof/>
        </w:rPr>
        <w:tab/>
        <w:t>Návrh/podnět nemá žádný finanční dopad na příjmy.</w:t>
      </w:r>
    </w:p>
    <w:p w14:paraId="71FA60CA" w14:textId="77777777" w:rsidR="00976265" w:rsidRPr="002D7798" w:rsidRDefault="0064263D">
      <w:pPr>
        <w:tabs>
          <w:tab w:val="num" w:pos="1134"/>
        </w:tabs>
        <w:ind w:left="1134" w:hanging="283"/>
        <w:rPr>
          <w:noProof/>
        </w:rPr>
      </w:pPr>
      <w:r w:rsidRPr="002D7798">
        <w:rPr>
          <w:rFonts w:ascii="Wingdings" w:hAnsi="Wingdings"/>
          <w:noProof/>
        </w:rPr>
        <w:t></w:t>
      </w:r>
      <w:r w:rsidRPr="002D7798">
        <w:rPr>
          <w:noProof/>
        </w:rPr>
        <w:tab/>
        <w:t>Návrh/podnět má tento finanční dopad:</w:t>
      </w:r>
    </w:p>
    <w:p w14:paraId="2D6023A3" w14:textId="77777777" w:rsidR="00976265" w:rsidRPr="002D7798" w:rsidRDefault="0064263D">
      <w:pPr>
        <w:numPr>
          <w:ilvl w:val="2"/>
          <w:numId w:val="0"/>
        </w:numPr>
        <w:tabs>
          <w:tab w:val="num" w:pos="2126"/>
        </w:tabs>
        <w:ind w:left="2126" w:hanging="709"/>
        <w:rPr>
          <w:noProof/>
        </w:rPr>
      </w:pPr>
      <w:r w:rsidRPr="002D7798">
        <w:rPr>
          <w:rFonts w:ascii="Wingdings" w:hAnsi="Wingdings"/>
          <w:noProof/>
        </w:rPr>
        <w:t></w:t>
      </w:r>
      <w:r w:rsidRPr="002D7798">
        <w:rPr>
          <w:noProof/>
        </w:rPr>
        <w:tab/>
        <w:t xml:space="preserve">na vlastní zdroje </w:t>
      </w:r>
    </w:p>
    <w:p w14:paraId="5C44009A" w14:textId="77777777" w:rsidR="00976265" w:rsidRPr="002D7798" w:rsidRDefault="0064263D">
      <w:pPr>
        <w:numPr>
          <w:ilvl w:val="2"/>
          <w:numId w:val="0"/>
        </w:numPr>
        <w:tabs>
          <w:tab w:val="num" w:pos="2126"/>
        </w:tabs>
        <w:ind w:left="2126" w:hanging="709"/>
        <w:rPr>
          <w:noProof/>
        </w:rPr>
      </w:pPr>
      <w:r w:rsidRPr="002D7798">
        <w:rPr>
          <w:rFonts w:ascii="Wingdings" w:hAnsi="Wingdings"/>
          <w:noProof/>
        </w:rPr>
        <w:t></w:t>
      </w:r>
      <w:r w:rsidRPr="002D7798">
        <w:rPr>
          <w:noProof/>
        </w:rPr>
        <w:tab/>
        <w:t xml:space="preserve">na jiné příjmy </w:t>
      </w:r>
    </w:p>
    <w:p w14:paraId="37D7EC5D" w14:textId="77777777" w:rsidR="00976265" w:rsidRPr="002D7798" w:rsidRDefault="0064263D">
      <w:pPr>
        <w:numPr>
          <w:ilvl w:val="2"/>
          <w:numId w:val="0"/>
        </w:numPr>
        <w:tabs>
          <w:tab w:val="num" w:pos="2126"/>
        </w:tabs>
        <w:ind w:left="2126" w:hanging="709"/>
        <w:rPr>
          <w:noProof/>
        </w:rPr>
      </w:pPr>
      <w:r w:rsidRPr="002D7798">
        <w:rPr>
          <w:noProof/>
        </w:rPr>
        <w:t xml:space="preserve"> uveďte, zda je příjem účelově vázán na výdajové položky </w:t>
      </w:r>
      <w:r w:rsidRPr="002D7798">
        <w:rPr>
          <w:rFonts w:ascii="Wingdings" w:hAnsi="Wingdings"/>
          <w:noProof/>
        </w:rPr>
        <w:t></w:t>
      </w:r>
    </w:p>
    <w:p w14:paraId="71936C25" w14:textId="77777777" w:rsidR="00976265" w:rsidRPr="002D7798" w:rsidRDefault="0064263D">
      <w:pPr>
        <w:spacing w:before="0" w:after="200" w:line="276" w:lineRule="auto"/>
        <w:jc w:val="right"/>
        <w:rPr>
          <w:i/>
          <w:noProof/>
          <w:sz w:val="20"/>
          <w:szCs w:val="20"/>
        </w:rPr>
      </w:pPr>
      <w:r w:rsidRPr="002D7798">
        <w:rPr>
          <w:noProof/>
          <w:sz w:val="20"/>
        </w:rPr>
        <w:t>v milionech EUR (zaokrouhleno na tři desetinná místa)</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276"/>
        <w:gridCol w:w="1080"/>
        <w:gridCol w:w="900"/>
        <w:gridCol w:w="900"/>
        <w:gridCol w:w="1080"/>
        <w:gridCol w:w="1080"/>
        <w:gridCol w:w="1080"/>
        <w:gridCol w:w="1080"/>
      </w:tblGrid>
      <w:tr w:rsidR="00851B85" w:rsidRPr="002D7798" w14:paraId="477690A5" w14:textId="77777777" w:rsidTr="208CACCC">
        <w:trPr>
          <w:trHeight w:val="388"/>
        </w:trPr>
        <w:tc>
          <w:tcPr>
            <w:tcW w:w="2144" w:type="dxa"/>
            <w:vMerge w:val="restart"/>
            <w:vAlign w:val="center"/>
          </w:tcPr>
          <w:p w14:paraId="3FA8C8C5" w14:textId="77777777" w:rsidR="00976265" w:rsidRPr="002D7798" w:rsidRDefault="0064263D">
            <w:pPr>
              <w:spacing w:before="40" w:after="40" w:line="276" w:lineRule="auto"/>
              <w:jc w:val="left"/>
              <w:rPr>
                <w:noProof/>
                <w:sz w:val="18"/>
                <w:szCs w:val="20"/>
              </w:rPr>
            </w:pPr>
            <w:r w:rsidRPr="002D7798">
              <w:rPr>
                <w:noProof/>
                <w:sz w:val="18"/>
              </w:rPr>
              <w:t>Příjmová rozpočtová položka:</w:t>
            </w:r>
          </w:p>
        </w:tc>
        <w:tc>
          <w:tcPr>
            <w:tcW w:w="1276" w:type="dxa"/>
            <w:vMerge w:val="restart"/>
            <w:vAlign w:val="center"/>
          </w:tcPr>
          <w:p w14:paraId="492AF4D3" w14:textId="77777777" w:rsidR="00976265" w:rsidRPr="002D7798" w:rsidRDefault="0064263D">
            <w:pPr>
              <w:spacing w:before="0" w:after="200" w:line="276" w:lineRule="auto"/>
              <w:jc w:val="center"/>
              <w:rPr>
                <w:noProof/>
                <w:sz w:val="18"/>
                <w:szCs w:val="20"/>
              </w:rPr>
            </w:pPr>
            <w:r w:rsidRPr="002D7798">
              <w:rPr>
                <w:noProof/>
                <w:sz w:val="18"/>
              </w:rPr>
              <w:t>Prostředky dostupné v běžném rozpočtovém roce</w:t>
            </w:r>
          </w:p>
        </w:tc>
        <w:tc>
          <w:tcPr>
            <w:tcW w:w="7200" w:type="dxa"/>
            <w:gridSpan w:val="7"/>
            <w:vAlign w:val="center"/>
          </w:tcPr>
          <w:p w14:paraId="0FFF1287" w14:textId="77777777" w:rsidR="00976265" w:rsidRPr="002D7798" w:rsidRDefault="0064263D">
            <w:pPr>
              <w:spacing w:before="0" w:after="200" w:line="276" w:lineRule="auto"/>
              <w:jc w:val="center"/>
              <w:rPr>
                <w:noProof/>
                <w:sz w:val="18"/>
                <w:szCs w:val="20"/>
              </w:rPr>
            </w:pPr>
            <w:r w:rsidRPr="002D7798">
              <w:rPr>
                <w:noProof/>
                <w:sz w:val="18"/>
              </w:rPr>
              <w:t>Dopad návrhu/podnětu</w:t>
            </w:r>
            <w:r w:rsidRPr="002D7798">
              <w:rPr>
                <w:rStyle w:val="FootnoteReference"/>
                <w:noProof/>
              </w:rPr>
              <w:footnoteReference w:id="42"/>
            </w:r>
          </w:p>
        </w:tc>
      </w:tr>
      <w:tr w:rsidR="00851B85" w:rsidRPr="002D7798" w14:paraId="63681C3D" w14:textId="77777777" w:rsidTr="208CACCC">
        <w:trPr>
          <w:trHeight w:val="388"/>
        </w:trPr>
        <w:tc>
          <w:tcPr>
            <w:tcW w:w="2144" w:type="dxa"/>
            <w:vMerge/>
            <w:vAlign w:val="center"/>
          </w:tcPr>
          <w:p w14:paraId="2A97EE59" w14:textId="77777777" w:rsidR="00976265" w:rsidRPr="002D7798" w:rsidRDefault="00976265">
            <w:pPr>
              <w:spacing w:before="0" w:after="200" w:line="276" w:lineRule="auto"/>
              <w:jc w:val="left"/>
              <w:rPr>
                <w:noProof/>
                <w:sz w:val="18"/>
                <w:szCs w:val="20"/>
              </w:rPr>
            </w:pPr>
          </w:p>
        </w:tc>
        <w:tc>
          <w:tcPr>
            <w:tcW w:w="1276" w:type="dxa"/>
            <w:vMerge/>
            <w:vAlign w:val="center"/>
          </w:tcPr>
          <w:p w14:paraId="219F8F18" w14:textId="77777777" w:rsidR="00976265" w:rsidRPr="002D7798" w:rsidRDefault="00976265">
            <w:pPr>
              <w:spacing w:before="0" w:after="200" w:line="276" w:lineRule="auto"/>
              <w:jc w:val="left"/>
              <w:rPr>
                <w:noProof/>
                <w:sz w:val="18"/>
                <w:szCs w:val="20"/>
              </w:rPr>
            </w:pPr>
          </w:p>
        </w:tc>
        <w:tc>
          <w:tcPr>
            <w:tcW w:w="1080" w:type="dxa"/>
            <w:vAlign w:val="center"/>
          </w:tcPr>
          <w:p w14:paraId="01415F7E" w14:textId="77777777" w:rsidR="00976265" w:rsidRPr="002D7798" w:rsidRDefault="0064263D">
            <w:pPr>
              <w:spacing w:before="0" w:after="200" w:line="276" w:lineRule="auto"/>
              <w:jc w:val="center"/>
              <w:rPr>
                <w:noProof/>
                <w:sz w:val="18"/>
                <w:szCs w:val="20"/>
              </w:rPr>
            </w:pPr>
            <w:r w:rsidRPr="002D7798">
              <w:rPr>
                <w:noProof/>
                <w:sz w:val="18"/>
              </w:rPr>
              <w:t>Rok</w:t>
            </w:r>
            <w:r w:rsidRPr="002D7798">
              <w:rPr>
                <w:noProof/>
              </w:rPr>
              <w:t xml:space="preserve"> </w:t>
            </w:r>
            <w:r w:rsidRPr="002D7798">
              <w:rPr>
                <w:noProof/>
              </w:rPr>
              <w:br/>
            </w:r>
            <w:r w:rsidRPr="002D7798">
              <w:rPr>
                <w:b/>
                <w:noProof/>
                <w:sz w:val="18"/>
              </w:rPr>
              <w:t>N</w:t>
            </w:r>
          </w:p>
        </w:tc>
        <w:tc>
          <w:tcPr>
            <w:tcW w:w="900" w:type="dxa"/>
            <w:vAlign w:val="center"/>
          </w:tcPr>
          <w:p w14:paraId="43F91B19" w14:textId="77777777" w:rsidR="00976265" w:rsidRPr="002D7798" w:rsidRDefault="0064263D">
            <w:pPr>
              <w:spacing w:before="0" w:after="200" w:line="276" w:lineRule="auto"/>
              <w:jc w:val="center"/>
              <w:rPr>
                <w:noProof/>
                <w:sz w:val="18"/>
                <w:szCs w:val="20"/>
              </w:rPr>
            </w:pPr>
            <w:r w:rsidRPr="002D7798">
              <w:rPr>
                <w:noProof/>
                <w:sz w:val="18"/>
              </w:rPr>
              <w:t>Rok</w:t>
            </w:r>
            <w:r w:rsidRPr="002D7798">
              <w:rPr>
                <w:noProof/>
              </w:rPr>
              <w:t xml:space="preserve"> </w:t>
            </w:r>
            <w:r w:rsidRPr="002D7798">
              <w:rPr>
                <w:noProof/>
              </w:rPr>
              <w:br/>
            </w:r>
            <w:r w:rsidRPr="002D7798">
              <w:rPr>
                <w:b/>
                <w:noProof/>
                <w:sz w:val="18"/>
              </w:rPr>
              <w:t>N+1</w:t>
            </w:r>
          </w:p>
        </w:tc>
        <w:tc>
          <w:tcPr>
            <w:tcW w:w="900" w:type="dxa"/>
            <w:vAlign w:val="center"/>
          </w:tcPr>
          <w:p w14:paraId="46915C02" w14:textId="77777777" w:rsidR="00976265" w:rsidRPr="002D7798" w:rsidRDefault="0064263D">
            <w:pPr>
              <w:spacing w:before="0" w:after="200" w:line="276" w:lineRule="auto"/>
              <w:jc w:val="center"/>
              <w:rPr>
                <w:noProof/>
                <w:sz w:val="18"/>
                <w:szCs w:val="20"/>
              </w:rPr>
            </w:pPr>
            <w:r w:rsidRPr="002D7798">
              <w:rPr>
                <w:noProof/>
                <w:sz w:val="18"/>
              </w:rPr>
              <w:t>Rok</w:t>
            </w:r>
            <w:r w:rsidRPr="002D7798">
              <w:rPr>
                <w:noProof/>
              </w:rPr>
              <w:t xml:space="preserve"> </w:t>
            </w:r>
            <w:r w:rsidRPr="002D7798">
              <w:rPr>
                <w:noProof/>
              </w:rPr>
              <w:br/>
            </w:r>
            <w:r w:rsidRPr="002D7798">
              <w:rPr>
                <w:b/>
                <w:noProof/>
                <w:sz w:val="18"/>
              </w:rPr>
              <w:t>N+2</w:t>
            </w:r>
          </w:p>
        </w:tc>
        <w:tc>
          <w:tcPr>
            <w:tcW w:w="1080" w:type="dxa"/>
            <w:vAlign w:val="center"/>
          </w:tcPr>
          <w:p w14:paraId="51839A6F" w14:textId="77777777" w:rsidR="00976265" w:rsidRPr="002D7798" w:rsidRDefault="0064263D">
            <w:pPr>
              <w:spacing w:before="0" w:after="200" w:line="276" w:lineRule="auto"/>
              <w:jc w:val="center"/>
              <w:rPr>
                <w:noProof/>
                <w:sz w:val="18"/>
                <w:szCs w:val="20"/>
              </w:rPr>
            </w:pPr>
            <w:r w:rsidRPr="002D7798">
              <w:rPr>
                <w:noProof/>
                <w:sz w:val="18"/>
              </w:rPr>
              <w:t>Rok</w:t>
            </w:r>
            <w:r w:rsidRPr="002D7798">
              <w:rPr>
                <w:noProof/>
              </w:rPr>
              <w:t xml:space="preserve"> </w:t>
            </w:r>
            <w:r w:rsidRPr="002D7798">
              <w:rPr>
                <w:noProof/>
              </w:rPr>
              <w:br/>
            </w:r>
            <w:r w:rsidRPr="002D7798">
              <w:rPr>
                <w:b/>
                <w:noProof/>
                <w:sz w:val="18"/>
              </w:rPr>
              <w:t>N+3</w:t>
            </w:r>
          </w:p>
        </w:tc>
        <w:tc>
          <w:tcPr>
            <w:tcW w:w="3240" w:type="dxa"/>
            <w:gridSpan w:val="3"/>
            <w:vAlign w:val="center"/>
          </w:tcPr>
          <w:p w14:paraId="40C868C5" w14:textId="77777777" w:rsidR="00976265" w:rsidRPr="002D7798" w:rsidRDefault="0064263D">
            <w:pPr>
              <w:spacing w:before="0" w:after="200" w:line="276" w:lineRule="auto"/>
              <w:jc w:val="center"/>
              <w:rPr>
                <w:b/>
                <w:noProof/>
                <w:sz w:val="18"/>
                <w:szCs w:val="20"/>
              </w:rPr>
            </w:pPr>
            <w:r w:rsidRPr="002D7798">
              <w:rPr>
                <w:noProof/>
                <w:sz w:val="18"/>
              </w:rPr>
              <w:t>Vložit počet let podle trvání finančního dopadu (viz bod 1.6)</w:t>
            </w:r>
          </w:p>
        </w:tc>
      </w:tr>
      <w:tr w:rsidR="00851B85" w:rsidRPr="002D7798" w14:paraId="6CA05EA6" w14:textId="77777777" w:rsidTr="208CACCC">
        <w:trPr>
          <w:trHeight w:val="388"/>
        </w:trPr>
        <w:tc>
          <w:tcPr>
            <w:tcW w:w="2144" w:type="dxa"/>
            <w:vAlign w:val="center"/>
          </w:tcPr>
          <w:p w14:paraId="2C1045B9" w14:textId="77777777" w:rsidR="00976265" w:rsidRPr="002D7798" w:rsidRDefault="0064263D">
            <w:pPr>
              <w:spacing w:before="40" w:after="40" w:line="276" w:lineRule="auto"/>
              <w:jc w:val="left"/>
              <w:rPr>
                <w:noProof/>
                <w:sz w:val="18"/>
                <w:szCs w:val="20"/>
              </w:rPr>
            </w:pPr>
            <w:r w:rsidRPr="002D7798">
              <w:rPr>
                <w:noProof/>
                <w:sz w:val="18"/>
              </w:rPr>
              <w:t>Článek ………….</w:t>
            </w:r>
          </w:p>
        </w:tc>
        <w:tc>
          <w:tcPr>
            <w:tcW w:w="1276" w:type="dxa"/>
          </w:tcPr>
          <w:p w14:paraId="074FA3D3" w14:textId="77777777" w:rsidR="00976265" w:rsidRPr="002D7798" w:rsidRDefault="00976265">
            <w:pPr>
              <w:spacing w:beforeLines="40" w:before="96" w:afterLines="40" w:after="96" w:line="276" w:lineRule="auto"/>
              <w:jc w:val="center"/>
              <w:rPr>
                <w:i/>
                <w:noProof/>
                <w:sz w:val="18"/>
                <w:szCs w:val="20"/>
              </w:rPr>
            </w:pPr>
          </w:p>
        </w:tc>
        <w:tc>
          <w:tcPr>
            <w:tcW w:w="1080" w:type="dxa"/>
          </w:tcPr>
          <w:p w14:paraId="154C926C" w14:textId="77777777" w:rsidR="00976265" w:rsidRPr="002D7798" w:rsidRDefault="00976265">
            <w:pPr>
              <w:spacing w:beforeLines="40" w:before="96" w:afterLines="40" w:after="96" w:line="276" w:lineRule="auto"/>
              <w:jc w:val="center"/>
              <w:rPr>
                <w:noProof/>
                <w:sz w:val="18"/>
                <w:szCs w:val="20"/>
              </w:rPr>
            </w:pPr>
          </w:p>
        </w:tc>
        <w:tc>
          <w:tcPr>
            <w:tcW w:w="900" w:type="dxa"/>
          </w:tcPr>
          <w:p w14:paraId="3599F8A0" w14:textId="77777777" w:rsidR="00976265" w:rsidRPr="002D7798" w:rsidRDefault="00976265">
            <w:pPr>
              <w:spacing w:beforeLines="40" w:before="96" w:afterLines="40" w:after="96" w:line="276" w:lineRule="auto"/>
              <w:jc w:val="center"/>
              <w:rPr>
                <w:noProof/>
                <w:sz w:val="18"/>
                <w:szCs w:val="20"/>
              </w:rPr>
            </w:pPr>
          </w:p>
        </w:tc>
        <w:tc>
          <w:tcPr>
            <w:tcW w:w="900" w:type="dxa"/>
          </w:tcPr>
          <w:p w14:paraId="6EE3DF39" w14:textId="77777777" w:rsidR="00976265" w:rsidRPr="002D7798" w:rsidRDefault="00976265">
            <w:pPr>
              <w:spacing w:beforeLines="40" w:before="96" w:afterLines="40" w:after="96" w:line="276" w:lineRule="auto"/>
              <w:jc w:val="center"/>
              <w:rPr>
                <w:noProof/>
                <w:sz w:val="18"/>
                <w:szCs w:val="20"/>
              </w:rPr>
            </w:pPr>
          </w:p>
        </w:tc>
        <w:tc>
          <w:tcPr>
            <w:tcW w:w="1080" w:type="dxa"/>
          </w:tcPr>
          <w:p w14:paraId="36F78A63" w14:textId="77777777" w:rsidR="00976265" w:rsidRPr="002D7798" w:rsidRDefault="00976265">
            <w:pPr>
              <w:spacing w:beforeLines="40" w:before="96" w:afterLines="40" w:after="96" w:line="276" w:lineRule="auto"/>
              <w:jc w:val="center"/>
              <w:rPr>
                <w:noProof/>
                <w:sz w:val="18"/>
                <w:szCs w:val="20"/>
              </w:rPr>
            </w:pPr>
          </w:p>
        </w:tc>
        <w:tc>
          <w:tcPr>
            <w:tcW w:w="1080" w:type="dxa"/>
          </w:tcPr>
          <w:p w14:paraId="5184DB65" w14:textId="77777777" w:rsidR="00976265" w:rsidRPr="002D7798" w:rsidRDefault="00976265">
            <w:pPr>
              <w:spacing w:beforeLines="40" w:before="96" w:afterLines="40" w:after="96" w:line="276" w:lineRule="auto"/>
              <w:jc w:val="center"/>
              <w:rPr>
                <w:noProof/>
                <w:sz w:val="18"/>
                <w:szCs w:val="20"/>
              </w:rPr>
            </w:pPr>
          </w:p>
        </w:tc>
        <w:tc>
          <w:tcPr>
            <w:tcW w:w="1080" w:type="dxa"/>
          </w:tcPr>
          <w:p w14:paraId="70E18CF4" w14:textId="77777777" w:rsidR="00976265" w:rsidRPr="002D7798" w:rsidRDefault="00976265">
            <w:pPr>
              <w:spacing w:beforeLines="40" w:before="96" w:afterLines="40" w:after="96" w:line="276" w:lineRule="auto"/>
              <w:jc w:val="center"/>
              <w:rPr>
                <w:noProof/>
                <w:sz w:val="18"/>
                <w:szCs w:val="20"/>
              </w:rPr>
            </w:pPr>
          </w:p>
        </w:tc>
        <w:tc>
          <w:tcPr>
            <w:tcW w:w="1080" w:type="dxa"/>
          </w:tcPr>
          <w:p w14:paraId="17E94FA0" w14:textId="77777777" w:rsidR="00976265" w:rsidRPr="002D7798" w:rsidRDefault="00976265">
            <w:pPr>
              <w:spacing w:beforeLines="40" w:before="96" w:afterLines="40" w:after="96" w:line="276" w:lineRule="auto"/>
              <w:jc w:val="center"/>
              <w:rPr>
                <w:noProof/>
                <w:sz w:val="18"/>
                <w:szCs w:val="20"/>
              </w:rPr>
            </w:pPr>
          </w:p>
        </w:tc>
      </w:tr>
    </w:tbl>
    <w:p w14:paraId="5F5C08FA" w14:textId="77777777" w:rsidR="00976265" w:rsidRPr="002D7798" w:rsidRDefault="0064263D">
      <w:pPr>
        <w:spacing w:before="0" w:after="200" w:line="276" w:lineRule="auto"/>
        <w:ind w:left="850"/>
        <w:jc w:val="left"/>
        <w:rPr>
          <w:noProof/>
          <w:sz w:val="20"/>
        </w:rPr>
      </w:pPr>
      <w:r w:rsidRPr="002D7798">
        <w:rPr>
          <w:noProof/>
          <w:sz w:val="20"/>
        </w:rPr>
        <w:t>U účelově vázaných různých příjmů upřesněte dotčené výdajové rozpočtové položky.</w:t>
      </w:r>
    </w:p>
    <w:p w14:paraId="68D156A1" w14:textId="77777777" w:rsidR="00976265" w:rsidRPr="002D7798" w:rsidRDefault="00976265">
      <w:pPr>
        <w:pBdr>
          <w:top w:val="single" w:sz="4" w:space="1" w:color="auto"/>
          <w:left w:val="single" w:sz="4" w:space="4" w:color="auto"/>
          <w:bottom w:val="single" w:sz="4" w:space="1" w:color="auto"/>
          <w:right w:val="single" w:sz="4" w:space="4" w:color="auto"/>
        </w:pBdr>
        <w:spacing w:before="0" w:after="200" w:line="276" w:lineRule="auto"/>
        <w:ind w:left="850"/>
        <w:jc w:val="left"/>
        <w:rPr>
          <w:noProof/>
        </w:rPr>
      </w:pPr>
    </w:p>
    <w:p w14:paraId="41F54956" w14:textId="77777777" w:rsidR="00976265" w:rsidRPr="002D7798" w:rsidRDefault="0064263D">
      <w:pPr>
        <w:spacing w:before="0" w:after="200" w:line="276" w:lineRule="auto"/>
        <w:ind w:left="850"/>
        <w:jc w:val="left"/>
        <w:rPr>
          <w:noProof/>
          <w:sz w:val="20"/>
        </w:rPr>
      </w:pPr>
      <w:r w:rsidRPr="002D7798">
        <w:rPr>
          <w:noProof/>
          <w:sz w:val="20"/>
        </w:rPr>
        <w:t>Upřesněte způsob výpočtu dopadu na příjmy.</w:t>
      </w:r>
    </w:p>
    <w:p w14:paraId="7A0B42D4" w14:textId="77777777" w:rsidR="00976265" w:rsidRPr="002D7798" w:rsidRDefault="00976265">
      <w:pPr>
        <w:pBdr>
          <w:top w:val="single" w:sz="4" w:space="1" w:color="auto"/>
          <w:left w:val="single" w:sz="4" w:space="4" w:color="auto"/>
          <w:bottom w:val="single" w:sz="4" w:space="1" w:color="auto"/>
          <w:right w:val="single" w:sz="4" w:space="4" w:color="auto"/>
        </w:pBdr>
        <w:spacing w:before="0" w:after="200" w:line="276" w:lineRule="auto"/>
        <w:ind w:left="850"/>
        <w:jc w:val="left"/>
        <w:rPr>
          <w:noProof/>
        </w:rPr>
      </w:pPr>
    </w:p>
    <w:p w14:paraId="1D0FB003" w14:textId="77777777" w:rsidR="00976265" w:rsidRPr="002D7798" w:rsidRDefault="00976265">
      <w:pPr>
        <w:rPr>
          <w:noProof/>
        </w:rPr>
      </w:pPr>
    </w:p>
    <w:sectPr w:rsidR="00976265" w:rsidRPr="002D7798" w:rsidSect="007D2204">
      <w:pgSz w:w="12240" w:h="15840"/>
      <w:pgMar w:top="794" w:right="907" w:bottom="851" w:left="1361" w:header="510"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C57255" w14:textId="77777777" w:rsidR="00606A16" w:rsidRDefault="00606A16">
      <w:pPr>
        <w:spacing w:before="0" w:after="0"/>
      </w:pPr>
      <w:r>
        <w:separator/>
      </w:r>
    </w:p>
  </w:endnote>
  <w:endnote w:type="continuationSeparator" w:id="0">
    <w:p w14:paraId="5EFD0624" w14:textId="77777777" w:rsidR="00606A16" w:rsidRDefault="00606A16">
      <w:pPr>
        <w:spacing w:before="0" w:after="0"/>
      </w:pPr>
      <w:r>
        <w:continuationSeparator/>
      </w:r>
    </w:p>
  </w:endnote>
  <w:endnote w:type="continuationNotice" w:id="1">
    <w:p w14:paraId="01A94A38" w14:textId="77777777" w:rsidR="00606A16" w:rsidRDefault="00606A1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3E262" w14:textId="7DEE794C" w:rsidR="00606A16" w:rsidRPr="007D2204" w:rsidRDefault="007D2204" w:rsidP="007D2204">
    <w:pPr>
      <w:pStyle w:val="Footer"/>
      <w:rPr>
        <w:rFonts w:ascii="Arial" w:hAnsi="Arial" w:cs="Arial"/>
        <w:b/>
        <w:sz w:val="48"/>
      </w:rPr>
    </w:pPr>
    <w:r w:rsidRPr="007D2204">
      <w:rPr>
        <w:rFonts w:ascii="Arial" w:hAnsi="Arial" w:cs="Arial"/>
        <w:b/>
        <w:sz w:val="48"/>
      </w:rPr>
      <w:t>CS</w:t>
    </w:r>
    <w:r w:rsidRPr="007D2204">
      <w:rPr>
        <w:rFonts w:ascii="Arial" w:hAnsi="Arial" w:cs="Arial"/>
        <w:b/>
        <w:sz w:val="48"/>
      </w:rPr>
      <w:tab/>
    </w:r>
    <w:r w:rsidRPr="007D2204">
      <w:rPr>
        <w:rFonts w:ascii="Arial" w:hAnsi="Arial" w:cs="Arial"/>
        <w:b/>
        <w:sz w:val="48"/>
      </w:rPr>
      <w:tab/>
    </w:r>
    <w:r w:rsidRPr="007D2204">
      <w:tab/>
    </w:r>
    <w:r w:rsidRPr="007D2204">
      <w:rPr>
        <w:rFonts w:ascii="Arial" w:hAnsi="Arial" w:cs="Arial"/>
        <w:b/>
        <w:sz w:val="48"/>
      </w:rPr>
      <w:t>CS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C8595" w14:textId="796D8104" w:rsidR="007D2204" w:rsidRPr="007D2204" w:rsidRDefault="007D2204" w:rsidP="007D2204">
    <w:pPr>
      <w:pStyle w:val="Footer"/>
      <w:rPr>
        <w:rFonts w:ascii="Arial" w:hAnsi="Arial" w:cs="Arial"/>
        <w:b/>
        <w:sz w:val="48"/>
      </w:rPr>
    </w:pPr>
    <w:r w:rsidRPr="007D2204">
      <w:rPr>
        <w:rFonts w:ascii="Arial" w:hAnsi="Arial" w:cs="Arial"/>
        <w:b/>
        <w:sz w:val="48"/>
      </w:rPr>
      <w:t>CS</w:t>
    </w:r>
    <w:r w:rsidRPr="007D2204">
      <w:rPr>
        <w:rFonts w:ascii="Arial" w:hAnsi="Arial" w:cs="Arial"/>
        <w:b/>
        <w:sz w:val="48"/>
      </w:rPr>
      <w:tab/>
    </w:r>
    <w:r>
      <w:fldChar w:fldCharType="begin"/>
    </w:r>
    <w:r>
      <w:instrText xml:space="preserve"> PAGE  \* MERGEFORMAT </w:instrText>
    </w:r>
    <w:r>
      <w:fldChar w:fldCharType="separate"/>
    </w:r>
    <w:r w:rsidR="00CE2BA5">
      <w:rPr>
        <w:noProof/>
      </w:rPr>
      <w:t>53</w:t>
    </w:r>
    <w:r>
      <w:fldChar w:fldCharType="end"/>
    </w:r>
    <w:r>
      <w:tab/>
    </w:r>
    <w:r w:rsidRPr="007D2204">
      <w:tab/>
    </w:r>
    <w:r w:rsidRPr="007D2204">
      <w:rPr>
        <w:rFonts w:ascii="Arial" w:hAnsi="Arial" w:cs="Arial"/>
        <w:b/>
        <w:sz w:val="48"/>
      </w:rPr>
      <w:t>CS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E9E84" w14:textId="77777777" w:rsidR="007D2204" w:rsidRPr="007D2204" w:rsidRDefault="007D2204" w:rsidP="007D220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BB22F" w14:textId="47A4CD71" w:rsidR="00503765" w:rsidRPr="007D2204" w:rsidRDefault="007D2204" w:rsidP="007D2204">
    <w:pPr>
      <w:pStyle w:val="FooterLandscape"/>
      <w:rPr>
        <w:rFonts w:ascii="Arial" w:hAnsi="Arial" w:cs="Arial"/>
        <w:b/>
        <w:sz w:val="48"/>
      </w:rPr>
    </w:pPr>
    <w:r w:rsidRPr="007D2204">
      <w:rPr>
        <w:rFonts w:ascii="Arial" w:hAnsi="Arial" w:cs="Arial"/>
        <w:b/>
        <w:sz w:val="48"/>
      </w:rPr>
      <w:t>CS</w:t>
    </w:r>
    <w:r w:rsidRPr="007D2204">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7D2204">
      <w:tab/>
    </w:r>
    <w:r w:rsidRPr="007D2204">
      <w:rPr>
        <w:rFonts w:ascii="Arial" w:hAnsi="Arial" w:cs="Arial"/>
        <w:b/>
        <w:sz w:val="48"/>
      </w:rPr>
      <w:t>CS</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95599" w14:textId="77777777" w:rsidR="007D2204" w:rsidRPr="007D2204" w:rsidRDefault="007D2204" w:rsidP="007D2204">
    <w:pPr>
      <w:pStyle w:val="FooterLandscap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A1266" w14:textId="72F92E9D" w:rsidR="00606A16" w:rsidRPr="007D2204" w:rsidRDefault="007D2204" w:rsidP="007D2204">
    <w:pPr>
      <w:pStyle w:val="Footer"/>
      <w:rPr>
        <w:rFonts w:ascii="Arial" w:hAnsi="Arial" w:cs="Arial"/>
        <w:b/>
        <w:sz w:val="48"/>
      </w:rPr>
    </w:pPr>
    <w:r w:rsidRPr="007D2204">
      <w:rPr>
        <w:rFonts w:ascii="Arial" w:hAnsi="Arial" w:cs="Arial"/>
        <w:b/>
        <w:sz w:val="48"/>
      </w:rPr>
      <w:t>CS</w:t>
    </w:r>
    <w:r w:rsidRPr="007D2204">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7D2204">
      <w:tab/>
    </w:r>
    <w:r w:rsidRPr="007D2204">
      <w:rPr>
        <w:rFonts w:ascii="Arial" w:hAnsi="Arial" w:cs="Arial"/>
        <w:b/>
        <w:sz w:val="48"/>
      </w:rPr>
      <w:t>CS</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9C5A4" w14:textId="77777777" w:rsidR="007D2204" w:rsidRPr="007D2204" w:rsidRDefault="007D2204" w:rsidP="007D22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7867C9" w14:textId="77777777" w:rsidR="00606A16" w:rsidRDefault="00606A16">
      <w:pPr>
        <w:spacing w:before="0" w:after="0"/>
      </w:pPr>
      <w:r>
        <w:separator/>
      </w:r>
    </w:p>
  </w:footnote>
  <w:footnote w:type="continuationSeparator" w:id="0">
    <w:p w14:paraId="592E179D" w14:textId="77777777" w:rsidR="00606A16" w:rsidRDefault="00606A16">
      <w:pPr>
        <w:spacing w:before="0" w:after="0"/>
      </w:pPr>
      <w:r>
        <w:continuationSeparator/>
      </w:r>
    </w:p>
  </w:footnote>
  <w:footnote w:type="continuationNotice" w:id="1">
    <w:p w14:paraId="13714ACF" w14:textId="77777777" w:rsidR="00606A16" w:rsidRDefault="00606A16">
      <w:pPr>
        <w:spacing w:before="0" w:after="0"/>
      </w:pPr>
    </w:p>
  </w:footnote>
  <w:footnote w:id="2">
    <w:p w14:paraId="10B50AAD" w14:textId="77777777" w:rsidR="00606A16" w:rsidRDefault="00606A16">
      <w:pPr>
        <w:pStyle w:val="FootnoteText"/>
      </w:pPr>
      <w:r>
        <w:rPr>
          <w:rStyle w:val="FootnoteReference"/>
        </w:rPr>
        <w:footnoteRef/>
      </w:r>
      <w:r>
        <w:tab/>
      </w:r>
      <w:r>
        <w:rPr>
          <w:color w:val="000000" w:themeColor="text1"/>
        </w:rPr>
        <w:t>Sdělení Komise Evropskému parlamentu, Evropské radě, Radě, Evropskému hospodářskému a sociálnímu výboru a Výboru regionů – Řešení nárůstu cen energie: soubor opatření a podpor“, COM(2021) 660 final.</w:t>
      </w:r>
    </w:p>
  </w:footnote>
  <w:footnote w:id="3">
    <w:p w14:paraId="0C674732" w14:textId="77777777" w:rsidR="00606A16" w:rsidRDefault="00606A16">
      <w:pPr>
        <w:pStyle w:val="FootnoteText"/>
        <w:rPr>
          <w:rFonts w:eastAsia="Times New Roman"/>
          <w:color w:val="000000" w:themeColor="text1"/>
        </w:rPr>
      </w:pPr>
      <w:r>
        <w:rPr>
          <w:rStyle w:val="FootnoteReference"/>
        </w:rPr>
        <w:footnoteRef/>
      </w:r>
      <w:r>
        <w:tab/>
        <w:t>Sdělení Komise Evropskému parlamentu, Evropské radě, Radě, Evropskému hospodářskému a sociálnímu výboru a Výboru regionů – Plán REPowerEU, COM(2022)230.</w:t>
      </w:r>
    </w:p>
  </w:footnote>
  <w:footnote w:id="4">
    <w:p w14:paraId="7123136A" w14:textId="77777777" w:rsidR="00606A16" w:rsidRDefault="00606A16">
      <w:pPr>
        <w:pStyle w:val="FootnoteText"/>
      </w:pPr>
      <w:r>
        <w:rPr>
          <w:rStyle w:val="FootnoteReference"/>
        </w:rPr>
        <w:footnoteRef/>
      </w:r>
      <w:r>
        <w:tab/>
        <w:t>Sdělení Komise Dočasný krizový rámec pro opatření státní podpory na podporu hospodářství po agresi Ruska vůči Ukrajině, C 131 I/01, C/2022/1890.</w:t>
      </w:r>
    </w:p>
  </w:footnote>
  <w:footnote w:id="5">
    <w:p w14:paraId="69ACC9EF" w14:textId="77777777" w:rsidR="00606A16" w:rsidRDefault="00606A16">
      <w:pPr>
        <w:pStyle w:val="FootnoteText"/>
      </w:pPr>
      <w:r>
        <w:rPr>
          <w:rStyle w:val="FootnoteReference"/>
        </w:rPr>
        <w:footnoteRef/>
      </w:r>
      <w:r>
        <w:tab/>
        <w:t>Nařízení Evropského parlamentu a Rady (EU) 2022/1032 ze dne 29. června 2022, kterým se mění nařízení (EU) 2017/1938 a (ES) č. 715/2009, pokud jde o uskladňování zemního plynu (Úř. věst. L 173, 10.6.2022, s. 17).</w:t>
      </w:r>
    </w:p>
  </w:footnote>
  <w:footnote w:id="6">
    <w:p w14:paraId="24CBBC8E" w14:textId="77777777" w:rsidR="00606A16" w:rsidRDefault="00606A16">
      <w:pPr>
        <w:pStyle w:val="FootnoteText"/>
      </w:pPr>
      <w:r>
        <w:rPr>
          <w:rStyle w:val="FootnoteReference"/>
        </w:rPr>
        <w:footnoteRef/>
      </w:r>
      <w:r>
        <w:tab/>
        <w:t>Nařízení Rady (EU) 2022/1369 ze dne 5. srpna 2022 o koordinovaných opatřeních ke snížení poptávky po plynu (Úř. věst. L 206, 8.8.2022, s. 1).</w:t>
      </w:r>
    </w:p>
  </w:footnote>
  <w:footnote w:id="7">
    <w:p w14:paraId="370D4830" w14:textId="77777777" w:rsidR="00606A16" w:rsidRDefault="00606A16">
      <w:pPr>
        <w:pStyle w:val="FootnoteText"/>
      </w:pPr>
      <w:r>
        <w:rPr>
          <w:rStyle w:val="FootnoteReference"/>
        </w:rPr>
        <w:footnoteRef/>
      </w:r>
      <w:r>
        <w:tab/>
        <w:t xml:space="preserve">Nařízení Rady (EU) 2022/1854 ze dne 6. října 2022 o intervenci v mimořádné situaci s cílem řešit vysoké ceny energie (Úř. věst. L 261, 7.10.2022, s. 1). </w:t>
      </w:r>
    </w:p>
  </w:footnote>
  <w:footnote w:id="8">
    <w:p w14:paraId="1397208C" w14:textId="77777777" w:rsidR="00606A16" w:rsidRDefault="00606A16">
      <w:pPr>
        <w:pStyle w:val="FootnoteText"/>
      </w:pPr>
      <w:r>
        <w:rPr>
          <w:rStyle w:val="FootnoteReference"/>
        </w:rPr>
        <w:footnoteRef/>
      </w:r>
      <w:r>
        <w:tab/>
        <w:t>Nařízení Rady (EU) 2022/2577 ze dne 22. prosince 2022, kterým se stanoví rámec pro urychlení zavádění energie z obnovitelných zdrojů (Úř. věst. L 335, 29.12.2022, s. 36).</w:t>
      </w:r>
    </w:p>
  </w:footnote>
  <w:footnote w:id="9">
    <w:p w14:paraId="27C85CCC" w14:textId="77777777" w:rsidR="00606A16" w:rsidRDefault="00606A16">
      <w:pPr>
        <w:pStyle w:val="FootnoteText"/>
      </w:pPr>
      <w:r>
        <w:rPr>
          <w:rStyle w:val="FootnoteReference"/>
        </w:rPr>
        <w:footnoteRef/>
      </w:r>
      <w:r>
        <w:tab/>
        <w:t>Nařízení Rady (EU) 2022/1854 ze dne 6. října 2022 o intervenci v mimořádné situaci s cílem řešit vysoké ceny energie (Úř. věst. L 261, 7.10.2022, s. 1).</w:t>
      </w:r>
    </w:p>
  </w:footnote>
  <w:footnote w:id="10">
    <w:p w14:paraId="4C9CD1F4" w14:textId="77777777" w:rsidR="00606A16" w:rsidRDefault="00606A16">
      <w:pPr>
        <w:pStyle w:val="FootnoteText"/>
      </w:pPr>
      <w:r>
        <w:rPr>
          <w:rStyle w:val="FootnoteReference"/>
        </w:rPr>
        <w:footnoteRef/>
      </w:r>
      <w:r>
        <w:tab/>
        <w:t>SPEECH/22/5493.</w:t>
      </w:r>
    </w:p>
  </w:footnote>
  <w:footnote w:id="11">
    <w:p w14:paraId="372F614C" w14:textId="77777777" w:rsidR="00606A16" w:rsidRPr="00F1528B" w:rsidRDefault="00606A16" w:rsidP="002D7E2E">
      <w:pPr>
        <w:pStyle w:val="FootnoteText"/>
      </w:pPr>
      <w:r>
        <w:rPr>
          <w:rStyle w:val="FootnoteReference"/>
        </w:rPr>
        <w:footnoteRef/>
      </w:r>
      <w:r>
        <w:tab/>
      </w:r>
      <w:hyperlink r:id="rId1" w:history="1">
        <w:r>
          <w:rPr>
            <w:rStyle w:val="Hyperlink"/>
          </w:rPr>
          <w:t>Zpráva o konečném výsledku Konference o budoucnosti Evropy</w:t>
        </w:r>
      </w:hyperlink>
      <w:r>
        <w:t xml:space="preserve"> – 3. a 17. návrh. </w:t>
      </w:r>
    </w:p>
  </w:footnote>
  <w:footnote w:id="12">
    <w:p w14:paraId="2FB46A6A" w14:textId="77777777" w:rsidR="00606A16" w:rsidRDefault="00606A16">
      <w:pPr>
        <w:pStyle w:val="FootnoteText"/>
      </w:pPr>
      <w:r>
        <w:rPr>
          <w:rStyle w:val="FootnoteReference"/>
        </w:rPr>
        <w:footnoteRef/>
      </w:r>
      <w:r>
        <w:tab/>
        <w:t>Návrh směrnice Evropského parlamentu a Rady, kterou se mění směrnice (EU) 2018/2001 o podpoře využívání energie z obnovitelných zdrojů, směrnice 2010/31/EU o energetické náročnosti budov a směrnice 2012/27/EU o energetické účinnosti, COM(2022) 222 final.</w:t>
      </w:r>
    </w:p>
  </w:footnote>
  <w:footnote w:id="13">
    <w:p w14:paraId="37633B20" w14:textId="77777777" w:rsidR="00606A16" w:rsidRDefault="00606A16">
      <w:pPr>
        <w:pStyle w:val="FootnoteText"/>
      </w:pPr>
      <w:r>
        <w:rPr>
          <w:rStyle w:val="FootnoteReference"/>
        </w:rPr>
        <w:footnoteRef/>
      </w:r>
      <w:r>
        <w:tab/>
        <w:t>Sdělení Komise Evropskému parlamentu, Evropské radě, Radě, Evropskému hospodářskému a sociálnímu výboru a Výboru regionů – Plán REPowerEU, COM(2022) 230 final.</w:t>
      </w:r>
    </w:p>
  </w:footnote>
  <w:footnote w:id="14">
    <w:p w14:paraId="74E01390" w14:textId="77777777" w:rsidR="00606A16" w:rsidRDefault="00606A16">
      <w:pPr>
        <w:pStyle w:val="FootnoteText"/>
      </w:pPr>
      <w:r>
        <w:rPr>
          <w:rStyle w:val="FootnoteReference"/>
        </w:rPr>
        <w:footnoteRef/>
      </w:r>
      <w:r>
        <w:tab/>
        <w:t xml:space="preserve">Sdělení Komise Evropskému parlamentu, Evropské radě, Radě, Evropskému hospodářskému a sociálnímu výboru a Výboru regionů – Průmyslový plán Zelené dohody pro věk s nulovými čistými emisemi, </w:t>
      </w:r>
      <w:hyperlink r:id="rId2" w:history="1">
        <w:r>
          <w:t>COM(2023) 62 final</w:t>
        </w:r>
      </w:hyperlink>
      <w:r>
        <w:t>.</w:t>
      </w:r>
    </w:p>
  </w:footnote>
  <w:footnote w:id="15">
    <w:p w14:paraId="535B6C74" w14:textId="77777777" w:rsidR="00606A16" w:rsidRDefault="00606A16">
      <w:pPr>
        <w:pStyle w:val="FootnoteText"/>
      </w:pPr>
      <w:r>
        <w:rPr>
          <w:rStyle w:val="FootnoteReference"/>
        </w:rPr>
        <w:footnoteRef/>
      </w:r>
      <w:r>
        <w:tab/>
        <w:t>Nařízení Evropského parlamentu a Rady (EU) č. 596/2014 ze dne 16. dubna 2014 o zneužívání trhu (nařízení o zneužívání trhu) a o zrušení směrnice Evropského parlamentu a Rady 2003/6/ES a směrnic Komise 2003/124/ES, 2003/125/ES a 2004/72/ES (Úř. věst. L 173, 12.6.2014, s. 1).</w:t>
      </w:r>
    </w:p>
  </w:footnote>
  <w:footnote w:id="16">
    <w:p w14:paraId="755C82C4" w14:textId="77777777" w:rsidR="00606A16" w:rsidRDefault="00606A16" w:rsidP="006E3D59">
      <w:pPr>
        <w:pStyle w:val="FootnoteText"/>
      </w:pPr>
      <w:r>
        <w:rPr>
          <w:rStyle w:val="FootnoteReference"/>
        </w:rPr>
        <w:footnoteRef/>
      </w:r>
      <w:r>
        <w:tab/>
        <w:t>Doporučení Rady ze dne 16. června 2022 (</w:t>
      </w:r>
      <w:r>
        <w:rPr>
          <w:color w:val="333333"/>
        </w:rPr>
        <w:t>2022/C 243/04).</w:t>
      </w:r>
    </w:p>
  </w:footnote>
  <w:footnote w:id="17">
    <w:p w14:paraId="7911973B" w14:textId="77777777" w:rsidR="00606A16" w:rsidRDefault="00606A16">
      <w:pPr>
        <w:pStyle w:val="FootnoteText"/>
      </w:pPr>
      <w:r>
        <w:rPr>
          <w:rStyle w:val="FootnoteReference"/>
        </w:rPr>
        <w:footnoteRef/>
      </w:r>
      <w:r>
        <w:tab/>
        <w:t>Ustanovení čl. 194 odst. 1 Smlouvy o fungování EU.</w:t>
      </w:r>
    </w:p>
  </w:footnote>
  <w:footnote w:id="18">
    <w:p w14:paraId="32E3A05B" w14:textId="77777777" w:rsidR="00606A16" w:rsidRDefault="00606A16">
      <w:pPr>
        <w:pStyle w:val="FootnoteText"/>
      </w:pPr>
      <w:r>
        <w:rPr>
          <w:rStyle w:val="FootnoteReference"/>
        </w:rPr>
        <w:footnoteRef/>
      </w:r>
      <w:r>
        <w:tab/>
        <w:t>Agentura Evropské unie pro spolupráci energetických regulačních orgánů, Konečné posouzení uspořádání velkoobchodního trhu s elektřinou v EU vydané agenturou ACER, duben 2022.</w:t>
      </w:r>
    </w:p>
  </w:footnote>
  <w:footnote w:id="19">
    <w:p w14:paraId="618B8884" w14:textId="77777777" w:rsidR="00606A16" w:rsidRDefault="00606A16">
      <w:pPr>
        <w:pStyle w:val="FootnoteText"/>
      </w:pPr>
      <w:r>
        <w:rPr>
          <w:rStyle w:val="FootnoteReference"/>
        </w:rPr>
        <w:footnoteRef/>
      </w:r>
      <w:r>
        <w:tab/>
        <w:t>Sdělení Komise Evropskému parlamentu, Evropské radě, Radě, Evropskému hospodářskému a sociálnímu výboru a Výboru regionů REPowerEU: společná evropská akce pro cenově dostupnější, bezpečnější a udržitelnější energii, COM(2022) 108 final.</w:t>
      </w:r>
    </w:p>
  </w:footnote>
  <w:footnote w:id="20">
    <w:p w14:paraId="41011867" w14:textId="77777777" w:rsidR="00606A16" w:rsidRDefault="00606A16">
      <w:pPr>
        <w:pStyle w:val="FootnoteText"/>
      </w:pPr>
      <w:r>
        <w:rPr>
          <w:rStyle w:val="FootnoteReference"/>
        </w:rPr>
        <w:footnoteRef/>
      </w:r>
      <w:r>
        <w:tab/>
        <w:t>Sdělení Komise Dočasný krizový rámec pro opatření státní podpory na podporu hospodářství po agresi Ruska vůči Ukrajině, C 131 I/01, C/2022/1890.</w:t>
      </w:r>
    </w:p>
  </w:footnote>
  <w:footnote w:id="21">
    <w:p w14:paraId="62120933" w14:textId="77777777" w:rsidR="00606A16" w:rsidRDefault="00606A16">
      <w:pPr>
        <w:pStyle w:val="FootnoteText"/>
      </w:pPr>
      <w:r>
        <w:rPr>
          <w:rStyle w:val="FootnoteReference"/>
        </w:rPr>
        <w:footnoteRef/>
      </w:r>
      <w:r>
        <w:tab/>
        <w:t>Sdělení Komise Evropskému parlamentu, Evropské radě, Radě, Evropskému hospodářskému a sociálnímu výboru a Výboru regionů – Plán REPowerEU, COM(2022)230.</w:t>
      </w:r>
    </w:p>
  </w:footnote>
  <w:footnote w:id="22">
    <w:p w14:paraId="68F7C4F0" w14:textId="77777777" w:rsidR="00606A16" w:rsidRDefault="00606A16">
      <w:pPr>
        <w:pStyle w:val="FootnoteText"/>
      </w:pPr>
      <w:r>
        <w:rPr>
          <w:rStyle w:val="FootnoteReference"/>
        </w:rPr>
        <w:footnoteRef/>
      </w:r>
      <w:r>
        <w:tab/>
        <w:t>Sdělení Komise Evropskému parlamentu, Radě, Evropskému hospodářskému a sociálnímu výboru a Výboru regionů – Krátkodobé intervence na trhu s energií a dlouhodobé zlepšení uspořádání trhu s elektřinou – postup, COM(2022) 236 final.</w:t>
      </w:r>
    </w:p>
  </w:footnote>
  <w:footnote w:id="23">
    <w:p w14:paraId="044B1C1C" w14:textId="77777777" w:rsidR="00606A16" w:rsidRDefault="00606A16">
      <w:pPr>
        <w:pStyle w:val="FootnoteText"/>
      </w:pPr>
      <w:r>
        <w:rPr>
          <w:rStyle w:val="FootnoteReference"/>
        </w:rPr>
        <w:footnoteRef/>
      </w:r>
      <w:r>
        <w:tab/>
        <w:t>Nařízení Evropského parlamentu a Rady (EU) 2022/1032 ze dne 29. června 2022, kterým se mění nařízení (EU) 2017/1938 a (ES) č. 715/2009, pokud jde o uskladňování zemního plynu (Text s významem pro EHP) (Úř. věst. L 173).</w:t>
      </w:r>
    </w:p>
  </w:footnote>
  <w:footnote w:id="24">
    <w:p w14:paraId="50820762" w14:textId="77777777" w:rsidR="00606A16" w:rsidRDefault="00606A16">
      <w:pPr>
        <w:pStyle w:val="FootnoteText"/>
      </w:pPr>
      <w:r>
        <w:rPr>
          <w:rStyle w:val="FootnoteReference"/>
        </w:rPr>
        <w:footnoteRef/>
      </w:r>
      <w:r>
        <w:tab/>
        <w:t>Nařízení Rady (EU) 2022/1369 ze dne 5. srpna 2022 o koordinovaných opatřeních ke snížení poptávky po plynu (Úř. věst. L 206) a nařízení Rady (EU) 2022/1854 ze dne 6. října 2022 o intervenci v mimořádné situaci s cílem řešit vysoké ceny energie (Úř. věst. L 261).</w:t>
      </w:r>
    </w:p>
  </w:footnote>
  <w:footnote w:id="25">
    <w:p w14:paraId="276210B2" w14:textId="77777777" w:rsidR="00606A16" w:rsidRDefault="00606A16">
      <w:pPr>
        <w:pStyle w:val="FootnoteText"/>
      </w:pPr>
      <w:r>
        <w:rPr>
          <w:rStyle w:val="FootnoteReference"/>
        </w:rPr>
        <w:footnoteRef/>
      </w:r>
      <w:r>
        <w:tab/>
        <w:t>Nařízení Rady (EU) 2022/1854 ze dne 6. října 2022 o intervenci v mimořádné situaci s cílem řešit vysoké ceny energie (Úř. věst. L 261).</w:t>
      </w:r>
    </w:p>
  </w:footnote>
  <w:footnote w:id="26">
    <w:p w14:paraId="78274B30" w14:textId="77777777" w:rsidR="00606A16" w:rsidRDefault="00606A16">
      <w:pPr>
        <w:pStyle w:val="FootnoteText"/>
      </w:pPr>
      <w:r>
        <w:rPr>
          <w:rStyle w:val="FootnoteReference"/>
        </w:rPr>
        <w:footnoteRef/>
      </w:r>
      <w:r>
        <w:tab/>
        <w:t>Nařízení Rady (EU) 2022/2577 ze dne 22. prosince 2022, kterým se stanoví rámec pro urychlení zavádění energie z obnovitelných zdrojů (Úř. věst. L 335, 29.12.2022).</w:t>
      </w:r>
    </w:p>
  </w:footnote>
  <w:footnote w:id="27">
    <w:p w14:paraId="167C5811" w14:textId="77777777" w:rsidR="00606A16" w:rsidRDefault="00606A16">
      <w:pPr>
        <w:pStyle w:val="FootnoteText"/>
      </w:pPr>
      <w:r>
        <w:rPr>
          <w:rStyle w:val="FootnoteReference"/>
        </w:rPr>
        <w:footnoteRef/>
      </w:r>
      <w:r>
        <w:tab/>
        <w:t>Nařízení Evropského parlamentu a Rady (EU) 2018/1999 ze dne 11. prosince 2018 o správě energetické unie a opatření v oblasti klimatu (Úř. věst. L 328, 21.12.2018, s. 1); směrnice Evropského parlamentu a Rady (EU) 2018/2001 ze dne 11. prosince 2018 o podpoře využívání energie z obnovitelných zdrojů (přepracované znění) (Úř. věst. L 328, 21.12.2018, s. 82); směrnice Evropského parlamentu a Rady (EU) 2018/2002 ze dne 11. prosince 2018, kterou se mění směrnice 2012/27/EU o energetické účinnosti (Úř. věst. L 328, 21.12.2018, s. 210); nařízení Evropského parlamentu a Rady (EU) 2019/942 ze dne 5. června 2019, kterým se zřizuje Agentura Evropské unie pro spolupráci energetických regulačních orgánů (přepracované znění) (Úř. věst. L 158, 14.6.2019, s. 22); nařízení Evropského parlamentu a Rady (EU) 2019/943 ze dne 5. června 2019 o vnitřním trhu s elektřinou (přepracované znění) (Úř. věst. L 158, 14.6.2019, s. 54); směrnice Evropského parlamentu a Rady (EU) 2019/944 ze dne 5. června 2019 o společných pravidlech pro vnitřní trh s elektřinou (přepracované znění) (Úř. věst. L 158, 14.6.2019, s. 125).</w:t>
      </w:r>
    </w:p>
  </w:footnote>
  <w:footnote w:id="28">
    <w:p w14:paraId="3B4B3FBF" w14:textId="77777777" w:rsidR="00606A16" w:rsidRDefault="00606A16">
      <w:pPr>
        <w:pStyle w:val="FootnoteText"/>
      </w:pPr>
      <w:r>
        <w:rPr>
          <w:rStyle w:val="FootnoteReference"/>
        </w:rPr>
        <w:footnoteRef/>
      </w:r>
      <w:r>
        <w:tab/>
        <w:t>Sdělení Komise – Pokyny pro státní podporu v oblasti klimatu, životního prostředí a energetiky na rok 2022 (Úř. věst. C 80, 18.2.2022, s. 1).</w:t>
      </w:r>
    </w:p>
  </w:footnote>
  <w:footnote w:id="29">
    <w:p w14:paraId="50D9455F" w14:textId="77777777" w:rsidR="00606A16" w:rsidRDefault="00606A16">
      <w:pPr>
        <w:pStyle w:val="FootnoteText"/>
      </w:pPr>
      <w:r>
        <w:rPr>
          <w:rStyle w:val="FootnoteReference"/>
        </w:rPr>
        <w:footnoteRef/>
      </w:r>
      <w:r>
        <w:tab/>
        <w:t>Určité skupiny jsou více ohroženy energetickou chudobou nebo jsou náchylnější k nepříznivým dopadům energetické chudoby, například ženy, osoby se zdravotním postižením, starší osoby, děti a osoby menšinového rasového nebo etnického původu.</w:t>
      </w:r>
    </w:p>
  </w:footnote>
  <w:footnote w:id="30">
    <w:p w14:paraId="3A473630" w14:textId="77777777" w:rsidR="00606A16" w:rsidRDefault="00606A16">
      <w:pPr>
        <w:pStyle w:val="FootnoteText"/>
        <w:rPr>
          <w:szCs w:val="24"/>
        </w:rPr>
      </w:pPr>
      <w:r>
        <w:rPr>
          <w:rStyle w:val="FootnoteReference"/>
        </w:rPr>
        <w:footnoteRef/>
      </w:r>
      <w:r>
        <w:tab/>
        <w:t>Uvedené v čl. 58 odst. 2 písm. a) nebo b) finančního nařízení.</w:t>
      </w:r>
    </w:p>
  </w:footnote>
  <w:footnote w:id="31">
    <w:p w14:paraId="58F69FC2" w14:textId="77777777" w:rsidR="00606A16" w:rsidRDefault="00606A16">
      <w:pPr>
        <w:pStyle w:val="FootnoteText"/>
        <w:rPr>
          <w:szCs w:val="24"/>
        </w:rPr>
      </w:pPr>
      <w:r>
        <w:rPr>
          <w:rStyle w:val="FootnoteReference"/>
        </w:rPr>
        <w:footnoteRef/>
      </w:r>
      <w:r>
        <w:tab/>
        <w:t xml:space="preserve">Vysvětlení způsobů plnění rozpočtu spolu s odkazem na finanční nařízení jsou k dispozici na stránkách BUDGpedia: </w:t>
      </w:r>
      <w:hyperlink r:id="rId3" w:history="1">
        <w:r>
          <w:rPr>
            <w:rStyle w:val="Hyperlink"/>
          </w:rPr>
          <w:t>https://myintracomm.ec.europa.eu/corp/budget/financial-rules/budget-implementation/Pages/implementation-methods.aspx</w:t>
        </w:r>
      </w:hyperlink>
    </w:p>
    <w:p w14:paraId="085BCAE5" w14:textId="77777777" w:rsidR="00606A16" w:rsidRDefault="00606A16">
      <w:pPr>
        <w:pStyle w:val="FootnoteText"/>
        <w:rPr>
          <w:szCs w:val="24"/>
        </w:rPr>
      </w:pPr>
    </w:p>
  </w:footnote>
  <w:footnote w:id="32">
    <w:p w14:paraId="44835881" w14:textId="77777777" w:rsidR="00606A16" w:rsidRDefault="00606A16">
      <w:pPr>
        <w:pStyle w:val="FootnoteText"/>
        <w:rPr>
          <w:szCs w:val="24"/>
        </w:rPr>
      </w:pPr>
      <w:r>
        <w:rPr>
          <w:rStyle w:val="FootnoteReference"/>
        </w:rPr>
        <w:footnoteRef/>
      </w:r>
      <w:r>
        <w:tab/>
        <w:t>RP = rozlišené prostředky / NRP = nerozlišené prostředky.</w:t>
      </w:r>
    </w:p>
  </w:footnote>
  <w:footnote w:id="33">
    <w:p w14:paraId="7DE7383B" w14:textId="77777777" w:rsidR="00606A16" w:rsidRDefault="00606A16">
      <w:pPr>
        <w:pStyle w:val="FootnoteText"/>
        <w:rPr>
          <w:szCs w:val="24"/>
        </w:rPr>
      </w:pPr>
      <w:r>
        <w:rPr>
          <w:rStyle w:val="FootnoteReference"/>
        </w:rPr>
        <w:footnoteRef/>
      </w:r>
      <w:r>
        <w:tab/>
        <w:t xml:space="preserve">ESVO: Evropské sdružení volného obchodu. </w:t>
      </w:r>
    </w:p>
  </w:footnote>
  <w:footnote w:id="34">
    <w:p w14:paraId="2A653ACD" w14:textId="77777777" w:rsidR="00606A16" w:rsidRDefault="00606A16">
      <w:pPr>
        <w:pStyle w:val="FootnoteText"/>
        <w:rPr>
          <w:szCs w:val="24"/>
        </w:rPr>
      </w:pPr>
      <w:r>
        <w:rPr>
          <w:rStyle w:val="FootnoteReference"/>
        </w:rPr>
        <w:footnoteRef/>
      </w:r>
      <w:r>
        <w:tab/>
        <w:t>Kandidátské země a případně potenciální kandidáti ze západního Balkánu.</w:t>
      </w:r>
    </w:p>
  </w:footnote>
  <w:footnote w:id="35">
    <w:p w14:paraId="088D9E9F" w14:textId="77777777" w:rsidR="00606A16" w:rsidRDefault="00606A16">
      <w:pPr>
        <w:pStyle w:val="FootnoteText"/>
      </w:pPr>
      <w:r>
        <w:rPr>
          <w:rStyle w:val="FootnoteReference"/>
        </w:rPr>
        <w:footnoteRef/>
      </w:r>
      <w:r>
        <w:tab/>
      </w:r>
      <w:bookmarkStart w:id="96" w:name="_Hlk129268708"/>
      <w:r>
        <w:rPr>
          <w:i/>
        </w:rPr>
        <w:t>Potřebné prostředky na oblast lidských zdrojů a na ostatní výdaje správní povahy budou pokryty z prostředků GŘ, které jsou již vyčleněny na řízení akce a/nebo byly vnitřně přerozděleny v rámci GŘ a případně doplněny z dodatečného přídělu, který lze řídícímu GŘ poskytnout v rámci ročního přidělování a s ohledem na rozpočtová omezení.</w:t>
      </w:r>
      <w:bookmarkEnd w:id="96"/>
    </w:p>
  </w:footnote>
  <w:footnote w:id="36">
    <w:p w14:paraId="3C0AEC90" w14:textId="77777777" w:rsidR="00606A16" w:rsidRDefault="00606A16">
      <w:pPr>
        <w:pStyle w:val="FootnoteText"/>
        <w:rPr>
          <w:szCs w:val="24"/>
        </w:rPr>
      </w:pPr>
      <w:r>
        <w:rPr>
          <w:rStyle w:val="FootnoteReference"/>
        </w:rPr>
        <w:footnoteRef/>
      </w:r>
      <w:r>
        <w:tab/>
        <w:t>Výstupy se rozumí produkty a služby, které mají být dodány (např. počet financovaných studentských výměn, počet vybudovaných kilometrů silnic atd.).</w:t>
      </w:r>
    </w:p>
  </w:footnote>
  <w:footnote w:id="37">
    <w:p w14:paraId="0A223000" w14:textId="77777777" w:rsidR="00606A16" w:rsidRDefault="00606A16">
      <w:pPr>
        <w:pStyle w:val="FootnoteText"/>
        <w:rPr>
          <w:szCs w:val="24"/>
        </w:rPr>
      </w:pPr>
      <w:r>
        <w:rPr>
          <w:rStyle w:val="FootnoteReference"/>
        </w:rPr>
        <w:footnoteRef/>
      </w:r>
      <w:r>
        <w:tab/>
        <w:t>Popsaný v bodě 1.4.2. „Specifické cíle…“.</w:t>
      </w:r>
    </w:p>
  </w:footnote>
  <w:footnote w:id="38">
    <w:p w14:paraId="5C9821C0" w14:textId="77777777" w:rsidR="00606A16" w:rsidRDefault="00606A16">
      <w:pPr>
        <w:pStyle w:val="FootnoteText"/>
        <w:rPr>
          <w:szCs w:val="24"/>
        </w:rPr>
      </w:pPr>
      <w:r>
        <w:rPr>
          <w:rStyle w:val="FootnoteReference"/>
        </w:rPr>
        <w:footnoteRef/>
      </w:r>
      <w:r>
        <w:tab/>
        <w:t xml:space="preserve">SZ = smluvní zaměstnanec; MZ = místní zaměstnanec; VNO = vyslaný národní odborník; ZAP = zaměstnanec agentury práce, MOD = mladý odborník při delegaci. </w:t>
      </w:r>
    </w:p>
  </w:footnote>
  <w:footnote w:id="39">
    <w:p w14:paraId="5353B3F7" w14:textId="77777777" w:rsidR="00606A16" w:rsidRDefault="00606A16">
      <w:pPr>
        <w:pStyle w:val="FootnoteText"/>
        <w:rPr>
          <w:szCs w:val="24"/>
        </w:rPr>
      </w:pPr>
      <w:r>
        <w:rPr>
          <w:rStyle w:val="FootnoteReference"/>
        </w:rPr>
        <w:footnoteRef/>
      </w:r>
      <w:r>
        <w:tab/>
        <w:t>Dílčí strop na externí zaměstnance financované z operačních prostředků (bývalé položky „BA“).</w:t>
      </w:r>
    </w:p>
  </w:footnote>
  <w:footnote w:id="40">
    <w:p w14:paraId="4D2BF62D" w14:textId="77777777" w:rsidR="00606A16" w:rsidRDefault="00606A16">
      <w:pPr>
        <w:pStyle w:val="FootnoteText"/>
      </w:pPr>
      <w:r>
        <w:rPr>
          <w:rStyle w:val="FootnoteReference"/>
        </w:rPr>
        <w:footnoteRef/>
      </w:r>
      <w:r>
        <w:tab/>
        <w:t xml:space="preserve">Zejména pro fondy politiky soudržnosti EU, Evropský zemědělský fond pro rozvoj venkova (EZFRV) a Evropský námořní, rybářský a akvakulturní fond (ENRAF).  </w:t>
      </w:r>
    </w:p>
    <w:p w14:paraId="2A900852" w14:textId="77777777" w:rsidR="00606A16" w:rsidRPr="002D7798" w:rsidRDefault="00606A16">
      <w:pPr>
        <w:pStyle w:val="FootnoteText"/>
        <w:rPr>
          <w:szCs w:val="24"/>
        </w:rPr>
      </w:pPr>
    </w:p>
  </w:footnote>
  <w:footnote w:id="41">
    <w:p w14:paraId="729C01CF" w14:textId="77777777" w:rsidR="00606A16" w:rsidRDefault="00606A16">
      <w:pPr>
        <w:pStyle w:val="FootnoteText"/>
        <w:rPr>
          <w:szCs w:val="24"/>
        </w:rPr>
      </w:pPr>
      <w:r>
        <w:rPr>
          <w:rStyle w:val="FootnoteReference"/>
        </w:rPr>
        <w:footnoteRef/>
      </w:r>
      <w:r>
        <w:tab/>
        <w:t>Viz články 12 a 13 nařízení Rady (EU, Euratom) č. 2093/2020 ze dne 17. prosince 2020, kterým se stanoví víceletý finanční rámec na období 2021–2027.</w:t>
      </w:r>
    </w:p>
  </w:footnote>
  <w:footnote w:id="42">
    <w:p w14:paraId="65FE621A" w14:textId="77777777" w:rsidR="00606A16" w:rsidRDefault="00606A16">
      <w:pPr>
        <w:pStyle w:val="FootnoteText"/>
        <w:rPr>
          <w:szCs w:val="24"/>
        </w:rPr>
      </w:pPr>
      <w:r>
        <w:rPr>
          <w:rStyle w:val="FootnoteReference"/>
        </w:rPr>
        <w:footnoteRef/>
      </w:r>
      <w:r>
        <w:tab/>
        <w:t>Pokud jde o tradiční vlastní zdroje (cla, dávky z cukru), je třeba uvést čisté částky, tj. hrubé částky po odečtení 20 % nákladů na výběr.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77ACA" w14:textId="77777777" w:rsidR="00503765" w:rsidRPr="00503765" w:rsidRDefault="00503765" w:rsidP="007D2204">
    <w:pPr>
      <w:pStyle w:val="HeaderLandscap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72210" w14:textId="77777777" w:rsidR="007D2204" w:rsidRPr="007D2204" w:rsidRDefault="007D2204" w:rsidP="007D2204">
    <w:pPr>
      <w:pStyle w:val="HeaderLandscap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053A0" w14:textId="77777777" w:rsidR="00606A16" w:rsidRDefault="00606A16" w:rsidP="007D220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729BF" w14:textId="77777777" w:rsidR="007D2204" w:rsidRPr="007D2204" w:rsidRDefault="007D2204" w:rsidP="007D22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C91833C8"/>
    <w:lvl w:ilvl="0">
      <w:start w:val="1"/>
      <w:numFmt w:val="decimal"/>
      <w:pStyle w:val="ListNumber3"/>
      <w:lvlText w:val="%1."/>
      <w:lvlJc w:val="left"/>
      <w:pPr>
        <w:tabs>
          <w:tab w:val="num" w:pos="1209"/>
        </w:tabs>
        <w:ind w:left="1209" w:hanging="360"/>
      </w:pPr>
    </w:lvl>
  </w:abstractNum>
  <w:abstractNum w:abstractNumId="1" w15:restartNumberingAfterBreak="0">
    <w:nsid w:val="FFFFFF7E"/>
    <w:multiLevelType w:val="singleLevel"/>
    <w:tmpl w:val="1FBA6D14"/>
    <w:lvl w:ilvl="0">
      <w:start w:val="1"/>
      <w:numFmt w:val="decimal"/>
      <w:pStyle w:val="ListNumber2"/>
      <w:lvlText w:val="%1."/>
      <w:lvlJc w:val="left"/>
      <w:pPr>
        <w:tabs>
          <w:tab w:val="num" w:pos="926"/>
        </w:tabs>
        <w:ind w:left="926" w:hanging="360"/>
      </w:pPr>
    </w:lvl>
  </w:abstractNum>
  <w:abstractNum w:abstractNumId="2" w15:restartNumberingAfterBreak="0">
    <w:nsid w:val="FFFFFF7F"/>
    <w:multiLevelType w:val="singleLevel"/>
    <w:tmpl w:val="8448523E"/>
    <w:lvl w:ilvl="0">
      <w:start w:val="1"/>
      <w:numFmt w:val="decimal"/>
      <w:pStyle w:val="ListNumber"/>
      <w:lvlText w:val="%1."/>
      <w:lvlJc w:val="left"/>
      <w:pPr>
        <w:tabs>
          <w:tab w:val="num" w:pos="643"/>
        </w:tabs>
        <w:ind w:left="643" w:hanging="360"/>
      </w:pPr>
    </w:lvl>
  </w:abstractNum>
  <w:abstractNum w:abstractNumId="3" w15:restartNumberingAfterBreak="0">
    <w:nsid w:val="FFFFFF81"/>
    <w:multiLevelType w:val="singleLevel"/>
    <w:tmpl w:val="E5E087F6"/>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CDC81A68"/>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42C85E58"/>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AFCEE79E"/>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66B5A68"/>
    <w:multiLevelType w:val="singleLevel"/>
    <w:tmpl w:val="8B0853B0"/>
    <w:name w:val="Dash 1"/>
    <w:lvl w:ilvl="0">
      <w:start w:val="1"/>
      <w:numFmt w:val="bullet"/>
      <w:lvlRestart w:val="0"/>
      <w:pStyle w:val="Dash"/>
      <w:lvlText w:val="–"/>
      <w:lvlJc w:val="left"/>
      <w:pPr>
        <w:tabs>
          <w:tab w:val="num" w:pos="1134"/>
        </w:tabs>
        <w:ind w:left="1134" w:hanging="567"/>
      </w:pPr>
    </w:lvl>
  </w:abstractNum>
  <w:abstractNum w:abstractNumId="8" w15:restartNumberingAfterBreak="0">
    <w:nsid w:val="09C20093"/>
    <w:multiLevelType w:val="singleLevel"/>
    <w:tmpl w:val="05F6137C"/>
    <w:name w:val="Dash 4"/>
    <w:lvl w:ilvl="0">
      <w:start w:val="1"/>
      <w:numFmt w:val="bullet"/>
      <w:lvlRestart w:val="0"/>
      <w:pStyle w:val="Dash3"/>
      <w:lvlText w:val="–"/>
      <w:lvlJc w:val="left"/>
      <w:pPr>
        <w:tabs>
          <w:tab w:val="num" w:pos="2835"/>
        </w:tabs>
        <w:ind w:left="2835" w:hanging="567"/>
      </w:pPr>
    </w:lvl>
  </w:abstractNum>
  <w:abstractNum w:abstractNumId="9"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10" w15:restartNumberingAfterBreak="0">
    <w:nsid w:val="172B0495"/>
    <w:multiLevelType w:val="multilevel"/>
    <w:tmpl w:val="FED03EAA"/>
    <w:name w:val="Heading ABC"/>
    <w:lvl w:ilvl="0">
      <w:start w:val="1"/>
      <w:numFmt w:val="upperLetter"/>
      <w:lvlRestart w:val="0"/>
      <w:pStyle w:val="Pointivx"/>
      <w:lvlText w:val="%1."/>
      <w:lvlJc w:val="left"/>
      <w:pPr>
        <w:tabs>
          <w:tab w:val="num" w:pos="567"/>
        </w:tabs>
        <w:ind w:left="567" w:hanging="567"/>
      </w:pPr>
    </w:lvl>
    <w:lvl w:ilvl="1">
      <w:start w:val="1"/>
      <w:numFmt w:val="lowerLetter"/>
      <w:pStyle w:val="Pointivx1"/>
      <w:lvlText w:val="%2)"/>
      <w:lvlJc w:val="left"/>
      <w:pPr>
        <w:ind w:left="720" w:hanging="360"/>
      </w:pPr>
    </w:lvl>
    <w:lvl w:ilvl="2">
      <w:start w:val="1"/>
      <w:numFmt w:val="lowerRoman"/>
      <w:pStyle w:val="Pointivx2"/>
      <w:lvlText w:val="%3)"/>
      <w:lvlJc w:val="left"/>
      <w:pPr>
        <w:ind w:left="1080" w:hanging="360"/>
      </w:pPr>
    </w:lvl>
    <w:lvl w:ilvl="3">
      <w:start w:val="1"/>
      <w:numFmt w:val="decimal"/>
      <w:lvlText w:val="(%4)"/>
      <w:lvlJc w:val="left"/>
      <w:pPr>
        <w:ind w:left="1440" w:hanging="360"/>
      </w:pPr>
    </w:lvl>
    <w:lvl w:ilvl="4">
      <w:start w:val="1"/>
      <w:numFmt w:val="lowerLetter"/>
      <w:pStyle w:val="Pointivx4"/>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2" w15:restartNumberingAfterBreak="0">
    <w:nsid w:val="1FC73EED"/>
    <w:multiLevelType w:val="singleLevel"/>
    <w:tmpl w:val="109A6A02"/>
    <w:name w:val="Bullet (1)"/>
    <w:lvl w:ilvl="0">
      <w:start w:val="1"/>
      <w:numFmt w:val="bullet"/>
      <w:lvlRestart w:val="0"/>
      <w:pStyle w:val="Bullet"/>
      <w:lvlText w:val=""/>
      <w:lvlJc w:val="left"/>
      <w:pPr>
        <w:tabs>
          <w:tab w:val="num" w:pos="1134"/>
        </w:tabs>
        <w:ind w:left="1134" w:hanging="567"/>
      </w:pPr>
      <w:rPr>
        <w:rFonts w:ascii="Symbol" w:hAnsi="Symbol" w:hint="default"/>
      </w:rPr>
    </w:lvl>
  </w:abstractNum>
  <w:abstractNum w:abstractNumId="1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4DC3CD4"/>
    <w:multiLevelType w:val="hybridMultilevel"/>
    <w:tmpl w:val="4CCCB19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26596D70"/>
    <w:multiLevelType w:val="multilevel"/>
    <w:tmpl w:val="0ABAD01C"/>
    <w:name w:val="Points roman"/>
    <w:lvl w:ilvl="0">
      <w:start w:val="1"/>
      <w:numFmt w:val="lowerRoman"/>
      <w:lvlRestart w:val="0"/>
      <w:pStyle w:val="Point123"/>
      <w:lvlText w:val="%1)"/>
      <w:lvlJc w:val="left"/>
      <w:pPr>
        <w:tabs>
          <w:tab w:val="num" w:pos="567"/>
        </w:tabs>
        <w:ind w:left="567" w:hanging="567"/>
      </w:pPr>
    </w:lvl>
    <w:lvl w:ilvl="1">
      <w:start w:val="1"/>
      <w:numFmt w:val="lowerRoman"/>
      <w:pStyle w:val="Pointabc"/>
      <w:lvlText w:val="%2)"/>
      <w:lvlJc w:val="left"/>
      <w:pPr>
        <w:tabs>
          <w:tab w:val="num" w:pos="1134"/>
        </w:tabs>
        <w:ind w:left="1134" w:hanging="567"/>
      </w:pPr>
    </w:lvl>
    <w:lvl w:ilvl="2">
      <w:start w:val="1"/>
      <w:numFmt w:val="lowerRoman"/>
      <w:pStyle w:val="Point1231"/>
      <w:lvlText w:val="%3)"/>
      <w:lvlJc w:val="left"/>
      <w:pPr>
        <w:tabs>
          <w:tab w:val="num" w:pos="1701"/>
        </w:tabs>
        <w:ind w:left="1701" w:hanging="567"/>
      </w:pPr>
    </w:lvl>
    <w:lvl w:ilvl="3">
      <w:start w:val="1"/>
      <w:numFmt w:val="lowerRoman"/>
      <w:pStyle w:val="Pointabc1"/>
      <w:lvlText w:val="%4)"/>
      <w:lvlJc w:val="left"/>
      <w:pPr>
        <w:tabs>
          <w:tab w:val="num" w:pos="2268"/>
        </w:tabs>
        <w:ind w:left="2268" w:hanging="567"/>
      </w:pPr>
    </w:lvl>
    <w:lvl w:ilvl="4">
      <w:start w:val="1"/>
      <w:numFmt w:val="lowerRoman"/>
      <w:lvlText w:val="%5)"/>
      <w:lvlJc w:val="left"/>
      <w:pPr>
        <w:tabs>
          <w:tab w:val="num" w:pos="2835"/>
        </w:tabs>
        <w:ind w:left="2835" w:hanging="567"/>
      </w:pPr>
    </w:lvl>
    <w:lvl w:ilvl="5">
      <w:start w:val="1"/>
      <w:numFmt w:val="lowerRoman"/>
      <w:pStyle w:val="Pointabc2"/>
      <w:lvlText w:val="(%6)"/>
      <w:lvlJc w:val="left"/>
      <w:pPr>
        <w:ind w:left="2160" w:hanging="360"/>
      </w:pPr>
    </w:lvl>
    <w:lvl w:ilvl="6">
      <w:start w:val="1"/>
      <w:numFmt w:val="decimal"/>
      <w:lvlText w:val="%7."/>
      <w:lvlJc w:val="left"/>
      <w:pPr>
        <w:ind w:left="2520" w:hanging="360"/>
      </w:pPr>
    </w:lvl>
    <w:lvl w:ilvl="7">
      <w:start w:val="1"/>
      <w:numFmt w:val="lowerLetter"/>
      <w:pStyle w:val="Pointabc3"/>
      <w:lvlText w:val="%8."/>
      <w:lvlJc w:val="left"/>
      <w:pPr>
        <w:ind w:left="2880" w:hanging="360"/>
      </w:pPr>
    </w:lvl>
    <w:lvl w:ilvl="8">
      <w:start w:val="1"/>
      <w:numFmt w:val="lowerRoman"/>
      <w:pStyle w:val="Pointabc4"/>
      <w:lvlText w:val="%9."/>
      <w:lvlJc w:val="left"/>
      <w:pPr>
        <w:ind w:left="3240" w:hanging="360"/>
      </w:pPr>
    </w:lvl>
  </w:abstractNum>
  <w:abstractNum w:abstractNumId="16" w15:restartNumberingAfterBreak="0">
    <w:nsid w:val="27A94842"/>
    <w:multiLevelType w:val="multilevel"/>
    <w:tmpl w:val="AF12CA62"/>
    <w:lvl w:ilvl="0">
      <w:start w:val="1"/>
      <w:numFmt w:val="decimal"/>
      <w:lvlRestart w:val="0"/>
      <w:pStyle w:val="HeadingABC"/>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8"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0"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1"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22" w15:restartNumberingAfterBreak="0">
    <w:nsid w:val="44830AE8"/>
    <w:multiLevelType w:val="singleLevel"/>
    <w:tmpl w:val="C694AB9E"/>
    <w:name w:val="Bullet (0)"/>
    <w:lvl w:ilvl="0">
      <w:start w:val="1"/>
      <w:numFmt w:val="bullet"/>
      <w:lvlRestart w:val="0"/>
      <w:pStyle w:val="DashEqual4"/>
      <w:lvlText w:val=""/>
      <w:lvlJc w:val="left"/>
      <w:pPr>
        <w:tabs>
          <w:tab w:val="num" w:pos="567"/>
        </w:tabs>
        <w:ind w:left="567" w:hanging="567"/>
      </w:pPr>
      <w:rPr>
        <w:rFonts w:ascii="Symbol" w:hAnsi="Symbol" w:hint="default"/>
      </w:rPr>
    </w:lvl>
  </w:abstractNum>
  <w:abstractNum w:abstractNumId="23"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5" w15:restartNumberingAfterBreak="0">
    <w:nsid w:val="57227889"/>
    <w:multiLevelType w:val="singleLevel"/>
    <w:tmpl w:val="B83C732C"/>
    <w:name w:val="Dash Equal 2"/>
    <w:lvl w:ilvl="0">
      <w:start w:val="1"/>
      <w:numFmt w:val="bullet"/>
      <w:lvlRestart w:val="0"/>
      <w:pStyle w:val="DashEqual1"/>
      <w:lvlText w:val="="/>
      <w:lvlJc w:val="left"/>
      <w:pPr>
        <w:tabs>
          <w:tab w:val="num" w:pos="1701"/>
        </w:tabs>
        <w:ind w:left="1701" w:hanging="567"/>
      </w:pPr>
    </w:lvl>
  </w:abstractNum>
  <w:abstractNum w:abstractNumId="26" w15:restartNumberingAfterBreak="0">
    <w:nsid w:val="57CF7392"/>
    <w:multiLevelType w:val="multilevel"/>
    <w:tmpl w:val="8F703574"/>
    <w:name w:val="Heading IVX"/>
    <w:lvl w:ilvl="0">
      <w:start w:val="1"/>
      <w:numFmt w:val="upperRoman"/>
      <w:lvlRestart w:val="0"/>
      <w:pStyle w:val="Heading123"/>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96D67A1"/>
    <w:multiLevelType w:val="singleLevel"/>
    <w:tmpl w:val="9AC8831A"/>
    <w:name w:val="List Dash 2"/>
    <w:lvl w:ilvl="0">
      <w:start w:val="1"/>
      <w:numFmt w:val="bullet"/>
      <w:pStyle w:val="ListDash2"/>
      <w:lvlText w:val="–"/>
      <w:lvlJc w:val="left"/>
      <w:pPr>
        <w:tabs>
          <w:tab w:val="num" w:pos="1134"/>
        </w:tabs>
        <w:ind w:left="1134" w:hanging="283"/>
      </w:pPr>
      <w:rPr>
        <w:rFonts w:ascii="Times New Roman" w:hAnsi="Times New Roman"/>
      </w:rPr>
    </w:lvl>
  </w:abstractNum>
  <w:abstractNum w:abstractNumId="28"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9"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1" w15:restartNumberingAfterBreak="0">
    <w:nsid w:val="5D60669B"/>
    <w:multiLevelType w:val="singleLevel"/>
    <w:tmpl w:val="A97ED7DE"/>
    <w:name w:val="Dash 3"/>
    <w:lvl w:ilvl="0">
      <w:start w:val="1"/>
      <w:numFmt w:val="bullet"/>
      <w:lvlRestart w:val="0"/>
      <w:pStyle w:val="Dash2"/>
      <w:lvlText w:val="–"/>
      <w:lvlJc w:val="left"/>
      <w:pPr>
        <w:tabs>
          <w:tab w:val="num" w:pos="2268"/>
        </w:tabs>
        <w:ind w:left="2268" w:hanging="567"/>
      </w:pPr>
    </w:lvl>
  </w:abstractNum>
  <w:abstractNum w:abstractNumId="32" w15:restartNumberingAfterBreak="0">
    <w:nsid w:val="608C30E1"/>
    <w:multiLevelType w:val="hybridMultilevel"/>
    <w:tmpl w:val="DD98B9F8"/>
    <w:lvl w:ilvl="0" w:tplc="08090001">
      <w:start w:val="1"/>
      <w:numFmt w:val="bullet"/>
      <w:lvlText w:val=""/>
      <w:lvlJc w:val="left"/>
      <w:pPr>
        <w:ind w:left="1044" w:hanging="360"/>
      </w:pPr>
      <w:rPr>
        <w:rFonts w:ascii="Symbol" w:hAnsi="Symbol" w:hint="default"/>
      </w:rPr>
    </w:lvl>
    <w:lvl w:ilvl="1" w:tplc="08090003" w:tentative="1">
      <w:start w:val="1"/>
      <w:numFmt w:val="bullet"/>
      <w:lvlText w:val="o"/>
      <w:lvlJc w:val="left"/>
      <w:pPr>
        <w:ind w:left="1764" w:hanging="360"/>
      </w:pPr>
      <w:rPr>
        <w:rFonts w:ascii="Courier New" w:hAnsi="Courier New" w:cs="Courier New" w:hint="default"/>
      </w:rPr>
    </w:lvl>
    <w:lvl w:ilvl="2" w:tplc="08090005" w:tentative="1">
      <w:start w:val="1"/>
      <w:numFmt w:val="bullet"/>
      <w:lvlText w:val=""/>
      <w:lvlJc w:val="left"/>
      <w:pPr>
        <w:ind w:left="2484" w:hanging="360"/>
      </w:pPr>
      <w:rPr>
        <w:rFonts w:ascii="Wingdings" w:hAnsi="Wingdings" w:hint="default"/>
      </w:rPr>
    </w:lvl>
    <w:lvl w:ilvl="3" w:tplc="08090001" w:tentative="1">
      <w:start w:val="1"/>
      <w:numFmt w:val="bullet"/>
      <w:lvlText w:val=""/>
      <w:lvlJc w:val="left"/>
      <w:pPr>
        <w:ind w:left="3204" w:hanging="360"/>
      </w:pPr>
      <w:rPr>
        <w:rFonts w:ascii="Symbol" w:hAnsi="Symbol" w:hint="default"/>
      </w:rPr>
    </w:lvl>
    <w:lvl w:ilvl="4" w:tplc="08090003" w:tentative="1">
      <w:start w:val="1"/>
      <w:numFmt w:val="bullet"/>
      <w:lvlText w:val="o"/>
      <w:lvlJc w:val="left"/>
      <w:pPr>
        <w:ind w:left="3924" w:hanging="360"/>
      </w:pPr>
      <w:rPr>
        <w:rFonts w:ascii="Courier New" w:hAnsi="Courier New" w:cs="Courier New" w:hint="default"/>
      </w:rPr>
    </w:lvl>
    <w:lvl w:ilvl="5" w:tplc="08090005" w:tentative="1">
      <w:start w:val="1"/>
      <w:numFmt w:val="bullet"/>
      <w:lvlText w:val=""/>
      <w:lvlJc w:val="left"/>
      <w:pPr>
        <w:ind w:left="4644" w:hanging="360"/>
      </w:pPr>
      <w:rPr>
        <w:rFonts w:ascii="Wingdings" w:hAnsi="Wingdings" w:hint="default"/>
      </w:rPr>
    </w:lvl>
    <w:lvl w:ilvl="6" w:tplc="08090001" w:tentative="1">
      <w:start w:val="1"/>
      <w:numFmt w:val="bullet"/>
      <w:lvlText w:val=""/>
      <w:lvlJc w:val="left"/>
      <w:pPr>
        <w:ind w:left="5364" w:hanging="360"/>
      </w:pPr>
      <w:rPr>
        <w:rFonts w:ascii="Symbol" w:hAnsi="Symbol" w:hint="default"/>
      </w:rPr>
    </w:lvl>
    <w:lvl w:ilvl="7" w:tplc="08090003" w:tentative="1">
      <w:start w:val="1"/>
      <w:numFmt w:val="bullet"/>
      <w:lvlText w:val="o"/>
      <w:lvlJc w:val="left"/>
      <w:pPr>
        <w:ind w:left="6084" w:hanging="360"/>
      </w:pPr>
      <w:rPr>
        <w:rFonts w:ascii="Courier New" w:hAnsi="Courier New" w:cs="Courier New" w:hint="default"/>
      </w:rPr>
    </w:lvl>
    <w:lvl w:ilvl="8" w:tplc="08090005" w:tentative="1">
      <w:start w:val="1"/>
      <w:numFmt w:val="bullet"/>
      <w:lvlText w:val=""/>
      <w:lvlJc w:val="left"/>
      <w:pPr>
        <w:ind w:left="6804" w:hanging="360"/>
      </w:pPr>
      <w:rPr>
        <w:rFonts w:ascii="Wingdings" w:hAnsi="Wingdings" w:hint="default"/>
      </w:rPr>
    </w:lvl>
  </w:abstractNum>
  <w:abstractNum w:abstractNumId="33" w15:restartNumberingAfterBreak="0">
    <w:nsid w:val="62A8042C"/>
    <w:multiLevelType w:val="singleLevel"/>
    <w:tmpl w:val="CCF20C06"/>
    <w:name w:val="List Dash 1"/>
    <w:lvl w:ilvl="0">
      <w:start w:val="1"/>
      <w:numFmt w:val="bullet"/>
      <w:pStyle w:val="ListDash1"/>
      <w:lvlText w:val="–"/>
      <w:lvlJc w:val="left"/>
      <w:pPr>
        <w:tabs>
          <w:tab w:val="num" w:pos="1134"/>
        </w:tabs>
        <w:ind w:left="1134" w:hanging="283"/>
      </w:pPr>
      <w:rPr>
        <w:rFonts w:ascii="Times New Roman" w:hAnsi="Times New Roman"/>
      </w:rPr>
    </w:lvl>
  </w:abstractNum>
  <w:abstractNum w:abstractNumId="34"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774118E"/>
    <w:multiLevelType w:val="singleLevel"/>
    <w:tmpl w:val="5944F242"/>
    <w:name w:val="Dash Equal 4"/>
    <w:lvl w:ilvl="0">
      <w:start w:val="1"/>
      <w:numFmt w:val="bullet"/>
      <w:lvlRestart w:val="0"/>
      <w:pStyle w:val="DashEqual3"/>
      <w:lvlText w:val="="/>
      <w:lvlJc w:val="left"/>
      <w:pPr>
        <w:tabs>
          <w:tab w:val="num" w:pos="2835"/>
        </w:tabs>
        <w:ind w:left="2835" w:hanging="567"/>
      </w:pPr>
    </w:lvl>
  </w:abstractNum>
  <w:abstractNum w:abstractNumId="36"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7" w15:restartNumberingAfterBreak="0">
    <w:nsid w:val="6A6901C1"/>
    <w:multiLevelType w:val="singleLevel"/>
    <w:tmpl w:val="208841AE"/>
    <w:name w:val="List Bullet 1"/>
    <w:lvl w:ilvl="0">
      <w:start w:val="1"/>
      <w:numFmt w:val="bullet"/>
      <w:pStyle w:val="ListBullet1"/>
      <w:lvlText w:val=""/>
      <w:lvlJc w:val="left"/>
      <w:pPr>
        <w:tabs>
          <w:tab w:val="num" w:pos="1134"/>
        </w:tabs>
        <w:ind w:left="1134" w:hanging="283"/>
      </w:pPr>
      <w:rPr>
        <w:rFonts w:ascii="Symbol" w:hAnsi="Symbol" w:hint="default"/>
      </w:rPr>
    </w:lvl>
  </w:abstractNum>
  <w:abstractNum w:abstractNumId="38" w15:restartNumberingAfterBreak="0">
    <w:nsid w:val="6F642730"/>
    <w:multiLevelType w:val="singleLevel"/>
    <w:tmpl w:val="142C218E"/>
    <w:name w:val="Dash 2"/>
    <w:lvl w:ilvl="0">
      <w:start w:val="1"/>
      <w:numFmt w:val="bullet"/>
      <w:lvlRestart w:val="0"/>
      <w:pStyle w:val="Dash1"/>
      <w:lvlText w:val="–"/>
      <w:lvlJc w:val="left"/>
      <w:pPr>
        <w:tabs>
          <w:tab w:val="num" w:pos="1701"/>
        </w:tabs>
        <w:ind w:left="1701" w:hanging="567"/>
      </w:pPr>
    </w:lvl>
  </w:abstractNum>
  <w:abstractNum w:abstractNumId="39" w15:restartNumberingAfterBreak="0">
    <w:nsid w:val="753F4BA1"/>
    <w:multiLevelType w:val="singleLevel"/>
    <w:tmpl w:val="E3B64B50"/>
    <w:name w:val="Dash Equal 3"/>
    <w:lvl w:ilvl="0">
      <w:start w:val="1"/>
      <w:numFmt w:val="bullet"/>
      <w:lvlRestart w:val="0"/>
      <w:pStyle w:val="DashEqual2"/>
      <w:lvlText w:val="="/>
      <w:lvlJc w:val="left"/>
      <w:pPr>
        <w:tabs>
          <w:tab w:val="num" w:pos="2268"/>
        </w:tabs>
        <w:ind w:left="2268" w:hanging="567"/>
      </w:pPr>
    </w:lvl>
  </w:abstractNum>
  <w:abstractNum w:abstractNumId="40" w15:restartNumberingAfterBreak="0">
    <w:nsid w:val="78250856"/>
    <w:multiLevelType w:val="singleLevel"/>
    <w:tmpl w:val="70ACDB5C"/>
    <w:name w:val="Dash Equal 0"/>
    <w:lvl w:ilvl="0">
      <w:start w:val="1"/>
      <w:numFmt w:val="bullet"/>
      <w:lvlRestart w:val="0"/>
      <w:pStyle w:val="Dash4"/>
      <w:lvlText w:val="="/>
      <w:lvlJc w:val="left"/>
      <w:pPr>
        <w:tabs>
          <w:tab w:val="num" w:pos="567"/>
        </w:tabs>
        <w:ind w:left="567" w:hanging="567"/>
      </w:pPr>
    </w:lvl>
  </w:abstractNum>
  <w:abstractNum w:abstractNumId="41" w15:restartNumberingAfterBreak="0">
    <w:nsid w:val="7ACF3A8A"/>
    <w:multiLevelType w:val="singleLevel"/>
    <w:tmpl w:val="0E484FE6"/>
    <w:name w:val="Dash Equal 1"/>
    <w:lvl w:ilvl="0">
      <w:start w:val="1"/>
      <w:numFmt w:val="bullet"/>
      <w:lvlRestart w:val="0"/>
      <w:pStyle w:val="DashEqual"/>
      <w:lvlText w:val="="/>
      <w:lvlJc w:val="left"/>
      <w:pPr>
        <w:tabs>
          <w:tab w:val="num" w:pos="1134"/>
        </w:tabs>
        <w:ind w:left="1134" w:hanging="567"/>
      </w:pPr>
    </w:lvl>
  </w:abstractNum>
  <w:abstractNum w:abstractNumId="4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 w:numId="8">
    <w:abstractNumId w:val="7"/>
  </w:num>
  <w:num w:numId="9">
    <w:abstractNumId w:val="38"/>
  </w:num>
  <w:num w:numId="10">
    <w:abstractNumId w:val="31"/>
  </w:num>
  <w:num w:numId="11">
    <w:abstractNumId w:val="8"/>
  </w:num>
  <w:num w:numId="12">
    <w:abstractNumId w:val="40"/>
  </w:num>
  <w:num w:numId="13">
    <w:abstractNumId w:val="41"/>
  </w:num>
  <w:num w:numId="14">
    <w:abstractNumId w:val="25"/>
  </w:num>
  <w:num w:numId="15">
    <w:abstractNumId w:val="39"/>
  </w:num>
  <w:num w:numId="16">
    <w:abstractNumId w:val="35"/>
  </w:num>
  <w:num w:numId="17">
    <w:abstractNumId w:val="22"/>
  </w:num>
  <w:num w:numId="18">
    <w:abstractNumId w:val="12"/>
  </w:num>
  <w:num w:numId="19">
    <w:abstractNumId w:val="15"/>
  </w:num>
  <w:num w:numId="20">
    <w:abstractNumId w:val="10"/>
  </w:num>
  <w:num w:numId="21">
    <w:abstractNumId w:val="16"/>
  </w:num>
  <w:num w:numId="22">
    <w:abstractNumId w:val="26"/>
  </w:num>
  <w:num w:numId="23">
    <w:abstractNumId w:val="30"/>
    <w:lvlOverride w:ilvl="0">
      <w:startOverride w:val="1"/>
    </w:lvlOverride>
  </w:num>
  <w:num w:numId="24">
    <w:abstractNumId w:val="30"/>
    <w:lvlOverride w:ilvl="0">
      <w:startOverride w:val="1"/>
    </w:lvlOverride>
  </w:num>
  <w:num w:numId="25">
    <w:abstractNumId w:val="37"/>
  </w:num>
  <w:num w:numId="26">
    <w:abstractNumId w:val="33"/>
  </w:num>
  <w:num w:numId="27">
    <w:abstractNumId w:val="27"/>
  </w:num>
  <w:num w:numId="28">
    <w:abstractNumId w:val="9"/>
  </w:num>
  <w:num w:numId="29">
    <w:abstractNumId w:val="11"/>
  </w:num>
  <w:num w:numId="30">
    <w:abstractNumId w:val="32"/>
  </w:num>
  <w:num w:numId="31">
    <w:abstractNumId w:val="14"/>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2"/>
    <w:lvlOverride w:ilvl="0">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0"/>
  </w:num>
  <w:num w:numId="46">
    <w:abstractNumId w:val="19"/>
  </w:num>
  <w:num w:numId="47">
    <w:abstractNumId w:val="36"/>
  </w:num>
  <w:num w:numId="48">
    <w:abstractNumId w:val="18"/>
  </w:num>
  <w:num w:numId="49">
    <w:abstractNumId w:val="20"/>
  </w:num>
  <w:num w:numId="50">
    <w:abstractNumId w:val="21"/>
  </w:num>
  <w:num w:numId="51">
    <w:abstractNumId w:val="13"/>
  </w:num>
  <w:num w:numId="52">
    <w:abstractNumId w:val="34"/>
  </w:num>
  <w:num w:numId="53">
    <w:abstractNumId w:val="11"/>
  </w:num>
  <w:num w:numId="54">
    <w:abstractNumId w:val="23"/>
  </w:num>
  <w:num w:numId="55">
    <w:abstractNumId w:val="28"/>
  </w:num>
  <w:num w:numId="56">
    <w:abstractNumId w:val="29"/>
  </w:num>
  <w:num w:numId="57">
    <w:abstractNumId w:val="17"/>
  </w:num>
  <w:num w:numId="58">
    <w:abstractNumId w:val="24"/>
  </w:num>
  <w:num w:numId="59">
    <w:abstractNumId w:val="42"/>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doNotDisplayPageBoundaries/>
  <w:hideSpellingErrors/>
  <w:hideGrammaticalErrors/>
  <w:activeWritingStyle w:appName="MSWord" w:lang="pt-PT" w:vendorID="64" w:dllVersion="0"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en-GB" w:vendorID="64" w:dllVersion="6" w:nlCheck="1" w:checkStyle="1"/>
  <w:activeWritingStyle w:appName="MSWord" w:lang="cs-CZ" w:vendorID="64" w:dllVersion="0" w:nlCheck="1" w:checkStyle="0"/>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_RefLast" w:val="0"/>
    <w:docVar w:name="DQCDateTime" w:val="2023-03-28 12:04:31"/>
    <w:docVar w:name="DQCNUMB_1" w:val="291"/>
    <w:docVar w:name="DQCNUMB_10" w:val="159"/>
    <w:docVar w:name="DQCNUMB_11" w:val="160"/>
    <w:docVar w:name="DQCNUMB_12" w:val="161"/>
    <w:docVar w:name="DQCNUMB_13" w:val="162"/>
    <w:docVar w:name="DQCNUMB_14" w:val="163"/>
    <w:docVar w:name="DQCNUMB_15" w:val="164"/>
    <w:docVar w:name="DQCNUMB_16" w:val="165"/>
    <w:docVar w:name="DQCNUMB_17" w:val="166"/>
    <w:docVar w:name="DQCNUMB_18" w:val="167"/>
    <w:docVar w:name="DQCNUMB_19" w:val="168"/>
    <w:docVar w:name="DQCNUMB_2" w:val="292"/>
    <w:docVar w:name="DQCNUMB_20" w:val="169"/>
    <w:docVar w:name="DQCNUMB_21" w:val="170"/>
    <w:docVar w:name="DQCNUMB_22" w:val="171"/>
    <w:docVar w:name="DQCNUMB_23" w:val="172"/>
    <w:docVar w:name="DQCNUMB_24" w:val="217"/>
    <w:docVar w:name="DQCNUMB_25" w:val="218"/>
    <w:docVar w:name="DQCNUMB_26" w:val="223"/>
    <w:docVar w:name="DQCNUMB_27" w:val="237"/>
    <w:docVar w:name="DQCNUMB_28" w:val="238"/>
    <w:docVar w:name="DQCNUMB_29" w:val="239"/>
    <w:docVar w:name="DQCNUMB_3" w:val="293"/>
    <w:docVar w:name="DQCNUMB_30" w:val="242"/>
    <w:docVar w:name="DQCNUMB_31" w:val="243"/>
    <w:docVar w:name="DQCNUMB_32" w:val="245"/>
    <w:docVar w:name="DQCNUMB_33" w:val="246"/>
    <w:docVar w:name="DQCNUMB_34" w:val="247"/>
    <w:docVar w:name="DQCNUMB_35" w:val="273"/>
    <w:docVar w:name="DQCNUMB_36" w:val="274"/>
    <w:docVar w:name="DQCNUMB_37" w:val="275"/>
    <w:docVar w:name="DQCNUMB_38" w:val="276"/>
    <w:docVar w:name="DQCNUMB_39" w:val="277"/>
    <w:docVar w:name="DQCNUMB_4" w:val="1313"/>
    <w:docVar w:name="DQCNUMB_40" w:val="281"/>
    <w:docVar w:name="DQCNUMB_41" w:val="282"/>
    <w:docVar w:name="DQCNUMB_42" w:val="283"/>
    <w:docVar w:name="DQCNUMB_43" w:val="284"/>
    <w:docVar w:name="DQCNUMB_44" w:val="285"/>
    <w:docVar w:name="DQCNUMB_45" w:val="286"/>
    <w:docVar w:name="DQCNUMB_46" w:val="287"/>
    <w:docVar w:name="DQCNUMB_47" w:val="288"/>
    <w:docVar w:name="DQCNUMB_48" w:val="290"/>
    <w:docVar w:name="DQCNUMB_49" w:val="294"/>
    <w:docVar w:name="DQCNUMB_5" w:val="1322"/>
    <w:docVar w:name="DQCNUMB_50" w:val="296"/>
    <w:docVar w:name="DQCNUMB_51" w:val="309"/>
    <w:docVar w:name="DQCNUMB_52" w:val="337"/>
    <w:docVar w:name="DQCNUMB_53" w:val="338"/>
    <w:docVar w:name="DQCNUMB_54" w:val="339"/>
    <w:docVar w:name="DQCNUMB_55" w:val="340"/>
    <w:docVar w:name="DQCNUMB_56" w:val="341"/>
    <w:docVar w:name="DQCNUMB_57" w:val="342"/>
    <w:docVar w:name="DQCNUMB_58" w:val="343"/>
    <w:docVar w:name="DQCNUMB_59" w:val="344"/>
    <w:docVar w:name="DQCNUMB_6" w:val="155"/>
    <w:docVar w:name="DQCNUMB_60" w:val="345"/>
    <w:docVar w:name="DQCNUMB_61" w:val="405"/>
    <w:docVar w:name="DQCNUMB_62" w:val="410"/>
    <w:docVar w:name="DQCNUMB_63" w:val="411"/>
    <w:docVar w:name="DQCNUMB_64" w:val="412"/>
    <w:docVar w:name="DQCNUMB_65" w:val="445"/>
    <w:docVar w:name="DQCNUMB_66" w:val="446"/>
    <w:docVar w:name="DQCNUMB_67" w:val="447"/>
    <w:docVar w:name="DQCNUMB_68" w:val="449"/>
    <w:docVar w:name="DQCNUMB_69" w:val="450"/>
    <w:docVar w:name="DQCNUMB_7" w:val="156"/>
    <w:docVar w:name="DQCNUMB_70" w:val="451"/>
    <w:docVar w:name="DQCNUMB_71" w:val="452"/>
    <w:docVar w:name="DQCNUMB_72" w:val="505"/>
    <w:docVar w:name="DQCNUMB_73" w:val="506"/>
    <w:docVar w:name="DQCNUMB_74" w:val="507"/>
    <w:docVar w:name="DQCNUMB_75" w:val="508"/>
    <w:docVar w:name="DQCNUMB_76" w:val="509"/>
    <w:docVar w:name="DQCNUMB_77" w:val="510"/>
    <w:docVar w:name="DQCNUMB_78" w:val="511"/>
    <w:docVar w:name="DQCNUMB_79" w:val="512"/>
    <w:docVar w:name="DQCNUMB_8" w:val="157"/>
    <w:docVar w:name="DQCNUMB_80" w:val="513"/>
    <w:docVar w:name="DQCNUMB_81" w:val="514"/>
    <w:docVar w:name="DQCNUMB_82" w:val="515"/>
    <w:docVar w:name="DQCNUMB_83" w:val="516"/>
    <w:docVar w:name="DQCNUMB_84" w:val="517"/>
    <w:docVar w:name="DQCNUMB_85" w:val="518"/>
    <w:docVar w:name="DQCNUMB_86" w:val="519"/>
    <w:docVar w:name="DQCNUMB_87" w:val="522"/>
    <w:docVar w:name="DQCNUMB_88" w:val="524"/>
    <w:docVar w:name="DQCNUMB_89" w:val="525"/>
    <w:docVar w:name="DQCNUMB_9" w:val="158"/>
    <w:docVar w:name="DQCNUMB_90" w:val="526"/>
    <w:docVar w:name="DQCNUMB_91" w:val="529"/>
    <w:docVar w:name="DQCNUMB_92" w:val="530"/>
    <w:docVar w:name="DQCNUMB_93" w:val="531"/>
    <w:docVar w:name="DQCNUMB_94" w:val="532"/>
    <w:docVar w:name="DQCNUMB_95" w:val="539"/>
    <w:docVar w:name="DQCNUMB_96" w:val="540"/>
    <w:docVar w:name="DQCNUMB_97" w:val="543"/>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20FEB315-299A-41E1-A227-E0CE6E1654A1"/>
    <w:docVar w:name="LW_COVERPAGE_TYPE" w:val="1"/>
    <w:docVar w:name="LW_CROSSREFERENCE" w:val="{SWD(2023) 58 final}"/>
    <w:docVar w:name="LW_DocType" w:val="COM"/>
    <w:docVar w:name="LW_EMISSION" w:val="14.3.2023"/>
    <w:docVar w:name="LW_EMISSION_ISODATE" w:val="2023-03-14"/>
    <w:docVar w:name="LW_EMISSION_LOCATION" w:val="STR"/>
    <w:docVar w:name="LW_EMISSION_PREFIX" w:val="Ve \u352?trasburku dne "/>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Text s významem pro EHP)"/>
    <w:docVar w:name="LW_LANGUE" w:val="CS"/>
    <w:docVar w:name="LW_LEVEL_OF_SENSITIVITY" w:val="Standard treatment"/>
    <w:docVar w:name="LW_NOM.INST" w:val="EVROPSKÁ KOMISE"/>
    <w:docVar w:name="LW_NOM.INST_JOINTDOC" w:val="&lt;EMPTY&gt;"/>
    <w:docVar w:name="LW_PART_NBR" w:val="1"/>
    <w:docVar w:name="LW_PART_NBR_TOTAL" w:val="1"/>
    <w:docVar w:name="LW_REF.II.NEW.CP" w:val="COD"/>
    <w:docVar w:name="LW_REF.II.NEW.CP_NUMBER" w:val="0077"/>
    <w:docVar w:name="LW_REF.II.NEW.CP_YEAR" w:val="2023"/>
    <w:docVar w:name="LW_REF.INST.NEW" w:val="COM"/>
    <w:docVar w:name="LW_REF.INST.NEW_ADOPTED" w:val="final"/>
    <w:docVar w:name="LW_REF.INST.NEW_TEXT" w:val="(2023) 14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Návrh"/>
    <w:docVar w:name="LW_SUPERTITRE" w:val="&lt;UNUSED&gt;"/>
    <w:docVar w:name="LW_TITRE.OBJ.CP" w:val="kterým se mění nařízení (EU) 2019/943 a (EU) 2019/942 a směrnice (EU) 2018/2001 a (EU) 2019/944 s cílem zlepšit uspořádání trhu Unie s elektřinou _x000b_ _x000b_"/>
    <w:docVar w:name="LW_TYPE.DOC.CP" w:val="NAŘÍZENÍ EVROPSKÉHO PARLAMENTU A RADY,"/>
    <w:docVar w:name="LwApiVersions" w:val="LW4CoDe 1.23.2.0; LW 8.0, Build 20211117"/>
  </w:docVars>
  <w:rsids>
    <w:rsidRoot w:val="4DD04759"/>
    <w:rsid w:val="00000218"/>
    <w:rsid w:val="00000783"/>
    <w:rsid w:val="000013D1"/>
    <w:rsid w:val="00002093"/>
    <w:rsid w:val="00002D1A"/>
    <w:rsid w:val="00003581"/>
    <w:rsid w:val="00003D76"/>
    <w:rsid w:val="0000481D"/>
    <w:rsid w:val="00005193"/>
    <w:rsid w:val="0000524F"/>
    <w:rsid w:val="000060D0"/>
    <w:rsid w:val="000064CA"/>
    <w:rsid w:val="000068F7"/>
    <w:rsid w:val="00007377"/>
    <w:rsid w:val="00007CCC"/>
    <w:rsid w:val="00007F7A"/>
    <w:rsid w:val="0000ED67"/>
    <w:rsid w:val="00010142"/>
    <w:rsid w:val="00010313"/>
    <w:rsid w:val="000107B5"/>
    <w:rsid w:val="00012A8B"/>
    <w:rsid w:val="000139B0"/>
    <w:rsid w:val="000142C4"/>
    <w:rsid w:val="000143E1"/>
    <w:rsid w:val="00015147"/>
    <w:rsid w:val="00015902"/>
    <w:rsid w:val="000160B0"/>
    <w:rsid w:val="000164E8"/>
    <w:rsid w:val="00016545"/>
    <w:rsid w:val="00016BDD"/>
    <w:rsid w:val="00021EFB"/>
    <w:rsid w:val="0002232C"/>
    <w:rsid w:val="00022D47"/>
    <w:rsid w:val="000240F9"/>
    <w:rsid w:val="000247D2"/>
    <w:rsid w:val="00025D38"/>
    <w:rsid w:val="00025F65"/>
    <w:rsid w:val="00026CFA"/>
    <w:rsid w:val="00026D80"/>
    <w:rsid w:val="0003151C"/>
    <w:rsid w:val="00031BB5"/>
    <w:rsid w:val="00032360"/>
    <w:rsid w:val="00032E1F"/>
    <w:rsid w:val="00032F8C"/>
    <w:rsid w:val="0003346B"/>
    <w:rsid w:val="00034554"/>
    <w:rsid w:val="00034D87"/>
    <w:rsid w:val="00034E69"/>
    <w:rsid w:val="00036664"/>
    <w:rsid w:val="00036707"/>
    <w:rsid w:val="00036855"/>
    <w:rsid w:val="00036CBA"/>
    <w:rsid w:val="0003738E"/>
    <w:rsid w:val="0004078F"/>
    <w:rsid w:val="0004118A"/>
    <w:rsid w:val="00041718"/>
    <w:rsid w:val="00043B49"/>
    <w:rsid w:val="00044349"/>
    <w:rsid w:val="00044B6F"/>
    <w:rsid w:val="00046902"/>
    <w:rsid w:val="00046B72"/>
    <w:rsid w:val="00051040"/>
    <w:rsid w:val="000528D0"/>
    <w:rsid w:val="000536DD"/>
    <w:rsid w:val="00054C2D"/>
    <w:rsid w:val="00055A61"/>
    <w:rsid w:val="00056293"/>
    <w:rsid w:val="00056422"/>
    <w:rsid w:val="00056C6C"/>
    <w:rsid w:val="00057F0B"/>
    <w:rsid w:val="00060D35"/>
    <w:rsid w:val="00062E37"/>
    <w:rsid w:val="00063478"/>
    <w:rsid w:val="000639CE"/>
    <w:rsid w:val="00063F55"/>
    <w:rsid w:val="0006407A"/>
    <w:rsid w:val="000648A6"/>
    <w:rsid w:val="00066A16"/>
    <w:rsid w:val="00066A30"/>
    <w:rsid w:val="00067274"/>
    <w:rsid w:val="00067996"/>
    <w:rsid w:val="00067BDC"/>
    <w:rsid w:val="00067EAF"/>
    <w:rsid w:val="0007006C"/>
    <w:rsid w:val="000702D1"/>
    <w:rsid w:val="0007070A"/>
    <w:rsid w:val="000728A8"/>
    <w:rsid w:val="0007292F"/>
    <w:rsid w:val="000736BF"/>
    <w:rsid w:val="00073703"/>
    <w:rsid w:val="00073C6A"/>
    <w:rsid w:val="00073FEF"/>
    <w:rsid w:val="00074409"/>
    <w:rsid w:val="000749FD"/>
    <w:rsid w:val="00074A08"/>
    <w:rsid w:val="00074CF9"/>
    <w:rsid w:val="00074DA4"/>
    <w:rsid w:val="000759E9"/>
    <w:rsid w:val="00075BF1"/>
    <w:rsid w:val="00076000"/>
    <w:rsid w:val="00076598"/>
    <w:rsid w:val="00076A3D"/>
    <w:rsid w:val="00076E80"/>
    <w:rsid w:val="0007753A"/>
    <w:rsid w:val="000778A6"/>
    <w:rsid w:val="00077CF2"/>
    <w:rsid w:val="00077D00"/>
    <w:rsid w:val="00079766"/>
    <w:rsid w:val="000800AB"/>
    <w:rsid w:val="00080294"/>
    <w:rsid w:val="00080357"/>
    <w:rsid w:val="00081514"/>
    <w:rsid w:val="00081C15"/>
    <w:rsid w:val="00081D52"/>
    <w:rsid w:val="00082901"/>
    <w:rsid w:val="00082D15"/>
    <w:rsid w:val="00085236"/>
    <w:rsid w:val="00085F17"/>
    <w:rsid w:val="0008687D"/>
    <w:rsid w:val="00087109"/>
    <w:rsid w:val="000873FE"/>
    <w:rsid w:val="00087680"/>
    <w:rsid w:val="00087C46"/>
    <w:rsid w:val="00090781"/>
    <w:rsid w:val="00090A34"/>
    <w:rsid w:val="00092296"/>
    <w:rsid w:val="00092BB2"/>
    <w:rsid w:val="00092E96"/>
    <w:rsid w:val="00093C0E"/>
    <w:rsid w:val="000949D2"/>
    <w:rsid w:val="00094A71"/>
    <w:rsid w:val="00095884"/>
    <w:rsid w:val="000961F0"/>
    <w:rsid w:val="000963CA"/>
    <w:rsid w:val="000969F5"/>
    <w:rsid w:val="00097226"/>
    <w:rsid w:val="000A0DE2"/>
    <w:rsid w:val="000A1020"/>
    <w:rsid w:val="000A1C32"/>
    <w:rsid w:val="000A1CAE"/>
    <w:rsid w:val="000A2695"/>
    <w:rsid w:val="000A2E12"/>
    <w:rsid w:val="000A3770"/>
    <w:rsid w:val="000A386A"/>
    <w:rsid w:val="000A38F5"/>
    <w:rsid w:val="000A3E47"/>
    <w:rsid w:val="000A42DC"/>
    <w:rsid w:val="000A4C72"/>
    <w:rsid w:val="000A6146"/>
    <w:rsid w:val="000A64CF"/>
    <w:rsid w:val="000A6C53"/>
    <w:rsid w:val="000A6F1C"/>
    <w:rsid w:val="000B0577"/>
    <w:rsid w:val="000B1399"/>
    <w:rsid w:val="000B1A65"/>
    <w:rsid w:val="000B2020"/>
    <w:rsid w:val="000B26EE"/>
    <w:rsid w:val="000B3276"/>
    <w:rsid w:val="000B3685"/>
    <w:rsid w:val="000B37BA"/>
    <w:rsid w:val="000B3FF5"/>
    <w:rsid w:val="000B40F9"/>
    <w:rsid w:val="000B48ED"/>
    <w:rsid w:val="000B4CF8"/>
    <w:rsid w:val="000B5253"/>
    <w:rsid w:val="000B5654"/>
    <w:rsid w:val="000B5666"/>
    <w:rsid w:val="000B5C58"/>
    <w:rsid w:val="000B6569"/>
    <w:rsid w:val="000B65EF"/>
    <w:rsid w:val="000B6A6F"/>
    <w:rsid w:val="000B6AFF"/>
    <w:rsid w:val="000B727C"/>
    <w:rsid w:val="000C07D4"/>
    <w:rsid w:val="000C0DF5"/>
    <w:rsid w:val="000C154E"/>
    <w:rsid w:val="000C328A"/>
    <w:rsid w:val="000C3ED4"/>
    <w:rsid w:val="000C49C5"/>
    <w:rsid w:val="000C58FB"/>
    <w:rsid w:val="000C5C9C"/>
    <w:rsid w:val="000C60E8"/>
    <w:rsid w:val="000C631D"/>
    <w:rsid w:val="000C6886"/>
    <w:rsid w:val="000C740A"/>
    <w:rsid w:val="000C7707"/>
    <w:rsid w:val="000C7CCB"/>
    <w:rsid w:val="000D0336"/>
    <w:rsid w:val="000D19E8"/>
    <w:rsid w:val="000D2728"/>
    <w:rsid w:val="000D2A6C"/>
    <w:rsid w:val="000D2C11"/>
    <w:rsid w:val="000D2FA5"/>
    <w:rsid w:val="000D300C"/>
    <w:rsid w:val="000D41AE"/>
    <w:rsid w:val="000D51F9"/>
    <w:rsid w:val="000D5D03"/>
    <w:rsid w:val="000D5E3F"/>
    <w:rsid w:val="000D5E57"/>
    <w:rsid w:val="000D69C3"/>
    <w:rsid w:val="000D6DDF"/>
    <w:rsid w:val="000D7CB7"/>
    <w:rsid w:val="000DBE01"/>
    <w:rsid w:val="000E05C0"/>
    <w:rsid w:val="000E093C"/>
    <w:rsid w:val="000E0C07"/>
    <w:rsid w:val="000E10FE"/>
    <w:rsid w:val="000E3DD0"/>
    <w:rsid w:val="000E413D"/>
    <w:rsid w:val="000E4785"/>
    <w:rsid w:val="000E520C"/>
    <w:rsid w:val="000E588D"/>
    <w:rsid w:val="000E6FF4"/>
    <w:rsid w:val="000E7E46"/>
    <w:rsid w:val="000F02D8"/>
    <w:rsid w:val="000F03B1"/>
    <w:rsid w:val="000F0E31"/>
    <w:rsid w:val="000F1055"/>
    <w:rsid w:val="000F1E5F"/>
    <w:rsid w:val="000F24C9"/>
    <w:rsid w:val="000F3484"/>
    <w:rsid w:val="000F356D"/>
    <w:rsid w:val="000F3A78"/>
    <w:rsid w:val="000F441E"/>
    <w:rsid w:val="000F464B"/>
    <w:rsid w:val="000F472D"/>
    <w:rsid w:val="000F5097"/>
    <w:rsid w:val="000F59BB"/>
    <w:rsid w:val="000F5B34"/>
    <w:rsid w:val="000F6DB3"/>
    <w:rsid w:val="000F7701"/>
    <w:rsid w:val="000FA983"/>
    <w:rsid w:val="00100002"/>
    <w:rsid w:val="00100397"/>
    <w:rsid w:val="001007A6"/>
    <w:rsid w:val="00100D90"/>
    <w:rsid w:val="001016DF"/>
    <w:rsid w:val="00101992"/>
    <w:rsid w:val="0010374A"/>
    <w:rsid w:val="00105386"/>
    <w:rsid w:val="00105397"/>
    <w:rsid w:val="001058CF"/>
    <w:rsid w:val="001065F5"/>
    <w:rsid w:val="0010696F"/>
    <w:rsid w:val="00106F5F"/>
    <w:rsid w:val="00107471"/>
    <w:rsid w:val="0010FA5C"/>
    <w:rsid w:val="00110498"/>
    <w:rsid w:val="00110A76"/>
    <w:rsid w:val="001110A4"/>
    <w:rsid w:val="00111C09"/>
    <w:rsid w:val="00111C39"/>
    <w:rsid w:val="00112A60"/>
    <w:rsid w:val="00112E51"/>
    <w:rsid w:val="001133D7"/>
    <w:rsid w:val="0011412C"/>
    <w:rsid w:val="0011455C"/>
    <w:rsid w:val="00115652"/>
    <w:rsid w:val="00115B01"/>
    <w:rsid w:val="00115CA1"/>
    <w:rsid w:val="0011722B"/>
    <w:rsid w:val="00117559"/>
    <w:rsid w:val="0011C6EF"/>
    <w:rsid w:val="0012054F"/>
    <w:rsid w:val="001209DC"/>
    <w:rsid w:val="00120B31"/>
    <w:rsid w:val="0012149D"/>
    <w:rsid w:val="00122033"/>
    <w:rsid w:val="0012227E"/>
    <w:rsid w:val="00122341"/>
    <w:rsid w:val="0012303C"/>
    <w:rsid w:val="001238EF"/>
    <w:rsid w:val="00124101"/>
    <w:rsid w:val="0012490D"/>
    <w:rsid w:val="00124A1E"/>
    <w:rsid w:val="0012783C"/>
    <w:rsid w:val="00127EB1"/>
    <w:rsid w:val="0012A676"/>
    <w:rsid w:val="0013102E"/>
    <w:rsid w:val="00131345"/>
    <w:rsid w:val="001314CA"/>
    <w:rsid w:val="001317BA"/>
    <w:rsid w:val="00131D41"/>
    <w:rsid w:val="00131FD9"/>
    <w:rsid w:val="00132FBE"/>
    <w:rsid w:val="00133142"/>
    <w:rsid w:val="00133BDA"/>
    <w:rsid w:val="00134534"/>
    <w:rsid w:val="001348E4"/>
    <w:rsid w:val="0013530C"/>
    <w:rsid w:val="00135D40"/>
    <w:rsid w:val="00135DCE"/>
    <w:rsid w:val="00136BD5"/>
    <w:rsid w:val="0013745F"/>
    <w:rsid w:val="0013751E"/>
    <w:rsid w:val="0013786D"/>
    <w:rsid w:val="0013798A"/>
    <w:rsid w:val="00140474"/>
    <w:rsid w:val="00140A34"/>
    <w:rsid w:val="0014119A"/>
    <w:rsid w:val="00141CF9"/>
    <w:rsid w:val="001422CC"/>
    <w:rsid w:val="00142F94"/>
    <w:rsid w:val="001454BE"/>
    <w:rsid w:val="00145905"/>
    <w:rsid w:val="00145A4E"/>
    <w:rsid w:val="001464B6"/>
    <w:rsid w:val="001471BE"/>
    <w:rsid w:val="00147E5F"/>
    <w:rsid w:val="00147F0C"/>
    <w:rsid w:val="00150372"/>
    <w:rsid w:val="00150A94"/>
    <w:rsid w:val="00151086"/>
    <w:rsid w:val="001514FB"/>
    <w:rsid w:val="00151A70"/>
    <w:rsid w:val="00151BFD"/>
    <w:rsid w:val="00151D28"/>
    <w:rsid w:val="0015222D"/>
    <w:rsid w:val="00152829"/>
    <w:rsid w:val="0015304F"/>
    <w:rsid w:val="0015332C"/>
    <w:rsid w:val="001533E6"/>
    <w:rsid w:val="00153C59"/>
    <w:rsid w:val="0015413B"/>
    <w:rsid w:val="00154251"/>
    <w:rsid w:val="0015504A"/>
    <w:rsid w:val="00155622"/>
    <w:rsid w:val="001607EC"/>
    <w:rsid w:val="00160D71"/>
    <w:rsid w:val="00161019"/>
    <w:rsid w:val="00161749"/>
    <w:rsid w:val="00161DF2"/>
    <w:rsid w:val="0016205E"/>
    <w:rsid w:val="001626C7"/>
    <w:rsid w:val="00162F43"/>
    <w:rsid w:val="001641DD"/>
    <w:rsid w:val="00164364"/>
    <w:rsid w:val="00164BA1"/>
    <w:rsid w:val="00164C59"/>
    <w:rsid w:val="00164D51"/>
    <w:rsid w:val="00165F39"/>
    <w:rsid w:val="0016627B"/>
    <w:rsid w:val="001666C9"/>
    <w:rsid w:val="0016728B"/>
    <w:rsid w:val="00167562"/>
    <w:rsid w:val="001675C6"/>
    <w:rsid w:val="0016FD49"/>
    <w:rsid w:val="001701BD"/>
    <w:rsid w:val="00170F44"/>
    <w:rsid w:val="001712FA"/>
    <w:rsid w:val="001716E5"/>
    <w:rsid w:val="0017178C"/>
    <w:rsid w:val="00172AEE"/>
    <w:rsid w:val="00172EFF"/>
    <w:rsid w:val="00172F8E"/>
    <w:rsid w:val="0017306E"/>
    <w:rsid w:val="001734D4"/>
    <w:rsid w:val="001735DE"/>
    <w:rsid w:val="00173AFB"/>
    <w:rsid w:val="00173D26"/>
    <w:rsid w:val="00174662"/>
    <w:rsid w:val="00174BCC"/>
    <w:rsid w:val="00174C47"/>
    <w:rsid w:val="00175312"/>
    <w:rsid w:val="001757FB"/>
    <w:rsid w:val="00176C12"/>
    <w:rsid w:val="0017744E"/>
    <w:rsid w:val="00177990"/>
    <w:rsid w:val="00177C35"/>
    <w:rsid w:val="00177D78"/>
    <w:rsid w:val="00180520"/>
    <w:rsid w:val="0018080F"/>
    <w:rsid w:val="00180C12"/>
    <w:rsid w:val="00180D6D"/>
    <w:rsid w:val="00181623"/>
    <w:rsid w:val="00181B9A"/>
    <w:rsid w:val="00181E4E"/>
    <w:rsid w:val="001824BB"/>
    <w:rsid w:val="00182A62"/>
    <w:rsid w:val="00183172"/>
    <w:rsid w:val="001833F7"/>
    <w:rsid w:val="00184824"/>
    <w:rsid w:val="0018533E"/>
    <w:rsid w:val="00185FD6"/>
    <w:rsid w:val="00186F73"/>
    <w:rsid w:val="00187DB6"/>
    <w:rsid w:val="00187E16"/>
    <w:rsid w:val="00190B70"/>
    <w:rsid w:val="00192219"/>
    <w:rsid w:val="001926CC"/>
    <w:rsid w:val="001928B8"/>
    <w:rsid w:val="00192A1C"/>
    <w:rsid w:val="00192DB4"/>
    <w:rsid w:val="0019326E"/>
    <w:rsid w:val="00193E17"/>
    <w:rsid w:val="0019418F"/>
    <w:rsid w:val="00195FFB"/>
    <w:rsid w:val="00196544"/>
    <w:rsid w:val="00196CC6"/>
    <w:rsid w:val="00197613"/>
    <w:rsid w:val="001A0814"/>
    <w:rsid w:val="001A2BDC"/>
    <w:rsid w:val="001A3210"/>
    <w:rsid w:val="001A34B8"/>
    <w:rsid w:val="001A4005"/>
    <w:rsid w:val="001A5308"/>
    <w:rsid w:val="001A59ED"/>
    <w:rsid w:val="001A5CCF"/>
    <w:rsid w:val="001A6588"/>
    <w:rsid w:val="001A6EE3"/>
    <w:rsid w:val="001A7850"/>
    <w:rsid w:val="001A7887"/>
    <w:rsid w:val="001B1861"/>
    <w:rsid w:val="001B19A4"/>
    <w:rsid w:val="001B1C11"/>
    <w:rsid w:val="001B1FDC"/>
    <w:rsid w:val="001B326E"/>
    <w:rsid w:val="001B33E9"/>
    <w:rsid w:val="001B341A"/>
    <w:rsid w:val="001B37C2"/>
    <w:rsid w:val="001B3998"/>
    <w:rsid w:val="001B56A9"/>
    <w:rsid w:val="001B57BA"/>
    <w:rsid w:val="001B6372"/>
    <w:rsid w:val="001B6466"/>
    <w:rsid w:val="001B6ADD"/>
    <w:rsid w:val="001B71E7"/>
    <w:rsid w:val="001C0675"/>
    <w:rsid w:val="001C072E"/>
    <w:rsid w:val="001C1875"/>
    <w:rsid w:val="001C2F83"/>
    <w:rsid w:val="001C30D5"/>
    <w:rsid w:val="001C3772"/>
    <w:rsid w:val="001C41F3"/>
    <w:rsid w:val="001C45CA"/>
    <w:rsid w:val="001C4D3C"/>
    <w:rsid w:val="001C5703"/>
    <w:rsid w:val="001C58B2"/>
    <w:rsid w:val="001C59BD"/>
    <w:rsid w:val="001C6886"/>
    <w:rsid w:val="001C6EB8"/>
    <w:rsid w:val="001C7127"/>
    <w:rsid w:val="001C7706"/>
    <w:rsid w:val="001C77CB"/>
    <w:rsid w:val="001C92CB"/>
    <w:rsid w:val="001D07A2"/>
    <w:rsid w:val="001D0B88"/>
    <w:rsid w:val="001D1D8F"/>
    <w:rsid w:val="001D1DD5"/>
    <w:rsid w:val="001D2787"/>
    <w:rsid w:val="001D340C"/>
    <w:rsid w:val="001D36CE"/>
    <w:rsid w:val="001D3731"/>
    <w:rsid w:val="001D418B"/>
    <w:rsid w:val="001D45C6"/>
    <w:rsid w:val="001D49B0"/>
    <w:rsid w:val="001D5295"/>
    <w:rsid w:val="001D5D0E"/>
    <w:rsid w:val="001D6133"/>
    <w:rsid w:val="001D685F"/>
    <w:rsid w:val="001D704B"/>
    <w:rsid w:val="001D75DE"/>
    <w:rsid w:val="001E1F76"/>
    <w:rsid w:val="001E2BCA"/>
    <w:rsid w:val="001E3010"/>
    <w:rsid w:val="001E3084"/>
    <w:rsid w:val="001E33AE"/>
    <w:rsid w:val="001E3713"/>
    <w:rsid w:val="001E3889"/>
    <w:rsid w:val="001E427A"/>
    <w:rsid w:val="001E4A43"/>
    <w:rsid w:val="001E4EC0"/>
    <w:rsid w:val="001E548C"/>
    <w:rsid w:val="001E5DD8"/>
    <w:rsid w:val="001E643F"/>
    <w:rsid w:val="001E6B87"/>
    <w:rsid w:val="001E6F48"/>
    <w:rsid w:val="001E74D4"/>
    <w:rsid w:val="001E7853"/>
    <w:rsid w:val="001E7948"/>
    <w:rsid w:val="001E7E61"/>
    <w:rsid w:val="001F0DD0"/>
    <w:rsid w:val="001F0E5C"/>
    <w:rsid w:val="001F10C2"/>
    <w:rsid w:val="001F1511"/>
    <w:rsid w:val="001F1987"/>
    <w:rsid w:val="001F385B"/>
    <w:rsid w:val="001F3EDC"/>
    <w:rsid w:val="001F53A2"/>
    <w:rsid w:val="001F6782"/>
    <w:rsid w:val="001F687E"/>
    <w:rsid w:val="001F6D8C"/>
    <w:rsid w:val="001F75B1"/>
    <w:rsid w:val="001F79AD"/>
    <w:rsid w:val="0020025C"/>
    <w:rsid w:val="00200BF1"/>
    <w:rsid w:val="00200BFF"/>
    <w:rsid w:val="00200E15"/>
    <w:rsid w:val="0020121F"/>
    <w:rsid w:val="00201991"/>
    <w:rsid w:val="002021A5"/>
    <w:rsid w:val="002025DA"/>
    <w:rsid w:val="0020273A"/>
    <w:rsid w:val="00203334"/>
    <w:rsid w:val="002036C6"/>
    <w:rsid w:val="00204D79"/>
    <w:rsid w:val="00204EFA"/>
    <w:rsid w:val="00205097"/>
    <w:rsid w:val="00205DB4"/>
    <w:rsid w:val="00205E1C"/>
    <w:rsid w:val="00205EB1"/>
    <w:rsid w:val="00206230"/>
    <w:rsid w:val="00206D70"/>
    <w:rsid w:val="0020720C"/>
    <w:rsid w:val="002078FA"/>
    <w:rsid w:val="00207B25"/>
    <w:rsid w:val="00210E81"/>
    <w:rsid w:val="0021161C"/>
    <w:rsid w:val="0021171C"/>
    <w:rsid w:val="00211730"/>
    <w:rsid w:val="002119EE"/>
    <w:rsid w:val="00211F5D"/>
    <w:rsid w:val="00212520"/>
    <w:rsid w:val="002125D1"/>
    <w:rsid w:val="00212FE2"/>
    <w:rsid w:val="0021376C"/>
    <w:rsid w:val="00213F58"/>
    <w:rsid w:val="00214310"/>
    <w:rsid w:val="00214371"/>
    <w:rsid w:val="00214E42"/>
    <w:rsid w:val="0021527D"/>
    <w:rsid w:val="0021636B"/>
    <w:rsid w:val="002164C7"/>
    <w:rsid w:val="002166F8"/>
    <w:rsid w:val="00220399"/>
    <w:rsid w:val="0022163C"/>
    <w:rsid w:val="002216DE"/>
    <w:rsid w:val="0022237A"/>
    <w:rsid w:val="0022258F"/>
    <w:rsid w:val="002229B4"/>
    <w:rsid w:val="0022324C"/>
    <w:rsid w:val="0022392D"/>
    <w:rsid w:val="00223B1C"/>
    <w:rsid w:val="00223FC3"/>
    <w:rsid w:val="00226AAF"/>
    <w:rsid w:val="00226CE0"/>
    <w:rsid w:val="002279E7"/>
    <w:rsid w:val="00227AC6"/>
    <w:rsid w:val="00227B41"/>
    <w:rsid w:val="00227C97"/>
    <w:rsid w:val="002300D8"/>
    <w:rsid w:val="00230271"/>
    <w:rsid w:val="00232027"/>
    <w:rsid w:val="00232725"/>
    <w:rsid w:val="002327E5"/>
    <w:rsid w:val="00232918"/>
    <w:rsid w:val="00232F82"/>
    <w:rsid w:val="002336DB"/>
    <w:rsid w:val="002337B8"/>
    <w:rsid w:val="002339ED"/>
    <w:rsid w:val="00233DC7"/>
    <w:rsid w:val="00234ACA"/>
    <w:rsid w:val="00234D17"/>
    <w:rsid w:val="0023677C"/>
    <w:rsid w:val="0023723D"/>
    <w:rsid w:val="002372FA"/>
    <w:rsid w:val="002443DF"/>
    <w:rsid w:val="002448BA"/>
    <w:rsid w:val="00244DE1"/>
    <w:rsid w:val="002452F1"/>
    <w:rsid w:val="00245606"/>
    <w:rsid w:val="00246532"/>
    <w:rsid w:val="00246C2E"/>
    <w:rsid w:val="00247779"/>
    <w:rsid w:val="00247A31"/>
    <w:rsid w:val="00249541"/>
    <w:rsid w:val="00250BEB"/>
    <w:rsid w:val="00250E26"/>
    <w:rsid w:val="002520FE"/>
    <w:rsid w:val="002527AB"/>
    <w:rsid w:val="00253162"/>
    <w:rsid w:val="0025323A"/>
    <w:rsid w:val="0025415F"/>
    <w:rsid w:val="00254ED9"/>
    <w:rsid w:val="00255451"/>
    <w:rsid w:val="00255FBD"/>
    <w:rsid w:val="002561DD"/>
    <w:rsid w:val="0025768B"/>
    <w:rsid w:val="00257973"/>
    <w:rsid w:val="00257B00"/>
    <w:rsid w:val="00260304"/>
    <w:rsid w:val="00260336"/>
    <w:rsid w:val="002606A2"/>
    <w:rsid w:val="00260C36"/>
    <w:rsid w:val="0026168F"/>
    <w:rsid w:val="002622EC"/>
    <w:rsid w:val="00263A04"/>
    <w:rsid w:val="00263C83"/>
    <w:rsid w:val="0026406F"/>
    <w:rsid w:val="002640FD"/>
    <w:rsid w:val="002643CF"/>
    <w:rsid w:val="00264552"/>
    <w:rsid w:val="00265677"/>
    <w:rsid w:val="00266941"/>
    <w:rsid w:val="00266CEC"/>
    <w:rsid w:val="00267484"/>
    <w:rsid w:val="00267C0F"/>
    <w:rsid w:val="002701B1"/>
    <w:rsid w:val="002702A9"/>
    <w:rsid w:val="00270898"/>
    <w:rsid w:val="0027094B"/>
    <w:rsid w:val="00270AFA"/>
    <w:rsid w:val="00271131"/>
    <w:rsid w:val="00271625"/>
    <w:rsid w:val="00271796"/>
    <w:rsid w:val="00271BC1"/>
    <w:rsid w:val="00271D91"/>
    <w:rsid w:val="002721AE"/>
    <w:rsid w:val="0027244A"/>
    <w:rsid w:val="00272A2D"/>
    <w:rsid w:val="00272A3F"/>
    <w:rsid w:val="002744A4"/>
    <w:rsid w:val="00274659"/>
    <w:rsid w:val="00274E51"/>
    <w:rsid w:val="00275022"/>
    <w:rsid w:val="00276439"/>
    <w:rsid w:val="002764CC"/>
    <w:rsid w:val="00276A2C"/>
    <w:rsid w:val="00277A7B"/>
    <w:rsid w:val="0028015E"/>
    <w:rsid w:val="002805A0"/>
    <w:rsid w:val="00280658"/>
    <w:rsid w:val="00280756"/>
    <w:rsid w:val="00280890"/>
    <w:rsid w:val="00280EB3"/>
    <w:rsid w:val="00281A1E"/>
    <w:rsid w:val="002823CC"/>
    <w:rsid w:val="00282FC7"/>
    <w:rsid w:val="002831C8"/>
    <w:rsid w:val="00283582"/>
    <w:rsid w:val="00283A10"/>
    <w:rsid w:val="00283B19"/>
    <w:rsid w:val="00285BEE"/>
    <w:rsid w:val="00285FCA"/>
    <w:rsid w:val="00286368"/>
    <w:rsid w:val="002869BF"/>
    <w:rsid w:val="00286F7B"/>
    <w:rsid w:val="002874A5"/>
    <w:rsid w:val="00287A18"/>
    <w:rsid w:val="002901B4"/>
    <w:rsid w:val="00290424"/>
    <w:rsid w:val="00290F11"/>
    <w:rsid w:val="002913CA"/>
    <w:rsid w:val="00292D00"/>
    <w:rsid w:val="00292DE2"/>
    <w:rsid w:val="0029496A"/>
    <w:rsid w:val="00294D3D"/>
    <w:rsid w:val="0029533F"/>
    <w:rsid w:val="00296527"/>
    <w:rsid w:val="00297761"/>
    <w:rsid w:val="00297CEC"/>
    <w:rsid w:val="0029F1B9"/>
    <w:rsid w:val="002A0021"/>
    <w:rsid w:val="002A0403"/>
    <w:rsid w:val="002A0556"/>
    <w:rsid w:val="002A0CCB"/>
    <w:rsid w:val="002A1C41"/>
    <w:rsid w:val="002A1F2A"/>
    <w:rsid w:val="002A2005"/>
    <w:rsid w:val="002A3F89"/>
    <w:rsid w:val="002A5660"/>
    <w:rsid w:val="002A58B9"/>
    <w:rsid w:val="002A6107"/>
    <w:rsid w:val="002A6C49"/>
    <w:rsid w:val="002A7AC6"/>
    <w:rsid w:val="002AF1E1"/>
    <w:rsid w:val="002B07E5"/>
    <w:rsid w:val="002B0A1E"/>
    <w:rsid w:val="002B0D27"/>
    <w:rsid w:val="002B281D"/>
    <w:rsid w:val="002B30AF"/>
    <w:rsid w:val="002B37EF"/>
    <w:rsid w:val="002B395B"/>
    <w:rsid w:val="002B3ED6"/>
    <w:rsid w:val="002B4328"/>
    <w:rsid w:val="002B454E"/>
    <w:rsid w:val="002B470C"/>
    <w:rsid w:val="002B49EB"/>
    <w:rsid w:val="002B4D9A"/>
    <w:rsid w:val="002B5834"/>
    <w:rsid w:val="002B5BC9"/>
    <w:rsid w:val="002B7272"/>
    <w:rsid w:val="002C039F"/>
    <w:rsid w:val="002C093F"/>
    <w:rsid w:val="002C0BB0"/>
    <w:rsid w:val="002C0F2F"/>
    <w:rsid w:val="002C17D2"/>
    <w:rsid w:val="002C1AA0"/>
    <w:rsid w:val="002C33A5"/>
    <w:rsid w:val="002C3EC7"/>
    <w:rsid w:val="002C3F72"/>
    <w:rsid w:val="002C4B3E"/>
    <w:rsid w:val="002C5659"/>
    <w:rsid w:val="002C6AC1"/>
    <w:rsid w:val="002C6DCA"/>
    <w:rsid w:val="002C7F3E"/>
    <w:rsid w:val="002D024B"/>
    <w:rsid w:val="002D19E9"/>
    <w:rsid w:val="002D1C0D"/>
    <w:rsid w:val="002D2023"/>
    <w:rsid w:val="002D2926"/>
    <w:rsid w:val="002D2E60"/>
    <w:rsid w:val="002D31E0"/>
    <w:rsid w:val="002D3960"/>
    <w:rsid w:val="002D56CF"/>
    <w:rsid w:val="002D6960"/>
    <w:rsid w:val="002D6AB6"/>
    <w:rsid w:val="002D7776"/>
    <w:rsid w:val="002D7798"/>
    <w:rsid w:val="002D7E2E"/>
    <w:rsid w:val="002DEB29"/>
    <w:rsid w:val="002E0955"/>
    <w:rsid w:val="002E118B"/>
    <w:rsid w:val="002E1590"/>
    <w:rsid w:val="002E1ACB"/>
    <w:rsid w:val="002E275D"/>
    <w:rsid w:val="002E2E5E"/>
    <w:rsid w:val="002E6963"/>
    <w:rsid w:val="002E6CE9"/>
    <w:rsid w:val="002E6ED6"/>
    <w:rsid w:val="002E7997"/>
    <w:rsid w:val="002E9227"/>
    <w:rsid w:val="002EC58B"/>
    <w:rsid w:val="002ED22A"/>
    <w:rsid w:val="002F2267"/>
    <w:rsid w:val="002F2E07"/>
    <w:rsid w:val="002F2F08"/>
    <w:rsid w:val="002F3818"/>
    <w:rsid w:val="002F3B8A"/>
    <w:rsid w:val="002F4181"/>
    <w:rsid w:val="002F4595"/>
    <w:rsid w:val="002F4A71"/>
    <w:rsid w:val="002F5F02"/>
    <w:rsid w:val="002F62FA"/>
    <w:rsid w:val="002F64C5"/>
    <w:rsid w:val="002F6C76"/>
    <w:rsid w:val="002F72EB"/>
    <w:rsid w:val="002F7EA4"/>
    <w:rsid w:val="002FE325"/>
    <w:rsid w:val="00300736"/>
    <w:rsid w:val="00300A66"/>
    <w:rsid w:val="00300D28"/>
    <w:rsid w:val="00300D4D"/>
    <w:rsid w:val="003015B3"/>
    <w:rsid w:val="003019E8"/>
    <w:rsid w:val="0030267A"/>
    <w:rsid w:val="003039B2"/>
    <w:rsid w:val="00306988"/>
    <w:rsid w:val="00307858"/>
    <w:rsid w:val="0030791A"/>
    <w:rsid w:val="00307C84"/>
    <w:rsid w:val="00307EB2"/>
    <w:rsid w:val="0031061C"/>
    <w:rsid w:val="00310A90"/>
    <w:rsid w:val="00310AE5"/>
    <w:rsid w:val="003110BB"/>
    <w:rsid w:val="00311758"/>
    <w:rsid w:val="00312134"/>
    <w:rsid w:val="003123A0"/>
    <w:rsid w:val="003128AB"/>
    <w:rsid w:val="00312BAF"/>
    <w:rsid w:val="00312BCA"/>
    <w:rsid w:val="00312C2B"/>
    <w:rsid w:val="00314763"/>
    <w:rsid w:val="0031496A"/>
    <w:rsid w:val="00314D9E"/>
    <w:rsid w:val="00315111"/>
    <w:rsid w:val="00316DA6"/>
    <w:rsid w:val="00317B9A"/>
    <w:rsid w:val="0031D866"/>
    <w:rsid w:val="003202EB"/>
    <w:rsid w:val="00321457"/>
    <w:rsid w:val="0032228A"/>
    <w:rsid w:val="0032379F"/>
    <w:rsid w:val="003238E0"/>
    <w:rsid w:val="003242FF"/>
    <w:rsid w:val="00324922"/>
    <w:rsid w:val="00325BC5"/>
    <w:rsid w:val="003267A6"/>
    <w:rsid w:val="003275FC"/>
    <w:rsid w:val="00327D74"/>
    <w:rsid w:val="0032A901"/>
    <w:rsid w:val="00330D05"/>
    <w:rsid w:val="00330F74"/>
    <w:rsid w:val="003311DD"/>
    <w:rsid w:val="003315A0"/>
    <w:rsid w:val="00331ACD"/>
    <w:rsid w:val="00331E57"/>
    <w:rsid w:val="003327AE"/>
    <w:rsid w:val="0033344A"/>
    <w:rsid w:val="00334085"/>
    <w:rsid w:val="00334B5A"/>
    <w:rsid w:val="00334DED"/>
    <w:rsid w:val="00335887"/>
    <w:rsid w:val="003360F8"/>
    <w:rsid w:val="00337665"/>
    <w:rsid w:val="00337C2D"/>
    <w:rsid w:val="00340294"/>
    <w:rsid w:val="003403B6"/>
    <w:rsid w:val="00340532"/>
    <w:rsid w:val="00340674"/>
    <w:rsid w:val="00340CC4"/>
    <w:rsid w:val="00340FB3"/>
    <w:rsid w:val="0034121B"/>
    <w:rsid w:val="00341FE4"/>
    <w:rsid w:val="0034214B"/>
    <w:rsid w:val="00342951"/>
    <w:rsid w:val="00342C86"/>
    <w:rsid w:val="00343CC5"/>
    <w:rsid w:val="00343D84"/>
    <w:rsid w:val="00344521"/>
    <w:rsid w:val="00344D2C"/>
    <w:rsid w:val="00345E38"/>
    <w:rsid w:val="00346629"/>
    <w:rsid w:val="003466BB"/>
    <w:rsid w:val="0034EFC9"/>
    <w:rsid w:val="0035008F"/>
    <w:rsid w:val="0035025A"/>
    <w:rsid w:val="003507B1"/>
    <w:rsid w:val="00350F85"/>
    <w:rsid w:val="00352318"/>
    <w:rsid w:val="00352D1F"/>
    <w:rsid w:val="003536CC"/>
    <w:rsid w:val="00353D78"/>
    <w:rsid w:val="003553E0"/>
    <w:rsid w:val="00355AE5"/>
    <w:rsid w:val="0035656F"/>
    <w:rsid w:val="003571A4"/>
    <w:rsid w:val="00357856"/>
    <w:rsid w:val="00357927"/>
    <w:rsid w:val="00357989"/>
    <w:rsid w:val="00357CA9"/>
    <w:rsid w:val="00357FE1"/>
    <w:rsid w:val="0035F9BE"/>
    <w:rsid w:val="00360DF6"/>
    <w:rsid w:val="003612C4"/>
    <w:rsid w:val="003615BD"/>
    <w:rsid w:val="00361D89"/>
    <w:rsid w:val="00362131"/>
    <w:rsid w:val="00364864"/>
    <w:rsid w:val="0036561F"/>
    <w:rsid w:val="00365902"/>
    <w:rsid w:val="003660C4"/>
    <w:rsid w:val="00366E26"/>
    <w:rsid w:val="0036E27C"/>
    <w:rsid w:val="003701A9"/>
    <w:rsid w:val="00370784"/>
    <w:rsid w:val="00371BC7"/>
    <w:rsid w:val="00371E98"/>
    <w:rsid w:val="00372B95"/>
    <w:rsid w:val="00372B97"/>
    <w:rsid w:val="00372F7A"/>
    <w:rsid w:val="003746EE"/>
    <w:rsid w:val="003758AC"/>
    <w:rsid w:val="00375B7F"/>
    <w:rsid w:val="003763AF"/>
    <w:rsid w:val="00377221"/>
    <w:rsid w:val="0037743A"/>
    <w:rsid w:val="00377561"/>
    <w:rsid w:val="003776F0"/>
    <w:rsid w:val="00377811"/>
    <w:rsid w:val="00377D51"/>
    <w:rsid w:val="00378958"/>
    <w:rsid w:val="0037AEAD"/>
    <w:rsid w:val="003801D3"/>
    <w:rsid w:val="003807F1"/>
    <w:rsid w:val="00381657"/>
    <w:rsid w:val="0038186E"/>
    <w:rsid w:val="003843D6"/>
    <w:rsid w:val="0038474B"/>
    <w:rsid w:val="00384AA6"/>
    <w:rsid w:val="003859FE"/>
    <w:rsid w:val="00385ADD"/>
    <w:rsid w:val="00386D32"/>
    <w:rsid w:val="00387075"/>
    <w:rsid w:val="003874D3"/>
    <w:rsid w:val="00387E52"/>
    <w:rsid w:val="00390439"/>
    <w:rsid w:val="0039060E"/>
    <w:rsid w:val="00390CF8"/>
    <w:rsid w:val="003911F3"/>
    <w:rsid w:val="003917AA"/>
    <w:rsid w:val="00391B12"/>
    <w:rsid w:val="00391E7E"/>
    <w:rsid w:val="00391E89"/>
    <w:rsid w:val="00392774"/>
    <w:rsid w:val="003929D1"/>
    <w:rsid w:val="00392AFA"/>
    <w:rsid w:val="003947BA"/>
    <w:rsid w:val="00394F45"/>
    <w:rsid w:val="00395F8E"/>
    <w:rsid w:val="00396126"/>
    <w:rsid w:val="0039672E"/>
    <w:rsid w:val="00396734"/>
    <w:rsid w:val="00396873"/>
    <w:rsid w:val="003A0B10"/>
    <w:rsid w:val="003A0B78"/>
    <w:rsid w:val="003A2C88"/>
    <w:rsid w:val="003A304A"/>
    <w:rsid w:val="003A4426"/>
    <w:rsid w:val="003A465A"/>
    <w:rsid w:val="003A563F"/>
    <w:rsid w:val="003A5E79"/>
    <w:rsid w:val="003A6826"/>
    <w:rsid w:val="003A6E9E"/>
    <w:rsid w:val="003A75B1"/>
    <w:rsid w:val="003A766E"/>
    <w:rsid w:val="003B0523"/>
    <w:rsid w:val="003B05D6"/>
    <w:rsid w:val="003B0976"/>
    <w:rsid w:val="003B2733"/>
    <w:rsid w:val="003B2D67"/>
    <w:rsid w:val="003B31A2"/>
    <w:rsid w:val="003B42FF"/>
    <w:rsid w:val="003B592C"/>
    <w:rsid w:val="003B5F6F"/>
    <w:rsid w:val="003B6276"/>
    <w:rsid w:val="003B6643"/>
    <w:rsid w:val="003B69A9"/>
    <w:rsid w:val="003B7961"/>
    <w:rsid w:val="003B7BBE"/>
    <w:rsid w:val="003B91A4"/>
    <w:rsid w:val="003C0386"/>
    <w:rsid w:val="003C0803"/>
    <w:rsid w:val="003C0D22"/>
    <w:rsid w:val="003C217F"/>
    <w:rsid w:val="003C241B"/>
    <w:rsid w:val="003C32E8"/>
    <w:rsid w:val="003C3A8E"/>
    <w:rsid w:val="003C3B53"/>
    <w:rsid w:val="003C49FE"/>
    <w:rsid w:val="003C4BB9"/>
    <w:rsid w:val="003C63C8"/>
    <w:rsid w:val="003C6809"/>
    <w:rsid w:val="003C6825"/>
    <w:rsid w:val="003C7185"/>
    <w:rsid w:val="003C730F"/>
    <w:rsid w:val="003C7566"/>
    <w:rsid w:val="003C7768"/>
    <w:rsid w:val="003C7915"/>
    <w:rsid w:val="003D020F"/>
    <w:rsid w:val="003D0784"/>
    <w:rsid w:val="003D091C"/>
    <w:rsid w:val="003D0C8D"/>
    <w:rsid w:val="003D1202"/>
    <w:rsid w:val="003D17D4"/>
    <w:rsid w:val="003D1AA0"/>
    <w:rsid w:val="003D1D4D"/>
    <w:rsid w:val="003D213D"/>
    <w:rsid w:val="003D2A6B"/>
    <w:rsid w:val="003D30F2"/>
    <w:rsid w:val="003D350C"/>
    <w:rsid w:val="003D374F"/>
    <w:rsid w:val="003D3842"/>
    <w:rsid w:val="003D3B64"/>
    <w:rsid w:val="003D4406"/>
    <w:rsid w:val="003D4F10"/>
    <w:rsid w:val="003D4F24"/>
    <w:rsid w:val="003D50E5"/>
    <w:rsid w:val="003D5311"/>
    <w:rsid w:val="003D673D"/>
    <w:rsid w:val="003D6CED"/>
    <w:rsid w:val="003D6F46"/>
    <w:rsid w:val="003D7490"/>
    <w:rsid w:val="003D75B6"/>
    <w:rsid w:val="003D7F8F"/>
    <w:rsid w:val="003DC5CC"/>
    <w:rsid w:val="003DF5EF"/>
    <w:rsid w:val="003E022B"/>
    <w:rsid w:val="003E1396"/>
    <w:rsid w:val="003E1872"/>
    <w:rsid w:val="003E2931"/>
    <w:rsid w:val="003E32A8"/>
    <w:rsid w:val="003E3ABE"/>
    <w:rsid w:val="003E3F17"/>
    <w:rsid w:val="003E41DC"/>
    <w:rsid w:val="003E4500"/>
    <w:rsid w:val="003E455A"/>
    <w:rsid w:val="003E498D"/>
    <w:rsid w:val="003E5AB2"/>
    <w:rsid w:val="003E610E"/>
    <w:rsid w:val="003E691C"/>
    <w:rsid w:val="003F0186"/>
    <w:rsid w:val="003F01E8"/>
    <w:rsid w:val="003F08BD"/>
    <w:rsid w:val="003F0B91"/>
    <w:rsid w:val="003F0E4C"/>
    <w:rsid w:val="003F150D"/>
    <w:rsid w:val="003F17FB"/>
    <w:rsid w:val="003F23E8"/>
    <w:rsid w:val="003F2B42"/>
    <w:rsid w:val="003F2D95"/>
    <w:rsid w:val="003F3D1D"/>
    <w:rsid w:val="003F4402"/>
    <w:rsid w:val="003F4C27"/>
    <w:rsid w:val="003F5913"/>
    <w:rsid w:val="003F5A7D"/>
    <w:rsid w:val="003F5C6A"/>
    <w:rsid w:val="003F6D4D"/>
    <w:rsid w:val="003F7022"/>
    <w:rsid w:val="003F7AD0"/>
    <w:rsid w:val="00400033"/>
    <w:rsid w:val="004008AE"/>
    <w:rsid w:val="00400A76"/>
    <w:rsid w:val="00400DE9"/>
    <w:rsid w:val="00400F0B"/>
    <w:rsid w:val="00401AF6"/>
    <w:rsid w:val="00401E0D"/>
    <w:rsid w:val="00401E4E"/>
    <w:rsid w:val="00401FD0"/>
    <w:rsid w:val="00402699"/>
    <w:rsid w:val="004029C4"/>
    <w:rsid w:val="00403C73"/>
    <w:rsid w:val="00404B9F"/>
    <w:rsid w:val="00404C7E"/>
    <w:rsid w:val="00405272"/>
    <w:rsid w:val="00405A1F"/>
    <w:rsid w:val="00407F84"/>
    <w:rsid w:val="00410698"/>
    <w:rsid w:val="00410912"/>
    <w:rsid w:val="00410E0C"/>
    <w:rsid w:val="00411928"/>
    <w:rsid w:val="00411B4A"/>
    <w:rsid w:val="00412693"/>
    <w:rsid w:val="00413AED"/>
    <w:rsid w:val="00413E99"/>
    <w:rsid w:val="004145D5"/>
    <w:rsid w:val="00414CD3"/>
    <w:rsid w:val="004157AF"/>
    <w:rsid w:val="004159A8"/>
    <w:rsid w:val="00415D58"/>
    <w:rsid w:val="004171AC"/>
    <w:rsid w:val="004174A9"/>
    <w:rsid w:val="00417A1A"/>
    <w:rsid w:val="00417D15"/>
    <w:rsid w:val="00417E91"/>
    <w:rsid w:val="0041CDAF"/>
    <w:rsid w:val="004213F7"/>
    <w:rsid w:val="00421B9E"/>
    <w:rsid w:val="00421C21"/>
    <w:rsid w:val="00422D70"/>
    <w:rsid w:val="00423DA3"/>
    <w:rsid w:val="00424000"/>
    <w:rsid w:val="004244A4"/>
    <w:rsid w:val="0042473B"/>
    <w:rsid w:val="00424EBA"/>
    <w:rsid w:val="00425334"/>
    <w:rsid w:val="004253BF"/>
    <w:rsid w:val="004254FE"/>
    <w:rsid w:val="0042648E"/>
    <w:rsid w:val="004264A3"/>
    <w:rsid w:val="00426853"/>
    <w:rsid w:val="00426F5C"/>
    <w:rsid w:val="0042703F"/>
    <w:rsid w:val="00427719"/>
    <w:rsid w:val="00430668"/>
    <w:rsid w:val="00430830"/>
    <w:rsid w:val="004308A5"/>
    <w:rsid w:val="00431052"/>
    <w:rsid w:val="00431AA9"/>
    <w:rsid w:val="00431D20"/>
    <w:rsid w:val="00431E61"/>
    <w:rsid w:val="00432B07"/>
    <w:rsid w:val="00433750"/>
    <w:rsid w:val="00433C99"/>
    <w:rsid w:val="0043539B"/>
    <w:rsid w:val="00435A4C"/>
    <w:rsid w:val="00435B4E"/>
    <w:rsid w:val="004361D1"/>
    <w:rsid w:val="00436643"/>
    <w:rsid w:val="00436F76"/>
    <w:rsid w:val="0043712C"/>
    <w:rsid w:val="00437C32"/>
    <w:rsid w:val="00440059"/>
    <w:rsid w:val="00440B4E"/>
    <w:rsid w:val="00440BCB"/>
    <w:rsid w:val="0044103B"/>
    <w:rsid w:val="00442C0B"/>
    <w:rsid w:val="00443A9E"/>
    <w:rsid w:val="00445044"/>
    <w:rsid w:val="004450B3"/>
    <w:rsid w:val="0044530A"/>
    <w:rsid w:val="00445B7F"/>
    <w:rsid w:val="0044667B"/>
    <w:rsid w:val="00447241"/>
    <w:rsid w:val="0044EA3E"/>
    <w:rsid w:val="004509C0"/>
    <w:rsid w:val="0045100D"/>
    <w:rsid w:val="0045150F"/>
    <w:rsid w:val="00451872"/>
    <w:rsid w:val="00451AEF"/>
    <w:rsid w:val="00451D87"/>
    <w:rsid w:val="00451FE6"/>
    <w:rsid w:val="00452138"/>
    <w:rsid w:val="00452B93"/>
    <w:rsid w:val="004533DA"/>
    <w:rsid w:val="00454CB9"/>
    <w:rsid w:val="00454DCD"/>
    <w:rsid w:val="0045571A"/>
    <w:rsid w:val="00456818"/>
    <w:rsid w:val="0046153B"/>
    <w:rsid w:val="00461DC7"/>
    <w:rsid w:val="00462524"/>
    <w:rsid w:val="00462AAA"/>
    <w:rsid w:val="00462E19"/>
    <w:rsid w:val="0046307B"/>
    <w:rsid w:val="004632F2"/>
    <w:rsid w:val="00463547"/>
    <w:rsid w:val="00464A24"/>
    <w:rsid w:val="00465082"/>
    <w:rsid w:val="0046511C"/>
    <w:rsid w:val="00465E42"/>
    <w:rsid w:val="0046605E"/>
    <w:rsid w:val="004661AE"/>
    <w:rsid w:val="00467510"/>
    <w:rsid w:val="00467B5F"/>
    <w:rsid w:val="0047004C"/>
    <w:rsid w:val="0047044F"/>
    <w:rsid w:val="00471DC3"/>
    <w:rsid w:val="00472A1A"/>
    <w:rsid w:val="00472A8D"/>
    <w:rsid w:val="00472D9B"/>
    <w:rsid w:val="00473002"/>
    <w:rsid w:val="0047322D"/>
    <w:rsid w:val="004732B5"/>
    <w:rsid w:val="00473DDD"/>
    <w:rsid w:val="0047437D"/>
    <w:rsid w:val="004743A9"/>
    <w:rsid w:val="004749BA"/>
    <w:rsid w:val="00474CBE"/>
    <w:rsid w:val="00475131"/>
    <w:rsid w:val="004757A6"/>
    <w:rsid w:val="004759CC"/>
    <w:rsid w:val="004762A4"/>
    <w:rsid w:val="00477261"/>
    <w:rsid w:val="00477686"/>
    <w:rsid w:val="00477952"/>
    <w:rsid w:val="004779C7"/>
    <w:rsid w:val="00480046"/>
    <w:rsid w:val="00480095"/>
    <w:rsid w:val="004807A8"/>
    <w:rsid w:val="004817F7"/>
    <w:rsid w:val="00482230"/>
    <w:rsid w:val="00482DA6"/>
    <w:rsid w:val="00482E27"/>
    <w:rsid w:val="00483264"/>
    <w:rsid w:val="00484BCB"/>
    <w:rsid w:val="0048566C"/>
    <w:rsid w:val="00485731"/>
    <w:rsid w:val="00485B2E"/>
    <w:rsid w:val="00486438"/>
    <w:rsid w:val="004869B3"/>
    <w:rsid w:val="00487439"/>
    <w:rsid w:val="0048CA0D"/>
    <w:rsid w:val="0048DBEF"/>
    <w:rsid w:val="0049036F"/>
    <w:rsid w:val="0049086D"/>
    <w:rsid w:val="004918E1"/>
    <w:rsid w:val="0049203B"/>
    <w:rsid w:val="004936D2"/>
    <w:rsid w:val="00493DD8"/>
    <w:rsid w:val="00494072"/>
    <w:rsid w:val="004940BE"/>
    <w:rsid w:val="004948B9"/>
    <w:rsid w:val="00494CBD"/>
    <w:rsid w:val="00494DF4"/>
    <w:rsid w:val="004954B7"/>
    <w:rsid w:val="00495C2F"/>
    <w:rsid w:val="00495D42"/>
    <w:rsid w:val="00496AED"/>
    <w:rsid w:val="00496BB2"/>
    <w:rsid w:val="00496EF8"/>
    <w:rsid w:val="00497890"/>
    <w:rsid w:val="004979B9"/>
    <w:rsid w:val="00497C64"/>
    <w:rsid w:val="00497E3B"/>
    <w:rsid w:val="004A024D"/>
    <w:rsid w:val="004A0BE6"/>
    <w:rsid w:val="004A239A"/>
    <w:rsid w:val="004A2BD2"/>
    <w:rsid w:val="004A2CCA"/>
    <w:rsid w:val="004A3944"/>
    <w:rsid w:val="004A402B"/>
    <w:rsid w:val="004A4E04"/>
    <w:rsid w:val="004A506D"/>
    <w:rsid w:val="004A5310"/>
    <w:rsid w:val="004A662A"/>
    <w:rsid w:val="004A68D2"/>
    <w:rsid w:val="004A6CBE"/>
    <w:rsid w:val="004B0A20"/>
    <w:rsid w:val="004B115F"/>
    <w:rsid w:val="004B284F"/>
    <w:rsid w:val="004B3520"/>
    <w:rsid w:val="004B3DE0"/>
    <w:rsid w:val="004B3EF5"/>
    <w:rsid w:val="004B3F61"/>
    <w:rsid w:val="004B68DC"/>
    <w:rsid w:val="004B76BF"/>
    <w:rsid w:val="004C13DB"/>
    <w:rsid w:val="004C254E"/>
    <w:rsid w:val="004C3E2D"/>
    <w:rsid w:val="004C408D"/>
    <w:rsid w:val="004C4155"/>
    <w:rsid w:val="004C453E"/>
    <w:rsid w:val="004C46EA"/>
    <w:rsid w:val="004C4D02"/>
    <w:rsid w:val="004C5A8C"/>
    <w:rsid w:val="004C64F4"/>
    <w:rsid w:val="004C6EEA"/>
    <w:rsid w:val="004C75A8"/>
    <w:rsid w:val="004D02B9"/>
    <w:rsid w:val="004D0C8F"/>
    <w:rsid w:val="004D1025"/>
    <w:rsid w:val="004D2B4A"/>
    <w:rsid w:val="004D2C4D"/>
    <w:rsid w:val="004D423F"/>
    <w:rsid w:val="004D4777"/>
    <w:rsid w:val="004D52BE"/>
    <w:rsid w:val="004D53DE"/>
    <w:rsid w:val="004D6018"/>
    <w:rsid w:val="004D6C1B"/>
    <w:rsid w:val="004D7B93"/>
    <w:rsid w:val="004E02A2"/>
    <w:rsid w:val="004E04C1"/>
    <w:rsid w:val="004E053D"/>
    <w:rsid w:val="004E0D2B"/>
    <w:rsid w:val="004E0F64"/>
    <w:rsid w:val="004E175E"/>
    <w:rsid w:val="004E2E19"/>
    <w:rsid w:val="004E2EB8"/>
    <w:rsid w:val="004E32EA"/>
    <w:rsid w:val="004E3425"/>
    <w:rsid w:val="004E37B1"/>
    <w:rsid w:val="004E3954"/>
    <w:rsid w:val="004E4EDA"/>
    <w:rsid w:val="004E56D3"/>
    <w:rsid w:val="004E5F81"/>
    <w:rsid w:val="004E5FA8"/>
    <w:rsid w:val="004E64DB"/>
    <w:rsid w:val="004E6B6A"/>
    <w:rsid w:val="004E6BA5"/>
    <w:rsid w:val="004E716E"/>
    <w:rsid w:val="004E796A"/>
    <w:rsid w:val="004ED6E6"/>
    <w:rsid w:val="004F05E4"/>
    <w:rsid w:val="004F0BB3"/>
    <w:rsid w:val="004F0BFF"/>
    <w:rsid w:val="004F0F6D"/>
    <w:rsid w:val="004F1EB5"/>
    <w:rsid w:val="004F240C"/>
    <w:rsid w:val="004F3776"/>
    <w:rsid w:val="004F38A4"/>
    <w:rsid w:val="004F6893"/>
    <w:rsid w:val="004F6AB3"/>
    <w:rsid w:val="004F7242"/>
    <w:rsid w:val="004F744F"/>
    <w:rsid w:val="004F7B3F"/>
    <w:rsid w:val="00500177"/>
    <w:rsid w:val="005002EE"/>
    <w:rsid w:val="0050064E"/>
    <w:rsid w:val="005013A8"/>
    <w:rsid w:val="00501713"/>
    <w:rsid w:val="0050191A"/>
    <w:rsid w:val="0050192F"/>
    <w:rsid w:val="005022DD"/>
    <w:rsid w:val="00502490"/>
    <w:rsid w:val="00503765"/>
    <w:rsid w:val="00503F6B"/>
    <w:rsid w:val="005052D6"/>
    <w:rsid w:val="00505428"/>
    <w:rsid w:val="0050584D"/>
    <w:rsid w:val="00505ABE"/>
    <w:rsid w:val="00506638"/>
    <w:rsid w:val="00506A30"/>
    <w:rsid w:val="005075A1"/>
    <w:rsid w:val="0050779E"/>
    <w:rsid w:val="005078E1"/>
    <w:rsid w:val="005112AD"/>
    <w:rsid w:val="00511755"/>
    <w:rsid w:val="005123A3"/>
    <w:rsid w:val="00512A49"/>
    <w:rsid w:val="00513090"/>
    <w:rsid w:val="005133D9"/>
    <w:rsid w:val="00513FD2"/>
    <w:rsid w:val="00514022"/>
    <w:rsid w:val="005144ED"/>
    <w:rsid w:val="00515405"/>
    <w:rsid w:val="00517791"/>
    <w:rsid w:val="00518D7F"/>
    <w:rsid w:val="0052072F"/>
    <w:rsid w:val="00521088"/>
    <w:rsid w:val="005219B6"/>
    <w:rsid w:val="00521E09"/>
    <w:rsid w:val="005221BB"/>
    <w:rsid w:val="00522462"/>
    <w:rsid w:val="0052261E"/>
    <w:rsid w:val="0052302C"/>
    <w:rsid w:val="00523651"/>
    <w:rsid w:val="005236DC"/>
    <w:rsid w:val="0052446C"/>
    <w:rsid w:val="00524CDF"/>
    <w:rsid w:val="0052513A"/>
    <w:rsid w:val="0052546C"/>
    <w:rsid w:val="005257AB"/>
    <w:rsid w:val="0052691E"/>
    <w:rsid w:val="00526AAE"/>
    <w:rsid w:val="005309D9"/>
    <w:rsid w:val="00530D23"/>
    <w:rsid w:val="00531097"/>
    <w:rsid w:val="0053121E"/>
    <w:rsid w:val="005329B5"/>
    <w:rsid w:val="00532DCC"/>
    <w:rsid w:val="00533102"/>
    <w:rsid w:val="00533D57"/>
    <w:rsid w:val="00534A8E"/>
    <w:rsid w:val="00535E23"/>
    <w:rsid w:val="005373BC"/>
    <w:rsid w:val="0053773F"/>
    <w:rsid w:val="0053B802"/>
    <w:rsid w:val="0053FDBA"/>
    <w:rsid w:val="00540839"/>
    <w:rsid w:val="00540FA6"/>
    <w:rsid w:val="005414E6"/>
    <w:rsid w:val="00541DF8"/>
    <w:rsid w:val="005421AD"/>
    <w:rsid w:val="00542DC0"/>
    <w:rsid w:val="00542E46"/>
    <w:rsid w:val="00543583"/>
    <w:rsid w:val="005437A8"/>
    <w:rsid w:val="00543C51"/>
    <w:rsid w:val="00543D60"/>
    <w:rsid w:val="0054411E"/>
    <w:rsid w:val="0054464B"/>
    <w:rsid w:val="00545934"/>
    <w:rsid w:val="0054632D"/>
    <w:rsid w:val="00546F78"/>
    <w:rsid w:val="0054748F"/>
    <w:rsid w:val="00547C06"/>
    <w:rsid w:val="00547C45"/>
    <w:rsid w:val="00547C72"/>
    <w:rsid w:val="005500AB"/>
    <w:rsid w:val="00550815"/>
    <w:rsid w:val="00550F65"/>
    <w:rsid w:val="0055248B"/>
    <w:rsid w:val="00552D91"/>
    <w:rsid w:val="00553410"/>
    <w:rsid w:val="0055365B"/>
    <w:rsid w:val="005550C9"/>
    <w:rsid w:val="00555459"/>
    <w:rsid w:val="005554FC"/>
    <w:rsid w:val="00555CB3"/>
    <w:rsid w:val="00555F15"/>
    <w:rsid w:val="00555F71"/>
    <w:rsid w:val="00557487"/>
    <w:rsid w:val="005575AE"/>
    <w:rsid w:val="00557A0F"/>
    <w:rsid w:val="005602E5"/>
    <w:rsid w:val="0056196E"/>
    <w:rsid w:val="00561A63"/>
    <w:rsid w:val="00561EB8"/>
    <w:rsid w:val="00562C15"/>
    <w:rsid w:val="00562F2A"/>
    <w:rsid w:val="00563435"/>
    <w:rsid w:val="00563CB0"/>
    <w:rsid w:val="00564A64"/>
    <w:rsid w:val="00564AA8"/>
    <w:rsid w:val="00565456"/>
    <w:rsid w:val="00565890"/>
    <w:rsid w:val="00565C89"/>
    <w:rsid w:val="00565C96"/>
    <w:rsid w:val="005666D5"/>
    <w:rsid w:val="0056683F"/>
    <w:rsid w:val="0056A7D7"/>
    <w:rsid w:val="0057115A"/>
    <w:rsid w:val="00571975"/>
    <w:rsid w:val="00571AE9"/>
    <w:rsid w:val="00571F00"/>
    <w:rsid w:val="0057291D"/>
    <w:rsid w:val="00572939"/>
    <w:rsid w:val="00572C96"/>
    <w:rsid w:val="00572DF7"/>
    <w:rsid w:val="00573193"/>
    <w:rsid w:val="005735D7"/>
    <w:rsid w:val="00573914"/>
    <w:rsid w:val="00573C07"/>
    <w:rsid w:val="00574012"/>
    <w:rsid w:val="0057431D"/>
    <w:rsid w:val="00574A33"/>
    <w:rsid w:val="00574DF8"/>
    <w:rsid w:val="00575643"/>
    <w:rsid w:val="00576039"/>
    <w:rsid w:val="00576350"/>
    <w:rsid w:val="00576E16"/>
    <w:rsid w:val="00577D1D"/>
    <w:rsid w:val="0057E6D4"/>
    <w:rsid w:val="0058038B"/>
    <w:rsid w:val="005806C5"/>
    <w:rsid w:val="0058079E"/>
    <w:rsid w:val="0058121B"/>
    <w:rsid w:val="0058179F"/>
    <w:rsid w:val="0058198A"/>
    <w:rsid w:val="00582873"/>
    <w:rsid w:val="005835BA"/>
    <w:rsid w:val="0058385F"/>
    <w:rsid w:val="00583E37"/>
    <w:rsid w:val="00584AFD"/>
    <w:rsid w:val="00585081"/>
    <w:rsid w:val="005861F4"/>
    <w:rsid w:val="00586799"/>
    <w:rsid w:val="0058780A"/>
    <w:rsid w:val="00590CB4"/>
    <w:rsid w:val="00590E83"/>
    <w:rsid w:val="00591614"/>
    <w:rsid w:val="00591A3C"/>
    <w:rsid w:val="00592B79"/>
    <w:rsid w:val="00593BC3"/>
    <w:rsid w:val="00593C4E"/>
    <w:rsid w:val="00593F15"/>
    <w:rsid w:val="00594A7A"/>
    <w:rsid w:val="0059539C"/>
    <w:rsid w:val="00595E7A"/>
    <w:rsid w:val="005965F8"/>
    <w:rsid w:val="00596776"/>
    <w:rsid w:val="00596C90"/>
    <w:rsid w:val="00597D39"/>
    <w:rsid w:val="005A0A4E"/>
    <w:rsid w:val="005A24A4"/>
    <w:rsid w:val="005A2921"/>
    <w:rsid w:val="005A3143"/>
    <w:rsid w:val="005A3C2D"/>
    <w:rsid w:val="005A438F"/>
    <w:rsid w:val="005A5638"/>
    <w:rsid w:val="005A58A0"/>
    <w:rsid w:val="005A68AF"/>
    <w:rsid w:val="005B1EB6"/>
    <w:rsid w:val="005B206F"/>
    <w:rsid w:val="005B219B"/>
    <w:rsid w:val="005B2F55"/>
    <w:rsid w:val="005B322F"/>
    <w:rsid w:val="005B3C65"/>
    <w:rsid w:val="005B3E4B"/>
    <w:rsid w:val="005B3EEA"/>
    <w:rsid w:val="005B45F6"/>
    <w:rsid w:val="005B49F1"/>
    <w:rsid w:val="005B5115"/>
    <w:rsid w:val="005B57D0"/>
    <w:rsid w:val="005C0274"/>
    <w:rsid w:val="005C1920"/>
    <w:rsid w:val="005C1FF7"/>
    <w:rsid w:val="005C2159"/>
    <w:rsid w:val="005C2827"/>
    <w:rsid w:val="005C2D40"/>
    <w:rsid w:val="005C3415"/>
    <w:rsid w:val="005C382A"/>
    <w:rsid w:val="005C475A"/>
    <w:rsid w:val="005C4DD5"/>
    <w:rsid w:val="005C5537"/>
    <w:rsid w:val="005C56AC"/>
    <w:rsid w:val="005C5DFE"/>
    <w:rsid w:val="005C5FFD"/>
    <w:rsid w:val="005C6984"/>
    <w:rsid w:val="005C7610"/>
    <w:rsid w:val="005C7B82"/>
    <w:rsid w:val="005C7FFB"/>
    <w:rsid w:val="005C818D"/>
    <w:rsid w:val="005D22E8"/>
    <w:rsid w:val="005D2E13"/>
    <w:rsid w:val="005D2FCB"/>
    <w:rsid w:val="005D2FCC"/>
    <w:rsid w:val="005D32C8"/>
    <w:rsid w:val="005D4B63"/>
    <w:rsid w:val="005D4DC9"/>
    <w:rsid w:val="005D50A1"/>
    <w:rsid w:val="005D5E5B"/>
    <w:rsid w:val="005D65ED"/>
    <w:rsid w:val="005D707E"/>
    <w:rsid w:val="005D7E7C"/>
    <w:rsid w:val="005E07C5"/>
    <w:rsid w:val="005E153E"/>
    <w:rsid w:val="005E1D3D"/>
    <w:rsid w:val="005E1DC3"/>
    <w:rsid w:val="005E29A5"/>
    <w:rsid w:val="005E34F8"/>
    <w:rsid w:val="005E3524"/>
    <w:rsid w:val="005E3C43"/>
    <w:rsid w:val="005E4A07"/>
    <w:rsid w:val="005E51C7"/>
    <w:rsid w:val="005E5C74"/>
    <w:rsid w:val="005E5D4F"/>
    <w:rsid w:val="005E61D2"/>
    <w:rsid w:val="005E7B04"/>
    <w:rsid w:val="005EB10D"/>
    <w:rsid w:val="005F06F1"/>
    <w:rsid w:val="005F0A83"/>
    <w:rsid w:val="005F18BF"/>
    <w:rsid w:val="005F2973"/>
    <w:rsid w:val="005F3DAD"/>
    <w:rsid w:val="005F425B"/>
    <w:rsid w:val="005F4B9C"/>
    <w:rsid w:val="005F575E"/>
    <w:rsid w:val="005F58CF"/>
    <w:rsid w:val="005F6650"/>
    <w:rsid w:val="005F754A"/>
    <w:rsid w:val="005F7FD1"/>
    <w:rsid w:val="005F86C7"/>
    <w:rsid w:val="00600BD8"/>
    <w:rsid w:val="00601905"/>
    <w:rsid w:val="006023A4"/>
    <w:rsid w:val="00602629"/>
    <w:rsid w:val="006029B5"/>
    <w:rsid w:val="00603C2C"/>
    <w:rsid w:val="00604A77"/>
    <w:rsid w:val="006055E1"/>
    <w:rsid w:val="00606822"/>
    <w:rsid w:val="00606A16"/>
    <w:rsid w:val="006074E4"/>
    <w:rsid w:val="00607D23"/>
    <w:rsid w:val="006120F4"/>
    <w:rsid w:val="006121B8"/>
    <w:rsid w:val="00614520"/>
    <w:rsid w:val="00614855"/>
    <w:rsid w:val="006153CD"/>
    <w:rsid w:val="00616369"/>
    <w:rsid w:val="00616AF9"/>
    <w:rsid w:val="00616C99"/>
    <w:rsid w:val="00617CCA"/>
    <w:rsid w:val="00617F0D"/>
    <w:rsid w:val="006204BE"/>
    <w:rsid w:val="0062274B"/>
    <w:rsid w:val="006227CC"/>
    <w:rsid w:val="006230CB"/>
    <w:rsid w:val="006237A7"/>
    <w:rsid w:val="006239CE"/>
    <w:rsid w:val="00623D2C"/>
    <w:rsid w:val="00624710"/>
    <w:rsid w:val="0062472D"/>
    <w:rsid w:val="0062512B"/>
    <w:rsid w:val="0062596E"/>
    <w:rsid w:val="00625FBA"/>
    <w:rsid w:val="00626094"/>
    <w:rsid w:val="0062674B"/>
    <w:rsid w:val="006268E8"/>
    <w:rsid w:val="00626FAC"/>
    <w:rsid w:val="0062771F"/>
    <w:rsid w:val="00627B28"/>
    <w:rsid w:val="00627C47"/>
    <w:rsid w:val="006304EE"/>
    <w:rsid w:val="00630A39"/>
    <w:rsid w:val="00632294"/>
    <w:rsid w:val="006322CC"/>
    <w:rsid w:val="00632506"/>
    <w:rsid w:val="00632967"/>
    <w:rsid w:val="00632C2F"/>
    <w:rsid w:val="00633857"/>
    <w:rsid w:val="00633C37"/>
    <w:rsid w:val="00634427"/>
    <w:rsid w:val="006345CA"/>
    <w:rsid w:val="00635598"/>
    <w:rsid w:val="00636BF3"/>
    <w:rsid w:val="00636D7D"/>
    <w:rsid w:val="00637943"/>
    <w:rsid w:val="00637D61"/>
    <w:rsid w:val="006409C9"/>
    <w:rsid w:val="006417F0"/>
    <w:rsid w:val="006420EE"/>
    <w:rsid w:val="00642165"/>
    <w:rsid w:val="0064263D"/>
    <w:rsid w:val="006439D6"/>
    <w:rsid w:val="00643A14"/>
    <w:rsid w:val="00643A41"/>
    <w:rsid w:val="00643F36"/>
    <w:rsid w:val="00644853"/>
    <w:rsid w:val="00644BCC"/>
    <w:rsid w:val="00644CB3"/>
    <w:rsid w:val="006450B8"/>
    <w:rsid w:val="00645C12"/>
    <w:rsid w:val="0064628E"/>
    <w:rsid w:val="00646C3E"/>
    <w:rsid w:val="00646E12"/>
    <w:rsid w:val="00647359"/>
    <w:rsid w:val="00647648"/>
    <w:rsid w:val="006479C2"/>
    <w:rsid w:val="0064E22A"/>
    <w:rsid w:val="006500A4"/>
    <w:rsid w:val="00650DD2"/>
    <w:rsid w:val="00651610"/>
    <w:rsid w:val="00652729"/>
    <w:rsid w:val="0065277E"/>
    <w:rsid w:val="00652BDF"/>
    <w:rsid w:val="00653A80"/>
    <w:rsid w:val="00653B41"/>
    <w:rsid w:val="00653BDA"/>
    <w:rsid w:val="00653F41"/>
    <w:rsid w:val="00654DDC"/>
    <w:rsid w:val="006551BD"/>
    <w:rsid w:val="0065523F"/>
    <w:rsid w:val="0065538C"/>
    <w:rsid w:val="00655957"/>
    <w:rsid w:val="00655994"/>
    <w:rsid w:val="00655A2A"/>
    <w:rsid w:val="00656CCB"/>
    <w:rsid w:val="00657412"/>
    <w:rsid w:val="006575BD"/>
    <w:rsid w:val="00657645"/>
    <w:rsid w:val="00657830"/>
    <w:rsid w:val="00657E3E"/>
    <w:rsid w:val="00657F22"/>
    <w:rsid w:val="006605B9"/>
    <w:rsid w:val="00660C14"/>
    <w:rsid w:val="0066224D"/>
    <w:rsid w:val="00662D13"/>
    <w:rsid w:val="00662DCA"/>
    <w:rsid w:val="0066379A"/>
    <w:rsid w:val="00663998"/>
    <w:rsid w:val="006639FC"/>
    <w:rsid w:val="00664244"/>
    <w:rsid w:val="006653B1"/>
    <w:rsid w:val="006654B4"/>
    <w:rsid w:val="00665AA1"/>
    <w:rsid w:val="00665E2B"/>
    <w:rsid w:val="00666173"/>
    <w:rsid w:val="0066652C"/>
    <w:rsid w:val="00666978"/>
    <w:rsid w:val="00667098"/>
    <w:rsid w:val="00667462"/>
    <w:rsid w:val="00671D98"/>
    <w:rsid w:val="0067270D"/>
    <w:rsid w:val="00672CC7"/>
    <w:rsid w:val="00674C0E"/>
    <w:rsid w:val="0067596E"/>
    <w:rsid w:val="00675989"/>
    <w:rsid w:val="00675D53"/>
    <w:rsid w:val="00676BFD"/>
    <w:rsid w:val="00677055"/>
    <w:rsid w:val="00677DA9"/>
    <w:rsid w:val="00677F16"/>
    <w:rsid w:val="0067A138"/>
    <w:rsid w:val="0068044B"/>
    <w:rsid w:val="006808A3"/>
    <w:rsid w:val="00681F5C"/>
    <w:rsid w:val="0068252E"/>
    <w:rsid w:val="00682634"/>
    <w:rsid w:val="00683543"/>
    <w:rsid w:val="006835FF"/>
    <w:rsid w:val="0068458F"/>
    <w:rsid w:val="006845DF"/>
    <w:rsid w:val="00684C55"/>
    <w:rsid w:val="006869EA"/>
    <w:rsid w:val="00687567"/>
    <w:rsid w:val="00690694"/>
    <w:rsid w:val="00690B57"/>
    <w:rsid w:val="006916D2"/>
    <w:rsid w:val="00691775"/>
    <w:rsid w:val="00692AE9"/>
    <w:rsid w:val="00692FF4"/>
    <w:rsid w:val="00693692"/>
    <w:rsid w:val="00694527"/>
    <w:rsid w:val="0069476A"/>
    <w:rsid w:val="006948EA"/>
    <w:rsid w:val="00694B9E"/>
    <w:rsid w:val="0069547E"/>
    <w:rsid w:val="006968DA"/>
    <w:rsid w:val="00696BF0"/>
    <w:rsid w:val="006976DD"/>
    <w:rsid w:val="006978FD"/>
    <w:rsid w:val="006A0B65"/>
    <w:rsid w:val="006A1317"/>
    <w:rsid w:val="006A172A"/>
    <w:rsid w:val="006A196F"/>
    <w:rsid w:val="006A1DE0"/>
    <w:rsid w:val="006A2FB5"/>
    <w:rsid w:val="006A362A"/>
    <w:rsid w:val="006A3C51"/>
    <w:rsid w:val="006A3F98"/>
    <w:rsid w:val="006A4AEE"/>
    <w:rsid w:val="006A53AA"/>
    <w:rsid w:val="006A5418"/>
    <w:rsid w:val="006A65E8"/>
    <w:rsid w:val="006A6835"/>
    <w:rsid w:val="006A760A"/>
    <w:rsid w:val="006A7B1B"/>
    <w:rsid w:val="006AD96E"/>
    <w:rsid w:val="006B0207"/>
    <w:rsid w:val="006B099E"/>
    <w:rsid w:val="006B0E96"/>
    <w:rsid w:val="006B0EBC"/>
    <w:rsid w:val="006B2568"/>
    <w:rsid w:val="006B29B3"/>
    <w:rsid w:val="006B3DB5"/>
    <w:rsid w:val="006B46F8"/>
    <w:rsid w:val="006B4C80"/>
    <w:rsid w:val="006B4FFF"/>
    <w:rsid w:val="006B57CC"/>
    <w:rsid w:val="006B5BA4"/>
    <w:rsid w:val="006B5D60"/>
    <w:rsid w:val="006B688E"/>
    <w:rsid w:val="006B6A66"/>
    <w:rsid w:val="006B71BA"/>
    <w:rsid w:val="006B7F4A"/>
    <w:rsid w:val="006B948D"/>
    <w:rsid w:val="006C05DA"/>
    <w:rsid w:val="006C0BC1"/>
    <w:rsid w:val="006C0EE8"/>
    <w:rsid w:val="006C1425"/>
    <w:rsid w:val="006C3EDA"/>
    <w:rsid w:val="006C44A0"/>
    <w:rsid w:val="006C54F9"/>
    <w:rsid w:val="006C63F5"/>
    <w:rsid w:val="006C6691"/>
    <w:rsid w:val="006C6C28"/>
    <w:rsid w:val="006D0695"/>
    <w:rsid w:val="006D0901"/>
    <w:rsid w:val="006D0E0A"/>
    <w:rsid w:val="006D11F2"/>
    <w:rsid w:val="006D18A2"/>
    <w:rsid w:val="006D18FA"/>
    <w:rsid w:val="006D1A64"/>
    <w:rsid w:val="006D24EF"/>
    <w:rsid w:val="006D25AF"/>
    <w:rsid w:val="006D27F0"/>
    <w:rsid w:val="006D28F6"/>
    <w:rsid w:val="006D2F96"/>
    <w:rsid w:val="006D334E"/>
    <w:rsid w:val="006D35AB"/>
    <w:rsid w:val="006D3DA4"/>
    <w:rsid w:val="006D4218"/>
    <w:rsid w:val="006D4E9F"/>
    <w:rsid w:val="006D532A"/>
    <w:rsid w:val="006D5501"/>
    <w:rsid w:val="006D59D2"/>
    <w:rsid w:val="006D61C5"/>
    <w:rsid w:val="006D667A"/>
    <w:rsid w:val="006D6F7E"/>
    <w:rsid w:val="006D74A2"/>
    <w:rsid w:val="006D7DC3"/>
    <w:rsid w:val="006E00D3"/>
    <w:rsid w:val="006E0389"/>
    <w:rsid w:val="006E0F60"/>
    <w:rsid w:val="006E1132"/>
    <w:rsid w:val="006E1426"/>
    <w:rsid w:val="006E15E3"/>
    <w:rsid w:val="006E1DAC"/>
    <w:rsid w:val="006E1EB0"/>
    <w:rsid w:val="006E2148"/>
    <w:rsid w:val="006E3A00"/>
    <w:rsid w:val="006E3D08"/>
    <w:rsid w:val="006E3D59"/>
    <w:rsid w:val="006E4BCA"/>
    <w:rsid w:val="006E526B"/>
    <w:rsid w:val="006E5719"/>
    <w:rsid w:val="006E574C"/>
    <w:rsid w:val="006E62FB"/>
    <w:rsid w:val="006E6643"/>
    <w:rsid w:val="006E69A6"/>
    <w:rsid w:val="006E7568"/>
    <w:rsid w:val="006E7A51"/>
    <w:rsid w:val="006E7B61"/>
    <w:rsid w:val="006F0B6E"/>
    <w:rsid w:val="006F128C"/>
    <w:rsid w:val="006F25F5"/>
    <w:rsid w:val="006F2E2D"/>
    <w:rsid w:val="006F357A"/>
    <w:rsid w:val="006F402E"/>
    <w:rsid w:val="006F4192"/>
    <w:rsid w:val="006F4448"/>
    <w:rsid w:val="006F49F1"/>
    <w:rsid w:val="006F5642"/>
    <w:rsid w:val="006F62AC"/>
    <w:rsid w:val="006F6742"/>
    <w:rsid w:val="0070085D"/>
    <w:rsid w:val="007008EF"/>
    <w:rsid w:val="0070123B"/>
    <w:rsid w:val="007015F5"/>
    <w:rsid w:val="0070316B"/>
    <w:rsid w:val="007038A1"/>
    <w:rsid w:val="00704FC1"/>
    <w:rsid w:val="007053FE"/>
    <w:rsid w:val="00705933"/>
    <w:rsid w:val="00705EE6"/>
    <w:rsid w:val="0070661C"/>
    <w:rsid w:val="007068FD"/>
    <w:rsid w:val="007070D3"/>
    <w:rsid w:val="00707395"/>
    <w:rsid w:val="00707A51"/>
    <w:rsid w:val="00709F78"/>
    <w:rsid w:val="00710466"/>
    <w:rsid w:val="00710C08"/>
    <w:rsid w:val="00710FEC"/>
    <w:rsid w:val="007111DA"/>
    <w:rsid w:val="007113B3"/>
    <w:rsid w:val="0071142E"/>
    <w:rsid w:val="0071143E"/>
    <w:rsid w:val="00712A61"/>
    <w:rsid w:val="00712EDA"/>
    <w:rsid w:val="00713DE6"/>
    <w:rsid w:val="007146AD"/>
    <w:rsid w:val="00714F3E"/>
    <w:rsid w:val="007156DC"/>
    <w:rsid w:val="00715FA7"/>
    <w:rsid w:val="00716A31"/>
    <w:rsid w:val="00720336"/>
    <w:rsid w:val="00720E5A"/>
    <w:rsid w:val="007210B6"/>
    <w:rsid w:val="007212FF"/>
    <w:rsid w:val="0072176C"/>
    <w:rsid w:val="0072179E"/>
    <w:rsid w:val="00721DD5"/>
    <w:rsid w:val="007229B1"/>
    <w:rsid w:val="007229E6"/>
    <w:rsid w:val="00723460"/>
    <w:rsid w:val="007239C6"/>
    <w:rsid w:val="00724C2D"/>
    <w:rsid w:val="0072538D"/>
    <w:rsid w:val="00725884"/>
    <w:rsid w:val="00725B61"/>
    <w:rsid w:val="00725E77"/>
    <w:rsid w:val="00726054"/>
    <w:rsid w:val="00730FD9"/>
    <w:rsid w:val="00733B36"/>
    <w:rsid w:val="00733D22"/>
    <w:rsid w:val="00733E57"/>
    <w:rsid w:val="00734A2B"/>
    <w:rsid w:val="00735403"/>
    <w:rsid w:val="00735CED"/>
    <w:rsid w:val="0073671E"/>
    <w:rsid w:val="00736DCF"/>
    <w:rsid w:val="007402B1"/>
    <w:rsid w:val="00740AD7"/>
    <w:rsid w:val="00741B92"/>
    <w:rsid w:val="00742B4C"/>
    <w:rsid w:val="00743DEF"/>
    <w:rsid w:val="007454CC"/>
    <w:rsid w:val="0074554D"/>
    <w:rsid w:val="00745BA0"/>
    <w:rsid w:val="00746A47"/>
    <w:rsid w:val="0074750B"/>
    <w:rsid w:val="007477AB"/>
    <w:rsid w:val="007501B5"/>
    <w:rsid w:val="0075091A"/>
    <w:rsid w:val="00750AC9"/>
    <w:rsid w:val="00751E33"/>
    <w:rsid w:val="00752DE7"/>
    <w:rsid w:val="00753633"/>
    <w:rsid w:val="00753E9C"/>
    <w:rsid w:val="00753F6C"/>
    <w:rsid w:val="00753F95"/>
    <w:rsid w:val="00754689"/>
    <w:rsid w:val="007549EC"/>
    <w:rsid w:val="00754BE0"/>
    <w:rsid w:val="00755175"/>
    <w:rsid w:val="00755622"/>
    <w:rsid w:val="0075565E"/>
    <w:rsid w:val="00755821"/>
    <w:rsid w:val="00755DA1"/>
    <w:rsid w:val="0075612F"/>
    <w:rsid w:val="007566EE"/>
    <w:rsid w:val="00756F6A"/>
    <w:rsid w:val="00760405"/>
    <w:rsid w:val="0076078E"/>
    <w:rsid w:val="00761213"/>
    <w:rsid w:val="00761617"/>
    <w:rsid w:val="007618D6"/>
    <w:rsid w:val="007635CB"/>
    <w:rsid w:val="00763964"/>
    <w:rsid w:val="00764077"/>
    <w:rsid w:val="007640B8"/>
    <w:rsid w:val="00764CDD"/>
    <w:rsid w:val="00766217"/>
    <w:rsid w:val="007668F6"/>
    <w:rsid w:val="00767E01"/>
    <w:rsid w:val="0077116F"/>
    <w:rsid w:val="00772275"/>
    <w:rsid w:val="00773331"/>
    <w:rsid w:val="0077354E"/>
    <w:rsid w:val="00773EF3"/>
    <w:rsid w:val="007743B9"/>
    <w:rsid w:val="00775C1F"/>
    <w:rsid w:val="00775D40"/>
    <w:rsid w:val="00776B0B"/>
    <w:rsid w:val="00776D0E"/>
    <w:rsid w:val="007773E7"/>
    <w:rsid w:val="0077C0C6"/>
    <w:rsid w:val="0078080C"/>
    <w:rsid w:val="00781E5E"/>
    <w:rsid w:val="00782BBB"/>
    <w:rsid w:val="007835E8"/>
    <w:rsid w:val="007837D7"/>
    <w:rsid w:val="00783EBA"/>
    <w:rsid w:val="00783FA7"/>
    <w:rsid w:val="00784B10"/>
    <w:rsid w:val="007853E0"/>
    <w:rsid w:val="00785606"/>
    <w:rsid w:val="00786036"/>
    <w:rsid w:val="00786418"/>
    <w:rsid w:val="0078743E"/>
    <w:rsid w:val="0078BFDF"/>
    <w:rsid w:val="00790646"/>
    <w:rsid w:val="00790FD3"/>
    <w:rsid w:val="00792650"/>
    <w:rsid w:val="00793112"/>
    <w:rsid w:val="007932EF"/>
    <w:rsid w:val="00793705"/>
    <w:rsid w:val="007938C5"/>
    <w:rsid w:val="00794797"/>
    <w:rsid w:val="00795330"/>
    <w:rsid w:val="007953F5"/>
    <w:rsid w:val="007974C6"/>
    <w:rsid w:val="007A0BF1"/>
    <w:rsid w:val="007A0C3D"/>
    <w:rsid w:val="007A21EC"/>
    <w:rsid w:val="007A29AE"/>
    <w:rsid w:val="007A2E01"/>
    <w:rsid w:val="007A2E3D"/>
    <w:rsid w:val="007A360A"/>
    <w:rsid w:val="007A3D93"/>
    <w:rsid w:val="007A5174"/>
    <w:rsid w:val="007A5331"/>
    <w:rsid w:val="007A5C83"/>
    <w:rsid w:val="007A5CB6"/>
    <w:rsid w:val="007A60F8"/>
    <w:rsid w:val="007A6491"/>
    <w:rsid w:val="007A6EEA"/>
    <w:rsid w:val="007B04BD"/>
    <w:rsid w:val="007B26A2"/>
    <w:rsid w:val="007B29BC"/>
    <w:rsid w:val="007B347F"/>
    <w:rsid w:val="007B38B4"/>
    <w:rsid w:val="007B3D6F"/>
    <w:rsid w:val="007B42B3"/>
    <w:rsid w:val="007B4333"/>
    <w:rsid w:val="007B445B"/>
    <w:rsid w:val="007B4799"/>
    <w:rsid w:val="007B52E3"/>
    <w:rsid w:val="007B5306"/>
    <w:rsid w:val="007B5802"/>
    <w:rsid w:val="007B6104"/>
    <w:rsid w:val="007B6337"/>
    <w:rsid w:val="007B63E2"/>
    <w:rsid w:val="007B6CDE"/>
    <w:rsid w:val="007B766F"/>
    <w:rsid w:val="007B7B69"/>
    <w:rsid w:val="007C07DF"/>
    <w:rsid w:val="007C0B12"/>
    <w:rsid w:val="007C10D6"/>
    <w:rsid w:val="007C1127"/>
    <w:rsid w:val="007C1171"/>
    <w:rsid w:val="007C1638"/>
    <w:rsid w:val="007C18E8"/>
    <w:rsid w:val="007C2EFE"/>
    <w:rsid w:val="007C37FD"/>
    <w:rsid w:val="007C3F3E"/>
    <w:rsid w:val="007C43BE"/>
    <w:rsid w:val="007C4C96"/>
    <w:rsid w:val="007C4F76"/>
    <w:rsid w:val="007C537C"/>
    <w:rsid w:val="007C55E6"/>
    <w:rsid w:val="007C5A2C"/>
    <w:rsid w:val="007C631D"/>
    <w:rsid w:val="007C66DC"/>
    <w:rsid w:val="007C66FB"/>
    <w:rsid w:val="007C760A"/>
    <w:rsid w:val="007C7A0F"/>
    <w:rsid w:val="007D0833"/>
    <w:rsid w:val="007D0C42"/>
    <w:rsid w:val="007D10AD"/>
    <w:rsid w:val="007D1447"/>
    <w:rsid w:val="007D2204"/>
    <w:rsid w:val="007D264A"/>
    <w:rsid w:val="007D2801"/>
    <w:rsid w:val="007D3B7C"/>
    <w:rsid w:val="007D3ED6"/>
    <w:rsid w:val="007D4ACD"/>
    <w:rsid w:val="007D4ECC"/>
    <w:rsid w:val="007D59D9"/>
    <w:rsid w:val="007D59E6"/>
    <w:rsid w:val="007D5C01"/>
    <w:rsid w:val="007D5EBF"/>
    <w:rsid w:val="007D6567"/>
    <w:rsid w:val="007D65AC"/>
    <w:rsid w:val="007D6D90"/>
    <w:rsid w:val="007E05B0"/>
    <w:rsid w:val="007E0979"/>
    <w:rsid w:val="007E119E"/>
    <w:rsid w:val="007E14D9"/>
    <w:rsid w:val="007E199E"/>
    <w:rsid w:val="007E21F2"/>
    <w:rsid w:val="007E2857"/>
    <w:rsid w:val="007E34DD"/>
    <w:rsid w:val="007E3F4E"/>
    <w:rsid w:val="007E4443"/>
    <w:rsid w:val="007E47C7"/>
    <w:rsid w:val="007E4F7A"/>
    <w:rsid w:val="007E52EB"/>
    <w:rsid w:val="007E5304"/>
    <w:rsid w:val="007E58FA"/>
    <w:rsid w:val="007E5C4D"/>
    <w:rsid w:val="007E6483"/>
    <w:rsid w:val="007E652A"/>
    <w:rsid w:val="007E652C"/>
    <w:rsid w:val="007E72F4"/>
    <w:rsid w:val="007E76BE"/>
    <w:rsid w:val="007E7C68"/>
    <w:rsid w:val="007F05BD"/>
    <w:rsid w:val="007F0946"/>
    <w:rsid w:val="007F11E9"/>
    <w:rsid w:val="007F11ED"/>
    <w:rsid w:val="007F1D8A"/>
    <w:rsid w:val="007F200C"/>
    <w:rsid w:val="007F2435"/>
    <w:rsid w:val="007F2690"/>
    <w:rsid w:val="007F2902"/>
    <w:rsid w:val="007F3C83"/>
    <w:rsid w:val="007F53EA"/>
    <w:rsid w:val="007F5B5D"/>
    <w:rsid w:val="007F60A3"/>
    <w:rsid w:val="007F6235"/>
    <w:rsid w:val="007F63C4"/>
    <w:rsid w:val="007F69E4"/>
    <w:rsid w:val="007F6DAF"/>
    <w:rsid w:val="007F7936"/>
    <w:rsid w:val="007F793D"/>
    <w:rsid w:val="007F7FE7"/>
    <w:rsid w:val="007FCD4D"/>
    <w:rsid w:val="00800351"/>
    <w:rsid w:val="00800B9E"/>
    <w:rsid w:val="00800C41"/>
    <w:rsid w:val="00800C9E"/>
    <w:rsid w:val="00802B5A"/>
    <w:rsid w:val="00803677"/>
    <w:rsid w:val="00803739"/>
    <w:rsid w:val="008037F3"/>
    <w:rsid w:val="008058A8"/>
    <w:rsid w:val="00805918"/>
    <w:rsid w:val="008076E0"/>
    <w:rsid w:val="00807969"/>
    <w:rsid w:val="0081075A"/>
    <w:rsid w:val="00810DCC"/>
    <w:rsid w:val="00810EAB"/>
    <w:rsid w:val="008114D4"/>
    <w:rsid w:val="00812CBC"/>
    <w:rsid w:val="00813003"/>
    <w:rsid w:val="00814A13"/>
    <w:rsid w:val="008153B6"/>
    <w:rsid w:val="008159BF"/>
    <w:rsid w:val="00815F83"/>
    <w:rsid w:val="008171B1"/>
    <w:rsid w:val="00817E49"/>
    <w:rsid w:val="0082114E"/>
    <w:rsid w:val="00822296"/>
    <w:rsid w:val="00822474"/>
    <w:rsid w:val="008227CE"/>
    <w:rsid w:val="00823053"/>
    <w:rsid w:val="0082377F"/>
    <w:rsid w:val="00824B97"/>
    <w:rsid w:val="008250E1"/>
    <w:rsid w:val="008255F6"/>
    <w:rsid w:val="008256B4"/>
    <w:rsid w:val="008262F6"/>
    <w:rsid w:val="008266D0"/>
    <w:rsid w:val="00826F1C"/>
    <w:rsid w:val="00827374"/>
    <w:rsid w:val="0082737C"/>
    <w:rsid w:val="00830213"/>
    <w:rsid w:val="008303DD"/>
    <w:rsid w:val="00831A4E"/>
    <w:rsid w:val="00831FAD"/>
    <w:rsid w:val="0083216C"/>
    <w:rsid w:val="00832560"/>
    <w:rsid w:val="008330C9"/>
    <w:rsid w:val="00833187"/>
    <w:rsid w:val="00834F4E"/>
    <w:rsid w:val="00835D1A"/>
    <w:rsid w:val="00835FB5"/>
    <w:rsid w:val="00835FD9"/>
    <w:rsid w:val="008367C7"/>
    <w:rsid w:val="008374A3"/>
    <w:rsid w:val="00837FAF"/>
    <w:rsid w:val="00841047"/>
    <w:rsid w:val="00841B7C"/>
    <w:rsid w:val="00842865"/>
    <w:rsid w:val="00843B9A"/>
    <w:rsid w:val="0084411F"/>
    <w:rsid w:val="00845C52"/>
    <w:rsid w:val="00845DB2"/>
    <w:rsid w:val="008460F4"/>
    <w:rsid w:val="008463F6"/>
    <w:rsid w:val="008467F1"/>
    <w:rsid w:val="0084733B"/>
    <w:rsid w:val="00847BD7"/>
    <w:rsid w:val="00849AE7"/>
    <w:rsid w:val="00850671"/>
    <w:rsid w:val="00850DF6"/>
    <w:rsid w:val="0085176A"/>
    <w:rsid w:val="00851B85"/>
    <w:rsid w:val="00851CA5"/>
    <w:rsid w:val="00851CC7"/>
    <w:rsid w:val="008521A4"/>
    <w:rsid w:val="008523F9"/>
    <w:rsid w:val="00852C7D"/>
    <w:rsid w:val="00852D61"/>
    <w:rsid w:val="008562AA"/>
    <w:rsid w:val="008566A9"/>
    <w:rsid w:val="008567E2"/>
    <w:rsid w:val="00856955"/>
    <w:rsid w:val="00856973"/>
    <w:rsid w:val="008576B4"/>
    <w:rsid w:val="008605F8"/>
    <w:rsid w:val="00860B98"/>
    <w:rsid w:val="00860FEF"/>
    <w:rsid w:val="008610B1"/>
    <w:rsid w:val="00861A6E"/>
    <w:rsid w:val="008621E6"/>
    <w:rsid w:val="008633D0"/>
    <w:rsid w:val="00863598"/>
    <w:rsid w:val="00863BA9"/>
    <w:rsid w:val="00863C98"/>
    <w:rsid w:val="00864A58"/>
    <w:rsid w:val="00864F43"/>
    <w:rsid w:val="008659DA"/>
    <w:rsid w:val="00865DE6"/>
    <w:rsid w:val="00865E5C"/>
    <w:rsid w:val="00866EF4"/>
    <w:rsid w:val="00867A43"/>
    <w:rsid w:val="00867C36"/>
    <w:rsid w:val="00870C31"/>
    <w:rsid w:val="008710F6"/>
    <w:rsid w:val="00871510"/>
    <w:rsid w:val="0087184B"/>
    <w:rsid w:val="008725D0"/>
    <w:rsid w:val="00872A41"/>
    <w:rsid w:val="00872B3D"/>
    <w:rsid w:val="0087300A"/>
    <w:rsid w:val="008737C4"/>
    <w:rsid w:val="00873C19"/>
    <w:rsid w:val="00873C9D"/>
    <w:rsid w:val="00873D53"/>
    <w:rsid w:val="00873F0A"/>
    <w:rsid w:val="00874124"/>
    <w:rsid w:val="0087442B"/>
    <w:rsid w:val="00874C78"/>
    <w:rsid w:val="00874D22"/>
    <w:rsid w:val="00874FA6"/>
    <w:rsid w:val="0087676C"/>
    <w:rsid w:val="00876D34"/>
    <w:rsid w:val="00877404"/>
    <w:rsid w:val="00877AB6"/>
    <w:rsid w:val="00880898"/>
    <w:rsid w:val="0088093F"/>
    <w:rsid w:val="00880D89"/>
    <w:rsid w:val="00881A40"/>
    <w:rsid w:val="00881BB1"/>
    <w:rsid w:val="00881E12"/>
    <w:rsid w:val="008829A3"/>
    <w:rsid w:val="00882AB8"/>
    <w:rsid w:val="00882E30"/>
    <w:rsid w:val="0088306B"/>
    <w:rsid w:val="00883389"/>
    <w:rsid w:val="0088587D"/>
    <w:rsid w:val="008858D6"/>
    <w:rsid w:val="00886411"/>
    <w:rsid w:val="00886FCF"/>
    <w:rsid w:val="00887433"/>
    <w:rsid w:val="008874F2"/>
    <w:rsid w:val="00887DEB"/>
    <w:rsid w:val="00887FA7"/>
    <w:rsid w:val="0088BD65"/>
    <w:rsid w:val="00890F27"/>
    <w:rsid w:val="00892499"/>
    <w:rsid w:val="008930B6"/>
    <w:rsid w:val="00894A82"/>
    <w:rsid w:val="00894F99"/>
    <w:rsid w:val="00895695"/>
    <w:rsid w:val="008956FD"/>
    <w:rsid w:val="00896550"/>
    <w:rsid w:val="00896F92"/>
    <w:rsid w:val="008973C4"/>
    <w:rsid w:val="008A0BCD"/>
    <w:rsid w:val="008A0D81"/>
    <w:rsid w:val="008A1534"/>
    <w:rsid w:val="008A167A"/>
    <w:rsid w:val="008A2312"/>
    <w:rsid w:val="008A23B5"/>
    <w:rsid w:val="008A267B"/>
    <w:rsid w:val="008A26E5"/>
    <w:rsid w:val="008A2914"/>
    <w:rsid w:val="008A29A6"/>
    <w:rsid w:val="008A2F6C"/>
    <w:rsid w:val="008A32D4"/>
    <w:rsid w:val="008A3528"/>
    <w:rsid w:val="008A4241"/>
    <w:rsid w:val="008A4322"/>
    <w:rsid w:val="008A51D2"/>
    <w:rsid w:val="008A5FC9"/>
    <w:rsid w:val="008A6F6A"/>
    <w:rsid w:val="008A70D3"/>
    <w:rsid w:val="008B0AC2"/>
    <w:rsid w:val="008B2084"/>
    <w:rsid w:val="008B20AF"/>
    <w:rsid w:val="008B2BDA"/>
    <w:rsid w:val="008B3871"/>
    <w:rsid w:val="008B434C"/>
    <w:rsid w:val="008B45BD"/>
    <w:rsid w:val="008B4C81"/>
    <w:rsid w:val="008B51F9"/>
    <w:rsid w:val="008B53A1"/>
    <w:rsid w:val="008B6592"/>
    <w:rsid w:val="008B6BB0"/>
    <w:rsid w:val="008B70A5"/>
    <w:rsid w:val="008B79CD"/>
    <w:rsid w:val="008B7B47"/>
    <w:rsid w:val="008BABFA"/>
    <w:rsid w:val="008C05C0"/>
    <w:rsid w:val="008C078D"/>
    <w:rsid w:val="008C2A36"/>
    <w:rsid w:val="008C40F4"/>
    <w:rsid w:val="008C43BE"/>
    <w:rsid w:val="008C484E"/>
    <w:rsid w:val="008C5353"/>
    <w:rsid w:val="008C543B"/>
    <w:rsid w:val="008C59E9"/>
    <w:rsid w:val="008C744C"/>
    <w:rsid w:val="008D093B"/>
    <w:rsid w:val="008D14BF"/>
    <w:rsid w:val="008D1957"/>
    <w:rsid w:val="008D2AC4"/>
    <w:rsid w:val="008D2F49"/>
    <w:rsid w:val="008D3400"/>
    <w:rsid w:val="008D354A"/>
    <w:rsid w:val="008D366F"/>
    <w:rsid w:val="008D37FB"/>
    <w:rsid w:val="008D4AC0"/>
    <w:rsid w:val="008D502C"/>
    <w:rsid w:val="008D576B"/>
    <w:rsid w:val="008D59F4"/>
    <w:rsid w:val="008D6BE1"/>
    <w:rsid w:val="008DE107"/>
    <w:rsid w:val="008E0B2C"/>
    <w:rsid w:val="008E11CD"/>
    <w:rsid w:val="008E2F82"/>
    <w:rsid w:val="008E3537"/>
    <w:rsid w:val="008E4101"/>
    <w:rsid w:val="008E4D39"/>
    <w:rsid w:val="008E4D8E"/>
    <w:rsid w:val="008E61A6"/>
    <w:rsid w:val="008E62B3"/>
    <w:rsid w:val="008E63DF"/>
    <w:rsid w:val="008E6BA2"/>
    <w:rsid w:val="008E7006"/>
    <w:rsid w:val="008E74E6"/>
    <w:rsid w:val="008E781D"/>
    <w:rsid w:val="008E7A1F"/>
    <w:rsid w:val="008E7B08"/>
    <w:rsid w:val="008E7CD1"/>
    <w:rsid w:val="008EE927"/>
    <w:rsid w:val="008F0CE3"/>
    <w:rsid w:val="008F17E9"/>
    <w:rsid w:val="008F38B1"/>
    <w:rsid w:val="008F3D87"/>
    <w:rsid w:val="008F3DB4"/>
    <w:rsid w:val="008F3DD8"/>
    <w:rsid w:val="008F4715"/>
    <w:rsid w:val="008F4C54"/>
    <w:rsid w:val="008F4C9D"/>
    <w:rsid w:val="008F55C6"/>
    <w:rsid w:val="008F7C7F"/>
    <w:rsid w:val="009003D7"/>
    <w:rsid w:val="00901616"/>
    <w:rsid w:val="009018AF"/>
    <w:rsid w:val="00901B78"/>
    <w:rsid w:val="0090201F"/>
    <w:rsid w:val="00902103"/>
    <w:rsid w:val="00902DF3"/>
    <w:rsid w:val="00902F2F"/>
    <w:rsid w:val="00903478"/>
    <w:rsid w:val="0090373F"/>
    <w:rsid w:val="00903C27"/>
    <w:rsid w:val="009044BF"/>
    <w:rsid w:val="0090529C"/>
    <w:rsid w:val="009064C4"/>
    <w:rsid w:val="009101E9"/>
    <w:rsid w:val="00910637"/>
    <w:rsid w:val="009121F2"/>
    <w:rsid w:val="0091361D"/>
    <w:rsid w:val="00913745"/>
    <w:rsid w:val="00913982"/>
    <w:rsid w:val="00913E2A"/>
    <w:rsid w:val="009143FB"/>
    <w:rsid w:val="00914910"/>
    <w:rsid w:val="00915109"/>
    <w:rsid w:val="00915D0A"/>
    <w:rsid w:val="0091655C"/>
    <w:rsid w:val="009170C4"/>
    <w:rsid w:val="00917283"/>
    <w:rsid w:val="00917E87"/>
    <w:rsid w:val="009201E0"/>
    <w:rsid w:val="00920301"/>
    <w:rsid w:val="00920363"/>
    <w:rsid w:val="0092071F"/>
    <w:rsid w:val="00920E8E"/>
    <w:rsid w:val="00921243"/>
    <w:rsid w:val="00921CB0"/>
    <w:rsid w:val="00922180"/>
    <w:rsid w:val="00922196"/>
    <w:rsid w:val="009232FA"/>
    <w:rsid w:val="00923449"/>
    <w:rsid w:val="00923F99"/>
    <w:rsid w:val="009241E2"/>
    <w:rsid w:val="009242BE"/>
    <w:rsid w:val="00924726"/>
    <w:rsid w:val="00924957"/>
    <w:rsid w:val="00925203"/>
    <w:rsid w:val="0092595C"/>
    <w:rsid w:val="00925AF1"/>
    <w:rsid w:val="00925D56"/>
    <w:rsid w:val="009261C9"/>
    <w:rsid w:val="00926DE3"/>
    <w:rsid w:val="00927AA1"/>
    <w:rsid w:val="0092F494"/>
    <w:rsid w:val="00930634"/>
    <w:rsid w:val="009309B6"/>
    <w:rsid w:val="00930EA1"/>
    <w:rsid w:val="00931CBD"/>
    <w:rsid w:val="0093280E"/>
    <w:rsid w:val="009333BF"/>
    <w:rsid w:val="00933AB4"/>
    <w:rsid w:val="00934273"/>
    <w:rsid w:val="00935119"/>
    <w:rsid w:val="00935D56"/>
    <w:rsid w:val="0093647D"/>
    <w:rsid w:val="00936532"/>
    <w:rsid w:val="00937440"/>
    <w:rsid w:val="00937A47"/>
    <w:rsid w:val="00937B94"/>
    <w:rsid w:val="00937D71"/>
    <w:rsid w:val="0094074B"/>
    <w:rsid w:val="00940CA1"/>
    <w:rsid w:val="009411B7"/>
    <w:rsid w:val="00942291"/>
    <w:rsid w:val="00942401"/>
    <w:rsid w:val="009435B7"/>
    <w:rsid w:val="00943E0C"/>
    <w:rsid w:val="00944561"/>
    <w:rsid w:val="00945204"/>
    <w:rsid w:val="00945216"/>
    <w:rsid w:val="00946C36"/>
    <w:rsid w:val="0094720E"/>
    <w:rsid w:val="00947470"/>
    <w:rsid w:val="00950300"/>
    <w:rsid w:val="009508D9"/>
    <w:rsid w:val="00951604"/>
    <w:rsid w:val="00951611"/>
    <w:rsid w:val="00952EC3"/>
    <w:rsid w:val="009533C2"/>
    <w:rsid w:val="009537F0"/>
    <w:rsid w:val="00953ED2"/>
    <w:rsid w:val="00954245"/>
    <w:rsid w:val="009546BB"/>
    <w:rsid w:val="00954A37"/>
    <w:rsid w:val="00954E8B"/>
    <w:rsid w:val="00957365"/>
    <w:rsid w:val="00957E67"/>
    <w:rsid w:val="0096009B"/>
    <w:rsid w:val="00960C5A"/>
    <w:rsid w:val="009613F4"/>
    <w:rsid w:val="00961595"/>
    <w:rsid w:val="009623C9"/>
    <w:rsid w:val="00963172"/>
    <w:rsid w:val="009633C4"/>
    <w:rsid w:val="009642DA"/>
    <w:rsid w:val="00964674"/>
    <w:rsid w:val="00965437"/>
    <w:rsid w:val="00965C8B"/>
    <w:rsid w:val="009666DD"/>
    <w:rsid w:val="0096F4D4"/>
    <w:rsid w:val="009704F6"/>
    <w:rsid w:val="009707EA"/>
    <w:rsid w:val="00970F82"/>
    <w:rsid w:val="00971599"/>
    <w:rsid w:val="00971F39"/>
    <w:rsid w:val="00972E90"/>
    <w:rsid w:val="00973C28"/>
    <w:rsid w:val="00974717"/>
    <w:rsid w:val="00974BE0"/>
    <w:rsid w:val="00974CAA"/>
    <w:rsid w:val="00975A5A"/>
    <w:rsid w:val="00975AE1"/>
    <w:rsid w:val="00976265"/>
    <w:rsid w:val="00976695"/>
    <w:rsid w:val="00976B71"/>
    <w:rsid w:val="009803D6"/>
    <w:rsid w:val="009807DE"/>
    <w:rsid w:val="0098150E"/>
    <w:rsid w:val="00982217"/>
    <w:rsid w:val="00982437"/>
    <w:rsid w:val="00982F63"/>
    <w:rsid w:val="009838A0"/>
    <w:rsid w:val="00983B81"/>
    <w:rsid w:val="00983DC5"/>
    <w:rsid w:val="00984D65"/>
    <w:rsid w:val="00985E25"/>
    <w:rsid w:val="00986871"/>
    <w:rsid w:val="0098B501"/>
    <w:rsid w:val="0098BF78"/>
    <w:rsid w:val="00990265"/>
    <w:rsid w:val="00990BC5"/>
    <w:rsid w:val="00991832"/>
    <w:rsid w:val="009927F2"/>
    <w:rsid w:val="00992E0C"/>
    <w:rsid w:val="00993F97"/>
    <w:rsid w:val="00994254"/>
    <w:rsid w:val="009945AC"/>
    <w:rsid w:val="00995048"/>
    <w:rsid w:val="009950B4"/>
    <w:rsid w:val="00995312"/>
    <w:rsid w:val="009958DC"/>
    <w:rsid w:val="009958E2"/>
    <w:rsid w:val="00996439"/>
    <w:rsid w:val="009970B6"/>
    <w:rsid w:val="00997FE1"/>
    <w:rsid w:val="009A12C3"/>
    <w:rsid w:val="009A14E1"/>
    <w:rsid w:val="009A1BC2"/>
    <w:rsid w:val="009A24FE"/>
    <w:rsid w:val="009A3F79"/>
    <w:rsid w:val="009A41E8"/>
    <w:rsid w:val="009A6734"/>
    <w:rsid w:val="009A7720"/>
    <w:rsid w:val="009B038E"/>
    <w:rsid w:val="009B0F9F"/>
    <w:rsid w:val="009B1408"/>
    <w:rsid w:val="009B1870"/>
    <w:rsid w:val="009B25E0"/>
    <w:rsid w:val="009B33D1"/>
    <w:rsid w:val="009B44F2"/>
    <w:rsid w:val="009B4FD8"/>
    <w:rsid w:val="009B5137"/>
    <w:rsid w:val="009B5B81"/>
    <w:rsid w:val="009B5D5D"/>
    <w:rsid w:val="009B6A22"/>
    <w:rsid w:val="009B7462"/>
    <w:rsid w:val="009B76BF"/>
    <w:rsid w:val="009B7E98"/>
    <w:rsid w:val="009C0A77"/>
    <w:rsid w:val="009C0C8E"/>
    <w:rsid w:val="009C0E5A"/>
    <w:rsid w:val="009C191F"/>
    <w:rsid w:val="009C1C84"/>
    <w:rsid w:val="009C22B2"/>
    <w:rsid w:val="009C2AF4"/>
    <w:rsid w:val="009C2F59"/>
    <w:rsid w:val="009C39EF"/>
    <w:rsid w:val="009C406C"/>
    <w:rsid w:val="009C4E0C"/>
    <w:rsid w:val="009C5E12"/>
    <w:rsid w:val="009C7615"/>
    <w:rsid w:val="009C7AB1"/>
    <w:rsid w:val="009D0080"/>
    <w:rsid w:val="009D16D3"/>
    <w:rsid w:val="009D1A25"/>
    <w:rsid w:val="009D3C40"/>
    <w:rsid w:val="009D4663"/>
    <w:rsid w:val="009D4D54"/>
    <w:rsid w:val="009D4F1E"/>
    <w:rsid w:val="009D50C3"/>
    <w:rsid w:val="009D59FE"/>
    <w:rsid w:val="009D662E"/>
    <w:rsid w:val="009D750E"/>
    <w:rsid w:val="009D7D3A"/>
    <w:rsid w:val="009E027A"/>
    <w:rsid w:val="009E1143"/>
    <w:rsid w:val="009E12D5"/>
    <w:rsid w:val="009E13EB"/>
    <w:rsid w:val="009E1AC9"/>
    <w:rsid w:val="009E21D7"/>
    <w:rsid w:val="009E2572"/>
    <w:rsid w:val="009E2FDB"/>
    <w:rsid w:val="009E4330"/>
    <w:rsid w:val="009E48C2"/>
    <w:rsid w:val="009E48F5"/>
    <w:rsid w:val="009E6A5C"/>
    <w:rsid w:val="009E741E"/>
    <w:rsid w:val="009E75BF"/>
    <w:rsid w:val="009EBF63"/>
    <w:rsid w:val="009F053E"/>
    <w:rsid w:val="009F0CC4"/>
    <w:rsid w:val="009F0EDA"/>
    <w:rsid w:val="009F15C1"/>
    <w:rsid w:val="009F1771"/>
    <w:rsid w:val="009F1991"/>
    <w:rsid w:val="009F1DB7"/>
    <w:rsid w:val="009F1FB8"/>
    <w:rsid w:val="009F27DF"/>
    <w:rsid w:val="009F42E4"/>
    <w:rsid w:val="009F4612"/>
    <w:rsid w:val="009F54CC"/>
    <w:rsid w:val="009F59F2"/>
    <w:rsid w:val="009F5EDB"/>
    <w:rsid w:val="009F636F"/>
    <w:rsid w:val="009F6E84"/>
    <w:rsid w:val="009F75A4"/>
    <w:rsid w:val="009F7B29"/>
    <w:rsid w:val="009F7B34"/>
    <w:rsid w:val="00A00338"/>
    <w:rsid w:val="00A006FD"/>
    <w:rsid w:val="00A00A8B"/>
    <w:rsid w:val="00A00C99"/>
    <w:rsid w:val="00A00D2F"/>
    <w:rsid w:val="00A01FFE"/>
    <w:rsid w:val="00A026EE"/>
    <w:rsid w:val="00A029F2"/>
    <w:rsid w:val="00A02BCE"/>
    <w:rsid w:val="00A034D6"/>
    <w:rsid w:val="00A046AB"/>
    <w:rsid w:val="00A053DB"/>
    <w:rsid w:val="00A062F3"/>
    <w:rsid w:val="00A066B5"/>
    <w:rsid w:val="00A06B54"/>
    <w:rsid w:val="00A07AFC"/>
    <w:rsid w:val="00A07B84"/>
    <w:rsid w:val="00A10F48"/>
    <w:rsid w:val="00A115D7"/>
    <w:rsid w:val="00A11DE0"/>
    <w:rsid w:val="00A1224C"/>
    <w:rsid w:val="00A12CC8"/>
    <w:rsid w:val="00A130FA"/>
    <w:rsid w:val="00A142C9"/>
    <w:rsid w:val="00A1575E"/>
    <w:rsid w:val="00A157CD"/>
    <w:rsid w:val="00A15B2C"/>
    <w:rsid w:val="00A16170"/>
    <w:rsid w:val="00A1622E"/>
    <w:rsid w:val="00A16D88"/>
    <w:rsid w:val="00A170E6"/>
    <w:rsid w:val="00A17D40"/>
    <w:rsid w:val="00A17FD4"/>
    <w:rsid w:val="00A1842E"/>
    <w:rsid w:val="00A19569"/>
    <w:rsid w:val="00A20512"/>
    <w:rsid w:val="00A20A89"/>
    <w:rsid w:val="00A20F8B"/>
    <w:rsid w:val="00A215DC"/>
    <w:rsid w:val="00A21D6D"/>
    <w:rsid w:val="00A21E9D"/>
    <w:rsid w:val="00A222E3"/>
    <w:rsid w:val="00A229F1"/>
    <w:rsid w:val="00A2337B"/>
    <w:rsid w:val="00A23BEF"/>
    <w:rsid w:val="00A23D26"/>
    <w:rsid w:val="00A241ED"/>
    <w:rsid w:val="00A24482"/>
    <w:rsid w:val="00A246A4"/>
    <w:rsid w:val="00A246F8"/>
    <w:rsid w:val="00A24A3D"/>
    <w:rsid w:val="00A24E3C"/>
    <w:rsid w:val="00A2589A"/>
    <w:rsid w:val="00A26885"/>
    <w:rsid w:val="00A27A68"/>
    <w:rsid w:val="00A2EF23"/>
    <w:rsid w:val="00A308E9"/>
    <w:rsid w:val="00A30B2C"/>
    <w:rsid w:val="00A31315"/>
    <w:rsid w:val="00A31913"/>
    <w:rsid w:val="00A33243"/>
    <w:rsid w:val="00A35349"/>
    <w:rsid w:val="00A35D7F"/>
    <w:rsid w:val="00A372ED"/>
    <w:rsid w:val="00A378E0"/>
    <w:rsid w:val="00A37BC1"/>
    <w:rsid w:val="00A40057"/>
    <w:rsid w:val="00A41044"/>
    <w:rsid w:val="00A41585"/>
    <w:rsid w:val="00A41633"/>
    <w:rsid w:val="00A41B42"/>
    <w:rsid w:val="00A41D88"/>
    <w:rsid w:val="00A4251A"/>
    <w:rsid w:val="00A431DE"/>
    <w:rsid w:val="00A432FE"/>
    <w:rsid w:val="00A4496A"/>
    <w:rsid w:val="00A44DAB"/>
    <w:rsid w:val="00A455B9"/>
    <w:rsid w:val="00A4568A"/>
    <w:rsid w:val="00A458D1"/>
    <w:rsid w:val="00A46544"/>
    <w:rsid w:val="00A46719"/>
    <w:rsid w:val="00A46828"/>
    <w:rsid w:val="00A46856"/>
    <w:rsid w:val="00A47217"/>
    <w:rsid w:val="00A47512"/>
    <w:rsid w:val="00A47C31"/>
    <w:rsid w:val="00A47E4D"/>
    <w:rsid w:val="00A50BCC"/>
    <w:rsid w:val="00A51865"/>
    <w:rsid w:val="00A51E6B"/>
    <w:rsid w:val="00A51F47"/>
    <w:rsid w:val="00A51F76"/>
    <w:rsid w:val="00A52185"/>
    <w:rsid w:val="00A5235C"/>
    <w:rsid w:val="00A523FB"/>
    <w:rsid w:val="00A52A0A"/>
    <w:rsid w:val="00A52D71"/>
    <w:rsid w:val="00A52E23"/>
    <w:rsid w:val="00A53460"/>
    <w:rsid w:val="00A53481"/>
    <w:rsid w:val="00A534B4"/>
    <w:rsid w:val="00A53CD2"/>
    <w:rsid w:val="00A5506E"/>
    <w:rsid w:val="00A550B4"/>
    <w:rsid w:val="00A554AA"/>
    <w:rsid w:val="00A55CDA"/>
    <w:rsid w:val="00A56163"/>
    <w:rsid w:val="00A5647F"/>
    <w:rsid w:val="00A5650D"/>
    <w:rsid w:val="00A568CC"/>
    <w:rsid w:val="00A56D76"/>
    <w:rsid w:val="00A5725C"/>
    <w:rsid w:val="00A5BB9A"/>
    <w:rsid w:val="00A5F319"/>
    <w:rsid w:val="00A601B6"/>
    <w:rsid w:val="00A60768"/>
    <w:rsid w:val="00A61302"/>
    <w:rsid w:val="00A61E09"/>
    <w:rsid w:val="00A6271F"/>
    <w:rsid w:val="00A64DE3"/>
    <w:rsid w:val="00A65031"/>
    <w:rsid w:val="00A66132"/>
    <w:rsid w:val="00A664F2"/>
    <w:rsid w:val="00A6679D"/>
    <w:rsid w:val="00A66A66"/>
    <w:rsid w:val="00A66C8E"/>
    <w:rsid w:val="00A66CD1"/>
    <w:rsid w:val="00A67A0E"/>
    <w:rsid w:val="00A7057D"/>
    <w:rsid w:val="00A70628"/>
    <w:rsid w:val="00A7080B"/>
    <w:rsid w:val="00A71EA8"/>
    <w:rsid w:val="00A723F0"/>
    <w:rsid w:val="00A74241"/>
    <w:rsid w:val="00A7432C"/>
    <w:rsid w:val="00A74772"/>
    <w:rsid w:val="00A74F75"/>
    <w:rsid w:val="00A75539"/>
    <w:rsid w:val="00A75822"/>
    <w:rsid w:val="00A75CEF"/>
    <w:rsid w:val="00A7619D"/>
    <w:rsid w:val="00A76BE1"/>
    <w:rsid w:val="00A77637"/>
    <w:rsid w:val="00A776FD"/>
    <w:rsid w:val="00A77F29"/>
    <w:rsid w:val="00A7CACE"/>
    <w:rsid w:val="00A805B4"/>
    <w:rsid w:val="00A8073B"/>
    <w:rsid w:val="00A80AD4"/>
    <w:rsid w:val="00A812A1"/>
    <w:rsid w:val="00A81B7A"/>
    <w:rsid w:val="00A82098"/>
    <w:rsid w:val="00A82200"/>
    <w:rsid w:val="00A82643"/>
    <w:rsid w:val="00A82930"/>
    <w:rsid w:val="00A836A3"/>
    <w:rsid w:val="00A847D8"/>
    <w:rsid w:val="00A84DEF"/>
    <w:rsid w:val="00A857B5"/>
    <w:rsid w:val="00A859C0"/>
    <w:rsid w:val="00A86B60"/>
    <w:rsid w:val="00A872DA"/>
    <w:rsid w:val="00A87F1D"/>
    <w:rsid w:val="00A9102F"/>
    <w:rsid w:val="00A91183"/>
    <w:rsid w:val="00A917E4"/>
    <w:rsid w:val="00A919C7"/>
    <w:rsid w:val="00A920EC"/>
    <w:rsid w:val="00A92837"/>
    <w:rsid w:val="00A92C95"/>
    <w:rsid w:val="00A942BE"/>
    <w:rsid w:val="00A942F8"/>
    <w:rsid w:val="00A946A3"/>
    <w:rsid w:val="00A94B9D"/>
    <w:rsid w:val="00A952C7"/>
    <w:rsid w:val="00A954F3"/>
    <w:rsid w:val="00A95D6E"/>
    <w:rsid w:val="00AA03BD"/>
    <w:rsid w:val="00AA1336"/>
    <w:rsid w:val="00AA134F"/>
    <w:rsid w:val="00AA143F"/>
    <w:rsid w:val="00AA15E4"/>
    <w:rsid w:val="00AA16A8"/>
    <w:rsid w:val="00AA1F4C"/>
    <w:rsid w:val="00AA2941"/>
    <w:rsid w:val="00AA29B2"/>
    <w:rsid w:val="00AA2A60"/>
    <w:rsid w:val="00AA2DD5"/>
    <w:rsid w:val="00AA4510"/>
    <w:rsid w:val="00AA49FF"/>
    <w:rsid w:val="00AA4B54"/>
    <w:rsid w:val="00AA4D30"/>
    <w:rsid w:val="00AA62CF"/>
    <w:rsid w:val="00AA692E"/>
    <w:rsid w:val="00AA728E"/>
    <w:rsid w:val="00AA7EBA"/>
    <w:rsid w:val="00AB035C"/>
    <w:rsid w:val="00AB0750"/>
    <w:rsid w:val="00AB0E09"/>
    <w:rsid w:val="00AB0EB3"/>
    <w:rsid w:val="00AB16E0"/>
    <w:rsid w:val="00AB1F77"/>
    <w:rsid w:val="00AB20E5"/>
    <w:rsid w:val="00AB2920"/>
    <w:rsid w:val="00AB2A28"/>
    <w:rsid w:val="00AB31E1"/>
    <w:rsid w:val="00AB3A97"/>
    <w:rsid w:val="00AB3E88"/>
    <w:rsid w:val="00AB3EC6"/>
    <w:rsid w:val="00AB5CCB"/>
    <w:rsid w:val="00AB63ED"/>
    <w:rsid w:val="00AB6748"/>
    <w:rsid w:val="00AB723B"/>
    <w:rsid w:val="00AC033F"/>
    <w:rsid w:val="00AC1413"/>
    <w:rsid w:val="00AC225B"/>
    <w:rsid w:val="00AC2B04"/>
    <w:rsid w:val="00AC2D7C"/>
    <w:rsid w:val="00AC3722"/>
    <w:rsid w:val="00AC4528"/>
    <w:rsid w:val="00AC4B61"/>
    <w:rsid w:val="00AC4BD3"/>
    <w:rsid w:val="00AC646E"/>
    <w:rsid w:val="00AC651E"/>
    <w:rsid w:val="00AC68B8"/>
    <w:rsid w:val="00AC751F"/>
    <w:rsid w:val="00AC790D"/>
    <w:rsid w:val="00AD1E8A"/>
    <w:rsid w:val="00AD3341"/>
    <w:rsid w:val="00AD38C9"/>
    <w:rsid w:val="00AD39B9"/>
    <w:rsid w:val="00AD3E50"/>
    <w:rsid w:val="00AD48C8"/>
    <w:rsid w:val="00AD57D7"/>
    <w:rsid w:val="00AD760C"/>
    <w:rsid w:val="00AE04FD"/>
    <w:rsid w:val="00AE0B0A"/>
    <w:rsid w:val="00AE1389"/>
    <w:rsid w:val="00AE1FF0"/>
    <w:rsid w:val="00AE3490"/>
    <w:rsid w:val="00AE3D20"/>
    <w:rsid w:val="00AE4547"/>
    <w:rsid w:val="00AE4571"/>
    <w:rsid w:val="00AE6153"/>
    <w:rsid w:val="00AE6BCB"/>
    <w:rsid w:val="00AE72D3"/>
    <w:rsid w:val="00AE73D8"/>
    <w:rsid w:val="00AE79C2"/>
    <w:rsid w:val="00AE8537"/>
    <w:rsid w:val="00AEB0D8"/>
    <w:rsid w:val="00AF071C"/>
    <w:rsid w:val="00AF0934"/>
    <w:rsid w:val="00AF0BD9"/>
    <w:rsid w:val="00AF0C5A"/>
    <w:rsid w:val="00AF172A"/>
    <w:rsid w:val="00AF1D25"/>
    <w:rsid w:val="00AF293E"/>
    <w:rsid w:val="00AF339E"/>
    <w:rsid w:val="00AF37A3"/>
    <w:rsid w:val="00AF39B6"/>
    <w:rsid w:val="00AF3F6B"/>
    <w:rsid w:val="00AF4164"/>
    <w:rsid w:val="00AF4B52"/>
    <w:rsid w:val="00AF4D71"/>
    <w:rsid w:val="00AF5AC7"/>
    <w:rsid w:val="00AF5AF3"/>
    <w:rsid w:val="00AF5B69"/>
    <w:rsid w:val="00AF6D78"/>
    <w:rsid w:val="00AF7657"/>
    <w:rsid w:val="00AF7FA4"/>
    <w:rsid w:val="00B01BC2"/>
    <w:rsid w:val="00B02089"/>
    <w:rsid w:val="00B023D4"/>
    <w:rsid w:val="00B02756"/>
    <w:rsid w:val="00B02D79"/>
    <w:rsid w:val="00B037B2"/>
    <w:rsid w:val="00B050B2"/>
    <w:rsid w:val="00B0561F"/>
    <w:rsid w:val="00B07641"/>
    <w:rsid w:val="00B07C61"/>
    <w:rsid w:val="00B07C94"/>
    <w:rsid w:val="00B10719"/>
    <w:rsid w:val="00B109A8"/>
    <w:rsid w:val="00B109D6"/>
    <w:rsid w:val="00B11B4F"/>
    <w:rsid w:val="00B126CD"/>
    <w:rsid w:val="00B12E5E"/>
    <w:rsid w:val="00B14C7B"/>
    <w:rsid w:val="00B15128"/>
    <w:rsid w:val="00B15933"/>
    <w:rsid w:val="00B16836"/>
    <w:rsid w:val="00B16CCF"/>
    <w:rsid w:val="00B170A7"/>
    <w:rsid w:val="00B173DB"/>
    <w:rsid w:val="00B17420"/>
    <w:rsid w:val="00B1768B"/>
    <w:rsid w:val="00B177BD"/>
    <w:rsid w:val="00B17FB8"/>
    <w:rsid w:val="00B202EB"/>
    <w:rsid w:val="00B20378"/>
    <w:rsid w:val="00B21197"/>
    <w:rsid w:val="00B2193F"/>
    <w:rsid w:val="00B21A10"/>
    <w:rsid w:val="00B21B02"/>
    <w:rsid w:val="00B21B3B"/>
    <w:rsid w:val="00B22367"/>
    <w:rsid w:val="00B235CD"/>
    <w:rsid w:val="00B23BC1"/>
    <w:rsid w:val="00B2516F"/>
    <w:rsid w:val="00B2587A"/>
    <w:rsid w:val="00B25BC7"/>
    <w:rsid w:val="00B26089"/>
    <w:rsid w:val="00B26E78"/>
    <w:rsid w:val="00B26F3A"/>
    <w:rsid w:val="00B26FDC"/>
    <w:rsid w:val="00B2D9ED"/>
    <w:rsid w:val="00B2DF1C"/>
    <w:rsid w:val="00B30797"/>
    <w:rsid w:val="00B31B5B"/>
    <w:rsid w:val="00B3208F"/>
    <w:rsid w:val="00B33415"/>
    <w:rsid w:val="00B3345B"/>
    <w:rsid w:val="00B33747"/>
    <w:rsid w:val="00B33E0C"/>
    <w:rsid w:val="00B34A94"/>
    <w:rsid w:val="00B34BB4"/>
    <w:rsid w:val="00B3514A"/>
    <w:rsid w:val="00B3524E"/>
    <w:rsid w:val="00B35371"/>
    <w:rsid w:val="00B355FD"/>
    <w:rsid w:val="00B35897"/>
    <w:rsid w:val="00B35B79"/>
    <w:rsid w:val="00B36405"/>
    <w:rsid w:val="00B36F3D"/>
    <w:rsid w:val="00B370D5"/>
    <w:rsid w:val="00B37ED3"/>
    <w:rsid w:val="00B37F8F"/>
    <w:rsid w:val="00B402D8"/>
    <w:rsid w:val="00B409C3"/>
    <w:rsid w:val="00B41048"/>
    <w:rsid w:val="00B412E7"/>
    <w:rsid w:val="00B419A0"/>
    <w:rsid w:val="00B420EB"/>
    <w:rsid w:val="00B423C6"/>
    <w:rsid w:val="00B43830"/>
    <w:rsid w:val="00B43941"/>
    <w:rsid w:val="00B441A6"/>
    <w:rsid w:val="00B4486B"/>
    <w:rsid w:val="00B44DF2"/>
    <w:rsid w:val="00B45AF0"/>
    <w:rsid w:val="00B45B8B"/>
    <w:rsid w:val="00B4743F"/>
    <w:rsid w:val="00B4762C"/>
    <w:rsid w:val="00B47676"/>
    <w:rsid w:val="00B4D45A"/>
    <w:rsid w:val="00B501CA"/>
    <w:rsid w:val="00B501D2"/>
    <w:rsid w:val="00B509A4"/>
    <w:rsid w:val="00B50A41"/>
    <w:rsid w:val="00B50DAE"/>
    <w:rsid w:val="00B51A93"/>
    <w:rsid w:val="00B51C42"/>
    <w:rsid w:val="00B523FF"/>
    <w:rsid w:val="00B540FA"/>
    <w:rsid w:val="00B5412C"/>
    <w:rsid w:val="00B5427E"/>
    <w:rsid w:val="00B54396"/>
    <w:rsid w:val="00B54A14"/>
    <w:rsid w:val="00B55541"/>
    <w:rsid w:val="00B55B11"/>
    <w:rsid w:val="00B56126"/>
    <w:rsid w:val="00B564BC"/>
    <w:rsid w:val="00B56B26"/>
    <w:rsid w:val="00B5759E"/>
    <w:rsid w:val="00B57ACB"/>
    <w:rsid w:val="00B6093F"/>
    <w:rsid w:val="00B616EF"/>
    <w:rsid w:val="00B62FDB"/>
    <w:rsid w:val="00B63DF7"/>
    <w:rsid w:val="00B63F2D"/>
    <w:rsid w:val="00B63F36"/>
    <w:rsid w:val="00B64254"/>
    <w:rsid w:val="00B64C0D"/>
    <w:rsid w:val="00B667DD"/>
    <w:rsid w:val="00B668D1"/>
    <w:rsid w:val="00B66D42"/>
    <w:rsid w:val="00B70753"/>
    <w:rsid w:val="00B71F69"/>
    <w:rsid w:val="00B7235F"/>
    <w:rsid w:val="00B72705"/>
    <w:rsid w:val="00B73244"/>
    <w:rsid w:val="00B734FB"/>
    <w:rsid w:val="00B74666"/>
    <w:rsid w:val="00B74A44"/>
    <w:rsid w:val="00B75533"/>
    <w:rsid w:val="00B77019"/>
    <w:rsid w:val="00B77244"/>
    <w:rsid w:val="00B774F7"/>
    <w:rsid w:val="00B776F6"/>
    <w:rsid w:val="00B8031B"/>
    <w:rsid w:val="00B818A1"/>
    <w:rsid w:val="00B81B4F"/>
    <w:rsid w:val="00B81BCE"/>
    <w:rsid w:val="00B81D63"/>
    <w:rsid w:val="00B823CE"/>
    <w:rsid w:val="00B82895"/>
    <w:rsid w:val="00B82E53"/>
    <w:rsid w:val="00B8399A"/>
    <w:rsid w:val="00B843A1"/>
    <w:rsid w:val="00B84FE5"/>
    <w:rsid w:val="00B85A20"/>
    <w:rsid w:val="00B85E09"/>
    <w:rsid w:val="00B86907"/>
    <w:rsid w:val="00B86A36"/>
    <w:rsid w:val="00B8701A"/>
    <w:rsid w:val="00B871D1"/>
    <w:rsid w:val="00B872C8"/>
    <w:rsid w:val="00B87301"/>
    <w:rsid w:val="00B9181F"/>
    <w:rsid w:val="00B91862"/>
    <w:rsid w:val="00B91C6E"/>
    <w:rsid w:val="00B91CDD"/>
    <w:rsid w:val="00B922A6"/>
    <w:rsid w:val="00B92AD1"/>
    <w:rsid w:val="00B92BC4"/>
    <w:rsid w:val="00B9318C"/>
    <w:rsid w:val="00B93192"/>
    <w:rsid w:val="00B93422"/>
    <w:rsid w:val="00B93E98"/>
    <w:rsid w:val="00B942EA"/>
    <w:rsid w:val="00B94800"/>
    <w:rsid w:val="00B94CF9"/>
    <w:rsid w:val="00B94D50"/>
    <w:rsid w:val="00B950CF"/>
    <w:rsid w:val="00B968B0"/>
    <w:rsid w:val="00B96ABB"/>
    <w:rsid w:val="00B96FE9"/>
    <w:rsid w:val="00B971F7"/>
    <w:rsid w:val="00B97446"/>
    <w:rsid w:val="00BA038A"/>
    <w:rsid w:val="00BA12C9"/>
    <w:rsid w:val="00BA1AE4"/>
    <w:rsid w:val="00BA1C1B"/>
    <w:rsid w:val="00BA22FF"/>
    <w:rsid w:val="00BA2D24"/>
    <w:rsid w:val="00BA31AC"/>
    <w:rsid w:val="00BA3862"/>
    <w:rsid w:val="00BA5DCC"/>
    <w:rsid w:val="00BA67F4"/>
    <w:rsid w:val="00BA6E7A"/>
    <w:rsid w:val="00BA9337"/>
    <w:rsid w:val="00BAC3B4"/>
    <w:rsid w:val="00BB019D"/>
    <w:rsid w:val="00BB1017"/>
    <w:rsid w:val="00BB10FD"/>
    <w:rsid w:val="00BB3043"/>
    <w:rsid w:val="00BB39BD"/>
    <w:rsid w:val="00BB3CA8"/>
    <w:rsid w:val="00BB3E15"/>
    <w:rsid w:val="00BB4E98"/>
    <w:rsid w:val="00BB5409"/>
    <w:rsid w:val="00BB5CBC"/>
    <w:rsid w:val="00BB6611"/>
    <w:rsid w:val="00BB7513"/>
    <w:rsid w:val="00BB772B"/>
    <w:rsid w:val="00BC068B"/>
    <w:rsid w:val="00BC16CB"/>
    <w:rsid w:val="00BC1829"/>
    <w:rsid w:val="00BC20AD"/>
    <w:rsid w:val="00BC2433"/>
    <w:rsid w:val="00BC427C"/>
    <w:rsid w:val="00BC46A1"/>
    <w:rsid w:val="00BC4E6E"/>
    <w:rsid w:val="00BC5352"/>
    <w:rsid w:val="00BC5454"/>
    <w:rsid w:val="00BC5661"/>
    <w:rsid w:val="00BC57D9"/>
    <w:rsid w:val="00BC64BA"/>
    <w:rsid w:val="00BC75D5"/>
    <w:rsid w:val="00BCEA86"/>
    <w:rsid w:val="00BD0678"/>
    <w:rsid w:val="00BD238E"/>
    <w:rsid w:val="00BD26A7"/>
    <w:rsid w:val="00BD2A82"/>
    <w:rsid w:val="00BD357E"/>
    <w:rsid w:val="00BD4C80"/>
    <w:rsid w:val="00BD52B2"/>
    <w:rsid w:val="00BD55B7"/>
    <w:rsid w:val="00BD5864"/>
    <w:rsid w:val="00BD5EDB"/>
    <w:rsid w:val="00BD6502"/>
    <w:rsid w:val="00BD651E"/>
    <w:rsid w:val="00BD6705"/>
    <w:rsid w:val="00BD6893"/>
    <w:rsid w:val="00BD7810"/>
    <w:rsid w:val="00BD7F36"/>
    <w:rsid w:val="00BE089C"/>
    <w:rsid w:val="00BE19A0"/>
    <w:rsid w:val="00BE1A02"/>
    <w:rsid w:val="00BE1D9F"/>
    <w:rsid w:val="00BE1E27"/>
    <w:rsid w:val="00BE241D"/>
    <w:rsid w:val="00BE2605"/>
    <w:rsid w:val="00BE2A44"/>
    <w:rsid w:val="00BE2CDA"/>
    <w:rsid w:val="00BE3BC8"/>
    <w:rsid w:val="00BE47A0"/>
    <w:rsid w:val="00BE4AFF"/>
    <w:rsid w:val="00BE58F4"/>
    <w:rsid w:val="00BE627F"/>
    <w:rsid w:val="00BE6A44"/>
    <w:rsid w:val="00BF01FE"/>
    <w:rsid w:val="00BF024E"/>
    <w:rsid w:val="00BF0511"/>
    <w:rsid w:val="00BF058E"/>
    <w:rsid w:val="00BF0AA0"/>
    <w:rsid w:val="00BF0E79"/>
    <w:rsid w:val="00BF2680"/>
    <w:rsid w:val="00BF27EE"/>
    <w:rsid w:val="00BF3243"/>
    <w:rsid w:val="00BF34C2"/>
    <w:rsid w:val="00BF34C4"/>
    <w:rsid w:val="00BF358B"/>
    <w:rsid w:val="00BF3676"/>
    <w:rsid w:val="00BF465D"/>
    <w:rsid w:val="00BF67C6"/>
    <w:rsid w:val="00BF70FF"/>
    <w:rsid w:val="00BF9D33"/>
    <w:rsid w:val="00C00FD7"/>
    <w:rsid w:val="00C01679"/>
    <w:rsid w:val="00C018F7"/>
    <w:rsid w:val="00C0295D"/>
    <w:rsid w:val="00C029D6"/>
    <w:rsid w:val="00C032B8"/>
    <w:rsid w:val="00C040EB"/>
    <w:rsid w:val="00C0432F"/>
    <w:rsid w:val="00C04DB1"/>
    <w:rsid w:val="00C05B2F"/>
    <w:rsid w:val="00C0760B"/>
    <w:rsid w:val="00C07630"/>
    <w:rsid w:val="00C07A2B"/>
    <w:rsid w:val="00C10421"/>
    <w:rsid w:val="00C10545"/>
    <w:rsid w:val="00C10640"/>
    <w:rsid w:val="00C10844"/>
    <w:rsid w:val="00C10A7A"/>
    <w:rsid w:val="00C10C01"/>
    <w:rsid w:val="00C10F34"/>
    <w:rsid w:val="00C11451"/>
    <w:rsid w:val="00C12301"/>
    <w:rsid w:val="00C12885"/>
    <w:rsid w:val="00C13E2B"/>
    <w:rsid w:val="00C14A6D"/>
    <w:rsid w:val="00C14B08"/>
    <w:rsid w:val="00C14D36"/>
    <w:rsid w:val="00C14DEC"/>
    <w:rsid w:val="00C15483"/>
    <w:rsid w:val="00C164F4"/>
    <w:rsid w:val="00C17325"/>
    <w:rsid w:val="00C2000E"/>
    <w:rsid w:val="00C207A6"/>
    <w:rsid w:val="00C20813"/>
    <w:rsid w:val="00C2095F"/>
    <w:rsid w:val="00C219C7"/>
    <w:rsid w:val="00C22004"/>
    <w:rsid w:val="00C2215D"/>
    <w:rsid w:val="00C22BC4"/>
    <w:rsid w:val="00C24235"/>
    <w:rsid w:val="00C24548"/>
    <w:rsid w:val="00C25160"/>
    <w:rsid w:val="00C25F0B"/>
    <w:rsid w:val="00C2653A"/>
    <w:rsid w:val="00C26927"/>
    <w:rsid w:val="00C2710D"/>
    <w:rsid w:val="00C2D8B7"/>
    <w:rsid w:val="00C30632"/>
    <w:rsid w:val="00C323B4"/>
    <w:rsid w:val="00C32BF1"/>
    <w:rsid w:val="00C32E5D"/>
    <w:rsid w:val="00C331DB"/>
    <w:rsid w:val="00C334AB"/>
    <w:rsid w:val="00C33AAE"/>
    <w:rsid w:val="00C348ED"/>
    <w:rsid w:val="00C34902"/>
    <w:rsid w:val="00C36BE8"/>
    <w:rsid w:val="00C370B4"/>
    <w:rsid w:val="00C37904"/>
    <w:rsid w:val="00C40B46"/>
    <w:rsid w:val="00C40D96"/>
    <w:rsid w:val="00C42321"/>
    <w:rsid w:val="00C42475"/>
    <w:rsid w:val="00C42F90"/>
    <w:rsid w:val="00C43C67"/>
    <w:rsid w:val="00C43DBF"/>
    <w:rsid w:val="00C4414D"/>
    <w:rsid w:val="00C44C2F"/>
    <w:rsid w:val="00C46AC2"/>
    <w:rsid w:val="00C46F28"/>
    <w:rsid w:val="00C471DC"/>
    <w:rsid w:val="00C4734F"/>
    <w:rsid w:val="00C477B8"/>
    <w:rsid w:val="00C47B3A"/>
    <w:rsid w:val="00C5073B"/>
    <w:rsid w:val="00C516C1"/>
    <w:rsid w:val="00C51A0B"/>
    <w:rsid w:val="00C5220E"/>
    <w:rsid w:val="00C526CB"/>
    <w:rsid w:val="00C5362D"/>
    <w:rsid w:val="00C54BAD"/>
    <w:rsid w:val="00C54D81"/>
    <w:rsid w:val="00C55F5F"/>
    <w:rsid w:val="00C560C5"/>
    <w:rsid w:val="00C56685"/>
    <w:rsid w:val="00C57D11"/>
    <w:rsid w:val="00C5CBD7"/>
    <w:rsid w:val="00C600CA"/>
    <w:rsid w:val="00C62008"/>
    <w:rsid w:val="00C62583"/>
    <w:rsid w:val="00C62CFB"/>
    <w:rsid w:val="00C62EFA"/>
    <w:rsid w:val="00C63697"/>
    <w:rsid w:val="00C63965"/>
    <w:rsid w:val="00C64AFF"/>
    <w:rsid w:val="00C659A0"/>
    <w:rsid w:val="00C662AE"/>
    <w:rsid w:val="00C669A0"/>
    <w:rsid w:val="00C66E43"/>
    <w:rsid w:val="00C670C6"/>
    <w:rsid w:val="00C70038"/>
    <w:rsid w:val="00C7058C"/>
    <w:rsid w:val="00C71373"/>
    <w:rsid w:val="00C71C1E"/>
    <w:rsid w:val="00C71FC5"/>
    <w:rsid w:val="00C72B06"/>
    <w:rsid w:val="00C72DBD"/>
    <w:rsid w:val="00C7389C"/>
    <w:rsid w:val="00C73D54"/>
    <w:rsid w:val="00C748AF"/>
    <w:rsid w:val="00C75134"/>
    <w:rsid w:val="00C75D1F"/>
    <w:rsid w:val="00C76198"/>
    <w:rsid w:val="00C762E3"/>
    <w:rsid w:val="00C76D4B"/>
    <w:rsid w:val="00C8040B"/>
    <w:rsid w:val="00C815B5"/>
    <w:rsid w:val="00C82193"/>
    <w:rsid w:val="00C8376F"/>
    <w:rsid w:val="00C853B7"/>
    <w:rsid w:val="00C8583D"/>
    <w:rsid w:val="00C85A82"/>
    <w:rsid w:val="00C85F27"/>
    <w:rsid w:val="00C86190"/>
    <w:rsid w:val="00C8689A"/>
    <w:rsid w:val="00C87CF4"/>
    <w:rsid w:val="00C87ECB"/>
    <w:rsid w:val="00C903EE"/>
    <w:rsid w:val="00C9052E"/>
    <w:rsid w:val="00C909C8"/>
    <w:rsid w:val="00C913C1"/>
    <w:rsid w:val="00C92949"/>
    <w:rsid w:val="00C931C8"/>
    <w:rsid w:val="00C94EE4"/>
    <w:rsid w:val="00C94FD1"/>
    <w:rsid w:val="00C95FBF"/>
    <w:rsid w:val="00C97BF5"/>
    <w:rsid w:val="00C97D62"/>
    <w:rsid w:val="00C9B8EA"/>
    <w:rsid w:val="00CA0EAF"/>
    <w:rsid w:val="00CA13AB"/>
    <w:rsid w:val="00CA1A5F"/>
    <w:rsid w:val="00CA216B"/>
    <w:rsid w:val="00CA227E"/>
    <w:rsid w:val="00CA2A25"/>
    <w:rsid w:val="00CA2EF5"/>
    <w:rsid w:val="00CA3A8E"/>
    <w:rsid w:val="00CA3DE9"/>
    <w:rsid w:val="00CA47F9"/>
    <w:rsid w:val="00CA5463"/>
    <w:rsid w:val="00CA5E54"/>
    <w:rsid w:val="00CA62E5"/>
    <w:rsid w:val="00CA6E33"/>
    <w:rsid w:val="00CA789C"/>
    <w:rsid w:val="00CA7FEF"/>
    <w:rsid w:val="00CB0104"/>
    <w:rsid w:val="00CB0626"/>
    <w:rsid w:val="00CB149C"/>
    <w:rsid w:val="00CB18B3"/>
    <w:rsid w:val="00CB1A7E"/>
    <w:rsid w:val="00CB1AA5"/>
    <w:rsid w:val="00CB2910"/>
    <w:rsid w:val="00CB2EBD"/>
    <w:rsid w:val="00CB302D"/>
    <w:rsid w:val="00CB4D77"/>
    <w:rsid w:val="00CB61FB"/>
    <w:rsid w:val="00CB67B4"/>
    <w:rsid w:val="00CB75D0"/>
    <w:rsid w:val="00CBC2F3"/>
    <w:rsid w:val="00CC05A4"/>
    <w:rsid w:val="00CC0DFC"/>
    <w:rsid w:val="00CC0FFE"/>
    <w:rsid w:val="00CC17DD"/>
    <w:rsid w:val="00CC1E44"/>
    <w:rsid w:val="00CC36E7"/>
    <w:rsid w:val="00CC3767"/>
    <w:rsid w:val="00CC3E84"/>
    <w:rsid w:val="00CC6037"/>
    <w:rsid w:val="00CC66FE"/>
    <w:rsid w:val="00CC7015"/>
    <w:rsid w:val="00CC7336"/>
    <w:rsid w:val="00CD0926"/>
    <w:rsid w:val="00CD0B86"/>
    <w:rsid w:val="00CD1798"/>
    <w:rsid w:val="00CD1BD9"/>
    <w:rsid w:val="00CD22E3"/>
    <w:rsid w:val="00CD2E0B"/>
    <w:rsid w:val="00CD3BBF"/>
    <w:rsid w:val="00CD42CE"/>
    <w:rsid w:val="00CD4685"/>
    <w:rsid w:val="00CD5298"/>
    <w:rsid w:val="00CD57E2"/>
    <w:rsid w:val="00CD686A"/>
    <w:rsid w:val="00CD77B7"/>
    <w:rsid w:val="00CD7A5D"/>
    <w:rsid w:val="00CD7C90"/>
    <w:rsid w:val="00CD7D65"/>
    <w:rsid w:val="00CDF8ED"/>
    <w:rsid w:val="00CE07E7"/>
    <w:rsid w:val="00CE0D67"/>
    <w:rsid w:val="00CE18B5"/>
    <w:rsid w:val="00CE18F1"/>
    <w:rsid w:val="00CE1C33"/>
    <w:rsid w:val="00CE2481"/>
    <w:rsid w:val="00CE2BA5"/>
    <w:rsid w:val="00CE2C51"/>
    <w:rsid w:val="00CE320A"/>
    <w:rsid w:val="00CE3A22"/>
    <w:rsid w:val="00CE3F03"/>
    <w:rsid w:val="00CE4AFE"/>
    <w:rsid w:val="00CE4CF7"/>
    <w:rsid w:val="00CE5059"/>
    <w:rsid w:val="00CE50EF"/>
    <w:rsid w:val="00CE570C"/>
    <w:rsid w:val="00CE6356"/>
    <w:rsid w:val="00CE6E1F"/>
    <w:rsid w:val="00CE7550"/>
    <w:rsid w:val="00CF020C"/>
    <w:rsid w:val="00CF0840"/>
    <w:rsid w:val="00CF15D4"/>
    <w:rsid w:val="00CF1863"/>
    <w:rsid w:val="00CF26B3"/>
    <w:rsid w:val="00CF27A7"/>
    <w:rsid w:val="00CF2E02"/>
    <w:rsid w:val="00CF3A10"/>
    <w:rsid w:val="00CF409F"/>
    <w:rsid w:val="00CF42BE"/>
    <w:rsid w:val="00CF44D9"/>
    <w:rsid w:val="00CF524F"/>
    <w:rsid w:val="00CF5810"/>
    <w:rsid w:val="00CF7362"/>
    <w:rsid w:val="00CF7D1D"/>
    <w:rsid w:val="00CF7E9F"/>
    <w:rsid w:val="00D00270"/>
    <w:rsid w:val="00D010A8"/>
    <w:rsid w:val="00D0121C"/>
    <w:rsid w:val="00D01BA3"/>
    <w:rsid w:val="00D01F57"/>
    <w:rsid w:val="00D02196"/>
    <w:rsid w:val="00D022CF"/>
    <w:rsid w:val="00D033CB"/>
    <w:rsid w:val="00D036DE"/>
    <w:rsid w:val="00D03DD1"/>
    <w:rsid w:val="00D0502B"/>
    <w:rsid w:val="00D056A3"/>
    <w:rsid w:val="00D05B54"/>
    <w:rsid w:val="00D05B88"/>
    <w:rsid w:val="00D069F1"/>
    <w:rsid w:val="00D06B57"/>
    <w:rsid w:val="00D073C0"/>
    <w:rsid w:val="00D07BD4"/>
    <w:rsid w:val="00D07CC5"/>
    <w:rsid w:val="00D07E69"/>
    <w:rsid w:val="00D1118A"/>
    <w:rsid w:val="00D11512"/>
    <w:rsid w:val="00D1159B"/>
    <w:rsid w:val="00D12C8B"/>
    <w:rsid w:val="00D12E37"/>
    <w:rsid w:val="00D130E5"/>
    <w:rsid w:val="00D13CE8"/>
    <w:rsid w:val="00D13E3F"/>
    <w:rsid w:val="00D14155"/>
    <w:rsid w:val="00D142BB"/>
    <w:rsid w:val="00D153D9"/>
    <w:rsid w:val="00D155D4"/>
    <w:rsid w:val="00D16426"/>
    <w:rsid w:val="00D164F7"/>
    <w:rsid w:val="00D16A5F"/>
    <w:rsid w:val="00D16EC1"/>
    <w:rsid w:val="00D179DC"/>
    <w:rsid w:val="00D20381"/>
    <w:rsid w:val="00D218B1"/>
    <w:rsid w:val="00D22127"/>
    <w:rsid w:val="00D221B8"/>
    <w:rsid w:val="00D22B7B"/>
    <w:rsid w:val="00D22FDA"/>
    <w:rsid w:val="00D2317A"/>
    <w:rsid w:val="00D25623"/>
    <w:rsid w:val="00D2683C"/>
    <w:rsid w:val="00D26A66"/>
    <w:rsid w:val="00D26CB1"/>
    <w:rsid w:val="00D26D82"/>
    <w:rsid w:val="00D27C2D"/>
    <w:rsid w:val="00D30BDA"/>
    <w:rsid w:val="00D30C0D"/>
    <w:rsid w:val="00D31185"/>
    <w:rsid w:val="00D31A74"/>
    <w:rsid w:val="00D32BE2"/>
    <w:rsid w:val="00D351C6"/>
    <w:rsid w:val="00D35931"/>
    <w:rsid w:val="00D3600B"/>
    <w:rsid w:val="00D3607E"/>
    <w:rsid w:val="00D36949"/>
    <w:rsid w:val="00D36B1F"/>
    <w:rsid w:val="00D37A4C"/>
    <w:rsid w:val="00D37BF7"/>
    <w:rsid w:val="00D37E60"/>
    <w:rsid w:val="00D40AC3"/>
    <w:rsid w:val="00D42AA2"/>
    <w:rsid w:val="00D42CD1"/>
    <w:rsid w:val="00D435B1"/>
    <w:rsid w:val="00D4385B"/>
    <w:rsid w:val="00D4400B"/>
    <w:rsid w:val="00D441B6"/>
    <w:rsid w:val="00D44231"/>
    <w:rsid w:val="00D4473C"/>
    <w:rsid w:val="00D46171"/>
    <w:rsid w:val="00D4618B"/>
    <w:rsid w:val="00D4630A"/>
    <w:rsid w:val="00D46360"/>
    <w:rsid w:val="00D470CE"/>
    <w:rsid w:val="00D475A9"/>
    <w:rsid w:val="00D47814"/>
    <w:rsid w:val="00D4A2E1"/>
    <w:rsid w:val="00D50098"/>
    <w:rsid w:val="00D506BE"/>
    <w:rsid w:val="00D50734"/>
    <w:rsid w:val="00D50784"/>
    <w:rsid w:val="00D50B56"/>
    <w:rsid w:val="00D526F2"/>
    <w:rsid w:val="00D5296B"/>
    <w:rsid w:val="00D52FC0"/>
    <w:rsid w:val="00D53774"/>
    <w:rsid w:val="00D53EFA"/>
    <w:rsid w:val="00D557D2"/>
    <w:rsid w:val="00D56312"/>
    <w:rsid w:val="00D5696C"/>
    <w:rsid w:val="00D56FD1"/>
    <w:rsid w:val="00D57D73"/>
    <w:rsid w:val="00D57DDC"/>
    <w:rsid w:val="00D57FD3"/>
    <w:rsid w:val="00D6037A"/>
    <w:rsid w:val="00D60521"/>
    <w:rsid w:val="00D6061B"/>
    <w:rsid w:val="00D6123C"/>
    <w:rsid w:val="00D62830"/>
    <w:rsid w:val="00D62837"/>
    <w:rsid w:val="00D6286C"/>
    <w:rsid w:val="00D6292B"/>
    <w:rsid w:val="00D63543"/>
    <w:rsid w:val="00D638E1"/>
    <w:rsid w:val="00D63F96"/>
    <w:rsid w:val="00D6484E"/>
    <w:rsid w:val="00D64B0C"/>
    <w:rsid w:val="00D66340"/>
    <w:rsid w:val="00D66431"/>
    <w:rsid w:val="00D674A9"/>
    <w:rsid w:val="00D67865"/>
    <w:rsid w:val="00D67E46"/>
    <w:rsid w:val="00D67F77"/>
    <w:rsid w:val="00D701F4"/>
    <w:rsid w:val="00D71943"/>
    <w:rsid w:val="00D721A0"/>
    <w:rsid w:val="00D72B6B"/>
    <w:rsid w:val="00D72C0D"/>
    <w:rsid w:val="00D73B43"/>
    <w:rsid w:val="00D7447E"/>
    <w:rsid w:val="00D746BD"/>
    <w:rsid w:val="00D74C51"/>
    <w:rsid w:val="00D74EC1"/>
    <w:rsid w:val="00D757D7"/>
    <w:rsid w:val="00D76358"/>
    <w:rsid w:val="00D77029"/>
    <w:rsid w:val="00D772B2"/>
    <w:rsid w:val="00D77735"/>
    <w:rsid w:val="00D77A9F"/>
    <w:rsid w:val="00D77D81"/>
    <w:rsid w:val="00D7AC45"/>
    <w:rsid w:val="00D806DD"/>
    <w:rsid w:val="00D80967"/>
    <w:rsid w:val="00D81872"/>
    <w:rsid w:val="00D834FE"/>
    <w:rsid w:val="00D8368F"/>
    <w:rsid w:val="00D86006"/>
    <w:rsid w:val="00D86181"/>
    <w:rsid w:val="00D86693"/>
    <w:rsid w:val="00D8676E"/>
    <w:rsid w:val="00D878E6"/>
    <w:rsid w:val="00D87F62"/>
    <w:rsid w:val="00D89050"/>
    <w:rsid w:val="00D89961"/>
    <w:rsid w:val="00D9069A"/>
    <w:rsid w:val="00D90CC7"/>
    <w:rsid w:val="00D9134A"/>
    <w:rsid w:val="00D916B3"/>
    <w:rsid w:val="00D91B8F"/>
    <w:rsid w:val="00D925A9"/>
    <w:rsid w:val="00D93096"/>
    <w:rsid w:val="00D93419"/>
    <w:rsid w:val="00D9357B"/>
    <w:rsid w:val="00D93FEF"/>
    <w:rsid w:val="00D9459B"/>
    <w:rsid w:val="00D94647"/>
    <w:rsid w:val="00D9515E"/>
    <w:rsid w:val="00D953CC"/>
    <w:rsid w:val="00D95673"/>
    <w:rsid w:val="00D95A08"/>
    <w:rsid w:val="00D96705"/>
    <w:rsid w:val="00D9680E"/>
    <w:rsid w:val="00D9687F"/>
    <w:rsid w:val="00D973D9"/>
    <w:rsid w:val="00D9743E"/>
    <w:rsid w:val="00D97443"/>
    <w:rsid w:val="00D97694"/>
    <w:rsid w:val="00D97A1E"/>
    <w:rsid w:val="00D97ED8"/>
    <w:rsid w:val="00D97F53"/>
    <w:rsid w:val="00D9CC42"/>
    <w:rsid w:val="00DA007D"/>
    <w:rsid w:val="00DA161B"/>
    <w:rsid w:val="00DA208B"/>
    <w:rsid w:val="00DA295E"/>
    <w:rsid w:val="00DA2A64"/>
    <w:rsid w:val="00DA2E59"/>
    <w:rsid w:val="00DA49C6"/>
    <w:rsid w:val="00DA5424"/>
    <w:rsid w:val="00DA5C98"/>
    <w:rsid w:val="00DA61CE"/>
    <w:rsid w:val="00DA6375"/>
    <w:rsid w:val="00DA63F1"/>
    <w:rsid w:val="00DA7180"/>
    <w:rsid w:val="00DA790B"/>
    <w:rsid w:val="00DA7C15"/>
    <w:rsid w:val="00DA7CF2"/>
    <w:rsid w:val="00DB0112"/>
    <w:rsid w:val="00DB0529"/>
    <w:rsid w:val="00DB09B4"/>
    <w:rsid w:val="00DB1D44"/>
    <w:rsid w:val="00DB21A2"/>
    <w:rsid w:val="00DB2C63"/>
    <w:rsid w:val="00DB2D8A"/>
    <w:rsid w:val="00DB3858"/>
    <w:rsid w:val="00DB3A04"/>
    <w:rsid w:val="00DB3C90"/>
    <w:rsid w:val="00DB3F7B"/>
    <w:rsid w:val="00DB42A3"/>
    <w:rsid w:val="00DB464E"/>
    <w:rsid w:val="00DB6470"/>
    <w:rsid w:val="00DB6964"/>
    <w:rsid w:val="00DB73D8"/>
    <w:rsid w:val="00DC0AB4"/>
    <w:rsid w:val="00DC0BB1"/>
    <w:rsid w:val="00DC2D8E"/>
    <w:rsid w:val="00DC30C2"/>
    <w:rsid w:val="00DC4A25"/>
    <w:rsid w:val="00DC50FA"/>
    <w:rsid w:val="00DC54E1"/>
    <w:rsid w:val="00DC5850"/>
    <w:rsid w:val="00DC6353"/>
    <w:rsid w:val="00DC6540"/>
    <w:rsid w:val="00DC6D9D"/>
    <w:rsid w:val="00DC6EC1"/>
    <w:rsid w:val="00DC72A9"/>
    <w:rsid w:val="00DC736A"/>
    <w:rsid w:val="00DC7590"/>
    <w:rsid w:val="00DCF0C2"/>
    <w:rsid w:val="00DD1093"/>
    <w:rsid w:val="00DD18CC"/>
    <w:rsid w:val="00DD1D70"/>
    <w:rsid w:val="00DD3786"/>
    <w:rsid w:val="00DD3BBC"/>
    <w:rsid w:val="00DD402C"/>
    <w:rsid w:val="00DD412B"/>
    <w:rsid w:val="00DD4B34"/>
    <w:rsid w:val="00DD6A49"/>
    <w:rsid w:val="00DE14BB"/>
    <w:rsid w:val="00DE1A01"/>
    <w:rsid w:val="00DE1E5A"/>
    <w:rsid w:val="00DE3BCC"/>
    <w:rsid w:val="00DE3FE5"/>
    <w:rsid w:val="00DE4070"/>
    <w:rsid w:val="00DE48A2"/>
    <w:rsid w:val="00DE4F46"/>
    <w:rsid w:val="00DE5C57"/>
    <w:rsid w:val="00DE5CDF"/>
    <w:rsid w:val="00DE5E37"/>
    <w:rsid w:val="00DE7286"/>
    <w:rsid w:val="00DEBB8E"/>
    <w:rsid w:val="00DF02F7"/>
    <w:rsid w:val="00DF0CE3"/>
    <w:rsid w:val="00DF27A4"/>
    <w:rsid w:val="00DF35F1"/>
    <w:rsid w:val="00DF3A09"/>
    <w:rsid w:val="00DF442D"/>
    <w:rsid w:val="00DF4761"/>
    <w:rsid w:val="00DF5F91"/>
    <w:rsid w:val="00DF7CAC"/>
    <w:rsid w:val="00E0018E"/>
    <w:rsid w:val="00E01321"/>
    <w:rsid w:val="00E0157D"/>
    <w:rsid w:val="00E01E3D"/>
    <w:rsid w:val="00E02E4B"/>
    <w:rsid w:val="00E032B2"/>
    <w:rsid w:val="00E04511"/>
    <w:rsid w:val="00E05478"/>
    <w:rsid w:val="00E0568F"/>
    <w:rsid w:val="00E05AAB"/>
    <w:rsid w:val="00E05ACC"/>
    <w:rsid w:val="00E05F07"/>
    <w:rsid w:val="00E07991"/>
    <w:rsid w:val="00E07DC9"/>
    <w:rsid w:val="00E0BE86"/>
    <w:rsid w:val="00E10418"/>
    <w:rsid w:val="00E10521"/>
    <w:rsid w:val="00E12701"/>
    <w:rsid w:val="00E12ADF"/>
    <w:rsid w:val="00E14B48"/>
    <w:rsid w:val="00E14BD8"/>
    <w:rsid w:val="00E1681A"/>
    <w:rsid w:val="00E168CB"/>
    <w:rsid w:val="00E16BB8"/>
    <w:rsid w:val="00E16E76"/>
    <w:rsid w:val="00E177A0"/>
    <w:rsid w:val="00E1B08C"/>
    <w:rsid w:val="00E20AC4"/>
    <w:rsid w:val="00E20D55"/>
    <w:rsid w:val="00E229C9"/>
    <w:rsid w:val="00E23DED"/>
    <w:rsid w:val="00E23EBA"/>
    <w:rsid w:val="00E24C5E"/>
    <w:rsid w:val="00E24D37"/>
    <w:rsid w:val="00E263A0"/>
    <w:rsid w:val="00E2A28A"/>
    <w:rsid w:val="00E3075F"/>
    <w:rsid w:val="00E3079F"/>
    <w:rsid w:val="00E31353"/>
    <w:rsid w:val="00E31DD7"/>
    <w:rsid w:val="00E32A72"/>
    <w:rsid w:val="00E331A2"/>
    <w:rsid w:val="00E33519"/>
    <w:rsid w:val="00E3432B"/>
    <w:rsid w:val="00E34814"/>
    <w:rsid w:val="00E34934"/>
    <w:rsid w:val="00E353C8"/>
    <w:rsid w:val="00E35AD3"/>
    <w:rsid w:val="00E3777B"/>
    <w:rsid w:val="00E3798B"/>
    <w:rsid w:val="00E407D9"/>
    <w:rsid w:val="00E40C0B"/>
    <w:rsid w:val="00E4173F"/>
    <w:rsid w:val="00E41993"/>
    <w:rsid w:val="00E42245"/>
    <w:rsid w:val="00E426D9"/>
    <w:rsid w:val="00E44270"/>
    <w:rsid w:val="00E44C93"/>
    <w:rsid w:val="00E44D28"/>
    <w:rsid w:val="00E44EF5"/>
    <w:rsid w:val="00E46720"/>
    <w:rsid w:val="00E46ECD"/>
    <w:rsid w:val="00E5103F"/>
    <w:rsid w:val="00E5178D"/>
    <w:rsid w:val="00E5275D"/>
    <w:rsid w:val="00E53D8A"/>
    <w:rsid w:val="00E549E9"/>
    <w:rsid w:val="00E54E5E"/>
    <w:rsid w:val="00E55320"/>
    <w:rsid w:val="00E56EBE"/>
    <w:rsid w:val="00E573FC"/>
    <w:rsid w:val="00E57974"/>
    <w:rsid w:val="00E57C64"/>
    <w:rsid w:val="00E5893E"/>
    <w:rsid w:val="00E5FDF3"/>
    <w:rsid w:val="00E6006E"/>
    <w:rsid w:val="00E61A9E"/>
    <w:rsid w:val="00E61CAA"/>
    <w:rsid w:val="00E63512"/>
    <w:rsid w:val="00E636D7"/>
    <w:rsid w:val="00E63923"/>
    <w:rsid w:val="00E63A43"/>
    <w:rsid w:val="00E645B3"/>
    <w:rsid w:val="00E670D2"/>
    <w:rsid w:val="00E671A1"/>
    <w:rsid w:val="00E678C4"/>
    <w:rsid w:val="00E688E2"/>
    <w:rsid w:val="00E7060E"/>
    <w:rsid w:val="00E7342F"/>
    <w:rsid w:val="00E75BDB"/>
    <w:rsid w:val="00E75BEE"/>
    <w:rsid w:val="00E7642D"/>
    <w:rsid w:val="00E769C9"/>
    <w:rsid w:val="00E76A1C"/>
    <w:rsid w:val="00E825AD"/>
    <w:rsid w:val="00E828C6"/>
    <w:rsid w:val="00E82D31"/>
    <w:rsid w:val="00E83375"/>
    <w:rsid w:val="00E8466E"/>
    <w:rsid w:val="00E84697"/>
    <w:rsid w:val="00E846F5"/>
    <w:rsid w:val="00E84C25"/>
    <w:rsid w:val="00E8541E"/>
    <w:rsid w:val="00E85495"/>
    <w:rsid w:val="00E85733"/>
    <w:rsid w:val="00E860C6"/>
    <w:rsid w:val="00E86728"/>
    <w:rsid w:val="00E87518"/>
    <w:rsid w:val="00E878D7"/>
    <w:rsid w:val="00E90658"/>
    <w:rsid w:val="00E91063"/>
    <w:rsid w:val="00E91327"/>
    <w:rsid w:val="00E91723"/>
    <w:rsid w:val="00E917DE"/>
    <w:rsid w:val="00E91B53"/>
    <w:rsid w:val="00E923DB"/>
    <w:rsid w:val="00E92A0F"/>
    <w:rsid w:val="00E92B44"/>
    <w:rsid w:val="00E95762"/>
    <w:rsid w:val="00E95D42"/>
    <w:rsid w:val="00E96B81"/>
    <w:rsid w:val="00E96F92"/>
    <w:rsid w:val="00E973C7"/>
    <w:rsid w:val="00E97DCF"/>
    <w:rsid w:val="00EA05BD"/>
    <w:rsid w:val="00EA0652"/>
    <w:rsid w:val="00EA0BA5"/>
    <w:rsid w:val="00EA1DB5"/>
    <w:rsid w:val="00EA37B9"/>
    <w:rsid w:val="00EA41A1"/>
    <w:rsid w:val="00EA42AA"/>
    <w:rsid w:val="00EA4B17"/>
    <w:rsid w:val="00EA4D1A"/>
    <w:rsid w:val="00EA588A"/>
    <w:rsid w:val="00EA7187"/>
    <w:rsid w:val="00EADA98"/>
    <w:rsid w:val="00EB01B0"/>
    <w:rsid w:val="00EB2B5E"/>
    <w:rsid w:val="00EB3649"/>
    <w:rsid w:val="00EB37A8"/>
    <w:rsid w:val="00EB3FD8"/>
    <w:rsid w:val="00EB5543"/>
    <w:rsid w:val="00EB5651"/>
    <w:rsid w:val="00EB5A48"/>
    <w:rsid w:val="00EB6C6B"/>
    <w:rsid w:val="00EB79D2"/>
    <w:rsid w:val="00EC0408"/>
    <w:rsid w:val="00EC04FE"/>
    <w:rsid w:val="00EC06B1"/>
    <w:rsid w:val="00EC0D71"/>
    <w:rsid w:val="00EC0E93"/>
    <w:rsid w:val="00EC10A5"/>
    <w:rsid w:val="00EC1DC8"/>
    <w:rsid w:val="00EC2D59"/>
    <w:rsid w:val="00EC30DC"/>
    <w:rsid w:val="00EC3D8F"/>
    <w:rsid w:val="00EC3DB7"/>
    <w:rsid w:val="00EC46E9"/>
    <w:rsid w:val="00EC5C9B"/>
    <w:rsid w:val="00EC5E98"/>
    <w:rsid w:val="00EC6459"/>
    <w:rsid w:val="00EC71FB"/>
    <w:rsid w:val="00EC7917"/>
    <w:rsid w:val="00ED0365"/>
    <w:rsid w:val="00ED0423"/>
    <w:rsid w:val="00ED0BC6"/>
    <w:rsid w:val="00ED24D0"/>
    <w:rsid w:val="00ED369F"/>
    <w:rsid w:val="00ED36C0"/>
    <w:rsid w:val="00ED3804"/>
    <w:rsid w:val="00ED3829"/>
    <w:rsid w:val="00ED3A01"/>
    <w:rsid w:val="00ED3D38"/>
    <w:rsid w:val="00ED4040"/>
    <w:rsid w:val="00ED44C7"/>
    <w:rsid w:val="00ED4B18"/>
    <w:rsid w:val="00ED4CAA"/>
    <w:rsid w:val="00ED54D8"/>
    <w:rsid w:val="00ED631F"/>
    <w:rsid w:val="00ED6EF5"/>
    <w:rsid w:val="00ED78D4"/>
    <w:rsid w:val="00EDA6AE"/>
    <w:rsid w:val="00EDAE83"/>
    <w:rsid w:val="00EE0175"/>
    <w:rsid w:val="00EE0676"/>
    <w:rsid w:val="00EE0705"/>
    <w:rsid w:val="00EE1F12"/>
    <w:rsid w:val="00EE2019"/>
    <w:rsid w:val="00EE2497"/>
    <w:rsid w:val="00EE3368"/>
    <w:rsid w:val="00EE35AF"/>
    <w:rsid w:val="00EE40C3"/>
    <w:rsid w:val="00EE50F0"/>
    <w:rsid w:val="00EE5135"/>
    <w:rsid w:val="00EE5222"/>
    <w:rsid w:val="00EE5DD9"/>
    <w:rsid w:val="00EE6289"/>
    <w:rsid w:val="00EE666F"/>
    <w:rsid w:val="00EE6C92"/>
    <w:rsid w:val="00EF0586"/>
    <w:rsid w:val="00EF068F"/>
    <w:rsid w:val="00EF06A4"/>
    <w:rsid w:val="00EF086D"/>
    <w:rsid w:val="00EF088B"/>
    <w:rsid w:val="00EF1948"/>
    <w:rsid w:val="00EF2735"/>
    <w:rsid w:val="00EF2E21"/>
    <w:rsid w:val="00EF37DD"/>
    <w:rsid w:val="00EF3A6C"/>
    <w:rsid w:val="00EF48AF"/>
    <w:rsid w:val="00EF5908"/>
    <w:rsid w:val="00EF5F88"/>
    <w:rsid w:val="00EF7010"/>
    <w:rsid w:val="00EF7223"/>
    <w:rsid w:val="00F00E06"/>
    <w:rsid w:val="00F0124C"/>
    <w:rsid w:val="00F021A9"/>
    <w:rsid w:val="00F02287"/>
    <w:rsid w:val="00F0250E"/>
    <w:rsid w:val="00F0259A"/>
    <w:rsid w:val="00F026D5"/>
    <w:rsid w:val="00F02A8B"/>
    <w:rsid w:val="00F02D7E"/>
    <w:rsid w:val="00F02E84"/>
    <w:rsid w:val="00F02F9E"/>
    <w:rsid w:val="00F033D0"/>
    <w:rsid w:val="00F0368A"/>
    <w:rsid w:val="00F036DA"/>
    <w:rsid w:val="00F03A3D"/>
    <w:rsid w:val="00F048E6"/>
    <w:rsid w:val="00F0499D"/>
    <w:rsid w:val="00F0647C"/>
    <w:rsid w:val="00F06B2B"/>
    <w:rsid w:val="00F06B50"/>
    <w:rsid w:val="00F0713D"/>
    <w:rsid w:val="00F07A85"/>
    <w:rsid w:val="00F07C9A"/>
    <w:rsid w:val="00F07D5C"/>
    <w:rsid w:val="00F07DF7"/>
    <w:rsid w:val="00F10845"/>
    <w:rsid w:val="00F10F8E"/>
    <w:rsid w:val="00F11662"/>
    <w:rsid w:val="00F11A68"/>
    <w:rsid w:val="00F11AA1"/>
    <w:rsid w:val="00F1240A"/>
    <w:rsid w:val="00F12501"/>
    <w:rsid w:val="00F13724"/>
    <w:rsid w:val="00F13E63"/>
    <w:rsid w:val="00F142D7"/>
    <w:rsid w:val="00F14B8B"/>
    <w:rsid w:val="00F14E0B"/>
    <w:rsid w:val="00F151E2"/>
    <w:rsid w:val="00F15FAD"/>
    <w:rsid w:val="00F1624C"/>
    <w:rsid w:val="00F16BCC"/>
    <w:rsid w:val="00F16CEE"/>
    <w:rsid w:val="00F17459"/>
    <w:rsid w:val="00F20ACA"/>
    <w:rsid w:val="00F21033"/>
    <w:rsid w:val="00F211AC"/>
    <w:rsid w:val="00F21270"/>
    <w:rsid w:val="00F222A7"/>
    <w:rsid w:val="00F228C5"/>
    <w:rsid w:val="00F2393F"/>
    <w:rsid w:val="00F23EF0"/>
    <w:rsid w:val="00F2457C"/>
    <w:rsid w:val="00F246D1"/>
    <w:rsid w:val="00F251C9"/>
    <w:rsid w:val="00F256A3"/>
    <w:rsid w:val="00F25C94"/>
    <w:rsid w:val="00F26BF5"/>
    <w:rsid w:val="00F3031E"/>
    <w:rsid w:val="00F3078B"/>
    <w:rsid w:val="00F307CB"/>
    <w:rsid w:val="00F30825"/>
    <w:rsid w:val="00F315AA"/>
    <w:rsid w:val="00F31889"/>
    <w:rsid w:val="00F3201F"/>
    <w:rsid w:val="00F32361"/>
    <w:rsid w:val="00F327EA"/>
    <w:rsid w:val="00F32C76"/>
    <w:rsid w:val="00F3345C"/>
    <w:rsid w:val="00F349BE"/>
    <w:rsid w:val="00F34C27"/>
    <w:rsid w:val="00F364A6"/>
    <w:rsid w:val="00F365E2"/>
    <w:rsid w:val="00F36E92"/>
    <w:rsid w:val="00F3709A"/>
    <w:rsid w:val="00F3791E"/>
    <w:rsid w:val="00F3794E"/>
    <w:rsid w:val="00F37E07"/>
    <w:rsid w:val="00F37FB3"/>
    <w:rsid w:val="00F3E29A"/>
    <w:rsid w:val="00F3E570"/>
    <w:rsid w:val="00F412B2"/>
    <w:rsid w:val="00F41761"/>
    <w:rsid w:val="00F42495"/>
    <w:rsid w:val="00F42A59"/>
    <w:rsid w:val="00F43AAF"/>
    <w:rsid w:val="00F43F20"/>
    <w:rsid w:val="00F44276"/>
    <w:rsid w:val="00F4465A"/>
    <w:rsid w:val="00F44FB3"/>
    <w:rsid w:val="00F46155"/>
    <w:rsid w:val="00F46952"/>
    <w:rsid w:val="00F46B1F"/>
    <w:rsid w:val="00F47008"/>
    <w:rsid w:val="00F47290"/>
    <w:rsid w:val="00F4740C"/>
    <w:rsid w:val="00F47DF5"/>
    <w:rsid w:val="00F50403"/>
    <w:rsid w:val="00F50A22"/>
    <w:rsid w:val="00F512DD"/>
    <w:rsid w:val="00F5158C"/>
    <w:rsid w:val="00F51720"/>
    <w:rsid w:val="00F519B6"/>
    <w:rsid w:val="00F529A6"/>
    <w:rsid w:val="00F52BE1"/>
    <w:rsid w:val="00F52E3E"/>
    <w:rsid w:val="00F532D7"/>
    <w:rsid w:val="00F5422C"/>
    <w:rsid w:val="00F5507C"/>
    <w:rsid w:val="00F55FC6"/>
    <w:rsid w:val="00F560AB"/>
    <w:rsid w:val="00F56A32"/>
    <w:rsid w:val="00F57BC9"/>
    <w:rsid w:val="00F5D3C9"/>
    <w:rsid w:val="00F6014A"/>
    <w:rsid w:val="00F60668"/>
    <w:rsid w:val="00F6081B"/>
    <w:rsid w:val="00F60BCE"/>
    <w:rsid w:val="00F61565"/>
    <w:rsid w:val="00F6181F"/>
    <w:rsid w:val="00F61F0C"/>
    <w:rsid w:val="00F621E9"/>
    <w:rsid w:val="00F63F7D"/>
    <w:rsid w:val="00F6435F"/>
    <w:rsid w:val="00F64623"/>
    <w:rsid w:val="00F64A2F"/>
    <w:rsid w:val="00F64B64"/>
    <w:rsid w:val="00F65E5A"/>
    <w:rsid w:val="00F6621F"/>
    <w:rsid w:val="00F66536"/>
    <w:rsid w:val="00F66781"/>
    <w:rsid w:val="00F66AB0"/>
    <w:rsid w:val="00F6770E"/>
    <w:rsid w:val="00F6793D"/>
    <w:rsid w:val="00F718E0"/>
    <w:rsid w:val="00F7383F"/>
    <w:rsid w:val="00F7399D"/>
    <w:rsid w:val="00F7473E"/>
    <w:rsid w:val="00F74D17"/>
    <w:rsid w:val="00F75266"/>
    <w:rsid w:val="00F75622"/>
    <w:rsid w:val="00F759C3"/>
    <w:rsid w:val="00F75CD9"/>
    <w:rsid w:val="00F75D37"/>
    <w:rsid w:val="00F769EB"/>
    <w:rsid w:val="00F77446"/>
    <w:rsid w:val="00F77B95"/>
    <w:rsid w:val="00F8019D"/>
    <w:rsid w:val="00F80312"/>
    <w:rsid w:val="00F80D47"/>
    <w:rsid w:val="00F81176"/>
    <w:rsid w:val="00F81669"/>
    <w:rsid w:val="00F821D9"/>
    <w:rsid w:val="00F82351"/>
    <w:rsid w:val="00F82BC8"/>
    <w:rsid w:val="00F835AE"/>
    <w:rsid w:val="00F83DC8"/>
    <w:rsid w:val="00F84929"/>
    <w:rsid w:val="00F84E90"/>
    <w:rsid w:val="00F85979"/>
    <w:rsid w:val="00F86125"/>
    <w:rsid w:val="00F86253"/>
    <w:rsid w:val="00F8670D"/>
    <w:rsid w:val="00F86F95"/>
    <w:rsid w:val="00F87887"/>
    <w:rsid w:val="00F87F5F"/>
    <w:rsid w:val="00F9041D"/>
    <w:rsid w:val="00F904C4"/>
    <w:rsid w:val="00F90BC2"/>
    <w:rsid w:val="00F90F11"/>
    <w:rsid w:val="00F90F31"/>
    <w:rsid w:val="00F91028"/>
    <w:rsid w:val="00F914DB"/>
    <w:rsid w:val="00F91E19"/>
    <w:rsid w:val="00F92E2A"/>
    <w:rsid w:val="00F933F3"/>
    <w:rsid w:val="00F937C6"/>
    <w:rsid w:val="00F93BC0"/>
    <w:rsid w:val="00F93CD8"/>
    <w:rsid w:val="00F94685"/>
    <w:rsid w:val="00F947AE"/>
    <w:rsid w:val="00F94870"/>
    <w:rsid w:val="00F94E09"/>
    <w:rsid w:val="00F9505B"/>
    <w:rsid w:val="00F9506C"/>
    <w:rsid w:val="00F95EB3"/>
    <w:rsid w:val="00F963F6"/>
    <w:rsid w:val="00F964D2"/>
    <w:rsid w:val="00F9677F"/>
    <w:rsid w:val="00F968C0"/>
    <w:rsid w:val="00F96FC3"/>
    <w:rsid w:val="00F9783A"/>
    <w:rsid w:val="00F9BEC3"/>
    <w:rsid w:val="00F9E7C4"/>
    <w:rsid w:val="00FA0489"/>
    <w:rsid w:val="00FA08EC"/>
    <w:rsid w:val="00FA098F"/>
    <w:rsid w:val="00FA0CCE"/>
    <w:rsid w:val="00FA1132"/>
    <w:rsid w:val="00FA193F"/>
    <w:rsid w:val="00FA1A5E"/>
    <w:rsid w:val="00FA2403"/>
    <w:rsid w:val="00FA2833"/>
    <w:rsid w:val="00FA2D6D"/>
    <w:rsid w:val="00FA31C8"/>
    <w:rsid w:val="00FA3D5D"/>
    <w:rsid w:val="00FA4DA8"/>
    <w:rsid w:val="00FA4E40"/>
    <w:rsid w:val="00FA51FF"/>
    <w:rsid w:val="00FA599D"/>
    <w:rsid w:val="00FA60E1"/>
    <w:rsid w:val="00FA6292"/>
    <w:rsid w:val="00FB094E"/>
    <w:rsid w:val="00FB0DAB"/>
    <w:rsid w:val="00FB18EE"/>
    <w:rsid w:val="00FB3553"/>
    <w:rsid w:val="00FB49B5"/>
    <w:rsid w:val="00FB4BD3"/>
    <w:rsid w:val="00FB4DFC"/>
    <w:rsid w:val="00FB65D3"/>
    <w:rsid w:val="00FB70E5"/>
    <w:rsid w:val="00FB7515"/>
    <w:rsid w:val="00FBEF69"/>
    <w:rsid w:val="00FC199D"/>
    <w:rsid w:val="00FC1C0A"/>
    <w:rsid w:val="00FC201A"/>
    <w:rsid w:val="00FC2F7E"/>
    <w:rsid w:val="00FC34BB"/>
    <w:rsid w:val="00FC38F8"/>
    <w:rsid w:val="00FC39AC"/>
    <w:rsid w:val="00FC4D70"/>
    <w:rsid w:val="00FC580B"/>
    <w:rsid w:val="00FC5B42"/>
    <w:rsid w:val="00FC6AE8"/>
    <w:rsid w:val="00FC7089"/>
    <w:rsid w:val="00FC79BB"/>
    <w:rsid w:val="00FD0747"/>
    <w:rsid w:val="00FD07FC"/>
    <w:rsid w:val="00FD21F2"/>
    <w:rsid w:val="00FD2EB2"/>
    <w:rsid w:val="00FD3A0D"/>
    <w:rsid w:val="00FD3DD1"/>
    <w:rsid w:val="00FD5E21"/>
    <w:rsid w:val="00FD6ABE"/>
    <w:rsid w:val="00FD6D6D"/>
    <w:rsid w:val="00FD7357"/>
    <w:rsid w:val="00FD75B8"/>
    <w:rsid w:val="00FD776F"/>
    <w:rsid w:val="00FD7791"/>
    <w:rsid w:val="00FD7E8A"/>
    <w:rsid w:val="00FE08E2"/>
    <w:rsid w:val="00FE0A97"/>
    <w:rsid w:val="00FE0CBE"/>
    <w:rsid w:val="00FE1202"/>
    <w:rsid w:val="00FE12B0"/>
    <w:rsid w:val="00FE174E"/>
    <w:rsid w:val="00FE2A5F"/>
    <w:rsid w:val="00FE2BD4"/>
    <w:rsid w:val="00FE2F9C"/>
    <w:rsid w:val="00FE482E"/>
    <w:rsid w:val="00FE6A8F"/>
    <w:rsid w:val="00FE74EF"/>
    <w:rsid w:val="00FF04B1"/>
    <w:rsid w:val="00FF05A1"/>
    <w:rsid w:val="00FF081A"/>
    <w:rsid w:val="00FF0922"/>
    <w:rsid w:val="00FF0AB1"/>
    <w:rsid w:val="00FF0F38"/>
    <w:rsid w:val="00FF1E48"/>
    <w:rsid w:val="00FF2A0D"/>
    <w:rsid w:val="00FF3A51"/>
    <w:rsid w:val="00FF3FD1"/>
    <w:rsid w:val="00FF4ABE"/>
    <w:rsid w:val="00FF55FA"/>
    <w:rsid w:val="00FF5E35"/>
    <w:rsid w:val="00FF6372"/>
    <w:rsid w:val="00FF6496"/>
    <w:rsid w:val="00FF6C39"/>
    <w:rsid w:val="00FF72B1"/>
    <w:rsid w:val="0101EC23"/>
    <w:rsid w:val="01029A3C"/>
    <w:rsid w:val="0103E44B"/>
    <w:rsid w:val="0104EF9C"/>
    <w:rsid w:val="0105E981"/>
    <w:rsid w:val="0107FFFA"/>
    <w:rsid w:val="010904D9"/>
    <w:rsid w:val="010BA8BD"/>
    <w:rsid w:val="010CC4FC"/>
    <w:rsid w:val="010DF407"/>
    <w:rsid w:val="01105FC9"/>
    <w:rsid w:val="01108F19"/>
    <w:rsid w:val="0113481E"/>
    <w:rsid w:val="01153563"/>
    <w:rsid w:val="011659CC"/>
    <w:rsid w:val="0117AB73"/>
    <w:rsid w:val="01188B6A"/>
    <w:rsid w:val="011A59DC"/>
    <w:rsid w:val="011B122F"/>
    <w:rsid w:val="011BE668"/>
    <w:rsid w:val="011C050C"/>
    <w:rsid w:val="011D3CB8"/>
    <w:rsid w:val="011F48EC"/>
    <w:rsid w:val="011F8ABF"/>
    <w:rsid w:val="0121E9FF"/>
    <w:rsid w:val="01220A5B"/>
    <w:rsid w:val="012536B2"/>
    <w:rsid w:val="012643A4"/>
    <w:rsid w:val="0126D773"/>
    <w:rsid w:val="0127D969"/>
    <w:rsid w:val="01288B48"/>
    <w:rsid w:val="01291E4E"/>
    <w:rsid w:val="01298E92"/>
    <w:rsid w:val="0129A41E"/>
    <w:rsid w:val="012BB8EB"/>
    <w:rsid w:val="012D9DC4"/>
    <w:rsid w:val="01303F3F"/>
    <w:rsid w:val="01313DB5"/>
    <w:rsid w:val="0133F6BB"/>
    <w:rsid w:val="01356264"/>
    <w:rsid w:val="0136721C"/>
    <w:rsid w:val="01386446"/>
    <w:rsid w:val="01388B62"/>
    <w:rsid w:val="0138A94E"/>
    <w:rsid w:val="0138E23E"/>
    <w:rsid w:val="0139A98A"/>
    <w:rsid w:val="013AA4DE"/>
    <w:rsid w:val="013B5226"/>
    <w:rsid w:val="013C9CF3"/>
    <w:rsid w:val="013CD936"/>
    <w:rsid w:val="013D5187"/>
    <w:rsid w:val="013DE05D"/>
    <w:rsid w:val="014383D1"/>
    <w:rsid w:val="0143D8E4"/>
    <w:rsid w:val="01443B59"/>
    <w:rsid w:val="01448DDD"/>
    <w:rsid w:val="0145D4FE"/>
    <w:rsid w:val="01479823"/>
    <w:rsid w:val="014C39A5"/>
    <w:rsid w:val="014FD749"/>
    <w:rsid w:val="01502CE8"/>
    <w:rsid w:val="01505AEF"/>
    <w:rsid w:val="0150FBB8"/>
    <w:rsid w:val="0154DE4B"/>
    <w:rsid w:val="01572C62"/>
    <w:rsid w:val="01577BD2"/>
    <w:rsid w:val="01581E3B"/>
    <w:rsid w:val="01590D1D"/>
    <w:rsid w:val="015981D9"/>
    <w:rsid w:val="01598429"/>
    <w:rsid w:val="015AD0FF"/>
    <w:rsid w:val="015B5008"/>
    <w:rsid w:val="015C2169"/>
    <w:rsid w:val="015C8C65"/>
    <w:rsid w:val="015D43D0"/>
    <w:rsid w:val="015EF1AF"/>
    <w:rsid w:val="01610205"/>
    <w:rsid w:val="016102D7"/>
    <w:rsid w:val="0161BECC"/>
    <w:rsid w:val="01626ECF"/>
    <w:rsid w:val="0162FE14"/>
    <w:rsid w:val="01641ECC"/>
    <w:rsid w:val="01643F8F"/>
    <w:rsid w:val="01656811"/>
    <w:rsid w:val="01680738"/>
    <w:rsid w:val="0168C689"/>
    <w:rsid w:val="01699C64"/>
    <w:rsid w:val="0169F87E"/>
    <w:rsid w:val="016B0678"/>
    <w:rsid w:val="016B89DA"/>
    <w:rsid w:val="016BBD73"/>
    <w:rsid w:val="016BDD42"/>
    <w:rsid w:val="016C8301"/>
    <w:rsid w:val="016CB3BA"/>
    <w:rsid w:val="016D6185"/>
    <w:rsid w:val="016F7B0C"/>
    <w:rsid w:val="0170A906"/>
    <w:rsid w:val="0171A918"/>
    <w:rsid w:val="017B789E"/>
    <w:rsid w:val="017B8FD4"/>
    <w:rsid w:val="017E74CE"/>
    <w:rsid w:val="01800C1E"/>
    <w:rsid w:val="0180729E"/>
    <w:rsid w:val="0180A1A9"/>
    <w:rsid w:val="0180C68A"/>
    <w:rsid w:val="018112CC"/>
    <w:rsid w:val="01818783"/>
    <w:rsid w:val="01834D35"/>
    <w:rsid w:val="0183B7E6"/>
    <w:rsid w:val="0184224E"/>
    <w:rsid w:val="0185A0B6"/>
    <w:rsid w:val="0185A2EF"/>
    <w:rsid w:val="0185B3B9"/>
    <w:rsid w:val="01874052"/>
    <w:rsid w:val="01889D9B"/>
    <w:rsid w:val="018944F3"/>
    <w:rsid w:val="01894950"/>
    <w:rsid w:val="018AA898"/>
    <w:rsid w:val="018AC7A1"/>
    <w:rsid w:val="018F284D"/>
    <w:rsid w:val="019196A5"/>
    <w:rsid w:val="0192204E"/>
    <w:rsid w:val="01929944"/>
    <w:rsid w:val="0192EBC4"/>
    <w:rsid w:val="01931029"/>
    <w:rsid w:val="01957D04"/>
    <w:rsid w:val="0195A2C3"/>
    <w:rsid w:val="019604A7"/>
    <w:rsid w:val="0196EF83"/>
    <w:rsid w:val="0198C586"/>
    <w:rsid w:val="019A7927"/>
    <w:rsid w:val="019FE72D"/>
    <w:rsid w:val="01A2406A"/>
    <w:rsid w:val="01A5ED92"/>
    <w:rsid w:val="01A5F4A7"/>
    <w:rsid w:val="01A805AA"/>
    <w:rsid w:val="01A893B3"/>
    <w:rsid w:val="01A8FDDC"/>
    <w:rsid w:val="01AA1033"/>
    <w:rsid w:val="01AAFF6E"/>
    <w:rsid w:val="01AB4511"/>
    <w:rsid w:val="01AC773E"/>
    <w:rsid w:val="01AC9D9A"/>
    <w:rsid w:val="01AD2A7A"/>
    <w:rsid w:val="01AD7F00"/>
    <w:rsid w:val="01ADBE2F"/>
    <w:rsid w:val="01AE62E0"/>
    <w:rsid w:val="01B1B90F"/>
    <w:rsid w:val="01B333A0"/>
    <w:rsid w:val="01B6C121"/>
    <w:rsid w:val="01B969EE"/>
    <w:rsid w:val="01B9842B"/>
    <w:rsid w:val="01B9D1EC"/>
    <w:rsid w:val="01BC7E5F"/>
    <w:rsid w:val="01BD8999"/>
    <w:rsid w:val="01C12BDF"/>
    <w:rsid w:val="01C1A969"/>
    <w:rsid w:val="01C34916"/>
    <w:rsid w:val="01C3A325"/>
    <w:rsid w:val="01C5B4E4"/>
    <w:rsid w:val="01C64F97"/>
    <w:rsid w:val="01C68CC0"/>
    <w:rsid w:val="01C6F0F4"/>
    <w:rsid w:val="01C881C7"/>
    <w:rsid w:val="01C9A7A0"/>
    <w:rsid w:val="01CB8B69"/>
    <w:rsid w:val="01CEBBB3"/>
    <w:rsid w:val="01CF02DD"/>
    <w:rsid w:val="01CF550D"/>
    <w:rsid w:val="01D341BD"/>
    <w:rsid w:val="01D3E16D"/>
    <w:rsid w:val="01D4588D"/>
    <w:rsid w:val="01D54141"/>
    <w:rsid w:val="01D56F0F"/>
    <w:rsid w:val="01D60D2C"/>
    <w:rsid w:val="01D87075"/>
    <w:rsid w:val="01D9BF79"/>
    <w:rsid w:val="01DA9099"/>
    <w:rsid w:val="01DB54A7"/>
    <w:rsid w:val="01DC9EB6"/>
    <w:rsid w:val="01DD3284"/>
    <w:rsid w:val="01DE962E"/>
    <w:rsid w:val="01DF5C2B"/>
    <w:rsid w:val="01E3DC2E"/>
    <w:rsid w:val="01E564AA"/>
    <w:rsid w:val="01E62B38"/>
    <w:rsid w:val="01E710AB"/>
    <w:rsid w:val="01E7A41F"/>
    <w:rsid w:val="01E831EA"/>
    <w:rsid w:val="01E889DF"/>
    <w:rsid w:val="01E9B1EB"/>
    <w:rsid w:val="01EB3F84"/>
    <w:rsid w:val="01EC2FF3"/>
    <w:rsid w:val="01ED6A5B"/>
    <w:rsid w:val="01EE6C09"/>
    <w:rsid w:val="01EEF109"/>
    <w:rsid w:val="01F24FE5"/>
    <w:rsid w:val="01F2AB86"/>
    <w:rsid w:val="01F2AF10"/>
    <w:rsid w:val="01F35C99"/>
    <w:rsid w:val="01F3E594"/>
    <w:rsid w:val="01F46800"/>
    <w:rsid w:val="01F507EE"/>
    <w:rsid w:val="01F7C1FA"/>
    <w:rsid w:val="01F7E71B"/>
    <w:rsid w:val="01FC4FB2"/>
    <w:rsid w:val="01FCB17A"/>
    <w:rsid w:val="01FCD96E"/>
    <w:rsid w:val="01FEC604"/>
    <w:rsid w:val="01FF541D"/>
    <w:rsid w:val="01FFD560"/>
    <w:rsid w:val="0201A836"/>
    <w:rsid w:val="0203A482"/>
    <w:rsid w:val="0203D712"/>
    <w:rsid w:val="02066CB8"/>
    <w:rsid w:val="0207B447"/>
    <w:rsid w:val="020C812B"/>
    <w:rsid w:val="020EF377"/>
    <w:rsid w:val="020F7E53"/>
    <w:rsid w:val="0210B25C"/>
    <w:rsid w:val="0211EF7A"/>
    <w:rsid w:val="0213F31E"/>
    <w:rsid w:val="02155F2A"/>
    <w:rsid w:val="0217537D"/>
    <w:rsid w:val="02181838"/>
    <w:rsid w:val="0218820E"/>
    <w:rsid w:val="02194BC5"/>
    <w:rsid w:val="021A8543"/>
    <w:rsid w:val="021BD6B2"/>
    <w:rsid w:val="021BEE7F"/>
    <w:rsid w:val="021C0BE4"/>
    <w:rsid w:val="021F84C0"/>
    <w:rsid w:val="0221FEDF"/>
    <w:rsid w:val="02261F71"/>
    <w:rsid w:val="0226624F"/>
    <w:rsid w:val="02283F3A"/>
    <w:rsid w:val="022A045C"/>
    <w:rsid w:val="022D769B"/>
    <w:rsid w:val="022E308B"/>
    <w:rsid w:val="022EB278"/>
    <w:rsid w:val="022F1410"/>
    <w:rsid w:val="02302428"/>
    <w:rsid w:val="0230BE7C"/>
    <w:rsid w:val="0231C1BF"/>
    <w:rsid w:val="0232021C"/>
    <w:rsid w:val="023276AA"/>
    <w:rsid w:val="02383CBF"/>
    <w:rsid w:val="023FDBF3"/>
    <w:rsid w:val="02401231"/>
    <w:rsid w:val="02404092"/>
    <w:rsid w:val="0246B80F"/>
    <w:rsid w:val="0246C0FB"/>
    <w:rsid w:val="02470716"/>
    <w:rsid w:val="0248982A"/>
    <w:rsid w:val="024AA659"/>
    <w:rsid w:val="024E41D4"/>
    <w:rsid w:val="024F6D30"/>
    <w:rsid w:val="02506A3B"/>
    <w:rsid w:val="0251228D"/>
    <w:rsid w:val="02534920"/>
    <w:rsid w:val="02537C6F"/>
    <w:rsid w:val="0254E405"/>
    <w:rsid w:val="02550617"/>
    <w:rsid w:val="02566153"/>
    <w:rsid w:val="0257AAFB"/>
    <w:rsid w:val="02616F25"/>
    <w:rsid w:val="0264037D"/>
    <w:rsid w:val="0267B678"/>
    <w:rsid w:val="0268B473"/>
    <w:rsid w:val="026997C3"/>
    <w:rsid w:val="026A8296"/>
    <w:rsid w:val="026B45BA"/>
    <w:rsid w:val="026BB0A9"/>
    <w:rsid w:val="026CB994"/>
    <w:rsid w:val="026D3376"/>
    <w:rsid w:val="026F39E0"/>
    <w:rsid w:val="0270E924"/>
    <w:rsid w:val="0271C235"/>
    <w:rsid w:val="0273494A"/>
    <w:rsid w:val="02767A76"/>
    <w:rsid w:val="0276D38F"/>
    <w:rsid w:val="0277535A"/>
    <w:rsid w:val="0278C3CB"/>
    <w:rsid w:val="02796E4A"/>
    <w:rsid w:val="027AFEA5"/>
    <w:rsid w:val="027CA1E6"/>
    <w:rsid w:val="027E35F2"/>
    <w:rsid w:val="02805E9F"/>
    <w:rsid w:val="0280F3B7"/>
    <w:rsid w:val="0281B29A"/>
    <w:rsid w:val="02831839"/>
    <w:rsid w:val="02832053"/>
    <w:rsid w:val="028339DC"/>
    <w:rsid w:val="02840EA7"/>
    <w:rsid w:val="0284597C"/>
    <w:rsid w:val="0284EF1E"/>
    <w:rsid w:val="02857CFA"/>
    <w:rsid w:val="02859B50"/>
    <w:rsid w:val="028D8C21"/>
    <w:rsid w:val="028E6607"/>
    <w:rsid w:val="028F937C"/>
    <w:rsid w:val="028FB51F"/>
    <w:rsid w:val="029037A4"/>
    <w:rsid w:val="02921479"/>
    <w:rsid w:val="0293597B"/>
    <w:rsid w:val="0298E737"/>
    <w:rsid w:val="029A0B87"/>
    <w:rsid w:val="029A43B0"/>
    <w:rsid w:val="029B3B16"/>
    <w:rsid w:val="029B540C"/>
    <w:rsid w:val="029B56A9"/>
    <w:rsid w:val="029BEF81"/>
    <w:rsid w:val="029D6006"/>
    <w:rsid w:val="02A124E7"/>
    <w:rsid w:val="02A2DF0A"/>
    <w:rsid w:val="02A32F2B"/>
    <w:rsid w:val="02A480F2"/>
    <w:rsid w:val="02A635D9"/>
    <w:rsid w:val="02A7499C"/>
    <w:rsid w:val="02A7A412"/>
    <w:rsid w:val="02A954CA"/>
    <w:rsid w:val="02A9ED61"/>
    <w:rsid w:val="02AF082E"/>
    <w:rsid w:val="02B0074C"/>
    <w:rsid w:val="02B0F8FF"/>
    <w:rsid w:val="02B2D087"/>
    <w:rsid w:val="02B524B4"/>
    <w:rsid w:val="02B530D8"/>
    <w:rsid w:val="02B65E3C"/>
    <w:rsid w:val="02BC7C7A"/>
    <w:rsid w:val="02BD78E3"/>
    <w:rsid w:val="02BFAEDA"/>
    <w:rsid w:val="02BFC665"/>
    <w:rsid w:val="02C0E166"/>
    <w:rsid w:val="02C0E828"/>
    <w:rsid w:val="02C208BA"/>
    <w:rsid w:val="02C56818"/>
    <w:rsid w:val="02C65FCB"/>
    <w:rsid w:val="02C6C472"/>
    <w:rsid w:val="02C81C7A"/>
    <w:rsid w:val="02CD9A69"/>
    <w:rsid w:val="02CE3188"/>
    <w:rsid w:val="02CF5238"/>
    <w:rsid w:val="02CF87E2"/>
    <w:rsid w:val="02CFE611"/>
    <w:rsid w:val="02D59620"/>
    <w:rsid w:val="02D70FE0"/>
    <w:rsid w:val="02D882D0"/>
    <w:rsid w:val="02D89030"/>
    <w:rsid w:val="02D9428D"/>
    <w:rsid w:val="02DD69A5"/>
    <w:rsid w:val="02E09905"/>
    <w:rsid w:val="02E20EB3"/>
    <w:rsid w:val="02E259C8"/>
    <w:rsid w:val="02E3BDC5"/>
    <w:rsid w:val="02E48CDC"/>
    <w:rsid w:val="02E48F94"/>
    <w:rsid w:val="02E4CB3C"/>
    <w:rsid w:val="02E65739"/>
    <w:rsid w:val="02E71535"/>
    <w:rsid w:val="02E87423"/>
    <w:rsid w:val="02EADB48"/>
    <w:rsid w:val="02EC4E71"/>
    <w:rsid w:val="02EFE78D"/>
    <w:rsid w:val="02F3500F"/>
    <w:rsid w:val="02F3AB53"/>
    <w:rsid w:val="02F3E978"/>
    <w:rsid w:val="02F49631"/>
    <w:rsid w:val="02F4F0A4"/>
    <w:rsid w:val="02F658E8"/>
    <w:rsid w:val="02F69F5A"/>
    <w:rsid w:val="02F70054"/>
    <w:rsid w:val="02F80BCF"/>
    <w:rsid w:val="02F98171"/>
    <w:rsid w:val="02FB4336"/>
    <w:rsid w:val="02FC1BB1"/>
    <w:rsid w:val="02FCA8BD"/>
    <w:rsid w:val="0301E223"/>
    <w:rsid w:val="030325CD"/>
    <w:rsid w:val="0303DA83"/>
    <w:rsid w:val="03049C41"/>
    <w:rsid w:val="03053F4C"/>
    <w:rsid w:val="0309BD3D"/>
    <w:rsid w:val="0311615C"/>
    <w:rsid w:val="03119FD4"/>
    <w:rsid w:val="0313DE8B"/>
    <w:rsid w:val="0315425D"/>
    <w:rsid w:val="031752C8"/>
    <w:rsid w:val="0318055F"/>
    <w:rsid w:val="031999AE"/>
    <w:rsid w:val="031AD147"/>
    <w:rsid w:val="031C7DAE"/>
    <w:rsid w:val="031DAC77"/>
    <w:rsid w:val="0320B4EE"/>
    <w:rsid w:val="0321DFF4"/>
    <w:rsid w:val="0322EA2F"/>
    <w:rsid w:val="03237250"/>
    <w:rsid w:val="0324AB7E"/>
    <w:rsid w:val="0328B06D"/>
    <w:rsid w:val="032BB540"/>
    <w:rsid w:val="032C57A2"/>
    <w:rsid w:val="032D60E8"/>
    <w:rsid w:val="032F3EDB"/>
    <w:rsid w:val="032FB3DE"/>
    <w:rsid w:val="03300DEE"/>
    <w:rsid w:val="033167ED"/>
    <w:rsid w:val="0333052C"/>
    <w:rsid w:val="0333E062"/>
    <w:rsid w:val="033400B8"/>
    <w:rsid w:val="03340307"/>
    <w:rsid w:val="03346DEF"/>
    <w:rsid w:val="0334B221"/>
    <w:rsid w:val="0335D0F6"/>
    <w:rsid w:val="0335F738"/>
    <w:rsid w:val="03381567"/>
    <w:rsid w:val="03381F91"/>
    <w:rsid w:val="033A29CB"/>
    <w:rsid w:val="033C44B7"/>
    <w:rsid w:val="033C972F"/>
    <w:rsid w:val="033EEC62"/>
    <w:rsid w:val="033F748D"/>
    <w:rsid w:val="0341BC70"/>
    <w:rsid w:val="0342786B"/>
    <w:rsid w:val="03428175"/>
    <w:rsid w:val="0342D512"/>
    <w:rsid w:val="0344BAE2"/>
    <w:rsid w:val="03462FDA"/>
    <w:rsid w:val="03467513"/>
    <w:rsid w:val="03480A41"/>
    <w:rsid w:val="03488687"/>
    <w:rsid w:val="034C98EB"/>
    <w:rsid w:val="035647B7"/>
    <w:rsid w:val="0358F8EA"/>
    <w:rsid w:val="035D03DF"/>
    <w:rsid w:val="035D535F"/>
    <w:rsid w:val="0360AF31"/>
    <w:rsid w:val="03626EA7"/>
    <w:rsid w:val="0362D48E"/>
    <w:rsid w:val="03632F3F"/>
    <w:rsid w:val="03649E85"/>
    <w:rsid w:val="0364F9E2"/>
    <w:rsid w:val="03656A36"/>
    <w:rsid w:val="03656F9A"/>
    <w:rsid w:val="0367ED4D"/>
    <w:rsid w:val="036AA4E5"/>
    <w:rsid w:val="036AEC51"/>
    <w:rsid w:val="036D1531"/>
    <w:rsid w:val="036D7D9D"/>
    <w:rsid w:val="036DC4D8"/>
    <w:rsid w:val="036FDDAF"/>
    <w:rsid w:val="03705FD5"/>
    <w:rsid w:val="037197F8"/>
    <w:rsid w:val="0371AC7D"/>
    <w:rsid w:val="03721279"/>
    <w:rsid w:val="03746031"/>
    <w:rsid w:val="0374744C"/>
    <w:rsid w:val="0374E3F9"/>
    <w:rsid w:val="0376C128"/>
    <w:rsid w:val="03787BD9"/>
    <w:rsid w:val="0378888C"/>
    <w:rsid w:val="0379D9F6"/>
    <w:rsid w:val="037B0099"/>
    <w:rsid w:val="037C2CB9"/>
    <w:rsid w:val="037E623B"/>
    <w:rsid w:val="037E6F87"/>
    <w:rsid w:val="037E83EC"/>
    <w:rsid w:val="03800812"/>
    <w:rsid w:val="03801605"/>
    <w:rsid w:val="0382F235"/>
    <w:rsid w:val="0387AF53"/>
    <w:rsid w:val="038825FD"/>
    <w:rsid w:val="038A445C"/>
    <w:rsid w:val="038B0DC9"/>
    <w:rsid w:val="038CD1E6"/>
    <w:rsid w:val="038D3C44"/>
    <w:rsid w:val="038D6658"/>
    <w:rsid w:val="038E05EF"/>
    <w:rsid w:val="038E2DAE"/>
    <w:rsid w:val="038E3948"/>
    <w:rsid w:val="038E9177"/>
    <w:rsid w:val="038FB76F"/>
    <w:rsid w:val="0390349F"/>
    <w:rsid w:val="0393346C"/>
    <w:rsid w:val="03943560"/>
    <w:rsid w:val="0396C028"/>
    <w:rsid w:val="0397C1E7"/>
    <w:rsid w:val="0397F33C"/>
    <w:rsid w:val="039BB579"/>
    <w:rsid w:val="039CB9C3"/>
    <w:rsid w:val="039D1FFA"/>
    <w:rsid w:val="039DFF89"/>
    <w:rsid w:val="03A150AA"/>
    <w:rsid w:val="03A41366"/>
    <w:rsid w:val="03A8D8BD"/>
    <w:rsid w:val="03A8DA1E"/>
    <w:rsid w:val="03AA9954"/>
    <w:rsid w:val="03AA9D8E"/>
    <w:rsid w:val="03AB22A5"/>
    <w:rsid w:val="03AB4EB4"/>
    <w:rsid w:val="03AB66C7"/>
    <w:rsid w:val="03AC4484"/>
    <w:rsid w:val="03AD0B7B"/>
    <w:rsid w:val="03ADC0D3"/>
    <w:rsid w:val="03AE698A"/>
    <w:rsid w:val="03AE92B5"/>
    <w:rsid w:val="03AEC144"/>
    <w:rsid w:val="03AFFF91"/>
    <w:rsid w:val="03B13D36"/>
    <w:rsid w:val="03B1CE56"/>
    <w:rsid w:val="03B21B4F"/>
    <w:rsid w:val="03B242D5"/>
    <w:rsid w:val="03B39228"/>
    <w:rsid w:val="03B48312"/>
    <w:rsid w:val="03B61EF7"/>
    <w:rsid w:val="03B7437B"/>
    <w:rsid w:val="03B8C5EC"/>
    <w:rsid w:val="03B917C8"/>
    <w:rsid w:val="03BB3F1E"/>
    <w:rsid w:val="03BBAFC4"/>
    <w:rsid w:val="03BC96EE"/>
    <w:rsid w:val="03BD0967"/>
    <w:rsid w:val="03BDB731"/>
    <w:rsid w:val="03BE66B8"/>
    <w:rsid w:val="03BF9D49"/>
    <w:rsid w:val="03BFF3EA"/>
    <w:rsid w:val="03C0EE31"/>
    <w:rsid w:val="03C2A1DC"/>
    <w:rsid w:val="03C3216A"/>
    <w:rsid w:val="03C6F09C"/>
    <w:rsid w:val="03C7562F"/>
    <w:rsid w:val="03C8F5E8"/>
    <w:rsid w:val="03CB260B"/>
    <w:rsid w:val="03CC4DB7"/>
    <w:rsid w:val="03CC908C"/>
    <w:rsid w:val="03CD7D11"/>
    <w:rsid w:val="03D014C3"/>
    <w:rsid w:val="03D04064"/>
    <w:rsid w:val="03D0B9A9"/>
    <w:rsid w:val="03D29391"/>
    <w:rsid w:val="03D51AE0"/>
    <w:rsid w:val="03D52BE7"/>
    <w:rsid w:val="03D81EFD"/>
    <w:rsid w:val="03D895E5"/>
    <w:rsid w:val="03DA9B12"/>
    <w:rsid w:val="03DEEFBB"/>
    <w:rsid w:val="03E40D81"/>
    <w:rsid w:val="03E5AD56"/>
    <w:rsid w:val="03E7DBA8"/>
    <w:rsid w:val="03E8344C"/>
    <w:rsid w:val="03E89ECB"/>
    <w:rsid w:val="03E9A35A"/>
    <w:rsid w:val="03EBEC77"/>
    <w:rsid w:val="03EDE40B"/>
    <w:rsid w:val="03EEEA6E"/>
    <w:rsid w:val="03EF28C1"/>
    <w:rsid w:val="03F0633F"/>
    <w:rsid w:val="03F387C9"/>
    <w:rsid w:val="03F39917"/>
    <w:rsid w:val="03F432D7"/>
    <w:rsid w:val="03F51144"/>
    <w:rsid w:val="03F59975"/>
    <w:rsid w:val="03F870C0"/>
    <w:rsid w:val="03FA069D"/>
    <w:rsid w:val="03FB3421"/>
    <w:rsid w:val="03FCAABA"/>
    <w:rsid w:val="03FD1AA3"/>
    <w:rsid w:val="03FE200E"/>
    <w:rsid w:val="040039C4"/>
    <w:rsid w:val="040059B0"/>
    <w:rsid w:val="0400C78C"/>
    <w:rsid w:val="04037205"/>
    <w:rsid w:val="040531E3"/>
    <w:rsid w:val="04074925"/>
    <w:rsid w:val="0407E7E4"/>
    <w:rsid w:val="04096946"/>
    <w:rsid w:val="040B6D69"/>
    <w:rsid w:val="04115D2E"/>
    <w:rsid w:val="0411CACB"/>
    <w:rsid w:val="04185EBC"/>
    <w:rsid w:val="04188DCF"/>
    <w:rsid w:val="041C5333"/>
    <w:rsid w:val="041C748F"/>
    <w:rsid w:val="041D32AC"/>
    <w:rsid w:val="041E5731"/>
    <w:rsid w:val="041ECCD4"/>
    <w:rsid w:val="04223639"/>
    <w:rsid w:val="042258D7"/>
    <w:rsid w:val="042274F7"/>
    <w:rsid w:val="0422AA47"/>
    <w:rsid w:val="0424A9D9"/>
    <w:rsid w:val="0426651B"/>
    <w:rsid w:val="04280A9F"/>
    <w:rsid w:val="04284C4A"/>
    <w:rsid w:val="04296CB7"/>
    <w:rsid w:val="042D1788"/>
    <w:rsid w:val="042DC2F8"/>
    <w:rsid w:val="042DFF4D"/>
    <w:rsid w:val="043188AB"/>
    <w:rsid w:val="0431E12C"/>
    <w:rsid w:val="04320B3C"/>
    <w:rsid w:val="0432769E"/>
    <w:rsid w:val="043826C7"/>
    <w:rsid w:val="04394A94"/>
    <w:rsid w:val="043E3535"/>
    <w:rsid w:val="04406CEE"/>
    <w:rsid w:val="04414BAD"/>
    <w:rsid w:val="04461271"/>
    <w:rsid w:val="04475094"/>
    <w:rsid w:val="04478871"/>
    <w:rsid w:val="0447FA97"/>
    <w:rsid w:val="0448BE09"/>
    <w:rsid w:val="044C1195"/>
    <w:rsid w:val="044C15EC"/>
    <w:rsid w:val="0450AC43"/>
    <w:rsid w:val="04547017"/>
    <w:rsid w:val="04550C74"/>
    <w:rsid w:val="0455B8B1"/>
    <w:rsid w:val="0455DE59"/>
    <w:rsid w:val="045722AE"/>
    <w:rsid w:val="045A68FC"/>
    <w:rsid w:val="045A6E33"/>
    <w:rsid w:val="045A708F"/>
    <w:rsid w:val="045ABEC0"/>
    <w:rsid w:val="045BBD05"/>
    <w:rsid w:val="045C5887"/>
    <w:rsid w:val="045CA651"/>
    <w:rsid w:val="045E0697"/>
    <w:rsid w:val="04600DE6"/>
    <w:rsid w:val="04605AA8"/>
    <w:rsid w:val="04617DD0"/>
    <w:rsid w:val="04639FDC"/>
    <w:rsid w:val="0463B555"/>
    <w:rsid w:val="04651D10"/>
    <w:rsid w:val="0466F136"/>
    <w:rsid w:val="04686C3B"/>
    <w:rsid w:val="0468D34B"/>
    <w:rsid w:val="0468DEF4"/>
    <w:rsid w:val="046AE086"/>
    <w:rsid w:val="046B70E0"/>
    <w:rsid w:val="046BF00E"/>
    <w:rsid w:val="046CF7AE"/>
    <w:rsid w:val="04700706"/>
    <w:rsid w:val="0470114E"/>
    <w:rsid w:val="047807D0"/>
    <w:rsid w:val="047A75D0"/>
    <w:rsid w:val="047D4E0F"/>
    <w:rsid w:val="047D6C32"/>
    <w:rsid w:val="047E0555"/>
    <w:rsid w:val="047EF39C"/>
    <w:rsid w:val="047FDA0D"/>
    <w:rsid w:val="047FDA43"/>
    <w:rsid w:val="047FDCF4"/>
    <w:rsid w:val="0483AA77"/>
    <w:rsid w:val="0486014A"/>
    <w:rsid w:val="04867C3D"/>
    <w:rsid w:val="04881C3F"/>
    <w:rsid w:val="04882C09"/>
    <w:rsid w:val="04894E99"/>
    <w:rsid w:val="048ADD04"/>
    <w:rsid w:val="048C6B27"/>
    <w:rsid w:val="048DF8BC"/>
    <w:rsid w:val="0490643D"/>
    <w:rsid w:val="0490A9B7"/>
    <w:rsid w:val="04910942"/>
    <w:rsid w:val="04917F57"/>
    <w:rsid w:val="0491C28D"/>
    <w:rsid w:val="04929239"/>
    <w:rsid w:val="0493CEE1"/>
    <w:rsid w:val="0495063A"/>
    <w:rsid w:val="0496568A"/>
    <w:rsid w:val="04973E4C"/>
    <w:rsid w:val="049773E0"/>
    <w:rsid w:val="04991F46"/>
    <w:rsid w:val="049BA019"/>
    <w:rsid w:val="049C3034"/>
    <w:rsid w:val="04A11AF8"/>
    <w:rsid w:val="04A2D75F"/>
    <w:rsid w:val="04A42D66"/>
    <w:rsid w:val="04A43F00"/>
    <w:rsid w:val="04A68360"/>
    <w:rsid w:val="04A7464C"/>
    <w:rsid w:val="04A82AD0"/>
    <w:rsid w:val="04A91224"/>
    <w:rsid w:val="04A98BF1"/>
    <w:rsid w:val="04AA7948"/>
    <w:rsid w:val="04AB81C3"/>
    <w:rsid w:val="04AC8FD7"/>
    <w:rsid w:val="04AD7035"/>
    <w:rsid w:val="04ADCD28"/>
    <w:rsid w:val="04B0241B"/>
    <w:rsid w:val="04B041CE"/>
    <w:rsid w:val="04B170EA"/>
    <w:rsid w:val="04B2163C"/>
    <w:rsid w:val="04B2CDB4"/>
    <w:rsid w:val="04B47D1B"/>
    <w:rsid w:val="04B5AC21"/>
    <w:rsid w:val="04B6A840"/>
    <w:rsid w:val="04B83439"/>
    <w:rsid w:val="04B87432"/>
    <w:rsid w:val="04B9622E"/>
    <w:rsid w:val="04BA6808"/>
    <w:rsid w:val="04BADF98"/>
    <w:rsid w:val="04BBA38C"/>
    <w:rsid w:val="04BBC504"/>
    <w:rsid w:val="04BBF675"/>
    <w:rsid w:val="04BECCB4"/>
    <w:rsid w:val="04BF2F12"/>
    <w:rsid w:val="04C09CCD"/>
    <w:rsid w:val="04C15259"/>
    <w:rsid w:val="04C1929C"/>
    <w:rsid w:val="04C19B4F"/>
    <w:rsid w:val="04C205D9"/>
    <w:rsid w:val="04C532F1"/>
    <w:rsid w:val="04C5638D"/>
    <w:rsid w:val="04C7816A"/>
    <w:rsid w:val="04C7F9D2"/>
    <w:rsid w:val="04CB373A"/>
    <w:rsid w:val="04CB4DEC"/>
    <w:rsid w:val="04CB5E9F"/>
    <w:rsid w:val="04CB9185"/>
    <w:rsid w:val="04CBD564"/>
    <w:rsid w:val="04CBEF16"/>
    <w:rsid w:val="04CC0D54"/>
    <w:rsid w:val="04CC90D4"/>
    <w:rsid w:val="04CD1B28"/>
    <w:rsid w:val="04CDDA23"/>
    <w:rsid w:val="04CF3022"/>
    <w:rsid w:val="04D13400"/>
    <w:rsid w:val="04D15C6A"/>
    <w:rsid w:val="04D20531"/>
    <w:rsid w:val="04D37602"/>
    <w:rsid w:val="04D3F0F7"/>
    <w:rsid w:val="04D5A855"/>
    <w:rsid w:val="04D7D6D4"/>
    <w:rsid w:val="04D7FDA7"/>
    <w:rsid w:val="04D894AA"/>
    <w:rsid w:val="04D98B63"/>
    <w:rsid w:val="04DA8D23"/>
    <w:rsid w:val="04DB10D0"/>
    <w:rsid w:val="04DB3454"/>
    <w:rsid w:val="04E0E3E8"/>
    <w:rsid w:val="04E469D0"/>
    <w:rsid w:val="04E48E13"/>
    <w:rsid w:val="04E60091"/>
    <w:rsid w:val="04E8B68E"/>
    <w:rsid w:val="04EAA67D"/>
    <w:rsid w:val="04EACBF9"/>
    <w:rsid w:val="04ED0E6C"/>
    <w:rsid w:val="04ED6865"/>
    <w:rsid w:val="04EE055F"/>
    <w:rsid w:val="04EEFC4C"/>
    <w:rsid w:val="04EF1CC3"/>
    <w:rsid w:val="04F0FD21"/>
    <w:rsid w:val="04F267D4"/>
    <w:rsid w:val="04F39AE7"/>
    <w:rsid w:val="04F6C13D"/>
    <w:rsid w:val="04F7361B"/>
    <w:rsid w:val="04F73B5A"/>
    <w:rsid w:val="04FDE818"/>
    <w:rsid w:val="04FF3ECF"/>
    <w:rsid w:val="0500B244"/>
    <w:rsid w:val="05016AEA"/>
    <w:rsid w:val="05021323"/>
    <w:rsid w:val="05025AFF"/>
    <w:rsid w:val="05032D5C"/>
    <w:rsid w:val="05043889"/>
    <w:rsid w:val="0504A07B"/>
    <w:rsid w:val="050529EB"/>
    <w:rsid w:val="05056CAA"/>
    <w:rsid w:val="0505D24C"/>
    <w:rsid w:val="05061032"/>
    <w:rsid w:val="050681B1"/>
    <w:rsid w:val="0509F26B"/>
    <w:rsid w:val="050A8288"/>
    <w:rsid w:val="050C1BEF"/>
    <w:rsid w:val="0511C540"/>
    <w:rsid w:val="0511F580"/>
    <w:rsid w:val="05126BE3"/>
    <w:rsid w:val="0512AC2C"/>
    <w:rsid w:val="05146B1F"/>
    <w:rsid w:val="05172756"/>
    <w:rsid w:val="05174251"/>
    <w:rsid w:val="05185DF9"/>
    <w:rsid w:val="051A53F1"/>
    <w:rsid w:val="051C317F"/>
    <w:rsid w:val="051DB330"/>
    <w:rsid w:val="0521BBAC"/>
    <w:rsid w:val="0521C692"/>
    <w:rsid w:val="0523ED27"/>
    <w:rsid w:val="0525ECCD"/>
    <w:rsid w:val="052694F9"/>
    <w:rsid w:val="0528AE04"/>
    <w:rsid w:val="052AE198"/>
    <w:rsid w:val="052E93C1"/>
    <w:rsid w:val="052F49CA"/>
    <w:rsid w:val="052FC581"/>
    <w:rsid w:val="0530C75A"/>
    <w:rsid w:val="05324BE8"/>
    <w:rsid w:val="0533C39D"/>
    <w:rsid w:val="053413EE"/>
    <w:rsid w:val="053552EA"/>
    <w:rsid w:val="05365B79"/>
    <w:rsid w:val="05372BD1"/>
    <w:rsid w:val="0537ACDE"/>
    <w:rsid w:val="053D5438"/>
    <w:rsid w:val="053F9000"/>
    <w:rsid w:val="0541252B"/>
    <w:rsid w:val="054332F5"/>
    <w:rsid w:val="05433F40"/>
    <w:rsid w:val="0544F8E1"/>
    <w:rsid w:val="054584A8"/>
    <w:rsid w:val="0545BEFE"/>
    <w:rsid w:val="054828EF"/>
    <w:rsid w:val="05495651"/>
    <w:rsid w:val="0549E20E"/>
    <w:rsid w:val="054AAFB0"/>
    <w:rsid w:val="054FFB24"/>
    <w:rsid w:val="0550EDE2"/>
    <w:rsid w:val="05523479"/>
    <w:rsid w:val="0552C136"/>
    <w:rsid w:val="0552DAC1"/>
    <w:rsid w:val="055448D1"/>
    <w:rsid w:val="0556E69F"/>
    <w:rsid w:val="0558D1BC"/>
    <w:rsid w:val="0558FD7F"/>
    <w:rsid w:val="0559BF7E"/>
    <w:rsid w:val="055B60C7"/>
    <w:rsid w:val="055E3FF4"/>
    <w:rsid w:val="055FF178"/>
    <w:rsid w:val="05601A40"/>
    <w:rsid w:val="05604222"/>
    <w:rsid w:val="05606879"/>
    <w:rsid w:val="0560957B"/>
    <w:rsid w:val="056144CD"/>
    <w:rsid w:val="0561582F"/>
    <w:rsid w:val="05638D58"/>
    <w:rsid w:val="0563E028"/>
    <w:rsid w:val="05646EC3"/>
    <w:rsid w:val="0566EF56"/>
    <w:rsid w:val="056865E6"/>
    <w:rsid w:val="0568DB7C"/>
    <w:rsid w:val="056AA7DC"/>
    <w:rsid w:val="056B4223"/>
    <w:rsid w:val="056B867D"/>
    <w:rsid w:val="056C34DC"/>
    <w:rsid w:val="056C3EC4"/>
    <w:rsid w:val="056D5B97"/>
    <w:rsid w:val="056D9152"/>
    <w:rsid w:val="05732A85"/>
    <w:rsid w:val="057559BD"/>
    <w:rsid w:val="057D5E01"/>
    <w:rsid w:val="057D84B5"/>
    <w:rsid w:val="05821371"/>
    <w:rsid w:val="05824CEB"/>
    <w:rsid w:val="0583B9EF"/>
    <w:rsid w:val="0585FBE2"/>
    <w:rsid w:val="05863D56"/>
    <w:rsid w:val="0587A3EF"/>
    <w:rsid w:val="058920BD"/>
    <w:rsid w:val="058DE774"/>
    <w:rsid w:val="058EB49E"/>
    <w:rsid w:val="058EBDBA"/>
    <w:rsid w:val="058FF8FA"/>
    <w:rsid w:val="05907CA5"/>
    <w:rsid w:val="05984791"/>
    <w:rsid w:val="059B285E"/>
    <w:rsid w:val="059EB8A2"/>
    <w:rsid w:val="059FC808"/>
    <w:rsid w:val="05A09A73"/>
    <w:rsid w:val="05A0A78B"/>
    <w:rsid w:val="05A103EE"/>
    <w:rsid w:val="05A2ECAE"/>
    <w:rsid w:val="05A5CBC4"/>
    <w:rsid w:val="05A80922"/>
    <w:rsid w:val="05AC1B09"/>
    <w:rsid w:val="05AD9416"/>
    <w:rsid w:val="05AE2E94"/>
    <w:rsid w:val="05AF1CC4"/>
    <w:rsid w:val="05B1817A"/>
    <w:rsid w:val="05B25047"/>
    <w:rsid w:val="05B2CEFD"/>
    <w:rsid w:val="05BAB34A"/>
    <w:rsid w:val="05BBAD6B"/>
    <w:rsid w:val="05BEEFE2"/>
    <w:rsid w:val="05C11E7D"/>
    <w:rsid w:val="05C300C1"/>
    <w:rsid w:val="05C35BB2"/>
    <w:rsid w:val="05C7E3F0"/>
    <w:rsid w:val="05C8911D"/>
    <w:rsid w:val="05C9CFDA"/>
    <w:rsid w:val="05CA29E0"/>
    <w:rsid w:val="05CBC6F9"/>
    <w:rsid w:val="05CE7A81"/>
    <w:rsid w:val="05CEA165"/>
    <w:rsid w:val="05CF694A"/>
    <w:rsid w:val="05CFC405"/>
    <w:rsid w:val="05D1EF0A"/>
    <w:rsid w:val="05D1FCA3"/>
    <w:rsid w:val="05D9C695"/>
    <w:rsid w:val="05D9EAA9"/>
    <w:rsid w:val="05DAA2FD"/>
    <w:rsid w:val="05DABDB8"/>
    <w:rsid w:val="05DCD175"/>
    <w:rsid w:val="05DD72AF"/>
    <w:rsid w:val="05E15375"/>
    <w:rsid w:val="05E180B9"/>
    <w:rsid w:val="05E18104"/>
    <w:rsid w:val="05E44618"/>
    <w:rsid w:val="05E8656C"/>
    <w:rsid w:val="05E88353"/>
    <w:rsid w:val="05EEAD66"/>
    <w:rsid w:val="05EFF282"/>
    <w:rsid w:val="05F3488C"/>
    <w:rsid w:val="05F4352A"/>
    <w:rsid w:val="05F4F162"/>
    <w:rsid w:val="05F72E1D"/>
    <w:rsid w:val="05F7514D"/>
    <w:rsid w:val="05F80F93"/>
    <w:rsid w:val="05F859E7"/>
    <w:rsid w:val="05F8D40F"/>
    <w:rsid w:val="05F99FDF"/>
    <w:rsid w:val="05FA94ED"/>
    <w:rsid w:val="05FC03A3"/>
    <w:rsid w:val="05FC9CC1"/>
    <w:rsid w:val="05FD4812"/>
    <w:rsid w:val="05FEF45D"/>
    <w:rsid w:val="05FEFAAD"/>
    <w:rsid w:val="05FF4F19"/>
    <w:rsid w:val="0601C7CD"/>
    <w:rsid w:val="060220F9"/>
    <w:rsid w:val="06027BC7"/>
    <w:rsid w:val="06028370"/>
    <w:rsid w:val="0602D13D"/>
    <w:rsid w:val="060307F9"/>
    <w:rsid w:val="06044F9A"/>
    <w:rsid w:val="0605ED9F"/>
    <w:rsid w:val="0606213C"/>
    <w:rsid w:val="060648AD"/>
    <w:rsid w:val="0608C49F"/>
    <w:rsid w:val="0608C91D"/>
    <w:rsid w:val="06092CC9"/>
    <w:rsid w:val="060E3AE8"/>
    <w:rsid w:val="060FE945"/>
    <w:rsid w:val="0610072B"/>
    <w:rsid w:val="06123BF6"/>
    <w:rsid w:val="06124C27"/>
    <w:rsid w:val="061568FD"/>
    <w:rsid w:val="0615834E"/>
    <w:rsid w:val="0615B7FF"/>
    <w:rsid w:val="0616A71B"/>
    <w:rsid w:val="06175607"/>
    <w:rsid w:val="061A15B2"/>
    <w:rsid w:val="061F50E8"/>
    <w:rsid w:val="0621DDC6"/>
    <w:rsid w:val="06224B58"/>
    <w:rsid w:val="0622B183"/>
    <w:rsid w:val="062432ED"/>
    <w:rsid w:val="0625FC8E"/>
    <w:rsid w:val="06269DB0"/>
    <w:rsid w:val="0626F0D7"/>
    <w:rsid w:val="06277EAA"/>
    <w:rsid w:val="0627DA24"/>
    <w:rsid w:val="062B0C04"/>
    <w:rsid w:val="062C3E98"/>
    <w:rsid w:val="062FAB5B"/>
    <w:rsid w:val="06351022"/>
    <w:rsid w:val="0635C591"/>
    <w:rsid w:val="06361E37"/>
    <w:rsid w:val="06362F0D"/>
    <w:rsid w:val="0636C324"/>
    <w:rsid w:val="0637FF6E"/>
    <w:rsid w:val="063801BD"/>
    <w:rsid w:val="063919C9"/>
    <w:rsid w:val="0639D735"/>
    <w:rsid w:val="063AE594"/>
    <w:rsid w:val="063B2F04"/>
    <w:rsid w:val="063B458A"/>
    <w:rsid w:val="063B8785"/>
    <w:rsid w:val="063CEB59"/>
    <w:rsid w:val="063FA1E1"/>
    <w:rsid w:val="06413454"/>
    <w:rsid w:val="0641729A"/>
    <w:rsid w:val="0645CB16"/>
    <w:rsid w:val="06479A97"/>
    <w:rsid w:val="0648D1A2"/>
    <w:rsid w:val="064CD2BB"/>
    <w:rsid w:val="064D9858"/>
    <w:rsid w:val="06506284"/>
    <w:rsid w:val="06522CAD"/>
    <w:rsid w:val="06528323"/>
    <w:rsid w:val="0652B4AB"/>
    <w:rsid w:val="0656F49A"/>
    <w:rsid w:val="065740F8"/>
    <w:rsid w:val="0658CEDC"/>
    <w:rsid w:val="065DDF8B"/>
    <w:rsid w:val="065E77A3"/>
    <w:rsid w:val="065F388E"/>
    <w:rsid w:val="0660BF1B"/>
    <w:rsid w:val="06649CC6"/>
    <w:rsid w:val="066695E3"/>
    <w:rsid w:val="06683273"/>
    <w:rsid w:val="0668A7E7"/>
    <w:rsid w:val="066AF238"/>
    <w:rsid w:val="066AF24C"/>
    <w:rsid w:val="066C2545"/>
    <w:rsid w:val="066ECC20"/>
    <w:rsid w:val="06708783"/>
    <w:rsid w:val="06726DE6"/>
    <w:rsid w:val="0673FA36"/>
    <w:rsid w:val="0676063F"/>
    <w:rsid w:val="0676C893"/>
    <w:rsid w:val="0678A0FE"/>
    <w:rsid w:val="067B7EAF"/>
    <w:rsid w:val="067BA51B"/>
    <w:rsid w:val="067CBEF0"/>
    <w:rsid w:val="067E044A"/>
    <w:rsid w:val="06821DC5"/>
    <w:rsid w:val="0686D5BB"/>
    <w:rsid w:val="06875B10"/>
    <w:rsid w:val="0688DDD8"/>
    <w:rsid w:val="068A777C"/>
    <w:rsid w:val="068AE30D"/>
    <w:rsid w:val="068DC7D4"/>
    <w:rsid w:val="068E1279"/>
    <w:rsid w:val="068E43B9"/>
    <w:rsid w:val="0690B7B4"/>
    <w:rsid w:val="0693A434"/>
    <w:rsid w:val="0693B0BA"/>
    <w:rsid w:val="0693C5AE"/>
    <w:rsid w:val="0694E980"/>
    <w:rsid w:val="0698F940"/>
    <w:rsid w:val="06997938"/>
    <w:rsid w:val="0699A726"/>
    <w:rsid w:val="069C094D"/>
    <w:rsid w:val="069C442D"/>
    <w:rsid w:val="069CAA5E"/>
    <w:rsid w:val="06A568F1"/>
    <w:rsid w:val="06A5D6CB"/>
    <w:rsid w:val="06A637AC"/>
    <w:rsid w:val="06A78781"/>
    <w:rsid w:val="06A80639"/>
    <w:rsid w:val="06AD99BD"/>
    <w:rsid w:val="06ADEFC6"/>
    <w:rsid w:val="06AE516D"/>
    <w:rsid w:val="06AF3552"/>
    <w:rsid w:val="06B0C649"/>
    <w:rsid w:val="06B11553"/>
    <w:rsid w:val="06B20751"/>
    <w:rsid w:val="06B65CE2"/>
    <w:rsid w:val="06B97214"/>
    <w:rsid w:val="06BD0EFE"/>
    <w:rsid w:val="06BD61F4"/>
    <w:rsid w:val="06BFFB82"/>
    <w:rsid w:val="06C01CCD"/>
    <w:rsid w:val="06C29115"/>
    <w:rsid w:val="06C3134E"/>
    <w:rsid w:val="06C35AE0"/>
    <w:rsid w:val="06C5954B"/>
    <w:rsid w:val="06C68EAB"/>
    <w:rsid w:val="06C85B78"/>
    <w:rsid w:val="06CAE68B"/>
    <w:rsid w:val="06CBCCB9"/>
    <w:rsid w:val="06CCC35B"/>
    <w:rsid w:val="06CF5158"/>
    <w:rsid w:val="06CF81D9"/>
    <w:rsid w:val="06CFADE2"/>
    <w:rsid w:val="06D0E970"/>
    <w:rsid w:val="06D101BF"/>
    <w:rsid w:val="06D1CC9F"/>
    <w:rsid w:val="06D52242"/>
    <w:rsid w:val="06D81F60"/>
    <w:rsid w:val="06D86110"/>
    <w:rsid w:val="06D94F39"/>
    <w:rsid w:val="06DE3646"/>
    <w:rsid w:val="06DF752C"/>
    <w:rsid w:val="06E156AA"/>
    <w:rsid w:val="06E188E5"/>
    <w:rsid w:val="06E1D344"/>
    <w:rsid w:val="06E2239B"/>
    <w:rsid w:val="06E22D68"/>
    <w:rsid w:val="06E2E882"/>
    <w:rsid w:val="06E3C5F6"/>
    <w:rsid w:val="06E3E699"/>
    <w:rsid w:val="06E4A8CE"/>
    <w:rsid w:val="06E54CAC"/>
    <w:rsid w:val="06E5E43B"/>
    <w:rsid w:val="06E61C12"/>
    <w:rsid w:val="06E6BF7E"/>
    <w:rsid w:val="06E6D5F9"/>
    <w:rsid w:val="06E8C0A2"/>
    <w:rsid w:val="06E9091A"/>
    <w:rsid w:val="06EEEF0C"/>
    <w:rsid w:val="06EF4344"/>
    <w:rsid w:val="06F63CED"/>
    <w:rsid w:val="06F8AB5E"/>
    <w:rsid w:val="06F8ED85"/>
    <w:rsid w:val="06FB95DE"/>
    <w:rsid w:val="06FDB868"/>
    <w:rsid w:val="06FF4D89"/>
    <w:rsid w:val="0701B6F7"/>
    <w:rsid w:val="07029D2B"/>
    <w:rsid w:val="07043EB5"/>
    <w:rsid w:val="0705E2E7"/>
    <w:rsid w:val="070798F0"/>
    <w:rsid w:val="070809ED"/>
    <w:rsid w:val="07081EA4"/>
    <w:rsid w:val="0708AD53"/>
    <w:rsid w:val="07092338"/>
    <w:rsid w:val="070A453B"/>
    <w:rsid w:val="070AE629"/>
    <w:rsid w:val="070BA33D"/>
    <w:rsid w:val="070E75EF"/>
    <w:rsid w:val="070E790B"/>
    <w:rsid w:val="070F5DC6"/>
    <w:rsid w:val="0711B0E7"/>
    <w:rsid w:val="0713F168"/>
    <w:rsid w:val="07164E7B"/>
    <w:rsid w:val="0717830D"/>
    <w:rsid w:val="0717C936"/>
    <w:rsid w:val="0718A0E5"/>
    <w:rsid w:val="0718E8FF"/>
    <w:rsid w:val="07195503"/>
    <w:rsid w:val="0719CC18"/>
    <w:rsid w:val="0719D579"/>
    <w:rsid w:val="0719F8C5"/>
    <w:rsid w:val="071F576E"/>
    <w:rsid w:val="07238203"/>
    <w:rsid w:val="072412FF"/>
    <w:rsid w:val="07246D08"/>
    <w:rsid w:val="07249D5E"/>
    <w:rsid w:val="0727BC95"/>
    <w:rsid w:val="0728C271"/>
    <w:rsid w:val="072DA311"/>
    <w:rsid w:val="072E226E"/>
    <w:rsid w:val="072FE121"/>
    <w:rsid w:val="073328BF"/>
    <w:rsid w:val="0735D98F"/>
    <w:rsid w:val="0736D7E0"/>
    <w:rsid w:val="073A66F1"/>
    <w:rsid w:val="073B4157"/>
    <w:rsid w:val="073B7534"/>
    <w:rsid w:val="073D8114"/>
    <w:rsid w:val="073FA537"/>
    <w:rsid w:val="0740A9F9"/>
    <w:rsid w:val="0742074A"/>
    <w:rsid w:val="07431A55"/>
    <w:rsid w:val="0743ABAE"/>
    <w:rsid w:val="07440313"/>
    <w:rsid w:val="074573F7"/>
    <w:rsid w:val="0746616F"/>
    <w:rsid w:val="07472C80"/>
    <w:rsid w:val="0748535C"/>
    <w:rsid w:val="0749B95D"/>
    <w:rsid w:val="074B7963"/>
    <w:rsid w:val="074BD581"/>
    <w:rsid w:val="074C153B"/>
    <w:rsid w:val="074CD94B"/>
    <w:rsid w:val="074CE601"/>
    <w:rsid w:val="074DDA69"/>
    <w:rsid w:val="074F3733"/>
    <w:rsid w:val="074FEE1C"/>
    <w:rsid w:val="07502C48"/>
    <w:rsid w:val="0750F246"/>
    <w:rsid w:val="07512D67"/>
    <w:rsid w:val="07526B6C"/>
    <w:rsid w:val="0754061D"/>
    <w:rsid w:val="07579360"/>
    <w:rsid w:val="0758FC2F"/>
    <w:rsid w:val="07597B55"/>
    <w:rsid w:val="075A94F6"/>
    <w:rsid w:val="075D20DF"/>
    <w:rsid w:val="075E5C62"/>
    <w:rsid w:val="075F20D3"/>
    <w:rsid w:val="0761E25F"/>
    <w:rsid w:val="07624100"/>
    <w:rsid w:val="0762B669"/>
    <w:rsid w:val="07642CFB"/>
    <w:rsid w:val="07669545"/>
    <w:rsid w:val="07676BA6"/>
    <w:rsid w:val="076837D7"/>
    <w:rsid w:val="076B2C4D"/>
    <w:rsid w:val="076BAF47"/>
    <w:rsid w:val="076CBA60"/>
    <w:rsid w:val="076D1E80"/>
    <w:rsid w:val="076EED14"/>
    <w:rsid w:val="076F33A6"/>
    <w:rsid w:val="077157C9"/>
    <w:rsid w:val="0772367C"/>
    <w:rsid w:val="07747604"/>
    <w:rsid w:val="0776AB4E"/>
    <w:rsid w:val="07774C5E"/>
    <w:rsid w:val="0777AA65"/>
    <w:rsid w:val="0778016D"/>
    <w:rsid w:val="0778BF71"/>
    <w:rsid w:val="077E2985"/>
    <w:rsid w:val="077EB324"/>
    <w:rsid w:val="077F387E"/>
    <w:rsid w:val="07828551"/>
    <w:rsid w:val="0785F737"/>
    <w:rsid w:val="0789A721"/>
    <w:rsid w:val="078AA142"/>
    <w:rsid w:val="078ACD04"/>
    <w:rsid w:val="078BE483"/>
    <w:rsid w:val="078D6DD1"/>
    <w:rsid w:val="078F1698"/>
    <w:rsid w:val="078F3D76"/>
    <w:rsid w:val="07906AF7"/>
    <w:rsid w:val="0790F4B4"/>
    <w:rsid w:val="0791E463"/>
    <w:rsid w:val="079253A2"/>
    <w:rsid w:val="07939029"/>
    <w:rsid w:val="0795504F"/>
    <w:rsid w:val="0798542A"/>
    <w:rsid w:val="079A6156"/>
    <w:rsid w:val="079BEE25"/>
    <w:rsid w:val="079C362E"/>
    <w:rsid w:val="079C8D8A"/>
    <w:rsid w:val="079C9E6E"/>
    <w:rsid w:val="079F77FB"/>
    <w:rsid w:val="079FDEA0"/>
    <w:rsid w:val="07A06B4A"/>
    <w:rsid w:val="07A094AD"/>
    <w:rsid w:val="07A0C487"/>
    <w:rsid w:val="07A0E7D1"/>
    <w:rsid w:val="07A1E9B9"/>
    <w:rsid w:val="07A30423"/>
    <w:rsid w:val="07A3BA03"/>
    <w:rsid w:val="07A3D7CA"/>
    <w:rsid w:val="07A49A4E"/>
    <w:rsid w:val="07A5AED1"/>
    <w:rsid w:val="07A5B7BB"/>
    <w:rsid w:val="07A7CDE2"/>
    <w:rsid w:val="07AB45F5"/>
    <w:rsid w:val="07B05771"/>
    <w:rsid w:val="07B0B861"/>
    <w:rsid w:val="07B19DC5"/>
    <w:rsid w:val="07B24C25"/>
    <w:rsid w:val="07B347A0"/>
    <w:rsid w:val="07B37AA5"/>
    <w:rsid w:val="07B4B867"/>
    <w:rsid w:val="07B4CC30"/>
    <w:rsid w:val="07B5C8F6"/>
    <w:rsid w:val="07B97EA6"/>
    <w:rsid w:val="07BBA8B2"/>
    <w:rsid w:val="07BD758C"/>
    <w:rsid w:val="07BF6441"/>
    <w:rsid w:val="07BFE85C"/>
    <w:rsid w:val="07C11D53"/>
    <w:rsid w:val="07C5F7E3"/>
    <w:rsid w:val="07C61560"/>
    <w:rsid w:val="07C771A5"/>
    <w:rsid w:val="07C85F0C"/>
    <w:rsid w:val="07C8A606"/>
    <w:rsid w:val="07C8AF20"/>
    <w:rsid w:val="07C9ACF7"/>
    <w:rsid w:val="07C9B785"/>
    <w:rsid w:val="07CA9599"/>
    <w:rsid w:val="07CB5882"/>
    <w:rsid w:val="07CD440A"/>
    <w:rsid w:val="07CD5AE2"/>
    <w:rsid w:val="07CE0E2C"/>
    <w:rsid w:val="07CEBBDF"/>
    <w:rsid w:val="07D07939"/>
    <w:rsid w:val="07D3DB93"/>
    <w:rsid w:val="07D68E2A"/>
    <w:rsid w:val="07D6A3A4"/>
    <w:rsid w:val="07D8AAF2"/>
    <w:rsid w:val="07DCE5B4"/>
    <w:rsid w:val="07DF7AC0"/>
    <w:rsid w:val="07E1557C"/>
    <w:rsid w:val="07E1FF46"/>
    <w:rsid w:val="07E20C53"/>
    <w:rsid w:val="07E2F165"/>
    <w:rsid w:val="07E30C4A"/>
    <w:rsid w:val="07E39AE0"/>
    <w:rsid w:val="07E5E2C6"/>
    <w:rsid w:val="07E787DC"/>
    <w:rsid w:val="07E91718"/>
    <w:rsid w:val="07EB545D"/>
    <w:rsid w:val="07EC1D93"/>
    <w:rsid w:val="07EC32FB"/>
    <w:rsid w:val="07ED236A"/>
    <w:rsid w:val="07F11A95"/>
    <w:rsid w:val="07F1E617"/>
    <w:rsid w:val="07F2781F"/>
    <w:rsid w:val="07F46588"/>
    <w:rsid w:val="07F57776"/>
    <w:rsid w:val="07FAF67E"/>
    <w:rsid w:val="07FB4793"/>
    <w:rsid w:val="07FE165D"/>
    <w:rsid w:val="07FE8418"/>
    <w:rsid w:val="07FEA33D"/>
    <w:rsid w:val="07FF197D"/>
    <w:rsid w:val="07FF6610"/>
    <w:rsid w:val="08021B89"/>
    <w:rsid w:val="0804AAE3"/>
    <w:rsid w:val="08071DFC"/>
    <w:rsid w:val="080BC45D"/>
    <w:rsid w:val="080CBC0F"/>
    <w:rsid w:val="080E8BED"/>
    <w:rsid w:val="081042BB"/>
    <w:rsid w:val="08134D03"/>
    <w:rsid w:val="08138E97"/>
    <w:rsid w:val="081578B8"/>
    <w:rsid w:val="0817BEC5"/>
    <w:rsid w:val="0819B2DB"/>
    <w:rsid w:val="081A40F2"/>
    <w:rsid w:val="081A9516"/>
    <w:rsid w:val="081B9CDA"/>
    <w:rsid w:val="081C6BA8"/>
    <w:rsid w:val="081F4638"/>
    <w:rsid w:val="082039A5"/>
    <w:rsid w:val="0822C01F"/>
    <w:rsid w:val="08231102"/>
    <w:rsid w:val="08234D5B"/>
    <w:rsid w:val="08237143"/>
    <w:rsid w:val="08238F4F"/>
    <w:rsid w:val="08241705"/>
    <w:rsid w:val="0824AF2E"/>
    <w:rsid w:val="0824BE3C"/>
    <w:rsid w:val="0825C377"/>
    <w:rsid w:val="0826D51F"/>
    <w:rsid w:val="08276FD9"/>
    <w:rsid w:val="082882CA"/>
    <w:rsid w:val="0829849C"/>
    <w:rsid w:val="082ADD3D"/>
    <w:rsid w:val="082AFDD7"/>
    <w:rsid w:val="082BF5B6"/>
    <w:rsid w:val="082DC53D"/>
    <w:rsid w:val="0833682A"/>
    <w:rsid w:val="0835CFDB"/>
    <w:rsid w:val="0835D660"/>
    <w:rsid w:val="0836CCEB"/>
    <w:rsid w:val="083D0902"/>
    <w:rsid w:val="083E2273"/>
    <w:rsid w:val="083F1FD3"/>
    <w:rsid w:val="08406C6D"/>
    <w:rsid w:val="0841CEC2"/>
    <w:rsid w:val="084477AD"/>
    <w:rsid w:val="084517FF"/>
    <w:rsid w:val="08473664"/>
    <w:rsid w:val="0847DFE6"/>
    <w:rsid w:val="084858CB"/>
    <w:rsid w:val="084922B6"/>
    <w:rsid w:val="0849A30D"/>
    <w:rsid w:val="084B0351"/>
    <w:rsid w:val="084D343A"/>
    <w:rsid w:val="084F4BFA"/>
    <w:rsid w:val="0853F061"/>
    <w:rsid w:val="085435AB"/>
    <w:rsid w:val="08547D15"/>
    <w:rsid w:val="0856073D"/>
    <w:rsid w:val="08578964"/>
    <w:rsid w:val="085B6D22"/>
    <w:rsid w:val="085BE986"/>
    <w:rsid w:val="085BEAE9"/>
    <w:rsid w:val="085D3EA7"/>
    <w:rsid w:val="085E6B1A"/>
    <w:rsid w:val="085EAED4"/>
    <w:rsid w:val="086079A3"/>
    <w:rsid w:val="08625E03"/>
    <w:rsid w:val="08639D08"/>
    <w:rsid w:val="08660615"/>
    <w:rsid w:val="0866D8E8"/>
    <w:rsid w:val="0866E2C1"/>
    <w:rsid w:val="086874F2"/>
    <w:rsid w:val="08688585"/>
    <w:rsid w:val="086966FE"/>
    <w:rsid w:val="086D1CAC"/>
    <w:rsid w:val="086D7C61"/>
    <w:rsid w:val="086E4FF9"/>
    <w:rsid w:val="08710234"/>
    <w:rsid w:val="0871948C"/>
    <w:rsid w:val="0871D7F0"/>
    <w:rsid w:val="08725177"/>
    <w:rsid w:val="08735AAE"/>
    <w:rsid w:val="0875EB27"/>
    <w:rsid w:val="0877686A"/>
    <w:rsid w:val="0877EC11"/>
    <w:rsid w:val="08787DA8"/>
    <w:rsid w:val="087B7418"/>
    <w:rsid w:val="087FE5B1"/>
    <w:rsid w:val="0880BFCB"/>
    <w:rsid w:val="08817CF0"/>
    <w:rsid w:val="0881EB64"/>
    <w:rsid w:val="088255FF"/>
    <w:rsid w:val="088293F0"/>
    <w:rsid w:val="08834CCA"/>
    <w:rsid w:val="0884E176"/>
    <w:rsid w:val="0886A109"/>
    <w:rsid w:val="08870849"/>
    <w:rsid w:val="08873F40"/>
    <w:rsid w:val="088AF7DF"/>
    <w:rsid w:val="088D9504"/>
    <w:rsid w:val="0890668D"/>
    <w:rsid w:val="089071EE"/>
    <w:rsid w:val="0891C766"/>
    <w:rsid w:val="08958DC1"/>
    <w:rsid w:val="0897EA1F"/>
    <w:rsid w:val="08997A3A"/>
    <w:rsid w:val="0899E054"/>
    <w:rsid w:val="089C2CF4"/>
    <w:rsid w:val="089F5DE4"/>
    <w:rsid w:val="08A06381"/>
    <w:rsid w:val="08A5C8A3"/>
    <w:rsid w:val="08A5C9C1"/>
    <w:rsid w:val="08A623F0"/>
    <w:rsid w:val="08A6520C"/>
    <w:rsid w:val="08A77948"/>
    <w:rsid w:val="08AB3903"/>
    <w:rsid w:val="08AED530"/>
    <w:rsid w:val="08AF940B"/>
    <w:rsid w:val="08B0CA8A"/>
    <w:rsid w:val="08B1D435"/>
    <w:rsid w:val="08B30209"/>
    <w:rsid w:val="08B630AD"/>
    <w:rsid w:val="08B6CE08"/>
    <w:rsid w:val="08B840C5"/>
    <w:rsid w:val="08B8B1F1"/>
    <w:rsid w:val="08B96F11"/>
    <w:rsid w:val="08BB27CF"/>
    <w:rsid w:val="08BCA18E"/>
    <w:rsid w:val="08BEEB9E"/>
    <w:rsid w:val="08C03060"/>
    <w:rsid w:val="08C04CFB"/>
    <w:rsid w:val="08C28FBC"/>
    <w:rsid w:val="08C2DAAA"/>
    <w:rsid w:val="08C2E403"/>
    <w:rsid w:val="08C32516"/>
    <w:rsid w:val="08C4ED67"/>
    <w:rsid w:val="08C5384F"/>
    <w:rsid w:val="08C56649"/>
    <w:rsid w:val="08C6566F"/>
    <w:rsid w:val="08C682F4"/>
    <w:rsid w:val="08C68D32"/>
    <w:rsid w:val="08C6A2B8"/>
    <w:rsid w:val="08C726EE"/>
    <w:rsid w:val="08C75F41"/>
    <w:rsid w:val="08CA1DEB"/>
    <w:rsid w:val="08CEB638"/>
    <w:rsid w:val="08CF5D60"/>
    <w:rsid w:val="08D289FC"/>
    <w:rsid w:val="08D2A170"/>
    <w:rsid w:val="08D3AE06"/>
    <w:rsid w:val="08D6F93B"/>
    <w:rsid w:val="08D84EFF"/>
    <w:rsid w:val="08D86986"/>
    <w:rsid w:val="08DB22AB"/>
    <w:rsid w:val="08DB3BDD"/>
    <w:rsid w:val="08DBFAD2"/>
    <w:rsid w:val="08DC98CE"/>
    <w:rsid w:val="08DD3E52"/>
    <w:rsid w:val="08DD4FF7"/>
    <w:rsid w:val="08DE44EE"/>
    <w:rsid w:val="08E0560E"/>
    <w:rsid w:val="08E06BA8"/>
    <w:rsid w:val="08E0B1BE"/>
    <w:rsid w:val="08E1BEF5"/>
    <w:rsid w:val="08E26D18"/>
    <w:rsid w:val="08E33FAF"/>
    <w:rsid w:val="08E43D03"/>
    <w:rsid w:val="08E508EF"/>
    <w:rsid w:val="08E69BDD"/>
    <w:rsid w:val="08E7AD6F"/>
    <w:rsid w:val="08E7FC0A"/>
    <w:rsid w:val="08EA29D5"/>
    <w:rsid w:val="08EB45BF"/>
    <w:rsid w:val="08EB816D"/>
    <w:rsid w:val="08EC5B60"/>
    <w:rsid w:val="08EE298A"/>
    <w:rsid w:val="08F4E398"/>
    <w:rsid w:val="08F520F1"/>
    <w:rsid w:val="08F5D1DF"/>
    <w:rsid w:val="08F6A151"/>
    <w:rsid w:val="08F9FA71"/>
    <w:rsid w:val="08FBCAC4"/>
    <w:rsid w:val="08FBD76B"/>
    <w:rsid w:val="08FC674C"/>
    <w:rsid w:val="08FC6FD9"/>
    <w:rsid w:val="08FE5505"/>
    <w:rsid w:val="090238D3"/>
    <w:rsid w:val="090270D4"/>
    <w:rsid w:val="09036B3D"/>
    <w:rsid w:val="090690D5"/>
    <w:rsid w:val="0906A1D4"/>
    <w:rsid w:val="09071671"/>
    <w:rsid w:val="0907CD69"/>
    <w:rsid w:val="090820F0"/>
    <w:rsid w:val="090922B5"/>
    <w:rsid w:val="090AEFAB"/>
    <w:rsid w:val="090B4ECA"/>
    <w:rsid w:val="090CC821"/>
    <w:rsid w:val="090F9E91"/>
    <w:rsid w:val="090FDEED"/>
    <w:rsid w:val="0910C26D"/>
    <w:rsid w:val="0910CD11"/>
    <w:rsid w:val="091124DC"/>
    <w:rsid w:val="0913848B"/>
    <w:rsid w:val="09145056"/>
    <w:rsid w:val="09164150"/>
    <w:rsid w:val="09178BEA"/>
    <w:rsid w:val="0919B5A5"/>
    <w:rsid w:val="0919E590"/>
    <w:rsid w:val="091A9268"/>
    <w:rsid w:val="091B6331"/>
    <w:rsid w:val="091D199B"/>
    <w:rsid w:val="091DB5E3"/>
    <w:rsid w:val="091E00DA"/>
    <w:rsid w:val="091F34E8"/>
    <w:rsid w:val="091FF76B"/>
    <w:rsid w:val="09244B94"/>
    <w:rsid w:val="0924B35F"/>
    <w:rsid w:val="092736A9"/>
    <w:rsid w:val="092797FE"/>
    <w:rsid w:val="0929FFF2"/>
    <w:rsid w:val="092DCCB1"/>
    <w:rsid w:val="0936101A"/>
    <w:rsid w:val="09385843"/>
    <w:rsid w:val="09395714"/>
    <w:rsid w:val="093B8643"/>
    <w:rsid w:val="093C8E24"/>
    <w:rsid w:val="093F4F10"/>
    <w:rsid w:val="09403533"/>
    <w:rsid w:val="0941FE40"/>
    <w:rsid w:val="09422D7A"/>
    <w:rsid w:val="0946DFD3"/>
    <w:rsid w:val="09498A59"/>
    <w:rsid w:val="094A7F0E"/>
    <w:rsid w:val="094A94D1"/>
    <w:rsid w:val="094BA580"/>
    <w:rsid w:val="094D24FA"/>
    <w:rsid w:val="094E2775"/>
    <w:rsid w:val="094F3A27"/>
    <w:rsid w:val="0951FB72"/>
    <w:rsid w:val="0952A283"/>
    <w:rsid w:val="0952C480"/>
    <w:rsid w:val="09537A11"/>
    <w:rsid w:val="095554F5"/>
    <w:rsid w:val="09568326"/>
    <w:rsid w:val="0957CEAC"/>
    <w:rsid w:val="095AAC70"/>
    <w:rsid w:val="095B5E64"/>
    <w:rsid w:val="095C62F5"/>
    <w:rsid w:val="095CE37D"/>
    <w:rsid w:val="095D9176"/>
    <w:rsid w:val="095DFA21"/>
    <w:rsid w:val="095E05B4"/>
    <w:rsid w:val="095E4FF4"/>
    <w:rsid w:val="095F32B3"/>
    <w:rsid w:val="0960EF79"/>
    <w:rsid w:val="09613E0B"/>
    <w:rsid w:val="096881F5"/>
    <w:rsid w:val="096896A8"/>
    <w:rsid w:val="0968C2F5"/>
    <w:rsid w:val="096A5D87"/>
    <w:rsid w:val="096B80CB"/>
    <w:rsid w:val="096D339B"/>
    <w:rsid w:val="096D6A51"/>
    <w:rsid w:val="096DB6A5"/>
    <w:rsid w:val="0970201A"/>
    <w:rsid w:val="0973C6DC"/>
    <w:rsid w:val="09764202"/>
    <w:rsid w:val="09768CC9"/>
    <w:rsid w:val="0977E6FE"/>
    <w:rsid w:val="09781329"/>
    <w:rsid w:val="0978F48F"/>
    <w:rsid w:val="09793BDB"/>
    <w:rsid w:val="097B5377"/>
    <w:rsid w:val="097DD95B"/>
    <w:rsid w:val="097F159A"/>
    <w:rsid w:val="098069D7"/>
    <w:rsid w:val="098144B0"/>
    <w:rsid w:val="098292A1"/>
    <w:rsid w:val="09831334"/>
    <w:rsid w:val="098375CD"/>
    <w:rsid w:val="09877226"/>
    <w:rsid w:val="09888681"/>
    <w:rsid w:val="09895583"/>
    <w:rsid w:val="09896A54"/>
    <w:rsid w:val="098A1546"/>
    <w:rsid w:val="098C8CE4"/>
    <w:rsid w:val="098E86FB"/>
    <w:rsid w:val="098EFA43"/>
    <w:rsid w:val="09906063"/>
    <w:rsid w:val="09979AAD"/>
    <w:rsid w:val="0999A756"/>
    <w:rsid w:val="099C6654"/>
    <w:rsid w:val="099D3C2B"/>
    <w:rsid w:val="099D5C28"/>
    <w:rsid w:val="099F3181"/>
    <w:rsid w:val="099F8A34"/>
    <w:rsid w:val="09A13139"/>
    <w:rsid w:val="09A1CB35"/>
    <w:rsid w:val="09A7D9BE"/>
    <w:rsid w:val="09AA2A23"/>
    <w:rsid w:val="09AAFF5D"/>
    <w:rsid w:val="09AE2185"/>
    <w:rsid w:val="09B13A55"/>
    <w:rsid w:val="09B1CD55"/>
    <w:rsid w:val="09B22A8A"/>
    <w:rsid w:val="09B60DD0"/>
    <w:rsid w:val="09B69A26"/>
    <w:rsid w:val="09B6A019"/>
    <w:rsid w:val="09B8458F"/>
    <w:rsid w:val="09B881EB"/>
    <w:rsid w:val="09B9AD75"/>
    <w:rsid w:val="09BA32D6"/>
    <w:rsid w:val="09BADE36"/>
    <w:rsid w:val="09BDB98A"/>
    <w:rsid w:val="09BFC3E2"/>
    <w:rsid w:val="09BFE7F6"/>
    <w:rsid w:val="09C00BC1"/>
    <w:rsid w:val="09C14BC1"/>
    <w:rsid w:val="09C26B70"/>
    <w:rsid w:val="09C5F011"/>
    <w:rsid w:val="09C682A5"/>
    <w:rsid w:val="09C6BB69"/>
    <w:rsid w:val="09C7DEE8"/>
    <w:rsid w:val="09C82CA6"/>
    <w:rsid w:val="09CB96D3"/>
    <w:rsid w:val="09CBD170"/>
    <w:rsid w:val="09CD7345"/>
    <w:rsid w:val="09CDC33C"/>
    <w:rsid w:val="09D1A145"/>
    <w:rsid w:val="09D28F72"/>
    <w:rsid w:val="09D37EA1"/>
    <w:rsid w:val="09D89B0E"/>
    <w:rsid w:val="09D9B80E"/>
    <w:rsid w:val="09DA30C0"/>
    <w:rsid w:val="09DC99A8"/>
    <w:rsid w:val="09E0DF5E"/>
    <w:rsid w:val="09E443DD"/>
    <w:rsid w:val="09E60F9F"/>
    <w:rsid w:val="09E68CCF"/>
    <w:rsid w:val="09E70134"/>
    <w:rsid w:val="09E8958D"/>
    <w:rsid w:val="09E974D8"/>
    <w:rsid w:val="09E9A813"/>
    <w:rsid w:val="09EA5966"/>
    <w:rsid w:val="09EA5F13"/>
    <w:rsid w:val="09EA8846"/>
    <w:rsid w:val="09EB2BDB"/>
    <w:rsid w:val="09EB4A0D"/>
    <w:rsid w:val="09EB4FF3"/>
    <w:rsid w:val="09EBB099"/>
    <w:rsid w:val="09EC4655"/>
    <w:rsid w:val="09ED45A9"/>
    <w:rsid w:val="09EED408"/>
    <w:rsid w:val="09F169F9"/>
    <w:rsid w:val="09F4C600"/>
    <w:rsid w:val="09F68768"/>
    <w:rsid w:val="09F6E6C0"/>
    <w:rsid w:val="09F779B4"/>
    <w:rsid w:val="09F8CF20"/>
    <w:rsid w:val="09FE0456"/>
    <w:rsid w:val="09FEF431"/>
    <w:rsid w:val="0A012F66"/>
    <w:rsid w:val="0A02E1B4"/>
    <w:rsid w:val="0A038E62"/>
    <w:rsid w:val="0A03CBB2"/>
    <w:rsid w:val="0A03D219"/>
    <w:rsid w:val="0A044DDC"/>
    <w:rsid w:val="0A05FBE1"/>
    <w:rsid w:val="0A0931A9"/>
    <w:rsid w:val="0A096D61"/>
    <w:rsid w:val="0A09C80D"/>
    <w:rsid w:val="0A09CBA1"/>
    <w:rsid w:val="0A09CC9C"/>
    <w:rsid w:val="0A0A3866"/>
    <w:rsid w:val="0A0AE3B2"/>
    <w:rsid w:val="0A0E9E03"/>
    <w:rsid w:val="0A0F7866"/>
    <w:rsid w:val="0A102E20"/>
    <w:rsid w:val="0A10E9B2"/>
    <w:rsid w:val="0A12C5B6"/>
    <w:rsid w:val="0A146B4D"/>
    <w:rsid w:val="0A1683B0"/>
    <w:rsid w:val="0A18A5FF"/>
    <w:rsid w:val="0A18D7D5"/>
    <w:rsid w:val="0A1BEE17"/>
    <w:rsid w:val="0A1C78F8"/>
    <w:rsid w:val="0A1CB15F"/>
    <w:rsid w:val="0A1CFBBE"/>
    <w:rsid w:val="0A1E48D1"/>
    <w:rsid w:val="0A211E85"/>
    <w:rsid w:val="0A236A55"/>
    <w:rsid w:val="0A261995"/>
    <w:rsid w:val="0A29A935"/>
    <w:rsid w:val="0A29F4C6"/>
    <w:rsid w:val="0A2CAC33"/>
    <w:rsid w:val="0A2E1876"/>
    <w:rsid w:val="0A2E8C25"/>
    <w:rsid w:val="0A2F6A6E"/>
    <w:rsid w:val="0A2FA48A"/>
    <w:rsid w:val="0A30B19E"/>
    <w:rsid w:val="0A329BC0"/>
    <w:rsid w:val="0A33C1AE"/>
    <w:rsid w:val="0A364FFC"/>
    <w:rsid w:val="0A37DC92"/>
    <w:rsid w:val="0A403F92"/>
    <w:rsid w:val="0A40FB4D"/>
    <w:rsid w:val="0A413C8F"/>
    <w:rsid w:val="0A41C8E6"/>
    <w:rsid w:val="0A4472B9"/>
    <w:rsid w:val="0A44914D"/>
    <w:rsid w:val="0A46272D"/>
    <w:rsid w:val="0A4AC92C"/>
    <w:rsid w:val="0A4B9457"/>
    <w:rsid w:val="0A4D3E10"/>
    <w:rsid w:val="0A4E1186"/>
    <w:rsid w:val="0A4F881C"/>
    <w:rsid w:val="0A515CA9"/>
    <w:rsid w:val="0A56E9FF"/>
    <w:rsid w:val="0A577DA4"/>
    <w:rsid w:val="0A589FF0"/>
    <w:rsid w:val="0A5A5F81"/>
    <w:rsid w:val="0A5B7698"/>
    <w:rsid w:val="0A5C595A"/>
    <w:rsid w:val="0A5C6069"/>
    <w:rsid w:val="0A5D769F"/>
    <w:rsid w:val="0A5E40D6"/>
    <w:rsid w:val="0A60366D"/>
    <w:rsid w:val="0A618696"/>
    <w:rsid w:val="0A6453D6"/>
    <w:rsid w:val="0A68EC38"/>
    <w:rsid w:val="0A698E48"/>
    <w:rsid w:val="0A69C5ED"/>
    <w:rsid w:val="0A69E622"/>
    <w:rsid w:val="0A6AE5C8"/>
    <w:rsid w:val="0A6B5F00"/>
    <w:rsid w:val="0A6BB6AA"/>
    <w:rsid w:val="0A6E4B56"/>
    <w:rsid w:val="0A6EE75C"/>
    <w:rsid w:val="0A6FDA46"/>
    <w:rsid w:val="0A71AF38"/>
    <w:rsid w:val="0A725F7F"/>
    <w:rsid w:val="0A741909"/>
    <w:rsid w:val="0A79B2CE"/>
    <w:rsid w:val="0A7C7B34"/>
    <w:rsid w:val="0A7D7B54"/>
    <w:rsid w:val="0A80B965"/>
    <w:rsid w:val="0A8223D2"/>
    <w:rsid w:val="0A83A68B"/>
    <w:rsid w:val="0A85477D"/>
    <w:rsid w:val="0A870625"/>
    <w:rsid w:val="0A8847A1"/>
    <w:rsid w:val="0A8896E5"/>
    <w:rsid w:val="0A89A423"/>
    <w:rsid w:val="0A8A6C02"/>
    <w:rsid w:val="0A8AEBD0"/>
    <w:rsid w:val="0A8CD687"/>
    <w:rsid w:val="0A8D9D9B"/>
    <w:rsid w:val="0A8E0AEC"/>
    <w:rsid w:val="0A8E67E4"/>
    <w:rsid w:val="0A90F114"/>
    <w:rsid w:val="0A91B9F2"/>
    <w:rsid w:val="0A924136"/>
    <w:rsid w:val="0A931BEB"/>
    <w:rsid w:val="0A963DCF"/>
    <w:rsid w:val="0A964C31"/>
    <w:rsid w:val="0A96FA7B"/>
    <w:rsid w:val="0A97022D"/>
    <w:rsid w:val="0A974639"/>
    <w:rsid w:val="0A978A59"/>
    <w:rsid w:val="0A99EE03"/>
    <w:rsid w:val="0A9ADB83"/>
    <w:rsid w:val="0A9B1BD7"/>
    <w:rsid w:val="0A9C5C18"/>
    <w:rsid w:val="0AA1B822"/>
    <w:rsid w:val="0AA32898"/>
    <w:rsid w:val="0AA624E7"/>
    <w:rsid w:val="0AA6EF70"/>
    <w:rsid w:val="0AA713F4"/>
    <w:rsid w:val="0AA75AF7"/>
    <w:rsid w:val="0AA8B90E"/>
    <w:rsid w:val="0AA91D53"/>
    <w:rsid w:val="0AA9DD91"/>
    <w:rsid w:val="0AAA9EC9"/>
    <w:rsid w:val="0AABA274"/>
    <w:rsid w:val="0AABAE73"/>
    <w:rsid w:val="0AADF9D6"/>
    <w:rsid w:val="0AB05D21"/>
    <w:rsid w:val="0AB1D417"/>
    <w:rsid w:val="0AB4A94F"/>
    <w:rsid w:val="0AB54AED"/>
    <w:rsid w:val="0AB735AF"/>
    <w:rsid w:val="0AB7F06A"/>
    <w:rsid w:val="0AB81334"/>
    <w:rsid w:val="0AB92787"/>
    <w:rsid w:val="0AB93345"/>
    <w:rsid w:val="0ABB6566"/>
    <w:rsid w:val="0ABBC9E0"/>
    <w:rsid w:val="0ABF1C04"/>
    <w:rsid w:val="0AC25AEC"/>
    <w:rsid w:val="0AC292A8"/>
    <w:rsid w:val="0AC68F8D"/>
    <w:rsid w:val="0ACA6C5B"/>
    <w:rsid w:val="0ACAC5D2"/>
    <w:rsid w:val="0ACBA85F"/>
    <w:rsid w:val="0ACCB909"/>
    <w:rsid w:val="0ACDBF7A"/>
    <w:rsid w:val="0ACE8C08"/>
    <w:rsid w:val="0ACFF294"/>
    <w:rsid w:val="0AD0C94F"/>
    <w:rsid w:val="0AD2F41E"/>
    <w:rsid w:val="0AD49D84"/>
    <w:rsid w:val="0AD4BFC7"/>
    <w:rsid w:val="0AD6E3B7"/>
    <w:rsid w:val="0AD7A71E"/>
    <w:rsid w:val="0AD8655C"/>
    <w:rsid w:val="0AD9274D"/>
    <w:rsid w:val="0ADAF509"/>
    <w:rsid w:val="0ADC79AC"/>
    <w:rsid w:val="0ADCA295"/>
    <w:rsid w:val="0ADE32E0"/>
    <w:rsid w:val="0ADEE3F2"/>
    <w:rsid w:val="0AE130A0"/>
    <w:rsid w:val="0AE1E9F0"/>
    <w:rsid w:val="0AE21FA7"/>
    <w:rsid w:val="0AE310E9"/>
    <w:rsid w:val="0AE35DE1"/>
    <w:rsid w:val="0AE4C12B"/>
    <w:rsid w:val="0AE5BD4A"/>
    <w:rsid w:val="0AE61BF1"/>
    <w:rsid w:val="0AE91462"/>
    <w:rsid w:val="0AEA4748"/>
    <w:rsid w:val="0AEAD4D9"/>
    <w:rsid w:val="0AEBAC41"/>
    <w:rsid w:val="0AEEF1D1"/>
    <w:rsid w:val="0AEF05D3"/>
    <w:rsid w:val="0AEFE7B8"/>
    <w:rsid w:val="0AF014CA"/>
    <w:rsid w:val="0AF2A745"/>
    <w:rsid w:val="0AF3D9B2"/>
    <w:rsid w:val="0AF5F7DE"/>
    <w:rsid w:val="0AFC29B1"/>
    <w:rsid w:val="0AFE544F"/>
    <w:rsid w:val="0AFF6A32"/>
    <w:rsid w:val="0AFFA079"/>
    <w:rsid w:val="0B0035B6"/>
    <w:rsid w:val="0B024858"/>
    <w:rsid w:val="0B027919"/>
    <w:rsid w:val="0B04F00E"/>
    <w:rsid w:val="0B0544E6"/>
    <w:rsid w:val="0B05D1E7"/>
    <w:rsid w:val="0B0810FC"/>
    <w:rsid w:val="0B0883B2"/>
    <w:rsid w:val="0B08CF2E"/>
    <w:rsid w:val="0B094CF8"/>
    <w:rsid w:val="0B095572"/>
    <w:rsid w:val="0B0A5CE4"/>
    <w:rsid w:val="0B0AE2D7"/>
    <w:rsid w:val="0B0C28CC"/>
    <w:rsid w:val="0B101937"/>
    <w:rsid w:val="0B10E8A9"/>
    <w:rsid w:val="0B12692A"/>
    <w:rsid w:val="0B164CE7"/>
    <w:rsid w:val="0B19A18B"/>
    <w:rsid w:val="0B1A2A40"/>
    <w:rsid w:val="0B1C0FCB"/>
    <w:rsid w:val="0B1C4208"/>
    <w:rsid w:val="0B1D49E1"/>
    <w:rsid w:val="0B217BD9"/>
    <w:rsid w:val="0B2A0279"/>
    <w:rsid w:val="0B2CC7D0"/>
    <w:rsid w:val="0B2E7704"/>
    <w:rsid w:val="0B2EFAC0"/>
    <w:rsid w:val="0B2F5972"/>
    <w:rsid w:val="0B2FD1B9"/>
    <w:rsid w:val="0B3010B9"/>
    <w:rsid w:val="0B30299D"/>
    <w:rsid w:val="0B31F7A8"/>
    <w:rsid w:val="0B320D68"/>
    <w:rsid w:val="0B342405"/>
    <w:rsid w:val="0B346216"/>
    <w:rsid w:val="0B370A3B"/>
    <w:rsid w:val="0B3B0936"/>
    <w:rsid w:val="0B3D460A"/>
    <w:rsid w:val="0B40CFF0"/>
    <w:rsid w:val="0B437079"/>
    <w:rsid w:val="0B4665D1"/>
    <w:rsid w:val="0B4687E0"/>
    <w:rsid w:val="0B475C16"/>
    <w:rsid w:val="0B511C24"/>
    <w:rsid w:val="0B52B2A2"/>
    <w:rsid w:val="0B5381B8"/>
    <w:rsid w:val="0B53F067"/>
    <w:rsid w:val="0B56DAEA"/>
    <w:rsid w:val="0B57978A"/>
    <w:rsid w:val="0B58FE18"/>
    <w:rsid w:val="0B59F98B"/>
    <w:rsid w:val="0B5B30FE"/>
    <w:rsid w:val="0B5CE04F"/>
    <w:rsid w:val="0B5D9D01"/>
    <w:rsid w:val="0B5E8D07"/>
    <w:rsid w:val="0B5F0DCB"/>
    <w:rsid w:val="0B5F7C56"/>
    <w:rsid w:val="0B5FC004"/>
    <w:rsid w:val="0B60DCB6"/>
    <w:rsid w:val="0B619BDC"/>
    <w:rsid w:val="0B61F0BD"/>
    <w:rsid w:val="0B63845D"/>
    <w:rsid w:val="0B65F6B9"/>
    <w:rsid w:val="0B65F7CA"/>
    <w:rsid w:val="0B661D9C"/>
    <w:rsid w:val="0B6699A7"/>
    <w:rsid w:val="0B67727A"/>
    <w:rsid w:val="0B67910E"/>
    <w:rsid w:val="0B679BA6"/>
    <w:rsid w:val="0B6A4B5D"/>
    <w:rsid w:val="0B6FF4C9"/>
    <w:rsid w:val="0B719994"/>
    <w:rsid w:val="0B741057"/>
    <w:rsid w:val="0B75FB3E"/>
    <w:rsid w:val="0B7614D5"/>
    <w:rsid w:val="0B77C9A5"/>
    <w:rsid w:val="0B77EC9A"/>
    <w:rsid w:val="0B78D6BD"/>
    <w:rsid w:val="0B7AED68"/>
    <w:rsid w:val="0B816CCC"/>
    <w:rsid w:val="0B833406"/>
    <w:rsid w:val="0B835237"/>
    <w:rsid w:val="0B83C0C5"/>
    <w:rsid w:val="0B843B9B"/>
    <w:rsid w:val="0B871E19"/>
    <w:rsid w:val="0B8842AD"/>
    <w:rsid w:val="0B8A4A33"/>
    <w:rsid w:val="0B8B14C8"/>
    <w:rsid w:val="0B8B2C4D"/>
    <w:rsid w:val="0B8C847A"/>
    <w:rsid w:val="0B8DD210"/>
    <w:rsid w:val="0B91DCF2"/>
    <w:rsid w:val="0B94A473"/>
    <w:rsid w:val="0B95591E"/>
    <w:rsid w:val="0B958A8B"/>
    <w:rsid w:val="0B99CC2D"/>
    <w:rsid w:val="0BA0189E"/>
    <w:rsid w:val="0BA12705"/>
    <w:rsid w:val="0BA19222"/>
    <w:rsid w:val="0BA2482A"/>
    <w:rsid w:val="0BA36522"/>
    <w:rsid w:val="0BA3A2C2"/>
    <w:rsid w:val="0BA569A6"/>
    <w:rsid w:val="0BA585E3"/>
    <w:rsid w:val="0BA8AAE6"/>
    <w:rsid w:val="0BA906C2"/>
    <w:rsid w:val="0BA9BEB2"/>
    <w:rsid w:val="0BAC794D"/>
    <w:rsid w:val="0BAC7C40"/>
    <w:rsid w:val="0BAD97EA"/>
    <w:rsid w:val="0BAF9285"/>
    <w:rsid w:val="0BB29F45"/>
    <w:rsid w:val="0BB3AC83"/>
    <w:rsid w:val="0BB448B4"/>
    <w:rsid w:val="0BB51992"/>
    <w:rsid w:val="0BB5EEBF"/>
    <w:rsid w:val="0BBBEC92"/>
    <w:rsid w:val="0BBC1C7C"/>
    <w:rsid w:val="0BBEF0C9"/>
    <w:rsid w:val="0BBF359D"/>
    <w:rsid w:val="0BC1C0A2"/>
    <w:rsid w:val="0BC2ACD9"/>
    <w:rsid w:val="0BC5531E"/>
    <w:rsid w:val="0BC5AF5F"/>
    <w:rsid w:val="0BC62A31"/>
    <w:rsid w:val="0BC7AEBB"/>
    <w:rsid w:val="0BC7F87D"/>
    <w:rsid w:val="0BC901FE"/>
    <w:rsid w:val="0BC9550F"/>
    <w:rsid w:val="0BC979A6"/>
    <w:rsid w:val="0BCA6B2D"/>
    <w:rsid w:val="0BCB1C90"/>
    <w:rsid w:val="0BCBD4FB"/>
    <w:rsid w:val="0BCC16E3"/>
    <w:rsid w:val="0BCD07D4"/>
    <w:rsid w:val="0BCFBA29"/>
    <w:rsid w:val="0BD3294C"/>
    <w:rsid w:val="0BD3E5FF"/>
    <w:rsid w:val="0BD4879F"/>
    <w:rsid w:val="0BD4945F"/>
    <w:rsid w:val="0BD4C182"/>
    <w:rsid w:val="0BD50CAD"/>
    <w:rsid w:val="0BD5C51B"/>
    <w:rsid w:val="0BD5F073"/>
    <w:rsid w:val="0BD6CEB2"/>
    <w:rsid w:val="0BD7894E"/>
    <w:rsid w:val="0BD7F61D"/>
    <w:rsid w:val="0BD977FA"/>
    <w:rsid w:val="0BDA6B4A"/>
    <w:rsid w:val="0BDA8C4C"/>
    <w:rsid w:val="0BDB844E"/>
    <w:rsid w:val="0BDBD1C8"/>
    <w:rsid w:val="0BDEECEC"/>
    <w:rsid w:val="0BDF6455"/>
    <w:rsid w:val="0BE11F9C"/>
    <w:rsid w:val="0BE156A3"/>
    <w:rsid w:val="0BE3F1E6"/>
    <w:rsid w:val="0BE432BE"/>
    <w:rsid w:val="0BE530A8"/>
    <w:rsid w:val="0BE69062"/>
    <w:rsid w:val="0BE6CF29"/>
    <w:rsid w:val="0BE878B7"/>
    <w:rsid w:val="0BE91297"/>
    <w:rsid w:val="0BE9E789"/>
    <w:rsid w:val="0BECBCB7"/>
    <w:rsid w:val="0BECDFA8"/>
    <w:rsid w:val="0BEF3600"/>
    <w:rsid w:val="0BF0149E"/>
    <w:rsid w:val="0BF06C96"/>
    <w:rsid w:val="0BF107A3"/>
    <w:rsid w:val="0BF217C4"/>
    <w:rsid w:val="0BF2AF3C"/>
    <w:rsid w:val="0BF325F4"/>
    <w:rsid w:val="0BF327B3"/>
    <w:rsid w:val="0BF3A87D"/>
    <w:rsid w:val="0BF51718"/>
    <w:rsid w:val="0BF613C0"/>
    <w:rsid w:val="0BFBCFFF"/>
    <w:rsid w:val="0BFEAD7E"/>
    <w:rsid w:val="0C0028EB"/>
    <w:rsid w:val="0C00C6DB"/>
    <w:rsid w:val="0C00F969"/>
    <w:rsid w:val="0C04FA02"/>
    <w:rsid w:val="0C056027"/>
    <w:rsid w:val="0C06D311"/>
    <w:rsid w:val="0C07633E"/>
    <w:rsid w:val="0C07C9FD"/>
    <w:rsid w:val="0C08C809"/>
    <w:rsid w:val="0C0A393C"/>
    <w:rsid w:val="0C0B485E"/>
    <w:rsid w:val="0C0B5C3C"/>
    <w:rsid w:val="0C0CB323"/>
    <w:rsid w:val="0C0DC29C"/>
    <w:rsid w:val="0C0E0427"/>
    <w:rsid w:val="0C0EF06F"/>
    <w:rsid w:val="0C0F5DB6"/>
    <w:rsid w:val="0C0F6392"/>
    <w:rsid w:val="0C10D632"/>
    <w:rsid w:val="0C11F4FC"/>
    <w:rsid w:val="0C12DBD5"/>
    <w:rsid w:val="0C12EA89"/>
    <w:rsid w:val="0C137268"/>
    <w:rsid w:val="0C14AED4"/>
    <w:rsid w:val="0C172E97"/>
    <w:rsid w:val="0C192437"/>
    <w:rsid w:val="0C19B989"/>
    <w:rsid w:val="0C19BEE4"/>
    <w:rsid w:val="0C1B2214"/>
    <w:rsid w:val="0C1C3641"/>
    <w:rsid w:val="0C21A8A5"/>
    <w:rsid w:val="0C21E3B2"/>
    <w:rsid w:val="0C225DEA"/>
    <w:rsid w:val="0C22E3EB"/>
    <w:rsid w:val="0C245E5C"/>
    <w:rsid w:val="0C24A281"/>
    <w:rsid w:val="0C286201"/>
    <w:rsid w:val="0C2B7A07"/>
    <w:rsid w:val="0C2C4B28"/>
    <w:rsid w:val="0C2D30D6"/>
    <w:rsid w:val="0C2F0DAB"/>
    <w:rsid w:val="0C31CD9E"/>
    <w:rsid w:val="0C3270BE"/>
    <w:rsid w:val="0C3303AC"/>
    <w:rsid w:val="0C364460"/>
    <w:rsid w:val="0C3A3574"/>
    <w:rsid w:val="0C3B4A6A"/>
    <w:rsid w:val="0C3C6FA5"/>
    <w:rsid w:val="0C3C85A9"/>
    <w:rsid w:val="0C428AD5"/>
    <w:rsid w:val="0C432105"/>
    <w:rsid w:val="0C4585B1"/>
    <w:rsid w:val="0C45BD6E"/>
    <w:rsid w:val="0C45FDC3"/>
    <w:rsid w:val="0C4649EF"/>
    <w:rsid w:val="0C469814"/>
    <w:rsid w:val="0C494903"/>
    <w:rsid w:val="0C4E274C"/>
    <w:rsid w:val="0C4EE41D"/>
    <w:rsid w:val="0C508C0A"/>
    <w:rsid w:val="0C511486"/>
    <w:rsid w:val="0C515D36"/>
    <w:rsid w:val="0C517B49"/>
    <w:rsid w:val="0C543B5C"/>
    <w:rsid w:val="0C579125"/>
    <w:rsid w:val="0C58E205"/>
    <w:rsid w:val="0C5A8550"/>
    <w:rsid w:val="0C5A992A"/>
    <w:rsid w:val="0C5B26AA"/>
    <w:rsid w:val="0C5E2704"/>
    <w:rsid w:val="0C604E0E"/>
    <w:rsid w:val="0C605F16"/>
    <w:rsid w:val="0C606C87"/>
    <w:rsid w:val="0C60D3F1"/>
    <w:rsid w:val="0C61F477"/>
    <w:rsid w:val="0C654478"/>
    <w:rsid w:val="0C682199"/>
    <w:rsid w:val="0C690B9F"/>
    <w:rsid w:val="0C6B51F8"/>
    <w:rsid w:val="0C6B5FB5"/>
    <w:rsid w:val="0C6BD938"/>
    <w:rsid w:val="0C6D78A9"/>
    <w:rsid w:val="0C6DD59B"/>
    <w:rsid w:val="0C6DD98C"/>
    <w:rsid w:val="0C6F617C"/>
    <w:rsid w:val="0C6F8C2C"/>
    <w:rsid w:val="0C704D22"/>
    <w:rsid w:val="0C72167B"/>
    <w:rsid w:val="0C722596"/>
    <w:rsid w:val="0C72497D"/>
    <w:rsid w:val="0C72E28A"/>
    <w:rsid w:val="0C73DD86"/>
    <w:rsid w:val="0C753EFF"/>
    <w:rsid w:val="0C794454"/>
    <w:rsid w:val="0C7A883B"/>
    <w:rsid w:val="0C7C4B75"/>
    <w:rsid w:val="0C7C8F5A"/>
    <w:rsid w:val="0C7E2EDC"/>
    <w:rsid w:val="0C7E48DF"/>
    <w:rsid w:val="0C8000B2"/>
    <w:rsid w:val="0C81BCA3"/>
    <w:rsid w:val="0C824EF8"/>
    <w:rsid w:val="0C82951D"/>
    <w:rsid w:val="0C836C6B"/>
    <w:rsid w:val="0C839B1D"/>
    <w:rsid w:val="0C845314"/>
    <w:rsid w:val="0C849C90"/>
    <w:rsid w:val="0C84D7FA"/>
    <w:rsid w:val="0C8A06B6"/>
    <w:rsid w:val="0C8B1255"/>
    <w:rsid w:val="0C8B4C71"/>
    <w:rsid w:val="0C8C4F91"/>
    <w:rsid w:val="0C8E2B02"/>
    <w:rsid w:val="0C8E55E6"/>
    <w:rsid w:val="0C9077C3"/>
    <w:rsid w:val="0C925943"/>
    <w:rsid w:val="0C92AC62"/>
    <w:rsid w:val="0C93AE26"/>
    <w:rsid w:val="0C970DCD"/>
    <w:rsid w:val="0C982722"/>
    <w:rsid w:val="0C9988AA"/>
    <w:rsid w:val="0C9A3F54"/>
    <w:rsid w:val="0C9C87D1"/>
    <w:rsid w:val="0C9DE1A3"/>
    <w:rsid w:val="0C9F2828"/>
    <w:rsid w:val="0C9F8E89"/>
    <w:rsid w:val="0CA063B7"/>
    <w:rsid w:val="0CA174A2"/>
    <w:rsid w:val="0CA4C9AC"/>
    <w:rsid w:val="0CA56A5C"/>
    <w:rsid w:val="0CA64B4E"/>
    <w:rsid w:val="0CA6CCCB"/>
    <w:rsid w:val="0CA714A9"/>
    <w:rsid w:val="0CA719B4"/>
    <w:rsid w:val="0CA72A87"/>
    <w:rsid w:val="0CA931A2"/>
    <w:rsid w:val="0CAAB405"/>
    <w:rsid w:val="0CABCD8B"/>
    <w:rsid w:val="0CAC8EF9"/>
    <w:rsid w:val="0CACA236"/>
    <w:rsid w:val="0CAD01EE"/>
    <w:rsid w:val="0CAE3DA1"/>
    <w:rsid w:val="0CAF2E01"/>
    <w:rsid w:val="0CAF383E"/>
    <w:rsid w:val="0CAFC67A"/>
    <w:rsid w:val="0CB06753"/>
    <w:rsid w:val="0CB21E1C"/>
    <w:rsid w:val="0CB4C16D"/>
    <w:rsid w:val="0CB5850E"/>
    <w:rsid w:val="0CB711A7"/>
    <w:rsid w:val="0CBC1E88"/>
    <w:rsid w:val="0CBD7C3A"/>
    <w:rsid w:val="0CBE0D90"/>
    <w:rsid w:val="0CBE40AA"/>
    <w:rsid w:val="0CC1ECD1"/>
    <w:rsid w:val="0CC25AFC"/>
    <w:rsid w:val="0CC33297"/>
    <w:rsid w:val="0CC35FF4"/>
    <w:rsid w:val="0CC5D2DA"/>
    <w:rsid w:val="0CC6730B"/>
    <w:rsid w:val="0CC8030A"/>
    <w:rsid w:val="0CC8E018"/>
    <w:rsid w:val="0CC901EF"/>
    <w:rsid w:val="0CCAD5A0"/>
    <w:rsid w:val="0CCCE9D3"/>
    <w:rsid w:val="0CCE7DEC"/>
    <w:rsid w:val="0CCE9590"/>
    <w:rsid w:val="0CCF0ADE"/>
    <w:rsid w:val="0CD091A1"/>
    <w:rsid w:val="0CD0AFE4"/>
    <w:rsid w:val="0CD171A5"/>
    <w:rsid w:val="0CD4D9FF"/>
    <w:rsid w:val="0CD581BA"/>
    <w:rsid w:val="0CD7F4C0"/>
    <w:rsid w:val="0CDAE713"/>
    <w:rsid w:val="0CDCE1AD"/>
    <w:rsid w:val="0CDF2758"/>
    <w:rsid w:val="0CE03C56"/>
    <w:rsid w:val="0CE047C6"/>
    <w:rsid w:val="0CE0E623"/>
    <w:rsid w:val="0CE12951"/>
    <w:rsid w:val="0CE1D307"/>
    <w:rsid w:val="0CE3F549"/>
    <w:rsid w:val="0CE601F5"/>
    <w:rsid w:val="0CE6D043"/>
    <w:rsid w:val="0CE6D6D6"/>
    <w:rsid w:val="0CE77D62"/>
    <w:rsid w:val="0CE7AAEC"/>
    <w:rsid w:val="0CE7B6B9"/>
    <w:rsid w:val="0CE8226C"/>
    <w:rsid w:val="0CE9FE1D"/>
    <w:rsid w:val="0CEA0BD3"/>
    <w:rsid w:val="0CEDC6EB"/>
    <w:rsid w:val="0CEE498A"/>
    <w:rsid w:val="0CEF7859"/>
    <w:rsid w:val="0CF01A7F"/>
    <w:rsid w:val="0CF13024"/>
    <w:rsid w:val="0CF2B90E"/>
    <w:rsid w:val="0CF391F6"/>
    <w:rsid w:val="0CF4E92D"/>
    <w:rsid w:val="0CF7CEEA"/>
    <w:rsid w:val="0CF848DB"/>
    <w:rsid w:val="0CF86415"/>
    <w:rsid w:val="0CFA168D"/>
    <w:rsid w:val="0CFA87E7"/>
    <w:rsid w:val="0CFAB1FE"/>
    <w:rsid w:val="0CFBEED1"/>
    <w:rsid w:val="0CFD9CCE"/>
    <w:rsid w:val="0CFE1161"/>
    <w:rsid w:val="0CFE408F"/>
    <w:rsid w:val="0D00F1A9"/>
    <w:rsid w:val="0D015506"/>
    <w:rsid w:val="0D040634"/>
    <w:rsid w:val="0D04C6A2"/>
    <w:rsid w:val="0D04EF12"/>
    <w:rsid w:val="0D05146E"/>
    <w:rsid w:val="0D0649D5"/>
    <w:rsid w:val="0D0657A4"/>
    <w:rsid w:val="0D08BD8E"/>
    <w:rsid w:val="0D08E355"/>
    <w:rsid w:val="0D0B2203"/>
    <w:rsid w:val="0D0B9B9D"/>
    <w:rsid w:val="0D0CC203"/>
    <w:rsid w:val="0D0ED36A"/>
    <w:rsid w:val="0D0F419E"/>
    <w:rsid w:val="0D1038D6"/>
    <w:rsid w:val="0D10CDE5"/>
    <w:rsid w:val="0D11E536"/>
    <w:rsid w:val="0D13C189"/>
    <w:rsid w:val="0D16E58D"/>
    <w:rsid w:val="0D17F7A5"/>
    <w:rsid w:val="0D1C4456"/>
    <w:rsid w:val="0D1F1803"/>
    <w:rsid w:val="0D1F7E7D"/>
    <w:rsid w:val="0D21C6BB"/>
    <w:rsid w:val="0D238F68"/>
    <w:rsid w:val="0D267730"/>
    <w:rsid w:val="0D2A96D0"/>
    <w:rsid w:val="0D2AA80D"/>
    <w:rsid w:val="0D2B6220"/>
    <w:rsid w:val="0D2D9715"/>
    <w:rsid w:val="0D32F532"/>
    <w:rsid w:val="0D330E28"/>
    <w:rsid w:val="0D333C2D"/>
    <w:rsid w:val="0D33D3F0"/>
    <w:rsid w:val="0D3577EF"/>
    <w:rsid w:val="0D35E578"/>
    <w:rsid w:val="0D36E2E5"/>
    <w:rsid w:val="0D378DE5"/>
    <w:rsid w:val="0D381EB9"/>
    <w:rsid w:val="0D3837AC"/>
    <w:rsid w:val="0D3B942A"/>
    <w:rsid w:val="0D3BF40D"/>
    <w:rsid w:val="0D3DA4D0"/>
    <w:rsid w:val="0D3E6BDC"/>
    <w:rsid w:val="0D3E733B"/>
    <w:rsid w:val="0D3EC829"/>
    <w:rsid w:val="0D3EF4F0"/>
    <w:rsid w:val="0D410FE2"/>
    <w:rsid w:val="0D416D5E"/>
    <w:rsid w:val="0D428947"/>
    <w:rsid w:val="0D42941B"/>
    <w:rsid w:val="0D44AC73"/>
    <w:rsid w:val="0D4B3666"/>
    <w:rsid w:val="0D4B5418"/>
    <w:rsid w:val="0D4B6201"/>
    <w:rsid w:val="0D4D6E25"/>
    <w:rsid w:val="0D4DF871"/>
    <w:rsid w:val="0D4E7E0E"/>
    <w:rsid w:val="0D4F43C8"/>
    <w:rsid w:val="0D526737"/>
    <w:rsid w:val="0D52FEDC"/>
    <w:rsid w:val="0D53D296"/>
    <w:rsid w:val="0D54BF4B"/>
    <w:rsid w:val="0D56BE0A"/>
    <w:rsid w:val="0D5722D3"/>
    <w:rsid w:val="0D57E588"/>
    <w:rsid w:val="0D587E41"/>
    <w:rsid w:val="0D58BE81"/>
    <w:rsid w:val="0D5A23D8"/>
    <w:rsid w:val="0D5B5C68"/>
    <w:rsid w:val="0D5C4352"/>
    <w:rsid w:val="0D5E1961"/>
    <w:rsid w:val="0D5EC3ED"/>
    <w:rsid w:val="0D622D69"/>
    <w:rsid w:val="0D62809B"/>
    <w:rsid w:val="0D630652"/>
    <w:rsid w:val="0D633013"/>
    <w:rsid w:val="0D64DF15"/>
    <w:rsid w:val="0D655B80"/>
    <w:rsid w:val="0D6DAA5B"/>
    <w:rsid w:val="0D6FC789"/>
    <w:rsid w:val="0D70DD0E"/>
    <w:rsid w:val="0D71B7A6"/>
    <w:rsid w:val="0D72596B"/>
    <w:rsid w:val="0D72A771"/>
    <w:rsid w:val="0D734430"/>
    <w:rsid w:val="0D73BE38"/>
    <w:rsid w:val="0D76A8E4"/>
    <w:rsid w:val="0D7AF115"/>
    <w:rsid w:val="0D7E2904"/>
    <w:rsid w:val="0D7FBCAB"/>
    <w:rsid w:val="0D804A8C"/>
    <w:rsid w:val="0D81210C"/>
    <w:rsid w:val="0D812C82"/>
    <w:rsid w:val="0D8410C4"/>
    <w:rsid w:val="0D866AB0"/>
    <w:rsid w:val="0D87A903"/>
    <w:rsid w:val="0D88D4F3"/>
    <w:rsid w:val="0D88EF57"/>
    <w:rsid w:val="0D8AD4DD"/>
    <w:rsid w:val="0D8B1C20"/>
    <w:rsid w:val="0D8B243E"/>
    <w:rsid w:val="0D8B5EBE"/>
    <w:rsid w:val="0D8BAC7B"/>
    <w:rsid w:val="0D8C1D30"/>
    <w:rsid w:val="0D8EC9FF"/>
    <w:rsid w:val="0D919AB0"/>
    <w:rsid w:val="0D91DE39"/>
    <w:rsid w:val="0D920677"/>
    <w:rsid w:val="0D9300CD"/>
    <w:rsid w:val="0D95DFA7"/>
    <w:rsid w:val="0D95E198"/>
    <w:rsid w:val="0D96C2E6"/>
    <w:rsid w:val="0D9A07C6"/>
    <w:rsid w:val="0D9A4B6A"/>
    <w:rsid w:val="0D9AC202"/>
    <w:rsid w:val="0D9D493C"/>
    <w:rsid w:val="0D9E4F2A"/>
    <w:rsid w:val="0DA04440"/>
    <w:rsid w:val="0DA04FB0"/>
    <w:rsid w:val="0DA0906D"/>
    <w:rsid w:val="0DA1E2D7"/>
    <w:rsid w:val="0DA2D340"/>
    <w:rsid w:val="0DA3B659"/>
    <w:rsid w:val="0DA3E83E"/>
    <w:rsid w:val="0DA564AB"/>
    <w:rsid w:val="0DA68108"/>
    <w:rsid w:val="0DA6A3A2"/>
    <w:rsid w:val="0DA8F2B3"/>
    <w:rsid w:val="0DAAA99A"/>
    <w:rsid w:val="0DAD7D46"/>
    <w:rsid w:val="0DB07B33"/>
    <w:rsid w:val="0DB10C5B"/>
    <w:rsid w:val="0DB244D7"/>
    <w:rsid w:val="0DB28240"/>
    <w:rsid w:val="0DB3185C"/>
    <w:rsid w:val="0DB47403"/>
    <w:rsid w:val="0DB48FCE"/>
    <w:rsid w:val="0DB6104D"/>
    <w:rsid w:val="0DB775DF"/>
    <w:rsid w:val="0DB852EA"/>
    <w:rsid w:val="0DB9286C"/>
    <w:rsid w:val="0DBC6E83"/>
    <w:rsid w:val="0DC018E3"/>
    <w:rsid w:val="0DC0F535"/>
    <w:rsid w:val="0DC11431"/>
    <w:rsid w:val="0DC28C92"/>
    <w:rsid w:val="0DC492A3"/>
    <w:rsid w:val="0DC4CC23"/>
    <w:rsid w:val="0DC50231"/>
    <w:rsid w:val="0DC53E5D"/>
    <w:rsid w:val="0DC56FA8"/>
    <w:rsid w:val="0DC6790B"/>
    <w:rsid w:val="0DCCF304"/>
    <w:rsid w:val="0DCED0F1"/>
    <w:rsid w:val="0DCFA134"/>
    <w:rsid w:val="0DD0076E"/>
    <w:rsid w:val="0DD29F41"/>
    <w:rsid w:val="0DD2A977"/>
    <w:rsid w:val="0DD3085B"/>
    <w:rsid w:val="0DD3F8BE"/>
    <w:rsid w:val="0DD4901E"/>
    <w:rsid w:val="0DD4B94C"/>
    <w:rsid w:val="0DD59E1B"/>
    <w:rsid w:val="0DDA061F"/>
    <w:rsid w:val="0DDA12F7"/>
    <w:rsid w:val="0DDA9DBF"/>
    <w:rsid w:val="0DDBC7D7"/>
    <w:rsid w:val="0DDBCA66"/>
    <w:rsid w:val="0DE0E17A"/>
    <w:rsid w:val="0DE8E3AE"/>
    <w:rsid w:val="0DE91896"/>
    <w:rsid w:val="0DEDB26B"/>
    <w:rsid w:val="0DF00A21"/>
    <w:rsid w:val="0DF38782"/>
    <w:rsid w:val="0DF63FB8"/>
    <w:rsid w:val="0DF946BB"/>
    <w:rsid w:val="0DF96FB5"/>
    <w:rsid w:val="0DF9831F"/>
    <w:rsid w:val="0DF9B679"/>
    <w:rsid w:val="0DFC904C"/>
    <w:rsid w:val="0DFC963D"/>
    <w:rsid w:val="0DFD5C34"/>
    <w:rsid w:val="0DFDE41B"/>
    <w:rsid w:val="0DFE9B82"/>
    <w:rsid w:val="0DFF60B2"/>
    <w:rsid w:val="0DFF67DD"/>
    <w:rsid w:val="0E00C0D6"/>
    <w:rsid w:val="0E00CFAA"/>
    <w:rsid w:val="0E015AFD"/>
    <w:rsid w:val="0E01C181"/>
    <w:rsid w:val="0E03C253"/>
    <w:rsid w:val="0E040E71"/>
    <w:rsid w:val="0E06CB15"/>
    <w:rsid w:val="0E0843AB"/>
    <w:rsid w:val="0E0CFD7F"/>
    <w:rsid w:val="0E0D18D5"/>
    <w:rsid w:val="0E111DD6"/>
    <w:rsid w:val="0E118BCB"/>
    <w:rsid w:val="0E12EF47"/>
    <w:rsid w:val="0E14BF5C"/>
    <w:rsid w:val="0E15600D"/>
    <w:rsid w:val="0E1746BC"/>
    <w:rsid w:val="0E18CAAB"/>
    <w:rsid w:val="0E1BB64C"/>
    <w:rsid w:val="0E1BC1A8"/>
    <w:rsid w:val="0E1BD5C5"/>
    <w:rsid w:val="0E1C11E1"/>
    <w:rsid w:val="0E1EC08D"/>
    <w:rsid w:val="0E1F06D7"/>
    <w:rsid w:val="0E1F0A39"/>
    <w:rsid w:val="0E22BE21"/>
    <w:rsid w:val="0E230C56"/>
    <w:rsid w:val="0E24CA85"/>
    <w:rsid w:val="0E250078"/>
    <w:rsid w:val="0E267864"/>
    <w:rsid w:val="0E2A8EBD"/>
    <w:rsid w:val="0E2D266E"/>
    <w:rsid w:val="0E2EA4CB"/>
    <w:rsid w:val="0E2EC996"/>
    <w:rsid w:val="0E2EF98A"/>
    <w:rsid w:val="0E2FE367"/>
    <w:rsid w:val="0E367FD5"/>
    <w:rsid w:val="0E36DBB7"/>
    <w:rsid w:val="0E385832"/>
    <w:rsid w:val="0E3873C0"/>
    <w:rsid w:val="0E3919A4"/>
    <w:rsid w:val="0E3C0D6C"/>
    <w:rsid w:val="0E3EF1D4"/>
    <w:rsid w:val="0E400453"/>
    <w:rsid w:val="0E400871"/>
    <w:rsid w:val="0E402A9D"/>
    <w:rsid w:val="0E41138D"/>
    <w:rsid w:val="0E41D56D"/>
    <w:rsid w:val="0E423088"/>
    <w:rsid w:val="0E42ACAC"/>
    <w:rsid w:val="0E4338C2"/>
    <w:rsid w:val="0E455AF1"/>
    <w:rsid w:val="0E46BB55"/>
    <w:rsid w:val="0E47B9F9"/>
    <w:rsid w:val="0E49CFE9"/>
    <w:rsid w:val="0E4C5F5F"/>
    <w:rsid w:val="0E4EAE42"/>
    <w:rsid w:val="0E50A0BF"/>
    <w:rsid w:val="0E577BAB"/>
    <w:rsid w:val="0E59D63A"/>
    <w:rsid w:val="0E5C797F"/>
    <w:rsid w:val="0E5D646A"/>
    <w:rsid w:val="0E5ECC01"/>
    <w:rsid w:val="0E607E7F"/>
    <w:rsid w:val="0E629C8C"/>
    <w:rsid w:val="0E633E3F"/>
    <w:rsid w:val="0E6394E7"/>
    <w:rsid w:val="0E641552"/>
    <w:rsid w:val="0E65453B"/>
    <w:rsid w:val="0E6CC57C"/>
    <w:rsid w:val="0E718E69"/>
    <w:rsid w:val="0E72CD57"/>
    <w:rsid w:val="0E773212"/>
    <w:rsid w:val="0E783333"/>
    <w:rsid w:val="0E79EE18"/>
    <w:rsid w:val="0E7B4AA9"/>
    <w:rsid w:val="0E7B58A0"/>
    <w:rsid w:val="0E7C1917"/>
    <w:rsid w:val="0E7CFA9E"/>
    <w:rsid w:val="0E7FA1E4"/>
    <w:rsid w:val="0E80B5AD"/>
    <w:rsid w:val="0E83C25D"/>
    <w:rsid w:val="0E85A7FE"/>
    <w:rsid w:val="0E865F08"/>
    <w:rsid w:val="0E8693AD"/>
    <w:rsid w:val="0E8B6648"/>
    <w:rsid w:val="0E8BF255"/>
    <w:rsid w:val="0E8D0081"/>
    <w:rsid w:val="0E8D85C4"/>
    <w:rsid w:val="0E8DFC8F"/>
    <w:rsid w:val="0E8E5F48"/>
    <w:rsid w:val="0E90FBCF"/>
    <w:rsid w:val="0E9161AB"/>
    <w:rsid w:val="0E92C694"/>
    <w:rsid w:val="0E9611B0"/>
    <w:rsid w:val="0E990426"/>
    <w:rsid w:val="0E99E377"/>
    <w:rsid w:val="0E9B5D42"/>
    <w:rsid w:val="0E9B933A"/>
    <w:rsid w:val="0E9DC035"/>
    <w:rsid w:val="0E9E45CC"/>
    <w:rsid w:val="0EA02460"/>
    <w:rsid w:val="0EA046CF"/>
    <w:rsid w:val="0EA13A91"/>
    <w:rsid w:val="0EA89262"/>
    <w:rsid w:val="0EAB8FBE"/>
    <w:rsid w:val="0EAB99A6"/>
    <w:rsid w:val="0EAD838C"/>
    <w:rsid w:val="0EB22752"/>
    <w:rsid w:val="0EB2AF75"/>
    <w:rsid w:val="0EB3171C"/>
    <w:rsid w:val="0EB46562"/>
    <w:rsid w:val="0EB5EC73"/>
    <w:rsid w:val="0EB67294"/>
    <w:rsid w:val="0EB73D8E"/>
    <w:rsid w:val="0EB7804A"/>
    <w:rsid w:val="0EC11B88"/>
    <w:rsid w:val="0EC1638E"/>
    <w:rsid w:val="0EC2688F"/>
    <w:rsid w:val="0EC2866D"/>
    <w:rsid w:val="0EC38F6F"/>
    <w:rsid w:val="0EC415EB"/>
    <w:rsid w:val="0EC41606"/>
    <w:rsid w:val="0EC47822"/>
    <w:rsid w:val="0EC58FC0"/>
    <w:rsid w:val="0EC5F85A"/>
    <w:rsid w:val="0EC9E5BA"/>
    <w:rsid w:val="0ECAD807"/>
    <w:rsid w:val="0ECBD4FE"/>
    <w:rsid w:val="0ECBDC39"/>
    <w:rsid w:val="0ECC305B"/>
    <w:rsid w:val="0ECC518E"/>
    <w:rsid w:val="0ECE9083"/>
    <w:rsid w:val="0ED03EA8"/>
    <w:rsid w:val="0ED04383"/>
    <w:rsid w:val="0ED19D10"/>
    <w:rsid w:val="0ED42770"/>
    <w:rsid w:val="0ED550C2"/>
    <w:rsid w:val="0ED56D50"/>
    <w:rsid w:val="0ED56EB0"/>
    <w:rsid w:val="0ED58B87"/>
    <w:rsid w:val="0ED92CF5"/>
    <w:rsid w:val="0EDAD68B"/>
    <w:rsid w:val="0EE05EF9"/>
    <w:rsid w:val="0EE7D654"/>
    <w:rsid w:val="0EE7DBA8"/>
    <w:rsid w:val="0EE8E117"/>
    <w:rsid w:val="0EEA0BC7"/>
    <w:rsid w:val="0EEB390B"/>
    <w:rsid w:val="0EEF8771"/>
    <w:rsid w:val="0EF0928E"/>
    <w:rsid w:val="0EF1DCEE"/>
    <w:rsid w:val="0EF22B7C"/>
    <w:rsid w:val="0EF6003E"/>
    <w:rsid w:val="0EF8F128"/>
    <w:rsid w:val="0EF9F90D"/>
    <w:rsid w:val="0EFA1596"/>
    <w:rsid w:val="0EFABEBE"/>
    <w:rsid w:val="0EFC2517"/>
    <w:rsid w:val="0EFD874C"/>
    <w:rsid w:val="0EFDC998"/>
    <w:rsid w:val="0EFDEAEA"/>
    <w:rsid w:val="0EFF8BE0"/>
    <w:rsid w:val="0F00430C"/>
    <w:rsid w:val="0F01845B"/>
    <w:rsid w:val="0F01A2FF"/>
    <w:rsid w:val="0F065587"/>
    <w:rsid w:val="0F06DE34"/>
    <w:rsid w:val="0F07D7F5"/>
    <w:rsid w:val="0F08934C"/>
    <w:rsid w:val="0F0A0B0E"/>
    <w:rsid w:val="0F0BAF4D"/>
    <w:rsid w:val="0F0BCCC5"/>
    <w:rsid w:val="0F0C27C5"/>
    <w:rsid w:val="0F0C44C6"/>
    <w:rsid w:val="0F0D3A71"/>
    <w:rsid w:val="0F0F2E6F"/>
    <w:rsid w:val="0F0FBC43"/>
    <w:rsid w:val="0F127945"/>
    <w:rsid w:val="0F12F3EF"/>
    <w:rsid w:val="0F14E218"/>
    <w:rsid w:val="0F155426"/>
    <w:rsid w:val="0F163468"/>
    <w:rsid w:val="0F1816AD"/>
    <w:rsid w:val="0F195AE6"/>
    <w:rsid w:val="0F1B2289"/>
    <w:rsid w:val="0F1D8E4C"/>
    <w:rsid w:val="0F1E7A4E"/>
    <w:rsid w:val="0F1EBC34"/>
    <w:rsid w:val="0F1FF377"/>
    <w:rsid w:val="0F209C88"/>
    <w:rsid w:val="0F20B4C4"/>
    <w:rsid w:val="0F213B7B"/>
    <w:rsid w:val="0F222F97"/>
    <w:rsid w:val="0F22E970"/>
    <w:rsid w:val="0F2517E2"/>
    <w:rsid w:val="0F25A3F4"/>
    <w:rsid w:val="0F25E9FA"/>
    <w:rsid w:val="0F26C85F"/>
    <w:rsid w:val="0F274FA1"/>
    <w:rsid w:val="0F276634"/>
    <w:rsid w:val="0F277A1F"/>
    <w:rsid w:val="0F27C8EA"/>
    <w:rsid w:val="0F29A005"/>
    <w:rsid w:val="0F2EC7D5"/>
    <w:rsid w:val="0F3231F1"/>
    <w:rsid w:val="0F34D6E4"/>
    <w:rsid w:val="0F36CF12"/>
    <w:rsid w:val="0F36FBCA"/>
    <w:rsid w:val="0F392DEE"/>
    <w:rsid w:val="0F39F288"/>
    <w:rsid w:val="0F39F7E0"/>
    <w:rsid w:val="0F3AE6F3"/>
    <w:rsid w:val="0F3BC031"/>
    <w:rsid w:val="0F3BEA56"/>
    <w:rsid w:val="0F403045"/>
    <w:rsid w:val="0F40452E"/>
    <w:rsid w:val="0F40543D"/>
    <w:rsid w:val="0F40945F"/>
    <w:rsid w:val="0F417D73"/>
    <w:rsid w:val="0F4200B1"/>
    <w:rsid w:val="0F42A269"/>
    <w:rsid w:val="0F430E7E"/>
    <w:rsid w:val="0F450007"/>
    <w:rsid w:val="0F476EE5"/>
    <w:rsid w:val="0F49E51F"/>
    <w:rsid w:val="0F4A31D9"/>
    <w:rsid w:val="0F4B1FE0"/>
    <w:rsid w:val="0F4BCABD"/>
    <w:rsid w:val="0F4F3FFA"/>
    <w:rsid w:val="0F511A24"/>
    <w:rsid w:val="0F519E27"/>
    <w:rsid w:val="0F526089"/>
    <w:rsid w:val="0F52F348"/>
    <w:rsid w:val="0F55B0B6"/>
    <w:rsid w:val="0F56680A"/>
    <w:rsid w:val="0F57146E"/>
    <w:rsid w:val="0F57A334"/>
    <w:rsid w:val="0F57BF20"/>
    <w:rsid w:val="0F5854D6"/>
    <w:rsid w:val="0F5A4371"/>
    <w:rsid w:val="0F5B0A9D"/>
    <w:rsid w:val="0F5CF5D6"/>
    <w:rsid w:val="0F5D22E2"/>
    <w:rsid w:val="0F5DEEA2"/>
    <w:rsid w:val="0F5EF9E1"/>
    <w:rsid w:val="0F612841"/>
    <w:rsid w:val="0F616A44"/>
    <w:rsid w:val="0F6206D3"/>
    <w:rsid w:val="0F65C8FA"/>
    <w:rsid w:val="0F6BE71D"/>
    <w:rsid w:val="0F6C63FD"/>
    <w:rsid w:val="0F6C6ABE"/>
    <w:rsid w:val="0F6C889C"/>
    <w:rsid w:val="0F6EAEF2"/>
    <w:rsid w:val="0F6EDDED"/>
    <w:rsid w:val="0F702A9C"/>
    <w:rsid w:val="0F73A80F"/>
    <w:rsid w:val="0F745FB7"/>
    <w:rsid w:val="0F762CC1"/>
    <w:rsid w:val="0F7729E8"/>
    <w:rsid w:val="0F79CC66"/>
    <w:rsid w:val="0F79FF37"/>
    <w:rsid w:val="0F7AD9E0"/>
    <w:rsid w:val="0F7B8B2D"/>
    <w:rsid w:val="0F7F4207"/>
    <w:rsid w:val="0F7F5C91"/>
    <w:rsid w:val="0F7F92BF"/>
    <w:rsid w:val="0F833161"/>
    <w:rsid w:val="0F870E30"/>
    <w:rsid w:val="0F8806C3"/>
    <w:rsid w:val="0F886FED"/>
    <w:rsid w:val="0F889EAA"/>
    <w:rsid w:val="0F8929BC"/>
    <w:rsid w:val="0F8BE6B6"/>
    <w:rsid w:val="0F8C4418"/>
    <w:rsid w:val="0F8CF5D6"/>
    <w:rsid w:val="0F8EA79A"/>
    <w:rsid w:val="0F926083"/>
    <w:rsid w:val="0F929AB4"/>
    <w:rsid w:val="0F943044"/>
    <w:rsid w:val="0F96B6A1"/>
    <w:rsid w:val="0F97B213"/>
    <w:rsid w:val="0F980F42"/>
    <w:rsid w:val="0F9C2421"/>
    <w:rsid w:val="0F9D5F55"/>
    <w:rsid w:val="0F9D6C10"/>
    <w:rsid w:val="0F9E1235"/>
    <w:rsid w:val="0F9E1F2F"/>
    <w:rsid w:val="0F9EDD5D"/>
    <w:rsid w:val="0FA23BFE"/>
    <w:rsid w:val="0FA73F8E"/>
    <w:rsid w:val="0FA84AE7"/>
    <w:rsid w:val="0FA90A3D"/>
    <w:rsid w:val="0FA953EB"/>
    <w:rsid w:val="0FA9FED2"/>
    <w:rsid w:val="0FAB2D8B"/>
    <w:rsid w:val="0FAB690A"/>
    <w:rsid w:val="0FAD0EA6"/>
    <w:rsid w:val="0FAD867E"/>
    <w:rsid w:val="0FADBE45"/>
    <w:rsid w:val="0FB226EF"/>
    <w:rsid w:val="0FB63375"/>
    <w:rsid w:val="0FB69A6A"/>
    <w:rsid w:val="0FB69D80"/>
    <w:rsid w:val="0FB72F39"/>
    <w:rsid w:val="0FB88DE5"/>
    <w:rsid w:val="0FB9D189"/>
    <w:rsid w:val="0FB9F23B"/>
    <w:rsid w:val="0FBAA497"/>
    <w:rsid w:val="0FBBC334"/>
    <w:rsid w:val="0FBBC4B7"/>
    <w:rsid w:val="0FBC00CE"/>
    <w:rsid w:val="0FBC6B56"/>
    <w:rsid w:val="0FBF64E4"/>
    <w:rsid w:val="0FBFCB68"/>
    <w:rsid w:val="0FC19424"/>
    <w:rsid w:val="0FC29603"/>
    <w:rsid w:val="0FC468FD"/>
    <w:rsid w:val="0FC61E49"/>
    <w:rsid w:val="0FC7165F"/>
    <w:rsid w:val="0FC96D9B"/>
    <w:rsid w:val="0FC9C6E0"/>
    <w:rsid w:val="0FCA62C9"/>
    <w:rsid w:val="0FCBDCCC"/>
    <w:rsid w:val="0FCCC88F"/>
    <w:rsid w:val="0FCDDC55"/>
    <w:rsid w:val="0FCEDC1E"/>
    <w:rsid w:val="0FD27996"/>
    <w:rsid w:val="0FD2D9EC"/>
    <w:rsid w:val="0FD36363"/>
    <w:rsid w:val="0FD469E1"/>
    <w:rsid w:val="0FD6754F"/>
    <w:rsid w:val="0FD9652B"/>
    <w:rsid w:val="0FDD3E9C"/>
    <w:rsid w:val="0FDE3E37"/>
    <w:rsid w:val="0FDE5AC2"/>
    <w:rsid w:val="0FDEC851"/>
    <w:rsid w:val="0FDED0D8"/>
    <w:rsid w:val="0FDF69DB"/>
    <w:rsid w:val="0FE4ADE6"/>
    <w:rsid w:val="0FE98D32"/>
    <w:rsid w:val="0FEA3FBE"/>
    <w:rsid w:val="0FEB4009"/>
    <w:rsid w:val="0FEE729F"/>
    <w:rsid w:val="0FEEEF48"/>
    <w:rsid w:val="0FF146EE"/>
    <w:rsid w:val="0FF35E01"/>
    <w:rsid w:val="0FF6326F"/>
    <w:rsid w:val="0FF70761"/>
    <w:rsid w:val="0FF8656A"/>
    <w:rsid w:val="0FF92607"/>
    <w:rsid w:val="0FF93270"/>
    <w:rsid w:val="0FFAE030"/>
    <w:rsid w:val="0FFD8312"/>
    <w:rsid w:val="0FFDA5A7"/>
    <w:rsid w:val="0FFE1AC4"/>
    <w:rsid w:val="0FFF13FC"/>
    <w:rsid w:val="0FFFB071"/>
    <w:rsid w:val="1001B8CE"/>
    <w:rsid w:val="10081F63"/>
    <w:rsid w:val="10082365"/>
    <w:rsid w:val="1008B0E5"/>
    <w:rsid w:val="10090EDC"/>
    <w:rsid w:val="100B7764"/>
    <w:rsid w:val="100C4949"/>
    <w:rsid w:val="100D60AD"/>
    <w:rsid w:val="100DF9F3"/>
    <w:rsid w:val="100FFA09"/>
    <w:rsid w:val="10100F58"/>
    <w:rsid w:val="1010E972"/>
    <w:rsid w:val="10129869"/>
    <w:rsid w:val="10132D4B"/>
    <w:rsid w:val="10163873"/>
    <w:rsid w:val="1016EDE9"/>
    <w:rsid w:val="10196BA2"/>
    <w:rsid w:val="1019E67D"/>
    <w:rsid w:val="101A5C18"/>
    <w:rsid w:val="101A6954"/>
    <w:rsid w:val="101C28E5"/>
    <w:rsid w:val="101C57C3"/>
    <w:rsid w:val="101CCF13"/>
    <w:rsid w:val="101CD708"/>
    <w:rsid w:val="101CD990"/>
    <w:rsid w:val="101CEFAB"/>
    <w:rsid w:val="10202428"/>
    <w:rsid w:val="10206A08"/>
    <w:rsid w:val="1020C694"/>
    <w:rsid w:val="1024921B"/>
    <w:rsid w:val="1024B7BE"/>
    <w:rsid w:val="10253880"/>
    <w:rsid w:val="102582AA"/>
    <w:rsid w:val="102791FD"/>
    <w:rsid w:val="1028CBB1"/>
    <w:rsid w:val="10293A7A"/>
    <w:rsid w:val="10297E34"/>
    <w:rsid w:val="102ACA87"/>
    <w:rsid w:val="102DB5BA"/>
    <w:rsid w:val="10329B54"/>
    <w:rsid w:val="1033F726"/>
    <w:rsid w:val="10344DD9"/>
    <w:rsid w:val="1035719D"/>
    <w:rsid w:val="1035EFA2"/>
    <w:rsid w:val="103A0437"/>
    <w:rsid w:val="1041DDF9"/>
    <w:rsid w:val="1047B39C"/>
    <w:rsid w:val="1047DC92"/>
    <w:rsid w:val="10489F3B"/>
    <w:rsid w:val="1048D412"/>
    <w:rsid w:val="104EB123"/>
    <w:rsid w:val="1052F9D8"/>
    <w:rsid w:val="10538DD4"/>
    <w:rsid w:val="1053DCE7"/>
    <w:rsid w:val="1055F550"/>
    <w:rsid w:val="10561F89"/>
    <w:rsid w:val="105838F9"/>
    <w:rsid w:val="1058412B"/>
    <w:rsid w:val="105C402F"/>
    <w:rsid w:val="105D3296"/>
    <w:rsid w:val="105FDAD0"/>
    <w:rsid w:val="10666CE1"/>
    <w:rsid w:val="106744E5"/>
    <w:rsid w:val="1067DA1E"/>
    <w:rsid w:val="106956EA"/>
    <w:rsid w:val="10695B57"/>
    <w:rsid w:val="10699C51"/>
    <w:rsid w:val="106A1549"/>
    <w:rsid w:val="106B0A3B"/>
    <w:rsid w:val="106B1E55"/>
    <w:rsid w:val="106F1EDA"/>
    <w:rsid w:val="106F2155"/>
    <w:rsid w:val="10702CA1"/>
    <w:rsid w:val="10712123"/>
    <w:rsid w:val="1073770D"/>
    <w:rsid w:val="1073CAD2"/>
    <w:rsid w:val="1075E194"/>
    <w:rsid w:val="107712E4"/>
    <w:rsid w:val="1077CF85"/>
    <w:rsid w:val="107A9D28"/>
    <w:rsid w:val="107B121B"/>
    <w:rsid w:val="107B13A7"/>
    <w:rsid w:val="107BF049"/>
    <w:rsid w:val="107D3A49"/>
    <w:rsid w:val="107DA565"/>
    <w:rsid w:val="107E81E0"/>
    <w:rsid w:val="1080F53F"/>
    <w:rsid w:val="1081833A"/>
    <w:rsid w:val="108359B5"/>
    <w:rsid w:val="1083B395"/>
    <w:rsid w:val="1087265F"/>
    <w:rsid w:val="1088FED7"/>
    <w:rsid w:val="1089A8E7"/>
    <w:rsid w:val="108A21A3"/>
    <w:rsid w:val="108A5C39"/>
    <w:rsid w:val="108B3E12"/>
    <w:rsid w:val="108E3FEE"/>
    <w:rsid w:val="108F62D4"/>
    <w:rsid w:val="10902797"/>
    <w:rsid w:val="10909F77"/>
    <w:rsid w:val="1093C736"/>
    <w:rsid w:val="1097F6FE"/>
    <w:rsid w:val="109830EE"/>
    <w:rsid w:val="109C6DD5"/>
    <w:rsid w:val="109FA937"/>
    <w:rsid w:val="10A050D4"/>
    <w:rsid w:val="10A0B5F8"/>
    <w:rsid w:val="10A156E8"/>
    <w:rsid w:val="10A2F67F"/>
    <w:rsid w:val="10A3B129"/>
    <w:rsid w:val="10A4949B"/>
    <w:rsid w:val="10A7A664"/>
    <w:rsid w:val="10ACE9F9"/>
    <w:rsid w:val="10AD88D8"/>
    <w:rsid w:val="10B037CC"/>
    <w:rsid w:val="10B18FBF"/>
    <w:rsid w:val="10B447A6"/>
    <w:rsid w:val="10B52FEA"/>
    <w:rsid w:val="10B57CA1"/>
    <w:rsid w:val="10B5A6C9"/>
    <w:rsid w:val="10B5D40F"/>
    <w:rsid w:val="10B80A18"/>
    <w:rsid w:val="10B8C8E7"/>
    <w:rsid w:val="10BC73A0"/>
    <w:rsid w:val="10BF48AC"/>
    <w:rsid w:val="10C06FA5"/>
    <w:rsid w:val="10C29FCE"/>
    <w:rsid w:val="10C3482B"/>
    <w:rsid w:val="10C64317"/>
    <w:rsid w:val="10C69717"/>
    <w:rsid w:val="10C6C3BC"/>
    <w:rsid w:val="10C766A4"/>
    <w:rsid w:val="10C9AF0E"/>
    <w:rsid w:val="10CD7158"/>
    <w:rsid w:val="10CE2F66"/>
    <w:rsid w:val="10CEAC84"/>
    <w:rsid w:val="10CEE2A5"/>
    <w:rsid w:val="10D0733A"/>
    <w:rsid w:val="10D46A8C"/>
    <w:rsid w:val="10D5609D"/>
    <w:rsid w:val="10D611B8"/>
    <w:rsid w:val="10D8D415"/>
    <w:rsid w:val="10DD1C5B"/>
    <w:rsid w:val="10DDC05C"/>
    <w:rsid w:val="10E0541D"/>
    <w:rsid w:val="10E0A0C2"/>
    <w:rsid w:val="10E196D9"/>
    <w:rsid w:val="10E37DF4"/>
    <w:rsid w:val="10E3CD19"/>
    <w:rsid w:val="10E4025F"/>
    <w:rsid w:val="10E559AF"/>
    <w:rsid w:val="10E56E1F"/>
    <w:rsid w:val="10E5766D"/>
    <w:rsid w:val="10E7CD0A"/>
    <w:rsid w:val="10EA7380"/>
    <w:rsid w:val="10EB108F"/>
    <w:rsid w:val="10EB3975"/>
    <w:rsid w:val="10ED22E8"/>
    <w:rsid w:val="10ED54C6"/>
    <w:rsid w:val="10EE67CC"/>
    <w:rsid w:val="10EE7F9B"/>
    <w:rsid w:val="10EED4BF"/>
    <w:rsid w:val="10EEE95A"/>
    <w:rsid w:val="10EF6B67"/>
    <w:rsid w:val="10F0F813"/>
    <w:rsid w:val="10F1368F"/>
    <w:rsid w:val="10F1AE8F"/>
    <w:rsid w:val="10F1BADE"/>
    <w:rsid w:val="10F1DCBC"/>
    <w:rsid w:val="10F2A30F"/>
    <w:rsid w:val="10F42234"/>
    <w:rsid w:val="10F7A0BA"/>
    <w:rsid w:val="10F7BE5D"/>
    <w:rsid w:val="10F89364"/>
    <w:rsid w:val="10FB169E"/>
    <w:rsid w:val="10FD1583"/>
    <w:rsid w:val="10FDBFD6"/>
    <w:rsid w:val="10FF5D38"/>
    <w:rsid w:val="1100FFBF"/>
    <w:rsid w:val="11032EBE"/>
    <w:rsid w:val="11034F5B"/>
    <w:rsid w:val="1105221F"/>
    <w:rsid w:val="1107EA19"/>
    <w:rsid w:val="1109336B"/>
    <w:rsid w:val="11095C1D"/>
    <w:rsid w:val="1109A15B"/>
    <w:rsid w:val="110F44B0"/>
    <w:rsid w:val="1110C5AA"/>
    <w:rsid w:val="111248E2"/>
    <w:rsid w:val="1112DA40"/>
    <w:rsid w:val="1113B166"/>
    <w:rsid w:val="11173CF8"/>
    <w:rsid w:val="11178135"/>
    <w:rsid w:val="111A0F8E"/>
    <w:rsid w:val="111BE389"/>
    <w:rsid w:val="111C3975"/>
    <w:rsid w:val="111D29BE"/>
    <w:rsid w:val="111DE600"/>
    <w:rsid w:val="112117F7"/>
    <w:rsid w:val="11229424"/>
    <w:rsid w:val="11230D36"/>
    <w:rsid w:val="11237D9F"/>
    <w:rsid w:val="1123825B"/>
    <w:rsid w:val="1123E723"/>
    <w:rsid w:val="1126FA0E"/>
    <w:rsid w:val="1127AC95"/>
    <w:rsid w:val="1128DEDC"/>
    <w:rsid w:val="112A2865"/>
    <w:rsid w:val="112A3CEC"/>
    <w:rsid w:val="112DEEE1"/>
    <w:rsid w:val="112EED6B"/>
    <w:rsid w:val="112F9BB7"/>
    <w:rsid w:val="11342DEA"/>
    <w:rsid w:val="11367E12"/>
    <w:rsid w:val="11370BFE"/>
    <w:rsid w:val="113780DE"/>
    <w:rsid w:val="113A1B51"/>
    <w:rsid w:val="113A438C"/>
    <w:rsid w:val="113C5021"/>
    <w:rsid w:val="113D8539"/>
    <w:rsid w:val="113E4282"/>
    <w:rsid w:val="113F6A5B"/>
    <w:rsid w:val="114354F8"/>
    <w:rsid w:val="1143EABB"/>
    <w:rsid w:val="11473D2C"/>
    <w:rsid w:val="11473DDA"/>
    <w:rsid w:val="1149071D"/>
    <w:rsid w:val="1150A222"/>
    <w:rsid w:val="11540E82"/>
    <w:rsid w:val="115D9364"/>
    <w:rsid w:val="115DAE81"/>
    <w:rsid w:val="115EAFA3"/>
    <w:rsid w:val="1160D4B3"/>
    <w:rsid w:val="116142AB"/>
    <w:rsid w:val="116261FE"/>
    <w:rsid w:val="11640E96"/>
    <w:rsid w:val="11648CF8"/>
    <w:rsid w:val="11660276"/>
    <w:rsid w:val="11673CF4"/>
    <w:rsid w:val="1167C6E8"/>
    <w:rsid w:val="116A64E9"/>
    <w:rsid w:val="116ABD96"/>
    <w:rsid w:val="116B18B0"/>
    <w:rsid w:val="116C0267"/>
    <w:rsid w:val="116D1D5B"/>
    <w:rsid w:val="116E593F"/>
    <w:rsid w:val="116E812B"/>
    <w:rsid w:val="116F5CBD"/>
    <w:rsid w:val="11704C2C"/>
    <w:rsid w:val="11744A82"/>
    <w:rsid w:val="11768F27"/>
    <w:rsid w:val="11769F39"/>
    <w:rsid w:val="1178ACAC"/>
    <w:rsid w:val="11792A11"/>
    <w:rsid w:val="117973E6"/>
    <w:rsid w:val="117A1669"/>
    <w:rsid w:val="117EEA86"/>
    <w:rsid w:val="117F01A2"/>
    <w:rsid w:val="117F8F75"/>
    <w:rsid w:val="11803B2A"/>
    <w:rsid w:val="1181B94D"/>
    <w:rsid w:val="1182C1EF"/>
    <w:rsid w:val="1182E2C8"/>
    <w:rsid w:val="11834E84"/>
    <w:rsid w:val="11864EFE"/>
    <w:rsid w:val="11889B5F"/>
    <w:rsid w:val="11891DA6"/>
    <w:rsid w:val="118A0041"/>
    <w:rsid w:val="118B4C20"/>
    <w:rsid w:val="118B90DE"/>
    <w:rsid w:val="118C0D6F"/>
    <w:rsid w:val="1191F311"/>
    <w:rsid w:val="11935477"/>
    <w:rsid w:val="1194AD85"/>
    <w:rsid w:val="11952C1D"/>
    <w:rsid w:val="11988592"/>
    <w:rsid w:val="119E28E4"/>
    <w:rsid w:val="119FBF76"/>
    <w:rsid w:val="11A3E899"/>
    <w:rsid w:val="11A6166A"/>
    <w:rsid w:val="11A6FA24"/>
    <w:rsid w:val="11A78A95"/>
    <w:rsid w:val="11A91C36"/>
    <w:rsid w:val="11A9F5FA"/>
    <w:rsid w:val="11A9FBE1"/>
    <w:rsid w:val="11AB7F3D"/>
    <w:rsid w:val="11ABF42A"/>
    <w:rsid w:val="11B01522"/>
    <w:rsid w:val="11B290B0"/>
    <w:rsid w:val="11B2D033"/>
    <w:rsid w:val="11B7E2DE"/>
    <w:rsid w:val="11B7F946"/>
    <w:rsid w:val="11B8ABA2"/>
    <w:rsid w:val="11B8D4FE"/>
    <w:rsid w:val="11B93D40"/>
    <w:rsid w:val="11BABF1A"/>
    <w:rsid w:val="11BE6FE2"/>
    <w:rsid w:val="11BEC408"/>
    <w:rsid w:val="11C0A6B6"/>
    <w:rsid w:val="11C12907"/>
    <w:rsid w:val="11C294FD"/>
    <w:rsid w:val="11C314E2"/>
    <w:rsid w:val="11C3979A"/>
    <w:rsid w:val="11C4EE10"/>
    <w:rsid w:val="11C7D594"/>
    <w:rsid w:val="11C7EB5A"/>
    <w:rsid w:val="11CBDC5C"/>
    <w:rsid w:val="11CDF90A"/>
    <w:rsid w:val="11D01505"/>
    <w:rsid w:val="11D0A091"/>
    <w:rsid w:val="11D1C003"/>
    <w:rsid w:val="11D3D588"/>
    <w:rsid w:val="11D4387F"/>
    <w:rsid w:val="11D5A3A2"/>
    <w:rsid w:val="11D83090"/>
    <w:rsid w:val="11D9BC41"/>
    <w:rsid w:val="11DCAFD7"/>
    <w:rsid w:val="11DE368D"/>
    <w:rsid w:val="11DEFB6E"/>
    <w:rsid w:val="11DF7216"/>
    <w:rsid w:val="11EB2FF7"/>
    <w:rsid w:val="11EB8790"/>
    <w:rsid w:val="11EBEE91"/>
    <w:rsid w:val="11EBF9D7"/>
    <w:rsid w:val="11EEFD8B"/>
    <w:rsid w:val="11F02DB8"/>
    <w:rsid w:val="11F0B269"/>
    <w:rsid w:val="11F463DE"/>
    <w:rsid w:val="11F4B1BB"/>
    <w:rsid w:val="11F70574"/>
    <w:rsid w:val="11F71D9A"/>
    <w:rsid w:val="11F8B759"/>
    <w:rsid w:val="11F916A7"/>
    <w:rsid w:val="11F94F61"/>
    <w:rsid w:val="11FBFBF7"/>
    <w:rsid w:val="11FC60E8"/>
    <w:rsid w:val="11FD8163"/>
    <w:rsid w:val="1200E152"/>
    <w:rsid w:val="1202C715"/>
    <w:rsid w:val="12032C58"/>
    <w:rsid w:val="1205C81F"/>
    <w:rsid w:val="12063145"/>
    <w:rsid w:val="12088C9E"/>
    <w:rsid w:val="12098EEA"/>
    <w:rsid w:val="1209F993"/>
    <w:rsid w:val="120A3CEE"/>
    <w:rsid w:val="120AA20C"/>
    <w:rsid w:val="120D8307"/>
    <w:rsid w:val="120EB368"/>
    <w:rsid w:val="120F5527"/>
    <w:rsid w:val="120F6E2A"/>
    <w:rsid w:val="121282E2"/>
    <w:rsid w:val="12128560"/>
    <w:rsid w:val="1213597C"/>
    <w:rsid w:val="1215C6A8"/>
    <w:rsid w:val="121ACD44"/>
    <w:rsid w:val="121AE91E"/>
    <w:rsid w:val="121B954C"/>
    <w:rsid w:val="121FB9FD"/>
    <w:rsid w:val="1220D801"/>
    <w:rsid w:val="122164D4"/>
    <w:rsid w:val="1224F5DE"/>
    <w:rsid w:val="1226E7D2"/>
    <w:rsid w:val="1229070D"/>
    <w:rsid w:val="12292603"/>
    <w:rsid w:val="1229367A"/>
    <w:rsid w:val="12293D2F"/>
    <w:rsid w:val="122A6E4F"/>
    <w:rsid w:val="122B74BB"/>
    <w:rsid w:val="122BB2ED"/>
    <w:rsid w:val="122C0B8A"/>
    <w:rsid w:val="122D9652"/>
    <w:rsid w:val="1230C854"/>
    <w:rsid w:val="1231CE71"/>
    <w:rsid w:val="12332629"/>
    <w:rsid w:val="1234625E"/>
    <w:rsid w:val="123823C5"/>
    <w:rsid w:val="1239B6BC"/>
    <w:rsid w:val="1239C524"/>
    <w:rsid w:val="123AE85C"/>
    <w:rsid w:val="123B611E"/>
    <w:rsid w:val="123FAC65"/>
    <w:rsid w:val="1243127F"/>
    <w:rsid w:val="1243F629"/>
    <w:rsid w:val="124699EB"/>
    <w:rsid w:val="124BBD38"/>
    <w:rsid w:val="124C0256"/>
    <w:rsid w:val="124C9E1F"/>
    <w:rsid w:val="124F143A"/>
    <w:rsid w:val="124F8051"/>
    <w:rsid w:val="1250C1E9"/>
    <w:rsid w:val="125129BD"/>
    <w:rsid w:val="12523D60"/>
    <w:rsid w:val="12527296"/>
    <w:rsid w:val="125446CC"/>
    <w:rsid w:val="1254FAB5"/>
    <w:rsid w:val="1255A3C3"/>
    <w:rsid w:val="12564334"/>
    <w:rsid w:val="12584EE3"/>
    <w:rsid w:val="1258BDD6"/>
    <w:rsid w:val="125BDD88"/>
    <w:rsid w:val="125C56DB"/>
    <w:rsid w:val="125E9DFB"/>
    <w:rsid w:val="125EC1F5"/>
    <w:rsid w:val="1260DC31"/>
    <w:rsid w:val="126397E1"/>
    <w:rsid w:val="1264F1AD"/>
    <w:rsid w:val="12670DA7"/>
    <w:rsid w:val="126950CA"/>
    <w:rsid w:val="12699561"/>
    <w:rsid w:val="126A3409"/>
    <w:rsid w:val="126AC7A6"/>
    <w:rsid w:val="126AE053"/>
    <w:rsid w:val="126B31A2"/>
    <w:rsid w:val="126C93CF"/>
    <w:rsid w:val="1270431A"/>
    <w:rsid w:val="1271A1A3"/>
    <w:rsid w:val="1271B501"/>
    <w:rsid w:val="1271EDF5"/>
    <w:rsid w:val="127603ED"/>
    <w:rsid w:val="127A3136"/>
    <w:rsid w:val="127ED91E"/>
    <w:rsid w:val="127F34CD"/>
    <w:rsid w:val="12807A28"/>
    <w:rsid w:val="12819AA2"/>
    <w:rsid w:val="1281EA2D"/>
    <w:rsid w:val="128257DE"/>
    <w:rsid w:val="1282FCE8"/>
    <w:rsid w:val="128807AC"/>
    <w:rsid w:val="128EB4CF"/>
    <w:rsid w:val="128FB4A8"/>
    <w:rsid w:val="128FF6BD"/>
    <w:rsid w:val="12916548"/>
    <w:rsid w:val="12918936"/>
    <w:rsid w:val="12972545"/>
    <w:rsid w:val="129A337B"/>
    <w:rsid w:val="129BE6E1"/>
    <w:rsid w:val="129C48F4"/>
    <w:rsid w:val="129CAA01"/>
    <w:rsid w:val="129DF67E"/>
    <w:rsid w:val="129E419C"/>
    <w:rsid w:val="129ED38A"/>
    <w:rsid w:val="12A02449"/>
    <w:rsid w:val="12A4995B"/>
    <w:rsid w:val="12A4F7AE"/>
    <w:rsid w:val="12A61EFD"/>
    <w:rsid w:val="12A6BFB4"/>
    <w:rsid w:val="12A86FE7"/>
    <w:rsid w:val="12AC1E82"/>
    <w:rsid w:val="12AC5DD1"/>
    <w:rsid w:val="12ACCB90"/>
    <w:rsid w:val="12AE61CE"/>
    <w:rsid w:val="12AFA92A"/>
    <w:rsid w:val="12AFF1F1"/>
    <w:rsid w:val="12B0607F"/>
    <w:rsid w:val="12B0648C"/>
    <w:rsid w:val="12B0A2DF"/>
    <w:rsid w:val="12B2262C"/>
    <w:rsid w:val="12B4FEF2"/>
    <w:rsid w:val="12B6C4BB"/>
    <w:rsid w:val="12B775DE"/>
    <w:rsid w:val="12B78A2A"/>
    <w:rsid w:val="12B85539"/>
    <w:rsid w:val="12B8E9D9"/>
    <w:rsid w:val="12B91B48"/>
    <w:rsid w:val="12B9266F"/>
    <w:rsid w:val="12B9889B"/>
    <w:rsid w:val="12BA85ED"/>
    <w:rsid w:val="12BB3F3D"/>
    <w:rsid w:val="12C090AB"/>
    <w:rsid w:val="12C38336"/>
    <w:rsid w:val="12C42B3A"/>
    <w:rsid w:val="12C49CD2"/>
    <w:rsid w:val="12C4EE28"/>
    <w:rsid w:val="12C69301"/>
    <w:rsid w:val="12C70BAF"/>
    <w:rsid w:val="12C8BC25"/>
    <w:rsid w:val="12D00174"/>
    <w:rsid w:val="12D06BE9"/>
    <w:rsid w:val="12D288A1"/>
    <w:rsid w:val="12D3F39A"/>
    <w:rsid w:val="12D6E7A6"/>
    <w:rsid w:val="12D76FE8"/>
    <w:rsid w:val="12D9AA33"/>
    <w:rsid w:val="12DA156B"/>
    <w:rsid w:val="12DC0281"/>
    <w:rsid w:val="12DE6DBC"/>
    <w:rsid w:val="12DEEC97"/>
    <w:rsid w:val="12DF4B72"/>
    <w:rsid w:val="12E180CA"/>
    <w:rsid w:val="12E74A30"/>
    <w:rsid w:val="12E77A9D"/>
    <w:rsid w:val="12E87D9C"/>
    <w:rsid w:val="12E92F34"/>
    <w:rsid w:val="12EB1305"/>
    <w:rsid w:val="12EB44CB"/>
    <w:rsid w:val="12EB84C5"/>
    <w:rsid w:val="12ED2185"/>
    <w:rsid w:val="12ED3E69"/>
    <w:rsid w:val="12EF7917"/>
    <w:rsid w:val="12F09206"/>
    <w:rsid w:val="12F5498E"/>
    <w:rsid w:val="12FA7E5D"/>
    <w:rsid w:val="12FE6E24"/>
    <w:rsid w:val="12FED44A"/>
    <w:rsid w:val="13001306"/>
    <w:rsid w:val="13011463"/>
    <w:rsid w:val="1301E33C"/>
    <w:rsid w:val="130357B4"/>
    <w:rsid w:val="13040439"/>
    <w:rsid w:val="13054348"/>
    <w:rsid w:val="1306358D"/>
    <w:rsid w:val="130943AE"/>
    <w:rsid w:val="130BC955"/>
    <w:rsid w:val="130BEDF1"/>
    <w:rsid w:val="130D44B5"/>
    <w:rsid w:val="130D4A15"/>
    <w:rsid w:val="130F3BB5"/>
    <w:rsid w:val="130FB189"/>
    <w:rsid w:val="1312BCDF"/>
    <w:rsid w:val="1313AEF8"/>
    <w:rsid w:val="13150097"/>
    <w:rsid w:val="1318413B"/>
    <w:rsid w:val="13195758"/>
    <w:rsid w:val="1319F833"/>
    <w:rsid w:val="131A4BF3"/>
    <w:rsid w:val="131B9DB3"/>
    <w:rsid w:val="131C3F9B"/>
    <w:rsid w:val="131DCCDE"/>
    <w:rsid w:val="131EB7FD"/>
    <w:rsid w:val="13201B7C"/>
    <w:rsid w:val="13201EFE"/>
    <w:rsid w:val="13218C19"/>
    <w:rsid w:val="13235BE7"/>
    <w:rsid w:val="13236B8C"/>
    <w:rsid w:val="13237705"/>
    <w:rsid w:val="13246533"/>
    <w:rsid w:val="13263E4C"/>
    <w:rsid w:val="1327DFEF"/>
    <w:rsid w:val="13289CA9"/>
    <w:rsid w:val="132AECCE"/>
    <w:rsid w:val="132AEF9C"/>
    <w:rsid w:val="132BD4BA"/>
    <w:rsid w:val="132EA5B2"/>
    <w:rsid w:val="132EEC1D"/>
    <w:rsid w:val="1331538F"/>
    <w:rsid w:val="1335244E"/>
    <w:rsid w:val="133C31E6"/>
    <w:rsid w:val="133CD0D2"/>
    <w:rsid w:val="13420F9B"/>
    <w:rsid w:val="13469B33"/>
    <w:rsid w:val="1347FBED"/>
    <w:rsid w:val="13490F9E"/>
    <w:rsid w:val="134A161F"/>
    <w:rsid w:val="134A2342"/>
    <w:rsid w:val="134AF789"/>
    <w:rsid w:val="134B09A0"/>
    <w:rsid w:val="134B1469"/>
    <w:rsid w:val="134C3338"/>
    <w:rsid w:val="134CD248"/>
    <w:rsid w:val="134F4048"/>
    <w:rsid w:val="135072D1"/>
    <w:rsid w:val="1350D17D"/>
    <w:rsid w:val="1350D49F"/>
    <w:rsid w:val="135144E5"/>
    <w:rsid w:val="1354AF4B"/>
    <w:rsid w:val="13551706"/>
    <w:rsid w:val="13557E87"/>
    <w:rsid w:val="1358732E"/>
    <w:rsid w:val="13592934"/>
    <w:rsid w:val="135AA112"/>
    <w:rsid w:val="135B9A28"/>
    <w:rsid w:val="135C5787"/>
    <w:rsid w:val="13651F4D"/>
    <w:rsid w:val="13652B4C"/>
    <w:rsid w:val="13660815"/>
    <w:rsid w:val="1366E595"/>
    <w:rsid w:val="13674631"/>
    <w:rsid w:val="1369C23D"/>
    <w:rsid w:val="136A6A08"/>
    <w:rsid w:val="136A8397"/>
    <w:rsid w:val="136E960E"/>
    <w:rsid w:val="1373E8C4"/>
    <w:rsid w:val="137522CF"/>
    <w:rsid w:val="13789BFC"/>
    <w:rsid w:val="13792F59"/>
    <w:rsid w:val="13797AD3"/>
    <w:rsid w:val="1379C3B7"/>
    <w:rsid w:val="137A7271"/>
    <w:rsid w:val="137E51FE"/>
    <w:rsid w:val="137F3677"/>
    <w:rsid w:val="138273D9"/>
    <w:rsid w:val="138515FF"/>
    <w:rsid w:val="138681FD"/>
    <w:rsid w:val="138877D2"/>
    <w:rsid w:val="13891D6F"/>
    <w:rsid w:val="138A4251"/>
    <w:rsid w:val="138DACEE"/>
    <w:rsid w:val="138E8860"/>
    <w:rsid w:val="13901CFC"/>
    <w:rsid w:val="139041FE"/>
    <w:rsid w:val="13907EAA"/>
    <w:rsid w:val="139281F7"/>
    <w:rsid w:val="13936256"/>
    <w:rsid w:val="1398F5C5"/>
    <w:rsid w:val="1399C8E1"/>
    <w:rsid w:val="139B2B53"/>
    <w:rsid w:val="139C7979"/>
    <w:rsid w:val="139DB37F"/>
    <w:rsid w:val="139E7793"/>
    <w:rsid w:val="139ED994"/>
    <w:rsid w:val="13A025F5"/>
    <w:rsid w:val="13A0BB98"/>
    <w:rsid w:val="13A56A18"/>
    <w:rsid w:val="13A5B3B9"/>
    <w:rsid w:val="13A81F32"/>
    <w:rsid w:val="13A86CF0"/>
    <w:rsid w:val="13A9AD1F"/>
    <w:rsid w:val="13AA4118"/>
    <w:rsid w:val="13ABEAE6"/>
    <w:rsid w:val="13AE3029"/>
    <w:rsid w:val="13AE6DD2"/>
    <w:rsid w:val="13AE8CCE"/>
    <w:rsid w:val="13B4586B"/>
    <w:rsid w:val="13B45CAB"/>
    <w:rsid w:val="13B472B4"/>
    <w:rsid w:val="13B5827D"/>
    <w:rsid w:val="13B808A5"/>
    <w:rsid w:val="13BA3EED"/>
    <w:rsid w:val="13BAD47B"/>
    <w:rsid w:val="13BD8BEA"/>
    <w:rsid w:val="13BF90D7"/>
    <w:rsid w:val="13BF9105"/>
    <w:rsid w:val="13C2065F"/>
    <w:rsid w:val="13C2C318"/>
    <w:rsid w:val="13C3B04C"/>
    <w:rsid w:val="13C41C33"/>
    <w:rsid w:val="13C4AF81"/>
    <w:rsid w:val="13C58893"/>
    <w:rsid w:val="13C6816F"/>
    <w:rsid w:val="13C686B7"/>
    <w:rsid w:val="13C73188"/>
    <w:rsid w:val="13C74E31"/>
    <w:rsid w:val="13C8D691"/>
    <w:rsid w:val="13C943F8"/>
    <w:rsid w:val="13CBD683"/>
    <w:rsid w:val="13CDEE9F"/>
    <w:rsid w:val="13D04CDE"/>
    <w:rsid w:val="13D159CA"/>
    <w:rsid w:val="13D28F43"/>
    <w:rsid w:val="13D55A21"/>
    <w:rsid w:val="13D64CA6"/>
    <w:rsid w:val="13D695C4"/>
    <w:rsid w:val="13D78A72"/>
    <w:rsid w:val="13DCAE94"/>
    <w:rsid w:val="13DCF4B2"/>
    <w:rsid w:val="13DE7AF4"/>
    <w:rsid w:val="13DEA454"/>
    <w:rsid w:val="13DF0CA4"/>
    <w:rsid w:val="13DFE2D7"/>
    <w:rsid w:val="13E05F64"/>
    <w:rsid w:val="13E1118F"/>
    <w:rsid w:val="13E143F6"/>
    <w:rsid w:val="13E22BE3"/>
    <w:rsid w:val="13E350BA"/>
    <w:rsid w:val="13E66D4A"/>
    <w:rsid w:val="13E8CCCD"/>
    <w:rsid w:val="13EACF50"/>
    <w:rsid w:val="13EB2A07"/>
    <w:rsid w:val="13EB39CC"/>
    <w:rsid w:val="13EB5B88"/>
    <w:rsid w:val="13EBA9CC"/>
    <w:rsid w:val="13ED8F62"/>
    <w:rsid w:val="13EDB712"/>
    <w:rsid w:val="13EE8CD3"/>
    <w:rsid w:val="13EFBF5F"/>
    <w:rsid w:val="13F1D0C7"/>
    <w:rsid w:val="13F1E3AD"/>
    <w:rsid w:val="13F1FD40"/>
    <w:rsid w:val="13F2F95F"/>
    <w:rsid w:val="13F3DE33"/>
    <w:rsid w:val="13F55046"/>
    <w:rsid w:val="13F60858"/>
    <w:rsid w:val="13F69163"/>
    <w:rsid w:val="13F8A8F1"/>
    <w:rsid w:val="13F918A7"/>
    <w:rsid w:val="13F9785F"/>
    <w:rsid w:val="13FA1F0D"/>
    <w:rsid w:val="13FB5E85"/>
    <w:rsid w:val="13FBFE6C"/>
    <w:rsid w:val="13FE0957"/>
    <w:rsid w:val="140238F8"/>
    <w:rsid w:val="1402840A"/>
    <w:rsid w:val="1402ACD7"/>
    <w:rsid w:val="140317FD"/>
    <w:rsid w:val="1405D5E5"/>
    <w:rsid w:val="1407985D"/>
    <w:rsid w:val="14079B2B"/>
    <w:rsid w:val="140A0F04"/>
    <w:rsid w:val="140D8188"/>
    <w:rsid w:val="140DAC07"/>
    <w:rsid w:val="140E4BD0"/>
    <w:rsid w:val="140F2431"/>
    <w:rsid w:val="140FA6A1"/>
    <w:rsid w:val="1411B6BE"/>
    <w:rsid w:val="1411F150"/>
    <w:rsid w:val="1413C4C9"/>
    <w:rsid w:val="1415252A"/>
    <w:rsid w:val="1415A309"/>
    <w:rsid w:val="14176C8D"/>
    <w:rsid w:val="1417A4BA"/>
    <w:rsid w:val="141AC3AB"/>
    <w:rsid w:val="141ADF29"/>
    <w:rsid w:val="141D7FA6"/>
    <w:rsid w:val="141D9FBD"/>
    <w:rsid w:val="141DE4E0"/>
    <w:rsid w:val="141ED1EA"/>
    <w:rsid w:val="142026CB"/>
    <w:rsid w:val="14248539"/>
    <w:rsid w:val="1427008E"/>
    <w:rsid w:val="14283156"/>
    <w:rsid w:val="14298312"/>
    <w:rsid w:val="142A0D2A"/>
    <w:rsid w:val="142A787A"/>
    <w:rsid w:val="142BAD00"/>
    <w:rsid w:val="142C1D33"/>
    <w:rsid w:val="142DA7FB"/>
    <w:rsid w:val="14315761"/>
    <w:rsid w:val="143994F8"/>
    <w:rsid w:val="1439974F"/>
    <w:rsid w:val="143A495B"/>
    <w:rsid w:val="143C25EE"/>
    <w:rsid w:val="143D26D3"/>
    <w:rsid w:val="143DE786"/>
    <w:rsid w:val="143F0B6F"/>
    <w:rsid w:val="1442A7DA"/>
    <w:rsid w:val="1444661B"/>
    <w:rsid w:val="1446DF4F"/>
    <w:rsid w:val="14474F18"/>
    <w:rsid w:val="1447A8E1"/>
    <w:rsid w:val="1448FBD7"/>
    <w:rsid w:val="144B3D68"/>
    <w:rsid w:val="144C921A"/>
    <w:rsid w:val="144E4AD1"/>
    <w:rsid w:val="144EFD89"/>
    <w:rsid w:val="1455851C"/>
    <w:rsid w:val="1455900D"/>
    <w:rsid w:val="1458263F"/>
    <w:rsid w:val="1458CD36"/>
    <w:rsid w:val="145B16F9"/>
    <w:rsid w:val="145F344B"/>
    <w:rsid w:val="145F74C6"/>
    <w:rsid w:val="14604706"/>
    <w:rsid w:val="1460ABEF"/>
    <w:rsid w:val="1460D640"/>
    <w:rsid w:val="146182FE"/>
    <w:rsid w:val="1461DB18"/>
    <w:rsid w:val="146DA281"/>
    <w:rsid w:val="146EF46C"/>
    <w:rsid w:val="14704F95"/>
    <w:rsid w:val="1473620A"/>
    <w:rsid w:val="14741D99"/>
    <w:rsid w:val="147C1806"/>
    <w:rsid w:val="147CD26A"/>
    <w:rsid w:val="147EB8A8"/>
    <w:rsid w:val="148058FD"/>
    <w:rsid w:val="14807568"/>
    <w:rsid w:val="1480E8F8"/>
    <w:rsid w:val="14816551"/>
    <w:rsid w:val="14816D72"/>
    <w:rsid w:val="14819596"/>
    <w:rsid w:val="1483DC8F"/>
    <w:rsid w:val="1484FF95"/>
    <w:rsid w:val="14856F1D"/>
    <w:rsid w:val="148573F5"/>
    <w:rsid w:val="14858014"/>
    <w:rsid w:val="1486B44F"/>
    <w:rsid w:val="14871704"/>
    <w:rsid w:val="14876D5D"/>
    <w:rsid w:val="148AAFDC"/>
    <w:rsid w:val="148BA3AA"/>
    <w:rsid w:val="148D2CE2"/>
    <w:rsid w:val="148E2373"/>
    <w:rsid w:val="1490647F"/>
    <w:rsid w:val="149418E6"/>
    <w:rsid w:val="14947042"/>
    <w:rsid w:val="14956088"/>
    <w:rsid w:val="1498347F"/>
    <w:rsid w:val="1499236D"/>
    <w:rsid w:val="149B4CFE"/>
    <w:rsid w:val="149E208A"/>
    <w:rsid w:val="149E2745"/>
    <w:rsid w:val="149ECA4D"/>
    <w:rsid w:val="149F1F50"/>
    <w:rsid w:val="149F7F34"/>
    <w:rsid w:val="14A01515"/>
    <w:rsid w:val="14A2735E"/>
    <w:rsid w:val="14A27910"/>
    <w:rsid w:val="14A474A7"/>
    <w:rsid w:val="14A5D4E0"/>
    <w:rsid w:val="14A684B8"/>
    <w:rsid w:val="14AC2609"/>
    <w:rsid w:val="14AFD2D1"/>
    <w:rsid w:val="14B97D15"/>
    <w:rsid w:val="14BBF340"/>
    <w:rsid w:val="14BC6C0D"/>
    <w:rsid w:val="14BD4454"/>
    <w:rsid w:val="14BF2703"/>
    <w:rsid w:val="14C0470F"/>
    <w:rsid w:val="14C04B80"/>
    <w:rsid w:val="14C092C0"/>
    <w:rsid w:val="14C11AB2"/>
    <w:rsid w:val="14C1C9C0"/>
    <w:rsid w:val="14C1F067"/>
    <w:rsid w:val="14C21BFF"/>
    <w:rsid w:val="14C2481D"/>
    <w:rsid w:val="14C3E482"/>
    <w:rsid w:val="14C45145"/>
    <w:rsid w:val="14C63EE2"/>
    <w:rsid w:val="14C8CC40"/>
    <w:rsid w:val="14CDC666"/>
    <w:rsid w:val="14D0DB23"/>
    <w:rsid w:val="14D1AB6C"/>
    <w:rsid w:val="14D2EC89"/>
    <w:rsid w:val="14D6147A"/>
    <w:rsid w:val="14D77D85"/>
    <w:rsid w:val="14D8D491"/>
    <w:rsid w:val="14DA1635"/>
    <w:rsid w:val="14DA456D"/>
    <w:rsid w:val="14DB445C"/>
    <w:rsid w:val="14DE8898"/>
    <w:rsid w:val="14DF31E2"/>
    <w:rsid w:val="14DF5500"/>
    <w:rsid w:val="14E0E6EE"/>
    <w:rsid w:val="14E25A5E"/>
    <w:rsid w:val="14E3EE58"/>
    <w:rsid w:val="14E6289C"/>
    <w:rsid w:val="14E79B3B"/>
    <w:rsid w:val="14E805BA"/>
    <w:rsid w:val="14EC1FE2"/>
    <w:rsid w:val="14EE1700"/>
    <w:rsid w:val="14EED922"/>
    <w:rsid w:val="14EF1EE1"/>
    <w:rsid w:val="14F08440"/>
    <w:rsid w:val="14F113B1"/>
    <w:rsid w:val="14F113DA"/>
    <w:rsid w:val="14F140EC"/>
    <w:rsid w:val="14F261D7"/>
    <w:rsid w:val="14F3168E"/>
    <w:rsid w:val="14F6A566"/>
    <w:rsid w:val="14F8E60F"/>
    <w:rsid w:val="14F9591B"/>
    <w:rsid w:val="14FB6301"/>
    <w:rsid w:val="14FD812F"/>
    <w:rsid w:val="14FE460B"/>
    <w:rsid w:val="1501A49C"/>
    <w:rsid w:val="15056364"/>
    <w:rsid w:val="15064D15"/>
    <w:rsid w:val="15066521"/>
    <w:rsid w:val="1506D77C"/>
    <w:rsid w:val="15082F07"/>
    <w:rsid w:val="150881FE"/>
    <w:rsid w:val="1508C8DE"/>
    <w:rsid w:val="150A4807"/>
    <w:rsid w:val="150A4A10"/>
    <w:rsid w:val="150AA5B9"/>
    <w:rsid w:val="150C55DC"/>
    <w:rsid w:val="150C77E8"/>
    <w:rsid w:val="150DA81C"/>
    <w:rsid w:val="150EC35E"/>
    <w:rsid w:val="15102B9A"/>
    <w:rsid w:val="1511AB28"/>
    <w:rsid w:val="1512502B"/>
    <w:rsid w:val="15139829"/>
    <w:rsid w:val="151580B1"/>
    <w:rsid w:val="15196F33"/>
    <w:rsid w:val="151CD54F"/>
    <w:rsid w:val="151D0483"/>
    <w:rsid w:val="151D290D"/>
    <w:rsid w:val="151E3368"/>
    <w:rsid w:val="1521441D"/>
    <w:rsid w:val="15215099"/>
    <w:rsid w:val="15228713"/>
    <w:rsid w:val="1522AEF5"/>
    <w:rsid w:val="15236571"/>
    <w:rsid w:val="15236960"/>
    <w:rsid w:val="1523AD2E"/>
    <w:rsid w:val="152493A4"/>
    <w:rsid w:val="1524D1CA"/>
    <w:rsid w:val="1525750B"/>
    <w:rsid w:val="1529A828"/>
    <w:rsid w:val="152E4B03"/>
    <w:rsid w:val="152E8CFA"/>
    <w:rsid w:val="1530579D"/>
    <w:rsid w:val="1531D640"/>
    <w:rsid w:val="1532985A"/>
    <w:rsid w:val="153393D9"/>
    <w:rsid w:val="1533B72A"/>
    <w:rsid w:val="1533D2C3"/>
    <w:rsid w:val="153455E8"/>
    <w:rsid w:val="15357080"/>
    <w:rsid w:val="153728FD"/>
    <w:rsid w:val="153788A8"/>
    <w:rsid w:val="153864B9"/>
    <w:rsid w:val="153949BF"/>
    <w:rsid w:val="153AB280"/>
    <w:rsid w:val="153C030C"/>
    <w:rsid w:val="153D6238"/>
    <w:rsid w:val="153E2455"/>
    <w:rsid w:val="153E2812"/>
    <w:rsid w:val="153EB8DD"/>
    <w:rsid w:val="154342EF"/>
    <w:rsid w:val="15447A23"/>
    <w:rsid w:val="15448103"/>
    <w:rsid w:val="1544CBCB"/>
    <w:rsid w:val="1545BD19"/>
    <w:rsid w:val="1546D780"/>
    <w:rsid w:val="1546FB5A"/>
    <w:rsid w:val="15482A5E"/>
    <w:rsid w:val="154874F9"/>
    <w:rsid w:val="1548ED07"/>
    <w:rsid w:val="15497CE2"/>
    <w:rsid w:val="154ABCD0"/>
    <w:rsid w:val="154B92FE"/>
    <w:rsid w:val="154BD6F9"/>
    <w:rsid w:val="154CDE7E"/>
    <w:rsid w:val="154D3768"/>
    <w:rsid w:val="154E2F28"/>
    <w:rsid w:val="154F4BDC"/>
    <w:rsid w:val="154F518E"/>
    <w:rsid w:val="155284CC"/>
    <w:rsid w:val="15538E2A"/>
    <w:rsid w:val="1555198F"/>
    <w:rsid w:val="1555CD5D"/>
    <w:rsid w:val="1557819F"/>
    <w:rsid w:val="155904A8"/>
    <w:rsid w:val="15595F99"/>
    <w:rsid w:val="155D514A"/>
    <w:rsid w:val="155F9E11"/>
    <w:rsid w:val="156252CB"/>
    <w:rsid w:val="15642E9D"/>
    <w:rsid w:val="1568410C"/>
    <w:rsid w:val="156C90D7"/>
    <w:rsid w:val="156D2545"/>
    <w:rsid w:val="156E41F4"/>
    <w:rsid w:val="156FDC0A"/>
    <w:rsid w:val="1577E6FA"/>
    <w:rsid w:val="1578E979"/>
    <w:rsid w:val="157AFC16"/>
    <w:rsid w:val="157B9AF1"/>
    <w:rsid w:val="157EEFB6"/>
    <w:rsid w:val="157F82AE"/>
    <w:rsid w:val="157FC7A6"/>
    <w:rsid w:val="157FC837"/>
    <w:rsid w:val="15807F29"/>
    <w:rsid w:val="1581C460"/>
    <w:rsid w:val="1583210D"/>
    <w:rsid w:val="15833C9E"/>
    <w:rsid w:val="1584A8B1"/>
    <w:rsid w:val="1584F2E0"/>
    <w:rsid w:val="15851C4C"/>
    <w:rsid w:val="158A8137"/>
    <w:rsid w:val="158D2530"/>
    <w:rsid w:val="158D9B8C"/>
    <w:rsid w:val="158DE3F6"/>
    <w:rsid w:val="158F6178"/>
    <w:rsid w:val="15913B11"/>
    <w:rsid w:val="15951474"/>
    <w:rsid w:val="15953E0B"/>
    <w:rsid w:val="1595F56E"/>
    <w:rsid w:val="15984A0D"/>
    <w:rsid w:val="1598E666"/>
    <w:rsid w:val="1599836A"/>
    <w:rsid w:val="159AC11A"/>
    <w:rsid w:val="159B2AA7"/>
    <w:rsid w:val="159EA425"/>
    <w:rsid w:val="159EC90A"/>
    <w:rsid w:val="15A0BA69"/>
    <w:rsid w:val="15A131DC"/>
    <w:rsid w:val="15A42404"/>
    <w:rsid w:val="15A51F65"/>
    <w:rsid w:val="15A5B838"/>
    <w:rsid w:val="15A9FFB1"/>
    <w:rsid w:val="15AA5BB2"/>
    <w:rsid w:val="15ABB082"/>
    <w:rsid w:val="15AC969F"/>
    <w:rsid w:val="15ADF93B"/>
    <w:rsid w:val="15AF6890"/>
    <w:rsid w:val="15B04E4F"/>
    <w:rsid w:val="15B0C0E5"/>
    <w:rsid w:val="15B3AA36"/>
    <w:rsid w:val="15B40C1F"/>
    <w:rsid w:val="15B4F353"/>
    <w:rsid w:val="15B637DC"/>
    <w:rsid w:val="15B756F8"/>
    <w:rsid w:val="15BAACE4"/>
    <w:rsid w:val="15BBFBFC"/>
    <w:rsid w:val="15BC38AF"/>
    <w:rsid w:val="15BD2714"/>
    <w:rsid w:val="15BD9960"/>
    <w:rsid w:val="15BF1E80"/>
    <w:rsid w:val="15C12501"/>
    <w:rsid w:val="15C23115"/>
    <w:rsid w:val="15C3918E"/>
    <w:rsid w:val="15C45716"/>
    <w:rsid w:val="15C47734"/>
    <w:rsid w:val="15C65EB1"/>
    <w:rsid w:val="15C8AACF"/>
    <w:rsid w:val="15CB9A33"/>
    <w:rsid w:val="15CD2401"/>
    <w:rsid w:val="15CEB67D"/>
    <w:rsid w:val="15D03FDC"/>
    <w:rsid w:val="15D0B09A"/>
    <w:rsid w:val="15D2CF28"/>
    <w:rsid w:val="15D3D906"/>
    <w:rsid w:val="15D5D2F2"/>
    <w:rsid w:val="15D6B370"/>
    <w:rsid w:val="15DA8BDF"/>
    <w:rsid w:val="15DAF967"/>
    <w:rsid w:val="15DB2DEF"/>
    <w:rsid w:val="15DBCA7F"/>
    <w:rsid w:val="15DDCB8F"/>
    <w:rsid w:val="15E22629"/>
    <w:rsid w:val="15E262BF"/>
    <w:rsid w:val="15E4BB7C"/>
    <w:rsid w:val="15E69CB2"/>
    <w:rsid w:val="15E70612"/>
    <w:rsid w:val="15E71B42"/>
    <w:rsid w:val="15E7390E"/>
    <w:rsid w:val="15E9349C"/>
    <w:rsid w:val="15EA2436"/>
    <w:rsid w:val="15ED5655"/>
    <w:rsid w:val="15ED58D8"/>
    <w:rsid w:val="15EEAD1B"/>
    <w:rsid w:val="15EF1A6B"/>
    <w:rsid w:val="15EF6AA7"/>
    <w:rsid w:val="15F240B6"/>
    <w:rsid w:val="15F426E7"/>
    <w:rsid w:val="15F5189D"/>
    <w:rsid w:val="15F65845"/>
    <w:rsid w:val="15F65E21"/>
    <w:rsid w:val="15F6E685"/>
    <w:rsid w:val="15F81575"/>
    <w:rsid w:val="15F9C63D"/>
    <w:rsid w:val="15F9EEB2"/>
    <w:rsid w:val="15FD6098"/>
    <w:rsid w:val="15FE7B9D"/>
    <w:rsid w:val="1601158F"/>
    <w:rsid w:val="16021900"/>
    <w:rsid w:val="16031E96"/>
    <w:rsid w:val="16039F37"/>
    <w:rsid w:val="1604DACD"/>
    <w:rsid w:val="16055A36"/>
    <w:rsid w:val="1606E5F8"/>
    <w:rsid w:val="160744F4"/>
    <w:rsid w:val="16082B71"/>
    <w:rsid w:val="16082EA9"/>
    <w:rsid w:val="160A9CBF"/>
    <w:rsid w:val="160ADDA5"/>
    <w:rsid w:val="160B0B47"/>
    <w:rsid w:val="160B1D3E"/>
    <w:rsid w:val="160BEFBD"/>
    <w:rsid w:val="160C29F0"/>
    <w:rsid w:val="1611FFC3"/>
    <w:rsid w:val="1612323A"/>
    <w:rsid w:val="1613F563"/>
    <w:rsid w:val="16154E8E"/>
    <w:rsid w:val="1617F9E9"/>
    <w:rsid w:val="161BAC3B"/>
    <w:rsid w:val="161CEFAA"/>
    <w:rsid w:val="161FDA7C"/>
    <w:rsid w:val="1620BC61"/>
    <w:rsid w:val="162107E8"/>
    <w:rsid w:val="1621DFB3"/>
    <w:rsid w:val="1622D647"/>
    <w:rsid w:val="1624611F"/>
    <w:rsid w:val="16250966"/>
    <w:rsid w:val="16254908"/>
    <w:rsid w:val="1625F0D9"/>
    <w:rsid w:val="162643DF"/>
    <w:rsid w:val="16294276"/>
    <w:rsid w:val="162A4286"/>
    <w:rsid w:val="162E649D"/>
    <w:rsid w:val="162EA636"/>
    <w:rsid w:val="162F23B4"/>
    <w:rsid w:val="163291A8"/>
    <w:rsid w:val="1632D920"/>
    <w:rsid w:val="1634E2EE"/>
    <w:rsid w:val="16391F2F"/>
    <w:rsid w:val="163A854D"/>
    <w:rsid w:val="163ABB7D"/>
    <w:rsid w:val="163D253E"/>
    <w:rsid w:val="163D84DB"/>
    <w:rsid w:val="163E3901"/>
    <w:rsid w:val="1642829F"/>
    <w:rsid w:val="16433C61"/>
    <w:rsid w:val="16436A17"/>
    <w:rsid w:val="1644F5CA"/>
    <w:rsid w:val="16478085"/>
    <w:rsid w:val="164DA8DC"/>
    <w:rsid w:val="165172EE"/>
    <w:rsid w:val="16521ABA"/>
    <w:rsid w:val="165716F0"/>
    <w:rsid w:val="16572943"/>
    <w:rsid w:val="165742C8"/>
    <w:rsid w:val="1657D310"/>
    <w:rsid w:val="16584647"/>
    <w:rsid w:val="16586D94"/>
    <w:rsid w:val="165C7244"/>
    <w:rsid w:val="165D97DD"/>
    <w:rsid w:val="165F0201"/>
    <w:rsid w:val="16615B4F"/>
    <w:rsid w:val="166166E2"/>
    <w:rsid w:val="16618E20"/>
    <w:rsid w:val="166236C1"/>
    <w:rsid w:val="16641BAF"/>
    <w:rsid w:val="1664574C"/>
    <w:rsid w:val="16653671"/>
    <w:rsid w:val="16656D1F"/>
    <w:rsid w:val="166576C3"/>
    <w:rsid w:val="1666BFBB"/>
    <w:rsid w:val="1667352A"/>
    <w:rsid w:val="16674504"/>
    <w:rsid w:val="1667DC0E"/>
    <w:rsid w:val="1667E12C"/>
    <w:rsid w:val="16698508"/>
    <w:rsid w:val="166DE820"/>
    <w:rsid w:val="166EB8F1"/>
    <w:rsid w:val="16703737"/>
    <w:rsid w:val="16713697"/>
    <w:rsid w:val="16718E38"/>
    <w:rsid w:val="16742734"/>
    <w:rsid w:val="1674276B"/>
    <w:rsid w:val="16749CF1"/>
    <w:rsid w:val="1676B8FD"/>
    <w:rsid w:val="167703F8"/>
    <w:rsid w:val="16777D57"/>
    <w:rsid w:val="16787668"/>
    <w:rsid w:val="167881F8"/>
    <w:rsid w:val="16797C50"/>
    <w:rsid w:val="167A7906"/>
    <w:rsid w:val="167BEEF5"/>
    <w:rsid w:val="167D9F91"/>
    <w:rsid w:val="167F8865"/>
    <w:rsid w:val="16803131"/>
    <w:rsid w:val="1681316D"/>
    <w:rsid w:val="1686BD22"/>
    <w:rsid w:val="168D711B"/>
    <w:rsid w:val="1690B4F2"/>
    <w:rsid w:val="1690FEC8"/>
    <w:rsid w:val="16917463"/>
    <w:rsid w:val="1691AD8E"/>
    <w:rsid w:val="1691E930"/>
    <w:rsid w:val="1694FDB7"/>
    <w:rsid w:val="1695EBE9"/>
    <w:rsid w:val="16993952"/>
    <w:rsid w:val="1699FB7B"/>
    <w:rsid w:val="169B2A3D"/>
    <w:rsid w:val="169BEA88"/>
    <w:rsid w:val="169C2489"/>
    <w:rsid w:val="169C386A"/>
    <w:rsid w:val="169C9BE7"/>
    <w:rsid w:val="169D5811"/>
    <w:rsid w:val="169F274E"/>
    <w:rsid w:val="169FC216"/>
    <w:rsid w:val="16A2E9F0"/>
    <w:rsid w:val="16A52A0C"/>
    <w:rsid w:val="16A7555F"/>
    <w:rsid w:val="16A804C8"/>
    <w:rsid w:val="16A915E2"/>
    <w:rsid w:val="16A9CA2B"/>
    <w:rsid w:val="16AA50AA"/>
    <w:rsid w:val="16AEB644"/>
    <w:rsid w:val="16AF3B2E"/>
    <w:rsid w:val="16B342F2"/>
    <w:rsid w:val="16B342F8"/>
    <w:rsid w:val="16B4C28F"/>
    <w:rsid w:val="16B61311"/>
    <w:rsid w:val="16B7CE54"/>
    <w:rsid w:val="16B97343"/>
    <w:rsid w:val="16BA928E"/>
    <w:rsid w:val="16BB9F65"/>
    <w:rsid w:val="16BEA433"/>
    <w:rsid w:val="16BECCCE"/>
    <w:rsid w:val="16C1F0C0"/>
    <w:rsid w:val="16C37A41"/>
    <w:rsid w:val="16C439F1"/>
    <w:rsid w:val="16C5700B"/>
    <w:rsid w:val="16C5DF69"/>
    <w:rsid w:val="16C8F992"/>
    <w:rsid w:val="16CAF857"/>
    <w:rsid w:val="16CC162E"/>
    <w:rsid w:val="16CD1465"/>
    <w:rsid w:val="16CE535D"/>
    <w:rsid w:val="16CEF517"/>
    <w:rsid w:val="16D0A598"/>
    <w:rsid w:val="16D2238A"/>
    <w:rsid w:val="16D24357"/>
    <w:rsid w:val="16D464CD"/>
    <w:rsid w:val="16D5F5B7"/>
    <w:rsid w:val="16D62F0D"/>
    <w:rsid w:val="16D6AE84"/>
    <w:rsid w:val="16D6C9DD"/>
    <w:rsid w:val="16D809B2"/>
    <w:rsid w:val="16D8C2C4"/>
    <w:rsid w:val="16DAB6F7"/>
    <w:rsid w:val="16DB8263"/>
    <w:rsid w:val="16DEC42E"/>
    <w:rsid w:val="16E13FE7"/>
    <w:rsid w:val="16E258CA"/>
    <w:rsid w:val="16E40E7B"/>
    <w:rsid w:val="16E578FB"/>
    <w:rsid w:val="16E72016"/>
    <w:rsid w:val="16E837C2"/>
    <w:rsid w:val="16EA6FB1"/>
    <w:rsid w:val="16EB8F8B"/>
    <w:rsid w:val="16EEB190"/>
    <w:rsid w:val="16EEEC08"/>
    <w:rsid w:val="16F03A84"/>
    <w:rsid w:val="16F0F4A0"/>
    <w:rsid w:val="16F288CA"/>
    <w:rsid w:val="16F395EB"/>
    <w:rsid w:val="16F4A273"/>
    <w:rsid w:val="16F4B8DA"/>
    <w:rsid w:val="16FAE766"/>
    <w:rsid w:val="16FD9D9D"/>
    <w:rsid w:val="16FE5D56"/>
    <w:rsid w:val="16FE7E61"/>
    <w:rsid w:val="16FEAB28"/>
    <w:rsid w:val="16FEB9C1"/>
    <w:rsid w:val="16FF6E35"/>
    <w:rsid w:val="16FF71FC"/>
    <w:rsid w:val="16FF8BCA"/>
    <w:rsid w:val="17008013"/>
    <w:rsid w:val="1701BA60"/>
    <w:rsid w:val="170246AB"/>
    <w:rsid w:val="170268B7"/>
    <w:rsid w:val="1705486A"/>
    <w:rsid w:val="1708C425"/>
    <w:rsid w:val="1708DE00"/>
    <w:rsid w:val="17097450"/>
    <w:rsid w:val="17099B83"/>
    <w:rsid w:val="170A1FAE"/>
    <w:rsid w:val="170A97AD"/>
    <w:rsid w:val="170ACA7E"/>
    <w:rsid w:val="170B8E2F"/>
    <w:rsid w:val="170B9F5F"/>
    <w:rsid w:val="170D3143"/>
    <w:rsid w:val="1711966E"/>
    <w:rsid w:val="171298BE"/>
    <w:rsid w:val="171342C4"/>
    <w:rsid w:val="17158FE2"/>
    <w:rsid w:val="171A25A7"/>
    <w:rsid w:val="171B8320"/>
    <w:rsid w:val="171C072D"/>
    <w:rsid w:val="171C74AA"/>
    <w:rsid w:val="1725203A"/>
    <w:rsid w:val="17261713"/>
    <w:rsid w:val="17287B86"/>
    <w:rsid w:val="1728DA8D"/>
    <w:rsid w:val="1729068A"/>
    <w:rsid w:val="172990DF"/>
    <w:rsid w:val="172A5F40"/>
    <w:rsid w:val="172A6DCB"/>
    <w:rsid w:val="172B1AFE"/>
    <w:rsid w:val="172B49C6"/>
    <w:rsid w:val="172D1D51"/>
    <w:rsid w:val="1730E464"/>
    <w:rsid w:val="1733A300"/>
    <w:rsid w:val="17363C40"/>
    <w:rsid w:val="1736F84D"/>
    <w:rsid w:val="1738C69E"/>
    <w:rsid w:val="17393031"/>
    <w:rsid w:val="1739D859"/>
    <w:rsid w:val="173A4ECE"/>
    <w:rsid w:val="173B0580"/>
    <w:rsid w:val="173B59B6"/>
    <w:rsid w:val="173B6A16"/>
    <w:rsid w:val="173CC3DE"/>
    <w:rsid w:val="173CCE65"/>
    <w:rsid w:val="173D2744"/>
    <w:rsid w:val="173E287E"/>
    <w:rsid w:val="173E9ECD"/>
    <w:rsid w:val="173EE52E"/>
    <w:rsid w:val="173F391F"/>
    <w:rsid w:val="17404A4E"/>
    <w:rsid w:val="174053F7"/>
    <w:rsid w:val="17410560"/>
    <w:rsid w:val="17426738"/>
    <w:rsid w:val="17452185"/>
    <w:rsid w:val="17459747"/>
    <w:rsid w:val="17474708"/>
    <w:rsid w:val="1748AF67"/>
    <w:rsid w:val="174ABAC6"/>
    <w:rsid w:val="174BB449"/>
    <w:rsid w:val="174C1E48"/>
    <w:rsid w:val="175133BB"/>
    <w:rsid w:val="1751CFD9"/>
    <w:rsid w:val="1751F69A"/>
    <w:rsid w:val="1752210C"/>
    <w:rsid w:val="1752731F"/>
    <w:rsid w:val="17546A5E"/>
    <w:rsid w:val="1754C8DF"/>
    <w:rsid w:val="1755772C"/>
    <w:rsid w:val="175B03A6"/>
    <w:rsid w:val="175C9D66"/>
    <w:rsid w:val="175D8F58"/>
    <w:rsid w:val="175DD9F4"/>
    <w:rsid w:val="17607813"/>
    <w:rsid w:val="17613CB5"/>
    <w:rsid w:val="17616231"/>
    <w:rsid w:val="176696BC"/>
    <w:rsid w:val="17686D44"/>
    <w:rsid w:val="1768EB1C"/>
    <w:rsid w:val="17697E69"/>
    <w:rsid w:val="176A5BB9"/>
    <w:rsid w:val="176BC6D7"/>
    <w:rsid w:val="176CF6F9"/>
    <w:rsid w:val="176D2818"/>
    <w:rsid w:val="176DE7DB"/>
    <w:rsid w:val="176EFBC2"/>
    <w:rsid w:val="1771B6C6"/>
    <w:rsid w:val="1772AF32"/>
    <w:rsid w:val="17735A4E"/>
    <w:rsid w:val="1775043C"/>
    <w:rsid w:val="17772AEA"/>
    <w:rsid w:val="17773741"/>
    <w:rsid w:val="1777B0BD"/>
    <w:rsid w:val="177A66F0"/>
    <w:rsid w:val="177AA9AF"/>
    <w:rsid w:val="177D4F07"/>
    <w:rsid w:val="177D679B"/>
    <w:rsid w:val="177DD5F5"/>
    <w:rsid w:val="177FB460"/>
    <w:rsid w:val="177FBEDF"/>
    <w:rsid w:val="1780633F"/>
    <w:rsid w:val="1788E909"/>
    <w:rsid w:val="178951AE"/>
    <w:rsid w:val="178BD79C"/>
    <w:rsid w:val="178D80BD"/>
    <w:rsid w:val="178D9A42"/>
    <w:rsid w:val="178E6045"/>
    <w:rsid w:val="178EBF3B"/>
    <w:rsid w:val="178F2B17"/>
    <w:rsid w:val="178F32AD"/>
    <w:rsid w:val="179589FF"/>
    <w:rsid w:val="179642BB"/>
    <w:rsid w:val="1796F1AD"/>
    <w:rsid w:val="1797111C"/>
    <w:rsid w:val="17991734"/>
    <w:rsid w:val="179A6EDA"/>
    <w:rsid w:val="179BA8C8"/>
    <w:rsid w:val="179BDEAE"/>
    <w:rsid w:val="179C63B7"/>
    <w:rsid w:val="179C9A4A"/>
    <w:rsid w:val="179DFB5E"/>
    <w:rsid w:val="17A06DAC"/>
    <w:rsid w:val="17A098B5"/>
    <w:rsid w:val="17A0A8E5"/>
    <w:rsid w:val="17A22EF1"/>
    <w:rsid w:val="17A3D70C"/>
    <w:rsid w:val="17A770A9"/>
    <w:rsid w:val="17A7F057"/>
    <w:rsid w:val="17A989A0"/>
    <w:rsid w:val="17A9DB64"/>
    <w:rsid w:val="17AAE401"/>
    <w:rsid w:val="17AB06E2"/>
    <w:rsid w:val="17AC7BCE"/>
    <w:rsid w:val="17ACBD62"/>
    <w:rsid w:val="17AF4C57"/>
    <w:rsid w:val="17B2C3F9"/>
    <w:rsid w:val="17B2ECB7"/>
    <w:rsid w:val="17B3208C"/>
    <w:rsid w:val="17B5964E"/>
    <w:rsid w:val="17B65B9C"/>
    <w:rsid w:val="17B93944"/>
    <w:rsid w:val="17B9D477"/>
    <w:rsid w:val="17BA21D3"/>
    <w:rsid w:val="17BC4249"/>
    <w:rsid w:val="17BC852C"/>
    <w:rsid w:val="17BE2468"/>
    <w:rsid w:val="17C0F8F3"/>
    <w:rsid w:val="17C1845C"/>
    <w:rsid w:val="17C2A74D"/>
    <w:rsid w:val="17C3226C"/>
    <w:rsid w:val="17C39559"/>
    <w:rsid w:val="17C65564"/>
    <w:rsid w:val="17C6C0A6"/>
    <w:rsid w:val="17C6F9D1"/>
    <w:rsid w:val="17C93205"/>
    <w:rsid w:val="17CA4767"/>
    <w:rsid w:val="17CC431E"/>
    <w:rsid w:val="17D0F1C2"/>
    <w:rsid w:val="17D2CD41"/>
    <w:rsid w:val="17D40DEA"/>
    <w:rsid w:val="17D453D6"/>
    <w:rsid w:val="17D538E8"/>
    <w:rsid w:val="17D5CB23"/>
    <w:rsid w:val="17D618EC"/>
    <w:rsid w:val="17D6A656"/>
    <w:rsid w:val="17D9C093"/>
    <w:rsid w:val="17DAF009"/>
    <w:rsid w:val="17DCB13A"/>
    <w:rsid w:val="17DD121D"/>
    <w:rsid w:val="17E12244"/>
    <w:rsid w:val="17E20255"/>
    <w:rsid w:val="17E23A9C"/>
    <w:rsid w:val="17E30BC6"/>
    <w:rsid w:val="17E63066"/>
    <w:rsid w:val="17E70D68"/>
    <w:rsid w:val="17E81B48"/>
    <w:rsid w:val="17E9743D"/>
    <w:rsid w:val="17ED9D8D"/>
    <w:rsid w:val="17EDBE45"/>
    <w:rsid w:val="17EE808F"/>
    <w:rsid w:val="17EFA4D9"/>
    <w:rsid w:val="17EFD0DA"/>
    <w:rsid w:val="17F10EBC"/>
    <w:rsid w:val="17F181CE"/>
    <w:rsid w:val="17F1D3E3"/>
    <w:rsid w:val="17F4EFFD"/>
    <w:rsid w:val="17F5122A"/>
    <w:rsid w:val="17F7D561"/>
    <w:rsid w:val="17F7FCA0"/>
    <w:rsid w:val="17FFBC67"/>
    <w:rsid w:val="1800DABC"/>
    <w:rsid w:val="18040947"/>
    <w:rsid w:val="18041272"/>
    <w:rsid w:val="180451EB"/>
    <w:rsid w:val="1804AC29"/>
    <w:rsid w:val="18096481"/>
    <w:rsid w:val="180A6620"/>
    <w:rsid w:val="180B7E9A"/>
    <w:rsid w:val="180E911B"/>
    <w:rsid w:val="1810C460"/>
    <w:rsid w:val="1811896E"/>
    <w:rsid w:val="18131D45"/>
    <w:rsid w:val="1818B30D"/>
    <w:rsid w:val="18192CE6"/>
    <w:rsid w:val="181A6D5E"/>
    <w:rsid w:val="181B2545"/>
    <w:rsid w:val="181DAA89"/>
    <w:rsid w:val="181E662B"/>
    <w:rsid w:val="181F4209"/>
    <w:rsid w:val="18246196"/>
    <w:rsid w:val="182608EA"/>
    <w:rsid w:val="182767CD"/>
    <w:rsid w:val="18287070"/>
    <w:rsid w:val="1829D7A3"/>
    <w:rsid w:val="182A6E6E"/>
    <w:rsid w:val="182B0885"/>
    <w:rsid w:val="182C16AE"/>
    <w:rsid w:val="182FCA01"/>
    <w:rsid w:val="18312FDF"/>
    <w:rsid w:val="18343865"/>
    <w:rsid w:val="183480EA"/>
    <w:rsid w:val="18389DC1"/>
    <w:rsid w:val="1839C9B4"/>
    <w:rsid w:val="183BD9C8"/>
    <w:rsid w:val="183C8B46"/>
    <w:rsid w:val="18405DB3"/>
    <w:rsid w:val="18431DC7"/>
    <w:rsid w:val="18435C59"/>
    <w:rsid w:val="18443484"/>
    <w:rsid w:val="1844A9C7"/>
    <w:rsid w:val="184B535A"/>
    <w:rsid w:val="184BB16F"/>
    <w:rsid w:val="184CDF43"/>
    <w:rsid w:val="1850750E"/>
    <w:rsid w:val="185387B9"/>
    <w:rsid w:val="18539027"/>
    <w:rsid w:val="185524DE"/>
    <w:rsid w:val="18570C42"/>
    <w:rsid w:val="18572652"/>
    <w:rsid w:val="1857C126"/>
    <w:rsid w:val="1857F05B"/>
    <w:rsid w:val="185AD903"/>
    <w:rsid w:val="185BCB64"/>
    <w:rsid w:val="185CC546"/>
    <w:rsid w:val="185ECF01"/>
    <w:rsid w:val="186395C9"/>
    <w:rsid w:val="1864198D"/>
    <w:rsid w:val="18649DD2"/>
    <w:rsid w:val="1864FDC4"/>
    <w:rsid w:val="18682B95"/>
    <w:rsid w:val="1868D1C5"/>
    <w:rsid w:val="186A6F72"/>
    <w:rsid w:val="186AA950"/>
    <w:rsid w:val="186BCBFA"/>
    <w:rsid w:val="186CEE0E"/>
    <w:rsid w:val="186D1A2C"/>
    <w:rsid w:val="186E07EF"/>
    <w:rsid w:val="186E9B07"/>
    <w:rsid w:val="187091E6"/>
    <w:rsid w:val="1871BA85"/>
    <w:rsid w:val="1873A969"/>
    <w:rsid w:val="1873D9BB"/>
    <w:rsid w:val="1874197D"/>
    <w:rsid w:val="18750DD5"/>
    <w:rsid w:val="1875DECD"/>
    <w:rsid w:val="18760A34"/>
    <w:rsid w:val="1876BD87"/>
    <w:rsid w:val="187AAA22"/>
    <w:rsid w:val="187C6053"/>
    <w:rsid w:val="187DFBE8"/>
    <w:rsid w:val="18860C1E"/>
    <w:rsid w:val="188AB0F6"/>
    <w:rsid w:val="188BD252"/>
    <w:rsid w:val="188D51D8"/>
    <w:rsid w:val="188D67EA"/>
    <w:rsid w:val="188D836B"/>
    <w:rsid w:val="1890CA0E"/>
    <w:rsid w:val="1892A267"/>
    <w:rsid w:val="189305E9"/>
    <w:rsid w:val="189355D2"/>
    <w:rsid w:val="18941DED"/>
    <w:rsid w:val="18944EF7"/>
    <w:rsid w:val="18987FA4"/>
    <w:rsid w:val="1898F68B"/>
    <w:rsid w:val="189A2719"/>
    <w:rsid w:val="189D6891"/>
    <w:rsid w:val="189E1FED"/>
    <w:rsid w:val="18A32D18"/>
    <w:rsid w:val="18A33BDA"/>
    <w:rsid w:val="18A5348C"/>
    <w:rsid w:val="18A742E4"/>
    <w:rsid w:val="18A8299D"/>
    <w:rsid w:val="18A8BF17"/>
    <w:rsid w:val="18A9AA63"/>
    <w:rsid w:val="18AA18C9"/>
    <w:rsid w:val="18AD5BA6"/>
    <w:rsid w:val="18AEAE22"/>
    <w:rsid w:val="18B041B1"/>
    <w:rsid w:val="18B426EB"/>
    <w:rsid w:val="18B48C0D"/>
    <w:rsid w:val="18B7BC6B"/>
    <w:rsid w:val="18B7D074"/>
    <w:rsid w:val="18B9416A"/>
    <w:rsid w:val="18B979C6"/>
    <w:rsid w:val="18B9CE94"/>
    <w:rsid w:val="18BC214D"/>
    <w:rsid w:val="18BC4226"/>
    <w:rsid w:val="18BCEDEC"/>
    <w:rsid w:val="18BE77A0"/>
    <w:rsid w:val="18C06E25"/>
    <w:rsid w:val="18C0F9B7"/>
    <w:rsid w:val="18C28723"/>
    <w:rsid w:val="18C38920"/>
    <w:rsid w:val="18C59AE3"/>
    <w:rsid w:val="18C5C416"/>
    <w:rsid w:val="18C821EF"/>
    <w:rsid w:val="18C9AFA1"/>
    <w:rsid w:val="18CA79C7"/>
    <w:rsid w:val="18CB2FDF"/>
    <w:rsid w:val="18CD9631"/>
    <w:rsid w:val="18CDBF8E"/>
    <w:rsid w:val="18D1568B"/>
    <w:rsid w:val="18D1DAEB"/>
    <w:rsid w:val="18D3134D"/>
    <w:rsid w:val="18D3B3E2"/>
    <w:rsid w:val="18D4E36C"/>
    <w:rsid w:val="18D4FA2C"/>
    <w:rsid w:val="18D57D37"/>
    <w:rsid w:val="18D7EF72"/>
    <w:rsid w:val="18DCD590"/>
    <w:rsid w:val="18DD5E0E"/>
    <w:rsid w:val="18DE74A3"/>
    <w:rsid w:val="18DEA10D"/>
    <w:rsid w:val="18DF6AE1"/>
    <w:rsid w:val="18DFBE8D"/>
    <w:rsid w:val="18E09467"/>
    <w:rsid w:val="18E0AEF0"/>
    <w:rsid w:val="18E483D7"/>
    <w:rsid w:val="18E6CD7A"/>
    <w:rsid w:val="18E70B36"/>
    <w:rsid w:val="18E73DA0"/>
    <w:rsid w:val="18E875AB"/>
    <w:rsid w:val="18E8EE36"/>
    <w:rsid w:val="18EAC703"/>
    <w:rsid w:val="18EB52D0"/>
    <w:rsid w:val="18ECBF5F"/>
    <w:rsid w:val="18ED19A8"/>
    <w:rsid w:val="18EDB160"/>
    <w:rsid w:val="18EE7FDC"/>
    <w:rsid w:val="18EEFBDF"/>
    <w:rsid w:val="18EF6064"/>
    <w:rsid w:val="18F2544C"/>
    <w:rsid w:val="18F37E57"/>
    <w:rsid w:val="18F423E8"/>
    <w:rsid w:val="18F4E436"/>
    <w:rsid w:val="18F57250"/>
    <w:rsid w:val="18F60F57"/>
    <w:rsid w:val="18F94A5C"/>
    <w:rsid w:val="18FC7F62"/>
    <w:rsid w:val="18FE3360"/>
    <w:rsid w:val="190138E4"/>
    <w:rsid w:val="19016CAF"/>
    <w:rsid w:val="190444AF"/>
    <w:rsid w:val="19058325"/>
    <w:rsid w:val="190610C8"/>
    <w:rsid w:val="19062854"/>
    <w:rsid w:val="19062E3B"/>
    <w:rsid w:val="19063840"/>
    <w:rsid w:val="190722CD"/>
    <w:rsid w:val="190748E6"/>
    <w:rsid w:val="19076BDD"/>
    <w:rsid w:val="1907EDF0"/>
    <w:rsid w:val="1908CCA3"/>
    <w:rsid w:val="190A8FA8"/>
    <w:rsid w:val="190A91D2"/>
    <w:rsid w:val="190AD64A"/>
    <w:rsid w:val="190C8525"/>
    <w:rsid w:val="190D38EC"/>
    <w:rsid w:val="190D46BD"/>
    <w:rsid w:val="190F4D99"/>
    <w:rsid w:val="190FCA92"/>
    <w:rsid w:val="1910A745"/>
    <w:rsid w:val="1912EB74"/>
    <w:rsid w:val="1914299E"/>
    <w:rsid w:val="19149A88"/>
    <w:rsid w:val="19158254"/>
    <w:rsid w:val="1916BED5"/>
    <w:rsid w:val="19176BF3"/>
    <w:rsid w:val="1919124B"/>
    <w:rsid w:val="191B447F"/>
    <w:rsid w:val="191BAB01"/>
    <w:rsid w:val="191D33C0"/>
    <w:rsid w:val="191D5EB0"/>
    <w:rsid w:val="1922AFD0"/>
    <w:rsid w:val="1922B826"/>
    <w:rsid w:val="19230DEC"/>
    <w:rsid w:val="19256A9A"/>
    <w:rsid w:val="1925AFAC"/>
    <w:rsid w:val="1925D0CF"/>
    <w:rsid w:val="1927136C"/>
    <w:rsid w:val="19274509"/>
    <w:rsid w:val="19278B80"/>
    <w:rsid w:val="1929D6B5"/>
    <w:rsid w:val="192AE14B"/>
    <w:rsid w:val="192F4BCF"/>
    <w:rsid w:val="192F9736"/>
    <w:rsid w:val="193003CF"/>
    <w:rsid w:val="19314CC9"/>
    <w:rsid w:val="1932A3D6"/>
    <w:rsid w:val="1933AF48"/>
    <w:rsid w:val="1934421D"/>
    <w:rsid w:val="19347664"/>
    <w:rsid w:val="1934E03B"/>
    <w:rsid w:val="19353F1F"/>
    <w:rsid w:val="193569CF"/>
    <w:rsid w:val="19360A66"/>
    <w:rsid w:val="193687B8"/>
    <w:rsid w:val="193715BB"/>
    <w:rsid w:val="1937E28C"/>
    <w:rsid w:val="19380693"/>
    <w:rsid w:val="1938B2B1"/>
    <w:rsid w:val="193BD111"/>
    <w:rsid w:val="193CE191"/>
    <w:rsid w:val="193E9C66"/>
    <w:rsid w:val="193EE5B6"/>
    <w:rsid w:val="193F5231"/>
    <w:rsid w:val="1940906E"/>
    <w:rsid w:val="1941FBFB"/>
    <w:rsid w:val="19432FEA"/>
    <w:rsid w:val="19479688"/>
    <w:rsid w:val="1947BCFC"/>
    <w:rsid w:val="1947FBD7"/>
    <w:rsid w:val="1948D612"/>
    <w:rsid w:val="1948FA9E"/>
    <w:rsid w:val="19491EF8"/>
    <w:rsid w:val="194A945E"/>
    <w:rsid w:val="194D7098"/>
    <w:rsid w:val="194EA6B5"/>
    <w:rsid w:val="1950CC85"/>
    <w:rsid w:val="19522325"/>
    <w:rsid w:val="1955BCAC"/>
    <w:rsid w:val="1959CAE6"/>
    <w:rsid w:val="195A7AB2"/>
    <w:rsid w:val="195C6838"/>
    <w:rsid w:val="195D192E"/>
    <w:rsid w:val="195F109E"/>
    <w:rsid w:val="195F1CE1"/>
    <w:rsid w:val="19607467"/>
    <w:rsid w:val="19607C74"/>
    <w:rsid w:val="19609480"/>
    <w:rsid w:val="19630FD7"/>
    <w:rsid w:val="19643AC0"/>
    <w:rsid w:val="1964C431"/>
    <w:rsid w:val="1964DAA6"/>
    <w:rsid w:val="1966E5B4"/>
    <w:rsid w:val="1967BE7A"/>
    <w:rsid w:val="1967BFC7"/>
    <w:rsid w:val="1967E078"/>
    <w:rsid w:val="1968AB51"/>
    <w:rsid w:val="196B2A0E"/>
    <w:rsid w:val="196C11F9"/>
    <w:rsid w:val="196F396D"/>
    <w:rsid w:val="19708B8D"/>
    <w:rsid w:val="19714F3A"/>
    <w:rsid w:val="1976F80D"/>
    <w:rsid w:val="1977B262"/>
    <w:rsid w:val="1977FC81"/>
    <w:rsid w:val="19794A39"/>
    <w:rsid w:val="1979AC45"/>
    <w:rsid w:val="197A5BF2"/>
    <w:rsid w:val="197CD0B1"/>
    <w:rsid w:val="197D6552"/>
    <w:rsid w:val="197ED1AA"/>
    <w:rsid w:val="19802947"/>
    <w:rsid w:val="19804D64"/>
    <w:rsid w:val="1980D16A"/>
    <w:rsid w:val="1981779A"/>
    <w:rsid w:val="19846767"/>
    <w:rsid w:val="198472FC"/>
    <w:rsid w:val="19883174"/>
    <w:rsid w:val="198C0A6A"/>
    <w:rsid w:val="198D3156"/>
    <w:rsid w:val="198D837A"/>
    <w:rsid w:val="198EF5A0"/>
    <w:rsid w:val="19918A6E"/>
    <w:rsid w:val="19927561"/>
    <w:rsid w:val="1992EF78"/>
    <w:rsid w:val="199372FC"/>
    <w:rsid w:val="1993C8D5"/>
    <w:rsid w:val="1993E737"/>
    <w:rsid w:val="1997CA41"/>
    <w:rsid w:val="1999FF0B"/>
    <w:rsid w:val="199C6B50"/>
    <w:rsid w:val="199DAEA0"/>
    <w:rsid w:val="199F4408"/>
    <w:rsid w:val="199F7521"/>
    <w:rsid w:val="199F77B9"/>
    <w:rsid w:val="19A15281"/>
    <w:rsid w:val="19A26302"/>
    <w:rsid w:val="19A2C826"/>
    <w:rsid w:val="19A57363"/>
    <w:rsid w:val="19A5B98C"/>
    <w:rsid w:val="19A60CE2"/>
    <w:rsid w:val="19A7184B"/>
    <w:rsid w:val="19A80632"/>
    <w:rsid w:val="19A9119C"/>
    <w:rsid w:val="19A9D082"/>
    <w:rsid w:val="19AB8283"/>
    <w:rsid w:val="19ACFE93"/>
    <w:rsid w:val="19B4575E"/>
    <w:rsid w:val="19B4CD08"/>
    <w:rsid w:val="19B6EC82"/>
    <w:rsid w:val="19B73D75"/>
    <w:rsid w:val="19BA050B"/>
    <w:rsid w:val="19BB74BC"/>
    <w:rsid w:val="19BBB7E9"/>
    <w:rsid w:val="19BC3A8C"/>
    <w:rsid w:val="19BC707F"/>
    <w:rsid w:val="19BDF7B9"/>
    <w:rsid w:val="19BE3634"/>
    <w:rsid w:val="19BF692B"/>
    <w:rsid w:val="19BF8F3A"/>
    <w:rsid w:val="19C3D1F6"/>
    <w:rsid w:val="19C67504"/>
    <w:rsid w:val="19C756B1"/>
    <w:rsid w:val="19C766C4"/>
    <w:rsid w:val="19C90F16"/>
    <w:rsid w:val="19C92C7B"/>
    <w:rsid w:val="19CA9200"/>
    <w:rsid w:val="19CACA99"/>
    <w:rsid w:val="19CC4630"/>
    <w:rsid w:val="19D3F30D"/>
    <w:rsid w:val="19D5111D"/>
    <w:rsid w:val="19D57B3C"/>
    <w:rsid w:val="19D7A09D"/>
    <w:rsid w:val="19DF6158"/>
    <w:rsid w:val="19E0B715"/>
    <w:rsid w:val="19E0EB23"/>
    <w:rsid w:val="19E180AD"/>
    <w:rsid w:val="19E3ECDE"/>
    <w:rsid w:val="19E65C91"/>
    <w:rsid w:val="19E6E43A"/>
    <w:rsid w:val="19E73A99"/>
    <w:rsid w:val="19E7CCB9"/>
    <w:rsid w:val="19E7EF16"/>
    <w:rsid w:val="19EA892A"/>
    <w:rsid w:val="19EC3C2F"/>
    <w:rsid w:val="19ED75D8"/>
    <w:rsid w:val="19F07EF2"/>
    <w:rsid w:val="19F4B401"/>
    <w:rsid w:val="19F9991B"/>
    <w:rsid w:val="19FC0146"/>
    <w:rsid w:val="19FCF543"/>
    <w:rsid w:val="19FD5440"/>
    <w:rsid w:val="19FD7362"/>
    <w:rsid w:val="19FF7C58"/>
    <w:rsid w:val="19FFAE67"/>
    <w:rsid w:val="19FFBA30"/>
    <w:rsid w:val="1A006E33"/>
    <w:rsid w:val="1A023365"/>
    <w:rsid w:val="1A0322F8"/>
    <w:rsid w:val="1A03BBEB"/>
    <w:rsid w:val="1A03C8C4"/>
    <w:rsid w:val="1A043E16"/>
    <w:rsid w:val="1A057FDD"/>
    <w:rsid w:val="1A05A17A"/>
    <w:rsid w:val="1A07E44A"/>
    <w:rsid w:val="1A083749"/>
    <w:rsid w:val="1A084ED4"/>
    <w:rsid w:val="1A0893DD"/>
    <w:rsid w:val="1A09A773"/>
    <w:rsid w:val="1A0AD0A6"/>
    <w:rsid w:val="1A0C2BDE"/>
    <w:rsid w:val="1A0CF764"/>
    <w:rsid w:val="1A0D98E9"/>
    <w:rsid w:val="1A1449F2"/>
    <w:rsid w:val="1A149F2E"/>
    <w:rsid w:val="1A14CEF4"/>
    <w:rsid w:val="1A1596EA"/>
    <w:rsid w:val="1A173197"/>
    <w:rsid w:val="1A18246F"/>
    <w:rsid w:val="1A1BE8D1"/>
    <w:rsid w:val="1A1EF88E"/>
    <w:rsid w:val="1A1F8A14"/>
    <w:rsid w:val="1A2139DF"/>
    <w:rsid w:val="1A21F57F"/>
    <w:rsid w:val="1A255C1F"/>
    <w:rsid w:val="1A2676CD"/>
    <w:rsid w:val="1A26B71F"/>
    <w:rsid w:val="1A2969C8"/>
    <w:rsid w:val="1A2A86ED"/>
    <w:rsid w:val="1A2DB94D"/>
    <w:rsid w:val="1A2FE707"/>
    <w:rsid w:val="1A32CC11"/>
    <w:rsid w:val="1A32FDA3"/>
    <w:rsid w:val="1A33DDE8"/>
    <w:rsid w:val="1A352234"/>
    <w:rsid w:val="1A36DDEE"/>
    <w:rsid w:val="1A3A8F68"/>
    <w:rsid w:val="1A3A92F0"/>
    <w:rsid w:val="1A3B9D10"/>
    <w:rsid w:val="1A3E9643"/>
    <w:rsid w:val="1A400FA1"/>
    <w:rsid w:val="1A404708"/>
    <w:rsid w:val="1A4116EA"/>
    <w:rsid w:val="1A4208DF"/>
    <w:rsid w:val="1A43A878"/>
    <w:rsid w:val="1A43D039"/>
    <w:rsid w:val="1A45266B"/>
    <w:rsid w:val="1A456345"/>
    <w:rsid w:val="1A486372"/>
    <w:rsid w:val="1A490886"/>
    <w:rsid w:val="1A49F100"/>
    <w:rsid w:val="1A4A765F"/>
    <w:rsid w:val="1A4B465C"/>
    <w:rsid w:val="1A4E2463"/>
    <w:rsid w:val="1A4EA73A"/>
    <w:rsid w:val="1A4FCE51"/>
    <w:rsid w:val="1A50FAF4"/>
    <w:rsid w:val="1A546214"/>
    <w:rsid w:val="1A54F27D"/>
    <w:rsid w:val="1A5609E9"/>
    <w:rsid w:val="1A561220"/>
    <w:rsid w:val="1A56E397"/>
    <w:rsid w:val="1A571D7C"/>
    <w:rsid w:val="1A5AB584"/>
    <w:rsid w:val="1A643F99"/>
    <w:rsid w:val="1A646CAD"/>
    <w:rsid w:val="1A64DBC2"/>
    <w:rsid w:val="1A653C36"/>
    <w:rsid w:val="1A6699BD"/>
    <w:rsid w:val="1A6740EC"/>
    <w:rsid w:val="1A67622F"/>
    <w:rsid w:val="1A68250E"/>
    <w:rsid w:val="1A68F84F"/>
    <w:rsid w:val="1A6A9A2D"/>
    <w:rsid w:val="1A6AD561"/>
    <w:rsid w:val="1A6D3871"/>
    <w:rsid w:val="1A6D6C15"/>
    <w:rsid w:val="1A6DED26"/>
    <w:rsid w:val="1A6E0381"/>
    <w:rsid w:val="1A70C14B"/>
    <w:rsid w:val="1A70DFB3"/>
    <w:rsid w:val="1A71B5CD"/>
    <w:rsid w:val="1A72802C"/>
    <w:rsid w:val="1A74D273"/>
    <w:rsid w:val="1A75DE32"/>
    <w:rsid w:val="1A75FE18"/>
    <w:rsid w:val="1A76779D"/>
    <w:rsid w:val="1A76F5C2"/>
    <w:rsid w:val="1A770A8E"/>
    <w:rsid w:val="1A77FB4E"/>
    <w:rsid w:val="1A782E33"/>
    <w:rsid w:val="1A79276F"/>
    <w:rsid w:val="1A7A4C7D"/>
    <w:rsid w:val="1A7A9D2C"/>
    <w:rsid w:val="1A7C95EC"/>
    <w:rsid w:val="1A7EF3E2"/>
    <w:rsid w:val="1A8362EC"/>
    <w:rsid w:val="1A866BA8"/>
    <w:rsid w:val="1A872E5E"/>
    <w:rsid w:val="1A873444"/>
    <w:rsid w:val="1A8A9BE8"/>
    <w:rsid w:val="1A8C395F"/>
    <w:rsid w:val="1A8C5ECD"/>
    <w:rsid w:val="1A900B1B"/>
    <w:rsid w:val="1A932DBB"/>
    <w:rsid w:val="1A940D2A"/>
    <w:rsid w:val="1A9518C0"/>
    <w:rsid w:val="1A96D968"/>
    <w:rsid w:val="1A972AC4"/>
    <w:rsid w:val="1A97CD64"/>
    <w:rsid w:val="1A983693"/>
    <w:rsid w:val="1A98A678"/>
    <w:rsid w:val="1A993571"/>
    <w:rsid w:val="1A9D58CE"/>
    <w:rsid w:val="1A9E31EF"/>
    <w:rsid w:val="1A9EA956"/>
    <w:rsid w:val="1A9F24F2"/>
    <w:rsid w:val="1AA2160E"/>
    <w:rsid w:val="1AA32765"/>
    <w:rsid w:val="1AA47A00"/>
    <w:rsid w:val="1AA584DE"/>
    <w:rsid w:val="1AA608EE"/>
    <w:rsid w:val="1AA64557"/>
    <w:rsid w:val="1AA82DD3"/>
    <w:rsid w:val="1AA83500"/>
    <w:rsid w:val="1AAC7326"/>
    <w:rsid w:val="1AAD3732"/>
    <w:rsid w:val="1AADF439"/>
    <w:rsid w:val="1AAE949A"/>
    <w:rsid w:val="1AB46751"/>
    <w:rsid w:val="1AB91B0D"/>
    <w:rsid w:val="1AB927C8"/>
    <w:rsid w:val="1ABA8A90"/>
    <w:rsid w:val="1AC14FFD"/>
    <w:rsid w:val="1AC2EB4E"/>
    <w:rsid w:val="1AC5B9AD"/>
    <w:rsid w:val="1AC9DA25"/>
    <w:rsid w:val="1ACBBA46"/>
    <w:rsid w:val="1ACCF173"/>
    <w:rsid w:val="1ACD262F"/>
    <w:rsid w:val="1ACDC5E0"/>
    <w:rsid w:val="1ACFFB6B"/>
    <w:rsid w:val="1AD29A28"/>
    <w:rsid w:val="1AD2CEBC"/>
    <w:rsid w:val="1AD3B172"/>
    <w:rsid w:val="1AD57EFB"/>
    <w:rsid w:val="1AD5AA9E"/>
    <w:rsid w:val="1AD63F6B"/>
    <w:rsid w:val="1AD656BB"/>
    <w:rsid w:val="1AD67E4A"/>
    <w:rsid w:val="1AD9880C"/>
    <w:rsid w:val="1ADAB299"/>
    <w:rsid w:val="1ADD946E"/>
    <w:rsid w:val="1ADDF136"/>
    <w:rsid w:val="1ADE38D9"/>
    <w:rsid w:val="1ADEA778"/>
    <w:rsid w:val="1ADF5F00"/>
    <w:rsid w:val="1ADF699A"/>
    <w:rsid w:val="1ADFDE1F"/>
    <w:rsid w:val="1AE07712"/>
    <w:rsid w:val="1AE16500"/>
    <w:rsid w:val="1AE778B6"/>
    <w:rsid w:val="1AE8203D"/>
    <w:rsid w:val="1AE893AE"/>
    <w:rsid w:val="1AEBF3A0"/>
    <w:rsid w:val="1AEEF416"/>
    <w:rsid w:val="1AEF52E8"/>
    <w:rsid w:val="1AF279C3"/>
    <w:rsid w:val="1AF3EAEA"/>
    <w:rsid w:val="1AF50C1E"/>
    <w:rsid w:val="1AF53899"/>
    <w:rsid w:val="1AF5CC9A"/>
    <w:rsid w:val="1AF5EAA9"/>
    <w:rsid w:val="1AF60ACE"/>
    <w:rsid w:val="1AF90B5F"/>
    <w:rsid w:val="1AFBBC6F"/>
    <w:rsid w:val="1AFD1BE8"/>
    <w:rsid w:val="1AFED9C0"/>
    <w:rsid w:val="1AFEF51F"/>
    <w:rsid w:val="1B0663D5"/>
    <w:rsid w:val="1B098DF8"/>
    <w:rsid w:val="1B0AE009"/>
    <w:rsid w:val="1B0BC7DC"/>
    <w:rsid w:val="1B0C40CF"/>
    <w:rsid w:val="1B0F0DAE"/>
    <w:rsid w:val="1B112FC5"/>
    <w:rsid w:val="1B1301AA"/>
    <w:rsid w:val="1B13C184"/>
    <w:rsid w:val="1B148058"/>
    <w:rsid w:val="1B16B77A"/>
    <w:rsid w:val="1B1A8196"/>
    <w:rsid w:val="1B1B6684"/>
    <w:rsid w:val="1B1DA9BE"/>
    <w:rsid w:val="1B205CB0"/>
    <w:rsid w:val="1B2163ED"/>
    <w:rsid w:val="1B2266BD"/>
    <w:rsid w:val="1B229A28"/>
    <w:rsid w:val="1B245BEA"/>
    <w:rsid w:val="1B2589D9"/>
    <w:rsid w:val="1B268A2B"/>
    <w:rsid w:val="1B2767A5"/>
    <w:rsid w:val="1B27D37C"/>
    <w:rsid w:val="1B27EFE3"/>
    <w:rsid w:val="1B28A116"/>
    <w:rsid w:val="1B28FF28"/>
    <w:rsid w:val="1B2AF54C"/>
    <w:rsid w:val="1B2BD489"/>
    <w:rsid w:val="1B2C5643"/>
    <w:rsid w:val="1B2C9D5E"/>
    <w:rsid w:val="1B2CFD76"/>
    <w:rsid w:val="1B303E3F"/>
    <w:rsid w:val="1B311704"/>
    <w:rsid w:val="1B316B32"/>
    <w:rsid w:val="1B32E64A"/>
    <w:rsid w:val="1B32F4FA"/>
    <w:rsid w:val="1B33E3B3"/>
    <w:rsid w:val="1B345B6A"/>
    <w:rsid w:val="1B355506"/>
    <w:rsid w:val="1B3572AA"/>
    <w:rsid w:val="1B36D6D4"/>
    <w:rsid w:val="1B38BF7E"/>
    <w:rsid w:val="1B3A2F24"/>
    <w:rsid w:val="1B3A745B"/>
    <w:rsid w:val="1B3B2860"/>
    <w:rsid w:val="1B3BECB6"/>
    <w:rsid w:val="1B3D3622"/>
    <w:rsid w:val="1B3FB5B2"/>
    <w:rsid w:val="1B403E37"/>
    <w:rsid w:val="1B409949"/>
    <w:rsid w:val="1B414ECC"/>
    <w:rsid w:val="1B420D5B"/>
    <w:rsid w:val="1B43EDB0"/>
    <w:rsid w:val="1B4976FE"/>
    <w:rsid w:val="1B49950C"/>
    <w:rsid w:val="1B4AF4DF"/>
    <w:rsid w:val="1B4B14AF"/>
    <w:rsid w:val="1B4CE2BD"/>
    <w:rsid w:val="1B4E1249"/>
    <w:rsid w:val="1B4E6544"/>
    <w:rsid w:val="1B4EC031"/>
    <w:rsid w:val="1B50728D"/>
    <w:rsid w:val="1B50D214"/>
    <w:rsid w:val="1B51433E"/>
    <w:rsid w:val="1B54A864"/>
    <w:rsid w:val="1B55C5E8"/>
    <w:rsid w:val="1B56E0C8"/>
    <w:rsid w:val="1B588F63"/>
    <w:rsid w:val="1B5A36B8"/>
    <w:rsid w:val="1B5A4210"/>
    <w:rsid w:val="1B5B605F"/>
    <w:rsid w:val="1B5D3D2A"/>
    <w:rsid w:val="1B5D8040"/>
    <w:rsid w:val="1B5E29D7"/>
    <w:rsid w:val="1B5E2DD5"/>
    <w:rsid w:val="1B61E6B0"/>
    <w:rsid w:val="1B6286B0"/>
    <w:rsid w:val="1B6342B7"/>
    <w:rsid w:val="1B6342E6"/>
    <w:rsid w:val="1B639D86"/>
    <w:rsid w:val="1B642043"/>
    <w:rsid w:val="1B64A3CF"/>
    <w:rsid w:val="1B657C6D"/>
    <w:rsid w:val="1B65F8D4"/>
    <w:rsid w:val="1B663C22"/>
    <w:rsid w:val="1B6787EB"/>
    <w:rsid w:val="1B68AF5A"/>
    <w:rsid w:val="1B6ECDA0"/>
    <w:rsid w:val="1B6EF628"/>
    <w:rsid w:val="1B727F37"/>
    <w:rsid w:val="1B7297E7"/>
    <w:rsid w:val="1B73DC90"/>
    <w:rsid w:val="1B7562CC"/>
    <w:rsid w:val="1B7D13A5"/>
    <w:rsid w:val="1B8169E2"/>
    <w:rsid w:val="1B81B77E"/>
    <w:rsid w:val="1B828EE9"/>
    <w:rsid w:val="1B84737C"/>
    <w:rsid w:val="1B889C11"/>
    <w:rsid w:val="1B8B2658"/>
    <w:rsid w:val="1B8C00A8"/>
    <w:rsid w:val="1B8CA6E6"/>
    <w:rsid w:val="1B8D5C18"/>
    <w:rsid w:val="1B8E01D6"/>
    <w:rsid w:val="1B8E0314"/>
    <w:rsid w:val="1B8ECEFC"/>
    <w:rsid w:val="1B918B06"/>
    <w:rsid w:val="1B923526"/>
    <w:rsid w:val="1B97A55E"/>
    <w:rsid w:val="1B97BBB3"/>
    <w:rsid w:val="1B98D9D1"/>
    <w:rsid w:val="1B9BADF0"/>
    <w:rsid w:val="1B9BC098"/>
    <w:rsid w:val="1B9E34B2"/>
    <w:rsid w:val="1BA3EB3C"/>
    <w:rsid w:val="1BA66C8E"/>
    <w:rsid w:val="1BA7A656"/>
    <w:rsid w:val="1BA810E8"/>
    <w:rsid w:val="1BA85A65"/>
    <w:rsid w:val="1BA87B42"/>
    <w:rsid w:val="1BA93EB7"/>
    <w:rsid w:val="1BAA59C4"/>
    <w:rsid w:val="1BABFF50"/>
    <w:rsid w:val="1BAC55E4"/>
    <w:rsid w:val="1BAD9D58"/>
    <w:rsid w:val="1BB2E406"/>
    <w:rsid w:val="1BB359E4"/>
    <w:rsid w:val="1BB43FE0"/>
    <w:rsid w:val="1BB8BEA3"/>
    <w:rsid w:val="1BBADA30"/>
    <w:rsid w:val="1BBB75C9"/>
    <w:rsid w:val="1BBC9D76"/>
    <w:rsid w:val="1BC00048"/>
    <w:rsid w:val="1BC44D47"/>
    <w:rsid w:val="1BC4D5DB"/>
    <w:rsid w:val="1BC7D71D"/>
    <w:rsid w:val="1BC913A6"/>
    <w:rsid w:val="1BC9694C"/>
    <w:rsid w:val="1BCB80D5"/>
    <w:rsid w:val="1BCC5580"/>
    <w:rsid w:val="1BCD44C4"/>
    <w:rsid w:val="1BCDBF2E"/>
    <w:rsid w:val="1BCE4022"/>
    <w:rsid w:val="1BD10163"/>
    <w:rsid w:val="1BD1BD9F"/>
    <w:rsid w:val="1BD29933"/>
    <w:rsid w:val="1BD46B1F"/>
    <w:rsid w:val="1BD653EE"/>
    <w:rsid w:val="1BD7BF6A"/>
    <w:rsid w:val="1BD7CB32"/>
    <w:rsid w:val="1BD83179"/>
    <w:rsid w:val="1BD886BC"/>
    <w:rsid w:val="1BD8F2BF"/>
    <w:rsid w:val="1BDD101E"/>
    <w:rsid w:val="1BDD75A4"/>
    <w:rsid w:val="1BDE9B06"/>
    <w:rsid w:val="1BDFC440"/>
    <w:rsid w:val="1BE3DCFA"/>
    <w:rsid w:val="1BE416DF"/>
    <w:rsid w:val="1BE9831E"/>
    <w:rsid w:val="1BEB514D"/>
    <w:rsid w:val="1BED6D50"/>
    <w:rsid w:val="1BEE5106"/>
    <w:rsid w:val="1BEF840A"/>
    <w:rsid w:val="1BF051EA"/>
    <w:rsid w:val="1BF20057"/>
    <w:rsid w:val="1BF2A3B4"/>
    <w:rsid w:val="1BF76E96"/>
    <w:rsid w:val="1BF84D00"/>
    <w:rsid w:val="1BFC2C27"/>
    <w:rsid w:val="1BFC8B2D"/>
    <w:rsid w:val="1BFD3F3C"/>
    <w:rsid w:val="1C01EFEE"/>
    <w:rsid w:val="1C026889"/>
    <w:rsid w:val="1C03BCF9"/>
    <w:rsid w:val="1C041260"/>
    <w:rsid w:val="1C0614A4"/>
    <w:rsid w:val="1C0BD375"/>
    <w:rsid w:val="1C0D306F"/>
    <w:rsid w:val="1C0D8340"/>
    <w:rsid w:val="1C0E2543"/>
    <w:rsid w:val="1C11C878"/>
    <w:rsid w:val="1C1418BF"/>
    <w:rsid w:val="1C1658E8"/>
    <w:rsid w:val="1C173C79"/>
    <w:rsid w:val="1C187A21"/>
    <w:rsid w:val="1C19CFE0"/>
    <w:rsid w:val="1C1D4BAD"/>
    <w:rsid w:val="1C1DC2D9"/>
    <w:rsid w:val="1C1FDAB5"/>
    <w:rsid w:val="1C21606B"/>
    <w:rsid w:val="1C259A01"/>
    <w:rsid w:val="1C284D27"/>
    <w:rsid w:val="1C29ABFA"/>
    <w:rsid w:val="1C2B7954"/>
    <w:rsid w:val="1C2C7B9A"/>
    <w:rsid w:val="1C2D14C9"/>
    <w:rsid w:val="1C2D3236"/>
    <w:rsid w:val="1C2E7E2D"/>
    <w:rsid w:val="1C30E6A5"/>
    <w:rsid w:val="1C31ED56"/>
    <w:rsid w:val="1C33F366"/>
    <w:rsid w:val="1C34B0FD"/>
    <w:rsid w:val="1C3587BB"/>
    <w:rsid w:val="1C38803E"/>
    <w:rsid w:val="1C39A442"/>
    <w:rsid w:val="1C40B2E1"/>
    <w:rsid w:val="1C427F25"/>
    <w:rsid w:val="1C42E907"/>
    <w:rsid w:val="1C435905"/>
    <w:rsid w:val="1C43A357"/>
    <w:rsid w:val="1C447111"/>
    <w:rsid w:val="1C44E503"/>
    <w:rsid w:val="1C4690C7"/>
    <w:rsid w:val="1C484867"/>
    <w:rsid w:val="1C492CA7"/>
    <w:rsid w:val="1C49A556"/>
    <w:rsid w:val="1C4B25FE"/>
    <w:rsid w:val="1C4C1DEE"/>
    <w:rsid w:val="1C4C3C4F"/>
    <w:rsid w:val="1C4C5415"/>
    <w:rsid w:val="1C4C60D7"/>
    <w:rsid w:val="1C4D6296"/>
    <w:rsid w:val="1C50E9C6"/>
    <w:rsid w:val="1C51BF04"/>
    <w:rsid w:val="1C54F128"/>
    <w:rsid w:val="1C562445"/>
    <w:rsid w:val="1C565AF1"/>
    <w:rsid w:val="1C570BB4"/>
    <w:rsid w:val="1C5758A5"/>
    <w:rsid w:val="1C59FDF1"/>
    <w:rsid w:val="1C5A16B3"/>
    <w:rsid w:val="1C5AB850"/>
    <w:rsid w:val="1C5C4686"/>
    <w:rsid w:val="1C5CEA36"/>
    <w:rsid w:val="1C5E98F1"/>
    <w:rsid w:val="1C5F27D5"/>
    <w:rsid w:val="1C601EC6"/>
    <w:rsid w:val="1C620463"/>
    <w:rsid w:val="1C622E1A"/>
    <w:rsid w:val="1C6316DE"/>
    <w:rsid w:val="1C6552A8"/>
    <w:rsid w:val="1C6CC3F1"/>
    <w:rsid w:val="1C6E4A0E"/>
    <w:rsid w:val="1C6FE121"/>
    <w:rsid w:val="1C70E053"/>
    <w:rsid w:val="1C71A02A"/>
    <w:rsid w:val="1C73D0B8"/>
    <w:rsid w:val="1C74AE58"/>
    <w:rsid w:val="1C75D2BB"/>
    <w:rsid w:val="1C7AF249"/>
    <w:rsid w:val="1C7D1F22"/>
    <w:rsid w:val="1C7D7F66"/>
    <w:rsid w:val="1C808B8A"/>
    <w:rsid w:val="1C8250BC"/>
    <w:rsid w:val="1C829B5D"/>
    <w:rsid w:val="1C835902"/>
    <w:rsid w:val="1C840A09"/>
    <w:rsid w:val="1C84EEAB"/>
    <w:rsid w:val="1C8628DF"/>
    <w:rsid w:val="1C8666F2"/>
    <w:rsid w:val="1C867D8D"/>
    <w:rsid w:val="1C893448"/>
    <w:rsid w:val="1C90560B"/>
    <w:rsid w:val="1C92B6BE"/>
    <w:rsid w:val="1C93A036"/>
    <w:rsid w:val="1C93F7F9"/>
    <w:rsid w:val="1C968C48"/>
    <w:rsid w:val="1C97987B"/>
    <w:rsid w:val="1C99EBCB"/>
    <w:rsid w:val="1C9A03D8"/>
    <w:rsid w:val="1C9A3D0E"/>
    <w:rsid w:val="1C9AA84F"/>
    <w:rsid w:val="1C9B02C1"/>
    <w:rsid w:val="1C9D03B2"/>
    <w:rsid w:val="1CA03C62"/>
    <w:rsid w:val="1CA10BA8"/>
    <w:rsid w:val="1CA77670"/>
    <w:rsid w:val="1CABB7EF"/>
    <w:rsid w:val="1CACCFE2"/>
    <w:rsid w:val="1CAE654B"/>
    <w:rsid w:val="1CB1D100"/>
    <w:rsid w:val="1CB4EED9"/>
    <w:rsid w:val="1CB527BE"/>
    <w:rsid w:val="1CB5E1DA"/>
    <w:rsid w:val="1CB5F647"/>
    <w:rsid w:val="1CB6C4A4"/>
    <w:rsid w:val="1CB75799"/>
    <w:rsid w:val="1CB7BF2F"/>
    <w:rsid w:val="1CB7F5E4"/>
    <w:rsid w:val="1CB82EDC"/>
    <w:rsid w:val="1CBA7D05"/>
    <w:rsid w:val="1CBDBA3E"/>
    <w:rsid w:val="1CBEEB47"/>
    <w:rsid w:val="1CBFCB2A"/>
    <w:rsid w:val="1CC21BEE"/>
    <w:rsid w:val="1CC36B18"/>
    <w:rsid w:val="1CC65268"/>
    <w:rsid w:val="1CC76433"/>
    <w:rsid w:val="1CC9DF6A"/>
    <w:rsid w:val="1CCA1119"/>
    <w:rsid w:val="1CCA8799"/>
    <w:rsid w:val="1CCA87D9"/>
    <w:rsid w:val="1CCA99BE"/>
    <w:rsid w:val="1CCB06C8"/>
    <w:rsid w:val="1CCD08BE"/>
    <w:rsid w:val="1CCD17C9"/>
    <w:rsid w:val="1CCDFBD2"/>
    <w:rsid w:val="1CD29DD0"/>
    <w:rsid w:val="1CD50E18"/>
    <w:rsid w:val="1CD6B0B8"/>
    <w:rsid w:val="1CDABD98"/>
    <w:rsid w:val="1CDB5693"/>
    <w:rsid w:val="1CDB6CBE"/>
    <w:rsid w:val="1CDF76DE"/>
    <w:rsid w:val="1CE10F6A"/>
    <w:rsid w:val="1CE1F894"/>
    <w:rsid w:val="1CE5297B"/>
    <w:rsid w:val="1CE5F311"/>
    <w:rsid w:val="1CE6E2D3"/>
    <w:rsid w:val="1CE8F28A"/>
    <w:rsid w:val="1CEC7781"/>
    <w:rsid w:val="1CED3058"/>
    <w:rsid w:val="1CEFC8E1"/>
    <w:rsid w:val="1CF0231F"/>
    <w:rsid w:val="1CF07F05"/>
    <w:rsid w:val="1CF0F949"/>
    <w:rsid w:val="1CF17FE5"/>
    <w:rsid w:val="1CF325B3"/>
    <w:rsid w:val="1CF39755"/>
    <w:rsid w:val="1CF51348"/>
    <w:rsid w:val="1CF5A953"/>
    <w:rsid w:val="1CF64784"/>
    <w:rsid w:val="1CF6B18F"/>
    <w:rsid w:val="1CF7687F"/>
    <w:rsid w:val="1CF774F4"/>
    <w:rsid w:val="1CF80B2D"/>
    <w:rsid w:val="1CF8E28A"/>
    <w:rsid w:val="1CF8F54F"/>
    <w:rsid w:val="1CFB55BB"/>
    <w:rsid w:val="1CFC11E2"/>
    <w:rsid w:val="1CFD642F"/>
    <w:rsid w:val="1CFD6E5B"/>
    <w:rsid w:val="1CFE827D"/>
    <w:rsid w:val="1CFF9CED"/>
    <w:rsid w:val="1CFFDB8F"/>
    <w:rsid w:val="1D009D67"/>
    <w:rsid w:val="1D01765C"/>
    <w:rsid w:val="1D017EA2"/>
    <w:rsid w:val="1D021A27"/>
    <w:rsid w:val="1D023026"/>
    <w:rsid w:val="1D025B6B"/>
    <w:rsid w:val="1D02F0ED"/>
    <w:rsid w:val="1D039654"/>
    <w:rsid w:val="1D03FEDC"/>
    <w:rsid w:val="1D04C373"/>
    <w:rsid w:val="1D04D3DD"/>
    <w:rsid w:val="1D04D942"/>
    <w:rsid w:val="1D057EA3"/>
    <w:rsid w:val="1D05ABB7"/>
    <w:rsid w:val="1D05F4BC"/>
    <w:rsid w:val="1D063459"/>
    <w:rsid w:val="1D06BBB1"/>
    <w:rsid w:val="1D073190"/>
    <w:rsid w:val="1D0793F8"/>
    <w:rsid w:val="1D0939E4"/>
    <w:rsid w:val="1D0A5480"/>
    <w:rsid w:val="1D0ABCCB"/>
    <w:rsid w:val="1D0AC612"/>
    <w:rsid w:val="1D0AC8E1"/>
    <w:rsid w:val="1D0DA4D1"/>
    <w:rsid w:val="1D10ABB1"/>
    <w:rsid w:val="1D115C33"/>
    <w:rsid w:val="1D11EE65"/>
    <w:rsid w:val="1D12224E"/>
    <w:rsid w:val="1D12D0E1"/>
    <w:rsid w:val="1D136C05"/>
    <w:rsid w:val="1D13A2BD"/>
    <w:rsid w:val="1D14EC77"/>
    <w:rsid w:val="1D153B0F"/>
    <w:rsid w:val="1D156782"/>
    <w:rsid w:val="1D1944D8"/>
    <w:rsid w:val="1D1A03A9"/>
    <w:rsid w:val="1D1B7E80"/>
    <w:rsid w:val="1D1DE866"/>
    <w:rsid w:val="1D2190C5"/>
    <w:rsid w:val="1D222A61"/>
    <w:rsid w:val="1D237366"/>
    <w:rsid w:val="1D242B9F"/>
    <w:rsid w:val="1D24820A"/>
    <w:rsid w:val="1D24BDCB"/>
    <w:rsid w:val="1D255375"/>
    <w:rsid w:val="1D285345"/>
    <w:rsid w:val="1D298A15"/>
    <w:rsid w:val="1D29B021"/>
    <w:rsid w:val="1D2B1E52"/>
    <w:rsid w:val="1D2D83E6"/>
    <w:rsid w:val="1D2F059C"/>
    <w:rsid w:val="1D308364"/>
    <w:rsid w:val="1D317201"/>
    <w:rsid w:val="1D31E7F4"/>
    <w:rsid w:val="1D346D26"/>
    <w:rsid w:val="1D35D77C"/>
    <w:rsid w:val="1D375DD4"/>
    <w:rsid w:val="1D3D7B40"/>
    <w:rsid w:val="1D3DA3C4"/>
    <w:rsid w:val="1D3E5A27"/>
    <w:rsid w:val="1D3EE780"/>
    <w:rsid w:val="1D41A532"/>
    <w:rsid w:val="1D444E1D"/>
    <w:rsid w:val="1D44814C"/>
    <w:rsid w:val="1D4555AA"/>
    <w:rsid w:val="1D473DB1"/>
    <w:rsid w:val="1D47B223"/>
    <w:rsid w:val="1D49792A"/>
    <w:rsid w:val="1D4A5F4A"/>
    <w:rsid w:val="1D4AAB8D"/>
    <w:rsid w:val="1D4B5EB9"/>
    <w:rsid w:val="1D4BA1BA"/>
    <w:rsid w:val="1D4CD26A"/>
    <w:rsid w:val="1D4EAB94"/>
    <w:rsid w:val="1D5237D0"/>
    <w:rsid w:val="1D5257E7"/>
    <w:rsid w:val="1D56555B"/>
    <w:rsid w:val="1D572AD6"/>
    <w:rsid w:val="1D577F04"/>
    <w:rsid w:val="1D58B866"/>
    <w:rsid w:val="1D597A2F"/>
    <w:rsid w:val="1D59C721"/>
    <w:rsid w:val="1D59E9DA"/>
    <w:rsid w:val="1D5A0462"/>
    <w:rsid w:val="1D5BEBF7"/>
    <w:rsid w:val="1D5DC856"/>
    <w:rsid w:val="1D5F7C08"/>
    <w:rsid w:val="1D5FF4C5"/>
    <w:rsid w:val="1D601FDC"/>
    <w:rsid w:val="1D610AF8"/>
    <w:rsid w:val="1D616DBF"/>
    <w:rsid w:val="1D6272F5"/>
    <w:rsid w:val="1D629D6D"/>
    <w:rsid w:val="1D62AD07"/>
    <w:rsid w:val="1D62EA32"/>
    <w:rsid w:val="1D63D60B"/>
    <w:rsid w:val="1D68A74E"/>
    <w:rsid w:val="1D69B977"/>
    <w:rsid w:val="1D69BB4D"/>
    <w:rsid w:val="1D6A3882"/>
    <w:rsid w:val="1D6B3AC5"/>
    <w:rsid w:val="1D6BD88C"/>
    <w:rsid w:val="1D6C141A"/>
    <w:rsid w:val="1D707195"/>
    <w:rsid w:val="1D70DA32"/>
    <w:rsid w:val="1D716D9E"/>
    <w:rsid w:val="1D717C42"/>
    <w:rsid w:val="1D71EB28"/>
    <w:rsid w:val="1D724D44"/>
    <w:rsid w:val="1D72876E"/>
    <w:rsid w:val="1D72E9CE"/>
    <w:rsid w:val="1D779B4D"/>
    <w:rsid w:val="1D79566E"/>
    <w:rsid w:val="1D79D8E5"/>
    <w:rsid w:val="1D79DD64"/>
    <w:rsid w:val="1D7A6A2A"/>
    <w:rsid w:val="1D7B81C4"/>
    <w:rsid w:val="1D7C3900"/>
    <w:rsid w:val="1D7D0D01"/>
    <w:rsid w:val="1D7E0FB9"/>
    <w:rsid w:val="1D806903"/>
    <w:rsid w:val="1D832D7D"/>
    <w:rsid w:val="1D833387"/>
    <w:rsid w:val="1D84DE4B"/>
    <w:rsid w:val="1D85FD0F"/>
    <w:rsid w:val="1D866C47"/>
    <w:rsid w:val="1D86ACEB"/>
    <w:rsid w:val="1D87442E"/>
    <w:rsid w:val="1D877CB5"/>
    <w:rsid w:val="1D878AAE"/>
    <w:rsid w:val="1D89D4E2"/>
    <w:rsid w:val="1D8A7AA1"/>
    <w:rsid w:val="1D8AA0A3"/>
    <w:rsid w:val="1D8D91F8"/>
    <w:rsid w:val="1D8E7415"/>
    <w:rsid w:val="1D8ED49C"/>
    <w:rsid w:val="1D8F9270"/>
    <w:rsid w:val="1D8FFC5C"/>
    <w:rsid w:val="1D8FFCD2"/>
    <w:rsid w:val="1D95AF23"/>
    <w:rsid w:val="1D996615"/>
    <w:rsid w:val="1D9B4E41"/>
    <w:rsid w:val="1D9BE8FE"/>
    <w:rsid w:val="1D9CC014"/>
    <w:rsid w:val="1D9E3BC8"/>
    <w:rsid w:val="1D9EA44B"/>
    <w:rsid w:val="1DA0CB34"/>
    <w:rsid w:val="1DA18E4A"/>
    <w:rsid w:val="1DA1ACAF"/>
    <w:rsid w:val="1DA4FC54"/>
    <w:rsid w:val="1DA54F0A"/>
    <w:rsid w:val="1DA6598A"/>
    <w:rsid w:val="1DA752A7"/>
    <w:rsid w:val="1DA78AA7"/>
    <w:rsid w:val="1DA8AAD6"/>
    <w:rsid w:val="1DA8BF13"/>
    <w:rsid w:val="1DA90E8F"/>
    <w:rsid w:val="1DA975DC"/>
    <w:rsid w:val="1DA9E770"/>
    <w:rsid w:val="1DACAFBE"/>
    <w:rsid w:val="1DACE620"/>
    <w:rsid w:val="1DACE9DA"/>
    <w:rsid w:val="1DAE6654"/>
    <w:rsid w:val="1DB085A4"/>
    <w:rsid w:val="1DB15685"/>
    <w:rsid w:val="1DB26758"/>
    <w:rsid w:val="1DB37263"/>
    <w:rsid w:val="1DB6913A"/>
    <w:rsid w:val="1DB818AB"/>
    <w:rsid w:val="1DB83599"/>
    <w:rsid w:val="1DB9305E"/>
    <w:rsid w:val="1DBA7D01"/>
    <w:rsid w:val="1DBB0DC8"/>
    <w:rsid w:val="1DBC7855"/>
    <w:rsid w:val="1DBDCDF2"/>
    <w:rsid w:val="1DBEA968"/>
    <w:rsid w:val="1DC1E47A"/>
    <w:rsid w:val="1DC21D0A"/>
    <w:rsid w:val="1DC2F545"/>
    <w:rsid w:val="1DC9497F"/>
    <w:rsid w:val="1DCA6530"/>
    <w:rsid w:val="1DCB4475"/>
    <w:rsid w:val="1DD07C9F"/>
    <w:rsid w:val="1DD22776"/>
    <w:rsid w:val="1DD595EE"/>
    <w:rsid w:val="1DD5B931"/>
    <w:rsid w:val="1DD7AC2B"/>
    <w:rsid w:val="1DDE4FB0"/>
    <w:rsid w:val="1DDF2987"/>
    <w:rsid w:val="1DDF5B3E"/>
    <w:rsid w:val="1DE175D4"/>
    <w:rsid w:val="1DE47DCB"/>
    <w:rsid w:val="1DE64B0C"/>
    <w:rsid w:val="1DE8F846"/>
    <w:rsid w:val="1DE972BC"/>
    <w:rsid w:val="1DEA30E4"/>
    <w:rsid w:val="1DEB153D"/>
    <w:rsid w:val="1DEB72AC"/>
    <w:rsid w:val="1DEDCECC"/>
    <w:rsid w:val="1DEE36A8"/>
    <w:rsid w:val="1DEF6753"/>
    <w:rsid w:val="1DF07741"/>
    <w:rsid w:val="1DF0F4A6"/>
    <w:rsid w:val="1DF1ABAE"/>
    <w:rsid w:val="1DF37202"/>
    <w:rsid w:val="1DF4C95C"/>
    <w:rsid w:val="1DF64CB6"/>
    <w:rsid w:val="1DF88547"/>
    <w:rsid w:val="1DF935DC"/>
    <w:rsid w:val="1DF9DF96"/>
    <w:rsid w:val="1DF9F83F"/>
    <w:rsid w:val="1DFB4073"/>
    <w:rsid w:val="1DFC821B"/>
    <w:rsid w:val="1DFCD31D"/>
    <w:rsid w:val="1E00996A"/>
    <w:rsid w:val="1E01C811"/>
    <w:rsid w:val="1E042520"/>
    <w:rsid w:val="1E06D80E"/>
    <w:rsid w:val="1E07C38E"/>
    <w:rsid w:val="1E088F22"/>
    <w:rsid w:val="1E08E8D6"/>
    <w:rsid w:val="1E0AADC4"/>
    <w:rsid w:val="1E0B617C"/>
    <w:rsid w:val="1E0FC412"/>
    <w:rsid w:val="1E13F93A"/>
    <w:rsid w:val="1E158F14"/>
    <w:rsid w:val="1E16177D"/>
    <w:rsid w:val="1E17DC1D"/>
    <w:rsid w:val="1E18F743"/>
    <w:rsid w:val="1E190584"/>
    <w:rsid w:val="1E190FD2"/>
    <w:rsid w:val="1E19B769"/>
    <w:rsid w:val="1E19F331"/>
    <w:rsid w:val="1E1C3290"/>
    <w:rsid w:val="1E1E7A4C"/>
    <w:rsid w:val="1E1F678F"/>
    <w:rsid w:val="1E204A5E"/>
    <w:rsid w:val="1E22ECFC"/>
    <w:rsid w:val="1E23063B"/>
    <w:rsid w:val="1E2452DF"/>
    <w:rsid w:val="1E24A897"/>
    <w:rsid w:val="1E26E7E5"/>
    <w:rsid w:val="1E275585"/>
    <w:rsid w:val="1E281E88"/>
    <w:rsid w:val="1E2A0BA7"/>
    <w:rsid w:val="1E2BD7DC"/>
    <w:rsid w:val="1E2CA4A3"/>
    <w:rsid w:val="1E2E4C8E"/>
    <w:rsid w:val="1E30B793"/>
    <w:rsid w:val="1E30F762"/>
    <w:rsid w:val="1E32EA5E"/>
    <w:rsid w:val="1E360E91"/>
    <w:rsid w:val="1E362227"/>
    <w:rsid w:val="1E36A6E6"/>
    <w:rsid w:val="1E37900C"/>
    <w:rsid w:val="1E39B190"/>
    <w:rsid w:val="1E3A8F72"/>
    <w:rsid w:val="1E3B8A45"/>
    <w:rsid w:val="1E3BE9D2"/>
    <w:rsid w:val="1E3CAF82"/>
    <w:rsid w:val="1E3F594E"/>
    <w:rsid w:val="1E41E216"/>
    <w:rsid w:val="1E48B432"/>
    <w:rsid w:val="1E4AE0F2"/>
    <w:rsid w:val="1E4B4062"/>
    <w:rsid w:val="1E4C1087"/>
    <w:rsid w:val="1E4DAB94"/>
    <w:rsid w:val="1E507FA3"/>
    <w:rsid w:val="1E54A872"/>
    <w:rsid w:val="1E57803F"/>
    <w:rsid w:val="1E58E026"/>
    <w:rsid w:val="1E58E20B"/>
    <w:rsid w:val="1E594803"/>
    <w:rsid w:val="1E59E348"/>
    <w:rsid w:val="1E5D2003"/>
    <w:rsid w:val="1E5E70EF"/>
    <w:rsid w:val="1E5EAE58"/>
    <w:rsid w:val="1E5FC5AF"/>
    <w:rsid w:val="1E615F0D"/>
    <w:rsid w:val="1E62B75B"/>
    <w:rsid w:val="1E6353FA"/>
    <w:rsid w:val="1E637628"/>
    <w:rsid w:val="1E63CAC5"/>
    <w:rsid w:val="1E6B9215"/>
    <w:rsid w:val="1E6F86C1"/>
    <w:rsid w:val="1E70BED6"/>
    <w:rsid w:val="1E71108F"/>
    <w:rsid w:val="1E7526C2"/>
    <w:rsid w:val="1E77775C"/>
    <w:rsid w:val="1E7AC3CB"/>
    <w:rsid w:val="1E7EF8B3"/>
    <w:rsid w:val="1E804F0E"/>
    <w:rsid w:val="1E81D654"/>
    <w:rsid w:val="1E82BA76"/>
    <w:rsid w:val="1E83D32E"/>
    <w:rsid w:val="1E843E0C"/>
    <w:rsid w:val="1E861015"/>
    <w:rsid w:val="1E881759"/>
    <w:rsid w:val="1E8906BC"/>
    <w:rsid w:val="1E89CF75"/>
    <w:rsid w:val="1E8AAD80"/>
    <w:rsid w:val="1E8ABF4B"/>
    <w:rsid w:val="1E8C4345"/>
    <w:rsid w:val="1E8D787D"/>
    <w:rsid w:val="1E8D882A"/>
    <w:rsid w:val="1E8F6917"/>
    <w:rsid w:val="1E8FD43F"/>
    <w:rsid w:val="1E90DFBB"/>
    <w:rsid w:val="1E92199A"/>
    <w:rsid w:val="1E949BB4"/>
    <w:rsid w:val="1E9505DD"/>
    <w:rsid w:val="1E961C60"/>
    <w:rsid w:val="1E9634BA"/>
    <w:rsid w:val="1E999389"/>
    <w:rsid w:val="1E9ADA4F"/>
    <w:rsid w:val="1E9CDE31"/>
    <w:rsid w:val="1E9D16E7"/>
    <w:rsid w:val="1E9E6A61"/>
    <w:rsid w:val="1EA0427D"/>
    <w:rsid w:val="1EA1B47B"/>
    <w:rsid w:val="1EA585EE"/>
    <w:rsid w:val="1EA615DA"/>
    <w:rsid w:val="1EA63CD2"/>
    <w:rsid w:val="1EA742E4"/>
    <w:rsid w:val="1EA74387"/>
    <w:rsid w:val="1EA98195"/>
    <w:rsid w:val="1EA9B700"/>
    <w:rsid w:val="1EAABC71"/>
    <w:rsid w:val="1EAC6A0D"/>
    <w:rsid w:val="1EAC7C12"/>
    <w:rsid w:val="1EAEA142"/>
    <w:rsid w:val="1EAEEE42"/>
    <w:rsid w:val="1EB0CCAB"/>
    <w:rsid w:val="1EB13029"/>
    <w:rsid w:val="1EB2E8EA"/>
    <w:rsid w:val="1EB338AE"/>
    <w:rsid w:val="1EB45134"/>
    <w:rsid w:val="1EB7083A"/>
    <w:rsid w:val="1EB91A75"/>
    <w:rsid w:val="1EBFFD4C"/>
    <w:rsid w:val="1EC5E697"/>
    <w:rsid w:val="1ECA8B43"/>
    <w:rsid w:val="1ECCE6C0"/>
    <w:rsid w:val="1ECE6884"/>
    <w:rsid w:val="1ED28AA9"/>
    <w:rsid w:val="1ED2B68A"/>
    <w:rsid w:val="1ED4B388"/>
    <w:rsid w:val="1ED58AB8"/>
    <w:rsid w:val="1EDC79B9"/>
    <w:rsid w:val="1EDCF3E7"/>
    <w:rsid w:val="1EE188D3"/>
    <w:rsid w:val="1EE41FE6"/>
    <w:rsid w:val="1EE4C656"/>
    <w:rsid w:val="1EE70CF8"/>
    <w:rsid w:val="1EE7385F"/>
    <w:rsid w:val="1EE88AE0"/>
    <w:rsid w:val="1EE8D178"/>
    <w:rsid w:val="1EE9DA99"/>
    <w:rsid w:val="1EE9E424"/>
    <w:rsid w:val="1EEA9980"/>
    <w:rsid w:val="1EEBB189"/>
    <w:rsid w:val="1EEBCB01"/>
    <w:rsid w:val="1EEBF957"/>
    <w:rsid w:val="1EEBFC65"/>
    <w:rsid w:val="1EEDCABB"/>
    <w:rsid w:val="1EF2E8B9"/>
    <w:rsid w:val="1EF3DDC1"/>
    <w:rsid w:val="1EF4B05A"/>
    <w:rsid w:val="1EF51AB6"/>
    <w:rsid w:val="1EF66437"/>
    <w:rsid w:val="1EF9C2A3"/>
    <w:rsid w:val="1EFF5EB7"/>
    <w:rsid w:val="1EFF979B"/>
    <w:rsid w:val="1EFFDB4D"/>
    <w:rsid w:val="1F01A71A"/>
    <w:rsid w:val="1F01ED0F"/>
    <w:rsid w:val="1F02E223"/>
    <w:rsid w:val="1F02FF86"/>
    <w:rsid w:val="1F038245"/>
    <w:rsid w:val="1F041F26"/>
    <w:rsid w:val="1F04D5DD"/>
    <w:rsid w:val="1F081DC7"/>
    <w:rsid w:val="1F0BBA51"/>
    <w:rsid w:val="1F0CDFCC"/>
    <w:rsid w:val="1F129F81"/>
    <w:rsid w:val="1F15D327"/>
    <w:rsid w:val="1F1604AF"/>
    <w:rsid w:val="1F16A46A"/>
    <w:rsid w:val="1F17F4A7"/>
    <w:rsid w:val="1F18009B"/>
    <w:rsid w:val="1F190A72"/>
    <w:rsid w:val="1F1E7A71"/>
    <w:rsid w:val="1F1F6425"/>
    <w:rsid w:val="1F222F77"/>
    <w:rsid w:val="1F227FAC"/>
    <w:rsid w:val="1F23B56A"/>
    <w:rsid w:val="1F259717"/>
    <w:rsid w:val="1F25C22E"/>
    <w:rsid w:val="1F260776"/>
    <w:rsid w:val="1F29DB13"/>
    <w:rsid w:val="1F2A64B8"/>
    <w:rsid w:val="1F2AA9D1"/>
    <w:rsid w:val="1F2AAC41"/>
    <w:rsid w:val="1F2BB67B"/>
    <w:rsid w:val="1F2C1563"/>
    <w:rsid w:val="1F2CE56B"/>
    <w:rsid w:val="1F311FE4"/>
    <w:rsid w:val="1F31BEA3"/>
    <w:rsid w:val="1F324760"/>
    <w:rsid w:val="1F3380AA"/>
    <w:rsid w:val="1F344A23"/>
    <w:rsid w:val="1F348A0C"/>
    <w:rsid w:val="1F377709"/>
    <w:rsid w:val="1F38E324"/>
    <w:rsid w:val="1F3984D9"/>
    <w:rsid w:val="1F3AE292"/>
    <w:rsid w:val="1F3BB945"/>
    <w:rsid w:val="1F3E3DDE"/>
    <w:rsid w:val="1F3F7185"/>
    <w:rsid w:val="1F422805"/>
    <w:rsid w:val="1F465464"/>
    <w:rsid w:val="1F46A42F"/>
    <w:rsid w:val="1F46F800"/>
    <w:rsid w:val="1F4A7FA8"/>
    <w:rsid w:val="1F4C6A7E"/>
    <w:rsid w:val="1F4CCA65"/>
    <w:rsid w:val="1F4EFBF1"/>
    <w:rsid w:val="1F514327"/>
    <w:rsid w:val="1F523C6E"/>
    <w:rsid w:val="1F527F89"/>
    <w:rsid w:val="1F54BFB1"/>
    <w:rsid w:val="1F54C2C0"/>
    <w:rsid w:val="1F57DDCD"/>
    <w:rsid w:val="1F598B73"/>
    <w:rsid w:val="1F59A1E8"/>
    <w:rsid w:val="1F59D181"/>
    <w:rsid w:val="1F5B0464"/>
    <w:rsid w:val="1F5BE09A"/>
    <w:rsid w:val="1F5CF4FA"/>
    <w:rsid w:val="1F5D3688"/>
    <w:rsid w:val="1F5D6400"/>
    <w:rsid w:val="1F5D8078"/>
    <w:rsid w:val="1F5E4912"/>
    <w:rsid w:val="1F61F369"/>
    <w:rsid w:val="1F640775"/>
    <w:rsid w:val="1F66361A"/>
    <w:rsid w:val="1F687FF6"/>
    <w:rsid w:val="1F6C455C"/>
    <w:rsid w:val="1F6C7EA3"/>
    <w:rsid w:val="1F6E0432"/>
    <w:rsid w:val="1F6E8532"/>
    <w:rsid w:val="1F6FFF16"/>
    <w:rsid w:val="1F701340"/>
    <w:rsid w:val="1F74C606"/>
    <w:rsid w:val="1F763156"/>
    <w:rsid w:val="1F7724D4"/>
    <w:rsid w:val="1F77885A"/>
    <w:rsid w:val="1F783CD2"/>
    <w:rsid w:val="1F79D32C"/>
    <w:rsid w:val="1F7A40D6"/>
    <w:rsid w:val="1F7C4352"/>
    <w:rsid w:val="1F7D4635"/>
    <w:rsid w:val="1F7EBBEA"/>
    <w:rsid w:val="1F80D79E"/>
    <w:rsid w:val="1F80F598"/>
    <w:rsid w:val="1F81B4B7"/>
    <w:rsid w:val="1F81E783"/>
    <w:rsid w:val="1F82B60C"/>
    <w:rsid w:val="1F830B9A"/>
    <w:rsid w:val="1F84EBC8"/>
    <w:rsid w:val="1F86B376"/>
    <w:rsid w:val="1F8AC47F"/>
    <w:rsid w:val="1F8BF6E7"/>
    <w:rsid w:val="1F8C4F69"/>
    <w:rsid w:val="1F8D65D0"/>
    <w:rsid w:val="1F90DC85"/>
    <w:rsid w:val="1F91DE37"/>
    <w:rsid w:val="1F9536B0"/>
    <w:rsid w:val="1F961A03"/>
    <w:rsid w:val="1F966088"/>
    <w:rsid w:val="1F9714F0"/>
    <w:rsid w:val="1F97655D"/>
    <w:rsid w:val="1F99B3C9"/>
    <w:rsid w:val="1F9C3912"/>
    <w:rsid w:val="1F9DCD79"/>
    <w:rsid w:val="1F9E34B6"/>
    <w:rsid w:val="1F9EDDC6"/>
    <w:rsid w:val="1FA5647F"/>
    <w:rsid w:val="1FA73648"/>
    <w:rsid w:val="1FA834DA"/>
    <w:rsid w:val="1FA836EF"/>
    <w:rsid w:val="1FAA4AE1"/>
    <w:rsid w:val="1FACE2D4"/>
    <w:rsid w:val="1FB11AB0"/>
    <w:rsid w:val="1FB4B987"/>
    <w:rsid w:val="1FB50464"/>
    <w:rsid w:val="1FB5F2EE"/>
    <w:rsid w:val="1FB7B2CC"/>
    <w:rsid w:val="1FB9C78D"/>
    <w:rsid w:val="1FBA4ABD"/>
    <w:rsid w:val="1FBE3271"/>
    <w:rsid w:val="1FBF0B42"/>
    <w:rsid w:val="1FBF13C3"/>
    <w:rsid w:val="1FBF7A6B"/>
    <w:rsid w:val="1FBFAADC"/>
    <w:rsid w:val="1FBFBDDC"/>
    <w:rsid w:val="1FC3B5C2"/>
    <w:rsid w:val="1FC7A431"/>
    <w:rsid w:val="1FC92014"/>
    <w:rsid w:val="1FCAEBEA"/>
    <w:rsid w:val="1FCE9586"/>
    <w:rsid w:val="1FCFDCF9"/>
    <w:rsid w:val="1FCFFB0A"/>
    <w:rsid w:val="1FD1477A"/>
    <w:rsid w:val="1FD21B09"/>
    <w:rsid w:val="1FD261D9"/>
    <w:rsid w:val="1FD37DC9"/>
    <w:rsid w:val="1FD46A56"/>
    <w:rsid w:val="1FD6C04E"/>
    <w:rsid w:val="1FD6C4EB"/>
    <w:rsid w:val="1FD71AFD"/>
    <w:rsid w:val="1FD80290"/>
    <w:rsid w:val="1FD97EA8"/>
    <w:rsid w:val="1FD9AC7C"/>
    <w:rsid w:val="1FD9E0C8"/>
    <w:rsid w:val="1FD9F6B1"/>
    <w:rsid w:val="1FDE2238"/>
    <w:rsid w:val="1FDE5D3C"/>
    <w:rsid w:val="1FDE758D"/>
    <w:rsid w:val="1FE0FC3B"/>
    <w:rsid w:val="1FE0FE0C"/>
    <w:rsid w:val="1FE53369"/>
    <w:rsid w:val="1FE5A7C6"/>
    <w:rsid w:val="1FE7AE4E"/>
    <w:rsid w:val="1FE82B41"/>
    <w:rsid w:val="1FEAFF56"/>
    <w:rsid w:val="1FEB0D95"/>
    <w:rsid w:val="1FEE5F9F"/>
    <w:rsid w:val="1FEFC27D"/>
    <w:rsid w:val="1FF03561"/>
    <w:rsid w:val="1FF09969"/>
    <w:rsid w:val="1FF10C0C"/>
    <w:rsid w:val="1FF19F95"/>
    <w:rsid w:val="1FF2E07A"/>
    <w:rsid w:val="1FF6BD18"/>
    <w:rsid w:val="1FF76114"/>
    <w:rsid w:val="1FF7769A"/>
    <w:rsid w:val="1FF90DA3"/>
    <w:rsid w:val="1FF93404"/>
    <w:rsid w:val="1FFBB8FF"/>
    <w:rsid w:val="1FFBE29E"/>
    <w:rsid w:val="1FFE8CB5"/>
    <w:rsid w:val="1FFEBFDF"/>
    <w:rsid w:val="2001790C"/>
    <w:rsid w:val="2001A996"/>
    <w:rsid w:val="20040A6E"/>
    <w:rsid w:val="20045200"/>
    <w:rsid w:val="20066EF7"/>
    <w:rsid w:val="200A6A73"/>
    <w:rsid w:val="200AAD09"/>
    <w:rsid w:val="200ECE6F"/>
    <w:rsid w:val="2013B56F"/>
    <w:rsid w:val="2015043B"/>
    <w:rsid w:val="201645DA"/>
    <w:rsid w:val="2017BB40"/>
    <w:rsid w:val="20191206"/>
    <w:rsid w:val="2019D9A4"/>
    <w:rsid w:val="201CB82E"/>
    <w:rsid w:val="201CD871"/>
    <w:rsid w:val="201D0363"/>
    <w:rsid w:val="201D0F28"/>
    <w:rsid w:val="201D8035"/>
    <w:rsid w:val="201EB34F"/>
    <w:rsid w:val="201F1661"/>
    <w:rsid w:val="20202C6A"/>
    <w:rsid w:val="202142CE"/>
    <w:rsid w:val="202499EE"/>
    <w:rsid w:val="202674B6"/>
    <w:rsid w:val="2026D0AC"/>
    <w:rsid w:val="2028F0EA"/>
    <w:rsid w:val="2029E6CB"/>
    <w:rsid w:val="202B0F56"/>
    <w:rsid w:val="202BA415"/>
    <w:rsid w:val="202CF7BD"/>
    <w:rsid w:val="202D2980"/>
    <w:rsid w:val="202F723B"/>
    <w:rsid w:val="20307F9A"/>
    <w:rsid w:val="2032BC4A"/>
    <w:rsid w:val="2034D8FD"/>
    <w:rsid w:val="2038DCA3"/>
    <w:rsid w:val="2038E946"/>
    <w:rsid w:val="203968A7"/>
    <w:rsid w:val="203AAD24"/>
    <w:rsid w:val="203BCD6D"/>
    <w:rsid w:val="203E01F5"/>
    <w:rsid w:val="203FEBBA"/>
    <w:rsid w:val="20442A51"/>
    <w:rsid w:val="2046C23B"/>
    <w:rsid w:val="20484C73"/>
    <w:rsid w:val="20495776"/>
    <w:rsid w:val="204A9F3A"/>
    <w:rsid w:val="204B6C13"/>
    <w:rsid w:val="204BAAC1"/>
    <w:rsid w:val="204BD5BD"/>
    <w:rsid w:val="204C6C13"/>
    <w:rsid w:val="204E399C"/>
    <w:rsid w:val="204E6353"/>
    <w:rsid w:val="204E8FF1"/>
    <w:rsid w:val="204F79F3"/>
    <w:rsid w:val="204FB255"/>
    <w:rsid w:val="20507EA9"/>
    <w:rsid w:val="2050E323"/>
    <w:rsid w:val="2052DE9A"/>
    <w:rsid w:val="2054E594"/>
    <w:rsid w:val="20576849"/>
    <w:rsid w:val="20584315"/>
    <w:rsid w:val="205916D9"/>
    <w:rsid w:val="2059D622"/>
    <w:rsid w:val="205A7550"/>
    <w:rsid w:val="205B6818"/>
    <w:rsid w:val="205BB871"/>
    <w:rsid w:val="205D066A"/>
    <w:rsid w:val="205F1DD2"/>
    <w:rsid w:val="20601200"/>
    <w:rsid w:val="20607151"/>
    <w:rsid w:val="206172AC"/>
    <w:rsid w:val="20648221"/>
    <w:rsid w:val="2068E537"/>
    <w:rsid w:val="20698ED7"/>
    <w:rsid w:val="206AD47A"/>
    <w:rsid w:val="206BE91A"/>
    <w:rsid w:val="206D0304"/>
    <w:rsid w:val="20704405"/>
    <w:rsid w:val="2070733E"/>
    <w:rsid w:val="20715A78"/>
    <w:rsid w:val="2073CE99"/>
    <w:rsid w:val="20754054"/>
    <w:rsid w:val="2077DFCF"/>
    <w:rsid w:val="207BA371"/>
    <w:rsid w:val="207BE8BE"/>
    <w:rsid w:val="207C7823"/>
    <w:rsid w:val="207E8EAD"/>
    <w:rsid w:val="207F0DA4"/>
    <w:rsid w:val="2080446A"/>
    <w:rsid w:val="2081F6E2"/>
    <w:rsid w:val="2084ECAB"/>
    <w:rsid w:val="208653AD"/>
    <w:rsid w:val="20883D14"/>
    <w:rsid w:val="208B5688"/>
    <w:rsid w:val="208CA863"/>
    <w:rsid w:val="208CACCC"/>
    <w:rsid w:val="208CBA4B"/>
    <w:rsid w:val="208CE1B1"/>
    <w:rsid w:val="208E3F38"/>
    <w:rsid w:val="208ED05C"/>
    <w:rsid w:val="2090F446"/>
    <w:rsid w:val="209162BE"/>
    <w:rsid w:val="20917F6E"/>
    <w:rsid w:val="20919AD2"/>
    <w:rsid w:val="2093E727"/>
    <w:rsid w:val="20947F70"/>
    <w:rsid w:val="20956846"/>
    <w:rsid w:val="2096D440"/>
    <w:rsid w:val="2097FF13"/>
    <w:rsid w:val="209C1A3D"/>
    <w:rsid w:val="209C44E5"/>
    <w:rsid w:val="209D2234"/>
    <w:rsid w:val="209D9B80"/>
    <w:rsid w:val="209E3C86"/>
    <w:rsid w:val="20A274C3"/>
    <w:rsid w:val="20A313F5"/>
    <w:rsid w:val="20AB75E6"/>
    <w:rsid w:val="20ABAE1F"/>
    <w:rsid w:val="20ABC30F"/>
    <w:rsid w:val="20AD709D"/>
    <w:rsid w:val="20AF6DBE"/>
    <w:rsid w:val="20AFB72F"/>
    <w:rsid w:val="20B4041F"/>
    <w:rsid w:val="20B5D11A"/>
    <w:rsid w:val="20B61AE2"/>
    <w:rsid w:val="20B7D30B"/>
    <w:rsid w:val="20B7D4C0"/>
    <w:rsid w:val="20B7E6C1"/>
    <w:rsid w:val="20BAB865"/>
    <w:rsid w:val="20BB2DEF"/>
    <w:rsid w:val="20BD6AF6"/>
    <w:rsid w:val="20C09BCD"/>
    <w:rsid w:val="20C302FE"/>
    <w:rsid w:val="20C36C07"/>
    <w:rsid w:val="20C47810"/>
    <w:rsid w:val="20C55787"/>
    <w:rsid w:val="20C952B6"/>
    <w:rsid w:val="20CA1C75"/>
    <w:rsid w:val="20CD105E"/>
    <w:rsid w:val="20CE050B"/>
    <w:rsid w:val="20D204F8"/>
    <w:rsid w:val="20D5250F"/>
    <w:rsid w:val="20D53A30"/>
    <w:rsid w:val="20D60545"/>
    <w:rsid w:val="20D83D9C"/>
    <w:rsid w:val="20D85151"/>
    <w:rsid w:val="20D91210"/>
    <w:rsid w:val="20D96554"/>
    <w:rsid w:val="20DAB112"/>
    <w:rsid w:val="20DCB9F4"/>
    <w:rsid w:val="20DD16AF"/>
    <w:rsid w:val="20DF6D2F"/>
    <w:rsid w:val="20E00FD4"/>
    <w:rsid w:val="20E08C62"/>
    <w:rsid w:val="20E1E09E"/>
    <w:rsid w:val="20E39522"/>
    <w:rsid w:val="20E4E28D"/>
    <w:rsid w:val="20E51202"/>
    <w:rsid w:val="20E52D4B"/>
    <w:rsid w:val="20E5CF08"/>
    <w:rsid w:val="20E5F84A"/>
    <w:rsid w:val="20E7A7DD"/>
    <w:rsid w:val="20E7D5FD"/>
    <w:rsid w:val="20E7DDE9"/>
    <w:rsid w:val="20E86D39"/>
    <w:rsid w:val="20E9AAA7"/>
    <w:rsid w:val="20EAD01C"/>
    <w:rsid w:val="20EB91B9"/>
    <w:rsid w:val="20EBAB7B"/>
    <w:rsid w:val="20ECE372"/>
    <w:rsid w:val="20ED2A57"/>
    <w:rsid w:val="20EE3F21"/>
    <w:rsid w:val="20EE696B"/>
    <w:rsid w:val="20EEAB76"/>
    <w:rsid w:val="20F02086"/>
    <w:rsid w:val="20F31B75"/>
    <w:rsid w:val="20F5AC2C"/>
    <w:rsid w:val="20F7105E"/>
    <w:rsid w:val="20F817A5"/>
    <w:rsid w:val="20F9BE45"/>
    <w:rsid w:val="20FAB390"/>
    <w:rsid w:val="20FB8080"/>
    <w:rsid w:val="20FB89E9"/>
    <w:rsid w:val="20FDCAC6"/>
    <w:rsid w:val="20FF75A4"/>
    <w:rsid w:val="2101950F"/>
    <w:rsid w:val="210209E8"/>
    <w:rsid w:val="2102354A"/>
    <w:rsid w:val="21037892"/>
    <w:rsid w:val="21057F0D"/>
    <w:rsid w:val="21080407"/>
    <w:rsid w:val="210A3B6F"/>
    <w:rsid w:val="210B2CCC"/>
    <w:rsid w:val="210C8E90"/>
    <w:rsid w:val="2112A281"/>
    <w:rsid w:val="21163599"/>
    <w:rsid w:val="21165AEA"/>
    <w:rsid w:val="21177EAF"/>
    <w:rsid w:val="21183E72"/>
    <w:rsid w:val="2118829A"/>
    <w:rsid w:val="21195772"/>
    <w:rsid w:val="211C0243"/>
    <w:rsid w:val="211FC95C"/>
    <w:rsid w:val="21201F5B"/>
    <w:rsid w:val="2120568A"/>
    <w:rsid w:val="212200C1"/>
    <w:rsid w:val="21233D40"/>
    <w:rsid w:val="21246C87"/>
    <w:rsid w:val="2124C4C5"/>
    <w:rsid w:val="2125425A"/>
    <w:rsid w:val="21279CF4"/>
    <w:rsid w:val="2128C239"/>
    <w:rsid w:val="212945F1"/>
    <w:rsid w:val="21299FB5"/>
    <w:rsid w:val="212B9FD1"/>
    <w:rsid w:val="213055DC"/>
    <w:rsid w:val="2132F4F7"/>
    <w:rsid w:val="213401E9"/>
    <w:rsid w:val="2134ECDD"/>
    <w:rsid w:val="2135D237"/>
    <w:rsid w:val="2136871D"/>
    <w:rsid w:val="213800F3"/>
    <w:rsid w:val="213965D9"/>
    <w:rsid w:val="213AC058"/>
    <w:rsid w:val="213E65F6"/>
    <w:rsid w:val="213E90E0"/>
    <w:rsid w:val="213F79D4"/>
    <w:rsid w:val="21409766"/>
    <w:rsid w:val="2143E4F0"/>
    <w:rsid w:val="2149E92E"/>
    <w:rsid w:val="214B8FC5"/>
    <w:rsid w:val="214B9771"/>
    <w:rsid w:val="214D8D11"/>
    <w:rsid w:val="214DAB82"/>
    <w:rsid w:val="214E1EE0"/>
    <w:rsid w:val="214E9C8F"/>
    <w:rsid w:val="214EA03D"/>
    <w:rsid w:val="214F325E"/>
    <w:rsid w:val="214F8040"/>
    <w:rsid w:val="2153BBB1"/>
    <w:rsid w:val="215467DD"/>
    <w:rsid w:val="2156BC30"/>
    <w:rsid w:val="2156C023"/>
    <w:rsid w:val="215A0F85"/>
    <w:rsid w:val="215D5DFB"/>
    <w:rsid w:val="215E9897"/>
    <w:rsid w:val="2164A472"/>
    <w:rsid w:val="2166276F"/>
    <w:rsid w:val="2167048D"/>
    <w:rsid w:val="2167C3D9"/>
    <w:rsid w:val="2168D664"/>
    <w:rsid w:val="2169CC80"/>
    <w:rsid w:val="216AB7A7"/>
    <w:rsid w:val="216EECE5"/>
    <w:rsid w:val="2170891C"/>
    <w:rsid w:val="2178F8D8"/>
    <w:rsid w:val="217A3AA9"/>
    <w:rsid w:val="2180F2C9"/>
    <w:rsid w:val="21812D93"/>
    <w:rsid w:val="21816EF6"/>
    <w:rsid w:val="2182553F"/>
    <w:rsid w:val="2182DE2C"/>
    <w:rsid w:val="2183B007"/>
    <w:rsid w:val="218AA09D"/>
    <w:rsid w:val="218B39E4"/>
    <w:rsid w:val="218B5EA4"/>
    <w:rsid w:val="21947B32"/>
    <w:rsid w:val="2194CB5D"/>
    <w:rsid w:val="2195B7A2"/>
    <w:rsid w:val="21963D3F"/>
    <w:rsid w:val="2196A87A"/>
    <w:rsid w:val="2197E29A"/>
    <w:rsid w:val="2198E00B"/>
    <w:rsid w:val="219D8264"/>
    <w:rsid w:val="219DF991"/>
    <w:rsid w:val="219ECF31"/>
    <w:rsid w:val="21A1389A"/>
    <w:rsid w:val="21A23678"/>
    <w:rsid w:val="21A3D817"/>
    <w:rsid w:val="21A76C37"/>
    <w:rsid w:val="21A8B8E1"/>
    <w:rsid w:val="21AB152F"/>
    <w:rsid w:val="21ACBF4B"/>
    <w:rsid w:val="21AD1D60"/>
    <w:rsid w:val="21AECD55"/>
    <w:rsid w:val="21B7A94A"/>
    <w:rsid w:val="21B8E6C6"/>
    <w:rsid w:val="21B9AD02"/>
    <w:rsid w:val="21BB4B0E"/>
    <w:rsid w:val="21BC32D4"/>
    <w:rsid w:val="21BFFA7E"/>
    <w:rsid w:val="21C3ABF6"/>
    <w:rsid w:val="21C54615"/>
    <w:rsid w:val="21C67EFF"/>
    <w:rsid w:val="21C6E163"/>
    <w:rsid w:val="21C75C4B"/>
    <w:rsid w:val="21C9997F"/>
    <w:rsid w:val="21C9B499"/>
    <w:rsid w:val="21CA81DE"/>
    <w:rsid w:val="21CBF2F2"/>
    <w:rsid w:val="21CD0BD9"/>
    <w:rsid w:val="21CE0883"/>
    <w:rsid w:val="21CEA899"/>
    <w:rsid w:val="21CEF40F"/>
    <w:rsid w:val="21CF0288"/>
    <w:rsid w:val="21CFB143"/>
    <w:rsid w:val="21D0317A"/>
    <w:rsid w:val="21D164AE"/>
    <w:rsid w:val="21D1941B"/>
    <w:rsid w:val="21D8CBAD"/>
    <w:rsid w:val="21D8F8F4"/>
    <w:rsid w:val="21D93EEB"/>
    <w:rsid w:val="21D997FA"/>
    <w:rsid w:val="21DDE152"/>
    <w:rsid w:val="21DF2010"/>
    <w:rsid w:val="21E06C4E"/>
    <w:rsid w:val="21E1FE24"/>
    <w:rsid w:val="21E3BF69"/>
    <w:rsid w:val="21E3D6B8"/>
    <w:rsid w:val="21E43D0D"/>
    <w:rsid w:val="21E55EDE"/>
    <w:rsid w:val="21E5E824"/>
    <w:rsid w:val="21E760C5"/>
    <w:rsid w:val="21E9E0AC"/>
    <w:rsid w:val="21EC1CD8"/>
    <w:rsid w:val="21ED960A"/>
    <w:rsid w:val="21F22358"/>
    <w:rsid w:val="21F2235D"/>
    <w:rsid w:val="21F2752D"/>
    <w:rsid w:val="21F27BCA"/>
    <w:rsid w:val="21F2B296"/>
    <w:rsid w:val="21F7B6D5"/>
    <w:rsid w:val="21F828CF"/>
    <w:rsid w:val="21F8BD24"/>
    <w:rsid w:val="21FA5FB6"/>
    <w:rsid w:val="21FBFE07"/>
    <w:rsid w:val="21FD7A1A"/>
    <w:rsid w:val="21FD7FE5"/>
    <w:rsid w:val="220132B0"/>
    <w:rsid w:val="22014CA4"/>
    <w:rsid w:val="220208B9"/>
    <w:rsid w:val="22021DA8"/>
    <w:rsid w:val="220539E7"/>
    <w:rsid w:val="2205CE5D"/>
    <w:rsid w:val="2205D958"/>
    <w:rsid w:val="2205E85E"/>
    <w:rsid w:val="22061369"/>
    <w:rsid w:val="22083762"/>
    <w:rsid w:val="22088636"/>
    <w:rsid w:val="220AA16B"/>
    <w:rsid w:val="220E827C"/>
    <w:rsid w:val="2210CED6"/>
    <w:rsid w:val="22123616"/>
    <w:rsid w:val="221464F7"/>
    <w:rsid w:val="22150648"/>
    <w:rsid w:val="221539AD"/>
    <w:rsid w:val="22166912"/>
    <w:rsid w:val="221702B9"/>
    <w:rsid w:val="221B5A62"/>
    <w:rsid w:val="221D8F07"/>
    <w:rsid w:val="221DA5A0"/>
    <w:rsid w:val="221DC2A4"/>
    <w:rsid w:val="221DEAAB"/>
    <w:rsid w:val="22203D38"/>
    <w:rsid w:val="2221E152"/>
    <w:rsid w:val="222272BA"/>
    <w:rsid w:val="2222D841"/>
    <w:rsid w:val="22244ADF"/>
    <w:rsid w:val="22252DF0"/>
    <w:rsid w:val="22267097"/>
    <w:rsid w:val="2229929D"/>
    <w:rsid w:val="222C443C"/>
    <w:rsid w:val="222CF41B"/>
    <w:rsid w:val="222D63E4"/>
    <w:rsid w:val="222FFA77"/>
    <w:rsid w:val="2231C683"/>
    <w:rsid w:val="2232F117"/>
    <w:rsid w:val="223373CA"/>
    <w:rsid w:val="22353258"/>
    <w:rsid w:val="2235AF29"/>
    <w:rsid w:val="223A6083"/>
    <w:rsid w:val="223BB79E"/>
    <w:rsid w:val="223BDE2F"/>
    <w:rsid w:val="223BEADB"/>
    <w:rsid w:val="223F6A85"/>
    <w:rsid w:val="223FB131"/>
    <w:rsid w:val="224291A5"/>
    <w:rsid w:val="224CB3A6"/>
    <w:rsid w:val="22509896"/>
    <w:rsid w:val="22515564"/>
    <w:rsid w:val="22522EDE"/>
    <w:rsid w:val="225373F3"/>
    <w:rsid w:val="2256B858"/>
    <w:rsid w:val="22579AF4"/>
    <w:rsid w:val="2257E9E4"/>
    <w:rsid w:val="22598E4F"/>
    <w:rsid w:val="225D9194"/>
    <w:rsid w:val="225E499F"/>
    <w:rsid w:val="225EA9F5"/>
    <w:rsid w:val="2260C438"/>
    <w:rsid w:val="22618815"/>
    <w:rsid w:val="22621374"/>
    <w:rsid w:val="22646EB6"/>
    <w:rsid w:val="226B32CC"/>
    <w:rsid w:val="226B5640"/>
    <w:rsid w:val="226D8CB6"/>
    <w:rsid w:val="226E1305"/>
    <w:rsid w:val="226E4FD6"/>
    <w:rsid w:val="2270839E"/>
    <w:rsid w:val="2270E593"/>
    <w:rsid w:val="2272E16E"/>
    <w:rsid w:val="2273C676"/>
    <w:rsid w:val="22749600"/>
    <w:rsid w:val="2275E727"/>
    <w:rsid w:val="2276D6E8"/>
    <w:rsid w:val="2278382C"/>
    <w:rsid w:val="227901FC"/>
    <w:rsid w:val="227B2062"/>
    <w:rsid w:val="227BCE39"/>
    <w:rsid w:val="227F3238"/>
    <w:rsid w:val="2281CC86"/>
    <w:rsid w:val="2281DFAC"/>
    <w:rsid w:val="22840E20"/>
    <w:rsid w:val="228462AC"/>
    <w:rsid w:val="22877049"/>
    <w:rsid w:val="228849B9"/>
    <w:rsid w:val="228A6992"/>
    <w:rsid w:val="228D13D9"/>
    <w:rsid w:val="228D56A7"/>
    <w:rsid w:val="228EEEA2"/>
    <w:rsid w:val="228F22FF"/>
    <w:rsid w:val="228F8A46"/>
    <w:rsid w:val="228F99CA"/>
    <w:rsid w:val="228FDE2A"/>
    <w:rsid w:val="2290AAA9"/>
    <w:rsid w:val="229239F2"/>
    <w:rsid w:val="22939E5A"/>
    <w:rsid w:val="229787C3"/>
    <w:rsid w:val="2298CD62"/>
    <w:rsid w:val="229D0A8C"/>
    <w:rsid w:val="229D9873"/>
    <w:rsid w:val="229F17F9"/>
    <w:rsid w:val="229FF920"/>
    <w:rsid w:val="22A05ED0"/>
    <w:rsid w:val="22A2D48D"/>
    <w:rsid w:val="22A5BB32"/>
    <w:rsid w:val="22A69FED"/>
    <w:rsid w:val="22A76F36"/>
    <w:rsid w:val="22A8129B"/>
    <w:rsid w:val="22AAB27C"/>
    <w:rsid w:val="22AB9FD0"/>
    <w:rsid w:val="22ABABA6"/>
    <w:rsid w:val="22AC3872"/>
    <w:rsid w:val="22ADCBDF"/>
    <w:rsid w:val="22B26E9F"/>
    <w:rsid w:val="22B29E98"/>
    <w:rsid w:val="22B5C5C0"/>
    <w:rsid w:val="22B6FE7C"/>
    <w:rsid w:val="22B8BA0F"/>
    <w:rsid w:val="22B9FA58"/>
    <w:rsid w:val="22BA9869"/>
    <w:rsid w:val="22BC9952"/>
    <w:rsid w:val="22BFD2EF"/>
    <w:rsid w:val="22C0F9DD"/>
    <w:rsid w:val="22C24379"/>
    <w:rsid w:val="22C39107"/>
    <w:rsid w:val="22C48D28"/>
    <w:rsid w:val="22C5F5FB"/>
    <w:rsid w:val="22C7D4EC"/>
    <w:rsid w:val="22CB3441"/>
    <w:rsid w:val="22CD36EA"/>
    <w:rsid w:val="22D00136"/>
    <w:rsid w:val="22D0F35C"/>
    <w:rsid w:val="22D1D3FD"/>
    <w:rsid w:val="22D5AC6F"/>
    <w:rsid w:val="22D5B48C"/>
    <w:rsid w:val="22D5B691"/>
    <w:rsid w:val="22D7FAA9"/>
    <w:rsid w:val="22D85BCF"/>
    <w:rsid w:val="22D9841A"/>
    <w:rsid w:val="22DDB4E3"/>
    <w:rsid w:val="22E171B1"/>
    <w:rsid w:val="22E1F4D0"/>
    <w:rsid w:val="22E32D2B"/>
    <w:rsid w:val="22E331F5"/>
    <w:rsid w:val="22E4BC77"/>
    <w:rsid w:val="22E5719F"/>
    <w:rsid w:val="22E62074"/>
    <w:rsid w:val="22E6C3EE"/>
    <w:rsid w:val="22E6D90D"/>
    <w:rsid w:val="22E8BFD7"/>
    <w:rsid w:val="22E9B95D"/>
    <w:rsid w:val="22EBF3D7"/>
    <w:rsid w:val="22EC711A"/>
    <w:rsid w:val="22EC750D"/>
    <w:rsid w:val="22ED1136"/>
    <w:rsid w:val="22EF4D20"/>
    <w:rsid w:val="22EFA53F"/>
    <w:rsid w:val="22EFD41C"/>
    <w:rsid w:val="22F0B1EE"/>
    <w:rsid w:val="22F14CD4"/>
    <w:rsid w:val="22F1CE69"/>
    <w:rsid w:val="22F29530"/>
    <w:rsid w:val="22F3B978"/>
    <w:rsid w:val="22F5797E"/>
    <w:rsid w:val="22F5D333"/>
    <w:rsid w:val="22F7AB5A"/>
    <w:rsid w:val="22FB2892"/>
    <w:rsid w:val="22FC183B"/>
    <w:rsid w:val="22FC39EE"/>
    <w:rsid w:val="22FD0B92"/>
    <w:rsid w:val="22FDEDE0"/>
    <w:rsid w:val="230117D6"/>
    <w:rsid w:val="23041D9E"/>
    <w:rsid w:val="2307567D"/>
    <w:rsid w:val="230768AC"/>
    <w:rsid w:val="230856D0"/>
    <w:rsid w:val="2308948B"/>
    <w:rsid w:val="2309F0DC"/>
    <w:rsid w:val="230ACFAD"/>
    <w:rsid w:val="230B6A94"/>
    <w:rsid w:val="230C177D"/>
    <w:rsid w:val="230C7411"/>
    <w:rsid w:val="230D3C3C"/>
    <w:rsid w:val="230D4911"/>
    <w:rsid w:val="230F1A1D"/>
    <w:rsid w:val="230F24F0"/>
    <w:rsid w:val="23109CB3"/>
    <w:rsid w:val="2311407C"/>
    <w:rsid w:val="23120790"/>
    <w:rsid w:val="231222E0"/>
    <w:rsid w:val="23132ABB"/>
    <w:rsid w:val="2313E6E9"/>
    <w:rsid w:val="2317036C"/>
    <w:rsid w:val="231803FA"/>
    <w:rsid w:val="231A79E2"/>
    <w:rsid w:val="231C26E4"/>
    <w:rsid w:val="231C9F3F"/>
    <w:rsid w:val="231D619F"/>
    <w:rsid w:val="231EB45B"/>
    <w:rsid w:val="231F6EBF"/>
    <w:rsid w:val="231FEF35"/>
    <w:rsid w:val="232098B0"/>
    <w:rsid w:val="232194C8"/>
    <w:rsid w:val="2323C915"/>
    <w:rsid w:val="23284969"/>
    <w:rsid w:val="232B5601"/>
    <w:rsid w:val="232B7C68"/>
    <w:rsid w:val="232C7D3D"/>
    <w:rsid w:val="232D6EF4"/>
    <w:rsid w:val="23303591"/>
    <w:rsid w:val="2333169B"/>
    <w:rsid w:val="23332C6F"/>
    <w:rsid w:val="2333670E"/>
    <w:rsid w:val="2333B107"/>
    <w:rsid w:val="2333FFC9"/>
    <w:rsid w:val="23348783"/>
    <w:rsid w:val="2337F38A"/>
    <w:rsid w:val="2338EBD9"/>
    <w:rsid w:val="233AF471"/>
    <w:rsid w:val="233F8129"/>
    <w:rsid w:val="233F9A73"/>
    <w:rsid w:val="2346B517"/>
    <w:rsid w:val="23477AE7"/>
    <w:rsid w:val="2347FFE7"/>
    <w:rsid w:val="23487134"/>
    <w:rsid w:val="2348DD01"/>
    <w:rsid w:val="234C0CD0"/>
    <w:rsid w:val="234D04EE"/>
    <w:rsid w:val="2350E891"/>
    <w:rsid w:val="2351747F"/>
    <w:rsid w:val="2351FCA1"/>
    <w:rsid w:val="23562DC5"/>
    <w:rsid w:val="2357E348"/>
    <w:rsid w:val="235811A4"/>
    <w:rsid w:val="235A2414"/>
    <w:rsid w:val="235B5DE7"/>
    <w:rsid w:val="235E958D"/>
    <w:rsid w:val="235EC40B"/>
    <w:rsid w:val="2361993C"/>
    <w:rsid w:val="236332F0"/>
    <w:rsid w:val="2363E137"/>
    <w:rsid w:val="23651F86"/>
    <w:rsid w:val="2366AE8D"/>
    <w:rsid w:val="2368A295"/>
    <w:rsid w:val="2368CCEA"/>
    <w:rsid w:val="236BCAFC"/>
    <w:rsid w:val="237093FC"/>
    <w:rsid w:val="2371D50F"/>
    <w:rsid w:val="23742145"/>
    <w:rsid w:val="23744BAB"/>
    <w:rsid w:val="23770BD2"/>
    <w:rsid w:val="2377D30A"/>
    <w:rsid w:val="237A6AB6"/>
    <w:rsid w:val="237B17BB"/>
    <w:rsid w:val="237C3193"/>
    <w:rsid w:val="237DCF7D"/>
    <w:rsid w:val="238074FF"/>
    <w:rsid w:val="2380C459"/>
    <w:rsid w:val="2382BAA7"/>
    <w:rsid w:val="2382E1A5"/>
    <w:rsid w:val="23854518"/>
    <w:rsid w:val="2385CCFF"/>
    <w:rsid w:val="2386D097"/>
    <w:rsid w:val="238787F3"/>
    <w:rsid w:val="2387F1BE"/>
    <w:rsid w:val="238864E1"/>
    <w:rsid w:val="23888EEA"/>
    <w:rsid w:val="23896C22"/>
    <w:rsid w:val="238979B6"/>
    <w:rsid w:val="238BB102"/>
    <w:rsid w:val="238C3AE2"/>
    <w:rsid w:val="238C8F68"/>
    <w:rsid w:val="238D13D0"/>
    <w:rsid w:val="238F583D"/>
    <w:rsid w:val="2391E8AD"/>
    <w:rsid w:val="239274A0"/>
    <w:rsid w:val="23949952"/>
    <w:rsid w:val="2394D79E"/>
    <w:rsid w:val="239B94F9"/>
    <w:rsid w:val="239BE37D"/>
    <w:rsid w:val="239D85D5"/>
    <w:rsid w:val="239E814B"/>
    <w:rsid w:val="239E9EF2"/>
    <w:rsid w:val="23A048E9"/>
    <w:rsid w:val="23A0A2F5"/>
    <w:rsid w:val="23A18019"/>
    <w:rsid w:val="23A22933"/>
    <w:rsid w:val="23A24FF4"/>
    <w:rsid w:val="23A2779A"/>
    <w:rsid w:val="23A27E0B"/>
    <w:rsid w:val="23A30229"/>
    <w:rsid w:val="23A335ED"/>
    <w:rsid w:val="23A34D63"/>
    <w:rsid w:val="23A4DA3F"/>
    <w:rsid w:val="23A520E0"/>
    <w:rsid w:val="23A55CFB"/>
    <w:rsid w:val="23A64DD6"/>
    <w:rsid w:val="23A6A175"/>
    <w:rsid w:val="23A7A410"/>
    <w:rsid w:val="23A83F5D"/>
    <w:rsid w:val="23AAEBC7"/>
    <w:rsid w:val="23ABC457"/>
    <w:rsid w:val="23ACA4AA"/>
    <w:rsid w:val="23AFB0D9"/>
    <w:rsid w:val="23B1DC01"/>
    <w:rsid w:val="23B7483C"/>
    <w:rsid w:val="23B79109"/>
    <w:rsid w:val="23BA1EBA"/>
    <w:rsid w:val="23BA7332"/>
    <w:rsid w:val="23BBFC03"/>
    <w:rsid w:val="23BC8AD9"/>
    <w:rsid w:val="23BFCACC"/>
    <w:rsid w:val="23C281BA"/>
    <w:rsid w:val="23C2C3BA"/>
    <w:rsid w:val="23C37897"/>
    <w:rsid w:val="23C41563"/>
    <w:rsid w:val="23C4D407"/>
    <w:rsid w:val="23C57B1C"/>
    <w:rsid w:val="23C79042"/>
    <w:rsid w:val="23C81ED6"/>
    <w:rsid w:val="23C9D6CD"/>
    <w:rsid w:val="23CB402D"/>
    <w:rsid w:val="23CC69AA"/>
    <w:rsid w:val="23CC897A"/>
    <w:rsid w:val="23CCBF41"/>
    <w:rsid w:val="23D100B8"/>
    <w:rsid w:val="23D153D5"/>
    <w:rsid w:val="23D21A88"/>
    <w:rsid w:val="23D33642"/>
    <w:rsid w:val="23D364C7"/>
    <w:rsid w:val="23D63F1F"/>
    <w:rsid w:val="23D7CEA0"/>
    <w:rsid w:val="23D7E824"/>
    <w:rsid w:val="23D83591"/>
    <w:rsid w:val="23D8D21C"/>
    <w:rsid w:val="23DAFB8F"/>
    <w:rsid w:val="23DB7FA5"/>
    <w:rsid w:val="23DD2D19"/>
    <w:rsid w:val="23DDECAE"/>
    <w:rsid w:val="23DE0712"/>
    <w:rsid w:val="23DE65F1"/>
    <w:rsid w:val="23DFC67D"/>
    <w:rsid w:val="23E48452"/>
    <w:rsid w:val="23E5E177"/>
    <w:rsid w:val="23E6B790"/>
    <w:rsid w:val="23E79C8F"/>
    <w:rsid w:val="23E8CD72"/>
    <w:rsid w:val="23E9E4FE"/>
    <w:rsid w:val="23E9E6C4"/>
    <w:rsid w:val="23EAB1CA"/>
    <w:rsid w:val="23ED06F8"/>
    <w:rsid w:val="23EDED86"/>
    <w:rsid w:val="23F145A4"/>
    <w:rsid w:val="23F15B9D"/>
    <w:rsid w:val="23F29A07"/>
    <w:rsid w:val="23F3F9CD"/>
    <w:rsid w:val="23F54480"/>
    <w:rsid w:val="23F5EC16"/>
    <w:rsid w:val="23F7B301"/>
    <w:rsid w:val="23F82EB0"/>
    <w:rsid w:val="23F8E49A"/>
    <w:rsid w:val="23FC8547"/>
    <w:rsid w:val="23FCAB2F"/>
    <w:rsid w:val="23FE50FF"/>
    <w:rsid w:val="23FEC840"/>
    <w:rsid w:val="23FF6C4E"/>
    <w:rsid w:val="23FFB45D"/>
    <w:rsid w:val="24023DD0"/>
    <w:rsid w:val="24047456"/>
    <w:rsid w:val="2404D22C"/>
    <w:rsid w:val="240670F7"/>
    <w:rsid w:val="2407AA7F"/>
    <w:rsid w:val="2409FB0D"/>
    <w:rsid w:val="240BD7D7"/>
    <w:rsid w:val="240BEA89"/>
    <w:rsid w:val="240D52C4"/>
    <w:rsid w:val="240D7C4A"/>
    <w:rsid w:val="240E98D5"/>
    <w:rsid w:val="240F2E5C"/>
    <w:rsid w:val="24116353"/>
    <w:rsid w:val="24132790"/>
    <w:rsid w:val="24135FFB"/>
    <w:rsid w:val="24138414"/>
    <w:rsid w:val="2413F7C2"/>
    <w:rsid w:val="24179884"/>
    <w:rsid w:val="24192D36"/>
    <w:rsid w:val="241A3C53"/>
    <w:rsid w:val="241C2900"/>
    <w:rsid w:val="241E0E4B"/>
    <w:rsid w:val="241FA155"/>
    <w:rsid w:val="2422A076"/>
    <w:rsid w:val="24242522"/>
    <w:rsid w:val="2424D279"/>
    <w:rsid w:val="24267477"/>
    <w:rsid w:val="2426AA99"/>
    <w:rsid w:val="242F3B92"/>
    <w:rsid w:val="242F3DDD"/>
    <w:rsid w:val="24302ECB"/>
    <w:rsid w:val="24316DFE"/>
    <w:rsid w:val="24331202"/>
    <w:rsid w:val="2433E67E"/>
    <w:rsid w:val="2434A76F"/>
    <w:rsid w:val="24353D2B"/>
    <w:rsid w:val="2435819E"/>
    <w:rsid w:val="2435B889"/>
    <w:rsid w:val="24378463"/>
    <w:rsid w:val="243A2226"/>
    <w:rsid w:val="243C8BBB"/>
    <w:rsid w:val="2440E012"/>
    <w:rsid w:val="2440E607"/>
    <w:rsid w:val="2441FA7E"/>
    <w:rsid w:val="24428446"/>
    <w:rsid w:val="2444967B"/>
    <w:rsid w:val="2446733A"/>
    <w:rsid w:val="2446F90D"/>
    <w:rsid w:val="24489025"/>
    <w:rsid w:val="24496197"/>
    <w:rsid w:val="244D1E2F"/>
    <w:rsid w:val="244E3AC9"/>
    <w:rsid w:val="24500E9B"/>
    <w:rsid w:val="2450265B"/>
    <w:rsid w:val="2450BBFB"/>
    <w:rsid w:val="2452D523"/>
    <w:rsid w:val="24539D83"/>
    <w:rsid w:val="24551868"/>
    <w:rsid w:val="24553795"/>
    <w:rsid w:val="24573A2B"/>
    <w:rsid w:val="24585780"/>
    <w:rsid w:val="245878E8"/>
    <w:rsid w:val="2458941D"/>
    <w:rsid w:val="245A5A04"/>
    <w:rsid w:val="245B9AE1"/>
    <w:rsid w:val="245DA78A"/>
    <w:rsid w:val="2460F4CB"/>
    <w:rsid w:val="24618BBB"/>
    <w:rsid w:val="246279F4"/>
    <w:rsid w:val="2462C578"/>
    <w:rsid w:val="2464DA74"/>
    <w:rsid w:val="2465916F"/>
    <w:rsid w:val="246FBD78"/>
    <w:rsid w:val="24700215"/>
    <w:rsid w:val="24704823"/>
    <w:rsid w:val="247290DA"/>
    <w:rsid w:val="2472C5E8"/>
    <w:rsid w:val="2472FD16"/>
    <w:rsid w:val="247367B5"/>
    <w:rsid w:val="2474A228"/>
    <w:rsid w:val="2474B55A"/>
    <w:rsid w:val="2474FCB0"/>
    <w:rsid w:val="2477B6F6"/>
    <w:rsid w:val="2477F732"/>
    <w:rsid w:val="24785FB1"/>
    <w:rsid w:val="247872D3"/>
    <w:rsid w:val="2479130B"/>
    <w:rsid w:val="247A2BBD"/>
    <w:rsid w:val="247CBD5E"/>
    <w:rsid w:val="247CE1CE"/>
    <w:rsid w:val="247E0A37"/>
    <w:rsid w:val="247EA0D3"/>
    <w:rsid w:val="247ECFDC"/>
    <w:rsid w:val="248143B4"/>
    <w:rsid w:val="2481C69F"/>
    <w:rsid w:val="2481DAC7"/>
    <w:rsid w:val="24829DDB"/>
    <w:rsid w:val="2483D763"/>
    <w:rsid w:val="2484085C"/>
    <w:rsid w:val="24853AD7"/>
    <w:rsid w:val="248590EF"/>
    <w:rsid w:val="24871725"/>
    <w:rsid w:val="24885F5F"/>
    <w:rsid w:val="248F84B2"/>
    <w:rsid w:val="248FE3A5"/>
    <w:rsid w:val="24905ED5"/>
    <w:rsid w:val="2490AF7E"/>
    <w:rsid w:val="249180A3"/>
    <w:rsid w:val="2493C6F2"/>
    <w:rsid w:val="24940486"/>
    <w:rsid w:val="24943E54"/>
    <w:rsid w:val="24954B8F"/>
    <w:rsid w:val="24968BE3"/>
    <w:rsid w:val="2496B2B2"/>
    <w:rsid w:val="249AB4AA"/>
    <w:rsid w:val="249AFE0D"/>
    <w:rsid w:val="249B8737"/>
    <w:rsid w:val="249BABF0"/>
    <w:rsid w:val="249E3770"/>
    <w:rsid w:val="24A55693"/>
    <w:rsid w:val="24A6658C"/>
    <w:rsid w:val="24A88003"/>
    <w:rsid w:val="24A9E8CD"/>
    <w:rsid w:val="24AC7D96"/>
    <w:rsid w:val="24AF3EB4"/>
    <w:rsid w:val="24B13389"/>
    <w:rsid w:val="24B23D94"/>
    <w:rsid w:val="24B4833C"/>
    <w:rsid w:val="24B492AE"/>
    <w:rsid w:val="24B56747"/>
    <w:rsid w:val="24B62CF0"/>
    <w:rsid w:val="24B7FA40"/>
    <w:rsid w:val="24B86FA0"/>
    <w:rsid w:val="24BB3ED6"/>
    <w:rsid w:val="24BBC784"/>
    <w:rsid w:val="24BBD37B"/>
    <w:rsid w:val="24BE8D73"/>
    <w:rsid w:val="24BEC42A"/>
    <w:rsid w:val="24BF9805"/>
    <w:rsid w:val="24C09780"/>
    <w:rsid w:val="24C11A1E"/>
    <w:rsid w:val="24C1B44D"/>
    <w:rsid w:val="24C21972"/>
    <w:rsid w:val="24C24419"/>
    <w:rsid w:val="24C24B66"/>
    <w:rsid w:val="24C27386"/>
    <w:rsid w:val="24C38003"/>
    <w:rsid w:val="24C52412"/>
    <w:rsid w:val="24C6B72F"/>
    <w:rsid w:val="24C85D3B"/>
    <w:rsid w:val="24C8D427"/>
    <w:rsid w:val="24C9AACE"/>
    <w:rsid w:val="24CB4861"/>
    <w:rsid w:val="24CB68EA"/>
    <w:rsid w:val="24CCFCB8"/>
    <w:rsid w:val="24CD32E9"/>
    <w:rsid w:val="24CF21A3"/>
    <w:rsid w:val="24CF926D"/>
    <w:rsid w:val="24D0E316"/>
    <w:rsid w:val="24D1746B"/>
    <w:rsid w:val="24D20CEE"/>
    <w:rsid w:val="24D5F89A"/>
    <w:rsid w:val="24D9A320"/>
    <w:rsid w:val="24DB5731"/>
    <w:rsid w:val="24DD0919"/>
    <w:rsid w:val="24DE65C2"/>
    <w:rsid w:val="24DEAB7B"/>
    <w:rsid w:val="24DF78F1"/>
    <w:rsid w:val="24E10686"/>
    <w:rsid w:val="24E1ED99"/>
    <w:rsid w:val="24E7930B"/>
    <w:rsid w:val="24E7BC0C"/>
    <w:rsid w:val="24E9255A"/>
    <w:rsid w:val="24E9C903"/>
    <w:rsid w:val="24EAA015"/>
    <w:rsid w:val="24EEC317"/>
    <w:rsid w:val="24F068DA"/>
    <w:rsid w:val="24F11521"/>
    <w:rsid w:val="24F2475F"/>
    <w:rsid w:val="24F3316F"/>
    <w:rsid w:val="24F368BA"/>
    <w:rsid w:val="24F3F3D3"/>
    <w:rsid w:val="24F53C3E"/>
    <w:rsid w:val="24F5A4AF"/>
    <w:rsid w:val="24F5B86C"/>
    <w:rsid w:val="24F66F30"/>
    <w:rsid w:val="24F72E48"/>
    <w:rsid w:val="24F88901"/>
    <w:rsid w:val="24F8A490"/>
    <w:rsid w:val="24F93206"/>
    <w:rsid w:val="24F94CE4"/>
    <w:rsid w:val="24FC9BCC"/>
    <w:rsid w:val="24FE2763"/>
    <w:rsid w:val="250078E7"/>
    <w:rsid w:val="2501B47F"/>
    <w:rsid w:val="25039E81"/>
    <w:rsid w:val="2507A68C"/>
    <w:rsid w:val="25082055"/>
    <w:rsid w:val="2509FFF4"/>
    <w:rsid w:val="250E2632"/>
    <w:rsid w:val="250EB113"/>
    <w:rsid w:val="250EF8EA"/>
    <w:rsid w:val="250F8626"/>
    <w:rsid w:val="2511E8F3"/>
    <w:rsid w:val="25122A9B"/>
    <w:rsid w:val="25139BAF"/>
    <w:rsid w:val="2514841D"/>
    <w:rsid w:val="2519A6B4"/>
    <w:rsid w:val="251ABEE8"/>
    <w:rsid w:val="251AC691"/>
    <w:rsid w:val="251AFD4B"/>
    <w:rsid w:val="251AFE69"/>
    <w:rsid w:val="251B32BD"/>
    <w:rsid w:val="251B6F1A"/>
    <w:rsid w:val="251B9982"/>
    <w:rsid w:val="251E95A0"/>
    <w:rsid w:val="25205248"/>
    <w:rsid w:val="25228C76"/>
    <w:rsid w:val="2523BE8B"/>
    <w:rsid w:val="25240637"/>
    <w:rsid w:val="2524A292"/>
    <w:rsid w:val="2525239A"/>
    <w:rsid w:val="25252785"/>
    <w:rsid w:val="2525D85A"/>
    <w:rsid w:val="2525F7DE"/>
    <w:rsid w:val="252628EE"/>
    <w:rsid w:val="2528EEFF"/>
    <w:rsid w:val="252AB6DC"/>
    <w:rsid w:val="252CD8FF"/>
    <w:rsid w:val="252D99A3"/>
    <w:rsid w:val="252FD1EB"/>
    <w:rsid w:val="25307CE8"/>
    <w:rsid w:val="25333B01"/>
    <w:rsid w:val="25349CAA"/>
    <w:rsid w:val="25381005"/>
    <w:rsid w:val="2538DDCC"/>
    <w:rsid w:val="253968F9"/>
    <w:rsid w:val="253ABF6E"/>
    <w:rsid w:val="253CD307"/>
    <w:rsid w:val="253DD213"/>
    <w:rsid w:val="253E9434"/>
    <w:rsid w:val="25433191"/>
    <w:rsid w:val="25459F11"/>
    <w:rsid w:val="2549C47D"/>
    <w:rsid w:val="254AA1BC"/>
    <w:rsid w:val="254B3152"/>
    <w:rsid w:val="254BA2FA"/>
    <w:rsid w:val="254C7ACA"/>
    <w:rsid w:val="254CECB6"/>
    <w:rsid w:val="254F0F1F"/>
    <w:rsid w:val="2550AC1E"/>
    <w:rsid w:val="2552E9DB"/>
    <w:rsid w:val="2554AD06"/>
    <w:rsid w:val="2555DAF2"/>
    <w:rsid w:val="2555F2E6"/>
    <w:rsid w:val="25568111"/>
    <w:rsid w:val="2557CC64"/>
    <w:rsid w:val="2559AF62"/>
    <w:rsid w:val="255A560C"/>
    <w:rsid w:val="255A6D70"/>
    <w:rsid w:val="255A718D"/>
    <w:rsid w:val="255A9072"/>
    <w:rsid w:val="255C7683"/>
    <w:rsid w:val="25608621"/>
    <w:rsid w:val="2560A1CF"/>
    <w:rsid w:val="2560AB19"/>
    <w:rsid w:val="2561A38B"/>
    <w:rsid w:val="256265CE"/>
    <w:rsid w:val="25628C39"/>
    <w:rsid w:val="2562E0E6"/>
    <w:rsid w:val="25635B32"/>
    <w:rsid w:val="25637481"/>
    <w:rsid w:val="25652C0E"/>
    <w:rsid w:val="2565AE45"/>
    <w:rsid w:val="2566BFC9"/>
    <w:rsid w:val="25670316"/>
    <w:rsid w:val="25687DC5"/>
    <w:rsid w:val="256AB59D"/>
    <w:rsid w:val="256B4037"/>
    <w:rsid w:val="256E100A"/>
    <w:rsid w:val="256EB963"/>
    <w:rsid w:val="256F5161"/>
    <w:rsid w:val="256FD4F1"/>
    <w:rsid w:val="25719620"/>
    <w:rsid w:val="25727957"/>
    <w:rsid w:val="2574E2B3"/>
    <w:rsid w:val="2575A626"/>
    <w:rsid w:val="2576A71E"/>
    <w:rsid w:val="2580A21C"/>
    <w:rsid w:val="25827E97"/>
    <w:rsid w:val="2582B00D"/>
    <w:rsid w:val="25852998"/>
    <w:rsid w:val="2586F4A8"/>
    <w:rsid w:val="258800EB"/>
    <w:rsid w:val="258BA008"/>
    <w:rsid w:val="258BAE92"/>
    <w:rsid w:val="2590C702"/>
    <w:rsid w:val="2590FB6E"/>
    <w:rsid w:val="259342B9"/>
    <w:rsid w:val="25957C5F"/>
    <w:rsid w:val="2595C42B"/>
    <w:rsid w:val="25967689"/>
    <w:rsid w:val="25986F3F"/>
    <w:rsid w:val="25996D8E"/>
    <w:rsid w:val="259B2BAD"/>
    <w:rsid w:val="259B3AA2"/>
    <w:rsid w:val="25A21764"/>
    <w:rsid w:val="25A2C4B7"/>
    <w:rsid w:val="25A4C76F"/>
    <w:rsid w:val="25A5F9F5"/>
    <w:rsid w:val="25A62862"/>
    <w:rsid w:val="25A81043"/>
    <w:rsid w:val="25A943C2"/>
    <w:rsid w:val="25AA0C90"/>
    <w:rsid w:val="25AB16C0"/>
    <w:rsid w:val="25AC44A7"/>
    <w:rsid w:val="25AC827D"/>
    <w:rsid w:val="25ACD704"/>
    <w:rsid w:val="25B060D7"/>
    <w:rsid w:val="25B0B16B"/>
    <w:rsid w:val="25B156D6"/>
    <w:rsid w:val="25B511FD"/>
    <w:rsid w:val="25B71556"/>
    <w:rsid w:val="25B7ED34"/>
    <w:rsid w:val="25B96135"/>
    <w:rsid w:val="25B9CFE2"/>
    <w:rsid w:val="25BC59A7"/>
    <w:rsid w:val="25BDB6CE"/>
    <w:rsid w:val="25BF3469"/>
    <w:rsid w:val="25C0CBE0"/>
    <w:rsid w:val="25C45840"/>
    <w:rsid w:val="25CB3A80"/>
    <w:rsid w:val="25CBB0B2"/>
    <w:rsid w:val="25CC0F35"/>
    <w:rsid w:val="25CC736E"/>
    <w:rsid w:val="25CD473E"/>
    <w:rsid w:val="25CDB6FD"/>
    <w:rsid w:val="25CE8AA4"/>
    <w:rsid w:val="25CF670D"/>
    <w:rsid w:val="25D39E65"/>
    <w:rsid w:val="25D788CA"/>
    <w:rsid w:val="25D82482"/>
    <w:rsid w:val="25D8C1F9"/>
    <w:rsid w:val="25D8DE1A"/>
    <w:rsid w:val="25DAD492"/>
    <w:rsid w:val="25E0ECE5"/>
    <w:rsid w:val="25E1087F"/>
    <w:rsid w:val="25E14396"/>
    <w:rsid w:val="25E38EE4"/>
    <w:rsid w:val="25E4D896"/>
    <w:rsid w:val="25E62193"/>
    <w:rsid w:val="25E6EF31"/>
    <w:rsid w:val="25EACEEF"/>
    <w:rsid w:val="25EB3912"/>
    <w:rsid w:val="25EBD1BF"/>
    <w:rsid w:val="25F05F08"/>
    <w:rsid w:val="25F1093C"/>
    <w:rsid w:val="25F1D3CB"/>
    <w:rsid w:val="25F373D5"/>
    <w:rsid w:val="25F54573"/>
    <w:rsid w:val="25F8731E"/>
    <w:rsid w:val="25F9ACBC"/>
    <w:rsid w:val="25FB51FE"/>
    <w:rsid w:val="25FC0B8F"/>
    <w:rsid w:val="25FC7B01"/>
    <w:rsid w:val="25FCD408"/>
    <w:rsid w:val="25FDA1CD"/>
    <w:rsid w:val="260009A9"/>
    <w:rsid w:val="26009CDE"/>
    <w:rsid w:val="26011E7D"/>
    <w:rsid w:val="260249C6"/>
    <w:rsid w:val="2603731C"/>
    <w:rsid w:val="26046249"/>
    <w:rsid w:val="2604C6A7"/>
    <w:rsid w:val="26052C6A"/>
    <w:rsid w:val="2605B535"/>
    <w:rsid w:val="2605CBAB"/>
    <w:rsid w:val="2606AFA7"/>
    <w:rsid w:val="260870E1"/>
    <w:rsid w:val="260B8DD9"/>
    <w:rsid w:val="260CC947"/>
    <w:rsid w:val="2610043E"/>
    <w:rsid w:val="26119762"/>
    <w:rsid w:val="26121B24"/>
    <w:rsid w:val="261308DD"/>
    <w:rsid w:val="26133BCC"/>
    <w:rsid w:val="2613EEEF"/>
    <w:rsid w:val="261602C2"/>
    <w:rsid w:val="26162F02"/>
    <w:rsid w:val="2616300B"/>
    <w:rsid w:val="2618EF24"/>
    <w:rsid w:val="261A39F1"/>
    <w:rsid w:val="261FF173"/>
    <w:rsid w:val="262020B0"/>
    <w:rsid w:val="2621A923"/>
    <w:rsid w:val="2622719F"/>
    <w:rsid w:val="2622B5D7"/>
    <w:rsid w:val="26235BA9"/>
    <w:rsid w:val="262376A1"/>
    <w:rsid w:val="26292340"/>
    <w:rsid w:val="26294E58"/>
    <w:rsid w:val="262A3146"/>
    <w:rsid w:val="262B6B27"/>
    <w:rsid w:val="262D23C0"/>
    <w:rsid w:val="262E2C37"/>
    <w:rsid w:val="262F3D1B"/>
    <w:rsid w:val="262FC3EF"/>
    <w:rsid w:val="263049C3"/>
    <w:rsid w:val="2632E20F"/>
    <w:rsid w:val="2632F864"/>
    <w:rsid w:val="263463FD"/>
    <w:rsid w:val="26346C2E"/>
    <w:rsid w:val="263709B9"/>
    <w:rsid w:val="26388327"/>
    <w:rsid w:val="26391A80"/>
    <w:rsid w:val="263BC9B0"/>
    <w:rsid w:val="263E3CD5"/>
    <w:rsid w:val="263E457F"/>
    <w:rsid w:val="263EB5F7"/>
    <w:rsid w:val="263EDF3F"/>
    <w:rsid w:val="26419D6E"/>
    <w:rsid w:val="26429308"/>
    <w:rsid w:val="26431AC7"/>
    <w:rsid w:val="2645F816"/>
    <w:rsid w:val="264B4A16"/>
    <w:rsid w:val="264B8F17"/>
    <w:rsid w:val="264BE0F7"/>
    <w:rsid w:val="264E98BB"/>
    <w:rsid w:val="26537F4F"/>
    <w:rsid w:val="265E7841"/>
    <w:rsid w:val="265F3FF0"/>
    <w:rsid w:val="26601280"/>
    <w:rsid w:val="26618648"/>
    <w:rsid w:val="2661C7B6"/>
    <w:rsid w:val="2662C801"/>
    <w:rsid w:val="2665221E"/>
    <w:rsid w:val="2665EF93"/>
    <w:rsid w:val="2666CF08"/>
    <w:rsid w:val="2667841B"/>
    <w:rsid w:val="26681097"/>
    <w:rsid w:val="26684E08"/>
    <w:rsid w:val="2669C103"/>
    <w:rsid w:val="266A2093"/>
    <w:rsid w:val="266A29FC"/>
    <w:rsid w:val="266D82A1"/>
    <w:rsid w:val="266E14A1"/>
    <w:rsid w:val="2672AC5A"/>
    <w:rsid w:val="26747434"/>
    <w:rsid w:val="2674DD6B"/>
    <w:rsid w:val="26758850"/>
    <w:rsid w:val="267803FA"/>
    <w:rsid w:val="26799631"/>
    <w:rsid w:val="2679BD3C"/>
    <w:rsid w:val="2679F2F5"/>
    <w:rsid w:val="267A6D11"/>
    <w:rsid w:val="267B1633"/>
    <w:rsid w:val="267DBAB4"/>
    <w:rsid w:val="267F35AA"/>
    <w:rsid w:val="267F3BF2"/>
    <w:rsid w:val="26802DAE"/>
    <w:rsid w:val="2682A39C"/>
    <w:rsid w:val="26849594"/>
    <w:rsid w:val="2684A915"/>
    <w:rsid w:val="2684C98A"/>
    <w:rsid w:val="2686A5D3"/>
    <w:rsid w:val="268A1FAE"/>
    <w:rsid w:val="268B7363"/>
    <w:rsid w:val="268BFD9A"/>
    <w:rsid w:val="268CB680"/>
    <w:rsid w:val="268D1EB6"/>
    <w:rsid w:val="26903646"/>
    <w:rsid w:val="26917510"/>
    <w:rsid w:val="26920669"/>
    <w:rsid w:val="2692437C"/>
    <w:rsid w:val="26926F3E"/>
    <w:rsid w:val="2694B8B5"/>
    <w:rsid w:val="269597C5"/>
    <w:rsid w:val="26967B26"/>
    <w:rsid w:val="26967D5E"/>
    <w:rsid w:val="26989A0F"/>
    <w:rsid w:val="269E2321"/>
    <w:rsid w:val="269E3BAA"/>
    <w:rsid w:val="269FDA7C"/>
    <w:rsid w:val="26A02CFF"/>
    <w:rsid w:val="26A43672"/>
    <w:rsid w:val="26A55B04"/>
    <w:rsid w:val="26A63BC6"/>
    <w:rsid w:val="26A6A681"/>
    <w:rsid w:val="26AADA3A"/>
    <w:rsid w:val="26AB0D0F"/>
    <w:rsid w:val="26AE43EA"/>
    <w:rsid w:val="26AEC59A"/>
    <w:rsid w:val="26B14675"/>
    <w:rsid w:val="26B3A0D9"/>
    <w:rsid w:val="26B5A675"/>
    <w:rsid w:val="26BA9754"/>
    <w:rsid w:val="26BBB973"/>
    <w:rsid w:val="26BCB463"/>
    <w:rsid w:val="26BD17F2"/>
    <w:rsid w:val="26C15F68"/>
    <w:rsid w:val="26C22B0B"/>
    <w:rsid w:val="26C22B34"/>
    <w:rsid w:val="26C2E120"/>
    <w:rsid w:val="26C30D87"/>
    <w:rsid w:val="26C40AB1"/>
    <w:rsid w:val="26C5AB70"/>
    <w:rsid w:val="26C69152"/>
    <w:rsid w:val="26C9E71A"/>
    <w:rsid w:val="26CA101B"/>
    <w:rsid w:val="26D27CCD"/>
    <w:rsid w:val="26D28E6B"/>
    <w:rsid w:val="26D43CE5"/>
    <w:rsid w:val="26D680C4"/>
    <w:rsid w:val="26D762FE"/>
    <w:rsid w:val="26D9B9CA"/>
    <w:rsid w:val="26DA4FCB"/>
    <w:rsid w:val="26DAE39C"/>
    <w:rsid w:val="26DD410D"/>
    <w:rsid w:val="26DE459F"/>
    <w:rsid w:val="26DF7AF1"/>
    <w:rsid w:val="26E29D89"/>
    <w:rsid w:val="26E74C94"/>
    <w:rsid w:val="26E92137"/>
    <w:rsid w:val="26EA5EAC"/>
    <w:rsid w:val="26EB3334"/>
    <w:rsid w:val="26EB795A"/>
    <w:rsid w:val="26EBE33F"/>
    <w:rsid w:val="26ECDAE3"/>
    <w:rsid w:val="26EDD402"/>
    <w:rsid w:val="26EDE295"/>
    <w:rsid w:val="26F44FB9"/>
    <w:rsid w:val="26F54588"/>
    <w:rsid w:val="26F5460F"/>
    <w:rsid w:val="26F5A3E2"/>
    <w:rsid w:val="26F65FF0"/>
    <w:rsid w:val="26F836AE"/>
    <w:rsid w:val="26F95EF6"/>
    <w:rsid w:val="26F9E329"/>
    <w:rsid w:val="26FB4CB0"/>
    <w:rsid w:val="26FC4889"/>
    <w:rsid w:val="26FC54E4"/>
    <w:rsid w:val="2701261D"/>
    <w:rsid w:val="27016C9B"/>
    <w:rsid w:val="27056564"/>
    <w:rsid w:val="2705FC7B"/>
    <w:rsid w:val="27060327"/>
    <w:rsid w:val="27078ED3"/>
    <w:rsid w:val="27088E67"/>
    <w:rsid w:val="27090323"/>
    <w:rsid w:val="270B1645"/>
    <w:rsid w:val="270C6B10"/>
    <w:rsid w:val="270D2C87"/>
    <w:rsid w:val="270DABD2"/>
    <w:rsid w:val="2711CAB0"/>
    <w:rsid w:val="2712526C"/>
    <w:rsid w:val="27179ABA"/>
    <w:rsid w:val="271C364E"/>
    <w:rsid w:val="271C9423"/>
    <w:rsid w:val="271D7510"/>
    <w:rsid w:val="271DA064"/>
    <w:rsid w:val="271EC66A"/>
    <w:rsid w:val="271FB0FA"/>
    <w:rsid w:val="27206ED5"/>
    <w:rsid w:val="2720EE48"/>
    <w:rsid w:val="2721A797"/>
    <w:rsid w:val="2721DE16"/>
    <w:rsid w:val="2722C838"/>
    <w:rsid w:val="2722F754"/>
    <w:rsid w:val="27245308"/>
    <w:rsid w:val="27245CA5"/>
    <w:rsid w:val="2724681F"/>
    <w:rsid w:val="27246CD6"/>
    <w:rsid w:val="2725F79F"/>
    <w:rsid w:val="272642E0"/>
    <w:rsid w:val="27288E88"/>
    <w:rsid w:val="2728FC5F"/>
    <w:rsid w:val="272D9CF5"/>
    <w:rsid w:val="272E143F"/>
    <w:rsid w:val="27314B46"/>
    <w:rsid w:val="27331564"/>
    <w:rsid w:val="27347DA0"/>
    <w:rsid w:val="27389EA2"/>
    <w:rsid w:val="273FEBF9"/>
    <w:rsid w:val="274090A0"/>
    <w:rsid w:val="2743ACF2"/>
    <w:rsid w:val="27444E04"/>
    <w:rsid w:val="2744D5F3"/>
    <w:rsid w:val="27454C67"/>
    <w:rsid w:val="274A480B"/>
    <w:rsid w:val="274B517C"/>
    <w:rsid w:val="274BC088"/>
    <w:rsid w:val="274C5357"/>
    <w:rsid w:val="274EAF2F"/>
    <w:rsid w:val="274F4849"/>
    <w:rsid w:val="274FD0EE"/>
    <w:rsid w:val="275006FF"/>
    <w:rsid w:val="27501175"/>
    <w:rsid w:val="275194BB"/>
    <w:rsid w:val="27532CC0"/>
    <w:rsid w:val="2753B649"/>
    <w:rsid w:val="27542EAF"/>
    <w:rsid w:val="27546F73"/>
    <w:rsid w:val="27554599"/>
    <w:rsid w:val="27564459"/>
    <w:rsid w:val="2757E10C"/>
    <w:rsid w:val="2758F627"/>
    <w:rsid w:val="27595DC5"/>
    <w:rsid w:val="275CA6B1"/>
    <w:rsid w:val="275D7380"/>
    <w:rsid w:val="275F46AA"/>
    <w:rsid w:val="275F7873"/>
    <w:rsid w:val="27605684"/>
    <w:rsid w:val="27647188"/>
    <w:rsid w:val="27693379"/>
    <w:rsid w:val="2769381E"/>
    <w:rsid w:val="276D4EA5"/>
    <w:rsid w:val="276D5B23"/>
    <w:rsid w:val="276EBB0C"/>
    <w:rsid w:val="276F0BEB"/>
    <w:rsid w:val="27701BE1"/>
    <w:rsid w:val="2770DC4A"/>
    <w:rsid w:val="2772C332"/>
    <w:rsid w:val="27731A99"/>
    <w:rsid w:val="2775B3FC"/>
    <w:rsid w:val="2775E23E"/>
    <w:rsid w:val="2777A299"/>
    <w:rsid w:val="27790237"/>
    <w:rsid w:val="277973AD"/>
    <w:rsid w:val="277D0F19"/>
    <w:rsid w:val="277D1AB2"/>
    <w:rsid w:val="277D6FB0"/>
    <w:rsid w:val="277D874A"/>
    <w:rsid w:val="277E814C"/>
    <w:rsid w:val="2780CAD8"/>
    <w:rsid w:val="27837182"/>
    <w:rsid w:val="2783A287"/>
    <w:rsid w:val="27842143"/>
    <w:rsid w:val="27849AD1"/>
    <w:rsid w:val="2784B9BC"/>
    <w:rsid w:val="27855DB5"/>
    <w:rsid w:val="2785AFD3"/>
    <w:rsid w:val="2785F4C8"/>
    <w:rsid w:val="27875173"/>
    <w:rsid w:val="278D92F0"/>
    <w:rsid w:val="278F9A9F"/>
    <w:rsid w:val="2790F011"/>
    <w:rsid w:val="2791FCEC"/>
    <w:rsid w:val="2793C482"/>
    <w:rsid w:val="2793FDD9"/>
    <w:rsid w:val="2795FD80"/>
    <w:rsid w:val="2797E750"/>
    <w:rsid w:val="2798D0DA"/>
    <w:rsid w:val="279C0E24"/>
    <w:rsid w:val="279DAF50"/>
    <w:rsid w:val="279FBDCD"/>
    <w:rsid w:val="27A2790D"/>
    <w:rsid w:val="27A39A35"/>
    <w:rsid w:val="27A6BBC6"/>
    <w:rsid w:val="27A70879"/>
    <w:rsid w:val="27A7DC76"/>
    <w:rsid w:val="27A864D3"/>
    <w:rsid w:val="27A8AA31"/>
    <w:rsid w:val="27A933C4"/>
    <w:rsid w:val="27A938B5"/>
    <w:rsid w:val="27A9DA69"/>
    <w:rsid w:val="27A9FFFC"/>
    <w:rsid w:val="27AB86F0"/>
    <w:rsid w:val="27AFEC00"/>
    <w:rsid w:val="27B0149D"/>
    <w:rsid w:val="27B5E3C6"/>
    <w:rsid w:val="27B8C375"/>
    <w:rsid w:val="27B9D81E"/>
    <w:rsid w:val="27BAB45D"/>
    <w:rsid w:val="27BD8F67"/>
    <w:rsid w:val="27BEA5D9"/>
    <w:rsid w:val="27BF266B"/>
    <w:rsid w:val="27BF404D"/>
    <w:rsid w:val="27C0D701"/>
    <w:rsid w:val="27C1D55A"/>
    <w:rsid w:val="27C25FA7"/>
    <w:rsid w:val="27C689C3"/>
    <w:rsid w:val="27C83010"/>
    <w:rsid w:val="27CADCD3"/>
    <w:rsid w:val="27CB9078"/>
    <w:rsid w:val="27CBD7CF"/>
    <w:rsid w:val="27CC7166"/>
    <w:rsid w:val="27CCCB4D"/>
    <w:rsid w:val="27CE6C71"/>
    <w:rsid w:val="27CF55A5"/>
    <w:rsid w:val="27D60DCB"/>
    <w:rsid w:val="27D7B7D6"/>
    <w:rsid w:val="27D92068"/>
    <w:rsid w:val="27D968ED"/>
    <w:rsid w:val="27DB7774"/>
    <w:rsid w:val="27DBE6A0"/>
    <w:rsid w:val="27DC8F59"/>
    <w:rsid w:val="27DEA45B"/>
    <w:rsid w:val="27E17D01"/>
    <w:rsid w:val="27E3CEB3"/>
    <w:rsid w:val="27E719C9"/>
    <w:rsid w:val="27E793DF"/>
    <w:rsid w:val="27E9BF8E"/>
    <w:rsid w:val="27EA4EBF"/>
    <w:rsid w:val="27EC28A8"/>
    <w:rsid w:val="27ED3E1D"/>
    <w:rsid w:val="27EDF870"/>
    <w:rsid w:val="27EEC621"/>
    <w:rsid w:val="27F0FA8A"/>
    <w:rsid w:val="27F2C13C"/>
    <w:rsid w:val="27F31BC4"/>
    <w:rsid w:val="27F3980B"/>
    <w:rsid w:val="27F58F4F"/>
    <w:rsid w:val="27FA930A"/>
    <w:rsid w:val="27FB0746"/>
    <w:rsid w:val="27FB7B83"/>
    <w:rsid w:val="27FD105A"/>
    <w:rsid w:val="2803FDC0"/>
    <w:rsid w:val="2804ACAC"/>
    <w:rsid w:val="2806DCFA"/>
    <w:rsid w:val="280776FD"/>
    <w:rsid w:val="280909CB"/>
    <w:rsid w:val="280960D0"/>
    <w:rsid w:val="2809AC22"/>
    <w:rsid w:val="280AC33A"/>
    <w:rsid w:val="280BC5C2"/>
    <w:rsid w:val="280CCA40"/>
    <w:rsid w:val="280DB037"/>
    <w:rsid w:val="280E198F"/>
    <w:rsid w:val="280E267F"/>
    <w:rsid w:val="280E8F6B"/>
    <w:rsid w:val="280F37E7"/>
    <w:rsid w:val="2811A58E"/>
    <w:rsid w:val="2812C12B"/>
    <w:rsid w:val="2818B8FE"/>
    <w:rsid w:val="28192A8B"/>
    <w:rsid w:val="281AB0B2"/>
    <w:rsid w:val="281EE8E3"/>
    <w:rsid w:val="281F1985"/>
    <w:rsid w:val="281F402B"/>
    <w:rsid w:val="28265B51"/>
    <w:rsid w:val="282696D1"/>
    <w:rsid w:val="28273828"/>
    <w:rsid w:val="2827618B"/>
    <w:rsid w:val="282836FE"/>
    <w:rsid w:val="282C6196"/>
    <w:rsid w:val="282C9A1A"/>
    <w:rsid w:val="282CB7CA"/>
    <w:rsid w:val="282D4BD3"/>
    <w:rsid w:val="282FD81E"/>
    <w:rsid w:val="28328B06"/>
    <w:rsid w:val="283508C8"/>
    <w:rsid w:val="28352198"/>
    <w:rsid w:val="283568CB"/>
    <w:rsid w:val="2836C34B"/>
    <w:rsid w:val="283888C0"/>
    <w:rsid w:val="283E6D26"/>
    <w:rsid w:val="283E89D1"/>
    <w:rsid w:val="283F1297"/>
    <w:rsid w:val="28402C8F"/>
    <w:rsid w:val="284232CC"/>
    <w:rsid w:val="2844FA83"/>
    <w:rsid w:val="28454A35"/>
    <w:rsid w:val="2845C89A"/>
    <w:rsid w:val="28479B8D"/>
    <w:rsid w:val="284ABF68"/>
    <w:rsid w:val="284B0E32"/>
    <w:rsid w:val="284B1A69"/>
    <w:rsid w:val="284E7760"/>
    <w:rsid w:val="284ED53F"/>
    <w:rsid w:val="28545FF6"/>
    <w:rsid w:val="2856BD80"/>
    <w:rsid w:val="28573D81"/>
    <w:rsid w:val="2857D011"/>
    <w:rsid w:val="2858207B"/>
    <w:rsid w:val="285B4B52"/>
    <w:rsid w:val="285E31F6"/>
    <w:rsid w:val="285E8B5A"/>
    <w:rsid w:val="285FA70F"/>
    <w:rsid w:val="28620840"/>
    <w:rsid w:val="2862119E"/>
    <w:rsid w:val="286547E6"/>
    <w:rsid w:val="2867D52D"/>
    <w:rsid w:val="286829DD"/>
    <w:rsid w:val="286849A6"/>
    <w:rsid w:val="2869BEA9"/>
    <w:rsid w:val="286E12B3"/>
    <w:rsid w:val="286E467B"/>
    <w:rsid w:val="286E8F99"/>
    <w:rsid w:val="286F0AB4"/>
    <w:rsid w:val="286F37F2"/>
    <w:rsid w:val="2870262F"/>
    <w:rsid w:val="2871171B"/>
    <w:rsid w:val="287143BF"/>
    <w:rsid w:val="28718798"/>
    <w:rsid w:val="287270CF"/>
    <w:rsid w:val="287293FB"/>
    <w:rsid w:val="2873933A"/>
    <w:rsid w:val="28776F6D"/>
    <w:rsid w:val="287844DF"/>
    <w:rsid w:val="2878D821"/>
    <w:rsid w:val="28838A38"/>
    <w:rsid w:val="2885FC29"/>
    <w:rsid w:val="2887C6DF"/>
    <w:rsid w:val="2889CBA5"/>
    <w:rsid w:val="288B3B41"/>
    <w:rsid w:val="288C1E02"/>
    <w:rsid w:val="288DAE44"/>
    <w:rsid w:val="288F50D9"/>
    <w:rsid w:val="2892FF5D"/>
    <w:rsid w:val="28930756"/>
    <w:rsid w:val="28931AAC"/>
    <w:rsid w:val="28954F94"/>
    <w:rsid w:val="28960235"/>
    <w:rsid w:val="2896FE9F"/>
    <w:rsid w:val="2898724A"/>
    <w:rsid w:val="289A53C0"/>
    <w:rsid w:val="289AA403"/>
    <w:rsid w:val="289AB7B9"/>
    <w:rsid w:val="289AF19C"/>
    <w:rsid w:val="289BE012"/>
    <w:rsid w:val="289D3009"/>
    <w:rsid w:val="289D8F6F"/>
    <w:rsid w:val="289ECE6C"/>
    <w:rsid w:val="289F6A63"/>
    <w:rsid w:val="28A0CCA3"/>
    <w:rsid w:val="28A16FF9"/>
    <w:rsid w:val="28A187D6"/>
    <w:rsid w:val="28A3A245"/>
    <w:rsid w:val="28A408FA"/>
    <w:rsid w:val="28A87EAE"/>
    <w:rsid w:val="28A8E591"/>
    <w:rsid w:val="28A9835A"/>
    <w:rsid w:val="28AA1A29"/>
    <w:rsid w:val="28AABDD5"/>
    <w:rsid w:val="28AB9032"/>
    <w:rsid w:val="28AC3BB1"/>
    <w:rsid w:val="28ACDAD6"/>
    <w:rsid w:val="28AD64DD"/>
    <w:rsid w:val="28AF0ABF"/>
    <w:rsid w:val="28B09399"/>
    <w:rsid w:val="28B1A9BC"/>
    <w:rsid w:val="28B2B897"/>
    <w:rsid w:val="28B365C5"/>
    <w:rsid w:val="28B48EE8"/>
    <w:rsid w:val="28B51B3E"/>
    <w:rsid w:val="28B595B3"/>
    <w:rsid w:val="28B62893"/>
    <w:rsid w:val="28B8B015"/>
    <w:rsid w:val="28BA074D"/>
    <w:rsid w:val="28BAF486"/>
    <w:rsid w:val="28BBA141"/>
    <w:rsid w:val="28BC9859"/>
    <w:rsid w:val="28BE899B"/>
    <w:rsid w:val="28C299E7"/>
    <w:rsid w:val="28C3926D"/>
    <w:rsid w:val="28C3C59C"/>
    <w:rsid w:val="28C41A4D"/>
    <w:rsid w:val="28C476F3"/>
    <w:rsid w:val="28C4CCC0"/>
    <w:rsid w:val="28C638CB"/>
    <w:rsid w:val="28C63D43"/>
    <w:rsid w:val="28C677F2"/>
    <w:rsid w:val="28C68B11"/>
    <w:rsid w:val="28C7C2FD"/>
    <w:rsid w:val="28C835F9"/>
    <w:rsid w:val="28CEC7CB"/>
    <w:rsid w:val="28D003D0"/>
    <w:rsid w:val="28D099B9"/>
    <w:rsid w:val="28D1F1C9"/>
    <w:rsid w:val="28D22AB9"/>
    <w:rsid w:val="28D31157"/>
    <w:rsid w:val="28D5FF7B"/>
    <w:rsid w:val="28D66599"/>
    <w:rsid w:val="28D6CCEA"/>
    <w:rsid w:val="28DAE011"/>
    <w:rsid w:val="28E08AAD"/>
    <w:rsid w:val="28E37460"/>
    <w:rsid w:val="28E3ED5D"/>
    <w:rsid w:val="28E8D0E8"/>
    <w:rsid w:val="28EC620C"/>
    <w:rsid w:val="28ED3956"/>
    <w:rsid w:val="28EE5FA6"/>
    <w:rsid w:val="28EEA707"/>
    <w:rsid w:val="28EF8950"/>
    <w:rsid w:val="28F0C36E"/>
    <w:rsid w:val="28F1A1D4"/>
    <w:rsid w:val="28F1F3E3"/>
    <w:rsid w:val="28F3E9BA"/>
    <w:rsid w:val="28F49283"/>
    <w:rsid w:val="28F7CFEA"/>
    <w:rsid w:val="28F935DD"/>
    <w:rsid w:val="28F943E1"/>
    <w:rsid w:val="28FA3D32"/>
    <w:rsid w:val="28FA5D95"/>
    <w:rsid w:val="28FB6D88"/>
    <w:rsid w:val="28FBFA7E"/>
    <w:rsid w:val="28FC6FE5"/>
    <w:rsid w:val="28FD106A"/>
    <w:rsid w:val="28FDCECF"/>
    <w:rsid w:val="28FEC274"/>
    <w:rsid w:val="28FF4BFB"/>
    <w:rsid w:val="29032FFC"/>
    <w:rsid w:val="2907126D"/>
    <w:rsid w:val="29086C4B"/>
    <w:rsid w:val="29094F9E"/>
    <w:rsid w:val="290A6ED0"/>
    <w:rsid w:val="290AFD76"/>
    <w:rsid w:val="290C062B"/>
    <w:rsid w:val="290C6BB6"/>
    <w:rsid w:val="290D0111"/>
    <w:rsid w:val="290DB167"/>
    <w:rsid w:val="290FD2E0"/>
    <w:rsid w:val="29127F47"/>
    <w:rsid w:val="29136063"/>
    <w:rsid w:val="29145716"/>
    <w:rsid w:val="2914A104"/>
    <w:rsid w:val="2915FDF1"/>
    <w:rsid w:val="2917E6DE"/>
    <w:rsid w:val="291C8129"/>
    <w:rsid w:val="291D8DD6"/>
    <w:rsid w:val="291DE154"/>
    <w:rsid w:val="29226097"/>
    <w:rsid w:val="29232138"/>
    <w:rsid w:val="29248648"/>
    <w:rsid w:val="2924A84F"/>
    <w:rsid w:val="29287C30"/>
    <w:rsid w:val="2928C454"/>
    <w:rsid w:val="2929D4B2"/>
    <w:rsid w:val="292B623B"/>
    <w:rsid w:val="292EDE9C"/>
    <w:rsid w:val="292F4A92"/>
    <w:rsid w:val="292F72D9"/>
    <w:rsid w:val="293043EA"/>
    <w:rsid w:val="2931DD78"/>
    <w:rsid w:val="293249C5"/>
    <w:rsid w:val="2932A099"/>
    <w:rsid w:val="29351C03"/>
    <w:rsid w:val="29358FDA"/>
    <w:rsid w:val="2939E9CA"/>
    <w:rsid w:val="293A4A54"/>
    <w:rsid w:val="293B5511"/>
    <w:rsid w:val="293BA38D"/>
    <w:rsid w:val="293E5DA7"/>
    <w:rsid w:val="29411EC4"/>
    <w:rsid w:val="294440A8"/>
    <w:rsid w:val="2944B63D"/>
    <w:rsid w:val="2945563D"/>
    <w:rsid w:val="29457A9D"/>
    <w:rsid w:val="29461698"/>
    <w:rsid w:val="294699B8"/>
    <w:rsid w:val="29486B8F"/>
    <w:rsid w:val="29487D54"/>
    <w:rsid w:val="294916FE"/>
    <w:rsid w:val="294998A7"/>
    <w:rsid w:val="294B3EF6"/>
    <w:rsid w:val="294BBCBB"/>
    <w:rsid w:val="294C6A49"/>
    <w:rsid w:val="294CF999"/>
    <w:rsid w:val="294D1B35"/>
    <w:rsid w:val="295086CE"/>
    <w:rsid w:val="2952D462"/>
    <w:rsid w:val="2956418B"/>
    <w:rsid w:val="29598B9B"/>
    <w:rsid w:val="295B3827"/>
    <w:rsid w:val="295C49DF"/>
    <w:rsid w:val="295D6CDC"/>
    <w:rsid w:val="295E4BAD"/>
    <w:rsid w:val="29602521"/>
    <w:rsid w:val="29604423"/>
    <w:rsid w:val="296270DD"/>
    <w:rsid w:val="2966390A"/>
    <w:rsid w:val="29682233"/>
    <w:rsid w:val="296BE717"/>
    <w:rsid w:val="296E268A"/>
    <w:rsid w:val="296FA1CD"/>
    <w:rsid w:val="29702B3A"/>
    <w:rsid w:val="29724A08"/>
    <w:rsid w:val="29726849"/>
    <w:rsid w:val="2972DB79"/>
    <w:rsid w:val="29739BFE"/>
    <w:rsid w:val="297591FD"/>
    <w:rsid w:val="29760DA2"/>
    <w:rsid w:val="2976F775"/>
    <w:rsid w:val="2977ABBB"/>
    <w:rsid w:val="2977C963"/>
    <w:rsid w:val="29780282"/>
    <w:rsid w:val="29782900"/>
    <w:rsid w:val="2978CBD0"/>
    <w:rsid w:val="297939AF"/>
    <w:rsid w:val="29794D5A"/>
    <w:rsid w:val="297AD3DF"/>
    <w:rsid w:val="297B660D"/>
    <w:rsid w:val="297BC58D"/>
    <w:rsid w:val="297D1AF9"/>
    <w:rsid w:val="297DEF12"/>
    <w:rsid w:val="297F4FF0"/>
    <w:rsid w:val="2980AC2D"/>
    <w:rsid w:val="2980D69B"/>
    <w:rsid w:val="29812B20"/>
    <w:rsid w:val="29819493"/>
    <w:rsid w:val="2981B748"/>
    <w:rsid w:val="2983459F"/>
    <w:rsid w:val="2984B24E"/>
    <w:rsid w:val="2984B427"/>
    <w:rsid w:val="2987B97C"/>
    <w:rsid w:val="298A154B"/>
    <w:rsid w:val="298B6A81"/>
    <w:rsid w:val="298D4D38"/>
    <w:rsid w:val="298E9FC9"/>
    <w:rsid w:val="2991F7E7"/>
    <w:rsid w:val="29932792"/>
    <w:rsid w:val="299341AC"/>
    <w:rsid w:val="2993A328"/>
    <w:rsid w:val="29950EBF"/>
    <w:rsid w:val="2995F5D2"/>
    <w:rsid w:val="29973C99"/>
    <w:rsid w:val="2997E9F9"/>
    <w:rsid w:val="29984B30"/>
    <w:rsid w:val="29989677"/>
    <w:rsid w:val="2998A570"/>
    <w:rsid w:val="299A3654"/>
    <w:rsid w:val="299A6C2C"/>
    <w:rsid w:val="299AD760"/>
    <w:rsid w:val="299B62D0"/>
    <w:rsid w:val="299BFAC8"/>
    <w:rsid w:val="299C4D90"/>
    <w:rsid w:val="299C9FBF"/>
    <w:rsid w:val="299E0E1A"/>
    <w:rsid w:val="299EA9F0"/>
    <w:rsid w:val="299EC583"/>
    <w:rsid w:val="299F8DA6"/>
    <w:rsid w:val="29A206CF"/>
    <w:rsid w:val="29A5245D"/>
    <w:rsid w:val="29A60F03"/>
    <w:rsid w:val="29A6116F"/>
    <w:rsid w:val="29A6DE45"/>
    <w:rsid w:val="29A79900"/>
    <w:rsid w:val="29A7A229"/>
    <w:rsid w:val="29AB42A6"/>
    <w:rsid w:val="29AEB5EC"/>
    <w:rsid w:val="29B04C9B"/>
    <w:rsid w:val="29B0C29C"/>
    <w:rsid w:val="29B246C6"/>
    <w:rsid w:val="29B8EDB5"/>
    <w:rsid w:val="29B9E6D1"/>
    <w:rsid w:val="29BB0B05"/>
    <w:rsid w:val="29BC4BAF"/>
    <w:rsid w:val="29BD41A0"/>
    <w:rsid w:val="29BE4A60"/>
    <w:rsid w:val="29BE6032"/>
    <w:rsid w:val="29BE82C5"/>
    <w:rsid w:val="29BEFA89"/>
    <w:rsid w:val="29C0D7B8"/>
    <w:rsid w:val="29C0FEC8"/>
    <w:rsid w:val="29C1B09E"/>
    <w:rsid w:val="29C1E7AA"/>
    <w:rsid w:val="29C39FA2"/>
    <w:rsid w:val="29C3D58A"/>
    <w:rsid w:val="29C49237"/>
    <w:rsid w:val="29C4A5F9"/>
    <w:rsid w:val="29C7381F"/>
    <w:rsid w:val="29C97E5D"/>
    <w:rsid w:val="29C9E02A"/>
    <w:rsid w:val="29CB26FE"/>
    <w:rsid w:val="29CC1DE6"/>
    <w:rsid w:val="29CD08D6"/>
    <w:rsid w:val="29CE77B2"/>
    <w:rsid w:val="29CEABDA"/>
    <w:rsid w:val="29CF64B7"/>
    <w:rsid w:val="29D14A52"/>
    <w:rsid w:val="29D150B2"/>
    <w:rsid w:val="29D15C41"/>
    <w:rsid w:val="29D19886"/>
    <w:rsid w:val="29D1AE9C"/>
    <w:rsid w:val="29D2947B"/>
    <w:rsid w:val="29D360D7"/>
    <w:rsid w:val="29D5F73A"/>
    <w:rsid w:val="29D98DA6"/>
    <w:rsid w:val="29D9AE80"/>
    <w:rsid w:val="29DB6DEB"/>
    <w:rsid w:val="29DC0F4B"/>
    <w:rsid w:val="29E054DC"/>
    <w:rsid w:val="29E35903"/>
    <w:rsid w:val="29E4708E"/>
    <w:rsid w:val="29E656DC"/>
    <w:rsid w:val="29E83263"/>
    <w:rsid w:val="29E885E2"/>
    <w:rsid w:val="29E8A11F"/>
    <w:rsid w:val="29EBA84B"/>
    <w:rsid w:val="29ECA64A"/>
    <w:rsid w:val="29ED234D"/>
    <w:rsid w:val="29F35183"/>
    <w:rsid w:val="29F468A6"/>
    <w:rsid w:val="29F5D7F0"/>
    <w:rsid w:val="29F5FD99"/>
    <w:rsid w:val="29F737A3"/>
    <w:rsid w:val="29F8597F"/>
    <w:rsid w:val="29F85D0E"/>
    <w:rsid w:val="29FCAE63"/>
    <w:rsid w:val="29FFF442"/>
    <w:rsid w:val="2A0090B3"/>
    <w:rsid w:val="2A00D4B3"/>
    <w:rsid w:val="2A02C279"/>
    <w:rsid w:val="2A04A92C"/>
    <w:rsid w:val="2A065C26"/>
    <w:rsid w:val="2A070CEC"/>
    <w:rsid w:val="2A07FC68"/>
    <w:rsid w:val="2A0B02AF"/>
    <w:rsid w:val="2A10982B"/>
    <w:rsid w:val="2A11E61F"/>
    <w:rsid w:val="2A121471"/>
    <w:rsid w:val="2A1270A7"/>
    <w:rsid w:val="2A14BA88"/>
    <w:rsid w:val="2A1728F7"/>
    <w:rsid w:val="2A17F7CC"/>
    <w:rsid w:val="2A17FD46"/>
    <w:rsid w:val="2A196028"/>
    <w:rsid w:val="2A19619A"/>
    <w:rsid w:val="2A1CD012"/>
    <w:rsid w:val="2A1ED668"/>
    <w:rsid w:val="2A1F3CE7"/>
    <w:rsid w:val="2A203409"/>
    <w:rsid w:val="2A212EE2"/>
    <w:rsid w:val="2A222762"/>
    <w:rsid w:val="2A239BC8"/>
    <w:rsid w:val="2A262D53"/>
    <w:rsid w:val="2A26E3F2"/>
    <w:rsid w:val="2A2B643E"/>
    <w:rsid w:val="2A2B9321"/>
    <w:rsid w:val="2A2CFE2E"/>
    <w:rsid w:val="2A2DDEA6"/>
    <w:rsid w:val="2A2FEF71"/>
    <w:rsid w:val="2A33066A"/>
    <w:rsid w:val="2A352F45"/>
    <w:rsid w:val="2A357BB5"/>
    <w:rsid w:val="2A36C6CF"/>
    <w:rsid w:val="2A38774A"/>
    <w:rsid w:val="2A391EE2"/>
    <w:rsid w:val="2A3AC447"/>
    <w:rsid w:val="2A3ADA83"/>
    <w:rsid w:val="2A3BA3E4"/>
    <w:rsid w:val="2A3BC16C"/>
    <w:rsid w:val="2A3D3361"/>
    <w:rsid w:val="2A3EBAF8"/>
    <w:rsid w:val="2A3F25E8"/>
    <w:rsid w:val="2A3F8900"/>
    <w:rsid w:val="2A41BD4D"/>
    <w:rsid w:val="2A42B2A2"/>
    <w:rsid w:val="2A441813"/>
    <w:rsid w:val="2A44983D"/>
    <w:rsid w:val="2A449FB6"/>
    <w:rsid w:val="2A46B367"/>
    <w:rsid w:val="2A46D999"/>
    <w:rsid w:val="2A4882A1"/>
    <w:rsid w:val="2A499814"/>
    <w:rsid w:val="2A4A10FE"/>
    <w:rsid w:val="2A4AEE61"/>
    <w:rsid w:val="2A4C1153"/>
    <w:rsid w:val="2A4C2168"/>
    <w:rsid w:val="2A4D2F8A"/>
    <w:rsid w:val="2A4D567D"/>
    <w:rsid w:val="2A4F9290"/>
    <w:rsid w:val="2A501862"/>
    <w:rsid w:val="2A516DA5"/>
    <w:rsid w:val="2A52860B"/>
    <w:rsid w:val="2A538079"/>
    <w:rsid w:val="2A5408A3"/>
    <w:rsid w:val="2A54A7AD"/>
    <w:rsid w:val="2A54CE86"/>
    <w:rsid w:val="2A559B49"/>
    <w:rsid w:val="2A56F4F6"/>
    <w:rsid w:val="2A577571"/>
    <w:rsid w:val="2A57F792"/>
    <w:rsid w:val="2A5A9F6A"/>
    <w:rsid w:val="2A5CAA1A"/>
    <w:rsid w:val="2A5E5875"/>
    <w:rsid w:val="2A5EA2BF"/>
    <w:rsid w:val="2A600E3B"/>
    <w:rsid w:val="2A60BFC1"/>
    <w:rsid w:val="2A617C5B"/>
    <w:rsid w:val="2A637850"/>
    <w:rsid w:val="2A63F1CC"/>
    <w:rsid w:val="2A676CFC"/>
    <w:rsid w:val="2A68176B"/>
    <w:rsid w:val="2A6B1E62"/>
    <w:rsid w:val="2A6DBED8"/>
    <w:rsid w:val="2A6FE7C7"/>
    <w:rsid w:val="2A6FFB21"/>
    <w:rsid w:val="2A701C70"/>
    <w:rsid w:val="2A725788"/>
    <w:rsid w:val="2A730919"/>
    <w:rsid w:val="2A74EE0F"/>
    <w:rsid w:val="2A75EBD3"/>
    <w:rsid w:val="2A76339E"/>
    <w:rsid w:val="2A767335"/>
    <w:rsid w:val="2A76B6EA"/>
    <w:rsid w:val="2A77C266"/>
    <w:rsid w:val="2A790F6A"/>
    <w:rsid w:val="2A79B6F2"/>
    <w:rsid w:val="2A7A7AC2"/>
    <w:rsid w:val="2A7B314E"/>
    <w:rsid w:val="2A7C5F7C"/>
    <w:rsid w:val="2A7D2380"/>
    <w:rsid w:val="2A7E6D9B"/>
    <w:rsid w:val="2A7F822A"/>
    <w:rsid w:val="2A7F8A1D"/>
    <w:rsid w:val="2A824622"/>
    <w:rsid w:val="2A84657F"/>
    <w:rsid w:val="2A849E9F"/>
    <w:rsid w:val="2A84AC5E"/>
    <w:rsid w:val="2A85B0D4"/>
    <w:rsid w:val="2A884BCF"/>
    <w:rsid w:val="2A88CEC2"/>
    <w:rsid w:val="2A88D1B2"/>
    <w:rsid w:val="2A89696A"/>
    <w:rsid w:val="2A8A1B8A"/>
    <w:rsid w:val="2A8A2D03"/>
    <w:rsid w:val="2A8BA422"/>
    <w:rsid w:val="2A8BC285"/>
    <w:rsid w:val="2A8C1F35"/>
    <w:rsid w:val="2A8FB184"/>
    <w:rsid w:val="2A920F98"/>
    <w:rsid w:val="2A93164F"/>
    <w:rsid w:val="2A936EC5"/>
    <w:rsid w:val="2A989C13"/>
    <w:rsid w:val="2A99E26F"/>
    <w:rsid w:val="2A9A9F23"/>
    <w:rsid w:val="2A9BFD82"/>
    <w:rsid w:val="2A9D5B31"/>
    <w:rsid w:val="2A9D60A4"/>
    <w:rsid w:val="2A9E0DB9"/>
    <w:rsid w:val="2AA2D781"/>
    <w:rsid w:val="2AA528F1"/>
    <w:rsid w:val="2AA56AFE"/>
    <w:rsid w:val="2AA5B746"/>
    <w:rsid w:val="2AA89871"/>
    <w:rsid w:val="2AA92959"/>
    <w:rsid w:val="2AACB373"/>
    <w:rsid w:val="2AAD1CC1"/>
    <w:rsid w:val="2AAEAE1E"/>
    <w:rsid w:val="2AAF595B"/>
    <w:rsid w:val="2AB02F28"/>
    <w:rsid w:val="2AB1F417"/>
    <w:rsid w:val="2AB2324C"/>
    <w:rsid w:val="2AB440DC"/>
    <w:rsid w:val="2AB475B1"/>
    <w:rsid w:val="2AB4B08F"/>
    <w:rsid w:val="2AB584BC"/>
    <w:rsid w:val="2AB916E4"/>
    <w:rsid w:val="2AB96BE2"/>
    <w:rsid w:val="2ABD1F1C"/>
    <w:rsid w:val="2ABD7EF2"/>
    <w:rsid w:val="2ABDFA84"/>
    <w:rsid w:val="2ABEAA35"/>
    <w:rsid w:val="2AC05D99"/>
    <w:rsid w:val="2AC0EAD0"/>
    <w:rsid w:val="2AC2CEAA"/>
    <w:rsid w:val="2AC36419"/>
    <w:rsid w:val="2AC48C04"/>
    <w:rsid w:val="2AC6AACC"/>
    <w:rsid w:val="2AC6F868"/>
    <w:rsid w:val="2AC79FC4"/>
    <w:rsid w:val="2ACB3F18"/>
    <w:rsid w:val="2ACC1C6C"/>
    <w:rsid w:val="2ACCE264"/>
    <w:rsid w:val="2ACEA8F3"/>
    <w:rsid w:val="2ACF9A27"/>
    <w:rsid w:val="2AD1FA85"/>
    <w:rsid w:val="2AD21C88"/>
    <w:rsid w:val="2AD68700"/>
    <w:rsid w:val="2ADB66C1"/>
    <w:rsid w:val="2ADB9C80"/>
    <w:rsid w:val="2ADD36A4"/>
    <w:rsid w:val="2ADD75B7"/>
    <w:rsid w:val="2ADE51E2"/>
    <w:rsid w:val="2AE01BE8"/>
    <w:rsid w:val="2AE14D9E"/>
    <w:rsid w:val="2AE4F5ED"/>
    <w:rsid w:val="2AE50A76"/>
    <w:rsid w:val="2AE614D0"/>
    <w:rsid w:val="2AEE9034"/>
    <w:rsid w:val="2AF24CCD"/>
    <w:rsid w:val="2AF3AC02"/>
    <w:rsid w:val="2AF40B7A"/>
    <w:rsid w:val="2AF45015"/>
    <w:rsid w:val="2AF55A74"/>
    <w:rsid w:val="2AF5F96A"/>
    <w:rsid w:val="2AF61CB1"/>
    <w:rsid w:val="2AF6AE77"/>
    <w:rsid w:val="2AF6F579"/>
    <w:rsid w:val="2AF891AB"/>
    <w:rsid w:val="2AF8E47D"/>
    <w:rsid w:val="2AF9CCF3"/>
    <w:rsid w:val="2AFA9359"/>
    <w:rsid w:val="2AFB5BC3"/>
    <w:rsid w:val="2AFC36F5"/>
    <w:rsid w:val="2AFC432B"/>
    <w:rsid w:val="2AFECB4E"/>
    <w:rsid w:val="2AFF8C5A"/>
    <w:rsid w:val="2B0482F6"/>
    <w:rsid w:val="2B0581D3"/>
    <w:rsid w:val="2B074CB0"/>
    <w:rsid w:val="2B0874FC"/>
    <w:rsid w:val="2B089F44"/>
    <w:rsid w:val="2B099744"/>
    <w:rsid w:val="2B0ADC58"/>
    <w:rsid w:val="2B0B722E"/>
    <w:rsid w:val="2B0D562F"/>
    <w:rsid w:val="2B0E3727"/>
    <w:rsid w:val="2B107DD1"/>
    <w:rsid w:val="2B12781A"/>
    <w:rsid w:val="2B1287DC"/>
    <w:rsid w:val="2B13D088"/>
    <w:rsid w:val="2B14A611"/>
    <w:rsid w:val="2B16F384"/>
    <w:rsid w:val="2B1855C0"/>
    <w:rsid w:val="2B1A5F39"/>
    <w:rsid w:val="2B1A9580"/>
    <w:rsid w:val="2B1C5AAA"/>
    <w:rsid w:val="2B1CDD8D"/>
    <w:rsid w:val="2B206140"/>
    <w:rsid w:val="2B2084CB"/>
    <w:rsid w:val="2B2267D9"/>
    <w:rsid w:val="2B234B11"/>
    <w:rsid w:val="2B2747E2"/>
    <w:rsid w:val="2B29C0E2"/>
    <w:rsid w:val="2B2AA997"/>
    <w:rsid w:val="2B2AF1AA"/>
    <w:rsid w:val="2B2B4C2B"/>
    <w:rsid w:val="2B2B9724"/>
    <w:rsid w:val="2B2CDDB5"/>
    <w:rsid w:val="2B300C59"/>
    <w:rsid w:val="2B34303B"/>
    <w:rsid w:val="2B388D06"/>
    <w:rsid w:val="2B3AB184"/>
    <w:rsid w:val="2B3B9618"/>
    <w:rsid w:val="2B3E0B44"/>
    <w:rsid w:val="2B3F0D16"/>
    <w:rsid w:val="2B4059C8"/>
    <w:rsid w:val="2B41DA2E"/>
    <w:rsid w:val="2B4459AC"/>
    <w:rsid w:val="2B44A975"/>
    <w:rsid w:val="2B458E25"/>
    <w:rsid w:val="2B45C0F6"/>
    <w:rsid w:val="2B47B517"/>
    <w:rsid w:val="2B4C0A45"/>
    <w:rsid w:val="2B4C92FD"/>
    <w:rsid w:val="2B4DAD3B"/>
    <w:rsid w:val="2B4EB99F"/>
    <w:rsid w:val="2B501B51"/>
    <w:rsid w:val="2B51B855"/>
    <w:rsid w:val="2B547BE5"/>
    <w:rsid w:val="2B5F5CF5"/>
    <w:rsid w:val="2B6200E2"/>
    <w:rsid w:val="2B620682"/>
    <w:rsid w:val="2B64262B"/>
    <w:rsid w:val="2B655707"/>
    <w:rsid w:val="2B6782FA"/>
    <w:rsid w:val="2B68210D"/>
    <w:rsid w:val="2B689F86"/>
    <w:rsid w:val="2B6A2075"/>
    <w:rsid w:val="2B6C331F"/>
    <w:rsid w:val="2B6CD479"/>
    <w:rsid w:val="2B6CE133"/>
    <w:rsid w:val="2B70A994"/>
    <w:rsid w:val="2B70C23C"/>
    <w:rsid w:val="2B78A9FA"/>
    <w:rsid w:val="2B794ADC"/>
    <w:rsid w:val="2B7FB20F"/>
    <w:rsid w:val="2B806917"/>
    <w:rsid w:val="2B80BCDD"/>
    <w:rsid w:val="2B81FBC9"/>
    <w:rsid w:val="2B828CDF"/>
    <w:rsid w:val="2B85B638"/>
    <w:rsid w:val="2B88E904"/>
    <w:rsid w:val="2B8A47AB"/>
    <w:rsid w:val="2B8DE56E"/>
    <w:rsid w:val="2B8EF79A"/>
    <w:rsid w:val="2B8F9440"/>
    <w:rsid w:val="2B9094CE"/>
    <w:rsid w:val="2B91CDFA"/>
    <w:rsid w:val="2B981E1B"/>
    <w:rsid w:val="2B9B17A0"/>
    <w:rsid w:val="2B9EA986"/>
    <w:rsid w:val="2B9F0AB6"/>
    <w:rsid w:val="2BA33DF5"/>
    <w:rsid w:val="2BA4B295"/>
    <w:rsid w:val="2BA529A4"/>
    <w:rsid w:val="2BA598E3"/>
    <w:rsid w:val="2BADAF7F"/>
    <w:rsid w:val="2BB06FC1"/>
    <w:rsid w:val="2BB0B11F"/>
    <w:rsid w:val="2BB2DBD7"/>
    <w:rsid w:val="2BB3BFA3"/>
    <w:rsid w:val="2BB66E67"/>
    <w:rsid w:val="2BB6F690"/>
    <w:rsid w:val="2BB84364"/>
    <w:rsid w:val="2BB8D650"/>
    <w:rsid w:val="2BB8D794"/>
    <w:rsid w:val="2BBA8E27"/>
    <w:rsid w:val="2BBAF539"/>
    <w:rsid w:val="2BBCBBAB"/>
    <w:rsid w:val="2BBEA449"/>
    <w:rsid w:val="2BC34CFE"/>
    <w:rsid w:val="2BC3FEFF"/>
    <w:rsid w:val="2BC42EDF"/>
    <w:rsid w:val="2BC6D837"/>
    <w:rsid w:val="2BC782C2"/>
    <w:rsid w:val="2BCC80FB"/>
    <w:rsid w:val="2BCD8774"/>
    <w:rsid w:val="2BCE8B93"/>
    <w:rsid w:val="2BD3C930"/>
    <w:rsid w:val="2BD5861A"/>
    <w:rsid w:val="2BD59130"/>
    <w:rsid w:val="2BD64AAE"/>
    <w:rsid w:val="2BD6AAE4"/>
    <w:rsid w:val="2BD78A8C"/>
    <w:rsid w:val="2BD84129"/>
    <w:rsid w:val="2BD93BCC"/>
    <w:rsid w:val="2BDC8D12"/>
    <w:rsid w:val="2BDC9F60"/>
    <w:rsid w:val="2BE0ADE6"/>
    <w:rsid w:val="2BE3DC73"/>
    <w:rsid w:val="2BE422F9"/>
    <w:rsid w:val="2BE4E0C8"/>
    <w:rsid w:val="2BE548CC"/>
    <w:rsid w:val="2BE94671"/>
    <w:rsid w:val="2BEB65F3"/>
    <w:rsid w:val="2BED4802"/>
    <w:rsid w:val="2BEDE6AF"/>
    <w:rsid w:val="2BEF4AAD"/>
    <w:rsid w:val="2BEF9181"/>
    <w:rsid w:val="2BF2FE1B"/>
    <w:rsid w:val="2BF3221D"/>
    <w:rsid w:val="2BF42B84"/>
    <w:rsid w:val="2BF5F4DA"/>
    <w:rsid w:val="2BF5F5C4"/>
    <w:rsid w:val="2BF63FF1"/>
    <w:rsid w:val="2BFA4FAC"/>
    <w:rsid w:val="2BFC1FB6"/>
    <w:rsid w:val="2BFC5ADA"/>
    <w:rsid w:val="2BFD0083"/>
    <w:rsid w:val="2BFE7129"/>
    <w:rsid w:val="2BFFB71E"/>
    <w:rsid w:val="2C001BC5"/>
    <w:rsid w:val="2C010398"/>
    <w:rsid w:val="2C013AA5"/>
    <w:rsid w:val="2C015DE9"/>
    <w:rsid w:val="2C02282F"/>
    <w:rsid w:val="2C03AE8A"/>
    <w:rsid w:val="2C07F5FB"/>
    <w:rsid w:val="2C093C42"/>
    <w:rsid w:val="2C09D93F"/>
    <w:rsid w:val="2C0B741D"/>
    <w:rsid w:val="2C0C7C3A"/>
    <w:rsid w:val="2C0D7D6E"/>
    <w:rsid w:val="2C0FD90E"/>
    <w:rsid w:val="2C10F67F"/>
    <w:rsid w:val="2C1105DB"/>
    <w:rsid w:val="2C11DF5F"/>
    <w:rsid w:val="2C145D20"/>
    <w:rsid w:val="2C16E7ED"/>
    <w:rsid w:val="2C171D0F"/>
    <w:rsid w:val="2C176C37"/>
    <w:rsid w:val="2C185FB1"/>
    <w:rsid w:val="2C1955D9"/>
    <w:rsid w:val="2C197548"/>
    <w:rsid w:val="2C1C032C"/>
    <w:rsid w:val="2C1CFA78"/>
    <w:rsid w:val="2C1F19D0"/>
    <w:rsid w:val="2C1FE952"/>
    <w:rsid w:val="2C210128"/>
    <w:rsid w:val="2C217EC1"/>
    <w:rsid w:val="2C21E4F5"/>
    <w:rsid w:val="2C24EB89"/>
    <w:rsid w:val="2C26542E"/>
    <w:rsid w:val="2C265510"/>
    <w:rsid w:val="2C281199"/>
    <w:rsid w:val="2C2829CB"/>
    <w:rsid w:val="2C2A1ABB"/>
    <w:rsid w:val="2C2A6253"/>
    <w:rsid w:val="2C2B119B"/>
    <w:rsid w:val="2C2BAE19"/>
    <w:rsid w:val="2C2ECE86"/>
    <w:rsid w:val="2C2FE761"/>
    <w:rsid w:val="2C32562D"/>
    <w:rsid w:val="2C32C3DD"/>
    <w:rsid w:val="2C3B5FC1"/>
    <w:rsid w:val="2C3EA562"/>
    <w:rsid w:val="2C3EEFD7"/>
    <w:rsid w:val="2C42E73E"/>
    <w:rsid w:val="2C44EE40"/>
    <w:rsid w:val="2C44F82C"/>
    <w:rsid w:val="2C472E17"/>
    <w:rsid w:val="2C477512"/>
    <w:rsid w:val="2C4883D4"/>
    <w:rsid w:val="2C494B22"/>
    <w:rsid w:val="2C49DA5B"/>
    <w:rsid w:val="2C4A5122"/>
    <w:rsid w:val="2C4AF3E6"/>
    <w:rsid w:val="2C4FD465"/>
    <w:rsid w:val="2C50A3EA"/>
    <w:rsid w:val="2C57E63A"/>
    <w:rsid w:val="2C594F53"/>
    <w:rsid w:val="2C5CAE13"/>
    <w:rsid w:val="2C5CCBED"/>
    <w:rsid w:val="2C5FA0D9"/>
    <w:rsid w:val="2C60B23E"/>
    <w:rsid w:val="2C60DCC7"/>
    <w:rsid w:val="2C62431B"/>
    <w:rsid w:val="2C6323F9"/>
    <w:rsid w:val="2C639155"/>
    <w:rsid w:val="2C6438EA"/>
    <w:rsid w:val="2C665F04"/>
    <w:rsid w:val="2C681255"/>
    <w:rsid w:val="2C6872FA"/>
    <w:rsid w:val="2C69E303"/>
    <w:rsid w:val="2C6B1FA0"/>
    <w:rsid w:val="2C6DCFA7"/>
    <w:rsid w:val="2C6DED96"/>
    <w:rsid w:val="2C6E3EAC"/>
    <w:rsid w:val="2C6F6B64"/>
    <w:rsid w:val="2C75BEED"/>
    <w:rsid w:val="2C76619B"/>
    <w:rsid w:val="2C77698B"/>
    <w:rsid w:val="2C780CFE"/>
    <w:rsid w:val="2C789DB8"/>
    <w:rsid w:val="2C79469F"/>
    <w:rsid w:val="2C7AB808"/>
    <w:rsid w:val="2C7CCA4E"/>
    <w:rsid w:val="2C7E4D49"/>
    <w:rsid w:val="2C7E6C4A"/>
    <w:rsid w:val="2C7F088A"/>
    <w:rsid w:val="2C7F7A56"/>
    <w:rsid w:val="2C7FB8BD"/>
    <w:rsid w:val="2C80C17B"/>
    <w:rsid w:val="2C818C65"/>
    <w:rsid w:val="2C844404"/>
    <w:rsid w:val="2C84C1FB"/>
    <w:rsid w:val="2C87899D"/>
    <w:rsid w:val="2C87F8B1"/>
    <w:rsid w:val="2C8800BA"/>
    <w:rsid w:val="2C88C325"/>
    <w:rsid w:val="2C8C39AD"/>
    <w:rsid w:val="2C8D3356"/>
    <w:rsid w:val="2C8DA897"/>
    <w:rsid w:val="2C8E864F"/>
    <w:rsid w:val="2C8F716F"/>
    <w:rsid w:val="2C91B7B1"/>
    <w:rsid w:val="2C92564C"/>
    <w:rsid w:val="2C93515E"/>
    <w:rsid w:val="2C93B605"/>
    <w:rsid w:val="2C9566DB"/>
    <w:rsid w:val="2C971A0D"/>
    <w:rsid w:val="2C981F46"/>
    <w:rsid w:val="2C99D34A"/>
    <w:rsid w:val="2C9CB0D3"/>
    <w:rsid w:val="2C9D28FE"/>
    <w:rsid w:val="2C9D7F09"/>
    <w:rsid w:val="2C9DEC1D"/>
    <w:rsid w:val="2C9F712A"/>
    <w:rsid w:val="2CA0285B"/>
    <w:rsid w:val="2CA0CF01"/>
    <w:rsid w:val="2CA200BE"/>
    <w:rsid w:val="2CA23AA3"/>
    <w:rsid w:val="2CA24297"/>
    <w:rsid w:val="2CA2548B"/>
    <w:rsid w:val="2CA2D50A"/>
    <w:rsid w:val="2CA368D8"/>
    <w:rsid w:val="2CA5E33C"/>
    <w:rsid w:val="2CA8C8D4"/>
    <w:rsid w:val="2CA9E2B3"/>
    <w:rsid w:val="2CAEA954"/>
    <w:rsid w:val="2CB26EA1"/>
    <w:rsid w:val="2CB55895"/>
    <w:rsid w:val="2CB82D96"/>
    <w:rsid w:val="2CBA7643"/>
    <w:rsid w:val="2CBC6C89"/>
    <w:rsid w:val="2CBDF6B0"/>
    <w:rsid w:val="2CBE8973"/>
    <w:rsid w:val="2CBF08FC"/>
    <w:rsid w:val="2CBF6FB5"/>
    <w:rsid w:val="2CC16739"/>
    <w:rsid w:val="2CC20BAF"/>
    <w:rsid w:val="2CC7D6C4"/>
    <w:rsid w:val="2CC86FA9"/>
    <w:rsid w:val="2CC88497"/>
    <w:rsid w:val="2CC8FBC8"/>
    <w:rsid w:val="2CCA3093"/>
    <w:rsid w:val="2CCA3CBF"/>
    <w:rsid w:val="2CCBF1D4"/>
    <w:rsid w:val="2CCD10A7"/>
    <w:rsid w:val="2CCE318C"/>
    <w:rsid w:val="2CD12948"/>
    <w:rsid w:val="2CD18C8D"/>
    <w:rsid w:val="2CD20985"/>
    <w:rsid w:val="2CD2E636"/>
    <w:rsid w:val="2CD36781"/>
    <w:rsid w:val="2CD48CA1"/>
    <w:rsid w:val="2CD661FF"/>
    <w:rsid w:val="2CD867CF"/>
    <w:rsid w:val="2CD9AB23"/>
    <w:rsid w:val="2CDA6382"/>
    <w:rsid w:val="2CDDCD5B"/>
    <w:rsid w:val="2CDF24C2"/>
    <w:rsid w:val="2CDFA79C"/>
    <w:rsid w:val="2CE0E230"/>
    <w:rsid w:val="2CE29ACB"/>
    <w:rsid w:val="2CE30F03"/>
    <w:rsid w:val="2CE430C7"/>
    <w:rsid w:val="2CE78E37"/>
    <w:rsid w:val="2CE85FC7"/>
    <w:rsid w:val="2CE8635E"/>
    <w:rsid w:val="2CEA9F69"/>
    <w:rsid w:val="2CEB76C1"/>
    <w:rsid w:val="2CECDE2C"/>
    <w:rsid w:val="2CED901C"/>
    <w:rsid w:val="2CEF615C"/>
    <w:rsid w:val="2CF1D8A2"/>
    <w:rsid w:val="2CF54F18"/>
    <w:rsid w:val="2CF7CD37"/>
    <w:rsid w:val="2CF7F1E5"/>
    <w:rsid w:val="2CF93512"/>
    <w:rsid w:val="2CF96E44"/>
    <w:rsid w:val="2CF99A0E"/>
    <w:rsid w:val="2CFA52DE"/>
    <w:rsid w:val="2CFA5BAF"/>
    <w:rsid w:val="2CFC8EFB"/>
    <w:rsid w:val="2CFCE2D9"/>
    <w:rsid w:val="2CFD39EA"/>
    <w:rsid w:val="2CFD63DC"/>
    <w:rsid w:val="2CFEFE74"/>
    <w:rsid w:val="2D00CBD2"/>
    <w:rsid w:val="2D0284CF"/>
    <w:rsid w:val="2D0404E7"/>
    <w:rsid w:val="2D04B346"/>
    <w:rsid w:val="2D064C92"/>
    <w:rsid w:val="2D0823D7"/>
    <w:rsid w:val="2D093948"/>
    <w:rsid w:val="2D09E8A2"/>
    <w:rsid w:val="2D0EFFDC"/>
    <w:rsid w:val="2D0F410E"/>
    <w:rsid w:val="2D106784"/>
    <w:rsid w:val="2D148E92"/>
    <w:rsid w:val="2D151B3D"/>
    <w:rsid w:val="2D162991"/>
    <w:rsid w:val="2D22DB52"/>
    <w:rsid w:val="2D242F94"/>
    <w:rsid w:val="2D258FF8"/>
    <w:rsid w:val="2D266984"/>
    <w:rsid w:val="2D27DC56"/>
    <w:rsid w:val="2D28F9F2"/>
    <w:rsid w:val="2D2A1EE2"/>
    <w:rsid w:val="2D2BF50B"/>
    <w:rsid w:val="2D2D4858"/>
    <w:rsid w:val="2D2D8B95"/>
    <w:rsid w:val="2D2E4BFE"/>
    <w:rsid w:val="2D2F45BC"/>
    <w:rsid w:val="2D3003F6"/>
    <w:rsid w:val="2D305740"/>
    <w:rsid w:val="2D30AF42"/>
    <w:rsid w:val="2D33C1F7"/>
    <w:rsid w:val="2D3402FB"/>
    <w:rsid w:val="2D340F68"/>
    <w:rsid w:val="2D345941"/>
    <w:rsid w:val="2D363D24"/>
    <w:rsid w:val="2D375A0C"/>
    <w:rsid w:val="2D376012"/>
    <w:rsid w:val="2D397248"/>
    <w:rsid w:val="2D3C55E0"/>
    <w:rsid w:val="2D3D1DD4"/>
    <w:rsid w:val="2D3E918D"/>
    <w:rsid w:val="2D3EC3A3"/>
    <w:rsid w:val="2D3EF7EB"/>
    <w:rsid w:val="2D40BC82"/>
    <w:rsid w:val="2D40DF16"/>
    <w:rsid w:val="2D42244A"/>
    <w:rsid w:val="2D433C83"/>
    <w:rsid w:val="2D44527E"/>
    <w:rsid w:val="2D46D9A0"/>
    <w:rsid w:val="2D482B34"/>
    <w:rsid w:val="2D4932C8"/>
    <w:rsid w:val="2D4A5BC9"/>
    <w:rsid w:val="2D4A95E8"/>
    <w:rsid w:val="2D4ADAC7"/>
    <w:rsid w:val="2D4C0A5A"/>
    <w:rsid w:val="2D4E6388"/>
    <w:rsid w:val="2D50404B"/>
    <w:rsid w:val="2D50E6E7"/>
    <w:rsid w:val="2D5197C9"/>
    <w:rsid w:val="2D52DB03"/>
    <w:rsid w:val="2D5DB130"/>
    <w:rsid w:val="2D5E6E4D"/>
    <w:rsid w:val="2D64132E"/>
    <w:rsid w:val="2D665B50"/>
    <w:rsid w:val="2D675DFE"/>
    <w:rsid w:val="2D6E9250"/>
    <w:rsid w:val="2D6F0A89"/>
    <w:rsid w:val="2D6FEFA2"/>
    <w:rsid w:val="2D710A9B"/>
    <w:rsid w:val="2D721A80"/>
    <w:rsid w:val="2D72F7CF"/>
    <w:rsid w:val="2D7374A7"/>
    <w:rsid w:val="2D80F655"/>
    <w:rsid w:val="2D81E2ED"/>
    <w:rsid w:val="2D82291C"/>
    <w:rsid w:val="2D82454F"/>
    <w:rsid w:val="2D84B92B"/>
    <w:rsid w:val="2D865272"/>
    <w:rsid w:val="2D86CCF4"/>
    <w:rsid w:val="2D871BDD"/>
    <w:rsid w:val="2D891F09"/>
    <w:rsid w:val="2D89B199"/>
    <w:rsid w:val="2D8B99B6"/>
    <w:rsid w:val="2D8C1E41"/>
    <w:rsid w:val="2D8C7BBE"/>
    <w:rsid w:val="2D8C8702"/>
    <w:rsid w:val="2D8D54EF"/>
    <w:rsid w:val="2D8E4221"/>
    <w:rsid w:val="2D90012E"/>
    <w:rsid w:val="2D90365D"/>
    <w:rsid w:val="2D908517"/>
    <w:rsid w:val="2D90FF6B"/>
    <w:rsid w:val="2D91B84B"/>
    <w:rsid w:val="2D925404"/>
    <w:rsid w:val="2D94CBD3"/>
    <w:rsid w:val="2D95AFD7"/>
    <w:rsid w:val="2D95CB05"/>
    <w:rsid w:val="2D960B0A"/>
    <w:rsid w:val="2D9919B1"/>
    <w:rsid w:val="2D99B13D"/>
    <w:rsid w:val="2D9AA3C2"/>
    <w:rsid w:val="2D9B6620"/>
    <w:rsid w:val="2D9B86FC"/>
    <w:rsid w:val="2D9C2583"/>
    <w:rsid w:val="2D9D6E66"/>
    <w:rsid w:val="2D9D70DD"/>
    <w:rsid w:val="2DA037F2"/>
    <w:rsid w:val="2DA15EAF"/>
    <w:rsid w:val="2DA315DE"/>
    <w:rsid w:val="2DA49756"/>
    <w:rsid w:val="2DA4DA81"/>
    <w:rsid w:val="2DA73B49"/>
    <w:rsid w:val="2DA79717"/>
    <w:rsid w:val="2DA7D6BE"/>
    <w:rsid w:val="2DA7E394"/>
    <w:rsid w:val="2DA9157E"/>
    <w:rsid w:val="2DAABE3C"/>
    <w:rsid w:val="2DAB65AD"/>
    <w:rsid w:val="2DABD41F"/>
    <w:rsid w:val="2DAC1C10"/>
    <w:rsid w:val="2DACB780"/>
    <w:rsid w:val="2DAEE06F"/>
    <w:rsid w:val="2DAF3367"/>
    <w:rsid w:val="2DB1FD10"/>
    <w:rsid w:val="2DB352D4"/>
    <w:rsid w:val="2DB49E2F"/>
    <w:rsid w:val="2DB4F79D"/>
    <w:rsid w:val="2DB519D7"/>
    <w:rsid w:val="2DB65E9D"/>
    <w:rsid w:val="2DB76C31"/>
    <w:rsid w:val="2DB8DDF9"/>
    <w:rsid w:val="2DB9666B"/>
    <w:rsid w:val="2DBC60B3"/>
    <w:rsid w:val="2DC58E75"/>
    <w:rsid w:val="2DC65AA2"/>
    <w:rsid w:val="2DC70A7A"/>
    <w:rsid w:val="2DC81372"/>
    <w:rsid w:val="2DC905BA"/>
    <w:rsid w:val="2DCC8BA8"/>
    <w:rsid w:val="2DCE4ACE"/>
    <w:rsid w:val="2DCFF342"/>
    <w:rsid w:val="2DD152DC"/>
    <w:rsid w:val="2DD18011"/>
    <w:rsid w:val="2DD2FBAC"/>
    <w:rsid w:val="2DD3966B"/>
    <w:rsid w:val="2DD67E53"/>
    <w:rsid w:val="2DD70BE6"/>
    <w:rsid w:val="2DD8E561"/>
    <w:rsid w:val="2DD8F54F"/>
    <w:rsid w:val="2DDA6253"/>
    <w:rsid w:val="2DDB6BE2"/>
    <w:rsid w:val="2DDB7620"/>
    <w:rsid w:val="2DDEE489"/>
    <w:rsid w:val="2DDFCCD7"/>
    <w:rsid w:val="2DE0245F"/>
    <w:rsid w:val="2DE05049"/>
    <w:rsid w:val="2DE32EA7"/>
    <w:rsid w:val="2DE6D79D"/>
    <w:rsid w:val="2DEB37DC"/>
    <w:rsid w:val="2DEB67D8"/>
    <w:rsid w:val="2DECF178"/>
    <w:rsid w:val="2DF068FD"/>
    <w:rsid w:val="2DF37BAA"/>
    <w:rsid w:val="2DF43640"/>
    <w:rsid w:val="2DF59F29"/>
    <w:rsid w:val="2DF5E45F"/>
    <w:rsid w:val="2DF5ED3D"/>
    <w:rsid w:val="2DF6DDC9"/>
    <w:rsid w:val="2DFB9E86"/>
    <w:rsid w:val="2DFBD02F"/>
    <w:rsid w:val="2E021CDD"/>
    <w:rsid w:val="2E042723"/>
    <w:rsid w:val="2E05A9AD"/>
    <w:rsid w:val="2E05E162"/>
    <w:rsid w:val="2E062532"/>
    <w:rsid w:val="2E068781"/>
    <w:rsid w:val="2E07C95A"/>
    <w:rsid w:val="2E084378"/>
    <w:rsid w:val="2E086154"/>
    <w:rsid w:val="2E0A907A"/>
    <w:rsid w:val="2E0A9866"/>
    <w:rsid w:val="2E0B0E62"/>
    <w:rsid w:val="2E0BD947"/>
    <w:rsid w:val="2E0E128E"/>
    <w:rsid w:val="2E0FFB36"/>
    <w:rsid w:val="2E11C56D"/>
    <w:rsid w:val="2E13B953"/>
    <w:rsid w:val="2E144E9B"/>
    <w:rsid w:val="2E14AEDD"/>
    <w:rsid w:val="2E171995"/>
    <w:rsid w:val="2E17DC35"/>
    <w:rsid w:val="2E1A91D0"/>
    <w:rsid w:val="2E1B4758"/>
    <w:rsid w:val="2E1D8440"/>
    <w:rsid w:val="2E1DECF6"/>
    <w:rsid w:val="2E1E4334"/>
    <w:rsid w:val="2E21C0E8"/>
    <w:rsid w:val="2E234021"/>
    <w:rsid w:val="2E236D56"/>
    <w:rsid w:val="2E2376CE"/>
    <w:rsid w:val="2E237A25"/>
    <w:rsid w:val="2E251BFD"/>
    <w:rsid w:val="2E296557"/>
    <w:rsid w:val="2E2B9774"/>
    <w:rsid w:val="2E2D1544"/>
    <w:rsid w:val="2E2D47A4"/>
    <w:rsid w:val="2E2D9A95"/>
    <w:rsid w:val="2E2E44E6"/>
    <w:rsid w:val="2E2F5C8E"/>
    <w:rsid w:val="2E3164D6"/>
    <w:rsid w:val="2E3183AF"/>
    <w:rsid w:val="2E32572A"/>
    <w:rsid w:val="2E3464EB"/>
    <w:rsid w:val="2E362C2B"/>
    <w:rsid w:val="2E3714B1"/>
    <w:rsid w:val="2E373A0F"/>
    <w:rsid w:val="2E38039B"/>
    <w:rsid w:val="2E3872BB"/>
    <w:rsid w:val="2E3E7B40"/>
    <w:rsid w:val="2E3E828F"/>
    <w:rsid w:val="2E3E8671"/>
    <w:rsid w:val="2E3FCE40"/>
    <w:rsid w:val="2E406136"/>
    <w:rsid w:val="2E431F17"/>
    <w:rsid w:val="2E44269A"/>
    <w:rsid w:val="2E45EC3C"/>
    <w:rsid w:val="2E49A3B1"/>
    <w:rsid w:val="2E49B282"/>
    <w:rsid w:val="2E49C028"/>
    <w:rsid w:val="2E49FC66"/>
    <w:rsid w:val="2E4AD9D2"/>
    <w:rsid w:val="2E4ADA33"/>
    <w:rsid w:val="2E4C759F"/>
    <w:rsid w:val="2E4C9C7E"/>
    <w:rsid w:val="2E4E1AFC"/>
    <w:rsid w:val="2E4E84AB"/>
    <w:rsid w:val="2E4E8D73"/>
    <w:rsid w:val="2E52634C"/>
    <w:rsid w:val="2E53D322"/>
    <w:rsid w:val="2E5745BA"/>
    <w:rsid w:val="2E597976"/>
    <w:rsid w:val="2E5A90D5"/>
    <w:rsid w:val="2E5C3E3C"/>
    <w:rsid w:val="2E5C85B8"/>
    <w:rsid w:val="2E5DB2EE"/>
    <w:rsid w:val="2E605F70"/>
    <w:rsid w:val="2E61F544"/>
    <w:rsid w:val="2E62CE6B"/>
    <w:rsid w:val="2E6442F6"/>
    <w:rsid w:val="2E646BF8"/>
    <w:rsid w:val="2E64E714"/>
    <w:rsid w:val="2E6567A0"/>
    <w:rsid w:val="2E666B02"/>
    <w:rsid w:val="2E685B85"/>
    <w:rsid w:val="2E68FD1F"/>
    <w:rsid w:val="2E6DADDE"/>
    <w:rsid w:val="2E72C064"/>
    <w:rsid w:val="2E734913"/>
    <w:rsid w:val="2E73F656"/>
    <w:rsid w:val="2E740EAA"/>
    <w:rsid w:val="2E76C84E"/>
    <w:rsid w:val="2E771745"/>
    <w:rsid w:val="2E779464"/>
    <w:rsid w:val="2E797342"/>
    <w:rsid w:val="2E7B4988"/>
    <w:rsid w:val="2E7B61D2"/>
    <w:rsid w:val="2E7FA739"/>
    <w:rsid w:val="2E7FEB1F"/>
    <w:rsid w:val="2E82EB0B"/>
    <w:rsid w:val="2E85877A"/>
    <w:rsid w:val="2E85B4F1"/>
    <w:rsid w:val="2E86D026"/>
    <w:rsid w:val="2E870234"/>
    <w:rsid w:val="2E874B0A"/>
    <w:rsid w:val="2E87E529"/>
    <w:rsid w:val="2E894EEE"/>
    <w:rsid w:val="2E89EA89"/>
    <w:rsid w:val="2E8CDB2D"/>
    <w:rsid w:val="2E8DA903"/>
    <w:rsid w:val="2E8DE682"/>
    <w:rsid w:val="2E8DF636"/>
    <w:rsid w:val="2E91DDFF"/>
    <w:rsid w:val="2E93A8E3"/>
    <w:rsid w:val="2E9450D6"/>
    <w:rsid w:val="2E94FF11"/>
    <w:rsid w:val="2E96029A"/>
    <w:rsid w:val="2E96360A"/>
    <w:rsid w:val="2E981107"/>
    <w:rsid w:val="2E9ABE45"/>
    <w:rsid w:val="2E9FFD5D"/>
    <w:rsid w:val="2EA079EB"/>
    <w:rsid w:val="2EA0D9AA"/>
    <w:rsid w:val="2EA8721D"/>
    <w:rsid w:val="2EAA2211"/>
    <w:rsid w:val="2EAA5D38"/>
    <w:rsid w:val="2EAAC8AD"/>
    <w:rsid w:val="2EAB99D5"/>
    <w:rsid w:val="2EACB5A4"/>
    <w:rsid w:val="2EAF2095"/>
    <w:rsid w:val="2EB25419"/>
    <w:rsid w:val="2EB2A3A4"/>
    <w:rsid w:val="2EB4DBD2"/>
    <w:rsid w:val="2EB765B1"/>
    <w:rsid w:val="2EBA7549"/>
    <w:rsid w:val="2EBB291D"/>
    <w:rsid w:val="2EBC7FF2"/>
    <w:rsid w:val="2EBCA340"/>
    <w:rsid w:val="2EBDDC78"/>
    <w:rsid w:val="2EBE0A09"/>
    <w:rsid w:val="2EBF94A4"/>
    <w:rsid w:val="2EBFA547"/>
    <w:rsid w:val="2EC178B4"/>
    <w:rsid w:val="2EC1B8AF"/>
    <w:rsid w:val="2EC514F3"/>
    <w:rsid w:val="2EC89CAB"/>
    <w:rsid w:val="2ECB4863"/>
    <w:rsid w:val="2ECDD55C"/>
    <w:rsid w:val="2ECE40BC"/>
    <w:rsid w:val="2ECEB7FC"/>
    <w:rsid w:val="2ECF6051"/>
    <w:rsid w:val="2ECFABDA"/>
    <w:rsid w:val="2ED06A90"/>
    <w:rsid w:val="2ED0729B"/>
    <w:rsid w:val="2ED0D958"/>
    <w:rsid w:val="2ED0E3D9"/>
    <w:rsid w:val="2ED337E1"/>
    <w:rsid w:val="2ED61231"/>
    <w:rsid w:val="2ED736C5"/>
    <w:rsid w:val="2ED796CE"/>
    <w:rsid w:val="2ED7A435"/>
    <w:rsid w:val="2ED9ECB2"/>
    <w:rsid w:val="2EDA2F0E"/>
    <w:rsid w:val="2EDA62AC"/>
    <w:rsid w:val="2EDA9404"/>
    <w:rsid w:val="2EDACE62"/>
    <w:rsid w:val="2EDB9F40"/>
    <w:rsid w:val="2EDC86A8"/>
    <w:rsid w:val="2EE032E0"/>
    <w:rsid w:val="2EE17DB6"/>
    <w:rsid w:val="2EE20C94"/>
    <w:rsid w:val="2EE29719"/>
    <w:rsid w:val="2EE2A04B"/>
    <w:rsid w:val="2EE48C28"/>
    <w:rsid w:val="2EE491E6"/>
    <w:rsid w:val="2EE52C81"/>
    <w:rsid w:val="2EE59733"/>
    <w:rsid w:val="2EE72D51"/>
    <w:rsid w:val="2EE8DCAA"/>
    <w:rsid w:val="2EE9E10B"/>
    <w:rsid w:val="2EEB9CF1"/>
    <w:rsid w:val="2EEC81C2"/>
    <w:rsid w:val="2EEC92D2"/>
    <w:rsid w:val="2EED74CD"/>
    <w:rsid w:val="2EEE80DF"/>
    <w:rsid w:val="2EEF14B7"/>
    <w:rsid w:val="2EEF97EF"/>
    <w:rsid w:val="2EF4FAC6"/>
    <w:rsid w:val="2EF5C59F"/>
    <w:rsid w:val="2EF6092C"/>
    <w:rsid w:val="2EF6D792"/>
    <w:rsid w:val="2EF6F43C"/>
    <w:rsid w:val="2EF7F381"/>
    <w:rsid w:val="2EF8CBF3"/>
    <w:rsid w:val="2EF93F51"/>
    <w:rsid w:val="2EF9B834"/>
    <w:rsid w:val="2EFA0FD3"/>
    <w:rsid w:val="2EFC120F"/>
    <w:rsid w:val="2EFCD47F"/>
    <w:rsid w:val="2EFEEE35"/>
    <w:rsid w:val="2F01A88C"/>
    <w:rsid w:val="2F02C8CC"/>
    <w:rsid w:val="2F02F5DB"/>
    <w:rsid w:val="2F035D65"/>
    <w:rsid w:val="2F041314"/>
    <w:rsid w:val="2F0CE7B6"/>
    <w:rsid w:val="2F0FEC34"/>
    <w:rsid w:val="2F11C955"/>
    <w:rsid w:val="2F12B0D3"/>
    <w:rsid w:val="2F13EDF5"/>
    <w:rsid w:val="2F161122"/>
    <w:rsid w:val="2F17FA0F"/>
    <w:rsid w:val="2F18ED42"/>
    <w:rsid w:val="2F1901E8"/>
    <w:rsid w:val="2F19165F"/>
    <w:rsid w:val="2F1B0DD5"/>
    <w:rsid w:val="2F1B70A5"/>
    <w:rsid w:val="2F1C5BA0"/>
    <w:rsid w:val="2F1CABD0"/>
    <w:rsid w:val="2F1E1E17"/>
    <w:rsid w:val="2F1F0358"/>
    <w:rsid w:val="2F2352D6"/>
    <w:rsid w:val="2F24A61B"/>
    <w:rsid w:val="2F26396F"/>
    <w:rsid w:val="2F27050D"/>
    <w:rsid w:val="2F2786C3"/>
    <w:rsid w:val="2F3146AD"/>
    <w:rsid w:val="2F32F7C8"/>
    <w:rsid w:val="2F333EE6"/>
    <w:rsid w:val="2F33645D"/>
    <w:rsid w:val="2F33B9BF"/>
    <w:rsid w:val="2F34428C"/>
    <w:rsid w:val="2F3607ED"/>
    <w:rsid w:val="2F366CAD"/>
    <w:rsid w:val="2F37AD13"/>
    <w:rsid w:val="2F3D2C61"/>
    <w:rsid w:val="2F3DCF5E"/>
    <w:rsid w:val="2F405269"/>
    <w:rsid w:val="2F4434EF"/>
    <w:rsid w:val="2F4669EB"/>
    <w:rsid w:val="2F49FAAA"/>
    <w:rsid w:val="2F4AE186"/>
    <w:rsid w:val="2F4C4FB4"/>
    <w:rsid w:val="2F4C740E"/>
    <w:rsid w:val="2F4CBCC5"/>
    <w:rsid w:val="2F4E0B82"/>
    <w:rsid w:val="2F4E7C67"/>
    <w:rsid w:val="2F52B9FC"/>
    <w:rsid w:val="2F52E227"/>
    <w:rsid w:val="2F55458A"/>
    <w:rsid w:val="2F55CD6C"/>
    <w:rsid w:val="2F56C0E7"/>
    <w:rsid w:val="2F57AB55"/>
    <w:rsid w:val="2F5A76D4"/>
    <w:rsid w:val="2F5C42D5"/>
    <w:rsid w:val="2F5C8E24"/>
    <w:rsid w:val="2F64CDC2"/>
    <w:rsid w:val="2F65D611"/>
    <w:rsid w:val="2F65E522"/>
    <w:rsid w:val="2F670352"/>
    <w:rsid w:val="2F67F509"/>
    <w:rsid w:val="2F685C3B"/>
    <w:rsid w:val="2F699D55"/>
    <w:rsid w:val="2F6A954D"/>
    <w:rsid w:val="2F6B5D35"/>
    <w:rsid w:val="2F6B7289"/>
    <w:rsid w:val="2F6C2C7D"/>
    <w:rsid w:val="2F6C4BD5"/>
    <w:rsid w:val="2F6D5FB8"/>
    <w:rsid w:val="2F6EBA15"/>
    <w:rsid w:val="2F6F19E5"/>
    <w:rsid w:val="2F7072EB"/>
    <w:rsid w:val="2F71F513"/>
    <w:rsid w:val="2F729441"/>
    <w:rsid w:val="2F737804"/>
    <w:rsid w:val="2F7654FA"/>
    <w:rsid w:val="2F77DB3A"/>
    <w:rsid w:val="2F79CE63"/>
    <w:rsid w:val="2F7D81C6"/>
    <w:rsid w:val="2F7E4C0F"/>
    <w:rsid w:val="2F7E4C40"/>
    <w:rsid w:val="2F7E7FAB"/>
    <w:rsid w:val="2F7EF230"/>
    <w:rsid w:val="2F7EF78C"/>
    <w:rsid w:val="2F7F526F"/>
    <w:rsid w:val="2F7F6E52"/>
    <w:rsid w:val="2F809AB5"/>
    <w:rsid w:val="2F8172AF"/>
    <w:rsid w:val="2F833332"/>
    <w:rsid w:val="2F848F4E"/>
    <w:rsid w:val="2F85001B"/>
    <w:rsid w:val="2F872AD2"/>
    <w:rsid w:val="2F8BD6D1"/>
    <w:rsid w:val="2F8E3181"/>
    <w:rsid w:val="2F8E3D49"/>
    <w:rsid w:val="2F8EF155"/>
    <w:rsid w:val="2F91D1C2"/>
    <w:rsid w:val="2F95CDB7"/>
    <w:rsid w:val="2F97BDE6"/>
    <w:rsid w:val="2F98F0B3"/>
    <w:rsid w:val="2F9C3F53"/>
    <w:rsid w:val="2F9C6CAB"/>
    <w:rsid w:val="2F9CB3B6"/>
    <w:rsid w:val="2F9F5FA2"/>
    <w:rsid w:val="2FA13F03"/>
    <w:rsid w:val="2FA1E71E"/>
    <w:rsid w:val="2FA22283"/>
    <w:rsid w:val="2FA41A3B"/>
    <w:rsid w:val="2FA4B0A3"/>
    <w:rsid w:val="2FA54022"/>
    <w:rsid w:val="2FA9F591"/>
    <w:rsid w:val="2FAD8AF2"/>
    <w:rsid w:val="2FAD9067"/>
    <w:rsid w:val="2FAE3427"/>
    <w:rsid w:val="2FAEABE1"/>
    <w:rsid w:val="2FB2E346"/>
    <w:rsid w:val="2FB31F88"/>
    <w:rsid w:val="2FB6EC02"/>
    <w:rsid w:val="2FBABAA2"/>
    <w:rsid w:val="2FBC185A"/>
    <w:rsid w:val="2FBE7427"/>
    <w:rsid w:val="2FBF472F"/>
    <w:rsid w:val="2FC0C00B"/>
    <w:rsid w:val="2FC2B491"/>
    <w:rsid w:val="2FC32870"/>
    <w:rsid w:val="2FC64BBE"/>
    <w:rsid w:val="2FC91474"/>
    <w:rsid w:val="2FC94447"/>
    <w:rsid w:val="2FCD071A"/>
    <w:rsid w:val="2FCE746C"/>
    <w:rsid w:val="2FCEB29E"/>
    <w:rsid w:val="2FCFDAAF"/>
    <w:rsid w:val="2FD03D6F"/>
    <w:rsid w:val="2FD63BF8"/>
    <w:rsid w:val="2FD6EBE3"/>
    <w:rsid w:val="2FD77EA2"/>
    <w:rsid w:val="2FD79DC1"/>
    <w:rsid w:val="2FD86B99"/>
    <w:rsid w:val="2FD89B62"/>
    <w:rsid w:val="2FD934A1"/>
    <w:rsid w:val="2FDA2C7C"/>
    <w:rsid w:val="2FDC16E2"/>
    <w:rsid w:val="2FDC8EC3"/>
    <w:rsid w:val="2FE087E3"/>
    <w:rsid w:val="2FE15138"/>
    <w:rsid w:val="2FE1B39A"/>
    <w:rsid w:val="2FE4A817"/>
    <w:rsid w:val="2FE4ACBF"/>
    <w:rsid w:val="2FE4B3D5"/>
    <w:rsid w:val="2FE4E4D4"/>
    <w:rsid w:val="2FE52ACB"/>
    <w:rsid w:val="2FE5CB5F"/>
    <w:rsid w:val="2FE6C618"/>
    <w:rsid w:val="2FE76D1C"/>
    <w:rsid w:val="2FE9F776"/>
    <w:rsid w:val="2FEA4DAC"/>
    <w:rsid w:val="2FEAB8E8"/>
    <w:rsid w:val="2FEC812A"/>
    <w:rsid w:val="2FEE06A3"/>
    <w:rsid w:val="2FF2A75F"/>
    <w:rsid w:val="2FF3A605"/>
    <w:rsid w:val="2FF40BB8"/>
    <w:rsid w:val="2FF51389"/>
    <w:rsid w:val="2FF5178B"/>
    <w:rsid w:val="2FF5435C"/>
    <w:rsid w:val="2FF638C1"/>
    <w:rsid w:val="2FF8AEC8"/>
    <w:rsid w:val="2FF960B7"/>
    <w:rsid w:val="2FFA507E"/>
    <w:rsid w:val="2FFA78F3"/>
    <w:rsid w:val="2FFC7D83"/>
    <w:rsid w:val="2FFE0B38"/>
    <w:rsid w:val="2FFEE69F"/>
    <w:rsid w:val="30001920"/>
    <w:rsid w:val="30012A2E"/>
    <w:rsid w:val="3001DEC9"/>
    <w:rsid w:val="300262E8"/>
    <w:rsid w:val="30028FE4"/>
    <w:rsid w:val="30029677"/>
    <w:rsid w:val="300365DB"/>
    <w:rsid w:val="30044FCC"/>
    <w:rsid w:val="30059E91"/>
    <w:rsid w:val="3007A6D5"/>
    <w:rsid w:val="3009EF80"/>
    <w:rsid w:val="300A8C0B"/>
    <w:rsid w:val="300A8E12"/>
    <w:rsid w:val="300AE752"/>
    <w:rsid w:val="300C2050"/>
    <w:rsid w:val="300CEB0D"/>
    <w:rsid w:val="300D2371"/>
    <w:rsid w:val="301125E8"/>
    <w:rsid w:val="30116916"/>
    <w:rsid w:val="3012A409"/>
    <w:rsid w:val="30138A86"/>
    <w:rsid w:val="30152436"/>
    <w:rsid w:val="301B08F3"/>
    <w:rsid w:val="3020A053"/>
    <w:rsid w:val="30226B2C"/>
    <w:rsid w:val="302603A8"/>
    <w:rsid w:val="30261409"/>
    <w:rsid w:val="302745FE"/>
    <w:rsid w:val="30282317"/>
    <w:rsid w:val="302833E7"/>
    <w:rsid w:val="3028DBF8"/>
    <w:rsid w:val="30290B45"/>
    <w:rsid w:val="302ACA11"/>
    <w:rsid w:val="302C9409"/>
    <w:rsid w:val="302DEDE8"/>
    <w:rsid w:val="302E26FC"/>
    <w:rsid w:val="302F217A"/>
    <w:rsid w:val="3030E9C7"/>
    <w:rsid w:val="3031291A"/>
    <w:rsid w:val="303203EC"/>
    <w:rsid w:val="3033E345"/>
    <w:rsid w:val="30342BF0"/>
    <w:rsid w:val="303498E8"/>
    <w:rsid w:val="3035A5D7"/>
    <w:rsid w:val="30378084"/>
    <w:rsid w:val="30392977"/>
    <w:rsid w:val="30397878"/>
    <w:rsid w:val="303A5A67"/>
    <w:rsid w:val="303A8E2A"/>
    <w:rsid w:val="303B9A4A"/>
    <w:rsid w:val="303D05C6"/>
    <w:rsid w:val="303EEDBD"/>
    <w:rsid w:val="303FBC8D"/>
    <w:rsid w:val="304209C7"/>
    <w:rsid w:val="3046ABC9"/>
    <w:rsid w:val="304763CD"/>
    <w:rsid w:val="3047C663"/>
    <w:rsid w:val="30482843"/>
    <w:rsid w:val="3048ADFB"/>
    <w:rsid w:val="304BA205"/>
    <w:rsid w:val="304C6693"/>
    <w:rsid w:val="304D2A1D"/>
    <w:rsid w:val="304F0CA0"/>
    <w:rsid w:val="304F6D55"/>
    <w:rsid w:val="304FA08C"/>
    <w:rsid w:val="3050B238"/>
    <w:rsid w:val="30513F6E"/>
    <w:rsid w:val="3052901B"/>
    <w:rsid w:val="3053222B"/>
    <w:rsid w:val="3054FBBF"/>
    <w:rsid w:val="305632DD"/>
    <w:rsid w:val="30565034"/>
    <w:rsid w:val="305663BB"/>
    <w:rsid w:val="3058A1A2"/>
    <w:rsid w:val="3058AE73"/>
    <w:rsid w:val="3058D057"/>
    <w:rsid w:val="305B2854"/>
    <w:rsid w:val="305C6634"/>
    <w:rsid w:val="305C7A42"/>
    <w:rsid w:val="30613039"/>
    <w:rsid w:val="30631AA2"/>
    <w:rsid w:val="30633238"/>
    <w:rsid w:val="30643A1F"/>
    <w:rsid w:val="3064A703"/>
    <w:rsid w:val="306514D2"/>
    <w:rsid w:val="3065181E"/>
    <w:rsid w:val="30653F1D"/>
    <w:rsid w:val="3065CF53"/>
    <w:rsid w:val="3066AFA4"/>
    <w:rsid w:val="306731D1"/>
    <w:rsid w:val="30678234"/>
    <w:rsid w:val="306C2109"/>
    <w:rsid w:val="306F17BE"/>
    <w:rsid w:val="30716FA9"/>
    <w:rsid w:val="30729E9E"/>
    <w:rsid w:val="3074BC56"/>
    <w:rsid w:val="307686D2"/>
    <w:rsid w:val="30777476"/>
    <w:rsid w:val="3077E772"/>
    <w:rsid w:val="30787845"/>
    <w:rsid w:val="307931B7"/>
    <w:rsid w:val="30796766"/>
    <w:rsid w:val="307B5637"/>
    <w:rsid w:val="307C8EBC"/>
    <w:rsid w:val="307D062B"/>
    <w:rsid w:val="307D5FA4"/>
    <w:rsid w:val="3080BCF1"/>
    <w:rsid w:val="3081D214"/>
    <w:rsid w:val="30860B65"/>
    <w:rsid w:val="30886CBA"/>
    <w:rsid w:val="30886E2B"/>
    <w:rsid w:val="308A30D4"/>
    <w:rsid w:val="308A98EA"/>
    <w:rsid w:val="308ACAB7"/>
    <w:rsid w:val="308B1CB8"/>
    <w:rsid w:val="308BFED2"/>
    <w:rsid w:val="308D7479"/>
    <w:rsid w:val="308E04F7"/>
    <w:rsid w:val="308F982E"/>
    <w:rsid w:val="308FAD5B"/>
    <w:rsid w:val="308FBFDA"/>
    <w:rsid w:val="309235A6"/>
    <w:rsid w:val="3092AE7B"/>
    <w:rsid w:val="309440CE"/>
    <w:rsid w:val="309456BE"/>
    <w:rsid w:val="3094E51A"/>
    <w:rsid w:val="309599CD"/>
    <w:rsid w:val="3095AB6C"/>
    <w:rsid w:val="3095E6D6"/>
    <w:rsid w:val="3098A555"/>
    <w:rsid w:val="3098FE19"/>
    <w:rsid w:val="3099BD6D"/>
    <w:rsid w:val="309BB916"/>
    <w:rsid w:val="309ECB71"/>
    <w:rsid w:val="30A0145D"/>
    <w:rsid w:val="30A02E66"/>
    <w:rsid w:val="30A47825"/>
    <w:rsid w:val="30A70C6A"/>
    <w:rsid w:val="30A87651"/>
    <w:rsid w:val="30A953C5"/>
    <w:rsid w:val="30A9F528"/>
    <w:rsid w:val="30ADE45C"/>
    <w:rsid w:val="30B1423D"/>
    <w:rsid w:val="30B16EEB"/>
    <w:rsid w:val="30B22E2F"/>
    <w:rsid w:val="30B2D1A5"/>
    <w:rsid w:val="30BA2DFC"/>
    <w:rsid w:val="30BDC9DD"/>
    <w:rsid w:val="30BE16DD"/>
    <w:rsid w:val="30BF2468"/>
    <w:rsid w:val="30C0E12B"/>
    <w:rsid w:val="30C1A7AE"/>
    <w:rsid w:val="30C1B363"/>
    <w:rsid w:val="30C21176"/>
    <w:rsid w:val="30C95EE3"/>
    <w:rsid w:val="30C97C78"/>
    <w:rsid w:val="30CCC517"/>
    <w:rsid w:val="30CE32CB"/>
    <w:rsid w:val="30D06619"/>
    <w:rsid w:val="30D0A2EA"/>
    <w:rsid w:val="30D30778"/>
    <w:rsid w:val="30D4077A"/>
    <w:rsid w:val="30D5FBB3"/>
    <w:rsid w:val="30D77DBF"/>
    <w:rsid w:val="30D7ACB6"/>
    <w:rsid w:val="30D7FF9C"/>
    <w:rsid w:val="30DADF8A"/>
    <w:rsid w:val="30DD5584"/>
    <w:rsid w:val="30DDF5B8"/>
    <w:rsid w:val="30E17D5F"/>
    <w:rsid w:val="30E22D71"/>
    <w:rsid w:val="30E356EA"/>
    <w:rsid w:val="30E4C26F"/>
    <w:rsid w:val="30E61C8A"/>
    <w:rsid w:val="30E660E7"/>
    <w:rsid w:val="30E70AA2"/>
    <w:rsid w:val="30E7164E"/>
    <w:rsid w:val="30E8C0C9"/>
    <w:rsid w:val="30E97D45"/>
    <w:rsid w:val="30E98FC2"/>
    <w:rsid w:val="30EA781C"/>
    <w:rsid w:val="30EB3DF2"/>
    <w:rsid w:val="30EC6171"/>
    <w:rsid w:val="30EC65CE"/>
    <w:rsid w:val="30EE08C3"/>
    <w:rsid w:val="30EF46CE"/>
    <w:rsid w:val="30EFBF8D"/>
    <w:rsid w:val="30F08F41"/>
    <w:rsid w:val="30F12A51"/>
    <w:rsid w:val="30F307A8"/>
    <w:rsid w:val="30F3080E"/>
    <w:rsid w:val="30F8DC2D"/>
    <w:rsid w:val="30FB130D"/>
    <w:rsid w:val="30FB14DD"/>
    <w:rsid w:val="310021EC"/>
    <w:rsid w:val="3101433A"/>
    <w:rsid w:val="3101E627"/>
    <w:rsid w:val="3102211A"/>
    <w:rsid w:val="3102C0CC"/>
    <w:rsid w:val="3102EF4B"/>
    <w:rsid w:val="3103D93E"/>
    <w:rsid w:val="31092196"/>
    <w:rsid w:val="310AE028"/>
    <w:rsid w:val="310B5322"/>
    <w:rsid w:val="310F6582"/>
    <w:rsid w:val="31107847"/>
    <w:rsid w:val="31139AB0"/>
    <w:rsid w:val="311574AC"/>
    <w:rsid w:val="3116D6DA"/>
    <w:rsid w:val="31183BBD"/>
    <w:rsid w:val="31188624"/>
    <w:rsid w:val="311B7098"/>
    <w:rsid w:val="311CDEFE"/>
    <w:rsid w:val="311ED653"/>
    <w:rsid w:val="31200322"/>
    <w:rsid w:val="31254BC3"/>
    <w:rsid w:val="31256866"/>
    <w:rsid w:val="31263005"/>
    <w:rsid w:val="312688B2"/>
    <w:rsid w:val="31275695"/>
    <w:rsid w:val="31275E03"/>
    <w:rsid w:val="31277098"/>
    <w:rsid w:val="3127F2B0"/>
    <w:rsid w:val="3128011F"/>
    <w:rsid w:val="312B63A2"/>
    <w:rsid w:val="312F11BF"/>
    <w:rsid w:val="312F9B01"/>
    <w:rsid w:val="3131F8D7"/>
    <w:rsid w:val="3132B626"/>
    <w:rsid w:val="31333B94"/>
    <w:rsid w:val="3133D90A"/>
    <w:rsid w:val="3133DF17"/>
    <w:rsid w:val="3134027F"/>
    <w:rsid w:val="3134905D"/>
    <w:rsid w:val="3134BF7F"/>
    <w:rsid w:val="31352EC5"/>
    <w:rsid w:val="31370E05"/>
    <w:rsid w:val="3138252D"/>
    <w:rsid w:val="31392628"/>
    <w:rsid w:val="313B1CE0"/>
    <w:rsid w:val="313CA608"/>
    <w:rsid w:val="313CD46D"/>
    <w:rsid w:val="313F3AB6"/>
    <w:rsid w:val="3143C485"/>
    <w:rsid w:val="314440B7"/>
    <w:rsid w:val="31457BC3"/>
    <w:rsid w:val="31491DF0"/>
    <w:rsid w:val="314A2196"/>
    <w:rsid w:val="314F5FF5"/>
    <w:rsid w:val="314F6572"/>
    <w:rsid w:val="31515771"/>
    <w:rsid w:val="3153632C"/>
    <w:rsid w:val="3153799D"/>
    <w:rsid w:val="3156DE0A"/>
    <w:rsid w:val="315883BD"/>
    <w:rsid w:val="3159E80C"/>
    <w:rsid w:val="3159EC4D"/>
    <w:rsid w:val="315D7A89"/>
    <w:rsid w:val="31640CC6"/>
    <w:rsid w:val="3164169A"/>
    <w:rsid w:val="316455FF"/>
    <w:rsid w:val="3165BF02"/>
    <w:rsid w:val="316734BA"/>
    <w:rsid w:val="316778E5"/>
    <w:rsid w:val="3168AAEA"/>
    <w:rsid w:val="316A38F7"/>
    <w:rsid w:val="316B4410"/>
    <w:rsid w:val="316B63AB"/>
    <w:rsid w:val="316C370F"/>
    <w:rsid w:val="316CD77C"/>
    <w:rsid w:val="316E2DD5"/>
    <w:rsid w:val="316F9856"/>
    <w:rsid w:val="31700909"/>
    <w:rsid w:val="317146B4"/>
    <w:rsid w:val="3171BF19"/>
    <w:rsid w:val="3171F64A"/>
    <w:rsid w:val="3172B2D2"/>
    <w:rsid w:val="3173FF53"/>
    <w:rsid w:val="317401B2"/>
    <w:rsid w:val="317432A1"/>
    <w:rsid w:val="3175BE0C"/>
    <w:rsid w:val="317A4768"/>
    <w:rsid w:val="317DEB40"/>
    <w:rsid w:val="3180065F"/>
    <w:rsid w:val="3180EC0E"/>
    <w:rsid w:val="3182FF42"/>
    <w:rsid w:val="31867B23"/>
    <w:rsid w:val="3187E6B5"/>
    <w:rsid w:val="3189E1F3"/>
    <w:rsid w:val="318A09F3"/>
    <w:rsid w:val="318A4FD1"/>
    <w:rsid w:val="318E23D1"/>
    <w:rsid w:val="3190F5A8"/>
    <w:rsid w:val="3191D163"/>
    <w:rsid w:val="319200C3"/>
    <w:rsid w:val="3192526F"/>
    <w:rsid w:val="3192C3DB"/>
    <w:rsid w:val="3195754D"/>
    <w:rsid w:val="31982790"/>
    <w:rsid w:val="3199148C"/>
    <w:rsid w:val="319973AE"/>
    <w:rsid w:val="3199DAAF"/>
    <w:rsid w:val="319A2120"/>
    <w:rsid w:val="319BE731"/>
    <w:rsid w:val="319DFB5A"/>
    <w:rsid w:val="319EDE5B"/>
    <w:rsid w:val="319FB785"/>
    <w:rsid w:val="319FE1FF"/>
    <w:rsid w:val="31A1F46B"/>
    <w:rsid w:val="31A23FDC"/>
    <w:rsid w:val="31A45625"/>
    <w:rsid w:val="31A57AA0"/>
    <w:rsid w:val="31A59D3F"/>
    <w:rsid w:val="31A64CC1"/>
    <w:rsid w:val="31A80742"/>
    <w:rsid w:val="31A82094"/>
    <w:rsid w:val="31A84C9C"/>
    <w:rsid w:val="31A880FD"/>
    <w:rsid w:val="31A94CB7"/>
    <w:rsid w:val="31ABCA99"/>
    <w:rsid w:val="31ACDB52"/>
    <w:rsid w:val="31AD11F9"/>
    <w:rsid w:val="31AD5973"/>
    <w:rsid w:val="31AE0106"/>
    <w:rsid w:val="31B13E23"/>
    <w:rsid w:val="31B4C94B"/>
    <w:rsid w:val="31B5C852"/>
    <w:rsid w:val="31B61D0C"/>
    <w:rsid w:val="31B62F32"/>
    <w:rsid w:val="31BB4CE0"/>
    <w:rsid w:val="31BD3841"/>
    <w:rsid w:val="31BF7201"/>
    <w:rsid w:val="31C021BA"/>
    <w:rsid w:val="31C318AB"/>
    <w:rsid w:val="31C383CB"/>
    <w:rsid w:val="31C48D54"/>
    <w:rsid w:val="31C5700D"/>
    <w:rsid w:val="31C5DCD7"/>
    <w:rsid w:val="31C66914"/>
    <w:rsid w:val="31C6AAF2"/>
    <w:rsid w:val="31C9F1AA"/>
    <w:rsid w:val="31CB2234"/>
    <w:rsid w:val="31CBB5BA"/>
    <w:rsid w:val="31CF1EA8"/>
    <w:rsid w:val="31D0B08A"/>
    <w:rsid w:val="31D41ACA"/>
    <w:rsid w:val="31D7406F"/>
    <w:rsid w:val="31D9AD8F"/>
    <w:rsid w:val="31DA1990"/>
    <w:rsid w:val="31DAD9B5"/>
    <w:rsid w:val="31DB25D9"/>
    <w:rsid w:val="31DB53F0"/>
    <w:rsid w:val="31DB9EB5"/>
    <w:rsid w:val="31DCAA6B"/>
    <w:rsid w:val="31DCB026"/>
    <w:rsid w:val="31DD3881"/>
    <w:rsid w:val="31DF97C4"/>
    <w:rsid w:val="31E030FB"/>
    <w:rsid w:val="31E127B6"/>
    <w:rsid w:val="31E2B006"/>
    <w:rsid w:val="31E669CC"/>
    <w:rsid w:val="31E84ADA"/>
    <w:rsid w:val="31E88C60"/>
    <w:rsid w:val="31E8D60A"/>
    <w:rsid w:val="31E9F96A"/>
    <w:rsid w:val="31EAADE8"/>
    <w:rsid w:val="31EAB980"/>
    <w:rsid w:val="31EB9A85"/>
    <w:rsid w:val="31EE5579"/>
    <w:rsid w:val="31EF16AA"/>
    <w:rsid w:val="31F2FE85"/>
    <w:rsid w:val="31F3B9E7"/>
    <w:rsid w:val="31F4AC1E"/>
    <w:rsid w:val="31F5A88D"/>
    <w:rsid w:val="31F87EEC"/>
    <w:rsid w:val="31FD99FE"/>
    <w:rsid w:val="31FE2453"/>
    <w:rsid w:val="31FE8223"/>
    <w:rsid w:val="31FE87FE"/>
    <w:rsid w:val="31FFE35E"/>
    <w:rsid w:val="32003047"/>
    <w:rsid w:val="32020A37"/>
    <w:rsid w:val="3203656A"/>
    <w:rsid w:val="3205B2CC"/>
    <w:rsid w:val="3207D216"/>
    <w:rsid w:val="320EC974"/>
    <w:rsid w:val="320ED680"/>
    <w:rsid w:val="32113202"/>
    <w:rsid w:val="32114F27"/>
    <w:rsid w:val="32129701"/>
    <w:rsid w:val="321300CE"/>
    <w:rsid w:val="3213AB77"/>
    <w:rsid w:val="32147968"/>
    <w:rsid w:val="32172BCC"/>
    <w:rsid w:val="321955C7"/>
    <w:rsid w:val="321A1343"/>
    <w:rsid w:val="321A37DB"/>
    <w:rsid w:val="321A4380"/>
    <w:rsid w:val="321BAB2C"/>
    <w:rsid w:val="321CEC68"/>
    <w:rsid w:val="321CF63D"/>
    <w:rsid w:val="3220F232"/>
    <w:rsid w:val="32242EF9"/>
    <w:rsid w:val="32272AD1"/>
    <w:rsid w:val="32273123"/>
    <w:rsid w:val="32287FEA"/>
    <w:rsid w:val="32288B93"/>
    <w:rsid w:val="32299C82"/>
    <w:rsid w:val="322BFC4F"/>
    <w:rsid w:val="322E50A9"/>
    <w:rsid w:val="3230C132"/>
    <w:rsid w:val="323157B9"/>
    <w:rsid w:val="32337655"/>
    <w:rsid w:val="32366B6D"/>
    <w:rsid w:val="323677FC"/>
    <w:rsid w:val="32389BAB"/>
    <w:rsid w:val="323ADEE4"/>
    <w:rsid w:val="323B1EAB"/>
    <w:rsid w:val="323C465A"/>
    <w:rsid w:val="323CAE59"/>
    <w:rsid w:val="323E4590"/>
    <w:rsid w:val="32402B34"/>
    <w:rsid w:val="3240D90F"/>
    <w:rsid w:val="324573C4"/>
    <w:rsid w:val="3245A13D"/>
    <w:rsid w:val="3246B7A7"/>
    <w:rsid w:val="32471BE6"/>
    <w:rsid w:val="324A71D4"/>
    <w:rsid w:val="324AA9A1"/>
    <w:rsid w:val="324C78BD"/>
    <w:rsid w:val="324CC698"/>
    <w:rsid w:val="324E8233"/>
    <w:rsid w:val="324EC042"/>
    <w:rsid w:val="3250F35A"/>
    <w:rsid w:val="3251A01B"/>
    <w:rsid w:val="32532656"/>
    <w:rsid w:val="3253F1CB"/>
    <w:rsid w:val="3253FEC6"/>
    <w:rsid w:val="3255ECA1"/>
    <w:rsid w:val="32560A09"/>
    <w:rsid w:val="325810D3"/>
    <w:rsid w:val="32586591"/>
    <w:rsid w:val="32592502"/>
    <w:rsid w:val="325B3B49"/>
    <w:rsid w:val="325F2EC1"/>
    <w:rsid w:val="325FA5E1"/>
    <w:rsid w:val="326053DD"/>
    <w:rsid w:val="32620906"/>
    <w:rsid w:val="3263C8BC"/>
    <w:rsid w:val="3266D665"/>
    <w:rsid w:val="3267F123"/>
    <w:rsid w:val="32684FF7"/>
    <w:rsid w:val="3268F33C"/>
    <w:rsid w:val="32693CB1"/>
    <w:rsid w:val="32697C2D"/>
    <w:rsid w:val="326A6BA5"/>
    <w:rsid w:val="326B50E3"/>
    <w:rsid w:val="32706918"/>
    <w:rsid w:val="3271FADA"/>
    <w:rsid w:val="32726E3F"/>
    <w:rsid w:val="32738C29"/>
    <w:rsid w:val="32739B18"/>
    <w:rsid w:val="32739C8C"/>
    <w:rsid w:val="32779D12"/>
    <w:rsid w:val="327919AB"/>
    <w:rsid w:val="32799189"/>
    <w:rsid w:val="327A8454"/>
    <w:rsid w:val="327B24F1"/>
    <w:rsid w:val="327B8ED8"/>
    <w:rsid w:val="327CA113"/>
    <w:rsid w:val="327D13A5"/>
    <w:rsid w:val="327DC0EF"/>
    <w:rsid w:val="327F12CC"/>
    <w:rsid w:val="327F73AA"/>
    <w:rsid w:val="3282A48A"/>
    <w:rsid w:val="328374AF"/>
    <w:rsid w:val="3283E2CE"/>
    <w:rsid w:val="32859473"/>
    <w:rsid w:val="3286040A"/>
    <w:rsid w:val="32861470"/>
    <w:rsid w:val="32861E5C"/>
    <w:rsid w:val="32869BE6"/>
    <w:rsid w:val="32869FF8"/>
    <w:rsid w:val="32892274"/>
    <w:rsid w:val="3289C51E"/>
    <w:rsid w:val="328B52C5"/>
    <w:rsid w:val="328BFA16"/>
    <w:rsid w:val="3293FCFB"/>
    <w:rsid w:val="3294F2DC"/>
    <w:rsid w:val="32958D80"/>
    <w:rsid w:val="3295B220"/>
    <w:rsid w:val="3295CA79"/>
    <w:rsid w:val="3295DF2B"/>
    <w:rsid w:val="32966DAC"/>
    <w:rsid w:val="32971140"/>
    <w:rsid w:val="32977D0E"/>
    <w:rsid w:val="329A5896"/>
    <w:rsid w:val="329AF86A"/>
    <w:rsid w:val="329B3065"/>
    <w:rsid w:val="329D28A7"/>
    <w:rsid w:val="329D35E7"/>
    <w:rsid w:val="329E85F3"/>
    <w:rsid w:val="32A013CE"/>
    <w:rsid w:val="32A12B28"/>
    <w:rsid w:val="32A2B2B6"/>
    <w:rsid w:val="32A2FFFB"/>
    <w:rsid w:val="32A384B1"/>
    <w:rsid w:val="32A5E263"/>
    <w:rsid w:val="32A7C2D8"/>
    <w:rsid w:val="32A80416"/>
    <w:rsid w:val="32A96A2D"/>
    <w:rsid w:val="32A9D64C"/>
    <w:rsid w:val="32AA7991"/>
    <w:rsid w:val="32ACE23F"/>
    <w:rsid w:val="32AEFF1A"/>
    <w:rsid w:val="32AF884A"/>
    <w:rsid w:val="32AFC001"/>
    <w:rsid w:val="32B4AEFA"/>
    <w:rsid w:val="32B55559"/>
    <w:rsid w:val="32B5D23E"/>
    <w:rsid w:val="32B62D18"/>
    <w:rsid w:val="32B79A54"/>
    <w:rsid w:val="32B7A97E"/>
    <w:rsid w:val="32B7C558"/>
    <w:rsid w:val="32B842F7"/>
    <w:rsid w:val="32B8DAC9"/>
    <w:rsid w:val="32BCB29E"/>
    <w:rsid w:val="32BDD807"/>
    <w:rsid w:val="32BE2DB9"/>
    <w:rsid w:val="32BE4234"/>
    <w:rsid w:val="32BF4F82"/>
    <w:rsid w:val="32C0931E"/>
    <w:rsid w:val="32C1F4C6"/>
    <w:rsid w:val="32C3322A"/>
    <w:rsid w:val="32C35D2A"/>
    <w:rsid w:val="32C3A93F"/>
    <w:rsid w:val="32C3AF41"/>
    <w:rsid w:val="32C3E449"/>
    <w:rsid w:val="32C402A3"/>
    <w:rsid w:val="32C4C01D"/>
    <w:rsid w:val="32C4F337"/>
    <w:rsid w:val="32C72EDF"/>
    <w:rsid w:val="32C9763C"/>
    <w:rsid w:val="32CA32CF"/>
    <w:rsid w:val="32CA7349"/>
    <w:rsid w:val="32CF3E58"/>
    <w:rsid w:val="32D01052"/>
    <w:rsid w:val="32D1120A"/>
    <w:rsid w:val="32D2BDFE"/>
    <w:rsid w:val="32D49ACE"/>
    <w:rsid w:val="32D70064"/>
    <w:rsid w:val="32DA3DA8"/>
    <w:rsid w:val="32DAAC0C"/>
    <w:rsid w:val="32DB5E16"/>
    <w:rsid w:val="32DB9D9E"/>
    <w:rsid w:val="32DD49D8"/>
    <w:rsid w:val="32DD6A24"/>
    <w:rsid w:val="32DEB9C5"/>
    <w:rsid w:val="32DFE41A"/>
    <w:rsid w:val="32E0DEBB"/>
    <w:rsid w:val="32E1B7B2"/>
    <w:rsid w:val="32E26E3F"/>
    <w:rsid w:val="32E285AC"/>
    <w:rsid w:val="32E2E3E0"/>
    <w:rsid w:val="32E3511E"/>
    <w:rsid w:val="32E42C4F"/>
    <w:rsid w:val="32E7CD99"/>
    <w:rsid w:val="32E8DE63"/>
    <w:rsid w:val="32EBDE37"/>
    <w:rsid w:val="32EEDD9B"/>
    <w:rsid w:val="32F03C23"/>
    <w:rsid w:val="32F03C81"/>
    <w:rsid w:val="32F0F826"/>
    <w:rsid w:val="32F14442"/>
    <w:rsid w:val="32F1B21A"/>
    <w:rsid w:val="32F1C26C"/>
    <w:rsid w:val="32F1C8A6"/>
    <w:rsid w:val="32F26CE9"/>
    <w:rsid w:val="32F400C2"/>
    <w:rsid w:val="32F467CF"/>
    <w:rsid w:val="32F69FC7"/>
    <w:rsid w:val="32F6BBC5"/>
    <w:rsid w:val="32FAC986"/>
    <w:rsid w:val="32FBBDA2"/>
    <w:rsid w:val="32FD9E90"/>
    <w:rsid w:val="32FE3D11"/>
    <w:rsid w:val="32FE7BA6"/>
    <w:rsid w:val="32FFC74E"/>
    <w:rsid w:val="3301180B"/>
    <w:rsid w:val="3302C071"/>
    <w:rsid w:val="3305038D"/>
    <w:rsid w:val="330DF5A4"/>
    <w:rsid w:val="330EC08E"/>
    <w:rsid w:val="331043E6"/>
    <w:rsid w:val="3311B1BA"/>
    <w:rsid w:val="3312240D"/>
    <w:rsid w:val="3313B46C"/>
    <w:rsid w:val="33158FC2"/>
    <w:rsid w:val="3316582D"/>
    <w:rsid w:val="3316C189"/>
    <w:rsid w:val="33171615"/>
    <w:rsid w:val="33192C66"/>
    <w:rsid w:val="3319490C"/>
    <w:rsid w:val="3319C897"/>
    <w:rsid w:val="3319EA8B"/>
    <w:rsid w:val="331C5F4E"/>
    <w:rsid w:val="331D1D54"/>
    <w:rsid w:val="331E471F"/>
    <w:rsid w:val="3320F89C"/>
    <w:rsid w:val="33253D39"/>
    <w:rsid w:val="332A31BF"/>
    <w:rsid w:val="332AC94C"/>
    <w:rsid w:val="332C08A4"/>
    <w:rsid w:val="332C1E2E"/>
    <w:rsid w:val="332EE652"/>
    <w:rsid w:val="332FFEFC"/>
    <w:rsid w:val="33314BE4"/>
    <w:rsid w:val="3333E0C9"/>
    <w:rsid w:val="333932D3"/>
    <w:rsid w:val="333AA1D6"/>
    <w:rsid w:val="333B12A6"/>
    <w:rsid w:val="333B3D6D"/>
    <w:rsid w:val="333DE7A8"/>
    <w:rsid w:val="333EAD66"/>
    <w:rsid w:val="333EB250"/>
    <w:rsid w:val="333F1915"/>
    <w:rsid w:val="333F22E7"/>
    <w:rsid w:val="3340679D"/>
    <w:rsid w:val="3341FD3E"/>
    <w:rsid w:val="33423C75"/>
    <w:rsid w:val="3342C956"/>
    <w:rsid w:val="334A3768"/>
    <w:rsid w:val="334B7CA8"/>
    <w:rsid w:val="334C460F"/>
    <w:rsid w:val="334C5C3A"/>
    <w:rsid w:val="334CAF8B"/>
    <w:rsid w:val="334D9538"/>
    <w:rsid w:val="335045A1"/>
    <w:rsid w:val="33512640"/>
    <w:rsid w:val="3352A398"/>
    <w:rsid w:val="3353F0ED"/>
    <w:rsid w:val="33550C93"/>
    <w:rsid w:val="335AA6D1"/>
    <w:rsid w:val="335B005D"/>
    <w:rsid w:val="335CCF04"/>
    <w:rsid w:val="336025EC"/>
    <w:rsid w:val="3360481C"/>
    <w:rsid w:val="3360B324"/>
    <w:rsid w:val="3362C1FF"/>
    <w:rsid w:val="33650CCF"/>
    <w:rsid w:val="33674B0C"/>
    <w:rsid w:val="3369197F"/>
    <w:rsid w:val="336AEA02"/>
    <w:rsid w:val="336D4DC1"/>
    <w:rsid w:val="336F24A3"/>
    <w:rsid w:val="336F9D17"/>
    <w:rsid w:val="33754219"/>
    <w:rsid w:val="3379BCBC"/>
    <w:rsid w:val="337B02C0"/>
    <w:rsid w:val="337C007B"/>
    <w:rsid w:val="337C92CE"/>
    <w:rsid w:val="337CC5E2"/>
    <w:rsid w:val="337CE418"/>
    <w:rsid w:val="33804EBD"/>
    <w:rsid w:val="33810D73"/>
    <w:rsid w:val="33887B72"/>
    <w:rsid w:val="338A1670"/>
    <w:rsid w:val="338A86B2"/>
    <w:rsid w:val="338AFDB6"/>
    <w:rsid w:val="338EA192"/>
    <w:rsid w:val="3390C4E6"/>
    <w:rsid w:val="33919AF7"/>
    <w:rsid w:val="33929CA0"/>
    <w:rsid w:val="3392D9B4"/>
    <w:rsid w:val="3392FF9A"/>
    <w:rsid w:val="3395C1F3"/>
    <w:rsid w:val="3397A701"/>
    <w:rsid w:val="339B223C"/>
    <w:rsid w:val="339CDFDF"/>
    <w:rsid w:val="33A0C11D"/>
    <w:rsid w:val="33A16935"/>
    <w:rsid w:val="33A4D97A"/>
    <w:rsid w:val="33A58EC8"/>
    <w:rsid w:val="33A72ACD"/>
    <w:rsid w:val="33A92370"/>
    <w:rsid w:val="33AA2BCF"/>
    <w:rsid w:val="33ACC89D"/>
    <w:rsid w:val="33AD0E34"/>
    <w:rsid w:val="33AEDF03"/>
    <w:rsid w:val="33B1CB99"/>
    <w:rsid w:val="33B4AF70"/>
    <w:rsid w:val="33B7800A"/>
    <w:rsid w:val="33B82F4E"/>
    <w:rsid w:val="33B897BF"/>
    <w:rsid w:val="33B8B369"/>
    <w:rsid w:val="33B93BB7"/>
    <w:rsid w:val="33BD6144"/>
    <w:rsid w:val="33BD6D31"/>
    <w:rsid w:val="33BDBFB4"/>
    <w:rsid w:val="33BEDEDD"/>
    <w:rsid w:val="33BF06F0"/>
    <w:rsid w:val="33C254C6"/>
    <w:rsid w:val="33C2BD7A"/>
    <w:rsid w:val="33C30BF6"/>
    <w:rsid w:val="33C561C9"/>
    <w:rsid w:val="33C56F89"/>
    <w:rsid w:val="33C61F3C"/>
    <w:rsid w:val="33C6ADB3"/>
    <w:rsid w:val="33C72ABE"/>
    <w:rsid w:val="33C76897"/>
    <w:rsid w:val="33C7C4BC"/>
    <w:rsid w:val="33C98011"/>
    <w:rsid w:val="33CA2E87"/>
    <w:rsid w:val="33CA3ED9"/>
    <w:rsid w:val="33CC2F3B"/>
    <w:rsid w:val="33CCA712"/>
    <w:rsid w:val="33CF8332"/>
    <w:rsid w:val="33D086EE"/>
    <w:rsid w:val="33D155D9"/>
    <w:rsid w:val="33D25C75"/>
    <w:rsid w:val="33D2611D"/>
    <w:rsid w:val="33D477B9"/>
    <w:rsid w:val="33D4E1F4"/>
    <w:rsid w:val="33D5025F"/>
    <w:rsid w:val="33D6F48A"/>
    <w:rsid w:val="33DA6555"/>
    <w:rsid w:val="33DAF8C6"/>
    <w:rsid w:val="33DB0DFC"/>
    <w:rsid w:val="33DBAABA"/>
    <w:rsid w:val="33DDDAA3"/>
    <w:rsid w:val="33DEFC72"/>
    <w:rsid w:val="33DFC2C5"/>
    <w:rsid w:val="33E0BB25"/>
    <w:rsid w:val="33E15B62"/>
    <w:rsid w:val="33E20EB6"/>
    <w:rsid w:val="33E54CD4"/>
    <w:rsid w:val="33E705AE"/>
    <w:rsid w:val="33E7BAF3"/>
    <w:rsid w:val="33E85BDE"/>
    <w:rsid w:val="33EB96E9"/>
    <w:rsid w:val="33ECDB49"/>
    <w:rsid w:val="33EE7F19"/>
    <w:rsid w:val="33EF05C1"/>
    <w:rsid w:val="33F0AAAB"/>
    <w:rsid w:val="33F0E068"/>
    <w:rsid w:val="33F10CF7"/>
    <w:rsid w:val="33F1F466"/>
    <w:rsid w:val="33F2747B"/>
    <w:rsid w:val="33F4CDF8"/>
    <w:rsid w:val="33F56ADF"/>
    <w:rsid w:val="33F62896"/>
    <w:rsid w:val="33F66E00"/>
    <w:rsid w:val="33F7338B"/>
    <w:rsid w:val="33F741F0"/>
    <w:rsid w:val="33F77908"/>
    <w:rsid w:val="33F92475"/>
    <w:rsid w:val="33FB53DF"/>
    <w:rsid w:val="33FCF283"/>
    <w:rsid w:val="33FD085C"/>
    <w:rsid w:val="34008324"/>
    <w:rsid w:val="34054C8E"/>
    <w:rsid w:val="3408DDEC"/>
    <w:rsid w:val="34094DB5"/>
    <w:rsid w:val="340A413B"/>
    <w:rsid w:val="340BCCA7"/>
    <w:rsid w:val="340D74AF"/>
    <w:rsid w:val="340FFCB7"/>
    <w:rsid w:val="34102F40"/>
    <w:rsid w:val="3410861C"/>
    <w:rsid w:val="3411DD72"/>
    <w:rsid w:val="3413AA76"/>
    <w:rsid w:val="3414283C"/>
    <w:rsid w:val="34165794"/>
    <w:rsid w:val="3416F832"/>
    <w:rsid w:val="3417FF5B"/>
    <w:rsid w:val="3419DDCD"/>
    <w:rsid w:val="3419F00B"/>
    <w:rsid w:val="341A2713"/>
    <w:rsid w:val="341ABAE8"/>
    <w:rsid w:val="341AE148"/>
    <w:rsid w:val="341B51DA"/>
    <w:rsid w:val="341E74EB"/>
    <w:rsid w:val="34209883"/>
    <w:rsid w:val="3420CA32"/>
    <w:rsid w:val="34218E2D"/>
    <w:rsid w:val="34248562"/>
    <w:rsid w:val="3424F2D5"/>
    <w:rsid w:val="342686B7"/>
    <w:rsid w:val="34277978"/>
    <w:rsid w:val="3428224D"/>
    <w:rsid w:val="342B4CEE"/>
    <w:rsid w:val="342C2348"/>
    <w:rsid w:val="342DDE9A"/>
    <w:rsid w:val="34310D8F"/>
    <w:rsid w:val="3432409D"/>
    <w:rsid w:val="343297F5"/>
    <w:rsid w:val="3433A338"/>
    <w:rsid w:val="34342F61"/>
    <w:rsid w:val="34349006"/>
    <w:rsid w:val="3434F1A1"/>
    <w:rsid w:val="34388E6A"/>
    <w:rsid w:val="343890F8"/>
    <w:rsid w:val="3439B948"/>
    <w:rsid w:val="343A5D3C"/>
    <w:rsid w:val="343C9615"/>
    <w:rsid w:val="343E83FA"/>
    <w:rsid w:val="343FD128"/>
    <w:rsid w:val="3441523A"/>
    <w:rsid w:val="34428B82"/>
    <w:rsid w:val="3443F2C3"/>
    <w:rsid w:val="3444356E"/>
    <w:rsid w:val="34479528"/>
    <w:rsid w:val="34482D7A"/>
    <w:rsid w:val="34495432"/>
    <w:rsid w:val="3449646B"/>
    <w:rsid w:val="344B963C"/>
    <w:rsid w:val="344CDC17"/>
    <w:rsid w:val="344CF7C6"/>
    <w:rsid w:val="344E4F4C"/>
    <w:rsid w:val="344F5A44"/>
    <w:rsid w:val="344FFCE6"/>
    <w:rsid w:val="34511176"/>
    <w:rsid w:val="345277C7"/>
    <w:rsid w:val="34531A5B"/>
    <w:rsid w:val="3453EA40"/>
    <w:rsid w:val="3455D56D"/>
    <w:rsid w:val="34586977"/>
    <w:rsid w:val="345CC151"/>
    <w:rsid w:val="345CE739"/>
    <w:rsid w:val="345D69E8"/>
    <w:rsid w:val="345DC58A"/>
    <w:rsid w:val="345F0105"/>
    <w:rsid w:val="34600A60"/>
    <w:rsid w:val="3463D381"/>
    <w:rsid w:val="3463E6D6"/>
    <w:rsid w:val="3464FD74"/>
    <w:rsid w:val="34652856"/>
    <w:rsid w:val="34660330"/>
    <w:rsid w:val="3466DDED"/>
    <w:rsid w:val="3468EF40"/>
    <w:rsid w:val="346A002B"/>
    <w:rsid w:val="346AB29C"/>
    <w:rsid w:val="346B7EFE"/>
    <w:rsid w:val="346DEB09"/>
    <w:rsid w:val="3470DE45"/>
    <w:rsid w:val="3471A99A"/>
    <w:rsid w:val="3472185E"/>
    <w:rsid w:val="3475F159"/>
    <w:rsid w:val="34763185"/>
    <w:rsid w:val="3476C241"/>
    <w:rsid w:val="34792FB0"/>
    <w:rsid w:val="347BCDD6"/>
    <w:rsid w:val="347D3501"/>
    <w:rsid w:val="347E6829"/>
    <w:rsid w:val="347F2E9B"/>
    <w:rsid w:val="348271DB"/>
    <w:rsid w:val="3483AAFD"/>
    <w:rsid w:val="34848865"/>
    <w:rsid w:val="34851BBB"/>
    <w:rsid w:val="348689ED"/>
    <w:rsid w:val="34882399"/>
    <w:rsid w:val="34886AD1"/>
    <w:rsid w:val="348915AC"/>
    <w:rsid w:val="34897F61"/>
    <w:rsid w:val="348A1A1E"/>
    <w:rsid w:val="348A50C1"/>
    <w:rsid w:val="348B870A"/>
    <w:rsid w:val="348C190B"/>
    <w:rsid w:val="34900AD1"/>
    <w:rsid w:val="34911A3A"/>
    <w:rsid w:val="34919F7F"/>
    <w:rsid w:val="3491F45A"/>
    <w:rsid w:val="3492B852"/>
    <w:rsid w:val="3492B867"/>
    <w:rsid w:val="349677C1"/>
    <w:rsid w:val="3496D7A4"/>
    <w:rsid w:val="34972E0E"/>
    <w:rsid w:val="3497F463"/>
    <w:rsid w:val="34985F1C"/>
    <w:rsid w:val="34990334"/>
    <w:rsid w:val="3499525B"/>
    <w:rsid w:val="349B34FD"/>
    <w:rsid w:val="349C4540"/>
    <w:rsid w:val="349C9431"/>
    <w:rsid w:val="349D7052"/>
    <w:rsid w:val="349F2F4B"/>
    <w:rsid w:val="34A02C2D"/>
    <w:rsid w:val="34A2B8EA"/>
    <w:rsid w:val="34A72AD2"/>
    <w:rsid w:val="34A9EC1C"/>
    <w:rsid w:val="34AB5127"/>
    <w:rsid w:val="34AC9B89"/>
    <w:rsid w:val="34AD93E4"/>
    <w:rsid w:val="34AE2A0B"/>
    <w:rsid w:val="34B1D6BB"/>
    <w:rsid w:val="34B33ED3"/>
    <w:rsid w:val="34B853CB"/>
    <w:rsid w:val="34BBC667"/>
    <w:rsid w:val="34BD5179"/>
    <w:rsid w:val="34BEB4AB"/>
    <w:rsid w:val="34BEC006"/>
    <w:rsid w:val="34BEE9F3"/>
    <w:rsid w:val="34C00FE3"/>
    <w:rsid w:val="34C19360"/>
    <w:rsid w:val="34C1E4E6"/>
    <w:rsid w:val="34C4180F"/>
    <w:rsid w:val="34C49B36"/>
    <w:rsid w:val="34C8BF17"/>
    <w:rsid w:val="34C8E874"/>
    <w:rsid w:val="34CCA6DD"/>
    <w:rsid w:val="34CEB364"/>
    <w:rsid w:val="34CFF654"/>
    <w:rsid w:val="34D9A4C2"/>
    <w:rsid w:val="34D9A5F3"/>
    <w:rsid w:val="34DA66B8"/>
    <w:rsid w:val="34DE1587"/>
    <w:rsid w:val="34DE209C"/>
    <w:rsid w:val="34DF36E5"/>
    <w:rsid w:val="34DFD110"/>
    <w:rsid w:val="34E0519B"/>
    <w:rsid w:val="34E42558"/>
    <w:rsid w:val="34E42E2E"/>
    <w:rsid w:val="34E60506"/>
    <w:rsid w:val="34E91767"/>
    <w:rsid w:val="34E94ADA"/>
    <w:rsid w:val="34EB6DD1"/>
    <w:rsid w:val="34EB7941"/>
    <w:rsid w:val="34EC8027"/>
    <w:rsid w:val="34ED3D3F"/>
    <w:rsid w:val="34ED456D"/>
    <w:rsid w:val="34EE7D7F"/>
    <w:rsid w:val="34EF27FE"/>
    <w:rsid w:val="34EFFB79"/>
    <w:rsid w:val="34F22953"/>
    <w:rsid w:val="34F25E3B"/>
    <w:rsid w:val="34F264B8"/>
    <w:rsid w:val="34F2D079"/>
    <w:rsid w:val="34F3DA03"/>
    <w:rsid w:val="34F59DA2"/>
    <w:rsid w:val="34F6D0DA"/>
    <w:rsid w:val="34F75D89"/>
    <w:rsid w:val="34F761EE"/>
    <w:rsid w:val="34F7C258"/>
    <w:rsid w:val="34F8B65A"/>
    <w:rsid w:val="34FC71BB"/>
    <w:rsid w:val="34FCB3FB"/>
    <w:rsid w:val="34FDBD16"/>
    <w:rsid w:val="34FEECD6"/>
    <w:rsid w:val="34FFC390"/>
    <w:rsid w:val="3506811A"/>
    <w:rsid w:val="35084367"/>
    <w:rsid w:val="35089163"/>
    <w:rsid w:val="3508FB12"/>
    <w:rsid w:val="3509307F"/>
    <w:rsid w:val="350A3C81"/>
    <w:rsid w:val="350A9843"/>
    <w:rsid w:val="350AC852"/>
    <w:rsid w:val="350BF64E"/>
    <w:rsid w:val="350BFABB"/>
    <w:rsid w:val="350C13F1"/>
    <w:rsid w:val="350DAF3A"/>
    <w:rsid w:val="35126D8B"/>
    <w:rsid w:val="351300E6"/>
    <w:rsid w:val="351466D9"/>
    <w:rsid w:val="35166CDA"/>
    <w:rsid w:val="35171E74"/>
    <w:rsid w:val="35186F40"/>
    <w:rsid w:val="351894EF"/>
    <w:rsid w:val="3518C018"/>
    <w:rsid w:val="35190E88"/>
    <w:rsid w:val="35193778"/>
    <w:rsid w:val="351ACFAE"/>
    <w:rsid w:val="351B0A49"/>
    <w:rsid w:val="351D40BF"/>
    <w:rsid w:val="351DC2E4"/>
    <w:rsid w:val="351FF337"/>
    <w:rsid w:val="35202D22"/>
    <w:rsid w:val="3520E281"/>
    <w:rsid w:val="352191D4"/>
    <w:rsid w:val="3521FD83"/>
    <w:rsid w:val="35223B61"/>
    <w:rsid w:val="3522D8F6"/>
    <w:rsid w:val="3523C2DF"/>
    <w:rsid w:val="35247E84"/>
    <w:rsid w:val="35251CA1"/>
    <w:rsid w:val="35252F85"/>
    <w:rsid w:val="3526EC4E"/>
    <w:rsid w:val="352799EB"/>
    <w:rsid w:val="35285565"/>
    <w:rsid w:val="3528674C"/>
    <w:rsid w:val="352A8C34"/>
    <w:rsid w:val="352C43F8"/>
    <w:rsid w:val="352D7C99"/>
    <w:rsid w:val="352F1AE5"/>
    <w:rsid w:val="3530BCCA"/>
    <w:rsid w:val="3530FB1A"/>
    <w:rsid w:val="35316A8E"/>
    <w:rsid w:val="3531E0A2"/>
    <w:rsid w:val="3535CBD7"/>
    <w:rsid w:val="35365778"/>
    <w:rsid w:val="3539E737"/>
    <w:rsid w:val="353C6AF0"/>
    <w:rsid w:val="353E7059"/>
    <w:rsid w:val="3541B790"/>
    <w:rsid w:val="354456BD"/>
    <w:rsid w:val="35448765"/>
    <w:rsid w:val="35451192"/>
    <w:rsid w:val="354905B4"/>
    <w:rsid w:val="354A06B9"/>
    <w:rsid w:val="354A4DA5"/>
    <w:rsid w:val="354B13DF"/>
    <w:rsid w:val="354EFCE4"/>
    <w:rsid w:val="3550A83E"/>
    <w:rsid w:val="3551CAC5"/>
    <w:rsid w:val="3553DB12"/>
    <w:rsid w:val="35542E4F"/>
    <w:rsid w:val="3554C487"/>
    <w:rsid w:val="3556C196"/>
    <w:rsid w:val="3558CD82"/>
    <w:rsid w:val="3558D69A"/>
    <w:rsid w:val="3559C082"/>
    <w:rsid w:val="355D4C34"/>
    <w:rsid w:val="355DC729"/>
    <w:rsid w:val="355E25D0"/>
    <w:rsid w:val="355F2D60"/>
    <w:rsid w:val="355F3F05"/>
    <w:rsid w:val="355F9F03"/>
    <w:rsid w:val="35610A38"/>
    <w:rsid w:val="35614C59"/>
    <w:rsid w:val="35620659"/>
    <w:rsid w:val="3562212E"/>
    <w:rsid w:val="3564752F"/>
    <w:rsid w:val="3565CD13"/>
    <w:rsid w:val="3565E5A4"/>
    <w:rsid w:val="356643B7"/>
    <w:rsid w:val="35671D0E"/>
    <w:rsid w:val="3567BDD8"/>
    <w:rsid w:val="35687036"/>
    <w:rsid w:val="356CEE4D"/>
    <w:rsid w:val="356EA441"/>
    <w:rsid w:val="35729BE8"/>
    <w:rsid w:val="35739A46"/>
    <w:rsid w:val="3574A865"/>
    <w:rsid w:val="3574DB1C"/>
    <w:rsid w:val="35757B7E"/>
    <w:rsid w:val="3575E7D4"/>
    <w:rsid w:val="357679AE"/>
    <w:rsid w:val="35773542"/>
    <w:rsid w:val="357877BD"/>
    <w:rsid w:val="3578FDD9"/>
    <w:rsid w:val="357903CE"/>
    <w:rsid w:val="357A4E95"/>
    <w:rsid w:val="357C0C27"/>
    <w:rsid w:val="357D1DA5"/>
    <w:rsid w:val="357DB950"/>
    <w:rsid w:val="357ED288"/>
    <w:rsid w:val="357F6B1E"/>
    <w:rsid w:val="3580018C"/>
    <w:rsid w:val="3580FBB8"/>
    <w:rsid w:val="3588076E"/>
    <w:rsid w:val="358B3CFB"/>
    <w:rsid w:val="358BDEDE"/>
    <w:rsid w:val="358C2B12"/>
    <w:rsid w:val="358F0D65"/>
    <w:rsid w:val="3594517F"/>
    <w:rsid w:val="35989377"/>
    <w:rsid w:val="359986BB"/>
    <w:rsid w:val="359AF8CB"/>
    <w:rsid w:val="359B8316"/>
    <w:rsid w:val="359C50D8"/>
    <w:rsid w:val="35A049DB"/>
    <w:rsid w:val="35A3D73C"/>
    <w:rsid w:val="35A3F535"/>
    <w:rsid w:val="35A67E28"/>
    <w:rsid w:val="35A884F5"/>
    <w:rsid w:val="35A96F37"/>
    <w:rsid w:val="35AA08EE"/>
    <w:rsid w:val="35AB5114"/>
    <w:rsid w:val="35AE2671"/>
    <w:rsid w:val="35B0910E"/>
    <w:rsid w:val="35B53AB9"/>
    <w:rsid w:val="35B65CD3"/>
    <w:rsid w:val="35B7A61D"/>
    <w:rsid w:val="35B7F299"/>
    <w:rsid w:val="35B889D1"/>
    <w:rsid w:val="35B957DB"/>
    <w:rsid w:val="35BA19E8"/>
    <w:rsid w:val="35BAA0D7"/>
    <w:rsid w:val="35BAF733"/>
    <w:rsid w:val="35BB175C"/>
    <w:rsid w:val="35BD0998"/>
    <w:rsid w:val="35BD7CBE"/>
    <w:rsid w:val="35BDB57F"/>
    <w:rsid w:val="35C0ADAA"/>
    <w:rsid w:val="35C27E8E"/>
    <w:rsid w:val="35C2D556"/>
    <w:rsid w:val="35C2FAB9"/>
    <w:rsid w:val="35C37679"/>
    <w:rsid w:val="35C620DB"/>
    <w:rsid w:val="35C6BF05"/>
    <w:rsid w:val="35C8717E"/>
    <w:rsid w:val="35C88FE3"/>
    <w:rsid w:val="35C89400"/>
    <w:rsid w:val="35C89D29"/>
    <w:rsid w:val="35CCBDB3"/>
    <w:rsid w:val="35CEC2BB"/>
    <w:rsid w:val="35CF0CAB"/>
    <w:rsid w:val="35D074BA"/>
    <w:rsid w:val="35D549D5"/>
    <w:rsid w:val="35D986FB"/>
    <w:rsid w:val="35DA2C5D"/>
    <w:rsid w:val="35DC3658"/>
    <w:rsid w:val="35DD5749"/>
    <w:rsid w:val="35DE9B14"/>
    <w:rsid w:val="35DEF7FD"/>
    <w:rsid w:val="35DF1F59"/>
    <w:rsid w:val="35E23F26"/>
    <w:rsid w:val="35E32724"/>
    <w:rsid w:val="35E4BD48"/>
    <w:rsid w:val="35E4E9C0"/>
    <w:rsid w:val="35E52A82"/>
    <w:rsid w:val="35E78F28"/>
    <w:rsid w:val="35EBBB66"/>
    <w:rsid w:val="35EE401C"/>
    <w:rsid w:val="35F50C27"/>
    <w:rsid w:val="35F740A5"/>
    <w:rsid w:val="35FACF26"/>
    <w:rsid w:val="35FB411F"/>
    <w:rsid w:val="35FC9FCF"/>
    <w:rsid w:val="35FD1D13"/>
    <w:rsid w:val="35FF3844"/>
    <w:rsid w:val="36002F72"/>
    <w:rsid w:val="3600500E"/>
    <w:rsid w:val="360171C9"/>
    <w:rsid w:val="36031E88"/>
    <w:rsid w:val="36062194"/>
    <w:rsid w:val="3606980F"/>
    <w:rsid w:val="3606CCA4"/>
    <w:rsid w:val="3607408E"/>
    <w:rsid w:val="360830A2"/>
    <w:rsid w:val="3608DAC2"/>
    <w:rsid w:val="3609F52F"/>
    <w:rsid w:val="360C000A"/>
    <w:rsid w:val="360D8A69"/>
    <w:rsid w:val="360FB71B"/>
    <w:rsid w:val="36106DF6"/>
    <w:rsid w:val="3610A49F"/>
    <w:rsid w:val="36157EDD"/>
    <w:rsid w:val="36165B48"/>
    <w:rsid w:val="361744AA"/>
    <w:rsid w:val="361806DB"/>
    <w:rsid w:val="361C4038"/>
    <w:rsid w:val="361D9732"/>
    <w:rsid w:val="36210FA5"/>
    <w:rsid w:val="3622020D"/>
    <w:rsid w:val="36227FF3"/>
    <w:rsid w:val="3622AE34"/>
    <w:rsid w:val="362490EA"/>
    <w:rsid w:val="362567B6"/>
    <w:rsid w:val="36267588"/>
    <w:rsid w:val="36286521"/>
    <w:rsid w:val="36295537"/>
    <w:rsid w:val="362B7746"/>
    <w:rsid w:val="362B8883"/>
    <w:rsid w:val="362C1CD1"/>
    <w:rsid w:val="362C21D3"/>
    <w:rsid w:val="362C9234"/>
    <w:rsid w:val="362E8C0A"/>
    <w:rsid w:val="362F6267"/>
    <w:rsid w:val="363287C1"/>
    <w:rsid w:val="3632BA08"/>
    <w:rsid w:val="36353D81"/>
    <w:rsid w:val="36357DA5"/>
    <w:rsid w:val="3635C02D"/>
    <w:rsid w:val="3639CCF6"/>
    <w:rsid w:val="363CB1C9"/>
    <w:rsid w:val="3641EF14"/>
    <w:rsid w:val="36423AAB"/>
    <w:rsid w:val="3645201F"/>
    <w:rsid w:val="36463876"/>
    <w:rsid w:val="36471B57"/>
    <w:rsid w:val="3648FFA7"/>
    <w:rsid w:val="364AA52D"/>
    <w:rsid w:val="364CD2B6"/>
    <w:rsid w:val="364D373E"/>
    <w:rsid w:val="364E1C13"/>
    <w:rsid w:val="364EE255"/>
    <w:rsid w:val="364FE198"/>
    <w:rsid w:val="36526538"/>
    <w:rsid w:val="365321D0"/>
    <w:rsid w:val="3657C91B"/>
    <w:rsid w:val="365A78DC"/>
    <w:rsid w:val="365BCC90"/>
    <w:rsid w:val="365D1B27"/>
    <w:rsid w:val="365D7F3C"/>
    <w:rsid w:val="36610BE0"/>
    <w:rsid w:val="3661E617"/>
    <w:rsid w:val="36624246"/>
    <w:rsid w:val="3662D67E"/>
    <w:rsid w:val="36641759"/>
    <w:rsid w:val="36684BD9"/>
    <w:rsid w:val="36694CC8"/>
    <w:rsid w:val="366C1F0B"/>
    <w:rsid w:val="366EE8AD"/>
    <w:rsid w:val="366F5D33"/>
    <w:rsid w:val="36709F58"/>
    <w:rsid w:val="3671DD91"/>
    <w:rsid w:val="36721790"/>
    <w:rsid w:val="3672927E"/>
    <w:rsid w:val="3672C6E1"/>
    <w:rsid w:val="36739CDF"/>
    <w:rsid w:val="3675FBF8"/>
    <w:rsid w:val="3676FE1E"/>
    <w:rsid w:val="36782417"/>
    <w:rsid w:val="3678EBCB"/>
    <w:rsid w:val="367B4B40"/>
    <w:rsid w:val="367BF3CB"/>
    <w:rsid w:val="367D6F65"/>
    <w:rsid w:val="367DAC9B"/>
    <w:rsid w:val="367E6AF8"/>
    <w:rsid w:val="367FA4B2"/>
    <w:rsid w:val="3680B858"/>
    <w:rsid w:val="3680E2D4"/>
    <w:rsid w:val="36810884"/>
    <w:rsid w:val="368306E4"/>
    <w:rsid w:val="368384DB"/>
    <w:rsid w:val="368739F7"/>
    <w:rsid w:val="368906B2"/>
    <w:rsid w:val="368A2E72"/>
    <w:rsid w:val="368B937D"/>
    <w:rsid w:val="368FA3BC"/>
    <w:rsid w:val="36911651"/>
    <w:rsid w:val="3691EEF8"/>
    <w:rsid w:val="369355C0"/>
    <w:rsid w:val="369479A3"/>
    <w:rsid w:val="36992D67"/>
    <w:rsid w:val="36994CC5"/>
    <w:rsid w:val="36997763"/>
    <w:rsid w:val="369DEDA3"/>
    <w:rsid w:val="369FCB7B"/>
    <w:rsid w:val="36A10032"/>
    <w:rsid w:val="36A2E4CC"/>
    <w:rsid w:val="36A3F374"/>
    <w:rsid w:val="36A5A9E2"/>
    <w:rsid w:val="36A7748D"/>
    <w:rsid w:val="36A7B785"/>
    <w:rsid w:val="36AC0284"/>
    <w:rsid w:val="36ACB285"/>
    <w:rsid w:val="36AD4DB0"/>
    <w:rsid w:val="36AE1F2F"/>
    <w:rsid w:val="36AF73A5"/>
    <w:rsid w:val="36AF9B27"/>
    <w:rsid w:val="36B031FC"/>
    <w:rsid w:val="36B34610"/>
    <w:rsid w:val="36B5821B"/>
    <w:rsid w:val="36B7D8CB"/>
    <w:rsid w:val="36B85650"/>
    <w:rsid w:val="36B9528F"/>
    <w:rsid w:val="36B957A2"/>
    <w:rsid w:val="36BCA42C"/>
    <w:rsid w:val="36BCAEEC"/>
    <w:rsid w:val="36BD028F"/>
    <w:rsid w:val="36C25570"/>
    <w:rsid w:val="36C279AE"/>
    <w:rsid w:val="36C55654"/>
    <w:rsid w:val="36C5D5F2"/>
    <w:rsid w:val="36C6C4A7"/>
    <w:rsid w:val="36C72E09"/>
    <w:rsid w:val="36C74AFA"/>
    <w:rsid w:val="36C7AC24"/>
    <w:rsid w:val="36C878A9"/>
    <w:rsid w:val="36C8FDB9"/>
    <w:rsid w:val="36C906A4"/>
    <w:rsid w:val="36CBF9D0"/>
    <w:rsid w:val="36CD74B4"/>
    <w:rsid w:val="36CDD5FF"/>
    <w:rsid w:val="36D117E0"/>
    <w:rsid w:val="36D21119"/>
    <w:rsid w:val="36D497C0"/>
    <w:rsid w:val="36D5E25B"/>
    <w:rsid w:val="36D7620E"/>
    <w:rsid w:val="36D76C1B"/>
    <w:rsid w:val="36D79F0C"/>
    <w:rsid w:val="36DBC4F7"/>
    <w:rsid w:val="36DCD9EC"/>
    <w:rsid w:val="36DCEACE"/>
    <w:rsid w:val="36DE6DF9"/>
    <w:rsid w:val="36DE7A2F"/>
    <w:rsid w:val="36DE87C0"/>
    <w:rsid w:val="36DFA34D"/>
    <w:rsid w:val="36E25A06"/>
    <w:rsid w:val="36E261EB"/>
    <w:rsid w:val="36E2B7DD"/>
    <w:rsid w:val="36E728F6"/>
    <w:rsid w:val="36E941F8"/>
    <w:rsid w:val="36E96360"/>
    <w:rsid w:val="36EA61F0"/>
    <w:rsid w:val="36EB2B08"/>
    <w:rsid w:val="36ED1DF3"/>
    <w:rsid w:val="36EE0BDD"/>
    <w:rsid w:val="36EEC41E"/>
    <w:rsid w:val="36F2220A"/>
    <w:rsid w:val="36F4C69B"/>
    <w:rsid w:val="36F7570B"/>
    <w:rsid w:val="36F77455"/>
    <w:rsid w:val="36F8F57A"/>
    <w:rsid w:val="36F95A21"/>
    <w:rsid w:val="36F97784"/>
    <w:rsid w:val="36F9AE9A"/>
    <w:rsid w:val="36FD3A1A"/>
    <w:rsid w:val="36FD9AB2"/>
    <w:rsid w:val="36FE6027"/>
    <w:rsid w:val="36FFF502"/>
    <w:rsid w:val="3700BBED"/>
    <w:rsid w:val="37043635"/>
    <w:rsid w:val="37049CD4"/>
    <w:rsid w:val="3704AAC4"/>
    <w:rsid w:val="3704EBF3"/>
    <w:rsid w:val="370B5050"/>
    <w:rsid w:val="370BCDF8"/>
    <w:rsid w:val="370C22BF"/>
    <w:rsid w:val="370C9889"/>
    <w:rsid w:val="370ECE05"/>
    <w:rsid w:val="3710AFA9"/>
    <w:rsid w:val="3712D388"/>
    <w:rsid w:val="3713492C"/>
    <w:rsid w:val="37137275"/>
    <w:rsid w:val="3717C91B"/>
    <w:rsid w:val="3718702A"/>
    <w:rsid w:val="371C7428"/>
    <w:rsid w:val="371E3255"/>
    <w:rsid w:val="371F4BE1"/>
    <w:rsid w:val="371F4FA9"/>
    <w:rsid w:val="3720CC7A"/>
    <w:rsid w:val="37216771"/>
    <w:rsid w:val="37240040"/>
    <w:rsid w:val="37255B84"/>
    <w:rsid w:val="3726650E"/>
    <w:rsid w:val="37268F5F"/>
    <w:rsid w:val="3727323A"/>
    <w:rsid w:val="3727BAD7"/>
    <w:rsid w:val="3727DF37"/>
    <w:rsid w:val="3729CAA9"/>
    <w:rsid w:val="372BB7CA"/>
    <w:rsid w:val="372C2C7D"/>
    <w:rsid w:val="372C6D98"/>
    <w:rsid w:val="372C90DA"/>
    <w:rsid w:val="372CF312"/>
    <w:rsid w:val="372D06EA"/>
    <w:rsid w:val="372E2D9D"/>
    <w:rsid w:val="3733AE6E"/>
    <w:rsid w:val="3735B29B"/>
    <w:rsid w:val="3735F963"/>
    <w:rsid w:val="373863C4"/>
    <w:rsid w:val="3738B4C5"/>
    <w:rsid w:val="373BA8EA"/>
    <w:rsid w:val="373D9BF5"/>
    <w:rsid w:val="373FA79D"/>
    <w:rsid w:val="3741298A"/>
    <w:rsid w:val="374246B5"/>
    <w:rsid w:val="374346F9"/>
    <w:rsid w:val="374425F5"/>
    <w:rsid w:val="37466177"/>
    <w:rsid w:val="37493422"/>
    <w:rsid w:val="374A1057"/>
    <w:rsid w:val="374C6BF4"/>
    <w:rsid w:val="374D1679"/>
    <w:rsid w:val="374D830B"/>
    <w:rsid w:val="374E76DD"/>
    <w:rsid w:val="3750B902"/>
    <w:rsid w:val="37519A83"/>
    <w:rsid w:val="3752412E"/>
    <w:rsid w:val="3752AF3C"/>
    <w:rsid w:val="3753A99E"/>
    <w:rsid w:val="3753D3A7"/>
    <w:rsid w:val="3756097D"/>
    <w:rsid w:val="3756AF24"/>
    <w:rsid w:val="37587A63"/>
    <w:rsid w:val="375D6C00"/>
    <w:rsid w:val="375E5AAF"/>
    <w:rsid w:val="375FAD1F"/>
    <w:rsid w:val="3760B6D0"/>
    <w:rsid w:val="37618A0B"/>
    <w:rsid w:val="3761A977"/>
    <w:rsid w:val="3763B14F"/>
    <w:rsid w:val="3765AEE8"/>
    <w:rsid w:val="37671F2E"/>
    <w:rsid w:val="376750B2"/>
    <w:rsid w:val="37685651"/>
    <w:rsid w:val="376A3DD8"/>
    <w:rsid w:val="376B0691"/>
    <w:rsid w:val="376B9950"/>
    <w:rsid w:val="376FF586"/>
    <w:rsid w:val="37719456"/>
    <w:rsid w:val="37723466"/>
    <w:rsid w:val="3773CF42"/>
    <w:rsid w:val="377494D6"/>
    <w:rsid w:val="37753D5E"/>
    <w:rsid w:val="3775F40D"/>
    <w:rsid w:val="377663B0"/>
    <w:rsid w:val="3776D5D1"/>
    <w:rsid w:val="3777BCC8"/>
    <w:rsid w:val="3777F54B"/>
    <w:rsid w:val="3778ABCF"/>
    <w:rsid w:val="377B7BD2"/>
    <w:rsid w:val="377BA940"/>
    <w:rsid w:val="377C7856"/>
    <w:rsid w:val="37809DD2"/>
    <w:rsid w:val="3782B6C2"/>
    <w:rsid w:val="37845C37"/>
    <w:rsid w:val="378A7177"/>
    <w:rsid w:val="378CFEDD"/>
    <w:rsid w:val="378D296C"/>
    <w:rsid w:val="378DC9D9"/>
    <w:rsid w:val="378EDADA"/>
    <w:rsid w:val="37940BFD"/>
    <w:rsid w:val="3794876D"/>
    <w:rsid w:val="37957D84"/>
    <w:rsid w:val="3796384C"/>
    <w:rsid w:val="37975833"/>
    <w:rsid w:val="379798DB"/>
    <w:rsid w:val="3797F4F7"/>
    <w:rsid w:val="379B1295"/>
    <w:rsid w:val="379E3AE1"/>
    <w:rsid w:val="379E3DA2"/>
    <w:rsid w:val="379FB3FC"/>
    <w:rsid w:val="37A18296"/>
    <w:rsid w:val="37A1931C"/>
    <w:rsid w:val="37A26AE4"/>
    <w:rsid w:val="37A5FA15"/>
    <w:rsid w:val="37A877D2"/>
    <w:rsid w:val="37A97AA8"/>
    <w:rsid w:val="37AB3E5F"/>
    <w:rsid w:val="37ACFE91"/>
    <w:rsid w:val="37AE6652"/>
    <w:rsid w:val="37B09BE6"/>
    <w:rsid w:val="37B23CF6"/>
    <w:rsid w:val="37B2D4AB"/>
    <w:rsid w:val="37B57AD8"/>
    <w:rsid w:val="37B79013"/>
    <w:rsid w:val="37B9B575"/>
    <w:rsid w:val="37BAE7B1"/>
    <w:rsid w:val="37BB9508"/>
    <w:rsid w:val="37BBE9ED"/>
    <w:rsid w:val="37BD8B7F"/>
    <w:rsid w:val="37BDA8BA"/>
    <w:rsid w:val="37C02D2C"/>
    <w:rsid w:val="37C1CBF6"/>
    <w:rsid w:val="37C44BE5"/>
    <w:rsid w:val="37C53B62"/>
    <w:rsid w:val="37C7EBB9"/>
    <w:rsid w:val="37C9C833"/>
    <w:rsid w:val="37CC5BDF"/>
    <w:rsid w:val="37CDFA7F"/>
    <w:rsid w:val="37D237FD"/>
    <w:rsid w:val="37D4380B"/>
    <w:rsid w:val="37D4E76B"/>
    <w:rsid w:val="37D609FA"/>
    <w:rsid w:val="37D62554"/>
    <w:rsid w:val="37D6F3D6"/>
    <w:rsid w:val="37D71A92"/>
    <w:rsid w:val="37D812A8"/>
    <w:rsid w:val="37D968DC"/>
    <w:rsid w:val="37DA0C42"/>
    <w:rsid w:val="37DA8594"/>
    <w:rsid w:val="37DB54B0"/>
    <w:rsid w:val="37DBC41C"/>
    <w:rsid w:val="37DC23C3"/>
    <w:rsid w:val="37DD51B3"/>
    <w:rsid w:val="37E09B5D"/>
    <w:rsid w:val="37E0BFFD"/>
    <w:rsid w:val="37E1377F"/>
    <w:rsid w:val="37E1E8A8"/>
    <w:rsid w:val="37E2732B"/>
    <w:rsid w:val="37E42C3C"/>
    <w:rsid w:val="37E433F5"/>
    <w:rsid w:val="37E515A5"/>
    <w:rsid w:val="37E6914F"/>
    <w:rsid w:val="37E6A49E"/>
    <w:rsid w:val="37ECBA2F"/>
    <w:rsid w:val="37ECC57F"/>
    <w:rsid w:val="37EFC9D4"/>
    <w:rsid w:val="37F233C3"/>
    <w:rsid w:val="37F48937"/>
    <w:rsid w:val="37F7A31E"/>
    <w:rsid w:val="37FA379F"/>
    <w:rsid w:val="37FC3D26"/>
    <w:rsid w:val="37FC5FFF"/>
    <w:rsid w:val="37FC8DEC"/>
    <w:rsid w:val="37FCCCB2"/>
    <w:rsid w:val="37FE7CCF"/>
    <w:rsid w:val="37FF161E"/>
    <w:rsid w:val="37FF7D2C"/>
    <w:rsid w:val="37FF8401"/>
    <w:rsid w:val="38000C12"/>
    <w:rsid w:val="38020C06"/>
    <w:rsid w:val="3802D2E9"/>
    <w:rsid w:val="380382AA"/>
    <w:rsid w:val="3804EF03"/>
    <w:rsid w:val="3808C911"/>
    <w:rsid w:val="38090697"/>
    <w:rsid w:val="38092485"/>
    <w:rsid w:val="3809775B"/>
    <w:rsid w:val="380AFBA4"/>
    <w:rsid w:val="380B6332"/>
    <w:rsid w:val="380F9E85"/>
    <w:rsid w:val="38109D3F"/>
    <w:rsid w:val="3811986B"/>
    <w:rsid w:val="3811B1BD"/>
    <w:rsid w:val="38159D22"/>
    <w:rsid w:val="3816B81D"/>
    <w:rsid w:val="381B255C"/>
    <w:rsid w:val="381B5B2E"/>
    <w:rsid w:val="381C5966"/>
    <w:rsid w:val="381E23FA"/>
    <w:rsid w:val="381F0FBA"/>
    <w:rsid w:val="38203D64"/>
    <w:rsid w:val="3821BA96"/>
    <w:rsid w:val="3822DF5C"/>
    <w:rsid w:val="3823057F"/>
    <w:rsid w:val="3824A9D6"/>
    <w:rsid w:val="38269AA0"/>
    <w:rsid w:val="382723FD"/>
    <w:rsid w:val="38273D55"/>
    <w:rsid w:val="382872FC"/>
    <w:rsid w:val="3829CBB0"/>
    <w:rsid w:val="382BA665"/>
    <w:rsid w:val="382BA864"/>
    <w:rsid w:val="382CAD2A"/>
    <w:rsid w:val="382D902C"/>
    <w:rsid w:val="382EDCFB"/>
    <w:rsid w:val="382F960F"/>
    <w:rsid w:val="38310605"/>
    <w:rsid w:val="38315041"/>
    <w:rsid w:val="38315776"/>
    <w:rsid w:val="3833C942"/>
    <w:rsid w:val="3835C693"/>
    <w:rsid w:val="3837E4A2"/>
    <w:rsid w:val="383A0395"/>
    <w:rsid w:val="383A26FC"/>
    <w:rsid w:val="383EA7E6"/>
    <w:rsid w:val="384301A8"/>
    <w:rsid w:val="38467CE2"/>
    <w:rsid w:val="38468E78"/>
    <w:rsid w:val="384891E2"/>
    <w:rsid w:val="38491E3F"/>
    <w:rsid w:val="384AA370"/>
    <w:rsid w:val="384B951E"/>
    <w:rsid w:val="384BD828"/>
    <w:rsid w:val="384D5F30"/>
    <w:rsid w:val="384E6066"/>
    <w:rsid w:val="38515676"/>
    <w:rsid w:val="385436ED"/>
    <w:rsid w:val="3854652B"/>
    <w:rsid w:val="38562ED1"/>
    <w:rsid w:val="38567F78"/>
    <w:rsid w:val="3858A445"/>
    <w:rsid w:val="3858D68B"/>
    <w:rsid w:val="3858EE2E"/>
    <w:rsid w:val="3858F0A2"/>
    <w:rsid w:val="385A686A"/>
    <w:rsid w:val="385C70A6"/>
    <w:rsid w:val="385DB5D2"/>
    <w:rsid w:val="385EE0A2"/>
    <w:rsid w:val="3860C6C4"/>
    <w:rsid w:val="38626373"/>
    <w:rsid w:val="38629098"/>
    <w:rsid w:val="3865461B"/>
    <w:rsid w:val="386615EE"/>
    <w:rsid w:val="3867A282"/>
    <w:rsid w:val="3868A87F"/>
    <w:rsid w:val="38694B92"/>
    <w:rsid w:val="38694D5C"/>
    <w:rsid w:val="38696119"/>
    <w:rsid w:val="386AFC63"/>
    <w:rsid w:val="386CAC34"/>
    <w:rsid w:val="38711E22"/>
    <w:rsid w:val="3871279B"/>
    <w:rsid w:val="3872E97D"/>
    <w:rsid w:val="38738A0D"/>
    <w:rsid w:val="3874A02B"/>
    <w:rsid w:val="3875148C"/>
    <w:rsid w:val="3875E263"/>
    <w:rsid w:val="38764719"/>
    <w:rsid w:val="3877C5FB"/>
    <w:rsid w:val="387897F8"/>
    <w:rsid w:val="387962B8"/>
    <w:rsid w:val="387A1FD1"/>
    <w:rsid w:val="387CFC5E"/>
    <w:rsid w:val="387EA3C7"/>
    <w:rsid w:val="387EA437"/>
    <w:rsid w:val="388006C6"/>
    <w:rsid w:val="3881FA5A"/>
    <w:rsid w:val="38849E41"/>
    <w:rsid w:val="3885EB31"/>
    <w:rsid w:val="38881757"/>
    <w:rsid w:val="388A8D3F"/>
    <w:rsid w:val="388A9D18"/>
    <w:rsid w:val="388A9F17"/>
    <w:rsid w:val="388CB55F"/>
    <w:rsid w:val="388DDAB7"/>
    <w:rsid w:val="388E76F8"/>
    <w:rsid w:val="388E9FAB"/>
    <w:rsid w:val="388EAA10"/>
    <w:rsid w:val="388F85BC"/>
    <w:rsid w:val="38917609"/>
    <w:rsid w:val="38928759"/>
    <w:rsid w:val="38935FBD"/>
    <w:rsid w:val="3894304B"/>
    <w:rsid w:val="389602FE"/>
    <w:rsid w:val="38960636"/>
    <w:rsid w:val="3896ED0A"/>
    <w:rsid w:val="38975737"/>
    <w:rsid w:val="3897B031"/>
    <w:rsid w:val="389C31FE"/>
    <w:rsid w:val="389DE791"/>
    <w:rsid w:val="389EF692"/>
    <w:rsid w:val="389F5767"/>
    <w:rsid w:val="389FBC2B"/>
    <w:rsid w:val="38A1C73A"/>
    <w:rsid w:val="38A77BEB"/>
    <w:rsid w:val="38ACA464"/>
    <w:rsid w:val="38ADAD18"/>
    <w:rsid w:val="38B1830A"/>
    <w:rsid w:val="38B50F21"/>
    <w:rsid w:val="38B58042"/>
    <w:rsid w:val="38B722D3"/>
    <w:rsid w:val="38B93D65"/>
    <w:rsid w:val="38B9CA16"/>
    <w:rsid w:val="38BA66B5"/>
    <w:rsid w:val="38BAA65B"/>
    <w:rsid w:val="38C1224E"/>
    <w:rsid w:val="38C1CE9D"/>
    <w:rsid w:val="38C23136"/>
    <w:rsid w:val="38C3947F"/>
    <w:rsid w:val="38C67B55"/>
    <w:rsid w:val="38C7113D"/>
    <w:rsid w:val="38C7382C"/>
    <w:rsid w:val="38CB6DF2"/>
    <w:rsid w:val="38CC32C1"/>
    <w:rsid w:val="38CD02E2"/>
    <w:rsid w:val="38CD8717"/>
    <w:rsid w:val="38CEE9D5"/>
    <w:rsid w:val="38D0E31F"/>
    <w:rsid w:val="38D14848"/>
    <w:rsid w:val="38D662F4"/>
    <w:rsid w:val="38D8A3EF"/>
    <w:rsid w:val="38DA56E3"/>
    <w:rsid w:val="38DB12F8"/>
    <w:rsid w:val="38DB5065"/>
    <w:rsid w:val="38DC973E"/>
    <w:rsid w:val="38DDE78B"/>
    <w:rsid w:val="38DEAD23"/>
    <w:rsid w:val="38E0AB37"/>
    <w:rsid w:val="38E521B8"/>
    <w:rsid w:val="38E6711C"/>
    <w:rsid w:val="38E867EB"/>
    <w:rsid w:val="38EC0C30"/>
    <w:rsid w:val="38ED1818"/>
    <w:rsid w:val="38F058DD"/>
    <w:rsid w:val="38F2F76C"/>
    <w:rsid w:val="38F3F59B"/>
    <w:rsid w:val="38F476E9"/>
    <w:rsid w:val="38F4B218"/>
    <w:rsid w:val="38F5482F"/>
    <w:rsid w:val="38F6896C"/>
    <w:rsid w:val="38F8B057"/>
    <w:rsid w:val="38F92068"/>
    <w:rsid w:val="38F9B27A"/>
    <w:rsid w:val="38FB0ABE"/>
    <w:rsid w:val="38FB4C86"/>
    <w:rsid w:val="38FBAA6E"/>
    <w:rsid w:val="38FCC961"/>
    <w:rsid w:val="38FF79FB"/>
    <w:rsid w:val="3901470C"/>
    <w:rsid w:val="3902CE40"/>
    <w:rsid w:val="390333A9"/>
    <w:rsid w:val="39043282"/>
    <w:rsid w:val="39048603"/>
    <w:rsid w:val="3904FE4B"/>
    <w:rsid w:val="3905B68A"/>
    <w:rsid w:val="390791AD"/>
    <w:rsid w:val="390A647D"/>
    <w:rsid w:val="390A6F7D"/>
    <w:rsid w:val="390D717C"/>
    <w:rsid w:val="390FF76F"/>
    <w:rsid w:val="39105183"/>
    <w:rsid w:val="3911A338"/>
    <w:rsid w:val="3911C020"/>
    <w:rsid w:val="3911D0A0"/>
    <w:rsid w:val="39143178"/>
    <w:rsid w:val="391A67C3"/>
    <w:rsid w:val="391B8547"/>
    <w:rsid w:val="391B9779"/>
    <w:rsid w:val="391D100F"/>
    <w:rsid w:val="391E3F9C"/>
    <w:rsid w:val="3920D9A8"/>
    <w:rsid w:val="3921B31B"/>
    <w:rsid w:val="39233A08"/>
    <w:rsid w:val="3923E2D5"/>
    <w:rsid w:val="39244CDE"/>
    <w:rsid w:val="39262AA6"/>
    <w:rsid w:val="3926A730"/>
    <w:rsid w:val="3927B3DC"/>
    <w:rsid w:val="392A47F9"/>
    <w:rsid w:val="392B34B0"/>
    <w:rsid w:val="392B6AE0"/>
    <w:rsid w:val="392D43F6"/>
    <w:rsid w:val="392DFA05"/>
    <w:rsid w:val="39301228"/>
    <w:rsid w:val="393062F8"/>
    <w:rsid w:val="39307A4B"/>
    <w:rsid w:val="393617EC"/>
    <w:rsid w:val="393735B6"/>
    <w:rsid w:val="393DBB7D"/>
    <w:rsid w:val="393E23E1"/>
    <w:rsid w:val="393F3C8D"/>
    <w:rsid w:val="39420BAF"/>
    <w:rsid w:val="3942A6E5"/>
    <w:rsid w:val="3942F136"/>
    <w:rsid w:val="39445EAB"/>
    <w:rsid w:val="3945D8B2"/>
    <w:rsid w:val="3946E22D"/>
    <w:rsid w:val="3947A09A"/>
    <w:rsid w:val="394A4860"/>
    <w:rsid w:val="394A8D9E"/>
    <w:rsid w:val="394AE69C"/>
    <w:rsid w:val="394E2076"/>
    <w:rsid w:val="394E93D1"/>
    <w:rsid w:val="3951BB9D"/>
    <w:rsid w:val="3954D31D"/>
    <w:rsid w:val="39567FFC"/>
    <w:rsid w:val="39569D8D"/>
    <w:rsid w:val="3956BE66"/>
    <w:rsid w:val="395A0425"/>
    <w:rsid w:val="395C2B7F"/>
    <w:rsid w:val="395D654A"/>
    <w:rsid w:val="395EB5E8"/>
    <w:rsid w:val="395F531A"/>
    <w:rsid w:val="3963BDF2"/>
    <w:rsid w:val="396430F7"/>
    <w:rsid w:val="39676495"/>
    <w:rsid w:val="3967DA02"/>
    <w:rsid w:val="396873E3"/>
    <w:rsid w:val="3968ED0B"/>
    <w:rsid w:val="396A5E61"/>
    <w:rsid w:val="396D42B7"/>
    <w:rsid w:val="396D4517"/>
    <w:rsid w:val="396D8142"/>
    <w:rsid w:val="396EDAD7"/>
    <w:rsid w:val="396EDBA6"/>
    <w:rsid w:val="396F2E5B"/>
    <w:rsid w:val="396FFF17"/>
    <w:rsid w:val="39716B0D"/>
    <w:rsid w:val="3971D9DE"/>
    <w:rsid w:val="397403A2"/>
    <w:rsid w:val="39754CCA"/>
    <w:rsid w:val="3975F767"/>
    <w:rsid w:val="3978EE53"/>
    <w:rsid w:val="3978F0F5"/>
    <w:rsid w:val="39790670"/>
    <w:rsid w:val="3979ACBB"/>
    <w:rsid w:val="397B30FA"/>
    <w:rsid w:val="397C2969"/>
    <w:rsid w:val="397C9BDA"/>
    <w:rsid w:val="397E10AA"/>
    <w:rsid w:val="397F3AA5"/>
    <w:rsid w:val="397F78D0"/>
    <w:rsid w:val="39836CA0"/>
    <w:rsid w:val="3983E3C5"/>
    <w:rsid w:val="39866FAF"/>
    <w:rsid w:val="39869944"/>
    <w:rsid w:val="398721EA"/>
    <w:rsid w:val="398777F5"/>
    <w:rsid w:val="398885B1"/>
    <w:rsid w:val="3989692C"/>
    <w:rsid w:val="3989B298"/>
    <w:rsid w:val="3989F5AD"/>
    <w:rsid w:val="398AC4B0"/>
    <w:rsid w:val="398BF5A2"/>
    <w:rsid w:val="398CBF65"/>
    <w:rsid w:val="398CC757"/>
    <w:rsid w:val="398CF560"/>
    <w:rsid w:val="398E4C9E"/>
    <w:rsid w:val="3991E7E4"/>
    <w:rsid w:val="39921443"/>
    <w:rsid w:val="3992CC16"/>
    <w:rsid w:val="3992F49C"/>
    <w:rsid w:val="3995BCFE"/>
    <w:rsid w:val="3996B748"/>
    <w:rsid w:val="399DA9D8"/>
    <w:rsid w:val="399EA012"/>
    <w:rsid w:val="399EF656"/>
    <w:rsid w:val="399F64C2"/>
    <w:rsid w:val="399F6A52"/>
    <w:rsid w:val="399F7C60"/>
    <w:rsid w:val="39A0199D"/>
    <w:rsid w:val="39A05742"/>
    <w:rsid w:val="39A083E7"/>
    <w:rsid w:val="39A22B35"/>
    <w:rsid w:val="39A3319B"/>
    <w:rsid w:val="39A41754"/>
    <w:rsid w:val="39A49FAB"/>
    <w:rsid w:val="39A5BFCF"/>
    <w:rsid w:val="39A8535C"/>
    <w:rsid w:val="39A9E568"/>
    <w:rsid w:val="39ABE64B"/>
    <w:rsid w:val="39AC1684"/>
    <w:rsid w:val="39ADA1CB"/>
    <w:rsid w:val="39AEB28A"/>
    <w:rsid w:val="39AF0179"/>
    <w:rsid w:val="39B00D25"/>
    <w:rsid w:val="39B09AA8"/>
    <w:rsid w:val="39B13DB1"/>
    <w:rsid w:val="39B223C7"/>
    <w:rsid w:val="39B29BB0"/>
    <w:rsid w:val="39B46EAF"/>
    <w:rsid w:val="39B49D27"/>
    <w:rsid w:val="39B67797"/>
    <w:rsid w:val="39B6AA56"/>
    <w:rsid w:val="39B6E4CD"/>
    <w:rsid w:val="39B91E13"/>
    <w:rsid w:val="39B93D7E"/>
    <w:rsid w:val="39B95F68"/>
    <w:rsid w:val="39B99D5A"/>
    <w:rsid w:val="39B9CAD7"/>
    <w:rsid w:val="39BA51E8"/>
    <w:rsid w:val="39BBB1F5"/>
    <w:rsid w:val="39BC9F1A"/>
    <w:rsid w:val="39BD0375"/>
    <w:rsid w:val="39BF2EAB"/>
    <w:rsid w:val="39BF2F6B"/>
    <w:rsid w:val="39BFBE77"/>
    <w:rsid w:val="39C03AD1"/>
    <w:rsid w:val="39C0BE7B"/>
    <w:rsid w:val="39C42699"/>
    <w:rsid w:val="39C51E1F"/>
    <w:rsid w:val="39C58AEE"/>
    <w:rsid w:val="39C5FFB4"/>
    <w:rsid w:val="39C65893"/>
    <w:rsid w:val="39C79DBF"/>
    <w:rsid w:val="39C95B99"/>
    <w:rsid w:val="39C9B4EA"/>
    <w:rsid w:val="39CA01CA"/>
    <w:rsid w:val="39CADC9F"/>
    <w:rsid w:val="39CB9D94"/>
    <w:rsid w:val="39CC3615"/>
    <w:rsid w:val="39CE7CE5"/>
    <w:rsid w:val="39D005A3"/>
    <w:rsid w:val="39D2F4B4"/>
    <w:rsid w:val="39D3B12B"/>
    <w:rsid w:val="39D454E5"/>
    <w:rsid w:val="39D5E82A"/>
    <w:rsid w:val="39D65D36"/>
    <w:rsid w:val="39D7F745"/>
    <w:rsid w:val="39DBB334"/>
    <w:rsid w:val="39DCF1A6"/>
    <w:rsid w:val="39DDBC6F"/>
    <w:rsid w:val="39DE303F"/>
    <w:rsid w:val="39DEE885"/>
    <w:rsid w:val="39E038FD"/>
    <w:rsid w:val="39E06ED8"/>
    <w:rsid w:val="39E0D47A"/>
    <w:rsid w:val="39E32BDB"/>
    <w:rsid w:val="39E3448F"/>
    <w:rsid w:val="39E3AF9B"/>
    <w:rsid w:val="39E3B0B7"/>
    <w:rsid w:val="39E626C9"/>
    <w:rsid w:val="39E6FA19"/>
    <w:rsid w:val="39EB43F9"/>
    <w:rsid w:val="39F6FE47"/>
    <w:rsid w:val="39FA6D4E"/>
    <w:rsid w:val="3A057690"/>
    <w:rsid w:val="3A05FD15"/>
    <w:rsid w:val="3A060316"/>
    <w:rsid w:val="3A0614F8"/>
    <w:rsid w:val="3A067911"/>
    <w:rsid w:val="3A06C5E4"/>
    <w:rsid w:val="3A06E190"/>
    <w:rsid w:val="3A0AA7DB"/>
    <w:rsid w:val="3A0B0795"/>
    <w:rsid w:val="3A0C4486"/>
    <w:rsid w:val="3A0F4337"/>
    <w:rsid w:val="3A10FE3D"/>
    <w:rsid w:val="3A129281"/>
    <w:rsid w:val="3A14E934"/>
    <w:rsid w:val="3A1941B2"/>
    <w:rsid w:val="3A1A2054"/>
    <w:rsid w:val="3A1D5D5F"/>
    <w:rsid w:val="3A208B53"/>
    <w:rsid w:val="3A227180"/>
    <w:rsid w:val="3A23E632"/>
    <w:rsid w:val="3A248A81"/>
    <w:rsid w:val="3A25A452"/>
    <w:rsid w:val="3A26C2E8"/>
    <w:rsid w:val="3A275481"/>
    <w:rsid w:val="3A28411F"/>
    <w:rsid w:val="3A29274E"/>
    <w:rsid w:val="3A2BD2CB"/>
    <w:rsid w:val="3A2C05BB"/>
    <w:rsid w:val="3A2F8A4F"/>
    <w:rsid w:val="3A31546F"/>
    <w:rsid w:val="3A32AAB9"/>
    <w:rsid w:val="3A32B81B"/>
    <w:rsid w:val="3A33686C"/>
    <w:rsid w:val="3A338B94"/>
    <w:rsid w:val="3A341704"/>
    <w:rsid w:val="3A346B37"/>
    <w:rsid w:val="3A346F0D"/>
    <w:rsid w:val="3A3513DE"/>
    <w:rsid w:val="3A36180A"/>
    <w:rsid w:val="3A361F51"/>
    <w:rsid w:val="3A36478A"/>
    <w:rsid w:val="3A3775D4"/>
    <w:rsid w:val="3A394312"/>
    <w:rsid w:val="3A3B4DA1"/>
    <w:rsid w:val="3A3DB4C7"/>
    <w:rsid w:val="3A40123D"/>
    <w:rsid w:val="3A42E803"/>
    <w:rsid w:val="3A44A834"/>
    <w:rsid w:val="3A4947E4"/>
    <w:rsid w:val="3A495E0F"/>
    <w:rsid w:val="3A49B941"/>
    <w:rsid w:val="3A4C1FCD"/>
    <w:rsid w:val="3A4DACB6"/>
    <w:rsid w:val="3A4E032A"/>
    <w:rsid w:val="3A4EF4F1"/>
    <w:rsid w:val="3A4FA2A1"/>
    <w:rsid w:val="3A5015EA"/>
    <w:rsid w:val="3A5094A4"/>
    <w:rsid w:val="3A521351"/>
    <w:rsid w:val="3A543250"/>
    <w:rsid w:val="3A551A13"/>
    <w:rsid w:val="3A55410F"/>
    <w:rsid w:val="3A564A34"/>
    <w:rsid w:val="3A57D140"/>
    <w:rsid w:val="3A5E2FDC"/>
    <w:rsid w:val="3A5E87C2"/>
    <w:rsid w:val="3A5EF57F"/>
    <w:rsid w:val="3A5F1225"/>
    <w:rsid w:val="3A63DEF8"/>
    <w:rsid w:val="3A64723B"/>
    <w:rsid w:val="3A698927"/>
    <w:rsid w:val="3A6D46BB"/>
    <w:rsid w:val="3A6D8442"/>
    <w:rsid w:val="3A6E1EBE"/>
    <w:rsid w:val="3A6F5153"/>
    <w:rsid w:val="3A702293"/>
    <w:rsid w:val="3A7101B3"/>
    <w:rsid w:val="3A72BC93"/>
    <w:rsid w:val="3A72E930"/>
    <w:rsid w:val="3A73990A"/>
    <w:rsid w:val="3A748E12"/>
    <w:rsid w:val="3A74D81F"/>
    <w:rsid w:val="3A764341"/>
    <w:rsid w:val="3A766465"/>
    <w:rsid w:val="3A77485F"/>
    <w:rsid w:val="3A77D294"/>
    <w:rsid w:val="3A786126"/>
    <w:rsid w:val="3A78D9B5"/>
    <w:rsid w:val="3A7AE916"/>
    <w:rsid w:val="3A7B2027"/>
    <w:rsid w:val="3A7CBA9D"/>
    <w:rsid w:val="3A7D70EC"/>
    <w:rsid w:val="3A7E5549"/>
    <w:rsid w:val="3A7F9E33"/>
    <w:rsid w:val="3A830F80"/>
    <w:rsid w:val="3A852C77"/>
    <w:rsid w:val="3A85780F"/>
    <w:rsid w:val="3A85ECA6"/>
    <w:rsid w:val="3A88B39C"/>
    <w:rsid w:val="3A8A5163"/>
    <w:rsid w:val="3A8C6DFD"/>
    <w:rsid w:val="3A8D81D9"/>
    <w:rsid w:val="3A8DC1A6"/>
    <w:rsid w:val="3A911479"/>
    <w:rsid w:val="3A9305A0"/>
    <w:rsid w:val="3A93BDEE"/>
    <w:rsid w:val="3A940DA4"/>
    <w:rsid w:val="3A974DE1"/>
    <w:rsid w:val="3A99C6DF"/>
    <w:rsid w:val="3A9DCBCB"/>
    <w:rsid w:val="3A9DFFB4"/>
    <w:rsid w:val="3A9E2999"/>
    <w:rsid w:val="3A9F8C98"/>
    <w:rsid w:val="3AA11D87"/>
    <w:rsid w:val="3AA1AB7A"/>
    <w:rsid w:val="3AA1E89D"/>
    <w:rsid w:val="3AA6EE4A"/>
    <w:rsid w:val="3AA90751"/>
    <w:rsid w:val="3AAADAB2"/>
    <w:rsid w:val="3AAB8DD4"/>
    <w:rsid w:val="3AACCFA9"/>
    <w:rsid w:val="3AAD2E1B"/>
    <w:rsid w:val="3AB02301"/>
    <w:rsid w:val="3AB0F3D7"/>
    <w:rsid w:val="3AB3CD33"/>
    <w:rsid w:val="3AB5107E"/>
    <w:rsid w:val="3AB6123B"/>
    <w:rsid w:val="3AB82B72"/>
    <w:rsid w:val="3AB9D84E"/>
    <w:rsid w:val="3ABB172F"/>
    <w:rsid w:val="3ABB262A"/>
    <w:rsid w:val="3ABB67F8"/>
    <w:rsid w:val="3ABBF5B6"/>
    <w:rsid w:val="3ABD00DC"/>
    <w:rsid w:val="3ABD10BA"/>
    <w:rsid w:val="3ABE29EC"/>
    <w:rsid w:val="3AC45513"/>
    <w:rsid w:val="3AC4D343"/>
    <w:rsid w:val="3AC55BA6"/>
    <w:rsid w:val="3AC57055"/>
    <w:rsid w:val="3AC8C21B"/>
    <w:rsid w:val="3AC93576"/>
    <w:rsid w:val="3AC95EC7"/>
    <w:rsid w:val="3ACC7076"/>
    <w:rsid w:val="3ACE78A2"/>
    <w:rsid w:val="3AD1C8E8"/>
    <w:rsid w:val="3AD544B4"/>
    <w:rsid w:val="3AD6FFC2"/>
    <w:rsid w:val="3AD72CB9"/>
    <w:rsid w:val="3ADBBD69"/>
    <w:rsid w:val="3ADE4F40"/>
    <w:rsid w:val="3ADF6F04"/>
    <w:rsid w:val="3AE1CDE2"/>
    <w:rsid w:val="3AE1EBEF"/>
    <w:rsid w:val="3AE2BE84"/>
    <w:rsid w:val="3AE3D454"/>
    <w:rsid w:val="3AE528B5"/>
    <w:rsid w:val="3AE66920"/>
    <w:rsid w:val="3AE6A1A0"/>
    <w:rsid w:val="3AE6D224"/>
    <w:rsid w:val="3AE95121"/>
    <w:rsid w:val="3AE98015"/>
    <w:rsid w:val="3AEAA884"/>
    <w:rsid w:val="3AEAE3DC"/>
    <w:rsid w:val="3AECDDD4"/>
    <w:rsid w:val="3AF32589"/>
    <w:rsid w:val="3AF4BFE3"/>
    <w:rsid w:val="3AF5534D"/>
    <w:rsid w:val="3AF5E8C3"/>
    <w:rsid w:val="3AF7388C"/>
    <w:rsid w:val="3AF76AA1"/>
    <w:rsid w:val="3AF7C2FC"/>
    <w:rsid w:val="3AFA12E7"/>
    <w:rsid w:val="3AFA296E"/>
    <w:rsid w:val="3AFB3C5A"/>
    <w:rsid w:val="3AFB718C"/>
    <w:rsid w:val="3AFE09BA"/>
    <w:rsid w:val="3AFE97AB"/>
    <w:rsid w:val="3AFFF516"/>
    <w:rsid w:val="3B01FD2D"/>
    <w:rsid w:val="3B042A3B"/>
    <w:rsid w:val="3B04EFD2"/>
    <w:rsid w:val="3B074174"/>
    <w:rsid w:val="3B0B68CC"/>
    <w:rsid w:val="3B0BF9E2"/>
    <w:rsid w:val="3B0C0A8D"/>
    <w:rsid w:val="3B0D5830"/>
    <w:rsid w:val="3B0E831F"/>
    <w:rsid w:val="3B0F5E5E"/>
    <w:rsid w:val="3B0F8237"/>
    <w:rsid w:val="3B162FFF"/>
    <w:rsid w:val="3B164F49"/>
    <w:rsid w:val="3B167114"/>
    <w:rsid w:val="3B17F9CA"/>
    <w:rsid w:val="3B1910B1"/>
    <w:rsid w:val="3B1A1B34"/>
    <w:rsid w:val="3B1AEBC7"/>
    <w:rsid w:val="3B1B722F"/>
    <w:rsid w:val="3B1C0CCD"/>
    <w:rsid w:val="3B1C2A82"/>
    <w:rsid w:val="3B1F9320"/>
    <w:rsid w:val="3B220AA6"/>
    <w:rsid w:val="3B223811"/>
    <w:rsid w:val="3B229960"/>
    <w:rsid w:val="3B246E38"/>
    <w:rsid w:val="3B26EEAE"/>
    <w:rsid w:val="3B27135C"/>
    <w:rsid w:val="3B28D2F4"/>
    <w:rsid w:val="3B28D388"/>
    <w:rsid w:val="3B2A29A4"/>
    <w:rsid w:val="3B320DAC"/>
    <w:rsid w:val="3B325DAE"/>
    <w:rsid w:val="3B32D697"/>
    <w:rsid w:val="3B33B3B3"/>
    <w:rsid w:val="3B372A5A"/>
    <w:rsid w:val="3B37D73B"/>
    <w:rsid w:val="3B3865A4"/>
    <w:rsid w:val="3B3A5496"/>
    <w:rsid w:val="3B3C9464"/>
    <w:rsid w:val="3B3F4CC4"/>
    <w:rsid w:val="3B3F8320"/>
    <w:rsid w:val="3B42EEC7"/>
    <w:rsid w:val="3B434C8B"/>
    <w:rsid w:val="3B47E895"/>
    <w:rsid w:val="3B49F265"/>
    <w:rsid w:val="3B4E7BFD"/>
    <w:rsid w:val="3B502AE2"/>
    <w:rsid w:val="3B50BF1D"/>
    <w:rsid w:val="3B5199EE"/>
    <w:rsid w:val="3B52C1A5"/>
    <w:rsid w:val="3B52FBB0"/>
    <w:rsid w:val="3B545405"/>
    <w:rsid w:val="3B55BC90"/>
    <w:rsid w:val="3B59D848"/>
    <w:rsid w:val="3B5D94A1"/>
    <w:rsid w:val="3B5E1AA7"/>
    <w:rsid w:val="3B5FC3E6"/>
    <w:rsid w:val="3B6516EC"/>
    <w:rsid w:val="3B65AB3D"/>
    <w:rsid w:val="3B66FF4D"/>
    <w:rsid w:val="3B68C2DD"/>
    <w:rsid w:val="3B696CD6"/>
    <w:rsid w:val="3B69832F"/>
    <w:rsid w:val="3B69C250"/>
    <w:rsid w:val="3B6ADC6C"/>
    <w:rsid w:val="3B6C3436"/>
    <w:rsid w:val="3B6DFAAF"/>
    <w:rsid w:val="3B6E6B6D"/>
    <w:rsid w:val="3B70FC84"/>
    <w:rsid w:val="3B72A287"/>
    <w:rsid w:val="3B72BEE6"/>
    <w:rsid w:val="3B730657"/>
    <w:rsid w:val="3B7339FF"/>
    <w:rsid w:val="3B73E4CF"/>
    <w:rsid w:val="3B75103C"/>
    <w:rsid w:val="3B7605E5"/>
    <w:rsid w:val="3B770DD5"/>
    <w:rsid w:val="3B771F48"/>
    <w:rsid w:val="3B786621"/>
    <w:rsid w:val="3B7A5CC1"/>
    <w:rsid w:val="3B7B8CE8"/>
    <w:rsid w:val="3B7C3E00"/>
    <w:rsid w:val="3B7D36B2"/>
    <w:rsid w:val="3B7DD95D"/>
    <w:rsid w:val="3B80E50A"/>
    <w:rsid w:val="3B82948F"/>
    <w:rsid w:val="3B82B156"/>
    <w:rsid w:val="3B835973"/>
    <w:rsid w:val="3B8403F4"/>
    <w:rsid w:val="3B864B1F"/>
    <w:rsid w:val="3B87F3E7"/>
    <w:rsid w:val="3B8800FB"/>
    <w:rsid w:val="3B893A35"/>
    <w:rsid w:val="3B89E57B"/>
    <w:rsid w:val="3B89E928"/>
    <w:rsid w:val="3B8C52AC"/>
    <w:rsid w:val="3B8CA32E"/>
    <w:rsid w:val="3B90683B"/>
    <w:rsid w:val="3B929184"/>
    <w:rsid w:val="3B941A15"/>
    <w:rsid w:val="3B9627CD"/>
    <w:rsid w:val="3B97DA1F"/>
    <w:rsid w:val="3B99A991"/>
    <w:rsid w:val="3B9B47E2"/>
    <w:rsid w:val="3B9BA976"/>
    <w:rsid w:val="3B9D71D3"/>
    <w:rsid w:val="3B9E2F93"/>
    <w:rsid w:val="3BA0290D"/>
    <w:rsid w:val="3BA058E0"/>
    <w:rsid w:val="3BA282D0"/>
    <w:rsid w:val="3BA2E8FB"/>
    <w:rsid w:val="3BA3E466"/>
    <w:rsid w:val="3BA4F1DB"/>
    <w:rsid w:val="3BA56860"/>
    <w:rsid w:val="3BA60C38"/>
    <w:rsid w:val="3BA7BD8D"/>
    <w:rsid w:val="3BA8E6B5"/>
    <w:rsid w:val="3BAAF9CE"/>
    <w:rsid w:val="3BAB589D"/>
    <w:rsid w:val="3BAC8286"/>
    <w:rsid w:val="3BADF554"/>
    <w:rsid w:val="3BAE328E"/>
    <w:rsid w:val="3BAEB22F"/>
    <w:rsid w:val="3BB10BD9"/>
    <w:rsid w:val="3BB2B203"/>
    <w:rsid w:val="3BB4CBFC"/>
    <w:rsid w:val="3BB4F0DC"/>
    <w:rsid w:val="3BB4F3D3"/>
    <w:rsid w:val="3BB772A8"/>
    <w:rsid w:val="3BB79BD4"/>
    <w:rsid w:val="3BBAC018"/>
    <w:rsid w:val="3BBAFE0F"/>
    <w:rsid w:val="3BBB3133"/>
    <w:rsid w:val="3BBDA664"/>
    <w:rsid w:val="3BBE4D51"/>
    <w:rsid w:val="3BC0293D"/>
    <w:rsid w:val="3BC313EF"/>
    <w:rsid w:val="3BC374DF"/>
    <w:rsid w:val="3BC6EEE4"/>
    <w:rsid w:val="3BC95771"/>
    <w:rsid w:val="3BCA0EE1"/>
    <w:rsid w:val="3BCB4F9A"/>
    <w:rsid w:val="3BCD87B9"/>
    <w:rsid w:val="3BCEA999"/>
    <w:rsid w:val="3BD212B0"/>
    <w:rsid w:val="3BD3749E"/>
    <w:rsid w:val="3BD4752F"/>
    <w:rsid w:val="3BD55D1F"/>
    <w:rsid w:val="3BD73DE8"/>
    <w:rsid w:val="3BD8204D"/>
    <w:rsid w:val="3BD82118"/>
    <w:rsid w:val="3BD8EBC7"/>
    <w:rsid w:val="3BDAE4B7"/>
    <w:rsid w:val="3BDB4C4C"/>
    <w:rsid w:val="3BDDD905"/>
    <w:rsid w:val="3BE48BC3"/>
    <w:rsid w:val="3BE572C1"/>
    <w:rsid w:val="3BE6AAE5"/>
    <w:rsid w:val="3BE7858D"/>
    <w:rsid w:val="3BEA5132"/>
    <w:rsid w:val="3BEA920B"/>
    <w:rsid w:val="3BEBFF52"/>
    <w:rsid w:val="3BEC3FEE"/>
    <w:rsid w:val="3BEE60C9"/>
    <w:rsid w:val="3BEE8414"/>
    <w:rsid w:val="3BEFE04D"/>
    <w:rsid w:val="3BEFEF7A"/>
    <w:rsid w:val="3BF2D094"/>
    <w:rsid w:val="3BF2D1DF"/>
    <w:rsid w:val="3BF50369"/>
    <w:rsid w:val="3BF68476"/>
    <w:rsid w:val="3BF786C6"/>
    <w:rsid w:val="3BFA8210"/>
    <w:rsid w:val="3BFA9041"/>
    <w:rsid w:val="3BFAC6D1"/>
    <w:rsid w:val="3BFFD9D2"/>
    <w:rsid w:val="3C00490A"/>
    <w:rsid w:val="3C006946"/>
    <w:rsid w:val="3C0415A6"/>
    <w:rsid w:val="3C04B1E9"/>
    <w:rsid w:val="3C065192"/>
    <w:rsid w:val="3C07A249"/>
    <w:rsid w:val="3C096BE0"/>
    <w:rsid w:val="3C0B4A93"/>
    <w:rsid w:val="3C0F03D7"/>
    <w:rsid w:val="3C0FE69B"/>
    <w:rsid w:val="3C1089DB"/>
    <w:rsid w:val="3C11BD6D"/>
    <w:rsid w:val="3C11FC25"/>
    <w:rsid w:val="3C12695B"/>
    <w:rsid w:val="3C12736A"/>
    <w:rsid w:val="3C135599"/>
    <w:rsid w:val="3C167C26"/>
    <w:rsid w:val="3C171039"/>
    <w:rsid w:val="3C1A4751"/>
    <w:rsid w:val="3C1C4597"/>
    <w:rsid w:val="3C1E4631"/>
    <w:rsid w:val="3C1EC5CB"/>
    <w:rsid w:val="3C1FB789"/>
    <w:rsid w:val="3C211928"/>
    <w:rsid w:val="3C212726"/>
    <w:rsid w:val="3C22598F"/>
    <w:rsid w:val="3C232543"/>
    <w:rsid w:val="3C23475F"/>
    <w:rsid w:val="3C2405C4"/>
    <w:rsid w:val="3C2515DF"/>
    <w:rsid w:val="3C25DFF2"/>
    <w:rsid w:val="3C288059"/>
    <w:rsid w:val="3C2986D0"/>
    <w:rsid w:val="3C2AD23F"/>
    <w:rsid w:val="3C2B8267"/>
    <w:rsid w:val="3C2B90C8"/>
    <w:rsid w:val="3C2DEE9D"/>
    <w:rsid w:val="3C2FA320"/>
    <w:rsid w:val="3C2FEDF4"/>
    <w:rsid w:val="3C31E464"/>
    <w:rsid w:val="3C31F111"/>
    <w:rsid w:val="3C341E57"/>
    <w:rsid w:val="3C3437A2"/>
    <w:rsid w:val="3C362B41"/>
    <w:rsid w:val="3C391C51"/>
    <w:rsid w:val="3C39E652"/>
    <w:rsid w:val="3C3BAC25"/>
    <w:rsid w:val="3C3DF83F"/>
    <w:rsid w:val="3C3E4D95"/>
    <w:rsid w:val="3C401FE1"/>
    <w:rsid w:val="3C421260"/>
    <w:rsid w:val="3C430D56"/>
    <w:rsid w:val="3C43103C"/>
    <w:rsid w:val="3C43A2B3"/>
    <w:rsid w:val="3C464F0F"/>
    <w:rsid w:val="3C48AD31"/>
    <w:rsid w:val="3C4B0CF8"/>
    <w:rsid w:val="3C4CC822"/>
    <w:rsid w:val="3C4DC639"/>
    <w:rsid w:val="3C4E41CA"/>
    <w:rsid w:val="3C4E58C1"/>
    <w:rsid w:val="3C505636"/>
    <w:rsid w:val="3C53997C"/>
    <w:rsid w:val="3C55610E"/>
    <w:rsid w:val="3C55EECB"/>
    <w:rsid w:val="3C565AB6"/>
    <w:rsid w:val="3C569375"/>
    <w:rsid w:val="3C59BB1B"/>
    <w:rsid w:val="3C5B3E41"/>
    <w:rsid w:val="3C5BE3AC"/>
    <w:rsid w:val="3C5C2D81"/>
    <w:rsid w:val="3C5E3CB5"/>
    <w:rsid w:val="3C5EF3A0"/>
    <w:rsid w:val="3C5EFCF1"/>
    <w:rsid w:val="3C6006DD"/>
    <w:rsid w:val="3C60E8BF"/>
    <w:rsid w:val="3C61FC39"/>
    <w:rsid w:val="3C62B8C9"/>
    <w:rsid w:val="3C63B4EB"/>
    <w:rsid w:val="3C648522"/>
    <w:rsid w:val="3C64BA4D"/>
    <w:rsid w:val="3C668471"/>
    <w:rsid w:val="3C689AE1"/>
    <w:rsid w:val="3C69618E"/>
    <w:rsid w:val="3C6C9616"/>
    <w:rsid w:val="3C6E2112"/>
    <w:rsid w:val="3C6EEB42"/>
    <w:rsid w:val="3C70F47D"/>
    <w:rsid w:val="3C716943"/>
    <w:rsid w:val="3C71C54B"/>
    <w:rsid w:val="3C73F259"/>
    <w:rsid w:val="3C752D87"/>
    <w:rsid w:val="3C765F6E"/>
    <w:rsid w:val="3C776A28"/>
    <w:rsid w:val="3C784B21"/>
    <w:rsid w:val="3C7891C2"/>
    <w:rsid w:val="3C79ECA3"/>
    <w:rsid w:val="3C7BAD5D"/>
    <w:rsid w:val="3C7D37DF"/>
    <w:rsid w:val="3C7E6030"/>
    <w:rsid w:val="3C7FE9A3"/>
    <w:rsid w:val="3C8105A6"/>
    <w:rsid w:val="3C856FE1"/>
    <w:rsid w:val="3C859F58"/>
    <w:rsid w:val="3C896D88"/>
    <w:rsid w:val="3C897CAF"/>
    <w:rsid w:val="3C89982C"/>
    <w:rsid w:val="3C8A4267"/>
    <w:rsid w:val="3C8AB77B"/>
    <w:rsid w:val="3C8D18BB"/>
    <w:rsid w:val="3C8D2F28"/>
    <w:rsid w:val="3C8E88F5"/>
    <w:rsid w:val="3C8F7FF9"/>
    <w:rsid w:val="3C90B26D"/>
    <w:rsid w:val="3C9118D3"/>
    <w:rsid w:val="3C93F165"/>
    <w:rsid w:val="3C947CD3"/>
    <w:rsid w:val="3C977D73"/>
    <w:rsid w:val="3C99891F"/>
    <w:rsid w:val="3C99EC91"/>
    <w:rsid w:val="3C9B084F"/>
    <w:rsid w:val="3C9B8F0E"/>
    <w:rsid w:val="3C9BABA5"/>
    <w:rsid w:val="3C9BE568"/>
    <w:rsid w:val="3C9BFA46"/>
    <w:rsid w:val="3C9CBA29"/>
    <w:rsid w:val="3C9FDE2F"/>
    <w:rsid w:val="3CA0778D"/>
    <w:rsid w:val="3CA4A787"/>
    <w:rsid w:val="3CA8167C"/>
    <w:rsid w:val="3CA94801"/>
    <w:rsid w:val="3CAB6D66"/>
    <w:rsid w:val="3CAB7B82"/>
    <w:rsid w:val="3CAE62BE"/>
    <w:rsid w:val="3CAEDE12"/>
    <w:rsid w:val="3CB107BA"/>
    <w:rsid w:val="3CB2EE4D"/>
    <w:rsid w:val="3CB35EBE"/>
    <w:rsid w:val="3CB68FB9"/>
    <w:rsid w:val="3CB753E1"/>
    <w:rsid w:val="3CB78213"/>
    <w:rsid w:val="3CB8AF84"/>
    <w:rsid w:val="3CBA76FB"/>
    <w:rsid w:val="3CBC27B7"/>
    <w:rsid w:val="3CBCF7CA"/>
    <w:rsid w:val="3CBD06FF"/>
    <w:rsid w:val="3CBD858A"/>
    <w:rsid w:val="3CBE6389"/>
    <w:rsid w:val="3CC0090A"/>
    <w:rsid w:val="3CC02B52"/>
    <w:rsid w:val="3CC07276"/>
    <w:rsid w:val="3CC0A7B1"/>
    <w:rsid w:val="3CC10C29"/>
    <w:rsid w:val="3CC26354"/>
    <w:rsid w:val="3CC2B81B"/>
    <w:rsid w:val="3CC38016"/>
    <w:rsid w:val="3CC75DA0"/>
    <w:rsid w:val="3CC7B4C8"/>
    <w:rsid w:val="3CCA7DE8"/>
    <w:rsid w:val="3CCA939C"/>
    <w:rsid w:val="3CCBAF5B"/>
    <w:rsid w:val="3CCC51DF"/>
    <w:rsid w:val="3CCC5F82"/>
    <w:rsid w:val="3CCDCFE1"/>
    <w:rsid w:val="3CCDFDBB"/>
    <w:rsid w:val="3CCFCC73"/>
    <w:rsid w:val="3CD12C00"/>
    <w:rsid w:val="3CD2C52D"/>
    <w:rsid w:val="3CD30CD8"/>
    <w:rsid w:val="3CD354BA"/>
    <w:rsid w:val="3CD68070"/>
    <w:rsid w:val="3CD76C6A"/>
    <w:rsid w:val="3CD8180B"/>
    <w:rsid w:val="3CD89466"/>
    <w:rsid w:val="3CDBEE93"/>
    <w:rsid w:val="3CDD5284"/>
    <w:rsid w:val="3CDDDA8A"/>
    <w:rsid w:val="3CDF7B64"/>
    <w:rsid w:val="3CDF99B8"/>
    <w:rsid w:val="3CE0FCF0"/>
    <w:rsid w:val="3CE12AC1"/>
    <w:rsid w:val="3CE20779"/>
    <w:rsid w:val="3CE3800A"/>
    <w:rsid w:val="3CE696B2"/>
    <w:rsid w:val="3CE74203"/>
    <w:rsid w:val="3CE82B02"/>
    <w:rsid w:val="3CE84764"/>
    <w:rsid w:val="3CE8ED6C"/>
    <w:rsid w:val="3CE8EDB8"/>
    <w:rsid w:val="3CE9835F"/>
    <w:rsid w:val="3CEAB8CD"/>
    <w:rsid w:val="3CEACE4A"/>
    <w:rsid w:val="3CED3D27"/>
    <w:rsid w:val="3CED6FF8"/>
    <w:rsid w:val="3CEE8701"/>
    <w:rsid w:val="3CF03FB1"/>
    <w:rsid w:val="3CF0947D"/>
    <w:rsid w:val="3CF12AC4"/>
    <w:rsid w:val="3CF14CFB"/>
    <w:rsid w:val="3CF1630A"/>
    <w:rsid w:val="3CF37BA9"/>
    <w:rsid w:val="3CF55741"/>
    <w:rsid w:val="3CF5D589"/>
    <w:rsid w:val="3CF7FCDF"/>
    <w:rsid w:val="3CF8A5C8"/>
    <w:rsid w:val="3CFA55CA"/>
    <w:rsid w:val="3CFACD31"/>
    <w:rsid w:val="3CFB79FC"/>
    <w:rsid w:val="3CFC935E"/>
    <w:rsid w:val="3D000511"/>
    <w:rsid w:val="3D009070"/>
    <w:rsid w:val="3D018F98"/>
    <w:rsid w:val="3D09FB66"/>
    <w:rsid w:val="3D0A545B"/>
    <w:rsid w:val="3D0A789B"/>
    <w:rsid w:val="3D0DC5CE"/>
    <w:rsid w:val="3D0E778E"/>
    <w:rsid w:val="3D0EE639"/>
    <w:rsid w:val="3D0F67F3"/>
    <w:rsid w:val="3D0F68B5"/>
    <w:rsid w:val="3D106546"/>
    <w:rsid w:val="3D10DF08"/>
    <w:rsid w:val="3D117A3E"/>
    <w:rsid w:val="3D11FF17"/>
    <w:rsid w:val="3D183E9F"/>
    <w:rsid w:val="3D18C010"/>
    <w:rsid w:val="3D1C6623"/>
    <w:rsid w:val="3D1CA807"/>
    <w:rsid w:val="3D1D4C53"/>
    <w:rsid w:val="3D1D6A53"/>
    <w:rsid w:val="3D20E6FF"/>
    <w:rsid w:val="3D21744F"/>
    <w:rsid w:val="3D2220CF"/>
    <w:rsid w:val="3D27446C"/>
    <w:rsid w:val="3D2A2537"/>
    <w:rsid w:val="3D2A9259"/>
    <w:rsid w:val="3D2AAE93"/>
    <w:rsid w:val="3D2B4322"/>
    <w:rsid w:val="3D2BE129"/>
    <w:rsid w:val="3D2E766C"/>
    <w:rsid w:val="3D3047BC"/>
    <w:rsid w:val="3D30A3D0"/>
    <w:rsid w:val="3D30EED1"/>
    <w:rsid w:val="3D342093"/>
    <w:rsid w:val="3D34ECA0"/>
    <w:rsid w:val="3D35F4FA"/>
    <w:rsid w:val="3D35FDAE"/>
    <w:rsid w:val="3D36F973"/>
    <w:rsid w:val="3D394234"/>
    <w:rsid w:val="3D3AC208"/>
    <w:rsid w:val="3D3B9DB2"/>
    <w:rsid w:val="3D3C5111"/>
    <w:rsid w:val="3D3E5331"/>
    <w:rsid w:val="3D4033EF"/>
    <w:rsid w:val="3D4048C8"/>
    <w:rsid w:val="3D412FE5"/>
    <w:rsid w:val="3D426093"/>
    <w:rsid w:val="3D42E628"/>
    <w:rsid w:val="3D4AAD20"/>
    <w:rsid w:val="3D4BAFAB"/>
    <w:rsid w:val="3D507763"/>
    <w:rsid w:val="3D50D4C1"/>
    <w:rsid w:val="3D513B27"/>
    <w:rsid w:val="3D52293D"/>
    <w:rsid w:val="3D53E426"/>
    <w:rsid w:val="3D540A0F"/>
    <w:rsid w:val="3D541872"/>
    <w:rsid w:val="3D55D16D"/>
    <w:rsid w:val="3D56E351"/>
    <w:rsid w:val="3D58A19C"/>
    <w:rsid w:val="3D591760"/>
    <w:rsid w:val="3D599C4C"/>
    <w:rsid w:val="3D5A735A"/>
    <w:rsid w:val="3D5BA4E3"/>
    <w:rsid w:val="3D5DA1B1"/>
    <w:rsid w:val="3D5FC0D3"/>
    <w:rsid w:val="3D614235"/>
    <w:rsid w:val="3D616506"/>
    <w:rsid w:val="3D619442"/>
    <w:rsid w:val="3D624EE1"/>
    <w:rsid w:val="3D638002"/>
    <w:rsid w:val="3D64CE9F"/>
    <w:rsid w:val="3D66F299"/>
    <w:rsid w:val="3D67E993"/>
    <w:rsid w:val="3D681782"/>
    <w:rsid w:val="3D6B1364"/>
    <w:rsid w:val="3D6B6608"/>
    <w:rsid w:val="3D6D4F36"/>
    <w:rsid w:val="3D6D91E1"/>
    <w:rsid w:val="3D6DD98F"/>
    <w:rsid w:val="3D704BC9"/>
    <w:rsid w:val="3D7113B5"/>
    <w:rsid w:val="3D72BE92"/>
    <w:rsid w:val="3D735C04"/>
    <w:rsid w:val="3D73675D"/>
    <w:rsid w:val="3D7404E0"/>
    <w:rsid w:val="3D7458CC"/>
    <w:rsid w:val="3D752749"/>
    <w:rsid w:val="3D756A98"/>
    <w:rsid w:val="3D75CABC"/>
    <w:rsid w:val="3D7683B3"/>
    <w:rsid w:val="3D768CEB"/>
    <w:rsid w:val="3D78DF22"/>
    <w:rsid w:val="3D7971D5"/>
    <w:rsid w:val="3D7ADCD4"/>
    <w:rsid w:val="3D7AE548"/>
    <w:rsid w:val="3D7B82FB"/>
    <w:rsid w:val="3D7C96E7"/>
    <w:rsid w:val="3D7F35A3"/>
    <w:rsid w:val="3D7FCB18"/>
    <w:rsid w:val="3D7FE842"/>
    <w:rsid w:val="3D810791"/>
    <w:rsid w:val="3D8208B4"/>
    <w:rsid w:val="3D82F92D"/>
    <w:rsid w:val="3D836F9C"/>
    <w:rsid w:val="3D843A1D"/>
    <w:rsid w:val="3D846B75"/>
    <w:rsid w:val="3D862BFA"/>
    <w:rsid w:val="3D89B2AA"/>
    <w:rsid w:val="3D8B4C24"/>
    <w:rsid w:val="3D8C02DA"/>
    <w:rsid w:val="3D8D628C"/>
    <w:rsid w:val="3D8F3735"/>
    <w:rsid w:val="3D8FBD3E"/>
    <w:rsid w:val="3D903E70"/>
    <w:rsid w:val="3D914777"/>
    <w:rsid w:val="3D941CA0"/>
    <w:rsid w:val="3D946818"/>
    <w:rsid w:val="3D9562FC"/>
    <w:rsid w:val="3D95B141"/>
    <w:rsid w:val="3D96FCDF"/>
    <w:rsid w:val="3D97AA39"/>
    <w:rsid w:val="3D9E96ED"/>
    <w:rsid w:val="3D9FCDF2"/>
    <w:rsid w:val="3DA08209"/>
    <w:rsid w:val="3DA0AD9B"/>
    <w:rsid w:val="3DA0C5C8"/>
    <w:rsid w:val="3DA1255D"/>
    <w:rsid w:val="3DA16709"/>
    <w:rsid w:val="3DA1AF71"/>
    <w:rsid w:val="3DA1F39C"/>
    <w:rsid w:val="3DA332F9"/>
    <w:rsid w:val="3DA3FC11"/>
    <w:rsid w:val="3DA4BBB0"/>
    <w:rsid w:val="3DA69278"/>
    <w:rsid w:val="3DA72CBF"/>
    <w:rsid w:val="3DA8129E"/>
    <w:rsid w:val="3DAB8F3B"/>
    <w:rsid w:val="3DAC3ACE"/>
    <w:rsid w:val="3DAF49CD"/>
    <w:rsid w:val="3DAFA2EF"/>
    <w:rsid w:val="3DAFCA5C"/>
    <w:rsid w:val="3DB150AF"/>
    <w:rsid w:val="3DB27DE3"/>
    <w:rsid w:val="3DB3EE45"/>
    <w:rsid w:val="3DB58CF7"/>
    <w:rsid w:val="3DB7523D"/>
    <w:rsid w:val="3DB7BE82"/>
    <w:rsid w:val="3DB7F209"/>
    <w:rsid w:val="3DBA88E1"/>
    <w:rsid w:val="3DBE141B"/>
    <w:rsid w:val="3DC00C0B"/>
    <w:rsid w:val="3DC18AD3"/>
    <w:rsid w:val="3DC3EE97"/>
    <w:rsid w:val="3DC42225"/>
    <w:rsid w:val="3DC47323"/>
    <w:rsid w:val="3DC71D9F"/>
    <w:rsid w:val="3DC7EB04"/>
    <w:rsid w:val="3DC83F12"/>
    <w:rsid w:val="3DC8E7A3"/>
    <w:rsid w:val="3DCA5290"/>
    <w:rsid w:val="3DCACD9C"/>
    <w:rsid w:val="3DCE0321"/>
    <w:rsid w:val="3DCE978B"/>
    <w:rsid w:val="3DCF3592"/>
    <w:rsid w:val="3DD303D5"/>
    <w:rsid w:val="3DD331E5"/>
    <w:rsid w:val="3DD60417"/>
    <w:rsid w:val="3DDA6C19"/>
    <w:rsid w:val="3DDC195B"/>
    <w:rsid w:val="3DDD5F89"/>
    <w:rsid w:val="3DDFC98C"/>
    <w:rsid w:val="3DE2A8B9"/>
    <w:rsid w:val="3DE80132"/>
    <w:rsid w:val="3DE819D3"/>
    <w:rsid w:val="3DE81F50"/>
    <w:rsid w:val="3DE906B0"/>
    <w:rsid w:val="3DEDC8B4"/>
    <w:rsid w:val="3DF26407"/>
    <w:rsid w:val="3DF2CCEB"/>
    <w:rsid w:val="3DF3D0D8"/>
    <w:rsid w:val="3DF3E153"/>
    <w:rsid w:val="3DF43D5E"/>
    <w:rsid w:val="3DF4E386"/>
    <w:rsid w:val="3DF62F7E"/>
    <w:rsid w:val="3DF8B2E6"/>
    <w:rsid w:val="3DF8CBB1"/>
    <w:rsid w:val="3DF97D32"/>
    <w:rsid w:val="3DFA5E80"/>
    <w:rsid w:val="3DFA873F"/>
    <w:rsid w:val="3DFB86B9"/>
    <w:rsid w:val="3DFB9639"/>
    <w:rsid w:val="3DFC0AA0"/>
    <w:rsid w:val="3DFDD009"/>
    <w:rsid w:val="3DFE3971"/>
    <w:rsid w:val="3DFE4407"/>
    <w:rsid w:val="3DFF2A26"/>
    <w:rsid w:val="3DFF3AF4"/>
    <w:rsid w:val="3DFF3EA4"/>
    <w:rsid w:val="3DFFDF75"/>
    <w:rsid w:val="3E016AC5"/>
    <w:rsid w:val="3E02CFAF"/>
    <w:rsid w:val="3E041804"/>
    <w:rsid w:val="3E0A622D"/>
    <w:rsid w:val="3E0A98AA"/>
    <w:rsid w:val="3E0C5FBF"/>
    <w:rsid w:val="3E0CECC6"/>
    <w:rsid w:val="3E0D8D78"/>
    <w:rsid w:val="3E105B7C"/>
    <w:rsid w:val="3E128036"/>
    <w:rsid w:val="3E154496"/>
    <w:rsid w:val="3E15C4D7"/>
    <w:rsid w:val="3E18382D"/>
    <w:rsid w:val="3E1973DC"/>
    <w:rsid w:val="3E19CE49"/>
    <w:rsid w:val="3E1E3A38"/>
    <w:rsid w:val="3E1FE246"/>
    <w:rsid w:val="3E1FFF2F"/>
    <w:rsid w:val="3E221BA6"/>
    <w:rsid w:val="3E227BAB"/>
    <w:rsid w:val="3E23C4FC"/>
    <w:rsid w:val="3E23D86A"/>
    <w:rsid w:val="3E245446"/>
    <w:rsid w:val="3E24CE27"/>
    <w:rsid w:val="3E255D8F"/>
    <w:rsid w:val="3E283736"/>
    <w:rsid w:val="3E2875D8"/>
    <w:rsid w:val="3E2C0DBB"/>
    <w:rsid w:val="3E2CA112"/>
    <w:rsid w:val="3E2E7D95"/>
    <w:rsid w:val="3E2FFF09"/>
    <w:rsid w:val="3E34703E"/>
    <w:rsid w:val="3E35C55D"/>
    <w:rsid w:val="3E38DA44"/>
    <w:rsid w:val="3E3CCCAC"/>
    <w:rsid w:val="3E3D8A39"/>
    <w:rsid w:val="3E414CAA"/>
    <w:rsid w:val="3E4341A2"/>
    <w:rsid w:val="3E441887"/>
    <w:rsid w:val="3E4635EB"/>
    <w:rsid w:val="3E4C753E"/>
    <w:rsid w:val="3E4D3223"/>
    <w:rsid w:val="3E4D3904"/>
    <w:rsid w:val="3E4EEACF"/>
    <w:rsid w:val="3E52FA98"/>
    <w:rsid w:val="3E53169D"/>
    <w:rsid w:val="3E5642DA"/>
    <w:rsid w:val="3E581CEF"/>
    <w:rsid w:val="3E5AB7C7"/>
    <w:rsid w:val="3E5B8766"/>
    <w:rsid w:val="3E5DEB2F"/>
    <w:rsid w:val="3E5E6E85"/>
    <w:rsid w:val="3E6153A8"/>
    <w:rsid w:val="3E62939D"/>
    <w:rsid w:val="3E62D0A0"/>
    <w:rsid w:val="3E65DA54"/>
    <w:rsid w:val="3E6873FE"/>
    <w:rsid w:val="3E694869"/>
    <w:rsid w:val="3E69EE8C"/>
    <w:rsid w:val="3E6A8B9B"/>
    <w:rsid w:val="3E6AD68C"/>
    <w:rsid w:val="3E6AFAE0"/>
    <w:rsid w:val="3E6DA049"/>
    <w:rsid w:val="3E6E5F3C"/>
    <w:rsid w:val="3E6E9C9B"/>
    <w:rsid w:val="3E6ECFBE"/>
    <w:rsid w:val="3E735E2B"/>
    <w:rsid w:val="3E74EFBA"/>
    <w:rsid w:val="3E75086A"/>
    <w:rsid w:val="3E762F4B"/>
    <w:rsid w:val="3E76CF47"/>
    <w:rsid w:val="3E78082D"/>
    <w:rsid w:val="3E78E6BA"/>
    <w:rsid w:val="3E7A2DF2"/>
    <w:rsid w:val="3E7B60BD"/>
    <w:rsid w:val="3E7B6D96"/>
    <w:rsid w:val="3E7E7705"/>
    <w:rsid w:val="3E8013C3"/>
    <w:rsid w:val="3E80482B"/>
    <w:rsid w:val="3E808F50"/>
    <w:rsid w:val="3E813544"/>
    <w:rsid w:val="3E829A44"/>
    <w:rsid w:val="3E8369A3"/>
    <w:rsid w:val="3E83A536"/>
    <w:rsid w:val="3E83E910"/>
    <w:rsid w:val="3E84A932"/>
    <w:rsid w:val="3E857F99"/>
    <w:rsid w:val="3E858A1C"/>
    <w:rsid w:val="3E865F31"/>
    <w:rsid w:val="3E873A66"/>
    <w:rsid w:val="3E89D700"/>
    <w:rsid w:val="3E8B477B"/>
    <w:rsid w:val="3E8C6E18"/>
    <w:rsid w:val="3E8DEBB0"/>
    <w:rsid w:val="3E8DEFEE"/>
    <w:rsid w:val="3E8DFBD0"/>
    <w:rsid w:val="3E8EF42F"/>
    <w:rsid w:val="3E9069B0"/>
    <w:rsid w:val="3E91A9EA"/>
    <w:rsid w:val="3E92E3C3"/>
    <w:rsid w:val="3E947800"/>
    <w:rsid w:val="3E94ED62"/>
    <w:rsid w:val="3E953887"/>
    <w:rsid w:val="3E95847B"/>
    <w:rsid w:val="3E97BD8F"/>
    <w:rsid w:val="3E988BBB"/>
    <w:rsid w:val="3E9AA264"/>
    <w:rsid w:val="3EA1CA51"/>
    <w:rsid w:val="3EA1FF97"/>
    <w:rsid w:val="3EA23786"/>
    <w:rsid w:val="3EA27E35"/>
    <w:rsid w:val="3EA413C2"/>
    <w:rsid w:val="3EA568B4"/>
    <w:rsid w:val="3EAA3BB3"/>
    <w:rsid w:val="3EAA47EF"/>
    <w:rsid w:val="3EAA897F"/>
    <w:rsid w:val="3EABC5E4"/>
    <w:rsid w:val="3EB1B2C6"/>
    <w:rsid w:val="3EB89679"/>
    <w:rsid w:val="3EB90E4B"/>
    <w:rsid w:val="3EB9BBEE"/>
    <w:rsid w:val="3EBAD05F"/>
    <w:rsid w:val="3EBB4D35"/>
    <w:rsid w:val="3EBC21DE"/>
    <w:rsid w:val="3EC02F59"/>
    <w:rsid w:val="3EC0BBF4"/>
    <w:rsid w:val="3EC4139C"/>
    <w:rsid w:val="3EC41EB3"/>
    <w:rsid w:val="3EC4953E"/>
    <w:rsid w:val="3EC99C6B"/>
    <w:rsid w:val="3ECA3349"/>
    <w:rsid w:val="3ECA6ED5"/>
    <w:rsid w:val="3ECBA792"/>
    <w:rsid w:val="3ECD32FB"/>
    <w:rsid w:val="3ECE806B"/>
    <w:rsid w:val="3ED0A63D"/>
    <w:rsid w:val="3ED3527A"/>
    <w:rsid w:val="3ED46F6E"/>
    <w:rsid w:val="3ED4EA56"/>
    <w:rsid w:val="3ED66E08"/>
    <w:rsid w:val="3ED851E8"/>
    <w:rsid w:val="3EDA6BFF"/>
    <w:rsid w:val="3EDAC839"/>
    <w:rsid w:val="3EDB5C73"/>
    <w:rsid w:val="3EDCE9F3"/>
    <w:rsid w:val="3EDE27C4"/>
    <w:rsid w:val="3EE03CD5"/>
    <w:rsid w:val="3EE19CA6"/>
    <w:rsid w:val="3EE2302E"/>
    <w:rsid w:val="3EE2717B"/>
    <w:rsid w:val="3EE37727"/>
    <w:rsid w:val="3EE44B25"/>
    <w:rsid w:val="3EE4B640"/>
    <w:rsid w:val="3EE5C7C2"/>
    <w:rsid w:val="3EE716C8"/>
    <w:rsid w:val="3EE79C13"/>
    <w:rsid w:val="3EE892AC"/>
    <w:rsid w:val="3EE8FFD3"/>
    <w:rsid w:val="3EEAE8C2"/>
    <w:rsid w:val="3EEAFBA0"/>
    <w:rsid w:val="3EEEF1AC"/>
    <w:rsid w:val="3EEF5B4F"/>
    <w:rsid w:val="3EEFB487"/>
    <w:rsid w:val="3EF05F57"/>
    <w:rsid w:val="3EF0730C"/>
    <w:rsid w:val="3EF1F274"/>
    <w:rsid w:val="3EF213F7"/>
    <w:rsid w:val="3EF2B7C1"/>
    <w:rsid w:val="3EF2E5D8"/>
    <w:rsid w:val="3EF37D56"/>
    <w:rsid w:val="3EF45020"/>
    <w:rsid w:val="3EF48C41"/>
    <w:rsid w:val="3EF5CCEA"/>
    <w:rsid w:val="3EF65163"/>
    <w:rsid w:val="3EF82E75"/>
    <w:rsid w:val="3EFD67DE"/>
    <w:rsid w:val="3EFDF2A5"/>
    <w:rsid w:val="3EFE255B"/>
    <w:rsid w:val="3EFE2E64"/>
    <w:rsid w:val="3EFE3FB1"/>
    <w:rsid w:val="3EFFA1F0"/>
    <w:rsid w:val="3F034CDC"/>
    <w:rsid w:val="3F043C75"/>
    <w:rsid w:val="3F06821D"/>
    <w:rsid w:val="3F09557F"/>
    <w:rsid w:val="3F097B44"/>
    <w:rsid w:val="3F09B83B"/>
    <w:rsid w:val="3F09BA9B"/>
    <w:rsid w:val="3F0A1B86"/>
    <w:rsid w:val="3F0ACCA3"/>
    <w:rsid w:val="3F0BA67F"/>
    <w:rsid w:val="3F0C17BB"/>
    <w:rsid w:val="3F0EB0AD"/>
    <w:rsid w:val="3F0FA461"/>
    <w:rsid w:val="3F10C6F8"/>
    <w:rsid w:val="3F10C984"/>
    <w:rsid w:val="3F11A65A"/>
    <w:rsid w:val="3F12497C"/>
    <w:rsid w:val="3F1380E6"/>
    <w:rsid w:val="3F147E33"/>
    <w:rsid w:val="3F152877"/>
    <w:rsid w:val="3F16147E"/>
    <w:rsid w:val="3F17C56A"/>
    <w:rsid w:val="3F1CD84F"/>
    <w:rsid w:val="3F1D2A64"/>
    <w:rsid w:val="3F1E5D71"/>
    <w:rsid w:val="3F1FE6D9"/>
    <w:rsid w:val="3F212CA8"/>
    <w:rsid w:val="3F217FEB"/>
    <w:rsid w:val="3F22F5C9"/>
    <w:rsid w:val="3F24EF74"/>
    <w:rsid w:val="3F250FA6"/>
    <w:rsid w:val="3F266255"/>
    <w:rsid w:val="3F272AED"/>
    <w:rsid w:val="3F27647B"/>
    <w:rsid w:val="3F27683E"/>
    <w:rsid w:val="3F29D670"/>
    <w:rsid w:val="3F2AD854"/>
    <w:rsid w:val="3F2CB41D"/>
    <w:rsid w:val="3F2F06D1"/>
    <w:rsid w:val="3F2FBD2A"/>
    <w:rsid w:val="3F34CDCA"/>
    <w:rsid w:val="3F350986"/>
    <w:rsid w:val="3F36434F"/>
    <w:rsid w:val="3F3660E0"/>
    <w:rsid w:val="3F37514C"/>
    <w:rsid w:val="3F37BB3F"/>
    <w:rsid w:val="3F3823C1"/>
    <w:rsid w:val="3F386113"/>
    <w:rsid w:val="3F3A1C71"/>
    <w:rsid w:val="3F3B0110"/>
    <w:rsid w:val="3F3B8EB7"/>
    <w:rsid w:val="3F413392"/>
    <w:rsid w:val="3F4217A1"/>
    <w:rsid w:val="3F435895"/>
    <w:rsid w:val="3F451CF6"/>
    <w:rsid w:val="3F455133"/>
    <w:rsid w:val="3F4700FD"/>
    <w:rsid w:val="3F484942"/>
    <w:rsid w:val="3F48538D"/>
    <w:rsid w:val="3F486279"/>
    <w:rsid w:val="3F48D42F"/>
    <w:rsid w:val="3F4A4CD2"/>
    <w:rsid w:val="3F4AD9DC"/>
    <w:rsid w:val="3F4CAA98"/>
    <w:rsid w:val="3F4ECFF6"/>
    <w:rsid w:val="3F4F04D3"/>
    <w:rsid w:val="3F4F3B90"/>
    <w:rsid w:val="3F4F749F"/>
    <w:rsid w:val="3F50AE13"/>
    <w:rsid w:val="3F521680"/>
    <w:rsid w:val="3F521F94"/>
    <w:rsid w:val="3F53B975"/>
    <w:rsid w:val="3F58208D"/>
    <w:rsid w:val="3F5992A5"/>
    <w:rsid w:val="3F5A4581"/>
    <w:rsid w:val="3F5B7FF0"/>
    <w:rsid w:val="3F5CC5FA"/>
    <w:rsid w:val="3F5CE87D"/>
    <w:rsid w:val="3F5FF84A"/>
    <w:rsid w:val="3F61975C"/>
    <w:rsid w:val="3F62FF5A"/>
    <w:rsid w:val="3F65D898"/>
    <w:rsid w:val="3F672402"/>
    <w:rsid w:val="3F677065"/>
    <w:rsid w:val="3F67A1A4"/>
    <w:rsid w:val="3F67E481"/>
    <w:rsid w:val="3F697E09"/>
    <w:rsid w:val="3F6C4342"/>
    <w:rsid w:val="3F6DA97A"/>
    <w:rsid w:val="3F6DE1A6"/>
    <w:rsid w:val="3F6E298D"/>
    <w:rsid w:val="3F6E9793"/>
    <w:rsid w:val="3F6FCA06"/>
    <w:rsid w:val="3F6FF3C2"/>
    <w:rsid w:val="3F72FC6A"/>
    <w:rsid w:val="3F737672"/>
    <w:rsid w:val="3F73B891"/>
    <w:rsid w:val="3F73DD47"/>
    <w:rsid w:val="3F75245B"/>
    <w:rsid w:val="3F761233"/>
    <w:rsid w:val="3F792546"/>
    <w:rsid w:val="3F7A61E5"/>
    <w:rsid w:val="3F7B2878"/>
    <w:rsid w:val="3F7B3D43"/>
    <w:rsid w:val="3F7BF9DB"/>
    <w:rsid w:val="3F7C6F25"/>
    <w:rsid w:val="3F7CEE53"/>
    <w:rsid w:val="3F7D372C"/>
    <w:rsid w:val="3F7F7E00"/>
    <w:rsid w:val="3F8183E0"/>
    <w:rsid w:val="3F82B652"/>
    <w:rsid w:val="3F82BF46"/>
    <w:rsid w:val="3F8351A8"/>
    <w:rsid w:val="3F8574E4"/>
    <w:rsid w:val="3F86092E"/>
    <w:rsid w:val="3F86245D"/>
    <w:rsid w:val="3F8C491D"/>
    <w:rsid w:val="3F8D4B0E"/>
    <w:rsid w:val="3F8F32D4"/>
    <w:rsid w:val="3F90C64F"/>
    <w:rsid w:val="3F97EEA0"/>
    <w:rsid w:val="3F9904D9"/>
    <w:rsid w:val="3F99F128"/>
    <w:rsid w:val="3F9AA2C8"/>
    <w:rsid w:val="3F9AB8FA"/>
    <w:rsid w:val="3F9C52D5"/>
    <w:rsid w:val="3F9D268B"/>
    <w:rsid w:val="3FA1946D"/>
    <w:rsid w:val="3FA1EF45"/>
    <w:rsid w:val="3FA4D3D0"/>
    <w:rsid w:val="3FA5714D"/>
    <w:rsid w:val="3FA5F1CD"/>
    <w:rsid w:val="3FA8ABFA"/>
    <w:rsid w:val="3FA921FA"/>
    <w:rsid w:val="3FABC8F9"/>
    <w:rsid w:val="3FAC880F"/>
    <w:rsid w:val="3FAD7C0B"/>
    <w:rsid w:val="3FAF155B"/>
    <w:rsid w:val="3FB0645A"/>
    <w:rsid w:val="3FB114F7"/>
    <w:rsid w:val="3FB23B58"/>
    <w:rsid w:val="3FB284D1"/>
    <w:rsid w:val="3FB28690"/>
    <w:rsid w:val="3FB2F426"/>
    <w:rsid w:val="3FB4FCEF"/>
    <w:rsid w:val="3FB86ED8"/>
    <w:rsid w:val="3FB884D8"/>
    <w:rsid w:val="3FB9705A"/>
    <w:rsid w:val="3FBB72CB"/>
    <w:rsid w:val="3FC1D202"/>
    <w:rsid w:val="3FC24AB1"/>
    <w:rsid w:val="3FC664A0"/>
    <w:rsid w:val="3FC73A10"/>
    <w:rsid w:val="3FC79FAA"/>
    <w:rsid w:val="3FC7F7F1"/>
    <w:rsid w:val="3FC8702A"/>
    <w:rsid w:val="3FC89DE8"/>
    <w:rsid w:val="3FCBE8B9"/>
    <w:rsid w:val="3FCEEA7D"/>
    <w:rsid w:val="3FD00123"/>
    <w:rsid w:val="3FD1D4B1"/>
    <w:rsid w:val="3FD1FA65"/>
    <w:rsid w:val="3FD26A50"/>
    <w:rsid w:val="3FD51368"/>
    <w:rsid w:val="3FD52D50"/>
    <w:rsid w:val="3FD576A6"/>
    <w:rsid w:val="3FD74667"/>
    <w:rsid w:val="3FD7C5B6"/>
    <w:rsid w:val="3FDA82A4"/>
    <w:rsid w:val="3FDD19DB"/>
    <w:rsid w:val="3FDD887B"/>
    <w:rsid w:val="3FDDB692"/>
    <w:rsid w:val="3FDEC73C"/>
    <w:rsid w:val="3FDF2B3E"/>
    <w:rsid w:val="3FDFDEBD"/>
    <w:rsid w:val="3FE403E2"/>
    <w:rsid w:val="3FE48AF7"/>
    <w:rsid w:val="3FE61954"/>
    <w:rsid w:val="3FE66930"/>
    <w:rsid w:val="3FE8E97F"/>
    <w:rsid w:val="3FE8FA59"/>
    <w:rsid w:val="3FEB0646"/>
    <w:rsid w:val="3FEB5D37"/>
    <w:rsid w:val="3FEC656D"/>
    <w:rsid w:val="3FEF4060"/>
    <w:rsid w:val="3FEF87D5"/>
    <w:rsid w:val="3FF0B2D2"/>
    <w:rsid w:val="3FF0C0C4"/>
    <w:rsid w:val="3FF36200"/>
    <w:rsid w:val="3FF476C8"/>
    <w:rsid w:val="3FF72FBD"/>
    <w:rsid w:val="3FF7EC53"/>
    <w:rsid w:val="3FF901B3"/>
    <w:rsid w:val="3FFA1610"/>
    <w:rsid w:val="3FFC31C0"/>
    <w:rsid w:val="3FFC3D48"/>
    <w:rsid w:val="3FFC5F15"/>
    <w:rsid w:val="3FFC6F0F"/>
    <w:rsid w:val="3FFC9BA3"/>
    <w:rsid w:val="3FFEF5C7"/>
    <w:rsid w:val="4002D3AD"/>
    <w:rsid w:val="400845A9"/>
    <w:rsid w:val="40094FE2"/>
    <w:rsid w:val="400A63F7"/>
    <w:rsid w:val="400D285E"/>
    <w:rsid w:val="400DFD87"/>
    <w:rsid w:val="40143168"/>
    <w:rsid w:val="401517BE"/>
    <w:rsid w:val="40159B72"/>
    <w:rsid w:val="4017004F"/>
    <w:rsid w:val="40171F0D"/>
    <w:rsid w:val="401A1631"/>
    <w:rsid w:val="401B170F"/>
    <w:rsid w:val="401B7B60"/>
    <w:rsid w:val="401B7E5A"/>
    <w:rsid w:val="401BCA3B"/>
    <w:rsid w:val="401BF70E"/>
    <w:rsid w:val="401C7A92"/>
    <w:rsid w:val="401C917C"/>
    <w:rsid w:val="401E58D9"/>
    <w:rsid w:val="40206C25"/>
    <w:rsid w:val="40212E7E"/>
    <w:rsid w:val="40220975"/>
    <w:rsid w:val="40222950"/>
    <w:rsid w:val="40239354"/>
    <w:rsid w:val="40239C94"/>
    <w:rsid w:val="4025D3A3"/>
    <w:rsid w:val="4027495B"/>
    <w:rsid w:val="4027CE74"/>
    <w:rsid w:val="402896CB"/>
    <w:rsid w:val="40297EB1"/>
    <w:rsid w:val="402A4CE2"/>
    <w:rsid w:val="402B6EB9"/>
    <w:rsid w:val="402C283A"/>
    <w:rsid w:val="402CC40F"/>
    <w:rsid w:val="402CD61A"/>
    <w:rsid w:val="402D08D8"/>
    <w:rsid w:val="402D8A2B"/>
    <w:rsid w:val="402E9A74"/>
    <w:rsid w:val="402F2F69"/>
    <w:rsid w:val="402F5011"/>
    <w:rsid w:val="40317436"/>
    <w:rsid w:val="40336F80"/>
    <w:rsid w:val="4033FDA0"/>
    <w:rsid w:val="403416DD"/>
    <w:rsid w:val="4035FF69"/>
    <w:rsid w:val="403734E9"/>
    <w:rsid w:val="40376CBF"/>
    <w:rsid w:val="4038BABB"/>
    <w:rsid w:val="4039FDF6"/>
    <w:rsid w:val="403A7DA9"/>
    <w:rsid w:val="403BC998"/>
    <w:rsid w:val="403BD4B4"/>
    <w:rsid w:val="403BFF03"/>
    <w:rsid w:val="403C2333"/>
    <w:rsid w:val="403D0F0D"/>
    <w:rsid w:val="403DA27C"/>
    <w:rsid w:val="403DD54D"/>
    <w:rsid w:val="403F3AC6"/>
    <w:rsid w:val="403FE423"/>
    <w:rsid w:val="4041C45E"/>
    <w:rsid w:val="4042E1C3"/>
    <w:rsid w:val="4042E4C2"/>
    <w:rsid w:val="40431A35"/>
    <w:rsid w:val="404336BC"/>
    <w:rsid w:val="40447812"/>
    <w:rsid w:val="4044B1EF"/>
    <w:rsid w:val="4045C5CF"/>
    <w:rsid w:val="40472691"/>
    <w:rsid w:val="404743B0"/>
    <w:rsid w:val="40478A29"/>
    <w:rsid w:val="404B5688"/>
    <w:rsid w:val="404B8908"/>
    <w:rsid w:val="40519931"/>
    <w:rsid w:val="4051DC74"/>
    <w:rsid w:val="40522FBB"/>
    <w:rsid w:val="405391F9"/>
    <w:rsid w:val="4053BB4F"/>
    <w:rsid w:val="405614E3"/>
    <w:rsid w:val="4058F55C"/>
    <w:rsid w:val="405A7E14"/>
    <w:rsid w:val="405AC70A"/>
    <w:rsid w:val="405BA75A"/>
    <w:rsid w:val="405D16A9"/>
    <w:rsid w:val="405F5D7D"/>
    <w:rsid w:val="40603019"/>
    <w:rsid w:val="40610B46"/>
    <w:rsid w:val="40636B42"/>
    <w:rsid w:val="4064EE5B"/>
    <w:rsid w:val="40655DC0"/>
    <w:rsid w:val="4065C515"/>
    <w:rsid w:val="4067A5B9"/>
    <w:rsid w:val="4067BABE"/>
    <w:rsid w:val="4068E684"/>
    <w:rsid w:val="406CF0B6"/>
    <w:rsid w:val="406E45EB"/>
    <w:rsid w:val="406EC3E7"/>
    <w:rsid w:val="4070617D"/>
    <w:rsid w:val="40739D87"/>
    <w:rsid w:val="40757311"/>
    <w:rsid w:val="4077A47C"/>
    <w:rsid w:val="407874EC"/>
    <w:rsid w:val="407896DA"/>
    <w:rsid w:val="4079D2A9"/>
    <w:rsid w:val="407A9919"/>
    <w:rsid w:val="407BC578"/>
    <w:rsid w:val="407C0569"/>
    <w:rsid w:val="407CCC48"/>
    <w:rsid w:val="407CD22D"/>
    <w:rsid w:val="407EFC04"/>
    <w:rsid w:val="40805F16"/>
    <w:rsid w:val="40810ECA"/>
    <w:rsid w:val="4081AB31"/>
    <w:rsid w:val="4083C207"/>
    <w:rsid w:val="408608C9"/>
    <w:rsid w:val="4088BB87"/>
    <w:rsid w:val="4089FB33"/>
    <w:rsid w:val="408CC36A"/>
    <w:rsid w:val="408FBA2E"/>
    <w:rsid w:val="4090FD0E"/>
    <w:rsid w:val="4091775D"/>
    <w:rsid w:val="4091BF04"/>
    <w:rsid w:val="409217AB"/>
    <w:rsid w:val="4093090F"/>
    <w:rsid w:val="40937B38"/>
    <w:rsid w:val="409A2F0B"/>
    <w:rsid w:val="409B6558"/>
    <w:rsid w:val="409B9AB1"/>
    <w:rsid w:val="409C3749"/>
    <w:rsid w:val="409DFC25"/>
    <w:rsid w:val="409E4429"/>
    <w:rsid w:val="40A0D0DA"/>
    <w:rsid w:val="40A19725"/>
    <w:rsid w:val="40A1A9FC"/>
    <w:rsid w:val="40A28C8C"/>
    <w:rsid w:val="40A6837F"/>
    <w:rsid w:val="40A8C8A8"/>
    <w:rsid w:val="40A90509"/>
    <w:rsid w:val="40A92570"/>
    <w:rsid w:val="40AA9286"/>
    <w:rsid w:val="40AB9A01"/>
    <w:rsid w:val="40AEC017"/>
    <w:rsid w:val="40B09E57"/>
    <w:rsid w:val="40B1BBDD"/>
    <w:rsid w:val="40B1F813"/>
    <w:rsid w:val="40B1FBB0"/>
    <w:rsid w:val="40B23CB4"/>
    <w:rsid w:val="40B25C6B"/>
    <w:rsid w:val="40B391C5"/>
    <w:rsid w:val="40B50815"/>
    <w:rsid w:val="40B9DD30"/>
    <w:rsid w:val="40BCF387"/>
    <w:rsid w:val="40BD21D5"/>
    <w:rsid w:val="40BD5BFF"/>
    <w:rsid w:val="40BFCB17"/>
    <w:rsid w:val="40C02883"/>
    <w:rsid w:val="40C0BD5E"/>
    <w:rsid w:val="40C142E0"/>
    <w:rsid w:val="40C1BA9E"/>
    <w:rsid w:val="40C49362"/>
    <w:rsid w:val="40C5F770"/>
    <w:rsid w:val="40C7EA7F"/>
    <w:rsid w:val="40CBE024"/>
    <w:rsid w:val="40CC32AE"/>
    <w:rsid w:val="40CE0F99"/>
    <w:rsid w:val="40CE43F1"/>
    <w:rsid w:val="40D0AB8F"/>
    <w:rsid w:val="40D16836"/>
    <w:rsid w:val="40D1B35B"/>
    <w:rsid w:val="40D1FB12"/>
    <w:rsid w:val="40D26AB9"/>
    <w:rsid w:val="40D308C9"/>
    <w:rsid w:val="40D6A9D1"/>
    <w:rsid w:val="40D6CBC2"/>
    <w:rsid w:val="40D716D3"/>
    <w:rsid w:val="40D8C4D5"/>
    <w:rsid w:val="40D8CD0B"/>
    <w:rsid w:val="40D9181A"/>
    <w:rsid w:val="40D91F70"/>
    <w:rsid w:val="40D9A23C"/>
    <w:rsid w:val="40DAE7DF"/>
    <w:rsid w:val="40DB49D4"/>
    <w:rsid w:val="40DB5401"/>
    <w:rsid w:val="40DCA45D"/>
    <w:rsid w:val="40DDEAC9"/>
    <w:rsid w:val="40DEE6F7"/>
    <w:rsid w:val="40DF243B"/>
    <w:rsid w:val="40E1D993"/>
    <w:rsid w:val="40E3B6EA"/>
    <w:rsid w:val="40E43EAD"/>
    <w:rsid w:val="40E49D3D"/>
    <w:rsid w:val="40E51BD1"/>
    <w:rsid w:val="40E904A3"/>
    <w:rsid w:val="40EA2F4A"/>
    <w:rsid w:val="40EB3885"/>
    <w:rsid w:val="40EBE490"/>
    <w:rsid w:val="40ECE972"/>
    <w:rsid w:val="40EE5DD8"/>
    <w:rsid w:val="40F3C83B"/>
    <w:rsid w:val="40F3CFB8"/>
    <w:rsid w:val="40F541F2"/>
    <w:rsid w:val="40F7A05D"/>
    <w:rsid w:val="40F7F09B"/>
    <w:rsid w:val="40F7FEFE"/>
    <w:rsid w:val="40F88A10"/>
    <w:rsid w:val="40F98B79"/>
    <w:rsid w:val="40F98FC5"/>
    <w:rsid w:val="40FCF7F3"/>
    <w:rsid w:val="40FE5175"/>
    <w:rsid w:val="40FEB0F0"/>
    <w:rsid w:val="40FFF901"/>
    <w:rsid w:val="4105104A"/>
    <w:rsid w:val="41070A74"/>
    <w:rsid w:val="41081FDC"/>
    <w:rsid w:val="410857FC"/>
    <w:rsid w:val="41088938"/>
    <w:rsid w:val="4109CF81"/>
    <w:rsid w:val="4109D509"/>
    <w:rsid w:val="4114CFE8"/>
    <w:rsid w:val="41163EEA"/>
    <w:rsid w:val="4118D361"/>
    <w:rsid w:val="4119BC47"/>
    <w:rsid w:val="411A42EF"/>
    <w:rsid w:val="411D1190"/>
    <w:rsid w:val="411D5A7C"/>
    <w:rsid w:val="411E5520"/>
    <w:rsid w:val="41203358"/>
    <w:rsid w:val="4120955B"/>
    <w:rsid w:val="4121DD72"/>
    <w:rsid w:val="4121E901"/>
    <w:rsid w:val="41275779"/>
    <w:rsid w:val="412791C8"/>
    <w:rsid w:val="4127BAC0"/>
    <w:rsid w:val="41283BF7"/>
    <w:rsid w:val="412849E7"/>
    <w:rsid w:val="412934A1"/>
    <w:rsid w:val="4132E488"/>
    <w:rsid w:val="41340F93"/>
    <w:rsid w:val="4134ED83"/>
    <w:rsid w:val="41351BD8"/>
    <w:rsid w:val="41387A37"/>
    <w:rsid w:val="413A3B44"/>
    <w:rsid w:val="413AE5A7"/>
    <w:rsid w:val="413B1E02"/>
    <w:rsid w:val="413B74AA"/>
    <w:rsid w:val="413E2ED5"/>
    <w:rsid w:val="414100A4"/>
    <w:rsid w:val="41451573"/>
    <w:rsid w:val="41454268"/>
    <w:rsid w:val="4147564C"/>
    <w:rsid w:val="414A8AE1"/>
    <w:rsid w:val="414B3318"/>
    <w:rsid w:val="414C2674"/>
    <w:rsid w:val="414CAB91"/>
    <w:rsid w:val="414E82C1"/>
    <w:rsid w:val="414FA689"/>
    <w:rsid w:val="4153502D"/>
    <w:rsid w:val="41572EA1"/>
    <w:rsid w:val="4159506B"/>
    <w:rsid w:val="41599453"/>
    <w:rsid w:val="415A8ADC"/>
    <w:rsid w:val="415B0AFE"/>
    <w:rsid w:val="415BB35B"/>
    <w:rsid w:val="415D297F"/>
    <w:rsid w:val="415D6C4F"/>
    <w:rsid w:val="415F4D5E"/>
    <w:rsid w:val="41610A7C"/>
    <w:rsid w:val="41616F6A"/>
    <w:rsid w:val="416677B5"/>
    <w:rsid w:val="41677E3A"/>
    <w:rsid w:val="41685272"/>
    <w:rsid w:val="4169368B"/>
    <w:rsid w:val="416A67A4"/>
    <w:rsid w:val="416B53CE"/>
    <w:rsid w:val="416E051E"/>
    <w:rsid w:val="41711CB2"/>
    <w:rsid w:val="4171B7A7"/>
    <w:rsid w:val="417295DC"/>
    <w:rsid w:val="417339E9"/>
    <w:rsid w:val="41734B79"/>
    <w:rsid w:val="4173E58F"/>
    <w:rsid w:val="4177F7D4"/>
    <w:rsid w:val="417C38BE"/>
    <w:rsid w:val="417E18E4"/>
    <w:rsid w:val="417E744E"/>
    <w:rsid w:val="417F28F4"/>
    <w:rsid w:val="418305D5"/>
    <w:rsid w:val="41842BD5"/>
    <w:rsid w:val="41868012"/>
    <w:rsid w:val="41872526"/>
    <w:rsid w:val="4189C71B"/>
    <w:rsid w:val="418AF8BD"/>
    <w:rsid w:val="418B9EA4"/>
    <w:rsid w:val="418D67CA"/>
    <w:rsid w:val="418DA98B"/>
    <w:rsid w:val="418EDCFB"/>
    <w:rsid w:val="418FD43B"/>
    <w:rsid w:val="419042D2"/>
    <w:rsid w:val="4190CD35"/>
    <w:rsid w:val="4191A53E"/>
    <w:rsid w:val="41929399"/>
    <w:rsid w:val="4193D235"/>
    <w:rsid w:val="4194412C"/>
    <w:rsid w:val="41957B14"/>
    <w:rsid w:val="41971307"/>
    <w:rsid w:val="4197EB55"/>
    <w:rsid w:val="4199BAB6"/>
    <w:rsid w:val="4199E467"/>
    <w:rsid w:val="419A7E57"/>
    <w:rsid w:val="419A7F5A"/>
    <w:rsid w:val="419B89FB"/>
    <w:rsid w:val="419CB56B"/>
    <w:rsid w:val="419F452C"/>
    <w:rsid w:val="41A1C847"/>
    <w:rsid w:val="41A311D3"/>
    <w:rsid w:val="41A3CAC6"/>
    <w:rsid w:val="41A51B54"/>
    <w:rsid w:val="41A52F8A"/>
    <w:rsid w:val="41A8914F"/>
    <w:rsid w:val="41A8E0F0"/>
    <w:rsid w:val="41A9784F"/>
    <w:rsid w:val="41A9BDCC"/>
    <w:rsid w:val="41AD3D18"/>
    <w:rsid w:val="41AEBE4B"/>
    <w:rsid w:val="41B119BF"/>
    <w:rsid w:val="41B240D2"/>
    <w:rsid w:val="41B2646E"/>
    <w:rsid w:val="41B2BB7A"/>
    <w:rsid w:val="41B3D90F"/>
    <w:rsid w:val="41B62DA6"/>
    <w:rsid w:val="41B63FC5"/>
    <w:rsid w:val="41B7568E"/>
    <w:rsid w:val="41B86B76"/>
    <w:rsid w:val="41B8DFAC"/>
    <w:rsid w:val="41BB8E8C"/>
    <w:rsid w:val="41BBA034"/>
    <w:rsid w:val="41BDDB30"/>
    <w:rsid w:val="41BE5DD5"/>
    <w:rsid w:val="41BEC8EE"/>
    <w:rsid w:val="41C2E83D"/>
    <w:rsid w:val="41C40A04"/>
    <w:rsid w:val="41C6E808"/>
    <w:rsid w:val="41C88063"/>
    <w:rsid w:val="41C9D558"/>
    <w:rsid w:val="41CCF7B2"/>
    <w:rsid w:val="41D00FA8"/>
    <w:rsid w:val="41D3074F"/>
    <w:rsid w:val="41D3EB05"/>
    <w:rsid w:val="41D80B3A"/>
    <w:rsid w:val="41D84E7A"/>
    <w:rsid w:val="41D8932A"/>
    <w:rsid w:val="41D9C1B5"/>
    <w:rsid w:val="41DA5C01"/>
    <w:rsid w:val="41DB9C1F"/>
    <w:rsid w:val="41DF9DA8"/>
    <w:rsid w:val="41DFCCE3"/>
    <w:rsid w:val="41E160E4"/>
    <w:rsid w:val="41E1B2E8"/>
    <w:rsid w:val="41E23A11"/>
    <w:rsid w:val="41E63511"/>
    <w:rsid w:val="41E714C2"/>
    <w:rsid w:val="41E721C7"/>
    <w:rsid w:val="41E7FD09"/>
    <w:rsid w:val="41ECE5FD"/>
    <w:rsid w:val="41ED41E3"/>
    <w:rsid w:val="41EDC380"/>
    <w:rsid w:val="41EDEB60"/>
    <w:rsid w:val="41F045E2"/>
    <w:rsid w:val="41F0796C"/>
    <w:rsid w:val="41F0C320"/>
    <w:rsid w:val="41F2529A"/>
    <w:rsid w:val="41F2CD1C"/>
    <w:rsid w:val="41F2F0DC"/>
    <w:rsid w:val="41F318C5"/>
    <w:rsid w:val="41F411EC"/>
    <w:rsid w:val="41F5975B"/>
    <w:rsid w:val="41F84EBD"/>
    <w:rsid w:val="41F92FBF"/>
    <w:rsid w:val="41FB28E4"/>
    <w:rsid w:val="41FD3801"/>
    <w:rsid w:val="41FD4CE2"/>
    <w:rsid w:val="41FD7603"/>
    <w:rsid w:val="41FDDD79"/>
    <w:rsid w:val="41FE7D86"/>
    <w:rsid w:val="41FF05B8"/>
    <w:rsid w:val="42004413"/>
    <w:rsid w:val="4203488B"/>
    <w:rsid w:val="42054D1A"/>
    <w:rsid w:val="42058F24"/>
    <w:rsid w:val="4207A83F"/>
    <w:rsid w:val="4207F3CF"/>
    <w:rsid w:val="420BF36B"/>
    <w:rsid w:val="420CB357"/>
    <w:rsid w:val="420F2940"/>
    <w:rsid w:val="4210005C"/>
    <w:rsid w:val="42129522"/>
    <w:rsid w:val="4213B3D1"/>
    <w:rsid w:val="4214FF30"/>
    <w:rsid w:val="421626C6"/>
    <w:rsid w:val="4216AA04"/>
    <w:rsid w:val="421AF6C2"/>
    <w:rsid w:val="421BA8B4"/>
    <w:rsid w:val="421E63AD"/>
    <w:rsid w:val="421FF328"/>
    <w:rsid w:val="421FF59E"/>
    <w:rsid w:val="42208115"/>
    <w:rsid w:val="42211A6C"/>
    <w:rsid w:val="4221E0FC"/>
    <w:rsid w:val="4221F1EE"/>
    <w:rsid w:val="4222B295"/>
    <w:rsid w:val="4224E545"/>
    <w:rsid w:val="42255B5D"/>
    <w:rsid w:val="4226378F"/>
    <w:rsid w:val="42275549"/>
    <w:rsid w:val="422B2436"/>
    <w:rsid w:val="422D6664"/>
    <w:rsid w:val="422FD851"/>
    <w:rsid w:val="422FE034"/>
    <w:rsid w:val="4231B280"/>
    <w:rsid w:val="4231BBE6"/>
    <w:rsid w:val="42323DBE"/>
    <w:rsid w:val="4232D864"/>
    <w:rsid w:val="42374B5F"/>
    <w:rsid w:val="42374D61"/>
    <w:rsid w:val="423E939C"/>
    <w:rsid w:val="424062E6"/>
    <w:rsid w:val="4241FE8D"/>
    <w:rsid w:val="42431444"/>
    <w:rsid w:val="42447021"/>
    <w:rsid w:val="424533E2"/>
    <w:rsid w:val="4246A885"/>
    <w:rsid w:val="4248B4A9"/>
    <w:rsid w:val="4249788A"/>
    <w:rsid w:val="424A88E2"/>
    <w:rsid w:val="424B8D3A"/>
    <w:rsid w:val="424BB832"/>
    <w:rsid w:val="4251CE92"/>
    <w:rsid w:val="4251D811"/>
    <w:rsid w:val="42532134"/>
    <w:rsid w:val="42537E6D"/>
    <w:rsid w:val="425390F4"/>
    <w:rsid w:val="4254F141"/>
    <w:rsid w:val="4255AFE1"/>
    <w:rsid w:val="4255C363"/>
    <w:rsid w:val="425877A7"/>
    <w:rsid w:val="42599A46"/>
    <w:rsid w:val="4259C86C"/>
    <w:rsid w:val="4259FC43"/>
    <w:rsid w:val="425A688B"/>
    <w:rsid w:val="425B027B"/>
    <w:rsid w:val="425BF8E4"/>
    <w:rsid w:val="425EE6DB"/>
    <w:rsid w:val="425F092A"/>
    <w:rsid w:val="426086F9"/>
    <w:rsid w:val="4269C4F1"/>
    <w:rsid w:val="426C96DA"/>
    <w:rsid w:val="426CA3D0"/>
    <w:rsid w:val="426D5AF9"/>
    <w:rsid w:val="4272501C"/>
    <w:rsid w:val="42728A80"/>
    <w:rsid w:val="4274D25B"/>
    <w:rsid w:val="42753641"/>
    <w:rsid w:val="4275A7E6"/>
    <w:rsid w:val="427897A1"/>
    <w:rsid w:val="42799879"/>
    <w:rsid w:val="427AED55"/>
    <w:rsid w:val="427BE136"/>
    <w:rsid w:val="427C3930"/>
    <w:rsid w:val="427C8892"/>
    <w:rsid w:val="427FF53B"/>
    <w:rsid w:val="42813C42"/>
    <w:rsid w:val="4281A79F"/>
    <w:rsid w:val="42858E4F"/>
    <w:rsid w:val="428AE6BB"/>
    <w:rsid w:val="429087D6"/>
    <w:rsid w:val="4294FDA3"/>
    <w:rsid w:val="4295AE78"/>
    <w:rsid w:val="429A4229"/>
    <w:rsid w:val="429BBF0F"/>
    <w:rsid w:val="429D1F4D"/>
    <w:rsid w:val="429E3562"/>
    <w:rsid w:val="429F388D"/>
    <w:rsid w:val="42A1673E"/>
    <w:rsid w:val="42A1D438"/>
    <w:rsid w:val="42A21608"/>
    <w:rsid w:val="42A3DB26"/>
    <w:rsid w:val="42A60F6D"/>
    <w:rsid w:val="42A8B414"/>
    <w:rsid w:val="42A9A59B"/>
    <w:rsid w:val="42AC9A23"/>
    <w:rsid w:val="42ACFF3E"/>
    <w:rsid w:val="42AE2779"/>
    <w:rsid w:val="42B0C960"/>
    <w:rsid w:val="42B187BE"/>
    <w:rsid w:val="42B6AFFC"/>
    <w:rsid w:val="42B6B333"/>
    <w:rsid w:val="42B6D90D"/>
    <w:rsid w:val="42BEA9B0"/>
    <w:rsid w:val="42C02FEC"/>
    <w:rsid w:val="42C06DA2"/>
    <w:rsid w:val="42C155F6"/>
    <w:rsid w:val="42C2AF85"/>
    <w:rsid w:val="42C41BAA"/>
    <w:rsid w:val="42C8326B"/>
    <w:rsid w:val="42C8F18B"/>
    <w:rsid w:val="42C9A417"/>
    <w:rsid w:val="42CA2CDA"/>
    <w:rsid w:val="42CC2F14"/>
    <w:rsid w:val="42CCF808"/>
    <w:rsid w:val="42CEFE32"/>
    <w:rsid w:val="42D0145E"/>
    <w:rsid w:val="42D0EB43"/>
    <w:rsid w:val="42D196E1"/>
    <w:rsid w:val="42D20694"/>
    <w:rsid w:val="42D3791B"/>
    <w:rsid w:val="42D3B677"/>
    <w:rsid w:val="42D4DA23"/>
    <w:rsid w:val="42D4F728"/>
    <w:rsid w:val="42D601A0"/>
    <w:rsid w:val="42D6AF4A"/>
    <w:rsid w:val="42D7A779"/>
    <w:rsid w:val="42D87CA6"/>
    <w:rsid w:val="42D94F63"/>
    <w:rsid w:val="42DA1CE4"/>
    <w:rsid w:val="42DB34CC"/>
    <w:rsid w:val="42DB562C"/>
    <w:rsid w:val="42DBC9BB"/>
    <w:rsid w:val="42DD552B"/>
    <w:rsid w:val="42DE3FFE"/>
    <w:rsid w:val="42DF49BE"/>
    <w:rsid w:val="42E043BC"/>
    <w:rsid w:val="42E59EFF"/>
    <w:rsid w:val="42E74CB7"/>
    <w:rsid w:val="42E94505"/>
    <w:rsid w:val="42EA5EF2"/>
    <w:rsid w:val="42EAFE98"/>
    <w:rsid w:val="42EDA15C"/>
    <w:rsid w:val="42F02598"/>
    <w:rsid w:val="42F4B9E2"/>
    <w:rsid w:val="42F5B8E2"/>
    <w:rsid w:val="42F5DBB2"/>
    <w:rsid w:val="42F8740D"/>
    <w:rsid w:val="42F99F12"/>
    <w:rsid w:val="42FD7FC3"/>
    <w:rsid w:val="42FE49D3"/>
    <w:rsid w:val="42FEF8DB"/>
    <w:rsid w:val="4302A76D"/>
    <w:rsid w:val="43038785"/>
    <w:rsid w:val="43064CE5"/>
    <w:rsid w:val="4306C464"/>
    <w:rsid w:val="430AB955"/>
    <w:rsid w:val="430C26C0"/>
    <w:rsid w:val="4310D5DB"/>
    <w:rsid w:val="431216B1"/>
    <w:rsid w:val="4316E14D"/>
    <w:rsid w:val="43185CB3"/>
    <w:rsid w:val="4318D63F"/>
    <w:rsid w:val="431902EE"/>
    <w:rsid w:val="431F2FFF"/>
    <w:rsid w:val="4323C17F"/>
    <w:rsid w:val="43244537"/>
    <w:rsid w:val="43262303"/>
    <w:rsid w:val="4326C7E1"/>
    <w:rsid w:val="43279823"/>
    <w:rsid w:val="4327E13D"/>
    <w:rsid w:val="43285394"/>
    <w:rsid w:val="43295D68"/>
    <w:rsid w:val="432BE3E5"/>
    <w:rsid w:val="432C0CB8"/>
    <w:rsid w:val="432C27DB"/>
    <w:rsid w:val="432DA706"/>
    <w:rsid w:val="432E59BF"/>
    <w:rsid w:val="432EE9B1"/>
    <w:rsid w:val="432F2662"/>
    <w:rsid w:val="43328222"/>
    <w:rsid w:val="4333B59F"/>
    <w:rsid w:val="43355764"/>
    <w:rsid w:val="433667CD"/>
    <w:rsid w:val="4336783C"/>
    <w:rsid w:val="433848BA"/>
    <w:rsid w:val="4338923C"/>
    <w:rsid w:val="433AB8CD"/>
    <w:rsid w:val="433C21B3"/>
    <w:rsid w:val="433C9F44"/>
    <w:rsid w:val="433CA615"/>
    <w:rsid w:val="433CCD43"/>
    <w:rsid w:val="433DFACB"/>
    <w:rsid w:val="433E85C8"/>
    <w:rsid w:val="433ED6C3"/>
    <w:rsid w:val="43440326"/>
    <w:rsid w:val="434415FF"/>
    <w:rsid w:val="43441AAF"/>
    <w:rsid w:val="43443646"/>
    <w:rsid w:val="434461B0"/>
    <w:rsid w:val="434539A9"/>
    <w:rsid w:val="43453CBA"/>
    <w:rsid w:val="43458BD9"/>
    <w:rsid w:val="4345A454"/>
    <w:rsid w:val="434748CE"/>
    <w:rsid w:val="4347F066"/>
    <w:rsid w:val="434954CF"/>
    <w:rsid w:val="43498C52"/>
    <w:rsid w:val="434A2365"/>
    <w:rsid w:val="434BFD87"/>
    <w:rsid w:val="434CDDE5"/>
    <w:rsid w:val="434D7130"/>
    <w:rsid w:val="434DE748"/>
    <w:rsid w:val="434FAAC5"/>
    <w:rsid w:val="43506742"/>
    <w:rsid w:val="4350E921"/>
    <w:rsid w:val="4350F0DD"/>
    <w:rsid w:val="4351FE07"/>
    <w:rsid w:val="43533331"/>
    <w:rsid w:val="43551B04"/>
    <w:rsid w:val="43576D4F"/>
    <w:rsid w:val="4358EB84"/>
    <w:rsid w:val="4359163E"/>
    <w:rsid w:val="435CDC54"/>
    <w:rsid w:val="435D9E01"/>
    <w:rsid w:val="435F2353"/>
    <w:rsid w:val="43613B5E"/>
    <w:rsid w:val="43635291"/>
    <w:rsid w:val="43640587"/>
    <w:rsid w:val="4364DE6A"/>
    <w:rsid w:val="4369F8A1"/>
    <w:rsid w:val="436A5013"/>
    <w:rsid w:val="436B6BCE"/>
    <w:rsid w:val="436B8A48"/>
    <w:rsid w:val="436E3295"/>
    <w:rsid w:val="436EDB89"/>
    <w:rsid w:val="43708590"/>
    <w:rsid w:val="43709730"/>
    <w:rsid w:val="4372A70F"/>
    <w:rsid w:val="4373AB99"/>
    <w:rsid w:val="4376B27B"/>
    <w:rsid w:val="437AF95A"/>
    <w:rsid w:val="437B8E03"/>
    <w:rsid w:val="437C060A"/>
    <w:rsid w:val="437DB654"/>
    <w:rsid w:val="437F912C"/>
    <w:rsid w:val="437FB557"/>
    <w:rsid w:val="43802723"/>
    <w:rsid w:val="4382528B"/>
    <w:rsid w:val="4382685E"/>
    <w:rsid w:val="43827C8B"/>
    <w:rsid w:val="4382E7A8"/>
    <w:rsid w:val="4384A4F3"/>
    <w:rsid w:val="43871B5E"/>
    <w:rsid w:val="438D3068"/>
    <w:rsid w:val="438D50FE"/>
    <w:rsid w:val="438DAA6D"/>
    <w:rsid w:val="438DF8E7"/>
    <w:rsid w:val="438E4C05"/>
    <w:rsid w:val="438E5BD4"/>
    <w:rsid w:val="438E9C29"/>
    <w:rsid w:val="43914DD6"/>
    <w:rsid w:val="43920BE7"/>
    <w:rsid w:val="4393E2EB"/>
    <w:rsid w:val="439602D0"/>
    <w:rsid w:val="43968EAB"/>
    <w:rsid w:val="439C4C73"/>
    <w:rsid w:val="43A13BCB"/>
    <w:rsid w:val="43A210BD"/>
    <w:rsid w:val="43A3E286"/>
    <w:rsid w:val="43A51564"/>
    <w:rsid w:val="43A579B1"/>
    <w:rsid w:val="43AA37D0"/>
    <w:rsid w:val="43AB14A0"/>
    <w:rsid w:val="43AB4966"/>
    <w:rsid w:val="43AC66FB"/>
    <w:rsid w:val="43AFC787"/>
    <w:rsid w:val="43B0AC76"/>
    <w:rsid w:val="43B0AF2A"/>
    <w:rsid w:val="43B0BAC3"/>
    <w:rsid w:val="43B6209B"/>
    <w:rsid w:val="43B67159"/>
    <w:rsid w:val="43B69C97"/>
    <w:rsid w:val="43B74241"/>
    <w:rsid w:val="43B8D78F"/>
    <w:rsid w:val="43B9C37C"/>
    <w:rsid w:val="43B9FD47"/>
    <w:rsid w:val="43C47C1B"/>
    <w:rsid w:val="43C8C451"/>
    <w:rsid w:val="43C92C99"/>
    <w:rsid w:val="43C9B86D"/>
    <w:rsid w:val="43CB1F84"/>
    <w:rsid w:val="43CCD721"/>
    <w:rsid w:val="43CD1544"/>
    <w:rsid w:val="43CE39E6"/>
    <w:rsid w:val="43CF3458"/>
    <w:rsid w:val="43D03FE3"/>
    <w:rsid w:val="43D1E42D"/>
    <w:rsid w:val="43D42964"/>
    <w:rsid w:val="43D7134D"/>
    <w:rsid w:val="43D760DD"/>
    <w:rsid w:val="43D7E540"/>
    <w:rsid w:val="43DD0D31"/>
    <w:rsid w:val="43DE45B5"/>
    <w:rsid w:val="43E22A0B"/>
    <w:rsid w:val="43E32137"/>
    <w:rsid w:val="43E48BEF"/>
    <w:rsid w:val="43E7EA0B"/>
    <w:rsid w:val="43E985F5"/>
    <w:rsid w:val="43EC9BD6"/>
    <w:rsid w:val="43ECF4FD"/>
    <w:rsid w:val="43ED206E"/>
    <w:rsid w:val="43EFB4AB"/>
    <w:rsid w:val="43F0C18C"/>
    <w:rsid w:val="43F3C88E"/>
    <w:rsid w:val="43F4C88F"/>
    <w:rsid w:val="43F69BE4"/>
    <w:rsid w:val="43F6CE76"/>
    <w:rsid w:val="43F741F4"/>
    <w:rsid w:val="43FC7BEB"/>
    <w:rsid w:val="4400A830"/>
    <w:rsid w:val="44034476"/>
    <w:rsid w:val="44065459"/>
    <w:rsid w:val="44065FAA"/>
    <w:rsid w:val="4407EAAA"/>
    <w:rsid w:val="4408DBD2"/>
    <w:rsid w:val="440A15F5"/>
    <w:rsid w:val="440A189E"/>
    <w:rsid w:val="440B5504"/>
    <w:rsid w:val="440C0FB6"/>
    <w:rsid w:val="440CFFA8"/>
    <w:rsid w:val="440D6E87"/>
    <w:rsid w:val="440DAC1E"/>
    <w:rsid w:val="44103319"/>
    <w:rsid w:val="44108468"/>
    <w:rsid w:val="4411B5F5"/>
    <w:rsid w:val="4412C9E1"/>
    <w:rsid w:val="441361F9"/>
    <w:rsid w:val="4413779D"/>
    <w:rsid w:val="4413A5E1"/>
    <w:rsid w:val="4414AFCC"/>
    <w:rsid w:val="4418B4E8"/>
    <w:rsid w:val="4419D826"/>
    <w:rsid w:val="441AF356"/>
    <w:rsid w:val="441B5189"/>
    <w:rsid w:val="441C0660"/>
    <w:rsid w:val="44205424"/>
    <w:rsid w:val="44223DC4"/>
    <w:rsid w:val="4424F023"/>
    <w:rsid w:val="44284B2E"/>
    <w:rsid w:val="4428FD5B"/>
    <w:rsid w:val="44292671"/>
    <w:rsid w:val="44295048"/>
    <w:rsid w:val="442A5FF9"/>
    <w:rsid w:val="442C8D26"/>
    <w:rsid w:val="442D6B26"/>
    <w:rsid w:val="442D9AD4"/>
    <w:rsid w:val="442FCABF"/>
    <w:rsid w:val="44301D67"/>
    <w:rsid w:val="44319225"/>
    <w:rsid w:val="4431E9C1"/>
    <w:rsid w:val="44345B5A"/>
    <w:rsid w:val="44348E1D"/>
    <w:rsid w:val="44352BDC"/>
    <w:rsid w:val="44357412"/>
    <w:rsid w:val="4435B9B4"/>
    <w:rsid w:val="44379A64"/>
    <w:rsid w:val="44384173"/>
    <w:rsid w:val="443BC69B"/>
    <w:rsid w:val="443E4F2D"/>
    <w:rsid w:val="443EC1E3"/>
    <w:rsid w:val="44401ACD"/>
    <w:rsid w:val="44424C6E"/>
    <w:rsid w:val="4443E858"/>
    <w:rsid w:val="4446B827"/>
    <w:rsid w:val="44470B65"/>
    <w:rsid w:val="444723FC"/>
    <w:rsid w:val="44475EC9"/>
    <w:rsid w:val="444A073B"/>
    <w:rsid w:val="444B9171"/>
    <w:rsid w:val="444BEF4E"/>
    <w:rsid w:val="444E4997"/>
    <w:rsid w:val="444EE010"/>
    <w:rsid w:val="444EF855"/>
    <w:rsid w:val="4451E4BD"/>
    <w:rsid w:val="44522EC9"/>
    <w:rsid w:val="44534EAD"/>
    <w:rsid w:val="44541EAB"/>
    <w:rsid w:val="44564E65"/>
    <w:rsid w:val="4456B673"/>
    <w:rsid w:val="44573F9C"/>
    <w:rsid w:val="445764DB"/>
    <w:rsid w:val="445927F6"/>
    <w:rsid w:val="445C376D"/>
    <w:rsid w:val="446145A2"/>
    <w:rsid w:val="44621CAA"/>
    <w:rsid w:val="44624011"/>
    <w:rsid w:val="44625D10"/>
    <w:rsid w:val="4462A405"/>
    <w:rsid w:val="4465BE9A"/>
    <w:rsid w:val="4469048F"/>
    <w:rsid w:val="446C02DE"/>
    <w:rsid w:val="446D5B05"/>
    <w:rsid w:val="44705DE2"/>
    <w:rsid w:val="4470CD5F"/>
    <w:rsid w:val="44723EA7"/>
    <w:rsid w:val="4472A27C"/>
    <w:rsid w:val="4472DB98"/>
    <w:rsid w:val="44742EE7"/>
    <w:rsid w:val="44759488"/>
    <w:rsid w:val="44762193"/>
    <w:rsid w:val="4477E7D6"/>
    <w:rsid w:val="447985F3"/>
    <w:rsid w:val="44798A9C"/>
    <w:rsid w:val="447B1161"/>
    <w:rsid w:val="447DE6A9"/>
    <w:rsid w:val="447E1BD9"/>
    <w:rsid w:val="447E5731"/>
    <w:rsid w:val="447FCD07"/>
    <w:rsid w:val="4483DC0E"/>
    <w:rsid w:val="4483F036"/>
    <w:rsid w:val="4484450D"/>
    <w:rsid w:val="44862DFC"/>
    <w:rsid w:val="4486D40A"/>
    <w:rsid w:val="448AB90A"/>
    <w:rsid w:val="448EC09E"/>
    <w:rsid w:val="448F24D0"/>
    <w:rsid w:val="4491473D"/>
    <w:rsid w:val="449213CB"/>
    <w:rsid w:val="4495E54B"/>
    <w:rsid w:val="44966A3A"/>
    <w:rsid w:val="4499DF7C"/>
    <w:rsid w:val="4499F635"/>
    <w:rsid w:val="449AADBF"/>
    <w:rsid w:val="449D3FAA"/>
    <w:rsid w:val="449E7D34"/>
    <w:rsid w:val="449F7B42"/>
    <w:rsid w:val="44A04DD8"/>
    <w:rsid w:val="44A0DBD2"/>
    <w:rsid w:val="44A2CF06"/>
    <w:rsid w:val="44A33CD8"/>
    <w:rsid w:val="44A43840"/>
    <w:rsid w:val="44A4FD29"/>
    <w:rsid w:val="44A88F7D"/>
    <w:rsid w:val="44AB08DF"/>
    <w:rsid w:val="44B05455"/>
    <w:rsid w:val="44B08F97"/>
    <w:rsid w:val="44B116C3"/>
    <w:rsid w:val="44B1EF60"/>
    <w:rsid w:val="44B37B14"/>
    <w:rsid w:val="44B39074"/>
    <w:rsid w:val="44B4ADAE"/>
    <w:rsid w:val="44B5C886"/>
    <w:rsid w:val="44B6FF70"/>
    <w:rsid w:val="44B92D8C"/>
    <w:rsid w:val="44BB58AB"/>
    <w:rsid w:val="44BC41C2"/>
    <w:rsid w:val="44BED178"/>
    <w:rsid w:val="44BED37A"/>
    <w:rsid w:val="44BFF4AB"/>
    <w:rsid w:val="44C38305"/>
    <w:rsid w:val="44C3A879"/>
    <w:rsid w:val="44C434E5"/>
    <w:rsid w:val="44C7201C"/>
    <w:rsid w:val="44C96502"/>
    <w:rsid w:val="44C98376"/>
    <w:rsid w:val="44CAB071"/>
    <w:rsid w:val="44CAC969"/>
    <w:rsid w:val="44CCDB31"/>
    <w:rsid w:val="44D086A8"/>
    <w:rsid w:val="44D2783E"/>
    <w:rsid w:val="44D2C1C4"/>
    <w:rsid w:val="44D6CA84"/>
    <w:rsid w:val="44D786D2"/>
    <w:rsid w:val="44D825DE"/>
    <w:rsid w:val="44D8F318"/>
    <w:rsid w:val="44D95CF6"/>
    <w:rsid w:val="44DAD373"/>
    <w:rsid w:val="44DB3597"/>
    <w:rsid w:val="44DC8763"/>
    <w:rsid w:val="44DDE503"/>
    <w:rsid w:val="44DF2D40"/>
    <w:rsid w:val="44E0D6C2"/>
    <w:rsid w:val="44E6F388"/>
    <w:rsid w:val="44E8B46D"/>
    <w:rsid w:val="44EC4661"/>
    <w:rsid w:val="44EC75C6"/>
    <w:rsid w:val="44EE842D"/>
    <w:rsid w:val="44F11D15"/>
    <w:rsid w:val="44F5AF17"/>
    <w:rsid w:val="44F5FDA5"/>
    <w:rsid w:val="44F7BCB6"/>
    <w:rsid w:val="44F89CAE"/>
    <w:rsid w:val="44F8C53B"/>
    <w:rsid w:val="44F9BA80"/>
    <w:rsid w:val="44F9F035"/>
    <w:rsid w:val="44F9F670"/>
    <w:rsid w:val="44FBE674"/>
    <w:rsid w:val="44FD73F9"/>
    <w:rsid w:val="44FD9235"/>
    <w:rsid w:val="44FEE162"/>
    <w:rsid w:val="44FFA0E4"/>
    <w:rsid w:val="44FFDEC0"/>
    <w:rsid w:val="450120CE"/>
    <w:rsid w:val="4501FC1C"/>
    <w:rsid w:val="45038F38"/>
    <w:rsid w:val="4504C1CF"/>
    <w:rsid w:val="45073BD0"/>
    <w:rsid w:val="450760D8"/>
    <w:rsid w:val="45096F96"/>
    <w:rsid w:val="450E4313"/>
    <w:rsid w:val="450FFF42"/>
    <w:rsid w:val="4510598B"/>
    <w:rsid w:val="451282DC"/>
    <w:rsid w:val="45128B44"/>
    <w:rsid w:val="4512F908"/>
    <w:rsid w:val="4512F99F"/>
    <w:rsid w:val="45158272"/>
    <w:rsid w:val="45176640"/>
    <w:rsid w:val="45181AFC"/>
    <w:rsid w:val="4519C598"/>
    <w:rsid w:val="451ACBBA"/>
    <w:rsid w:val="451BB617"/>
    <w:rsid w:val="451C1483"/>
    <w:rsid w:val="451C798E"/>
    <w:rsid w:val="451D047B"/>
    <w:rsid w:val="451DD1C4"/>
    <w:rsid w:val="451DDA93"/>
    <w:rsid w:val="451E7582"/>
    <w:rsid w:val="451F0DF6"/>
    <w:rsid w:val="45215244"/>
    <w:rsid w:val="4521B7F9"/>
    <w:rsid w:val="4521FE22"/>
    <w:rsid w:val="4522B4A7"/>
    <w:rsid w:val="4522C443"/>
    <w:rsid w:val="4522FA57"/>
    <w:rsid w:val="4523C67D"/>
    <w:rsid w:val="45246611"/>
    <w:rsid w:val="4527BA15"/>
    <w:rsid w:val="4527BC48"/>
    <w:rsid w:val="4527CA74"/>
    <w:rsid w:val="4528589B"/>
    <w:rsid w:val="452C0D3A"/>
    <w:rsid w:val="452C488D"/>
    <w:rsid w:val="452CF7EA"/>
    <w:rsid w:val="452E8EAD"/>
    <w:rsid w:val="452FF759"/>
    <w:rsid w:val="453037FA"/>
    <w:rsid w:val="4530A9E1"/>
    <w:rsid w:val="4531D595"/>
    <w:rsid w:val="45347A34"/>
    <w:rsid w:val="45358E00"/>
    <w:rsid w:val="4536BA1A"/>
    <w:rsid w:val="4536CA53"/>
    <w:rsid w:val="4538731B"/>
    <w:rsid w:val="453CCE9E"/>
    <w:rsid w:val="4540E2F5"/>
    <w:rsid w:val="454478A9"/>
    <w:rsid w:val="4544DF02"/>
    <w:rsid w:val="4545BD2B"/>
    <w:rsid w:val="45483A2E"/>
    <w:rsid w:val="454855AD"/>
    <w:rsid w:val="454A1BD2"/>
    <w:rsid w:val="454B23C9"/>
    <w:rsid w:val="454B4C2B"/>
    <w:rsid w:val="454D8D62"/>
    <w:rsid w:val="454E04B4"/>
    <w:rsid w:val="454F0DDA"/>
    <w:rsid w:val="455119E3"/>
    <w:rsid w:val="4551E775"/>
    <w:rsid w:val="4553369E"/>
    <w:rsid w:val="4556413A"/>
    <w:rsid w:val="455BED3D"/>
    <w:rsid w:val="455D5E35"/>
    <w:rsid w:val="455E0431"/>
    <w:rsid w:val="455F36A4"/>
    <w:rsid w:val="455F406A"/>
    <w:rsid w:val="4560036E"/>
    <w:rsid w:val="4561D183"/>
    <w:rsid w:val="45627BEC"/>
    <w:rsid w:val="4562B35C"/>
    <w:rsid w:val="45647227"/>
    <w:rsid w:val="45698EC9"/>
    <w:rsid w:val="4569D9EB"/>
    <w:rsid w:val="456AA824"/>
    <w:rsid w:val="456ACBF3"/>
    <w:rsid w:val="456B8E7F"/>
    <w:rsid w:val="456E3F8C"/>
    <w:rsid w:val="4573A435"/>
    <w:rsid w:val="4575A49B"/>
    <w:rsid w:val="4577953C"/>
    <w:rsid w:val="4578307D"/>
    <w:rsid w:val="457831D6"/>
    <w:rsid w:val="457A7CF3"/>
    <w:rsid w:val="457ADE1C"/>
    <w:rsid w:val="457B1B85"/>
    <w:rsid w:val="457DA001"/>
    <w:rsid w:val="45809A29"/>
    <w:rsid w:val="4581BDE0"/>
    <w:rsid w:val="45833CB7"/>
    <w:rsid w:val="458376B2"/>
    <w:rsid w:val="45839551"/>
    <w:rsid w:val="45839E10"/>
    <w:rsid w:val="458558EE"/>
    <w:rsid w:val="458721D9"/>
    <w:rsid w:val="4589E923"/>
    <w:rsid w:val="458A8CF9"/>
    <w:rsid w:val="458A98FA"/>
    <w:rsid w:val="458BAC20"/>
    <w:rsid w:val="458BE5C0"/>
    <w:rsid w:val="458C5136"/>
    <w:rsid w:val="458DDC80"/>
    <w:rsid w:val="458E8FB3"/>
    <w:rsid w:val="458F4FF8"/>
    <w:rsid w:val="458FF7AF"/>
    <w:rsid w:val="459137B5"/>
    <w:rsid w:val="45919619"/>
    <w:rsid w:val="4591A436"/>
    <w:rsid w:val="45935C3D"/>
    <w:rsid w:val="45935F81"/>
    <w:rsid w:val="4595BC98"/>
    <w:rsid w:val="45960157"/>
    <w:rsid w:val="4596A987"/>
    <w:rsid w:val="4597A2B9"/>
    <w:rsid w:val="459B5BD4"/>
    <w:rsid w:val="459B8539"/>
    <w:rsid w:val="459CE8BA"/>
    <w:rsid w:val="459D78C3"/>
    <w:rsid w:val="459E2D24"/>
    <w:rsid w:val="459F932C"/>
    <w:rsid w:val="45A0680D"/>
    <w:rsid w:val="45A1AE61"/>
    <w:rsid w:val="45A3D3D7"/>
    <w:rsid w:val="45A480C2"/>
    <w:rsid w:val="45A545B5"/>
    <w:rsid w:val="45A5DCC0"/>
    <w:rsid w:val="45A7EF8F"/>
    <w:rsid w:val="45AA38FA"/>
    <w:rsid w:val="45AB79E4"/>
    <w:rsid w:val="45AC5B3F"/>
    <w:rsid w:val="45AFD875"/>
    <w:rsid w:val="45B1447B"/>
    <w:rsid w:val="45B1DD0C"/>
    <w:rsid w:val="45B32F45"/>
    <w:rsid w:val="45B3D92B"/>
    <w:rsid w:val="45B6CF78"/>
    <w:rsid w:val="45B75A9F"/>
    <w:rsid w:val="45B7949F"/>
    <w:rsid w:val="45B7A82E"/>
    <w:rsid w:val="45B8D08F"/>
    <w:rsid w:val="45B9E5D3"/>
    <w:rsid w:val="45BBE0A4"/>
    <w:rsid w:val="45BEE8A9"/>
    <w:rsid w:val="45BF2E3F"/>
    <w:rsid w:val="45C1E2E5"/>
    <w:rsid w:val="45C1E39C"/>
    <w:rsid w:val="45C2D671"/>
    <w:rsid w:val="45C2FB9A"/>
    <w:rsid w:val="45C54EDF"/>
    <w:rsid w:val="45C56FF3"/>
    <w:rsid w:val="45C5B724"/>
    <w:rsid w:val="45C5C675"/>
    <w:rsid w:val="45C60CC9"/>
    <w:rsid w:val="45C6797C"/>
    <w:rsid w:val="45C85402"/>
    <w:rsid w:val="45C8A4D2"/>
    <w:rsid w:val="45CB42EC"/>
    <w:rsid w:val="45CBDE7B"/>
    <w:rsid w:val="45CF950A"/>
    <w:rsid w:val="45D0E86C"/>
    <w:rsid w:val="45D130E2"/>
    <w:rsid w:val="45D1640B"/>
    <w:rsid w:val="45D18A15"/>
    <w:rsid w:val="45D35FD1"/>
    <w:rsid w:val="45D387AB"/>
    <w:rsid w:val="45D475B5"/>
    <w:rsid w:val="45D93948"/>
    <w:rsid w:val="45D9E2B0"/>
    <w:rsid w:val="45DACF76"/>
    <w:rsid w:val="45DCB357"/>
    <w:rsid w:val="45DD0DF4"/>
    <w:rsid w:val="45DF8CEB"/>
    <w:rsid w:val="45E14020"/>
    <w:rsid w:val="45E1AF64"/>
    <w:rsid w:val="45E1CEB1"/>
    <w:rsid w:val="45E2D4DC"/>
    <w:rsid w:val="45E3AE78"/>
    <w:rsid w:val="45E3FBEF"/>
    <w:rsid w:val="45E531CC"/>
    <w:rsid w:val="45E6787F"/>
    <w:rsid w:val="45E6FC3D"/>
    <w:rsid w:val="45E8251A"/>
    <w:rsid w:val="45EC8367"/>
    <w:rsid w:val="45EC9C22"/>
    <w:rsid w:val="45EF00D5"/>
    <w:rsid w:val="45F55713"/>
    <w:rsid w:val="45F5E02E"/>
    <w:rsid w:val="45F93653"/>
    <w:rsid w:val="45FB1290"/>
    <w:rsid w:val="45FBA81A"/>
    <w:rsid w:val="45FD5327"/>
    <w:rsid w:val="45FDB0E7"/>
    <w:rsid w:val="45FDB281"/>
    <w:rsid w:val="45FF95C2"/>
    <w:rsid w:val="45FFFCA7"/>
    <w:rsid w:val="46028067"/>
    <w:rsid w:val="4605DF37"/>
    <w:rsid w:val="460645F9"/>
    <w:rsid w:val="46081D24"/>
    <w:rsid w:val="4608675B"/>
    <w:rsid w:val="46095DA9"/>
    <w:rsid w:val="460DEFCF"/>
    <w:rsid w:val="460E7899"/>
    <w:rsid w:val="4610CF78"/>
    <w:rsid w:val="461338EC"/>
    <w:rsid w:val="4616E706"/>
    <w:rsid w:val="461ABFD3"/>
    <w:rsid w:val="461B46B6"/>
    <w:rsid w:val="461DB64F"/>
    <w:rsid w:val="46208BA8"/>
    <w:rsid w:val="4621E10A"/>
    <w:rsid w:val="4625980F"/>
    <w:rsid w:val="46265600"/>
    <w:rsid w:val="4627AA41"/>
    <w:rsid w:val="462978BD"/>
    <w:rsid w:val="46298162"/>
    <w:rsid w:val="462CCF8C"/>
    <w:rsid w:val="463096CA"/>
    <w:rsid w:val="463129BE"/>
    <w:rsid w:val="463159C5"/>
    <w:rsid w:val="46317251"/>
    <w:rsid w:val="4631E098"/>
    <w:rsid w:val="463203D1"/>
    <w:rsid w:val="463281D2"/>
    <w:rsid w:val="4632C24E"/>
    <w:rsid w:val="4633063A"/>
    <w:rsid w:val="4633BB89"/>
    <w:rsid w:val="4638B489"/>
    <w:rsid w:val="463A63D1"/>
    <w:rsid w:val="463ADDC6"/>
    <w:rsid w:val="463B0363"/>
    <w:rsid w:val="463CDEAE"/>
    <w:rsid w:val="463E465E"/>
    <w:rsid w:val="463FC2F3"/>
    <w:rsid w:val="4641EAD8"/>
    <w:rsid w:val="4643127F"/>
    <w:rsid w:val="46458631"/>
    <w:rsid w:val="4647D8C1"/>
    <w:rsid w:val="4648A84C"/>
    <w:rsid w:val="464BE573"/>
    <w:rsid w:val="464DFAAE"/>
    <w:rsid w:val="46505DA9"/>
    <w:rsid w:val="46513755"/>
    <w:rsid w:val="4658C137"/>
    <w:rsid w:val="4658D72A"/>
    <w:rsid w:val="465B36BC"/>
    <w:rsid w:val="465B49F7"/>
    <w:rsid w:val="465C11F3"/>
    <w:rsid w:val="465CD73D"/>
    <w:rsid w:val="465D865C"/>
    <w:rsid w:val="465FD044"/>
    <w:rsid w:val="465FDECC"/>
    <w:rsid w:val="4662DCB6"/>
    <w:rsid w:val="46640F41"/>
    <w:rsid w:val="4665E2BE"/>
    <w:rsid w:val="466710AF"/>
    <w:rsid w:val="46676A9B"/>
    <w:rsid w:val="46678B4C"/>
    <w:rsid w:val="4669553C"/>
    <w:rsid w:val="466AA4F3"/>
    <w:rsid w:val="466B6251"/>
    <w:rsid w:val="466B67E0"/>
    <w:rsid w:val="466BC2B1"/>
    <w:rsid w:val="466C857C"/>
    <w:rsid w:val="466D8A5B"/>
    <w:rsid w:val="466F93FB"/>
    <w:rsid w:val="4674FDCE"/>
    <w:rsid w:val="4676E8A9"/>
    <w:rsid w:val="4676F384"/>
    <w:rsid w:val="46781E75"/>
    <w:rsid w:val="4679DE53"/>
    <w:rsid w:val="467A2585"/>
    <w:rsid w:val="467AFFB6"/>
    <w:rsid w:val="467B1720"/>
    <w:rsid w:val="467B27B1"/>
    <w:rsid w:val="467C8B0F"/>
    <w:rsid w:val="46813CDF"/>
    <w:rsid w:val="46854276"/>
    <w:rsid w:val="46876843"/>
    <w:rsid w:val="4687F53E"/>
    <w:rsid w:val="468949BA"/>
    <w:rsid w:val="4689AF9C"/>
    <w:rsid w:val="468AD7E3"/>
    <w:rsid w:val="468BECA9"/>
    <w:rsid w:val="468DEA48"/>
    <w:rsid w:val="468FDDB8"/>
    <w:rsid w:val="46911C4B"/>
    <w:rsid w:val="4691D16D"/>
    <w:rsid w:val="46947906"/>
    <w:rsid w:val="4694DA1C"/>
    <w:rsid w:val="46951DD2"/>
    <w:rsid w:val="4697EE8C"/>
    <w:rsid w:val="46997EB3"/>
    <w:rsid w:val="4699C8D5"/>
    <w:rsid w:val="469AAA90"/>
    <w:rsid w:val="469F22A1"/>
    <w:rsid w:val="469F3A4A"/>
    <w:rsid w:val="46A29995"/>
    <w:rsid w:val="46A2F0BC"/>
    <w:rsid w:val="46A36047"/>
    <w:rsid w:val="46A40D88"/>
    <w:rsid w:val="46A6D475"/>
    <w:rsid w:val="46A79C74"/>
    <w:rsid w:val="46A7C3A4"/>
    <w:rsid w:val="46A7CA35"/>
    <w:rsid w:val="46AB2D0E"/>
    <w:rsid w:val="46AB68D2"/>
    <w:rsid w:val="46AB833A"/>
    <w:rsid w:val="46ABF39B"/>
    <w:rsid w:val="46AC8FD6"/>
    <w:rsid w:val="46AD0C39"/>
    <w:rsid w:val="46AD5C6E"/>
    <w:rsid w:val="46ADDAD2"/>
    <w:rsid w:val="46AEAD15"/>
    <w:rsid w:val="46AF0B9B"/>
    <w:rsid w:val="46AFBCB2"/>
    <w:rsid w:val="46B19B83"/>
    <w:rsid w:val="46B2016D"/>
    <w:rsid w:val="46B26991"/>
    <w:rsid w:val="46B3A5BA"/>
    <w:rsid w:val="46B4EEAF"/>
    <w:rsid w:val="46B6E565"/>
    <w:rsid w:val="46B972C9"/>
    <w:rsid w:val="46BA9302"/>
    <w:rsid w:val="46BAAD4A"/>
    <w:rsid w:val="46BB7998"/>
    <w:rsid w:val="46BD89D3"/>
    <w:rsid w:val="46BDC188"/>
    <w:rsid w:val="46BEF8CD"/>
    <w:rsid w:val="46C07CB0"/>
    <w:rsid w:val="46C155CE"/>
    <w:rsid w:val="46C1FAB4"/>
    <w:rsid w:val="46C22270"/>
    <w:rsid w:val="46C3A842"/>
    <w:rsid w:val="46C3D76B"/>
    <w:rsid w:val="46C40F30"/>
    <w:rsid w:val="46C52517"/>
    <w:rsid w:val="46C5D4CA"/>
    <w:rsid w:val="46C64DB4"/>
    <w:rsid w:val="46C6F086"/>
    <w:rsid w:val="46C7B43A"/>
    <w:rsid w:val="46C8575F"/>
    <w:rsid w:val="46C8C0B8"/>
    <w:rsid w:val="46C8E2C7"/>
    <w:rsid w:val="46CA2DA8"/>
    <w:rsid w:val="46CAD180"/>
    <w:rsid w:val="46CDB265"/>
    <w:rsid w:val="46CEC034"/>
    <w:rsid w:val="46D09D92"/>
    <w:rsid w:val="46D13DD4"/>
    <w:rsid w:val="46D24065"/>
    <w:rsid w:val="46D2B97F"/>
    <w:rsid w:val="46D57A6B"/>
    <w:rsid w:val="46D5E3B1"/>
    <w:rsid w:val="46D70F1C"/>
    <w:rsid w:val="46D953C5"/>
    <w:rsid w:val="46D9DB63"/>
    <w:rsid w:val="46DA2450"/>
    <w:rsid w:val="46DAA665"/>
    <w:rsid w:val="46DAABE1"/>
    <w:rsid w:val="46DC53DC"/>
    <w:rsid w:val="46E0EF76"/>
    <w:rsid w:val="46E15209"/>
    <w:rsid w:val="46E5DD8A"/>
    <w:rsid w:val="46E6505D"/>
    <w:rsid w:val="46E6F82F"/>
    <w:rsid w:val="46E997E9"/>
    <w:rsid w:val="46E9EAAE"/>
    <w:rsid w:val="46EA8A95"/>
    <w:rsid w:val="46EB123C"/>
    <w:rsid w:val="46ED2DA6"/>
    <w:rsid w:val="46EDE1DD"/>
    <w:rsid w:val="46EE0706"/>
    <w:rsid w:val="46F02475"/>
    <w:rsid w:val="46F09DFA"/>
    <w:rsid w:val="46F1C94D"/>
    <w:rsid w:val="46F291F1"/>
    <w:rsid w:val="46F2D8E6"/>
    <w:rsid w:val="46F32367"/>
    <w:rsid w:val="46F4E652"/>
    <w:rsid w:val="46F8F834"/>
    <w:rsid w:val="46F9B7DB"/>
    <w:rsid w:val="46F9DCEF"/>
    <w:rsid w:val="46FA4449"/>
    <w:rsid w:val="46FB10CB"/>
    <w:rsid w:val="46FB2BDB"/>
    <w:rsid w:val="46FB5279"/>
    <w:rsid w:val="46FBB315"/>
    <w:rsid w:val="46FBFC44"/>
    <w:rsid w:val="46FD385C"/>
    <w:rsid w:val="46FE1A91"/>
    <w:rsid w:val="47017A75"/>
    <w:rsid w:val="4703B739"/>
    <w:rsid w:val="47059971"/>
    <w:rsid w:val="4706286A"/>
    <w:rsid w:val="4706AC1C"/>
    <w:rsid w:val="47099C2E"/>
    <w:rsid w:val="4709AA4E"/>
    <w:rsid w:val="470B0DC4"/>
    <w:rsid w:val="470C0CE7"/>
    <w:rsid w:val="470C8AA2"/>
    <w:rsid w:val="470EA7F8"/>
    <w:rsid w:val="470FA824"/>
    <w:rsid w:val="4710BECB"/>
    <w:rsid w:val="47147733"/>
    <w:rsid w:val="47149D55"/>
    <w:rsid w:val="4717244D"/>
    <w:rsid w:val="47175925"/>
    <w:rsid w:val="4717F839"/>
    <w:rsid w:val="4718D3B5"/>
    <w:rsid w:val="4719B21A"/>
    <w:rsid w:val="471BBD9C"/>
    <w:rsid w:val="471C1C76"/>
    <w:rsid w:val="471CE6F7"/>
    <w:rsid w:val="471D578D"/>
    <w:rsid w:val="472189CB"/>
    <w:rsid w:val="4722988E"/>
    <w:rsid w:val="472490D3"/>
    <w:rsid w:val="47252397"/>
    <w:rsid w:val="4728E1C9"/>
    <w:rsid w:val="472A4909"/>
    <w:rsid w:val="472A8E67"/>
    <w:rsid w:val="472BB183"/>
    <w:rsid w:val="472BBC05"/>
    <w:rsid w:val="472EACA3"/>
    <w:rsid w:val="472F3888"/>
    <w:rsid w:val="472FCDD9"/>
    <w:rsid w:val="4730D1ED"/>
    <w:rsid w:val="4732E757"/>
    <w:rsid w:val="473597B7"/>
    <w:rsid w:val="473607A8"/>
    <w:rsid w:val="4736F3CB"/>
    <w:rsid w:val="47394924"/>
    <w:rsid w:val="473B20E2"/>
    <w:rsid w:val="473C43A5"/>
    <w:rsid w:val="473D2AD2"/>
    <w:rsid w:val="473E89E0"/>
    <w:rsid w:val="473E9E43"/>
    <w:rsid w:val="473EEB5B"/>
    <w:rsid w:val="474061DE"/>
    <w:rsid w:val="47414815"/>
    <w:rsid w:val="4743D8C8"/>
    <w:rsid w:val="4744DD4A"/>
    <w:rsid w:val="47451B7B"/>
    <w:rsid w:val="474890C0"/>
    <w:rsid w:val="474C24CB"/>
    <w:rsid w:val="474CFB1E"/>
    <w:rsid w:val="474D277D"/>
    <w:rsid w:val="474EB1F7"/>
    <w:rsid w:val="474F421B"/>
    <w:rsid w:val="4750194D"/>
    <w:rsid w:val="4750288A"/>
    <w:rsid w:val="475274D8"/>
    <w:rsid w:val="475292F1"/>
    <w:rsid w:val="47555710"/>
    <w:rsid w:val="47568A5D"/>
    <w:rsid w:val="475A85CD"/>
    <w:rsid w:val="475AEF63"/>
    <w:rsid w:val="475B9E52"/>
    <w:rsid w:val="475BE85A"/>
    <w:rsid w:val="475D8C4B"/>
    <w:rsid w:val="47602D76"/>
    <w:rsid w:val="476199B9"/>
    <w:rsid w:val="47674520"/>
    <w:rsid w:val="4768B176"/>
    <w:rsid w:val="476A4795"/>
    <w:rsid w:val="476AA448"/>
    <w:rsid w:val="476B22B1"/>
    <w:rsid w:val="476C43CB"/>
    <w:rsid w:val="476DF274"/>
    <w:rsid w:val="476E4BE3"/>
    <w:rsid w:val="476F166D"/>
    <w:rsid w:val="47703BE8"/>
    <w:rsid w:val="4770707A"/>
    <w:rsid w:val="47723A09"/>
    <w:rsid w:val="4776FC0A"/>
    <w:rsid w:val="4777EAC5"/>
    <w:rsid w:val="47790A4F"/>
    <w:rsid w:val="477B27F4"/>
    <w:rsid w:val="477D070E"/>
    <w:rsid w:val="477D5427"/>
    <w:rsid w:val="477EB39B"/>
    <w:rsid w:val="4781041B"/>
    <w:rsid w:val="478275F1"/>
    <w:rsid w:val="4782DFDA"/>
    <w:rsid w:val="4783BE7A"/>
    <w:rsid w:val="4784D143"/>
    <w:rsid w:val="4784D837"/>
    <w:rsid w:val="4785EA22"/>
    <w:rsid w:val="47866147"/>
    <w:rsid w:val="4787F5A6"/>
    <w:rsid w:val="47882F1D"/>
    <w:rsid w:val="478AB9A1"/>
    <w:rsid w:val="478B8C8C"/>
    <w:rsid w:val="478D17FE"/>
    <w:rsid w:val="478ECA0C"/>
    <w:rsid w:val="478F0DEE"/>
    <w:rsid w:val="478F4B60"/>
    <w:rsid w:val="478F9D15"/>
    <w:rsid w:val="479093F2"/>
    <w:rsid w:val="4790EF1B"/>
    <w:rsid w:val="47937333"/>
    <w:rsid w:val="47942B17"/>
    <w:rsid w:val="4794ECCD"/>
    <w:rsid w:val="47951C50"/>
    <w:rsid w:val="4795A83F"/>
    <w:rsid w:val="47980A5D"/>
    <w:rsid w:val="4798CE59"/>
    <w:rsid w:val="4798DFA4"/>
    <w:rsid w:val="479AAF8A"/>
    <w:rsid w:val="479D6971"/>
    <w:rsid w:val="47A21630"/>
    <w:rsid w:val="47A2E909"/>
    <w:rsid w:val="47A44648"/>
    <w:rsid w:val="47A7ECE9"/>
    <w:rsid w:val="47A901E0"/>
    <w:rsid w:val="47A958A5"/>
    <w:rsid w:val="47A9850F"/>
    <w:rsid w:val="47AAB2EB"/>
    <w:rsid w:val="47ACB5C8"/>
    <w:rsid w:val="47ACB66D"/>
    <w:rsid w:val="47B34318"/>
    <w:rsid w:val="47B4CBEB"/>
    <w:rsid w:val="47B5F032"/>
    <w:rsid w:val="47BA0BCE"/>
    <w:rsid w:val="47BAFE12"/>
    <w:rsid w:val="47BB2500"/>
    <w:rsid w:val="47BB5FEA"/>
    <w:rsid w:val="47BB7819"/>
    <w:rsid w:val="47BDA448"/>
    <w:rsid w:val="47BE1735"/>
    <w:rsid w:val="47BF0047"/>
    <w:rsid w:val="47BF88DB"/>
    <w:rsid w:val="47BFB544"/>
    <w:rsid w:val="47C021AC"/>
    <w:rsid w:val="47C3CC76"/>
    <w:rsid w:val="47C411E5"/>
    <w:rsid w:val="47C43F61"/>
    <w:rsid w:val="47CBA533"/>
    <w:rsid w:val="47CC1C98"/>
    <w:rsid w:val="47CF6B7D"/>
    <w:rsid w:val="47CF91B5"/>
    <w:rsid w:val="47D14B2E"/>
    <w:rsid w:val="47D169FC"/>
    <w:rsid w:val="47D42F3D"/>
    <w:rsid w:val="47D4AB0C"/>
    <w:rsid w:val="47D50073"/>
    <w:rsid w:val="47D5C88A"/>
    <w:rsid w:val="47D698C2"/>
    <w:rsid w:val="47D91299"/>
    <w:rsid w:val="47DA1D6C"/>
    <w:rsid w:val="47DA621B"/>
    <w:rsid w:val="47DAA7D5"/>
    <w:rsid w:val="47DAF6BF"/>
    <w:rsid w:val="47DB79FA"/>
    <w:rsid w:val="47DC16A6"/>
    <w:rsid w:val="47DC5343"/>
    <w:rsid w:val="47DD0F55"/>
    <w:rsid w:val="47DE3D65"/>
    <w:rsid w:val="47DFD391"/>
    <w:rsid w:val="47E04EFB"/>
    <w:rsid w:val="47E32EE5"/>
    <w:rsid w:val="47E469B1"/>
    <w:rsid w:val="47E56939"/>
    <w:rsid w:val="47E7C77E"/>
    <w:rsid w:val="47EDDE31"/>
    <w:rsid w:val="47EEC8EC"/>
    <w:rsid w:val="47F02E76"/>
    <w:rsid w:val="47F04AEB"/>
    <w:rsid w:val="47F10FB3"/>
    <w:rsid w:val="47F14EBC"/>
    <w:rsid w:val="47F1BE06"/>
    <w:rsid w:val="47F38757"/>
    <w:rsid w:val="47F51948"/>
    <w:rsid w:val="47F90700"/>
    <w:rsid w:val="47F99C31"/>
    <w:rsid w:val="47FA485C"/>
    <w:rsid w:val="47FA8A30"/>
    <w:rsid w:val="47FFAA71"/>
    <w:rsid w:val="480228FE"/>
    <w:rsid w:val="4803CD3B"/>
    <w:rsid w:val="48042B66"/>
    <w:rsid w:val="48051E64"/>
    <w:rsid w:val="4805D094"/>
    <w:rsid w:val="4807A0D1"/>
    <w:rsid w:val="48089DDA"/>
    <w:rsid w:val="480C1022"/>
    <w:rsid w:val="48109D7A"/>
    <w:rsid w:val="481145C3"/>
    <w:rsid w:val="48144239"/>
    <w:rsid w:val="4815993A"/>
    <w:rsid w:val="4816DDE7"/>
    <w:rsid w:val="481829CC"/>
    <w:rsid w:val="4818B9D3"/>
    <w:rsid w:val="4818C1E6"/>
    <w:rsid w:val="481C6005"/>
    <w:rsid w:val="481F4432"/>
    <w:rsid w:val="481FC4E9"/>
    <w:rsid w:val="48215DB4"/>
    <w:rsid w:val="48230563"/>
    <w:rsid w:val="4825605C"/>
    <w:rsid w:val="4826C3AE"/>
    <w:rsid w:val="48270A6E"/>
    <w:rsid w:val="48285583"/>
    <w:rsid w:val="48296F9C"/>
    <w:rsid w:val="4829A855"/>
    <w:rsid w:val="482AA368"/>
    <w:rsid w:val="482C5EEA"/>
    <w:rsid w:val="482E53FA"/>
    <w:rsid w:val="4830A604"/>
    <w:rsid w:val="4830B478"/>
    <w:rsid w:val="48345E40"/>
    <w:rsid w:val="4839A912"/>
    <w:rsid w:val="483B5E19"/>
    <w:rsid w:val="483C784C"/>
    <w:rsid w:val="483CAA6B"/>
    <w:rsid w:val="483DF4C9"/>
    <w:rsid w:val="483E63FE"/>
    <w:rsid w:val="48411801"/>
    <w:rsid w:val="4842D868"/>
    <w:rsid w:val="4843DA27"/>
    <w:rsid w:val="4844E644"/>
    <w:rsid w:val="4844ED51"/>
    <w:rsid w:val="484645CA"/>
    <w:rsid w:val="4846A7D1"/>
    <w:rsid w:val="48479199"/>
    <w:rsid w:val="484834BE"/>
    <w:rsid w:val="48490A28"/>
    <w:rsid w:val="4849BEEC"/>
    <w:rsid w:val="4849ECC6"/>
    <w:rsid w:val="484A4EBB"/>
    <w:rsid w:val="484AB407"/>
    <w:rsid w:val="484C2A48"/>
    <w:rsid w:val="484E1F4C"/>
    <w:rsid w:val="48556C81"/>
    <w:rsid w:val="4855F132"/>
    <w:rsid w:val="485644E5"/>
    <w:rsid w:val="485A9FB6"/>
    <w:rsid w:val="485ADA51"/>
    <w:rsid w:val="485CFAE2"/>
    <w:rsid w:val="485E3B41"/>
    <w:rsid w:val="485F2EF5"/>
    <w:rsid w:val="485F5AF5"/>
    <w:rsid w:val="485FFA5C"/>
    <w:rsid w:val="48600C88"/>
    <w:rsid w:val="4861A40E"/>
    <w:rsid w:val="486362C0"/>
    <w:rsid w:val="4863FEBB"/>
    <w:rsid w:val="48654E25"/>
    <w:rsid w:val="486678FF"/>
    <w:rsid w:val="48672F7E"/>
    <w:rsid w:val="48698761"/>
    <w:rsid w:val="486BDA24"/>
    <w:rsid w:val="486C7029"/>
    <w:rsid w:val="486F2CA1"/>
    <w:rsid w:val="48717408"/>
    <w:rsid w:val="48717A7C"/>
    <w:rsid w:val="4871BBBF"/>
    <w:rsid w:val="4873D50B"/>
    <w:rsid w:val="48773B21"/>
    <w:rsid w:val="4877990D"/>
    <w:rsid w:val="4878BDD3"/>
    <w:rsid w:val="4879499C"/>
    <w:rsid w:val="487A6B88"/>
    <w:rsid w:val="487B8991"/>
    <w:rsid w:val="487B8DD0"/>
    <w:rsid w:val="487BBCB7"/>
    <w:rsid w:val="487C5BBA"/>
    <w:rsid w:val="487C6A23"/>
    <w:rsid w:val="487C9F92"/>
    <w:rsid w:val="487CBF81"/>
    <w:rsid w:val="487D54AB"/>
    <w:rsid w:val="487F29C8"/>
    <w:rsid w:val="487FC8A0"/>
    <w:rsid w:val="48800084"/>
    <w:rsid w:val="48811C9B"/>
    <w:rsid w:val="4881C230"/>
    <w:rsid w:val="48827BD7"/>
    <w:rsid w:val="48829CA1"/>
    <w:rsid w:val="4882D2D6"/>
    <w:rsid w:val="48834F73"/>
    <w:rsid w:val="48839136"/>
    <w:rsid w:val="48839AFC"/>
    <w:rsid w:val="48862445"/>
    <w:rsid w:val="4887CCAE"/>
    <w:rsid w:val="4888988E"/>
    <w:rsid w:val="4888A5DA"/>
    <w:rsid w:val="488927F2"/>
    <w:rsid w:val="488A2D5F"/>
    <w:rsid w:val="488D90E4"/>
    <w:rsid w:val="4890E8A9"/>
    <w:rsid w:val="4891E30F"/>
    <w:rsid w:val="48937740"/>
    <w:rsid w:val="48939653"/>
    <w:rsid w:val="4895231C"/>
    <w:rsid w:val="489633B7"/>
    <w:rsid w:val="4897A9F1"/>
    <w:rsid w:val="48982FFB"/>
    <w:rsid w:val="489AF875"/>
    <w:rsid w:val="489BE52E"/>
    <w:rsid w:val="489C7BAD"/>
    <w:rsid w:val="489E8FD8"/>
    <w:rsid w:val="48A1DE7D"/>
    <w:rsid w:val="48A5D60A"/>
    <w:rsid w:val="48A64A4F"/>
    <w:rsid w:val="48A776F8"/>
    <w:rsid w:val="48A9ACB9"/>
    <w:rsid w:val="48AB0629"/>
    <w:rsid w:val="48AB54E4"/>
    <w:rsid w:val="48AC4DAB"/>
    <w:rsid w:val="48AE4064"/>
    <w:rsid w:val="48B21C92"/>
    <w:rsid w:val="48B34E1B"/>
    <w:rsid w:val="48B429A0"/>
    <w:rsid w:val="48B478CD"/>
    <w:rsid w:val="48B4E90F"/>
    <w:rsid w:val="48B9C2AD"/>
    <w:rsid w:val="48BCA10B"/>
    <w:rsid w:val="48C10A47"/>
    <w:rsid w:val="48C1E657"/>
    <w:rsid w:val="48C257F4"/>
    <w:rsid w:val="48C2DC97"/>
    <w:rsid w:val="48C380C5"/>
    <w:rsid w:val="48C40CAA"/>
    <w:rsid w:val="48C7876C"/>
    <w:rsid w:val="48C8E10B"/>
    <w:rsid w:val="48CD407A"/>
    <w:rsid w:val="48CD45E9"/>
    <w:rsid w:val="48CDDD65"/>
    <w:rsid w:val="48CDE79B"/>
    <w:rsid w:val="48CE9DF3"/>
    <w:rsid w:val="48CFF7DD"/>
    <w:rsid w:val="48D231D0"/>
    <w:rsid w:val="48D2322C"/>
    <w:rsid w:val="48D34A77"/>
    <w:rsid w:val="48D3AA7D"/>
    <w:rsid w:val="48D47A86"/>
    <w:rsid w:val="48D8AD19"/>
    <w:rsid w:val="48DAE8D9"/>
    <w:rsid w:val="48DF0A39"/>
    <w:rsid w:val="48E016FA"/>
    <w:rsid w:val="48E02155"/>
    <w:rsid w:val="48E0FC5F"/>
    <w:rsid w:val="48E1939B"/>
    <w:rsid w:val="48E1C89A"/>
    <w:rsid w:val="48E4284D"/>
    <w:rsid w:val="48E9DCF1"/>
    <w:rsid w:val="48EA24CA"/>
    <w:rsid w:val="48EE29DC"/>
    <w:rsid w:val="48EE43CB"/>
    <w:rsid w:val="48F1BC7C"/>
    <w:rsid w:val="48F2BA4B"/>
    <w:rsid w:val="48F382D1"/>
    <w:rsid w:val="48F38CD9"/>
    <w:rsid w:val="48F38E11"/>
    <w:rsid w:val="48F3F2A3"/>
    <w:rsid w:val="48F4346D"/>
    <w:rsid w:val="48F85854"/>
    <w:rsid w:val="48F86C22"/>
    <w:rsid w:val="48FAB7AE"/>
    <w:rsid w:val="48FB26DE"/>
    <w:rsid w:val="48FB819C"/>
    <w:rsid w:val="48FCB424"/>
    <w:rsid w:val="48FD522D"/>
    <w:rsid w:val="48FF88C4"/>
    <w:rsid w:val="4900F258"/>
    <w:rsid w:val="49043C8F"/>
    <w:rsid w:val="49049CDE"/>
    <w:rsid w:val="4908BB70"/>
    <w:rsid w:val="4908F36A"/>
    <w:rsid w:val="490CF2F2"/>
    <w:rsid w:val="490DB8EE"/>
    <w:rsid w:val="4912C6A5"/>
    <w:rsid w:val="4913C8A7"/>
    <w:rsid w:val="4913F168"/>
    <w:rsid w:val="49146699"/>
    <w:rsid w:val="49161E2E"/>
    <w:rsid w:val="491A15B9"/>
    <w:rsid w:val="491AD995"/>
    <w:rsid w:val="491B545F"/>
    <w:rsid w:val="491BE49B"/>
    <w:rsid w:val="491EB03B"/>
    <w:rsid w:val="4920078C"/>
    <w:rsid w:val="4923BC87"/>
    <w:rsid w:val="4923F9D6"/>
    <w:rsid w:val="4924B693"/>
    <w:rsid w:val="4924BCB1"/>
    <w:rsid w:val="4928E86F"/>
    <w:rsid w:val="4929AD9F"/>
    <w:rsid w:val="492A7FCB"/>
    <w:rsid w:val="492BC6A0"/>
    <w:rsid w:val="492D108B"/>
    <w:rsid w:val="492DA51C"/>
    <w:rsid w:val="492EDEF0"/>
    <w:rsid w:val="492F6617"/>
    <w:rsid w:val="492FA7AE"/>
    <w:rsid w:val="4933D017"/>
    <w:rsid w:val="4939FCBA"/>
    <w:rsid w:val="493F40AA"/>
    <w:rsid w:val="493FD667"/>
    <w:rsid w:val="49414D58"/>
    <w:rsid w:val="4941EECB"/>
    <w:rsid w:val="49428CA7"/>
    <w:rsid w:val="4943BFE0"/>
    <w:rsid w:val="4946752C"/>
    <w:rsid w:val="494869E9"/>
    <w:rsid w:val="494CBC6A"/>
    <w:rsid w:val="494E19EE"/>
    <w:rsid w:val="494E961D"/>
    <w:rsid w:val="494F981D"/>
    <w:rsid w:val="4951C94F"/>
    <w:rsid w:val="4952DD68"/>
    <w:rsid w:val="49537E4D"/>
    <w:rsid w:val="4957CB43"/>
    <w:rsid w:val="4959BC24"/>
    <w:rsid w:val="4959EEF5"/>
    <w:rsid w:val="495B10AA"/>
    <w:rsid w:val="495C0804"/>
    <w:rsid w:val="495D0ACA"/>
    <w:rsid w:val="495FC69C"/>
    <w:rsid w:val="495FFB01"/>
    <w:rsid w:val="49625B99"/>
    <w:rsid w:val="4962945D"/>
    <w:rsid w:val="4962B1EF"/>
    <w:rsid w:val="4962B47C"/>
    <w:rsid w:val="49698B6E"/>
    <w:rsid w:val="496ACD5F"/>
    <w:rsid w:val="496CFFA6"/>
    <w:rsid w:val="496FABA4"/>
    <w:rsid w:val="4971C4CD"/>
    <w:rsid w:val="49757EE1"/>
    <w:rsid w:val="4976BE62"/>
    <w:rsid w:val="4978735B"/>
    <w:rsid w:val="497925C8"/>
    <w:rsid w:val="497ACA14"/>
    <w:rsid w:val="497DD553"/>
    <w:rsid w:val="497E6F58"/>
    <w:rsid w:val="497FA8A0"/>
    <w:rsid w:val="4981F931"/>
    <w:rsid w:val="49829889"/>
    <w:rsid w:val="49838E21"/>
    <w:rsid w:val="49852CE9"/>
    <w:rsid w:val="4985498F"/>
    <w:rsid w:val="4985712E"/>
    <w:rsid w:val="4985DF9C"/>
    <w:rsid w:val="498742E4"/>
    <w:rsid w:val="498C32EF"/>
    <w:rsid w:val="49904EC6"/>
    <w:rsid w:val="4990B0DC"/>
    <w:rsid w:val="49911F60"/>
    <w:rsid w:val="4991BAF4"/>
    <w:rsid w:val="49933B80"/>
    <w:rsid w:val="49936536"/>
    <w:rsid w:val="49988634"/>
    <w:rsid w:val="4999D1DC"/>
    <w:rsid w:val="499D1884"/>
    <w:rsid w:val="499D9CAC"/>
    <w:rsid w:val="49A077D6"/>
    <w:rsid w:val="49A12961"/>
    <w:rsid w:val="49A14619"/>
    <w:rsid w:val="49A2274C"/>
    <w:rsid w:val="49A768A1"/>
    <w:rsid w:val="49A94DF2"/>
    <w:rsid w:val="49A9A959"/>
    <w:rsid w:val="49AB3B59"/>
    <w:rsid w:val="49ACD879"/>
    <w:rsid w:val="49AE1ADE"/>
    <w:rsid w:val="49AE1B98"/>
    <w:rsid w:val="49AF61C5"/>
    <w:rsid w:val="49AFD954"/>
    <w:rsid w:val="49B48A34"/>
    <w:rsid w:val="49B51F9D"/>
    <w:rsid w:val="49B524BD"/>
    <w:rsid w:val="49B54311"/>
    <w:rsid w:val="49B5EBB2"/>
    <w:rsid w:val="49B65006"/>
    <w:rsid w:val="49B6FE69"/>
    <w:rsid w:val="49B70719"/>
    <w:rsid w:val="49B844BD"/>
    <w:rsid w:val="49B8658B"/>
    <w:rsid w:val="49B8F259"/>
    <w:rsid w:val="49BB67AA"/>
    <w:rsid w:val="49BCDE81"/>
    <w:rsid w:val="49BD98CA"/>
    <w:rsid w:val="49BDBF48"/>
    <w:rsid w:val="49BE52D2"/>
    <w:rsid w:val="49C57E09"/>
    <w:rsid w:val="49C5BFED"/>
    <w:rsid w:val="49C6578F"/>
    <w:rsid w:val="49C82424"/>
    <w:rsid w:val="49C846CF"/>
    <w:rsid w:val="49CFC6C1"/>
    <w:rsid w:val="49D1103E"/>
    <w:rsid w:val="49D1A432"/>
    <w:rsid w:val="49D28E43"/>
    <w:rsid w:val="49D2E247"/>
    <w:rsid w:val="49D421F0"/>
    <w:rsid w:val="49D42311"/>
    <w:rsid w:val="49D490D9"/>
    <w:rsid w:val="49D51A62"/>
    <w:rsid w:val="49D54639"/>
    <w:rsid w:val="49D639BA"/>
    <w:rsid w:val="49D6B28B"/>
    <w:rsid w:val="49D6EC9E"/>
    <w:rsid w:val="49D743D2"/>
    <w:rsid w:val="49D7F42E"/>
    <w:rsid w:val="49D91796"/>
    <w:rsid w:val="49D93E64"/>
    <w:rsid w:val="49DCCB08"/>
    <w:rsid w:val="49DDC0D3"/>
    <w:rsid w:val="49E0041D"/>
    <w:rsid w:val="49E1C8A3"/>
    <w:rsid w:val="49E3F93A"/>
    <w:rsid w:val="49E50D23"/>
    <w:rsid w:val="49E59554"/>
    <w:rsid w:val="49E6EAE9"/>
    <w:rsid w:val="49E7151D"/>
    <w:rsid w:val="49EBC37B"/>
    <w:rsid w:val="49EBD5C8"/>
    <w:rsid w:val="49EED9F1"/>
    <w:rsid w:val="49F0E88A"/>
    <w:rsid w:val="49F3B3C9"/>
    <w:rsid w:val="49F3C6B8"/>
    <w:rsid w:val="49F4965D"/>
    <w:rsid w:val="49F6EC82"/>
    <w:rsid w:val="49F6FA59"/>
    <w:rsid w:val="49FE186B"/>
    <w:rsid w:val="49FE814F"/>
    <w:rsid w:val="49FEA82D"/>
    <w:rsid w:val="4A00DA7B"/>
    <w:rsid w:val="4A0228E7"/>
    <w:rsid w:val="4A038698"/>
    <w:rsid w:val="4A099C6C"/>
    <w:rsid w:val="4A0C9767"/>
    <w:rsid w:val="4A0E160E"/>
    <w:rsid w:val="4A113FC5"/>
    <w:rsid w:val="4A1153C2"/>
    <w:rsid w:val="4A1276D4"/>
    <w:rsid w:val="4A15AF9A"/>
    <w:rsid w:val="4A15E2A3"/>
    <w:rsid w:val="4A168257"/>
    <w:rsid w:val="4A186FB7"/>
    <w:rsid w:val="4A1A4323"/>
    <w:rsid w:val="4A1A66FF"/>
    <w:rsid w:val="4A1BC1FE"/>
    <w:rsid w:val="4A1CE01B"/>
    <w:rsid w:val="4A1DA93A"/>
    <w:rsid w:val="4A1E0179"/>
    <w:rsid w:val="4A22E27E"/>
    <w:rsid w:val="4A23B36C"/>
    <w:rsid w:val="4A26952F"/>
    <w:rsid w:val="4A26E151"/>
    <w:rsid w:val="4A275D1A"/>
    <w:rsid w:val="4A282667"/>
    <w:rsid w:val="4A2A32B3"/>
    <w:rsid w:val="4A2BC5AB"/>
    <w:rsid w:val="4A2C69D3"/>
    <w:rsid w:val="4A2CDEF9"/>
    <w:rsid w:val="4A2D1C50"/>
    <w:rsid w:val="4A2D28A5"/>
    <w:rsid w:val="4A2F6B3F"/>
    <w:rsid w:val="4A30ED99"/>
    <w:rsid w:val="4A310B92"/>
    <w:rsid w:val="4A335C86"/>
    <w:rsid w:val="4A3515CF"/>
    <w:rsid w:val="4A357372"/>
    <w:rsid w:val="4A378155"/>
    <w:rsid w:val="4A38A1DF"/>
    <w:rsid w:val="4A390041"/>
    <w:rsid w:val="4A3A16D3"/>
    <w:rsid w:val="4A3E3634"/>
    <w:rsid w:val="4A404517"/>
    <w:rsid w:val="4A41094B"/>
    <w:rsid w:val="4A425B53"/>
    <w:rsid w:val="4A4298D7"/>
    <w:rsid w:val="4A4394B0"/>
    <w:rsid w:val="4A4461E6"/>
    <w:rsid w:val="4A4615BF"/>
    <w:rsid w:val="4A47EE0D"/>
    <w:rsid w:val="4A4D3C55"/>
    <w:rsid w:val="4A4ECB33"/>
    <w:rsid w:val="4A4FA3AB"/>
    <w:rsid w:val="4A5196A3"/>
    <w:rsid w:val="4A5321F7"/>
    <w:rsid w:val="4A57B4E0"/>
    <w:rsid w:val="4A5A59AB"/>
    <w:rsid w:val="4A5ABC0A"/>
    <w:rsid w:val="4A5BC083"/>
    <w:rsid w:val="4A5C28EC"/>
    <w:rsid w:val="4A5CD606"/>
    <w:rsid w:val="4A5D30E9"/>
    <w:rsid w:val="4A5E7501"/>
    <w:rsid w:val="4A5F650B"/>
    <w:rsid w:val="4A605599"/>
    <w:rsid w:val="4A60633C"/>
    <w:rsid w:val="4A60A70E"/>
    <w:rsid w:val="4A61A00A"/>
    <w:rsid w:val="4A627E89"/>
    <w:rsid w:val="4A63898C"/>
    <w:rsid w:val="4A6424C3"/>
    <w:rsid w:val="4A660DBC"/>
    <w:rsid w:val="4A6B18A1"/>
    <w:rsid w:val="4A6B4C6B"/>
    <w:rsid w:val="4A6FF426"/>
    <w:rsid w:val="4A710D6A"/>
    <w:rsid w:val="4A725194"/>
    <w:rsid w:val="4A734722"/>
    <w:rsid w:val="4A7352D6"/>
    <w:rsid w:val="4A737DA4"/>
    <w:rsid w:val="4A73A509"/>
    <w:rsid w:val="4A744864"/>
    <w:rsid w:val="4A7460CE"/>
    <w:rsid w:val="4A77F2EE"/>
    <w:rsid w:val="4A79CA09"/>
    <w:rsid w:val="4A7B016B"/>
    <w:rsid w:val="4A7D5146"/>
    <w:rsid w:val="4A7F66AC"/>
    <w:rsid w:val="4A80CAB5"/>
    <w:rsid w:val="4A81982F"/>
    <w:rsid w:val="4A83A26C"/>
    <w:rsid w:val="4A860835"/>
    <w:rsid w:val="4A86BA13"/>
    <w:rsid w:val="4A87BA0F"/>
    <w:rsid w:val="4A8987BE"/>
    <w:rsid w:val="4A89CA1B"/>
    <w:rsid w:val="4A8AB4D6"/>
    <w:rsid w:val="4A8C2374"/>
    <w:rsid w:val="4A8C7FAF"/>
    <w:rsid w:val="4A8CD3CF"/>
    <w:rsid w:val="4A8F30DE"/>
    <w:rsid w:val="4A91B078"/>
    <w:rsid w:val="4A921CAD"/>
    <w:rsid w:val="4A929F62"/>
    <w:rsid w:val="4A9354CF"/>
    <w:rsid w:val="4A935697"/>
    <w:rsid w:val="4A940495"/>
    <w:rsid w:val="4A954D7D"/>
    <w:rsid w:val="4A97D60D"/>
    <w:rsid w:val="4A9818FA"/>
    <w:rsid w:val="4A9A45AB"/>
    <w:rsid w:val="4A9AADBC"/>
    <w:rsid w:val="4A9DF08E"/>
    <w:rsid w:val="4A9E0CD0"/>
    <w:rsid w:val="4A9E5CF5"/>
    <w:rsid w:val="4AA051D4"/>
    <w:rsid w:val="4AA3F43B"/>
    <w:rsid w:val="4AA4DE6B"/>
    <w:rsid w:val="4AA63182"/>
    <w:rsid w:val="4AA6DC15"/>
    <w:rsid w:val="4AA77DF8"/>
    <w:rsid w:val="4AA8A90B"/>
    <w:rsid w:val="4AA9F713"/>
    <w:rsid w:val="4AAC0C49"/>
    <w:rsid w:val="4AB020FF"/>
    <w:rsid w:val="4AB2A37C"/>
    <w:rsid w:val="4AB3BCC2"/>
    <w:rsid w:val="4AB3EEF9"/>
    <w:rsid w:val="4AB6AE91"/>
    <w:rsid w:val="4AB9DEA9"/>
    <w:rsid w:val="4ABBB94D"/>
    <w:rsid w:val="4ABD1C0E"/>
    <w:rsid w:val="4ABD2B90"/>
    <w:rsid w:val="4ABF4FE4"/>
    <w:rsid w:val="4ABFE287"/>
    <w:rsid w:val="4AC1F8CB"/>
    <w:rsid w:val="4AC3149B"/>
    <w:rsid w:val="4AC35706"/>
    <w:rsid w:val="4ACAE5D9"/>
    <w:rsid w:val="4ACDD14F"/>
    <w:rsid w:val="4AD0AB29"/>
    <w:rsid w:val="4AD36AE3"/>
    <w:rsid w:val="4AD51665"/>
    <w:rsid w:val="4AD72078"/>
    <w:rsid w:val="4AD7738A"/>
    <w:rsid w:val="4AD8224F"/>
    <w:rsid w:val="4AD84F13"/>
    <w:rsid w:val="4AD861AE"/>
    <w:rsid w:val="4AD8E05A"/>
    <w:rsid w:val="4AD8E315"/>
    <w:rsid w:val="4AD92F27"/>
    <w:rsid w:val="4ADD73E8"/>
    <w:rsid w:val="4ADDC9AD"/>
    <w:rsid w:val="4ADF638C"/>
    <w:rsid w:val="4AE14FCE"/>
    <w:rsid w:val="4AE36780"/>
    <w:rsid w:val="4AE37546"/>
    <w:rsid w:val="4AE41C5C"/>
    <w:rsid w:val="4AE69CFD"/>
    <w:rsid w:val="4AE6B5D6"/>
    <w:rsid w:val="4AE6C47E"/>
    <w:rsid w:val="4AE6CA1C"/>
    <w:rsid w:val="4AE8E5AF"/>
    <w:rsid w:val="4AE9F7C5"/>
    <w:rsid w:val="4AEA35EA"/>
    <w:rsid w:val="4AEAFF12"/>
    <w:rsid w:val="4AEB3D77"/>
    <w:rsid w:val="4AEB480F"/>
    <w:rsid w:val="4AEC48BC"/>
    <w:rsid w:val="4AECF105"/>
    <w:rsid w:val="4AEF931B"/>
    <w:rsid w:val="4AF00D82"/>
    <w:rsid w:val="4AF12772"/>
    <w:rsid w:val="4AF225BF"/>
    <w:rsid w:val="4AF3D3AB"/>
    <w:rsid w:val="4AF42C3F"/>
    <w:rsid w:val="4AF43F09"/>
    <w:rsid w:val="4AF5A78B"/>
    <w:rsid w:val="4AF89C0F"/>
    <w:rsid w:val="4AFA6819"/>
    <w:rsid w:val="4AFACF52"/>
    <w:rsid w:val="4AFE3D34"/>
    <w:rsid w:val="4AFE3E04"/>
    <w:rsid w:val="4AFFFBD0"/>
    <w:rsid w:val="4B009CA9"/>
    <w:rsid w:val="4B025384"/>
    <w:rsid w:val="4B025ED2"/>
    <w:rsid w:val="4B02FAFC"/>
    <w:rsid w:val="4B03F19E"/>
    <w:rsid w:val="4B0553A9"/>
    <w:rsid w:val="4B06AB16"/>
    <w:rsid w:val="4B08615B"/>
    <w:rsid w:val="4B0936B7"/>
    <w:rsid w:val="4B0AB701"/>
    <w:rsid w:val="4B0E1202"/>
    <w:rsid w:val="4B0E5D99"/>
    <w:rsid w:val="4B0F561F"/>
    <w:rsid w:val="4B1146E0"/>
    <w:rsid w:val="4B124267"/>
    <w:rsid w:val="4B133416"/>
    <w:rsid w:val="4B191B2F"/>
    <w:rsid w:val="4B1CA3B1"/>
    <w:rsid w:val="4B1CAF44"/>
    <w:rsid w:val="4B1D035B"/>
    <w:rsid w:val="4B1DF1AB"/>
    <w:rsid w:val="4B1EDA85"/>
    <w:rsid w:val="4B1EF352"/>
    <w:rsid w:val="4B20CC55"/>
    <w:rsid w:val="4B216DEE"/>
    <w:rsid w:val="4B231206"/>
    <w:rsid w:val="4B24D242"/>
    <w:rsid w:val="4B28802C"/>
    <w:rsid w:val="4B28CA17"/>
    <w:rsid w:val="4B29CE0E"/>
    <w:rsid w:val="4B2B9200"/>
    <w:rsid w:val="4B2C7761"/>
    <w:rsid w:val="4B2D0B20"/>
    <w:rsid w:val="4B3476F2"/>
    <w:rsid w:val="4B359AE0"/>
    <w:rsid w:val="4B35CB6E"/>
    <w:rsid w:val="4B364B38"/>
    <w:rsid w:val="4B36FC95"/>
    <w:rsid w:val="4B370C8D"/>
    <w:rsid w:val="4B3759E8"/>
    <w:rsid w:val="4B385825"/>
    <w:rsid w:val="4B392978"/>
    <w:rsid w:val="4B397E75"/>
    <w:rsid w:val="4B3E807D"/>
    <w:rsid w:val="4B3EAF73"/>
    <w:rsid w:val="4B3F5424"/>
    <w:rsid w:val="4B463640"/>
    <w:rsid w:val="4B46E5F4"/>
    <w:rsid w:val="4B470626"/>
    <w:rsid w:val="4B479832"/>
    <w:rsid w:val="4B49AAC1"/>
    <w:rsid w:val="4B4B2759"/>
    <w:rsid w:val="4B4D39E9"/>
    <w:rsid w:val="4B4D7CC8"/>
    <w:rsid w:val="4B4E021D"/>
    <w:rsid w:val="4B50C1A2"/>
    <w:rsid w:val="4B523FFE"/>
    <w:rsid w:val="4B542BAB"/>
    <w:rsid w:val="4B547F60"/>
    <w:rsid w:val="4B5549C0"/>
    <w:rsid w:val="4B575725"/>
    <w:rsid w:val="4B5766AB"/>
    <w:rsid w:val="4B57A584"/>
    <w:rsid w:val="4B58D595"/>
    <w:rsid w:val="4B5A0F1D"/>
    <w:rsid w:val="4B5A247C"/>
    <w:rsid w:val="4B5AA200"/>
    <w:rsid w:val="4B5AEF00"/>
    <w:rsid w:val="4B5C1D8E"/>
    <w:rsid w:val="4B5E143C"/>
    <w:rsid w:val="4B5F9035"/>
    <w:rsid w:val="4B5FF7C2"/>
    <w:rsid w:val="4B612D4F"/>
    <w:rsid w:val="4B616972"/>
    <w:rsid w:val="4B64350A"/>
    <w:rsid w:val="4B64794B"/>
    <w:rsid w:val="4B68435E"/>
    <w:rsid w:val="4B692337"/>
    <w:rsid w:val="4B69F7DE"/>
    <w:rsid w:val="4B6B6E82"/>
    <w:rsid w:val="4B6D5791"/>
    <w:rsid w:val="4B6D7493"/>
    <w:rsid w:val="4B6E82D4"/>
    <w:rsid w:val="4B6EE3E4"/>
    <w:rsid w:val="4B70D1DA"/>
    <w:rsid w:val="4B7147EF"/>
    <w:rsid w:val="4B72D8F2"/>
    <w:rsid w:val="4B741C35"/>
    <w:rsid w:val="4B78921A"/>
    <w:rsid w:val="4B794C56"/>
    <w:rsid w:val="4B7B8DEE"/>
    <w:rsid w:val="4B7E5680"/>
    <w:rsid w:val="4B801EBB"/>
    <w:rsid w:val="4B8249AF"/>
    <w:rsid w:val="4B82D40D"/>
    <w:rsid w:val="4B8659BC"/>
    <w:rsid w:val="4B87328E"/>
    <w:rsid w:val="4B8B8432"/>
    <w:rsid w:val="4B8C422C"/>
    <w:rsid w:val="4B8DB22C"/>
    <w:rsid w:val="4B8DC837"/>
    <w:rsid w:val="4B8FF3AE"/>
    <w:rsid w:val="4B92D202"/>
    <w:rsid w:val="4B93DEAA"/>
    <w:rsid w:val="4B94F6DD"/>
    <w:rsid w:val="4B95331C"/>
    <w:rsid w:val="4B955B26"/>
    <w:rsid w:val="4B963318"/>
    <w:rsid w:val="4B98221E"/>
    <w:rsid w:val="4B9B19BE"/>
    <w:rsid w:val="4B9E769E"/>
    <w:rsid w:val="4BA415B9"/>
    <w:rsid w:val="4BA5BACB"/>
    <w:rsid w:val="4BA655C6"/>
    <w:rsid w:val="4BA7D085"/>
    <w:rsid w:val="4BA8586C"/>
    <w:rsid w:val="4BA97529"/>
    <w:rsid w:val="4BAA7F01"/>
    <w:rsid w:val="4BB02D16"/>
    <w:rsid w:val="4BB0337E"/>
    <w:rsid w:val="4BB05A56"/>
    <w:rsid w:val="4BB3C4C5"/>
    <w:rsid w:val="4BB6250D"/>
    <w:rsid w:val="4BBA853F"/>
    <w:rsid w:val="4BBB05B0"/>
    <w:rsid w:val="4BBB3298"/>
    <w:rsid w:val="4BBB59B4"/>
    <w:rsid w:val="4BBBF881"/>
    <w:rsid w:val="4BBC0E12"/>
    <w:rsid w:val="4BBFF248"/>
    <w:rsid w:val="4BC55AB3"/>
    <w:rsid w:val="4BC7E583"/>
    <w:rsid w:val="4BC90DDD"/>
    <w:rsid w:val="4BC9863F"/>
    <w:rsid w:val="4BCC93B1"/>
    <w:rsid w:val="4BCCCFBE"/>
    <w:rsid w:val="4BCEF388"/>
    <w:rsid w:val="4BCF4AB3"/>
    <w:rsid w:val="4BCFBF2A"/>
    <w:rsid w:val="4BD05B93"/>
    <w:rsid w:val="4BD165AA"/>
    <w:rsid w:val="4BD37848"/>
    <w:rsid w:val="4BD43ABB"/>
    <w:rsid w:val="4BD57D35"/>
    <w:rsid w:val="4BD66947"/>
    <w:rsid w:val="4BD74EB7"/>
    <w:rsid w:val="4BD8BFBB"/>
    <w:rsid w:val="4BD96454"/>
    <w:rsid w:val="4BDA608C"/>
    <w:rsid w:val="4BDA9B35"/>
    <w:rsid w:val="4BDD457F"/>
    <w:rsid w:val="4BDF2761"/>
    <w:rsid w:val="4BDFB9CE"/>
    <w:rsid w:val="4BE01690"/>
    <w:rsid w:val="4BE101A9"/>
    <w:rsid w:val="4BE38DE4"/>
    <w:rsid w:val="4BE44B60"/>
    <w:rsid w:val="4BE5832D"/>
    <w:rsid w:val="4BE67018"/>
    <w:rsid w:val="4BE76C6A"/>
    <w:rsid w:val="4BE7A645"/>
    <w:rsid w:val="4BE7D028"/>
    <w:rsid w:val="4BE8567F"/>
    <w:rsid w:val="4BE969C0"/>
    <w:rsid w:val="4BE98020"/>
    <w:rsid w:val="4BE9C591"/>
    <w:rsid w:val="4BEA54A2"/>
    <w:rsid w:val="4BEA86A2"/>
    <w:rsid w:val="4BEB2745"/>
    <w:rsid w:val="4BEB47E5"/>
    <w:rsid w:val="4BEB5C36"/>
    <w:rsid w:val="4BF04ADB"/>
    <w:rsid w:val="4BF2206F"/>
    <w:rsid w:val="4BF514CC"/>
    <w:rsid w:val="4BF869B1"/>
    <w:rsid w:val="4BF88B96"/>
    <w:rsid w:val="4BF9BB34"/>
    <w:rsid w:val="4BFC65F9"/>
    <w:rsid w:val="4BFCBB05"/>
    <w:rsid w:val="4BFE8719"/>
    <w:rsid w:val="4BFF4E49"/>
    <w:rsid w:val="4BFF7E47"/>
    <w:rsid w:val="4C04F03B"/>
    <w:rsid w:val="4C057BCC"/>
    <w:rsid w:val="4C06A7DB"/>
    <w:rsid w:val="4C07D887"/>
    <w:rsid w:val="4C0831E2"/>
    <w:rsid w:val="4C0843A9"/>
    <w:rsid w:val="4C0CA164"/>
    <w:rsid w:val="4C0CDC72"/>
    <w:rsid w:val="4C0D3490"/>
    <w:rsid w:val="4C0DD036"/>
    <w:rsid w:val="4C0EC8AD"/>
    <w:rsid w:val="4C0F1AAB"/>
    <w:rsid w:val="4C0FE423"/>
    <w:rsid w:val="4C10A238"/>
    <w:rsid w:val="4C125D68"/>
    <w:rsid w:val="4C138738"/>
    <w:rsid w:val="4C13A961"/>
    <w:rsid w:val="4C14E7C4"/>
    <w:rsid w:val="4C164BAA"/>
    <w:rsid w:val="4C16B746"/>
    <w:rsid w:val="4C1720AC"/>
    <w:rsid w:val="4C19230A"/>
    <w:rsid w:val="4C1AC641"/>
    <w:rsid w:val="4C1BCEBC"/>
    <w:rsid w:val="4C1C7A8F"/>
    <w:rsid w:val="4C1CE01C"/>
    <w:rsid w:val="4C1E5B1F"/>
    <w:rsid w:val="4C1F8018"/>
    <w:rsid w:val="4C1FB24C"/>
    <w:rsid w:val="4C2326F1"/>
    <w:rsid w:val="4C23B2A9"/>
    <w:rsid w:val="4C240547"/>
    <w:rsid w:val="4C251547"/>
    <w:rsid w:val="4C26FE88"/>
    <w:rsid w:val="4C27B335"/>
    <w:rsid w:val="4C27F13B"/>
    <w:rsid w:val="4C28A8F3"/>
    <w:rsid w:val="4C28BE1E"/>
    <w:rsid w:val="4C28E06F"/>
    <w:rsid w:val="4C2914ED"/>
    <w:rsid w:val="4C2A78C7"/>
    <w:rsid w:val="4C2C18FA"/>
    <w:rsid w:val="4C2C2C2A"/>
    <w:rsid w:val="4C2CD1BE"/>
    <w:rsid w:val="4C2CF618"/>
    <w:rsid w:val="4C2D59E2"/>
    <w:rsid w:val="4C2DAC91"/>
    <w:rsid w:val="4C307B58"/>
    <w:rsid w:val="4C328F79"/>
    <w:rsid w:val="4C3754D5"/>
    <w:rsid w:val="4C390EF7"/>
    <w:rsid w:val="4C3B0CAC"/>
    <w:rsid w:val="4C3B67F0"/>
    <w:rsid w:val="4C3D62AA"/>
    <w:rsid w:val="4C3E3E41"/>
    <w:rsid w:val="4C3FC366"/>
    <w:rsid w:val="4C401795"/>
    <w:rsid w:val="4C403723"/>
    <w:rsid w:val="4C4081ED"/>
    <w:rsid w:val="4C44062A"/>
    <w:rsid w:val="4C443046"/>
    <w:rsid w:val="4C44EF85"/>
    <w:rsid w:val="4C4718BC"/>
    <w:rsid w:val="4C495AD6"/>
    <w:rsid w:val="4C4977A5"/>
    <w:rsid w:val="4C4A2995"/>
    <w:rsid w:val="4C4ABFA0"/>
    <w:rsid w:val="4C4AC14D"/>
    <w:rsid w:val="4C4E151D"/>
    <w:rsid w:val="4C4EDE09"/>
    <w:rsid w:val="4C4F9EAD"/>
    <w:rsid w:val="4C516202"/>
    <w:rsid w:val="4C51AC25"/>
    <w:rsid w:val="4C5457B5"/>
    <w:rsid w:val="4C54FB69"/>
    <w:rsid w:val="4C57232A"/>
    <w:rsid w:val="4C595215"/>
    <w:rsid w:val="4C5A8C4E"/>
    <w:rsid w:val="4C5BD36E"/>
    <w:rsid w:val="4C5D46E8"/>
    <w:rsid w:val="4C5D5CC7"/>
    <w:rsid w:val="4C5E52C4"/>
    <w:rsid w:val="4C5F7C87"/>
    <w:rsid w:val="4C61CF51"/>
    <w:rsid w:val="4C61D4B0"/>
    <w:rsid w:val="4C63EAED"/>
    <w:rsid w:val="4C66C13E"/>
    <w:rsid w:val="4C6A0535"/>
    <w:rsid w:val="4C6FE114"/>
    <w:rsid w:val="4C719D7C"/>
    <w:rsid w:val="4C73E1CD"/>
    <w:rsid w:val="4C7539C8"/>
    <w:rsid w:val="4C758753"/>
    <w:rsid w:val="4C7909DC"/>
    <w:rsid w:val="4C7A42E1"/>
    <w:rsid w:val="4C7ADB65"/>
    <w:rsid w:val="4C7BE1A3"/>
    <w:rsid w:val="4C7C3897"/>
    <w:rsid w:val="4C7D831E"/>
    <w:rsid w:val="4C81D79F"/>
    <w:rsid w:val="4C85F64C"/>
    <w:rsid w:val="4C864C21"/>
    <w:rsid w:val="4C867745"/>
    <w:rsid w:val="4C884A20"/>
    <w:rsid w:val="4C8946B5"/>
    <w:rsid w:val="4C8A9AE9"/>
    <w:rsid w:val="4C8BC16B"/>
    <w:rsid w:val="4C8C1206"/>
    <w:rsid w:val="4C8DEBA0"/>
    <w:rsid w:val="4C8E21B2"/>
    <w:rsid w:val="4C8E4A38"/>
    <w:rsid w:val="4C8EFC65"/>
    <w:rsid w:val="4C8EFD32"/>
    <w:rsid w:val="4C8F3934"/>
    <w:rsid w:val="4C933DFB"/>
    <w:rsid w:val="4C946C70"/>
    <w:rsid w:val="4C948A58"/>
    <w:rsid w:val="4C96575C"/>
    <w:rsid w:val="4C9A4C1D"/>
    <w:rsid w:val="4C9A640E"/>
    <w:rsid w:val="4C9A72A3"/>
    <w:rsid w:val="4C9C1015"/>
    <w:rsid w:val="4C9DF59B"/>
    <w:rsid w:val="4C9E44E2"/>
    <w:rsid w:val="4CA05B9B"/>
    <w:rsid w:val="4CA2CA3E"/>
    <w:rsid w:val="4CA3030C"/>
    <w:rsid w:val="4CA45202"/>
    <w:rsid w:val="4CA4F784"/>
    <w:rsid w:val="4CA5428F"/>
    <w:rsid w:val="4CA58C6F"/>
    <w:rsid w:val="4CA68AE7"/>
    <w:rsid w:val="4CA6F483"/>
    <w:rsid w:val="4CA79965"/>
    <w:rsid w:val="4CA7FD10"/>
    <w:rsid w:val="4CA82258"/>
    <w:rsid w:val="4CA94709"/>
    <w:rsid w:val="4CA9B3C3"/>
    <w:rsid w:val="4CAA2AF4"/>
    <w:rsid w:val="4CAA4402"/>
    <w:rsid w:val="4CB18292"/>
    <w:rsid w:val="4CB30246"/>
    <w:rsid w:val="4CB37C2E"/>
    <w:rsid w:val="4CB40BBC"/>
    <w:rsid w:val="4CB40E9A"/>
    <w:rsid w:val="4CB60F5A"/>
    <w:rsid w:val="4CB66537"/>
    <w:rsid w:val="4CB6BAE0"/>
    <w:rsid w:val="4CB72031"/>
    <w:rsid w:val="4CB84951"/>
    <w:rsid w:val="4CB9137E"/>
    <w:rsid w:val="4CB9E317"/>
    <w:rsid w:val="4CBA63FA"/>
    <w:rsid w:val="4CBAD42A"/>
    <w:rsid w:val="4CBC17B5"/>
    <w:rsid w:val="4CBFB473"/>
    <w:rsid w:val="4CBFDF4D"/>
    <w:rsid w:val="4CC01F65"/>
    <w:rsid w:val="4CC2FA5E"/>
    <w:rsid w:val="4CC4AC6C"/>
    <w:rsid w:val="4CC85969"/>
    <w:rsid w:val="4CC9D165"/>
    <w:rsid w:val="4CCB02C1"/>
    <w:rsid w:val="4CCB918A"/>
    <w:rsid w:val="4CCE35B5"/>
    <w:rsid w:val="4CD08B42"/>
    <w:rsid w:val="4CD0D048"/>
    <w:rsid w:val="4CD24C92"/>
    <w:rsid w:val="4CD61BC3"/>
    <w:rsid w:val="4CD82BAF"/>
    <w:rsid w:val="4CD83477"/>
    <w:rsid w:val="4CDA7269"/>
    <w:rsid w:val="4CDB3AF0"/>
    <w:rsid w:val="4CDC07C4"/>
    <w:rsid w:val="4CDE02AA"/>
    <w:rsid w:val="4CE07F1A"/>
    <w:rsid w:val="4CE152E4"/>
    <w:rsid w:val="4CE35EEF"/>
    <w:rsid w:val="4CE629EB"/>
    <w:rsid w:val="4CE86571"/>
    <w:rsid w:val="4CEA759C"/>
    <w:rsid w:val="4CEC0C44"/>
    <w:rsid w:val="4CEDC0DB"/>
    <w:rsid w:val="4CF0E0D5"/>
    <w:rsid w:val="4CF18A6C"/>
    <w:rsid w:val="4CF2B403"/>
    <w:rsid w:val="4CF48724"/>
    <w:rsid w:val="4CF6EC86"/>
    <w:rsid w:val="4CFB3005"/>
    <w:rsid w:val="4CFC9430"/>
    <w:rsid w:val="4CFE54CC"/>
    <w:rsid w:val="4CFFF4E5"/>
    <w:rsid w:val="4D001C6A"/>
    <w:rsid w:val="4D00B250"/>
    <w:rsid w:val="4D0219B8"/>
    <w:rsid w:val="4D030FF0"/>
    <w:rsid w:val="4D04CD60"/>
    <w:rsid w:val="4D0889D4"/>
    <w:rsid w:val="4D096A2A"/>
    <w:rsid w:val="4D0AB445"/>
    <w:rsid w:val="4D0B72FB"/>
    <w:rsid w:val="4D0C83ED"/>
    <w:rsid w:val="4D102FED"/>
    <w:rsid w:val="4D128D75"/>
    <w:rsid w:val="4D1514DB"/>
    <w:rsid w:val="4D1819AB"/>
    <w:rsid w:val="4D18FF7B"/>
    <w:rsid w:val="4D1A5FD1"/>
    <w:rsid w:val="4D1B8F1A"/>
    <w:rsid w:val="4D1C93FC"/>
    <w:rsid w:val="4D1CD960"/>
    <w:rsid w:val="4D1CEDAE"/>
    <w:rsid w:val="4D1EF491"/>
    <w:rsid w:val="4D201FBB"/>
    <w:rsid w:val="4D22FC3D"/>
    <w:rsid w:val="4D24DC7B"/>
    <w:rsid w:val="4D253D68"/>
    <w:rsid w:val="4D2930D8"/>
    <w:rsid w:val="4D294910"/>
    <w:rsid w:val="4D29CAAE"/>
    <w:rsid w:val="4D2BEC50"/>
    <w:rsid w:val="4D2CA2C8"/>
    <w:rsid w:val="4D2F9064"/>
    <w:rsid w:val="4D32350D"/>
    <w:rsid w:val="4D327FA8"/>
    <w:rsid w:val="4D34B070"/>
    <w:rsid w:val="4D392B62"/>
    <w:rsid w:val="4D3ADCA2"/>
    <w:rsid w:val="4D3B5022"/>
    <w:rsid w:val="4D3BF403"/>
    <w:rsid w:val="4D3C364A"/>
    <w:rsid w:val="4D3D1639"/>
    <w:rsid w:val="4D3DDB44"/>
    <w:rsid w:val="4D4135AC"/>
    <w:rsid w:val="4D41CFB6"/>
    <w:rsid w:val="4D4260C0"/>
    <w:rsid w:val="4D440853"/>
    <w:rsid w:val="4D444460"/>
    <w:rsid w:val="4D488414"/>
    <w:rsid w:val="4D49402F"/>
    <w:rsid w:val="4D494A43"/>
    <w:rsid w:val="4D4B98EE"/>
    <w:rsid w:val="4D513CC5"/>
    <w:rsid w:val="4D5817DE"/>
    <w:rsid w:val="4D581BDC"/>
    <w:rsid w:val="4D5B5FE5"/>
    <w:rsid w:val="4D5C44F2"/>
    <w:rsid w:val="4D5D334C"/>
    <w:rsid w:val="4D5D8F7F"/>
    <w:rsid w:val="4D5F7AAD"/>
    <w:rsid w:val="4D606D0E"/>
    <w:rsid w:val="4D6213EF"/>
    <w:rsid w:val="4D635A6D"/>
    <w:rsid w:val="4D669F2D"/>
    <w:rsid w:val="4D688E5B"/>
    <w:rsid w:val="4D6908E6"/>
    <w:rsid w:val="4D69E381"/>
    <w:rsid w:val="4D6AEF3F"/>
    <w:rsid w:val="4D6FF06A"/>
    <w:rsid w:val="4D7127B0"/>
    <w:rsid w:val="4D72F8BD"/>
    <w:rsid w:val="4D733599"/>
    <w:rsid w:val="4D738180"/>
    <w:rsid w:val="4D76B68B"/>
    <w:rsid w:val="4D791ABC"/>
    <w:rsid w:val="4D794A46"/>
    <w:rsid w:val="4D79B7AC"/>
    <w:rsid w:val="4D7BDA69"/>
    <w:rsid w:val="4D7CCC5A"/>
    <w:rsid w:val="4D7E5F84"/>
    <w:rsid w:val="4D820845"/>
    <w:rsid w:val="4D86274C"/>
    <w:rsid w:val="4D864E56"/>
    <w:rsid w:val="4D8728C6"/>
    <w:rsid w:val="4D88FBAB"/>
    <w:rsid w:val="4D8AF780"/>
    <w:rsid w:val="4D8AF7C0"/>
    <w:rsid w:val="4D8AFDEA"/>
    <w:rsid w:val="4D90E5B5"/>
    <w:rsid w:val="4D91F1A4"/>
    <w:rsid w:val="4D9213BE"/>
    <w:rsid w:val="4D9355F9"/>
    <w:rsid w:val="4D93A407"/>
    <w:rsid w:val="4D946CCA"/>
    <w:rsid w:val="4D974E97"/>
    <w:rsid w:val="4D976772"/>
    <w:rsid w:val="4D98075C"/>
    <w:rsid w:val="4D9965D7"/>
    <w:rsid w:val="4D9AC528"/>
    <w:rsid w:val="4D9AD255"/>
    <w:rsid w:val="4D9C425F"/>
    <w:rsid w:val="4DA1E582"/>
    <w:rsid w:val="4DA483F2"/>
    <w:rsid w:val="4DA48986"/>
    <w:rsid w:val="4DA55E26"/>
    <w:rsid w:val="4DA63E37"/>
    <w:rsid w:val="4DA82014"/>
    <w:rsid w:val="4DAD5755"/>
    <w:rsid w:val="4DADA562"/>
    <w:rsid w:val="4DADC7DC"/>
    <w:rsid w:val="4DB10B70"/>
    <w:rsid w:val="4DB2DFEE"/>
    <w:rsid w:val="4DB3C961"/>
    <w:rsid w:val="4DB6841C"/>
    <w:rsid w:val="4DB9BF70"/>
    <w:rsid w:val="4DBA6046"/>
    <w:rsid w:val="4DBC5535"/>
    <w:rsid w:val="4DBC6AFD"/>
    <w:rsid w:val="4DC0E93F"/>
    <w:rsid w:val="4DC2FBC5"/>
    <w:rsid w:val="4DC5B698"/>
    <w:rsid w:val="4DC6C0A6"/>
    <w:rsid w:val="4DC8893C"/>
    <w:rsid w:val="4DC89876"/>
    <w:rsid w:val="4DCB7EEB"/>
    <w:rsid w:val="4DCC8593"/>
    <w:rsid w:val="4DCD41D3"/>
    <w:rsid w:val="4DCEBC7E"/>
    <w:rsid w:val="4DD04759"/>
    <w:rsid w:val="4DD2A0C0"/>
    <w:rsid w:val="4DD37303"/>
    <w:rsid w:val="4DD430C3"/>
    <w:rsid w:val="4DD44021"/>
    <w:rsid w:val="4DD4637B"/>
    <w:rsid w:val="4DD6B10C"/>
    <w:rsid w:val="4DD6C45E"/>
    <w:rsid w:val="4DD796AF"/>
    <w:rsid w:val="4DD7FDAB"/>
    <w:rsid w:val="4DD8E172"/>
    <w:rsid w:val="4DDB3834"/>
    <w:rsid w:val="4DDB55BC"/>
    <w:rsid w:val="4DDCB4EC"/>
    <w:rsid w:val="4DDE979D"/>
    <w:rsid w:val="4DE2D8F6"/>
    <w:rsid w:val="4DE39C56"/>
    <w:rsid w:val="4DE4D52F"/>
    <w:rsid w:val="4DE51EBB"/>
    <w:rsid w:val="4DE6A282"/>
    <w:rsid w:val="4DE6CBC1"/>
    <w:rsid w:val="4DE88AE3"/>
    <w:rsid w:val="4DEF5599"/>
    <w:rsid w:val="4DF16948"/>
    <w:rsid w:val="4DF1ACF8"/>
    <w:rsid w:val="4DF1C371"/>
    <w:rsid w:val="4DF33CD7"/>
    <w:rsid w:val="4DF68FAB"/>
    <w:rsid w:val="4DF80A5C"/>
    <w:rsid w:val="4DFD6A00"/>
    <w:rsid w:val="4DFE7D1A"/>
    <w:rsid w:val="4E007D0C"/>
    <w:rsid w:val="4E015E75"/>
    <w:rsid w:val="4E01895B"/>
    <w:rsid w:val="4E06431D"/>
    <w:rsid w:val="4E08C2A2"/>
    <w:rsid w:val="4E0D6DDD"/>
    <w:rsid w:val="4E0EAADC"/>
    <w:rsid w:val="4E0FB20F"/>
    <w:rsid w:val="4E1442AD"/>
    <w:rsid w:val="4E1516A4"/>
    <w:rsid w:val="4E1879BF"/>
    <w:rsid w:val="4E192A86"/>
    <w:rsid w:val="4E192F21"/>
    <w:rsid w:val="4E1F2353"/>
    <w:rsid w:val="4E230940"/>
    <w:rsid w:val="4E247270"/>
    <w:rsid w:val="4E253086"/>
    <w:rsid w:val="4E258957"/>
    <w:rsid w:val="4E26F2CC"/>
    <w:rsid w:val="4E273D17"/>
    <w:rsid w:val="4E27DA80"/>
    <w:rsid w:val="4E282262"/>
    <w:rsid w:val="4E2880E4"/>
    <w:rsid w:val="4E28B7EC"/>
    <w:rsid w:val="4E2920AA"/>
    <w:rsid w:val="4E2E3B5B"/>
    <w:rsid w:val="4E2FFD02"/>
    <w:rsid w:val="4E30DBB7"/>
    <w:rsid w:val="4E31F00B"/>
    <w:rsid w:val="4E34BD2F"/>
    <w:rsid w:val="4E35E149"/>
    <w:rsid w:val="4E365965"/>
    <w:rsid w:val="4E36B9FE"/>
    <w:rsid w:val="4E3859AC"/>
    <w:rsid w:val="4E3FACDD"/>
    <w:rsid w:val="4E41E49F"/>
    <w:rsid w:val="4E428F17"/>
    <w:rsid w:val="4E467A6E"/>
    <w:rsid w:val="4E46AA13"/>
    <w:rsid w:val="4E479C2E"/>
    <w:rsid w:val="4E47E68D"/>
    <w:rsid w:val="4E489FE4"/>
    <w:rsid w:val="4E4983BC"/>
    <w:rsid w:val="4E4BA328"/>
    <w:rsid w:val="4E4C92E6"/>
    <w:rsid w:val="4E4CF978"/>
    <w:rsid w:val="4E4E2153"/>
    <w:rsid w:val="4E4E29C2"/>
    <w:rsid w:val="4E4E52E4"/>
    <w:rsid w:val="4E4EDB0B"/>
    <w:rsid w:val="4E4F1055"/>
    <w:rsid w:val="4E4FEE10"/>
    <w:rsid w:val="4E50174F"/>
    <w:rsid w:val="4E50A42C"/>
    <w:rsid w:val="4E5214A2"/>
    <w:rsid w:val="4E52D9D3"/>
    <w:rsid w:val="4E5A00BE"/>
    <w:rsid w:val="4E5D026F"/>
    <w:rsid w:val="4E5D2F09"/>
    <w:rsid w:val="4E5DA5D1"/>
    <w:rsid w:val="4E5DF0E7"/>
    <w:rsid w:val="4E5FC9A5"/>
    <w:rsid w:val="4E5FFCDA"/>
    <w:rsid w:val="4E61C1AA"/>
    <w:rsid w:val="4E6219EB"/>
    <w:rsid w:val="4E62AE8C"/>
    <w:rsid w:val="4E62CE83"/>
    <w:rsid w:val="4E640C57"/>
    <w:rsid w:val="4E64C363"/>
    <w:rsid w:val="4E693CD4"/>
    <w:rsid w:val="4E69D2E0"/>
    <w:rsid w:val="4E6AD082"/>
    <w:rsid w:val="4E6BC269"/>
    <w:rsid w:val="4E6BE8C5"/>
    <w:rsid w:val="4E6EEDB6"/>
    <w:rsid w:val="4E6F2213"/>
    <w:rsid w:val="4E7116EB"/>
    <w:rsid w:val="4E71CEA2"/>
    <w:rsid w:val="4E7222A1"/>
    <w:rsid w:val="4E7466C5"/>
    <w:rsid w:val="4E7642CA"/>
    <w:rsid w:val="4E7830A9"/>
    <w:rsid w:val="4E79FA17"/>
    <w:rsid w:val="4E809BBE"/>
    <w:rsid w:val="4E8144BD"/>
    <w:rsid w:val="4E816755"/>
    <w:rsid w:val="4E81CF93"/>
    <w:rsid w:val="4E82FD77"/>
    <w:rsid w:val="4E845786"/>
    <w:rsid w:val="4E848E7E"/>
    <w:rsid w:val="4E86CC29"/>
    <w:rsid w:val="4E86E389"/>
    <w:rsid w:val="4E8BF505"/>
    <w:rsid w:val="4E8BFB53"/>
    <w:rsid w:val="4E8ECBBF"/>
    <w:rsid w:val="4E908E6F"/>
    <w:rsid w:val="4E96CD12"/>
    <w:rsid w:val="4E975CC5"/>
    <w:rsid w:val="4E97842F"/>
    <w:rsid w:val="4E9891BD"/>
    <w:rsid w:val="4E999156"/>
    <w:rsid w:val="4E9C7C36"/>
    <w:rsid w:val="4E9E1D60"/>
    <w:rsid w:val="4E9F03B3"/>
    <w:rsid w:val="4E9FA81D"/>
    <w:rsid w:val="4EA031D0"/>
    <w:rsid w:val="4EA12A5F"/>
    <w:rsid w:val="4EA1910A"/>
    <w:rsid w:val="4EA3C253"/>
    <w:rsid w:val="4EA4DABA"/>
    <w:rsid w:val="4EA5819C"/>
    <w:rsid w:val="4EA72F98"/>
    <w:rsid w:val="4EA7435C"/>
    <w:rsid w:val="4EA89BF5"/>
    <w:rsid w:val="4EA928FA"/>
    <w:rsid w:val="4EA989CA"/>
    <w:rsid w:val="4EAA49C2"/>
    <w:rsid w:val="4EAB1966"/>
    <w:rsid w:val="4EAC00FD"/>
    <w:rsid w:val="4EAD5AF9"/>
    <w:rsid w:val="4EAE3206"/>
    <w:rsid w:val="4EAF9301"/>
    <w:rsid w:val="4EB0285B"/>
    <w:rsid w:val="4EB15615"/>
    <w:rsid w:val="4EB27477"/>
    <w:rsid w:val="4EB27608"/>
    <w:rsid w:val="4EB37408"/>
    <w:rsid w:val="4EB4D78D"/>
    <w:rsid w:val="4EB76D0E"/>
    <w:rsid w:val="4EB7BF7D"/>
    <w:rsid w:val="4EB7E4DF"/>
    <w:rsid w:val="4EB851C3"/>
    <w:rsid w:val="4EB9C50D"/>
    <w:rsid w:val="4EBA0E56"/>
    <w:rsid w:val="4EBA45C0"/>
    <w:rsid w:val="4EBA8780"/>
    <w:rsid w:val="4EBE0317"/>
    <w:rsid w:val="4EBE11E2"/>
    <w:rsid w:val="4EC52FED"/>
    <w:rsid w:val="4EC9E30D"/>
    <w:rsid w:val="4ECA2F1E"/>
    <w:rsid w:val="4ECAC581"/>
    <w:rsid w:val="4ECD2848"/>
    <w:rsid w:val="4ECFBB43"/>
    <w:rsid w:val="4ED25B26"/>
    <w:rsid w:val="4ED3E1CF"/>
    <w:rsid w:val="4ED4A6E9"/>
    <w:rsid w:val="4ED4BE6A"/>
    <w:rsid w:val="4ED680E2"/>
    <w:rsid w:val="4ED6B9A2"/>
    <w:rsid w:val="4EDB52C0"/>
    <w:rsid w:val="4EDE3178"/>
    <w:rsid w:val="4EDE9DAA"/>
    <w:rsid w:val="4EE59A1F"/>
    <w:rsid w:val="4EE623BF"/>
    <w:rsid w:val="4EE80DFB"/>
    <w:rsid w:val="4EECF929"/>
    <w:rsid w:val="4EEEC667"/>
    <w:rsid w:val="4EF01C6E"/>
    <w:rsid w:val="4EF0C41A"/>
    <w:rsid w:val="4EF14A63"/>
    <w:rsid w:val="4EF323E5"/>
    <w:rsid w:val="4EF5B650"/>
    <w:rsid w:val="4EF92899"/>
    <w:rsid w:val="4EF9CBC7"/>
    <w:rsid w:val="4EF9ECF3"/>
    <w:rsid w:val="4EFB12DD"/>
    <w:rsid w:val="4EFDA357"/>
    <w:rsid w:val="4EFE61DA"/>
    <w:rsid w:val="4EFE6203"/>
    <w:rsid w:val="4EFEC967"/>
    <w:rsid w:val="4EFFFA9E"/>
    <w:rsid w:val="4F0147ED"/>
    <w:rsid w:val="4F01B7B7"/>
    <w:rsid w:val="4F02C8F4"/>
    <w:rsid w:val="4F05CFA3"/>
    <w:rsid w:val="4F08E87F"/>
    <w:rsid w:val="4F095B74"/>
    <w:rsid w:val="4F09C0D6"/>
    <w:rsid w:val="4F0E0478"/>
    <w:rsid w:val="4F0EC91E"/>
    <w:rsid w:val="4F10F836"/>
    <w:rsid w:val="4F111E98"/>
    <w:rsid w:val="4F139F7C"/>
    <w:rsid w:val="4F162809"/>
    <w:rsid w:val="4F16C205"/>
    <w:rsid w:val="4F177528"/>
    <w:rsid w:val="4F1B1A50"/>
    <w:rsid w:val="4F1CE993"/>
    <w:rsid w:val="4F1D86C9"/>
    <w:rsid w:val="4F203763"/>
    <w:rsid w:val="4F215084"/>
    <w:rsid w:val="4F23FAE4"/>
    <w:rsid w:val="4F256F6E"/>
    <w:rsid w:val="4F266846"/>
    <w:rsid w:val="4F27EB9D"/>
    <w:rsid w:val="4F296E51"/>
    <w:rsid w:val="4F2AC044"/>
    <w:rsid w:val="4F2BB97E"/>
    <w:rsid w:val="4F2BBE3A"/>
    <w:rsid w:val="4F2D40A0"/>
    <w:rsid w:val="4F3203DD"/>
    <w:rsid w:val="4F377895"/>
    <w:rsid w:val="4F37819E"/>
    <w:rsid w:val="4F378A1D"/>
    <w:rsid w:val="4F384DE0"/>
    <w:rsid w:val="4F38DC6F"/>
    <w:rsid w:val="4F3C5E95"/>
    <w:rsid w:val="4F3EEAFC"/>
    <w:rsid w:val="4F401F17"/>
    <w:rsid w:val="4F41E33D"/>
    <w:rsid w:val="4F42DF13"/>
    <w:rsid w:val="4F450B8D"/>
    <w:rsid w:val="4F45A6E5"/>
    <w:rsid w:val="4F47018B"/>
    <w:rsid w:val="4F4A9FF1"/>
    <w:rsid w:val="4F4AC8D6"/>
    <w:rsid w:val="4F4C0FB0"/>
    <w:rsid w:val="4F530904"/>
    <w:rsid w:val="4F55792C"/>
    <w:rsid w:val="4F56DB3E"/>
    <w:rsid w:val="4F570EC1"/>
    <w:rsid w:val="4F575FA2"/>
    <w:rsid w:val="4F57C754"/>
    <w:rsid w:val="4F5A6BF9"/>
    <w:rsid w:val="4F5C12E2"/>
    <w:rsid w:val="4F5C7541"/>
    <w:rsid w:val="4F5EF4E0"/>
    <w:rsid w:val="4F5F130C"/>
    <w:rsid w:val="4F5F3930"/>
    <w:rsid w:val="4F60B1E2"/>
    <w:rsid w:val="4F60DD4C"/>
    <w:rsid w:val="4F63670D"/>
    <w:rsid w:val="4F63D914"/>
    <w:rsid w:val="4F643080"/>
    <w:rsid w:val="4F674BB0"/>
    <w:rsid w:val="4F674BCC"/>
    <w:rsid w:val="4F67A375"/>
    <w:rsid w:val="4F68E4BB"/>
    <w:rsid w:val="4F691380"/>
    <w:rsid w:val="4F6A5690"/>
    <w:rsid w:val="4F6AF00D"/>
    <w:rsid w:val="4F6C0D38"/>
    <w:rsid w:val="4F6C4952"/>
    <w:rsid w:val="4F6C4FB7"/>
    <w:rsid w:val="4F6C7E1C"/>
    <w:rsid w:val="4F6D6D7E"/>
    <w:rsid w:val="4F6DD245"/>
    <w:rsid w:val="4F6DEEE1"/>
    <w:rsid w:val="4F705217"/>
    <w:rsid w:val="4F707901"/>
    <w:rsid w:val="4F7195E4"/>
    <w:rsid w:val="4F72C7AC"/>
    <w:rsid w:val="4F74B0EA"/>
    <w:rsid w:val="4F77A8D5"/>
    <w:rsid w:val="4F79D155"/>
    <w:rsid w:val="4F7A6469"/>
    <w:rsid w:val="4F7DA0CF"/>
    <w:rsid w:val="4F7F9BB5"/>
    <w:rsid w:val="4F80874C"/>
    <w:rsid w:val="4F809B1C"/>
    <w:rsid w:val="4F80C22F"/>
    <w:rsid w:val="4F815F5F"/>
    <w:rsid w:val="4F836234"/>
    <w:rsid w:val="4F83A298"/>
    <w:rsid w:val="4F84C42C"/>
    <w:rsid w:val="4F87FFBC"/>
    <w:rsid w:val="4F88A3F8"/>
    <w:rsid w:val="4F8A809A"/>
    <w:rsid w:val="4F8BE0F3"/>
    <w:rsid w:val="4F8D194A"/>
    <w:rsid w:val="4F8EFE6B"/>
    <w:rsid w:val="4F8F6607"/>
    <w:rsid w:val="4F9112B3"/>
    <w:rsid w:val="4F9188F5"/>
    <w:rsid w:val="4F91C1CA"/>
    <w:rsid w:val="4F92B5C8"/>
    <w:rsid w:val="4F9324DE"/>
    <w:rsid w:val="4F97C251"/>
    <w:rsid w:val="4F9B876C"/>
    <w:rsid w:val="4F9CCA6F"/>
    <w:rsid w:val="4F9DE1C9"/>
    <w:rsid w:val="4F9E25CD"/>
    <w:rsid w:val="4FA299AE"/>
    <w:rsid w:val="4FA3D596"/>
    <w:rsid w:val="4FA492AD"/>
    <w:rsid w:val="4FA4EC2C"/>
    <w:rsid w:val="4FA57FBC"/>
    <w:rsid w:val="4FA6F3FE"/>
    <w:rsid w:val="4FA8164E"/>
    <w:rsid w:val="4FA925E1"/>
    <w:rsid w:val="4FAAE1FF"/>
    <w:rsid w:val="4FAB5F4A"/>
    <w:rsid w:val="4FAB7038"/>
    <w:rsid w:val="4FAB9372"/>
    <w:rsid w:val="4FAC286F"/>
    <w:rsid w:val="4FAD5128"/>
    <w:rsid w:val="4FAEBB30"/>
    <w:rsid w:val="4FAF13C6"/>
    <w:rsid w:val="4FB0D7C5"/>
    <w:rsid w:val="4FB15078"/>
    <w:rsid w:val="4FB17099"/>
    <w:rsid w:val="4FB1B845"/>
    <w:rsid w:val="4FB2FD34"/>
    <w:rsid w:val="4FB33A9D"/>
    <w:rsid w:val="4FB6F98E"/>
    <w:rsid w:val="4FB8489A"/>
    <w:rsid w:val="4FB88251"/>
    <w:rsid w:val="4FBA4AF2"/>
    <w:rsid w:val="4FBC0E54"/>
    <w:rsid w:val="4FBE7240"/>
    <w:rsid w:val="4FBEBE90"/>
    <w:rsid w:val="4FC36742"/>
    <w:rsid w:val="4FC7421B"/>
    <w:rsid w:val="4FC8B776"/>
    <w:rsid w:val="4FC8DC75"/>
    <w:rsid w:val="4FCA0CD7"/>
    <w:rsid w:val="4FCB6355"/>
    <w:rsid w:val="4FCBF6DD"/>
    <w:rsid w:val="4FCC7AED"/>
    <w:rsid w:val="4FCC7EE5"/>
    <w:rsid w:val="4FCDE845"/>
    <w:rsid w:val="4FCF52DE"/>
    <w:rsid w:val="4FD1C6B1"/>
    <w:rsid w:val="4FD3F871"/>
    <w:rsid w:val="4FD48074"/>
    <w:rsid w:val="4FD55D88"/>
    <w:rsid w:val="4FD6E69F"/>
    <w:rsid w:val="4FD7AED4"/>
    <w:rsid w:val="4FD87D6A"/>
    <w:rsid w:val="4FD9A30A"/>
    <w:rsid w:val="4FDB9881"/>
    <w:rsid w:val="4FDCB2B2"/>
    <w:rsid w:val="4FDCE157"/>
    <w:rsid w:val="4FDEA038"/>
    <w:rsid w:val="4FDFD8C8"/>
    <w:rsid w:val="4FDFEDBF"/>
    <w:rsid w:val="4FE0F7AB"/>
    <w:rsid w:val="4FE12353"/>
    <w:rsid w:val="4FE2A16A"/>
    <w:rsid w:val="4FE55DE0"/>
    <w:rsid w:val="4FE70C7A"/>
    <w:rsid w:val="4FEA2CC2"/>
    <w:rsid w:val="4FEB5EAC"/>
    <w:rsid w:val="4FEBDBD4"/>
    <w:rsid w:val="4FF2CF1B"/>
    <w:rsid w:val="4FF47908"/>
    <w:rsid w:val="4FF47DBE"/>
    <w:rsid w:val="4FF7877D"/>
    <w:rsid w:val="4FFA4FC4"/>
    <w:rsid w:val="4FFB26A4"/>
    <w:rsid w:val="500231C2"/>
    <w:rsid w:val="5002426E"/>
    <w:rsid w:val="5002B6E9"/>
    <w:rsid w:val="500358CF"/>
    <w:rsid w:val="50066D76"/>
    <w:rsid w:val="5006904E"/>
    <w:rsid w:val="5007B926"/>
    <w:rsid w:val="500946DF"/>
    <w:rsid w:val="500A24DA"/>
    <w:rsid w:val="500C927A"/>
    <w:rsid w:val="500E01D2"/>
    <w:rsid w:val="500F62EA"/>
    <w:rsid w:val="50145E74"/>
    <w:rsid w:val="50148B39"/>
    <w:rsid w:val="501779F8"/>
    <w:rsid w:val="501A2698"/>
    <w:rsid w:val="501B4287"/>
    <w:rsid w:val="501F4C9A"/>
    <w:rsid w:val="502046BA"/>
    <w:rsid w:val="5020BE45"/>
    <w:rsid w:val="5021F7EA"/>
    <w:rsid w:val="5022597F"/>
    <w:rsid w:val="5023081A"/>
    <w:rsid w:val="502537D5"/>
    <w:rsid w:val="50267455"/>
    <w:rsid w:val="5026C7A7"/>
    <w:rsid w:val="5026DEEF"/>
    <w:rsid w:val="5027EA1F"/>
    <w:rsid w:val="50289437"/>
    <w:rsid w:val="502E93E2"/>
    <w:rsid w:val="5032FF89"/>
    <w:rsid w:val="5034682C"/>
    <w:rsid w:val="503A2325"/>
    <w:rsid w:val="503B2BE2"/>
    <w:rsid w:val="503DC498"/>
    <w:rsid w:val="50400574"/>
    <w:rsid w:val="504313BD"/>
    <w:rsid w:val="50442AC0"/>
    <w:rsid w:val="504545B6"/>
    <w:rsid w:val="5045C809"/>
    <w:rsid w:val="5047E6BC"/>
    <w:rsid w:val="504B3402"/>
    <w:rsid w:val="504BF537"/>
    <w:rsid w:val="504EA502"/>
    <w:rsid w:val="504F73E5"/>
    <w:rsid w:val="505003DC"/>
    <w:rsid w:val="5051F9BF"/>
    <w:rsid w:val="5052E85D"/>
    <w:rsid w:val="50530343"/>
    <w:rsid w:val="505415E7"/>
    <w:rsid w:val="505476CD"/>
    <w:rsid w:val="5054AF90"/>
    <w:rsid w:val="50553B67"/>
    <w:rsid w:val="5055C1E8"/>
    <w:rsid w:val="5055C2D6"/>
    <w:rsid w:val="5055E5D8"/>
    <w:rsid w:val="5057E12C"/>
    <w:rsid w:val="5058C1B3"/>
    <w:rsid w:val="505900B8"/>
    <w:rsid w:val="505B86C2"/>
    <w:rsid w:val="505BB3CC"/>
    <w:rsid w:val="505CB893"/>
    <w:rsid w:val="505CBE8C"/>
    <w:rsid w:val="505E6352"/>
    <w:rsid w:val="505E74A2"/>
    <w:rsid w:val="505EB40E"/>
    <w:rsid w:val="505EBA56"/>
    <w:rsid w:val="505FEB6C"/>
    <w:rsid w:val="50623C16"/>
    <w:rsid w:val="5063D6F6"/>
    <w:rsid w:val="506407E2"/>
    <w:rsid w:val="506436C0"/>
    <w:rsid w:val="50671FFF"/>
    <w:rsid w:val="5067B4C3"/>
    <w:rsid w:val="50690394"/>
    <w:rsid w:val="5069253E"/>
    <w:rsid w:val="506A7F11"/>
    <w:rsid w:val="506AE9C4"/>
    <w:rsid w:val="506AEF4B"/>
    <w:rsid w:val="506AFFE2"/>
    <w:rsid w:val="506C3A8A"/>
    <w:rsid w:val="506D873A"/>
    <w:rsid w:val="506D88C3"/>
    <w:rsid w:val="506D8CD2"/>
    <w:rsid w:val="506FE3B5"/>
    <w:rsid w:val="507179CF"/>
    <w:rsid w:val="5072930A"/>
    <w:rsid w:val="5073ECAF"/>
    <w:rsid w:val="50755DAC"/>
    <w:rsid w:val="50794A85"/>
    <w:rsid w:val="5079E26D"/>
    <w:rsid w:val="507AE1F1"/>
    <w:rsid w:val="507BF34D"/>
    <w:rsid w:val="507CF768"/>
    <w:rsid w:val="507F1764"/>
    <w:rsid w:val="50801C96"/>
    <w:rsid w:val="5080F77F"/>
    <w:rsid w:val="50819508"/>
    <w:rsid w:val="5081F1E9"/>
    <w:rsid w:val="50824F22"/>
    <w:rsid w:val="5083883D"/>
    <w:rsid w:val="50847A57"/>
    <w:rsid w:val="50848598"/>
    <w:rsid w:val="5084D589"/>
    <w:rsid w:val="508537F3"/>
    <w:rsid w:val="5085CD3E"/>
    <w:rsid w:val="508633BF"/>
    <w:rsid w:val="5086E26F"/>
    <w:rsid w:val="5089F896"/>
    <w:rsid w:val="508B38C7"/>
    <w:rsid w:val="508D3F14"/>
    <w:rsid w:val="508DF4D0"/>
    <w:rsid w:val="50917122"/>
    <w:rsid w:val="50943A40"/>
    <w:rsid w:val="509650D5"/>
    <w:rsid w:val="5096F4F8"/>
    <w:rsid w:val="50972DA7"/>
    <w:rsid w:val="5097D583"/>
    <w:rsid w:val="509BAAE5"/>
    <w:rsid w:val="509BE9AC"/>
    <w:rsid w:val="509C7451"/>
    <w:rsid w:val="509CD8F5"/>
    <w:rsid w:val="509CF28E"/>
    <w:rsid w:val="509F8466"/>
    <w:rsid w:val="509FBB98"/>
    <w:rsid w:val="50A004A7"/>
    <w:rsid w:val="50A21AFD"/>
    <w:rsid w:val="50A24C92"/>
    <w:rsid w:val="50A329A2"/>
    <w:rsid w:val="50A3DB1F"/>
    <w:rsid w:val="50A4F2DE"/>
    <w:rsid w:val="50A5A1FE"/>
    <w:rsid w:val="50A61170"/>
    <w:rsid w:val="50A6ECFE"/>
    <w:rsid w:val="50A91BFA"/>
    <w:rsid w:val="50AA9FD4"/>
    <w:rsid w:val="50AAA95C"/>
    <w:rsid w:val="50AABB7B"/>
    <w:rsid w:val="50ABA7CF"/>
    <w:rsid w:val="50AC0A22"/>
    <w:rsid w:val="50AE389C"/>
    <w:rsid w:val="50AEBAC5"/>
    <w:rsid w:val="50AF7846"/>
    <w:rsid w:val="50AF9ACC"/>
    <w:rsid w:val="50AFB457"/>
    <w:rsid w:val="50B1B4C3"/>
    <w:rsid w:val="50B2E925"/>
    <w:rsid w:val="50B50F84"/>
    <w:rsid w:val="50B57B09"/>
    <w:rsid w:val="50B65516"/>
    <w:rsid w:val="50B84038"/>
    <w:rsid w:val="50B847F8"/>
    <w:rsid w:val="50B8E756"/>
    <w:rsid w:val="50B95589"/>
    <w:rsid w:val="50B95FD4"/>
    <w:rsid w:val="50B9A2B3"/>
    <w:rsid w:val="50BABC1A"/>
    <w:rsid w:val="50BD03E3"/>
    <w:rsid w:val="50BD7242"/>
    <w:rsid w:val="50C13FCF"/>
    <w:rsid w:val="50C2C8B5"/>
    <w:rsid w:val="50C6A4F6"/>
    <w:rsid w:val="50C6D402"/>
    <w:rsid w:val="50C7CC08"/>
    <w:rsid w:val="50C8C06F"/>
    <w:rsid w:val="50C992E8"/>
    <w:rsid w:val="50CA5AAE"/>
    <w:rsid w:val="50CC9D1E"/>
    <w:rsid w:val="50CD3835"/>
    <w:rsid w:val="50CDC8CA"/>
    <w:rsid w:val="50D02056"/>
    <w:rsid w:val="50D348F6"/>
    <w:rsid w:val="50D3E31A"/>
    <w:rsid w:val="50D99997"/>
    <w:rsid w:val="50DD0F17"/>
    <w:rsid w:val="50E04653"/>
    <w:rsid w:val="50E076D2"/>
    <w:rsid w:val="50E27B14"/>
    <w:rsid w:val="50E2B870"/>
    <w:rsid w:val="50E31D14"/>
    <w:rsid w:val="50E4BA05"/>
    <w:rsid w:val="50E4D185"/>
    <w:rsid w:val="50E59F59"/>
    <w:rsid w:val="50E5A0DB"/>
    <w:rsid w:val="50E7231A"/>
    <w:rsid w:val="50E72EEA"/>
    <w:rsid w:val="50E7CBC9"/>
    <w:rsid w:val="50EA4ACE"/>
    <w:rsid w:val="50EAA298"/>
    <w:rsid w:val="50ED298E"/>
    <w:rsid w:val="50EE4A1E"/>
    <w:rsid w:val="50EF570B"/>
    <w:rsid w:val="50F1EB84"/>
    <w:rsid w:val="50F3965A"/>
    <w:rsid w:val="50F782C7"/>
    <w:rsid w:val="50F848D8"/>
    <w:rsid w:val="50F9EDBA"/>
    <w:rsid w:val="50FB0585"/>
    <w:rsid w:val="50FC60E1"/>
    <w:rsid w:val="51002E4B"/>
    <w:rsid w:val="510033EF"/>
    <w:rsid w:val="51010F38"/>
    <w:rsid w:val="51020372"/>
    <w:rsid w:val="5105A1F3"/>
    <w:rsid w:val="5106A627"/>
    <w:rsid w:val="510738DD"/>
    <w:rsid w:val="51095F81"/>
    <w:rsid w:val="510C98B8"/>
    <w:rsid w:val="510CF674"/>
    <w:rsid w:val="510F5A1D"/>
    <w:rsid w:val="51105E75"/>
    <w:rsid w:val="51112FD6"/>
    <w:rsid w:val="5112215D"/>
    <w:rsid w:val="5113E805"/>
    <w:rsid w:val="5115AC98"/>
    <w:rsid w:val="51163E56"/>
    <w:rsid w:val="51175A94"/>
    <w:rsid w:val="5118795C"/>
    <w:rsid w:val="511A5EB9"/>
    <w:rsid w:val="511AB5FF"/>
    <w:rsid w:val="51205D13"/>
    <w:rsid w:val="5124B59F"/>
    <w:rsid w:val="5125E694"/>
    <w:rsid w:val="51261F1D"/>
    <w:rsid w:val="51299EC3"/>
    <w:rsid w:val="512C1E9B"/>
    <w:rsid w:val="512D9213"/>
    <w:rsid w:val="512E2507"/>
    <w:rsid w:val="512EABA6"/>
    <w:rsid w:val="512EE3A7"/>
    <w:rsid w:val="51318836"/>
    <w:rsid w:val="5134B802"/>
    <w:rsid w:val="51377798"/>
    <w:rsid w:val="5139A954"/>
    <w:rsid w:val="513A14ED"/>
    <w:rsid w:val="513BE59F"/>
    <w:rsid w:val="513C41C8"/>
    <w:rsid w:val="5140E80B"/>
    <w:rsid w:val="5141A6F3"/>
    <w:rsid w:val="5144DD7E"/>
    <w:rsid w:val="51455440"/>
    <w:rsid w:val="5145F445"/>
    <w:rsid w:val="514B1AF9"/>
    <w:rsid w:val="514B23DE"/>
    <w:rsid w:val="514C324C"/>
    <w:rsid w:val="514CB6C1"/>
    <w:rsid w:val="514CDECB"/>
    <w:rsid w:val="514D8079"/>
    <w:rsid w:val="514DD256"/>
    <w:rsid w:val="514DE3D8"/>
    <w:rsid w:val="514E5947"/>
    <w:rsid w:val="514ED117"/>
    <w:rsid w:val="514F4057"/>
    <w:rsid w:val="514FA9BA"/>
    <w:rsid w:val="515137FF"/>
    <w:rsid w:val="515422CE"/>
    <w:rsid w:val="5154CB71"/>
    <w:rsid w:val="515561FB"/>
    <w:rsid w:val="5157184C"/>
    <w:rsid w:val="5157188C"/>
    <w:rsid w:val="5157B004"/>
    <w:rsid w:val="515899FB"/>
    <w:rsid w:val="51590D0C"/>
    <w:rsid w:val="51599D21"/>
    <w:rsid w:val="515B256E"/>
    <w:rsid w:val="515B73AC"/>
    <w:rsid w:val="515EB2F1"/>
    <w:rsid w:val="51601E35"/>
    <w:rsid w:val="51606CA3"/>
    <w:rsid w:val="5162FD81"/>
    <w:rsid w:val="516341B3"/>
    <w:rsid w:val="5163BFFB"/>
    <w:rsid w:val="5165934C"/>
    <w:rsid w:val="5166BC35"/>
    <w:rsid w:val="51673228"/>
    <w:rsid w:val="5167840D"/>
    <w:rsid w:val="516790E4"/>
    <w:rsid w:val="516ADD83"/>
    <w:rsid w:val="516B2082"/>
    <w:rsid w:val="516C34F0"/>
    <w:rsid w:val="516C3EE8"/>
    <w:rsid w:val="516DB38E"/>
    <w:rsid w:val="516DBFE8"/>
    <w:rsid w:val="516F6031"/>
    <w:rsid w:val="516F8C16"/>
    <w:rsid w:val="5170D772"/>
    <w:rsid w:val="5170E6D7"/>
    <w:rsid w:val="5172B32D"/>
    <w:rsid w:val="5177874C"/>
    <w:rsid w:val="51782505"/>
    <w:rsid w:val="5178E152"/>
    <w:rsid w:val="517B0A27"/>
    <w:rsid w:val="517B3CB8"/>
    <w:rsid w:val="517BC948"/>
    <w:rsid w:val="517C4B84"/>
    <w:rsid w:val="517D5EAE"/>
    <w:rsid w:val="517DA143"/>
    <w:rsid w:val="517EC99C"/>
    <w:rsid w:val="517F0FA9"/>
    <w:rsid w:val="517F184A"/>
    <w:rsid w:val="51803447"/>
    <w:rsid w:val="5181CF3E"/>
    <w:rsid w:val="5183E593"/>
    <w:rsid w:val="5184DACE"/>
    <w:rsid w:val="518C8F40"/>
    <w:rsid w:val="518E2EA3"/>
    <w:rsid w:val="518EED59"/>
    <w:rsid w:val="51909A39"/>
    <w:rsid w:val="51937094"/>
    <w:rsid w:val="5193A365"/>
    <w:rsid w:val="51951407"/>
    <w:rsid w:val="51987193"/>
    <w:rsid w:val="519A4989"/>
    <w:rsid w:val="519A718D"/>
    <w:rsid w:val="519C2448"/>
    <w:rsid w:val="519E3B1F"/>
    <w:rsid w:val="519E5CB8"/>
    <w:rsid w:val="519EAAAC"/>
    <w:rsid w:val="51A3229D"/>
    <w:rsid w:val="51A4A993"/>
    <w:rsid w:val="51A4B43D"/>
    <w:rsid w:val="51A68124"/>
    <w:rsid w:val="51A8C060"/>
    <w:rsid w:val="51AAB878"/>
    <w:rsid w:val="51AC3E13"/>
    <w:rsid w:val="51AF8DAA"/>
    <w:rsid w:val="51B1E414"/>
    <w:rsid w:val="51B47224"/>
    <w:rsid w:val="51B4AD64"/>
    <w:rsid w:val="51B4B675"/>
    <w:rsid w:val="51B6FD45"/>
    <w:rsid w:val="51B75C56"/>
    <w:rsid w:val="51B7909D"/>
    <w:rsid w:val="51B8BF4C"/>
    <w:rsid w:val="51BA0195"/>
    <w:rsid w:val="51BC7BC2"/>
    <w:rsid w:val="51BDF4D0"/>
    <w:rsid w:val="51BF33DB"/>
    <w:rsid w:val="51C06E16"/>
    <w:rsid w:val="51C187EF"/>
    <w:rsid w:val="51C19189"/>
    <w:rsid w:val="51C2077A"/>
    <w:rsid w:val="51C37981"/>
    <w:rsid w:val="51C7CFDE"/>
    <w:rsid w:val="51CC0255"/>
    <w:rsid w:val="51CC509F"/>
    <w:rsid w:val="51CDDCBC"/>
    <w:rsid w:val="51CFEF54"/>
    <w:rsid w:val="51D10265"/>
    <w:rsid w:val="51D1C12E"/>
    <w:rsid w:val="51D230CB"/>
    <w:rsid w:val="51D34990"/>
    <w:rsid w:val="51D8D7E4"/>
    <w:rsid w:val="51D903D0"/>
    <w:rsid w:val="51DAEFC8"/>
    <w:rsid w:val="51DBFD13"/>
    <w:rsid w:val="51DCDAAB"/>
    <w:rsid w:val="51DCED3A"/>
    <w:rsid w:val="51DD0DCB"/>
    <w:rsid w:val="51DDDF42"/>
    <w:rsid w:val="51E30F64"/>
    <w:rsid w:val="51E54AAA"/>
    <w:rsid w:val="51E56F01"/>
    <w:rsid w:val="51E6CBFF"/>
    <w:rsid w:val="51E786DC"/>
    <w:rsid w:val="51E7E2FA"/>
    <w:rsid w:val="51E9ECEF"/>
    <w:rsid w:val="51EA91DF"/>
    <w:rsid w:val="51ECD165"/>
    <w:rsid w:val="51ED3459"/>
    <w:rsid w:val="51EDD6D7"/>
    <w:rsid w:val="51EE7C20"/>
    <w:rsid w:val="51F06280"/>
    <w:rsid w:val="51F1C922"/>
    <w:rsid w:val="51F501E9"/>
    <w:rsid w:val="51F57B3F"/>
    <w:rsid w:val="51F7438B"/>
    <w:rsid w:val="51FB1AC6"/>
    <w:rsid w:val="51FB2AE6"/>
    <w:rsid w:val="51FB5574"/>
    <w:rsid w:val="51FD8434"/>
    <w:rsid w:val="51FF1AC9"/>
    <w:rsid w:val="51FF8B19"/>
    <w:rsid w:val="52010F2D"/>
    <w:rsid w:val="5201CAF3"/>
    <w:rsid w:val="5203931D"/>
    <w:rsid w:val="5204F8DC"/>
    <w:rsid w:val="52051644"/>
    <w:rsid w:val="52055EF2"/>
    <w:rsid w:val="5206EE2E"/>
    <w:rsid w:val="52093B66"/>
    <w:rsid w:val="5209C465"/>
    <w:rsid w:val="520DE0CB"/>
    <w:rsid w:val="52110D3A"/>
    <w:rsid w:val="52113AB3"/>
    <w:rsid w:val="521246D1"/>
    <w:rsid w:val="5213842C"/>
    <w:rsid w:val="5213DB6D"/>
    <w:rsid w:val="52147AAB"/>
    <w:rsid w:val="52153823"/>
    <w:rsid w:val="52160245"/>
    <w:rsid w:val="52186E10"/>
    <w:rsid w:val="52190569"/>
    <w:rsid w:val="5219461D"/>
    <w:rsid w:val="52197D07"/>
    <w:rsid w:val="521E25F1"/>
    <w:rsid w:val="5220DF36"/>
    <w:rsid w:val="5220E57F"/>
    <w:rsid w:val="5221052B"/>
    <w:rsid w:val="52217847"/>
    <w:rsid w:val="52219ADF"/>
    <w:rsid w:val="52221685"/>
    <w:rsid w:val="52231590"/>
    <w:rsid w:val="5223971C"/>
    <w:rsid w:val="52266729"/>
    <w:rsid w:val="52267916"/>
    <w:rsid w:val="5226D78A"/>
    <w:rsid w:val="52271FE8"/>
    <w:rsid w:val="5227B497"/>
    <w:rsid w:val="522907F4"/>
    <w:rsid w:val="52293F23"/>
    <w:rsid w:val="52296D97"/>
    <w:rsid w:val="522B0AE3"/>
    <w:rsid w:val="522F01FD"/>
    <w:rsid w:val="522FF65D"/>
    <w:rsid w:val="5235481A"/>
    <w:rsid w:val="52378B35"/>
    <w:rsid w:val="5237A312"/>
    <w:rsid w:val="52397289"/>
    <w:rsid w:val="5239A124"/>
    <w:rsid w:val="5239A723"/>
    <w:rsid w:val="523B7F27"/>
    <w:rsid w:val="523D1E93"/>
    <w:rsid w:val="523DBF3C"/>
    <w:rsid w:val="523EF656"/>
    <w:rsid w:val="5241DB63"/>
    <w:rsid w:val="5242F5A6"/>
    <w:rsid w:val="5246541E"/>
    <w:rsid w:val="524A1689"/>
    <w:rsid w:val="524AC075"/>
    <w:rsid w:val="524C5DC6"/>
    <w:rsid w:val="524E02AD"/>
    <w:rsid w:val="524E99B3"/>
    <w:rsid w:val="52533A72"/>
    <w:rsid w:val="5254DBBA"/>
    <w:rsid w:val="52570DC6"/>
    <w:rsid w:val="52588F0D"/>
    <w:rsid w:val="5259796B"/>
    <w:rsid w:val="525C6FC9"/>
    <w:rsid w:val="525C7ABD"/>
    <w:rsid w:val="525D2AE5"/>
    <w:rsid w:val="525D8E6C"/>
    <w:rsid w:val="526018E0"/>
    <w:rsid w:val="52609990"/>
    <w:rsid w:val="52611E6F"/>
    <w:rsid w:val="52616AAF"/>
    <w:rsid w:val="52623F16"/>
    <w:rsid w:val="52653DC8"/>
    <w:rsid w:val="526565BE"/>
    <w:rsid w:val="5269F00B"/>
    <w:rsid w:val="526B21DC"/>
    <w:rsid w:val="526B9E9B"/>
    <w:rsid w:val="526BB979"/>
    <w:rsid w:val="526BE8A0"/>
    <w:rsid w:val="526FEAF8"/>
    <w:rsid w:val="5271842A"/>
    <w:rsid w:val="5271AEB8"/>
    <w:rsid w:val="5272CB47"/>
    <w:rsid w:val="527329B9"/>
    <w:rsid w:val="52740430"/>
    <w:rsid w:val="527536F8"/>
    <w:rsid w:val="5276D2DF"/>
    <w:rsid w:val="5277D7FA"/>
    <w:rsid w:val="527C83A6"/>
    <w:rsid w:val="527D6646"/>
    <w:rsid w:val="527DADE7"/>
    <w:rsid w:val="527DFEF4"/>
    <w:rsid w:val="527FE4EF"/>
    <w:rsid w:val="5281AD9C"/>
    <w:rsid w:val="5282B62B"/>
    <w:rsid w:val="5282FB18"/>
    <w:rsid w:val="52834E5D"/>
    <w:rsid w:val="52838C45"/>
    <w:rsid w:val="52847DB6"/>
    <w:rsid w:val="52856570"/>
    <w:rsid w:val="52865F2C"/>
    <w:rsid w:val="5288028F"/>
    <w:rsid w:val="528E3B97"/>
    <w:rsid w:val="528ECE21"/>
    <w:rsid w:val="528EF097"/>
    <w:rsid w:val="528FED1F"/>
    <w:rsid w:val="5291456D"/>
    <w:rsid w:val="5293D1B6"/>
    <w:rsid w:val="5294C085"/>
    <w:rsid w:val="5294F306"/>
    <w:rsid w:val="5295359A"/>
    <w:rsid w:val="529AEEA1"/>
    <w:rsid w:val="529DA7BA"/>
    <w:rsid w:val="529E38AC"/>
    <w:rsid w:val="52A12DC5"/>
    <w:rsid w:val="52A1B7DC"/>
    <w:rsid w:val="52A23597"/>
    <w:rsid w:val="52A482C0"/>
    <w:rsid w:val="52A65FAC"/>
    <w:rsid w:val="52A6AE43"/>
    <w:rsid w:val="52A722E9"/>
    <w:rsid w:val="52A83489"/>
    <w:rsid w:val="52A858CF"/>
    <w:rsid w:val="52A90523"/>
    <w:rsid w:val="52A94AB7"/>
    <w:rsid w:val="52AB18D2"/>
    <w:rsid w:val="52ACCA44"/>
    <w:rsid w:val="52AE3D3F"/>
    <w:rsid w:val="52AE6EA8"/>
    <w:rsid w:val="52B0F2D1"/>
    <w:rsid w:val="52B1A3AB"/>
    <w:rsid w:val="52B1D830"/>
    <w:rsid w:val="52B3AF06"/>
    <w:rsid w:val="52B44A58"/>
    <w:rsid w:val="52B4DE34"/>
    <w:rsid w:val="52B59132"/>
    <w:rsid w:val="52B5E788"/>
    <w:rsid w:val="52B6553E"/>
    <w:rsid w:val="52B6EA32"/>
    <w:rsid w:val="52B71612"/>
    <w:rsid w:val="52B77F34"/>
    <w:rsid w:val="52B871C3"/>
    <w:rsid w:val="52BCCC5E"/>
    <w:rsid w:val="52BCE529"/>
    <w:rsid w:val="52BD1E44"/>
    <w:rsid w:val="52BDA901"/>
    <w:rsid w:val="52BE2C99"/>
    <w:rsid w:val="52BED5A9"/>
    <w:rsid w:val="52BF0398"/>
    <w:rsid w:val="52BFEAE4"/>
    <w:rsid w:val="52C06C0F"/>
    <w:rsid w:val="52C0BCAE"/>
    <w:rsid w:val="52C0FD5F"/>
    <w:rsid w:val="52C3B22D"/>
    <w:rsid w:val="52C3FB80"/>
    <w:rsid w:val="52C40339"/>
    <w:rsid w:val="52C575AC"/>
    <w:rsid w:val="52C5BB84"/>
    <w:rsid w:val="52C69EEB"/>
    <w:rsid w:val="52C940A3"/>
    <w:rsid w:val="52CA83C2"/>
    <w:rsid w:val="52CCBF76"/>
    <w:rsid w:val="52CCEE4D"/>
    <w:rsid w:val="52D1EF16"/>
    <w:rsid w:val="52D287ED"/>
    <w:rsid w:val="52D68756"/>
    <w:rsid w:val="52D86C90"/>
    <w:rsid w:val="52DB4699"/>
    <w:rsid w:val="52DD6E0D"/>
    <w:rsid w:val="52DEC3B0"/>
    <w:rsid w:val="52DEFA6C"/>
    <w:rsid w:val="52E195A8"/>
    <w:rsid w:val="52E4CC97"/>
    <w:rsid w:val="52E71429"/>
    <w:rsid w:val="52E83286"/>
    <w:rsid w:val="52E896D7"/>
    <w:rsid w:val="52E98E43"/>
    <w:rsid w:val="52EEC508"/>
    <w:rsid w:val="52F0F4CC"/>
    <w:rsid w:val="52F213C0"/>
    <w:rsid w:val="52F2FF82"/>
    <w:rsid w:val="52F4388A"/>
    <w:rsid w:val="52F59388"/>
    <w:rsid w:val="52FAAE0F"/>
    <w:rsid w:val="52FBC4F6"/>
    <w:rsid w:val="52FE79CA"/>
    <w:rsid w:val="53027F04"/>
    <w:rsid w:val="530282B4"/>
    <w:rsid w:val="53045546"/>
    <w:rsid w:val="5304BC70"/>
    <w:rsid w:val="5305A2D8"/>
    <w:rsid w:val="530869B3"/>
    <w:rsid w:val="5309266A"/>
    <w:rsid w:val="530966E6"/>
    <w:rsid w:val="5309989D"/>
    <w:rsid w:val="5309A073"/>
    <w:rsid w:val="5309D9F8"/>
    <w:rsid w:val="530AFDF9"/>
    <w:rsid w:val="530C4FFD"/>
    <w:rsid w:val="530CAFD2"/>
    <w:rsid w:val="530D8666"/>
    <w:rsid w:val="530FBB30"/>
    <w:rsid w:val="5310C11D"/>
    <w:rsid w:val="5310DD22"/>
    <w:rsid w:val="53112826"/>
    <w:rsid w:val="531164D5"/>
    <w:rsid w:val="5311AC86"/>
    <w:rsid w:val="53123AAD"/>
    <w:rsid w:val="5313B04C"/>
    <w:rsid w:val="53153881"/>
    <w:rsid w:val="5315F28F"/>
    <w:rsid w:val="531664A4"/>
    <w:rsid w:val="53178EC5"/>
    <w:rsid w:val="53195F51"/>
    <w:rsid w:val="531A2A1C"/>
    <w:rsid w:val="531B50F5"/>
    <w:rsid w:val="531DB09E"/>
    <w:rsid w:val="531F520C"/>
    <w:rsid w:val="531FD7B8"/>
    <w:rsid w:val="53215D20"/>
    <w:rsid w:val="532199E0"/>
    <w:rsid w:val="53219BAE"/>
    <w:rsid w:val="532358DE"/>
    <w:rsid w:val="53235B15"/>
    <w:rsid w:val="53252072"/>
    <w:rsid w:val="5325564C"/>
    <w:rsid w:val="532665F1"/>
    <w:rsid w:val="532A0027"/>
    <w:rsid w:val="532A63C3"/>
    <w:rsid w:val="532D5F0B"/>
    <w:rsid w:val="532E30CC"/>
    <w:rsid w:val="533565F4"/>
    <w:rsid w:val="5335AF5E"/>
    <w:rsid w:val="5335F618"/>
    <w:rsid w:val="53367D15"/>
    <w:rsid w:val="5336FADB"/>
    <w:rsid w:val="533E8411"/>
    <w:rsid w:val="533F7E2B"/>
    <w:rsid w:val="533FEBB3"/>
    <w:rsid w:val="5341F9E9"/>
    <w:rsid w:val="5342E3BE"/>
    <w:rsid w:val="5343F260"/>
    <w:rsid w:val="53442880"/>
    <w:rsid w:val="5344EA15"/>
    <w:rsid w:val="5344FBD0"/>
    <w:rsid w:val="534756E5"/>
    <w:rsid w:val="5347FEF0"/>
    <w:rsid w:val="534824D0"/>
    <w:rsid w:val="534BFB4F"/>
    <w:rsid w:val="534DF478"/>
    <w:rsid w:val="534F2703"/>
    <w:rsid w:val="53505A6D"/>
    <w:rsid w:val="53543C44"/>
    <w:rsid w:val="53543E9B"/>
    <w:rsid w:val="53547526"/>
    <w:rsid w:val="535488F7"/>
    <w:rsid w:val="535493B6"/>
    <w:rsid w:val="53559E05"/>
    <w:rsid w:val="53562B53"/>
    <w:rsid w:val="53575A9C"/>
    <w:rsid w:val="535985AB"/>
    <w:rsid w:val="53599B2B"/>
    <w:rsid w:val="5359E8F5"/>
    <w:rsid w:val="535D8ED1"/>
    <w:rsid w:val="536122C7"/>
    <w:rsid w:val="536206BF"/>
    <w:rsid w:val="53640345"/>
    <w:rsid w:val="5364FF06"/>
    <w:rsid w:val="53655861"/>
    <w:rsid w:val="536580F4"/>
    <w:rsid w:val="53681CFC"/>
    <w:rsid w:val="53685403"/>
    <w:rsid w:val="53699D0B"/>
    <w:rsid w:val="5369A383"/>
    <w:rsid w:val="536A01B5"/>
    <w:rsid w:val="536A6BC8"/>
    <w:rsid w:val="536B1448"/>
    <w:rsid w:val="536B705D"/>
    <w:rsid w:val="536EBE7C"/>
    <w:rsid w:val="536EC1C0"/>
    <w:rsid w:val="536ECF92"/>
    <w:rsid w:val="536F64F2"/>
    <w:rsid w:val="53702F9F"/>
    <w:rsid w:val="537494D7"/>
    <w:rsid w:val="53752A04"/>
    <w:rsid w:val="53787403"/>
    <w:rsid w:val="53792F43"/>
    <w:rsid w:val="537AEE3A"/>
    <w:rsid w:val="537C1398"/>
    <w:rsid w:val="537D5E23"/>
    <w:rsid w:val="537DB09B"/>
    <w:rsid w:val="537F2E10"/>
    <w:rsid w:val="53804B65"/>
    <w:rsid w:val="53811E80"/>
    <w:rsid w:val="53824B8D"/>
    <w:rsid w:val="53835D21"/>
    <w:rsid w:val="5386E69E"/>
    <w:rsid w:val="538B79D1"/>
    <w:rsid w:val="538BA49F"/>
    <w:rsid w:val="538D929A"/>
    <w:rsid w:val="538DC5D1"/>
    <w:rsid w:val="538EC705"/>
    <w:rsid w:val="53917AFB"/>
    <w:rsid w:val="5394D326"/>
    <w:rsid w:val="539819D7"/>
    <w:rsid w:val="539A09EC"/>
    <w:rsid w:val="539E0033"/>
    <w:rsid w:val="539EFCDE"/>
    <w:rsid w:val="53A0A4EF"/>
    <w:rsid w:val="53A0B8D2"/>
    <w:rsid w:val="53A15CD0"/>
    <w:rsid w:val="53A16293"/>
    <w:rsid w:val="53A1D04E"/>
    <w:rsid w:val="53A226CE"/>
    <w:rsid w:val="53A2AF4B"/>
    <w:rsid w:val="53A3537B"/>
    <w:rsid w:val="53A59AD5"/>
    <w:rsid w:val="53A9D39E"/>
    <w:rsid w:val="53AA83B2"/>
    <w:rsid w:val="53AC9B1C"/>
    <w:rsid w:val="53ADDAC2"/>
    <w:rsid w:val="53B1B5B5"/>
    <w:rsid w:val="53B2C29D"/>
    <w:rsid w:val="53B3FD5B"/>
    <w:rsid w:val="53B422D5"/>
    <w:rsid w:val="53B7E3D4"/>
    <w:rsid w:val="53BA0075"/>
    <w:rsid w:val="53BCC976"/>
    <w:rsid w:val="53BFA58C"/>
    <w:rsid w:val="53BFFC07"/>
    <w:rsid w:val="53C06657"/>
    <w:rsid w:val="53C1B359"/>
    <w:rsid w:val="53C4C8AB"/>
    <w:rsid w:val="53C4DFD4"/>
    <w:rsid w:val="53C5907D"/>
    <w:rsid w:val="53C660C7"/>
    <w:rsid w:val="53C911E4"/>
    <w:rsid w:val="53CC4ABC"/>
    <w:rsid w:val="53CCF7CB"/>
    <w:rsid w:val="53CE6E52"/>
    <w:rsid w:val="53CE8F49"/>
    <w:rsid w:val="53D0460A"/>
    <w:rsid w:val="53D0A0A4"/>
    <w:rsid w:val="53D0FA78"/>
    <w:rsid w:val="53D4D991"/>
    <w:rsid w:val="53D678AE"/>
    <w:rsid w:val="53D67DFB"/>
    <w:rsid w:val="53D6EE35"/>
    <w:rsid w:val="53D79264"/>
    <w:rsid w:val="53D8E9A6"/>
    <w:rsid w:val="53D8EBC8"/>
    <w:rsid w:val="53D96EF0"/>
    <w:rsid w:val="53DB3DD8"/>
    <w:rsid w:val="53DDE28E"/>
    <w:rsid w:val="53DE9E2A"/>
    <w:rsid w:val="53E01583"/>
    <w:rsid w:val="53E2C85A"/>
    <w:rsid w:val="53E41225"/>
    <w:rsid w:val="53E64C06"/>
    <w:rsid w:val="53E771DD"/>
    <w:rsid w:val="53E7DB69"/>
    <w:rsid w:val="53E815E4"/>
    <w:rsid w:val="53E996B7"/>
    <w:rsid w:val="53EAFD0D"/>
    <w:rsid w:val="53EE6695"/>
    <w:rsid w:val="53EED122"/>
    <w:rsid w:val="53F25873"/>
    <w:rsid w:val="53F2EAF2"/>
    <w:rsid w:val="53F5B22B"/>
    <w:rsid w:val="53F6125B"/>
    <w:rsid w:val="53F70611"/>
    <w:rsid w:val="53F9237F"/>
    <w:rsid w:val="53F98931"/>
    <w:rsid w:val="53F99657"/>
    <w:rsid w:val="53FAB4F4"/>
    <w:rsid w:val="53FCDCCC"/>
    <w:rsid w:val="53FCFBDF"/>
    <w:rsid w:val="53FEC29F"/>
    <w:rsid w:val="53FED782"/>
    <w:rsid w:val="54002D77"/>
    <w:rsid w:val="5400414F"/>
    <w:rsid w:val="5402BF26"/>
    <w:rsid w:val="5405BEEF"/>
    <w:rsid w:val="54062F5A"/>
    <w:rsid w:val="5407DB99"/>
    <w:rsid w:val="540DA534"/>
    <w:rsid w:val="540E77E8"/>
    <w:rsid w:val="5410290A"/>
    <w:rsid w:val="5410730A"/>
    <w:rsid w:val="541076BD"/>
    <w:rsid w:val="54107AB9"/>
    <w:rsid w:val="54111EE6"/>
    <w:rsid w:val="54129334"/>
    <w:rsid w:val="541389DD"/>
    <w:rsid w:val="5416585A"/>
    <w:rsid w:val="54170B63"/>
    <w:rsid w:val="5417F8EF"/>
    <w:rsid w:val="541AED4C"/>
    <w:rsid w:val="541BE2DA"/>
    <w:rsid w:val="54207289"/>
    <w:rsid w:val="54229B75"/>
    <w:rsid w:val="54278E37"/>
    <w:rsid w:val="542A1969"/>
    <w:rsid w:val="542E8F4C"/>
    <w:rsid w:val="5430AB2C"/>
    <w:rsid w:val="54314236"/>
    <w:rsid w:val="5431E6BF"/>
    <w:rsid w:val="5432CE6C"/>
    <w:rsid w:val="54355664"/>
    <w:rsid w:val="5435F263"/>
    <w:rsid w:val="5439B728"/>
    <w:rsid w:val="543FF891"/>
    <w:rsid w:val="5440BED1"/>
    <w:rsid w:val="5442CBE2"/>
    <w:rsid w:val="5443BE13"/>
    <w:rsid w:val="5443CBE1"/>
    <w:rsid w:val="54446507"/>
    <w:rsid w:val="5448A800"/>
    <w:rsid w:val="544D25AE"/>
    <w:rsid w:val="544DF391"/>
    <w:rsid w:val="544F2975"/>
    <w:rsid w:val="54500916"/>
    <w:rsid w:val="54510580"/>
    <w:rsid w:val="5452A184"/>
    <w:rsid w:val="5456DF4C"/>
    <w:rsid w:val="5457A06C"/>
    <w:rsid w:val="5457D872"/>
    <w:rsid w:val="5458A630"/>
    <w:rsid w:val="5459E7B1"/>
    <w:rsid w:val="545A9DF7"/>
    <w:rsid w:val="545AA2E7"/>
    <w:rsid w:val="545BCD1C"/>
    <w:rsid w:val="545C0B83"/>
    <w:rsid w:val="545CBEE5"/>
    <w:rsid w:val="545E66B5"/>
    <w:rsid w:val="54606BD9"/>
    <w:rsid w:val="5460DEB8"/>
    <w:rsid w:val="54615280"/>
    <w:rsid w:val="5462C95D"/>
    <w:rsid w:val="54633B0C"/>
    <w:rsid w:val="5466646C"/>
    <w:rsid w:val="54667492"/>
    <w:rsid w:val="54689ECC"/>
    <w:rsid w:val="546B04A9"/>
    <w:rsid w:val="546C6A5B"/>
    <w:rsid w:val="546D0758"/>
    <w:rsid w:val="546DBC53"/>
    <w:rsid w:val="546F582D"/>
    <w:rsid w:val="54726C3A"/>
    <w:rsid w:val="5472ED55"/>
    <w:rsid w:val="5473625F"/>
    <w:rsid w:val="547485F3"/>
    <w:rsid w:val="54765266"/>
    <w:rsid w:val="54773C3A"/>
    <w:rsid w:val="5477FDA0"/>
    <w:rsid w:val="54791746"/>
    <w:rsid w:val="547C9BF6"/>
    <w:rsid w:val="548108C2"/>
    <w:rsid w:val="548A4B2A"/>
    <w:rsid w:val="548C36ED"/>
    <w:rsid w:val="548DC717"/>
    <w:rsid w:val="548E13ED"/>
    <w:rsid w:val="54927CF6"/>
    <w:rsid w:val="5493A053"/>
    <w:rsid w:val="5498C82B"/>
    <w:rsid w:val="549A6DA8"/>
    <w:rsid w:val="549EDC80"/>
    <w:rsid w:val="549F2A3B"/>
    <w:rsid w:val="549F6C12"/>
    <w:rsid w:val="549FD5AE"/>
    <w:rsid w:val="54A02C18"/>
    <w:rsid w:val="54A09EE1"/>
    <w:rsid w:val="54A0EC5F"/>
    <w:rsid w:val="54A3E9BB"/>
    <w:rsid w:val="54A411B1"/>
    <w:rsid w:val="54A4DA85"/>
    <w:rsid w:val="54A51B87"/>
    <w:rsid w:val="54A5BC13"/>
    <w:rsid w:val="54A5FECC"/>
    <w:rsid w:val="54A77704"/>
    <w:rsid w:val="54A7E9D9"/>
    <w:rsid w:val="54A942C1"/>
    <w:rsid w:val="54AC52F4"/>
    <w:rsid w:val="54AE8385"/>
    <w:rsid w:val="54B2CA36"/>
    <w:rsid w:val="54B3B790"/>
    <w:rsid w:val="54B3F1FB"/>
    <w:rsid w:val="54B49452"/>
    <w:rsid w:val="54B4E9D9"/>
    <w:rsid w:val="54B4FC89"/>
    <w:rsid w:val="54B69138"/>
    <w:rsid w:val="54B8C252"/>
    <w:rsid w:val="54BC3E28"/>
    <w:rsid w:val="54BCA881"/>
    <w:rsid w:val="54BCDAC8"/>
    <w:rsid w:val="54BF471F"/>
    <w:rsid w:val="54C03CA7"/>
    <w:rsid w:val="54C05795"/>
    <w:rsid w:val="54C0631A"/>
    <w:rsid w:val="54C232B0"/>
    <w:rsid w:val="54C34303"/>
    <w:rsid w:val="54C486CA"/>
    <w:rsid w:val="54C4F3F3"/>
    <w:rsid w:val="54C5478B"/>
    <w:rsid w:val="54C5534E"/>
    <w:rsid w:val="54C65FA2"/>
    <w:rsid w:val="54C7FC36"/>
    <w:rsid w:val="54C9B6B7"/>
    <w:rsid w:val="54C9B774"/>
    <w:rsid w:val="54CA4ADC"/>
    <w:rsid w:val="54CAB1CC"/>
    <w:rsid w:val="54CB2F41"/>
    <w:rsid w:val="54CBEC04"/>
    <w:rsid w:val="54CC4C00"/>
    <w:rsid w:val="54CD155E"/>
    <w:rsid w:val="54CE8A40"/>
    <w:rsid w:val="54D0310D"/>
    <w:rsid w:val="54D08A9D"/>
    <w:rsid w:val="54D1300E"/>
    <w:rsid w:val="54D1D1FC"/>
    <w:rsid w:val="54D5F53B"/>
    <w:rsid w:val="54D65EDE"/>
    <w:rsid w:val="54D9E82E"/>
    <w:rsid w:val="54DDE21F"/>
    <w:rsid w:val="54DE80F7"/>
    <w:rsid w:val="54DF0783"/>
    <w:rsid w:val="54DF108A"/>
    <w:rsid w:val="54DF29FA"/>
    <w:rsid w:val="54DFD0D1"/>
    <w:rsid w:val="54E030A7"/>
    <w:rsid w:val="54E1CF79"/>
    <w:rsid w:val="54E37EBB"/>
    <w:rsid w:val="54E695C9"/>
    <w:rsid w:val="54E6B17C"/>
    <w:rsid w:val="54E7B1AF"/>
    <w:rsid w:val="54E9890C"/>
    <w:rsid w:val="54EB21E2"/>
    <w:rsid w:val="54EC72F8"/>
    <w:rsid w:val="54EF6F50"/>
    <w:rsid w:val="54F031E4"/>
    <w:rsid w:val="54F03E54"/>
    <w:rsid w:val="54F0402B"/>
    <w:rsid w:val="54F205F2"/>
    <w:rsid w:val="54F266BB"/>
    <w:rsid w:val="54F2D918"/>
    <w:rsid w:val="54F63E04"/>
    <w:rsid w:val="54F78AB6"/>
    <w:rsid w:val="54F7C030"/>
    <w:rsid w:val="54F88220"/>
    <w:rsid w:val="54F94209"/>
    <w:rsid w:val="54FA40F9"/>
    <w:rsid w:val="54FECFB9"/>
    <w:rsid w:val="54FF3D1F"/>
    <w:rsid w:val="55007439"/>
    <w:rsid w:val="5501B002"/>
    <w:rsid w:val="5503596B"/>
    <w:rsid w:val="55042974"/>
    <w:rsid w:val="55052B32"/>
    <w:rsid w:val="5506273A"/>
    <w:rsid w:val="5506A17D"/>
    <w:rsid w:val="55089E99"/>
    <w:rsid w:val="550BF2F3"/>
    <w:rsid w:val="550E1F49"/>
    <w:rsid w:val="5514839F"/>
    <w:rsid w:val="55163005"/>
    <w:rsid w:val="5518E2AA"/>
    <w:rsid w:val="5519BB53"/>
    <w:rsid w:val="551ADEED"/>
    <w:rsid w:val="551C9CF5"/>
    <w:rsid w:val="551CEF7E"/>
    <w:rsid w:val="552098D5"/>
    <w:rsid w:val="55226D0B"/>
    <w:rsid w:val="5525F7C2"/>
    <w:rsid w:val="5526BCF9"/>
    <w:rsid w:val="55277F16"/>
    <w:rsid w:val="55290D29"/>
    <w:rsid w:val="552942B8"/>
    <w:rsid w:val="552B3877"/>
    <w:rsid w:val="552C2F97"/>
    <w:rsid w:val="552C8533"/>
    <w:rsid w:val="552D04FF"/>
    <w:rsid w:val="5530210E"/>
    <w:rsid w:val="5530CB2B"/>
    <w:rsid w:val="55311EAF"/>
    <w:rsid w:val="553160AE"/>
    <w:rsid w:val="55332B41"/>
    <w:rsid w:val="55343491"/>
    <w:rsid w:val="553518D7"/>
    <w:rsid w:val="55363AE9"/>
    <w:rsid w:val="553826DF"/>
    <w:rsid w:val="55383E4F"/>
    <w:rsid w:val="55397C96"/>
    <w:rsid w:val="553A56E2"/>
    <w:rsid w:val="553B1E8F"/>
    <w:rsid w:val="553E0DA0"/>
    <w:rsid w:val="553EF96F"/>
    <w:rsid w:val="553FFC4C"/>
    <w:rsid w:val="55400654"/>
    <w:rsid w:val="55401D66"/>
    <w:rsid w:val="55414CBB"/>
    <w:rsid w:val="5541EC43"/>
    <w:rsid w:val="55427164"/>
    <w:rsid w:val="5544A315"/>
    <w:rsid w:val="5544CEC1"/>
    <w:rsid w:val="55451169"/>
    <w:rsid w:val="5547A629"/>
    <w:rsid w:val="5547BE94"/>
    <w:rsid w:val="554990D6"/>
    <w:rsid w:val="554D5FEB"/>
    <w:rsid w:val="554DD27A"/>
    <w:rsid w:val="555003B3"/>
    <w:rsid w:val="5551AE86"/>
    <w:rsid w:val="5554142A"/>
    <w:rsid w:val="55555738"/>
    <w:rsid w:val="555A9D75"/>
    <w:rsid w:val="555B9F6B"/>
    <w:rsid w:val="555D5C45"/>
    <w:rsid w:val="555DA31B"/>
    <w:rsid w:val="5561292E"/>
    <w:rsid w:val="55614803"/>
    <w:rsid w:val="5561A40E"/>
    <w:rsid w:val="556497F3"/>
    <w:rsid w:val="5565053C"/>
    <w:rsid w:val="55653858"/>
    <w:rsid w:val="5565958A"/>
    <w:rsid w:val="55664106"/>
    <w:rsid w:val="556B24A4"/>
    <w:rsid w:val="556B4D1D"/>
    <w:rsid w:val="556BD8D8"/>
    <w:rsid w:val="556BDA0B"/>
    <w:rsid w:val="556C0734"/>
    <w:rsid w:val="556C84E7"/>
    <w:rsid w:val="556CBAB7"/>
    <w:rsid w:val="556D076F"/>
    <w:rsid w:val="556ED1B8"/>
    <w:rsid w:val="556F8140"/>
    <w:rsid w:val="5570B7C5"/>
    <w:rsid w:val="5570DB88"/>
    <w:rsid w:val="5572E57C"/>
    <w:rsid w:val="55731FE9"/>
    <w:rsid w:val="55736CED"/>
    <w:rsid w:val="55760BA6"/>
    <w:rsid w:val="5577D14C"/>
    <w:rsid w:val="5578E6EF"/>
    <w:rsid w:val="5579B2EF"/>
    <w:rsid w:val="557B35E3"/>
    <w:rsid w:val="557BA35E"/>
    <w:rsid w:val="557C7213"/>
    <w:rsid w:val="557EDF83"/>
    <w:rsid w:val="5580AF1A"/>
    <w:rsid w:val="5580CD8D"/>
    <w:rsid w:val="5582012F"/>
    <w:rsid w:val="55832A50"/>
    <w:rsid w:val="5583401E"/>
    <w:rsid w:val="558396BB"/>
    <w:rsid w:val="55844A5F"/>
    <w:rsid w:val="55845BF6"/>
    <w:rsid w:val="5584678B"/>
    <w:rsid w:val="55848AD4"/>
    <w:rsid w:val="5586DB01"/>
    <w:rsid w:val="558950A9"/>
    <w:rsid w:val="558A88C9"/>
    <w:rsid w:val="558CB837"/>
    <w:rsid w:val="558D53E7"/>
    <w:rsid w:val="5590F444"/>
    <w:rsid w:val="5591AB5D"/>
    <w:rsid w:val="5592FE8D"/>
    <w:rsid w:val="5593448F"/>
    <w:rsid w:val="55953009"/>
    <w:rsid w:val="55979CFC"/>
    <w:rsid w:val="559805D0"/>
    <w:rsid w:val="55981F67"/>
    <w:rsid w:val="5599CC2B"/>
    <w:rsid w:val="5599CC96"/>
    <w:rsid w:val="559ADCA6"/>
    <w:rsid w:val="559D6EB1"/>
    <w:rsid w:val="55A103B8"/>
    <w:rsid w:val="55A17DAF"/>
    <w:rsid w:val="55A4CD55"/>
    <w:rsid w:val="55A63EBA"/>
    <w:rsid w:val="55A661A0"/>
    <w:rsid w:val="55A99FF8"/>
    <w:rsid w:val="55ABEC19"/>
    <w:rsid w:val="55ACCF29"/>
    <w:rsid w:val="55AEC326"/>
    <w:rsid w:val="55B2525F"/>
    <w:rsid w:val="55B4E27C"/>
    <w:rsid w:val="55B52CB2"/>
    <w:rsid w:val="55B53858"/>
    <w:rsid w:val="55B8D9F5"/>
    <w:rsid w:val="55BA716B"/>
    <w:rsid w:val="55BC8354"/>
    <w:rsid w:val="55BD14E2"/>
    <w:rsid w:val="55BFB156"/>
    <w:rsid w:val="55C4B0A9"/>
    <w:rsid w:val="55C53159"/>
    <w:rsid w:val="55C5CE1E"/>
    <w:rsid w:val="55C7B5D9"/>
    <w:rsid w:val="55C89BB6"/>
    <w:rsid w:val="55C8BF3D"/>
    <w:rsid w:val="55C8D736"/>
    <w:rsid w:val="55CC483D"/>
    <w:rsid w:val="55CF16AB"/>
    <w:rsid w:val="55CF7557"/>
    <w:rsid w:val="55D102C2"/>
    <w:rsid w:val="55D21433"/>
    <w:rsid w:val="55D2A9D0"/>
    <w:rsid w:val="55D2BBA7"/>
    <w:rsid w:val="55D308C0"/>
    <w:rsid w:val="55D31346"/>
    <w:rsid w:val="55D40F14"/>
    <w:rsid w:val="55D6E79F"/>
    <w:rsid w:val="55D7515E"/>
    <w:rsid w:val="55D75940"/>
    <w:rsid w:val="55D797B0"/>
    <w:rsid w:val="55D7B373"/>
    <w:rsid w:val="55D8976C"/>
    <w:rsid w:val="55D8F435"/>
    <w:rsid w:val="55D92E2A"/>
    <w:rsid w:val="55DB098D"/>
    <w:rsid w:val="55E05933"/>
    <w:rsid w:val="55E0C6D4"/>
    <w:rsid w:val="55E0E5D6"/>
    <w:rsid w:val="55E2E97F"/>
    <w:rsid w:val="55E43617"/>
    <w:rsid w:val="55E4F7B1"/>
    <w:rsid w:val="55E5EC8F"/>
    <w:rsid w:val="55E8445E"/>
    <w:rsid w:val="55E894CE"/>
    <w:rsid w:val="55E8F917"/>
    <w:rsid w:val="55EA0432"/>
    <w:rsid w:val="55EEFC07"/>
    <w:rsid w:val="55EFA5C1"/>
    <w:rsid w:val="55F04122"/>
    <w:rsid w:val="55F1CFD3"/>
    <w:rsid w:val="55F274EB"/>
    <w:rsid w:val="55F33B2D"/>
    <w:rsid w:val="55F359AF"/>
    <w:rsid w:val="55F3E995"/>
    <w:rsid w:val="55F4283F"/>
    <w:rsid w:val="55F48124"/>
    <w:rsid w:val="55F59A60"/>
    <w:rsid w:val="55F65801"/>
    <w:rsid w:val="55F709F4"/>
    <w:rsid w:val="55F74F43"/>
    <w:rsid w:val="55FC426F"/>
    <w:rsid w:val="55FCA0E7"/>
    <w:rsid w:val="55FDA4EF"/>
    <w:rsid w:val="55FFF1AB"/>
    <w:rsid w:val="56011904"/>
    <w:rsid w:val="56012DED"/>
    <w:rsid w:val="56013C01"/>
    <w:rsid w:val="5603724B"/>
    <w:rsid w:val="5603891E"/>
    <w:rsid w:val="56071F27"/>
    <w:rsid w:val="5607BD03"/>
    <w:rsid w:val="5608354E"/>
    <w:rsid w:val="56085346"/>
    <w:rsid w:val="560DF223"/>
    <w:rsid w:val="560F053C"/>
    <w:rsid w:val="560F951E"/>
    <w:rsid w:val="560FDF89"/>
    <w:rsid w:val="5615F4A1"/>
    <w:rsid w:val="5618CE45"/>
    <w:rsid w:val="561C5570"/>
    <w:rsid w:val="561DB2E9"/>
    <w:rsid w:val="561E86CD"/>
    <w:rsid w:val="561F070C"/>
    <w:rsid w:val="5620BB5C"/>
    <w:rsid w:val="5620DCF7"/>
    <w:rsid w:val="56214729"/>
    <w:rsid w:val="5621AFE2"/>
    <w:rsid w:val="56238BD0"/>
    <w:rsid w:val="5624941A"/>
    <w:rsid w:val="5624D0EA"/>
    <w:rsid w:val="5624D6E8"/>
    <w:rsid w:val="5627B1F8"/>
    <w:rsid w:val="5627DB16"/>
    <w:rsid w:val="5627F8CF"/>
    <w:rsid w:val="56280FE0"/>
    <w:rsid w:val="56291EE9"/>
    <w:rsid w:val="562983DF"/>
    <w:rsid w:val="562ABF98"/>
    <w:rsid w:val="562BE621"/>
    <w:rsid w:val="562C3C3C"/>
    <w:rsid w:val="562C6AA6"/>
    <w:rsid w:val="562F5584"/>
    <w:rsid w:val="563135C4"/>
    <w:rsid w:val="56316A9E"/>
    <w:rsid w:val="56321136"/>
    <w:rsid w:val="56333ACD"/>
    <w:rsid w:val="56343096"/>
    <w:rsid w:val="56345EA7"/>
    <w:rsid w:val="56351F55"/>
    <w:rsid w:val="56361EC0"/>
    <w:rsid w:val="56367936"/>
    <w:rsid w:val="56368FA1"/>
    <w:rsid w:val="5636925F"/>
    <w:rsid w:val="5637E11E"/>
    <w:rsid w:val="563815A9"/>
    <w:rsid w:val="56392E55"/>
    <w:rsid w:val="563AB005"/>
    <w:rsid w:val="563C29DC"/>
    <w:rsid w:val="563E7994"/>
    <w:rsid w:val="563ED2BD"/>
    <w:rsid w:val="563F05FE"/>
    <w:rsid w:val="56410C6D"/>
    <w:rsid w:val="56439469"/>
    <w:rsid w:val="564498DE"/>
    <w:rsid w:val="5644E5B4"/>
    <w:rsid w:val="5646125B"/>
    <w:rsid w:val="56461EA1"/>
    <w:rsid w:val="56482177"/>
    <w:rsid w:val="564A0321"/>
    <w:rsid w:val="564B02B5"/>
    <w:rsid w:val="564B0DDC"/>
    <w:rsid w:val="564D7C32"/>
    <w:rsid w:val="56500592"/>
    <w:rsid w:val="5650982B"/>
    <w:rsid w:val="5651250B"/>
    <w:rsid w:val="5651CADE"/>
    <w:rsid w:val="56534C73"/>
    <w:rsid w:val="56534DB9"/>
    <w:rsid w:val="5653D3DE"/>
    <w:rsid w:val="5653E6BC"/>
    <w:rsid w:val="5654230E"/>
    <w:rsid w:val="56554F13"/>
    <w:rsid w:val="5655AABA"/>
    <w:rsid w:val="565649A2"/>
    <w:rsid w:val="56573379"/>
    <w:rsid w:val="565855FD"/>
    <w:rsid w:val="565C2049"/>
    <w:rsid w:val="565C639E"/>
    <w:rsid w:val="565EF5EF"/>
    <w:rsid w:val="565F24CC"/>
    <w:rsid w:val="565F73B9"/>
    <w:rsid w:val="565F8478"/>
    <w:rsid w:val="56609764"/>
    <w:rsid w:val="5660F2E8"/>
    <w:rsid w:val="5662BB08"/>
    <w:rsid w:val="5662BC92"/>
    <w:rsid w:val="5662CE29"/>
    <w:rsid w:val="5662EE5A"/>
    <w:rsid w:val="5663A867"/>
    <w:rsid w:val="5663ABDA"/>
    <w:rsid w:val="5663F8AC"/>
    <w:rsid w:val="56651692"/>
    <w:rsid w:val="56661783"/>
    <w:rsid w:val="5666545C"/>
    <w:rsid w:val="5666D5DB"/>
    <w:rsid w:val="56672228"/>
    <w:rsid w:val="56677E0E"/>
    <w:rsid w:val="566A4A57"/>
    <w:rsid w:val="566A6E69"/>
    <w:rsid w:val="566BA3E3"/>
    <w:rsid w:val="566C436E"/>
    <w:rsid w:val="566C56A5"/>
    <w:rsid w:val="566E6EB3"/>
    <w:rsid w:val="5671D1B0"/>
    <w:rsid w:val="567247F5"/>
    <w:rsid w:val="56725438"/>
    <w:rsid w:val="56732E26"/>
    <w:rsid w:val="5677F378"/>
    <w:rsid w:val="56794C01"/>
    <w:rsid w:val="567992A2"/>
    <w:rsid w:val="567B1366"/>
    <w:rsid w:val="567D8BC7"/>
    <w:rsid w:val="567DCD53"/>
    <w:rsid w:val="567E1D90"/>
    <w:rsid w:val="567F2406"/>
    <w:rsid w:val="567FD3CE"/>
    <w:rsid w:val="56817A2B"/>
    <w:rsid w:val="5683B1A6"/>
    <w:rsid w:val="56842953"/>
    <w:rsid w:val="56844AB2"/>
    <w:rsid w:val="56847454"/>
    <w:rsid w:val="5685D748"/>
    <w:rsid w:val="5686016F"/>
    <w:rsid w:val="5686D369"/>
    <w:rsid w:val="56875720"/>
    <w:rsid w:val="568A9711"/>
    <w:rsid w:val="568B0F5E"/>
    <w:rsid w:val="568C5355"/>
    <w:rsid w:val="568C69DD"/>
    <w:rsid w:val="568DBF27"/>
    <w:rsid w:val="568DF2BF"/>
    <w:rsid w:val="56905F1E"/>
    <w:rsid w:val="5690CEE9"/>
    <w:rsid w:val="56932060"/>
    <w:rsid w:val="569494E1"/>
    <w:rsid w:val="569615BA"/>
    <w:rsid w:val="56986124"/>
    <w:rsid w:val="569A3CA6"/>
    <w:rsid w:val="569C23F6"/>
    <w:rsid w:val="569CF8E7"/>
    <w:rsid w:val="569D0142"/>
    <w:rsid w:val="569E14F7"/>
    <w:rsid w:val="569FA524"/>
    <w:rsid w:val="56A00258"/>
    <w:rsid w:val="56A0BBD7"/>
    <w:rsid w:val="56A641C4"/>
    <w:rsid w:val="56A79B21"/>
    <w:rsid w:val="56A7D051"/>
    <w:rsid w:val="56A93B0D"/>
    <w:rsid w:val="56A9BD2E"/>
    <w:rsid w:val="56A9F336"/>
    <w:rsid w:val="56AF15FF"/>
    <w:rsid w:val="56AF3AFE"/>
    <w:rsid w:val="56B1ABE5"/>
    <w:rsid w:val="56B2205F"/>
    <w:rsid w:val="56B38204"/>
    <w:rsid w:val="56B41C9C"/>
    <w:rsid w:val="56B62B4B"/>
    <w:rsid w:val="56B6EB8F"/>
    <w:rsid w:val="56B7725E"/>
    <w:rsid w:val="56BA5F97"/>
    <w:rsid w:val="56BAA20C"/>
    <w:rsid w:val="56BB0DB9"/>
    <w:rsid w:val="56BBBC80"/>
    <w:rsid w:val="56BD30A6"/>
    <w:rsid w:val="56BD7850"/>
    <w:rsid w:val="56C38C7C"/>
    <w:rsid w:val="56C46404"/>
    <w:rsid w:val="56C4A738"/>
    <w:rsid w:val="56C61175"/>
    <w:rsid w:val="56CA2950"/>
    <w:rsid w:val="56CB4026"/>
    <w:rsid w:val="56CD36F7"/>
    <w:rsid w:val="56CD7670"/>
    <w:rsid w:val="56CE7103"/>
    <w:rsid w:val="56CEDCDB"/>
    <w:rsid w:val="56D1032C"/>
    <w:rsid w:val="56D4388C"/>
    <w:rsid w:val="56D53609"/>
    <w:rsid w:val="56D6865C"/>
    <w:rsid w:val="56D77CDE"/>
    <w:rsid w:val="56DA0321"/>
    <w:rsid w:val="56DC08D0"/>
    <w:rsid w:val="56DC6F09"/>
    <w:rsid w:val="56DEFB23"/>
    <w:rsid w:val="56E156B4"/>
    <w:rsid w:val="56E17CDA"/>
    <w:rsid w:val="56E258C0"/>
    <w:rsid w:val="56E2A61A"/>
    <w:rsid w:val="56E308FB"/>
    <w:rsid w:val="56E3A8C0"/>
    <w:rsid w:val="56E45CA8"/>
    <w:rsid w:val="56E46745"/>
    <w:rsid w:val="56E679AD"/>
    <w:rsid w:val="56E6B72C"/>
    <w:rsid w:val="56E996DF"/>
    <w:rsid w:val="56EA3931"/>
    <w:rsid w:val="56ED0814"/>
    <w:rsid w:val="56EDD960"/>
    <w:rsid w:val="56F02CE6"/>
    <w:rsid w:val="56F053BC"/>
    <w:rsid w:val="56F374F4"/>
    <w:rsid w:val="56F460CE"/>
    <w:rsid w:val="56F4A732"/>
    <w:rsid w:val="56F67840"/>
    <w:rsid w:val="56F8A448"/>
    <w:rsid w:val="56FB1982"/>
    <w:rsid w:val="56FB8C24"/>
    <w:rsid w:val="56FC65F2"/>
    <w:rsid w:val="570014B3"/>
    <w:rsid w:val="57005E0A"/>
    <w:rsid w:val="5700ACDA"/>
    <w:rsid w:val="57016777"/>
    <w:rsid w:val="5701A9E2"/>
    <w:rsid w:val="5704281C"/>
    <w:rsid w:val="57045256"/>
    <w:rsid w:val="57071570"/>
    <w:rsid w:val="5708C92A"/>
    <w:rsid w:val="57099ED6"/>
    <w:rsid w:val="570B44FA"/>
    <w:rsid w:val="570B8FEB"/>
    <w:rsid w:val="570CA0E2"/>
    <w:rsid w:val="570DFAB9"/>
    <w:rsid w:val="57100185"/>
    <w:rsid w:val="5710907E"/>
    <w:rsid w:val="57110780"/>
    <w:rsid w:val="5714B1C6"/>
    <w:rsid w:val="57163903"/>
    <w:rsid w:val="5716CB39"/>
    <w:rsid w:val="571758F6"/>
    <w:rsid w:val="57175D1C"/>
    <w:rsid w:val="57186A13"/>
    <w:rsid w:val="571894E2"/>
    <w:rsid w:val="571AB697"/>
    <w:rsid w:val="571D224E"/>
    <w:rsid w:val="571F6B5B"/>
    <w:rsid w:val="571FF1F3"/>
    <w:rsid w:val="57211BC1"/>
    <w:rsid w:val="5721C557"/>
    <w:rsid w:val="572230B1"/>
    <w:rsid w:val="5722E26E"/>
    <w:rsid w:val="5726FC4A"/>
    <w:rsid w:val="572890ED"/>
    <w:rsid w:val="57289254"/>
    <w:rsid w:val="572AEE83"/>
    <w:rsid w:val="572D2403"/>
    <w:rsid w:val="572DE2B9"/>
    <w:rsid w:val="572E93AD"/>
    <w:rsid w:val="572F3DFC"/>
    <w:rsid w:val="572FD477"/>
    <w:rsid w:val="57306A32"/>
    <w:rsid w:val="57306E1B"/>
    <w:rsid w:val="57314FA3"/>
    <w:rsid w:val="5731D683"/>
    <w:rsid w:val="5732813F"/>
    <w:rsid w:val="57342AC1"/>
    <w:rsid w:val="57346CF6"/>
    <w:rsid w:val="57354E91"/>
    <w:rsid w:val="5735EC00"/>
    <w:rsid w:val="5737F6F2"/>
    <w:rsid w:val="573C0BA8"/>
    <w:rsid w:val="573D1383"/>
    <w:rsid w:val="573F93C7"/>
    <w:rsid w:val="573FD93C"/>
    <w:rsid w:val="57402755"/>
    <w:rsid w:val="57409CEA"/>
    <w:rsid w:val="57411BC3"/>
    <w:rsid w:val="57432089"/>
    <w:rsid w:val="574864A9"/>
    <w:rsid w:val="5748A339"/>
    <w:rsid w:val="5748C0A9"/>
    <w:rsid w:val="5748CD6C"/>
    <w:rsid w:val="574A56E1"/>
    <w:rsid w:val="574AA54B"/>
    <w:rsid w:val="574BD0E8"/>
    <w:rsid w:val="574BE596"/>
    <w:rsid w:val="574D5DFC"/>
    <w:rsid w:val="5750367B"/>
    <w:rsid w:val="575062A7"/>
    <w:rsid w:val="5753CAD6"/>
    <w:rsid w:val="575440B2"/>
    <w:rsid w:val="5754711F"/>
    <w:rsid w:val="5754F00D"/>
    <w:rsid w:val="57551EBF"/>
    <w:rsid w:val="57567536"/>
    <w:rsid w:val="5756D2F6"/>
    <w:rsid w:val="57570B40"/>
    <w:rsid w:val="5757D2CE"/>
    <w:rsid w:val="5758803D"/>
    <w:rsid w:val="5758E3A7"/>
    <w:rsid w:val="575AA59B"/>
    <w:rsid w:val="575ABA90"/>
    <w:rsid w:val="575BA6D5"/>
    <w:rsid w:val="575BB419"/>
    <w:rsid w:val="575FE74E"/>
    <w:rsid w:val="57602526"/>
    <w:rsid w:val="57604A46"/>
    <w:rsid w:val="5760D738"/>
    <w:rsid w:val="5762681F"/>
    <w:rsid w:val="5763783A"/>
    <w:rsid w:val="57640DE3"/>
    <w:rsid w:val="576670A7"/>
    <w:rsid w:val="5766A45E"/>
    <w:rsid w:val="576B46BB"/>
    <w:rsid w:val="576D2F7E"/>
    <w:rsid w:val="57701BE1"/>
    <w:rsid w:val="57703178"/>
    <w:rsid w:val="577053E0"/>
    <w:rsid w:val="577054EB"/>
    <w:rsid w:val="57706045"/>
    <w:rsid w:val="577131BE"/>
    <w:rsid w:val="5771A1F8"/>
    <w:rsid w:val="57752038"/>
    <w:rsid w:val="577644FA"/>
    <w:rsid w:val="57776007"/>
    <w:rsid w:val="5778A6B7"/>
    <w:rsid w:val="5778FF60"/>
    <w:rsid w:val="5779ED0B"/>
    <w:rsid w:val="577CBE7A"/>
    <w:rsid w:val="577CC91F"/>
    <w:rsid w:val="577E2032"/>
    <w:rsid w:val="577E8F6E"/>
    <w:rsid w:val="577EB99D"/>
    <w:rsid w:val="5784BBF3"/>
    <w:rsid w:val="5785018D"/>
    <w:rsid w:val="5786500C"/>
    <w:rsid w:val="57876301"/>
    <w:rsid w:val="57876417"/>
    <w:rsid w:val="578888AE"/>
    <w:rsid w:val="578951FF"/>
    <w:rsid w:val="578ACC68"/>
    <w:rsid w:val="578B6992"/>
    <w:rsid w:val="578B6BC6"/>
    <w:rsid w:val="578BC584"/>
    <w:rsid w:val="578CC29C"/>
    <w:rsid w:val="578D1AB6"/>
    <w:rsid w:val="578D8507"/>
    <w:rsid w:val="578EBE4F"/>
    <w:rsid w:val="578F1C2A"/>
    <w:rsid w:val="57926A69"/>
    <w:rsid w:val="57942DD1"/>
    <w:rsid w:val="57951E08"/>
    <w:rsid w:val="579608CA"/>
    <w:rsid w:val="5797C65B"/>
    <w:rsid w:val="579A26D7"/>
    <w:rsid w:val="579A7CBA"/>
    <w:rsid w:val="579AAF25"/>
    <w:rsid w:val="579B44AC"/>
    <w:rsid w:val="579C6E7E"/>
    <w:rsid w:val="579D7CFA"/>
    <w:rsid w:val="579F73F4"/>
    <w:rsid w:val="57A0043C"/>
    <w:rsid w:val="57A0A9FA"/>
    <w:rsid w:val="57A0B8D7"/>
    <w:rsid w:val="57A218B4"/>
    <w:rsid w:val="57A29903"/>
    <w:rsid w:val="57A3058B"/>
    <w:rsid w:val="57A35C41"/>
    <w:rsid w:val="57A46351"/>
    <w:rsid w:val="57A872D2"/>
    <w:rsid w:val="57A9550B"/>
    <w:rsid w:val="57A9B750"/>
    <w:rsid w:val="57AAE7F3"/>
    <w:rsid w:val="57ABD3C9"/>
    <w:rsid w:val="57ACF94C"/>
    <w:rsid w:val="57AE0237"/>
    <w:rsid w:val="57AE5553"/>
    <w:rsid w:val="57BB140E"/>
    <w:rsid w:val="57BB4875"/>
    <w:rsid w:val="57C0642D"/>
    <w:rsid w:val="57C17C43"/>
    <w:rsid w:val="57C208EE"/>
    <w:rsid w:val="57C3777E"/>
    <w:rsid w:val="57C3DC45"/>
    <w:rsid w:val="57C51B7E"/>
    <w:rsid w:val="57C5E048"/>
    <w:rsid w:val="57C66093"/>
    <w:rsid w:val="57CB113E"/>
    <w:rsid w:val="57CBB6A5"/>
    <w:rsid w:val="57CDE78C"/>
    <w:rsid w:val="57CFCD39"/>
    <w:rsid w:val="57D1D307"/>
    <w:rsid w:val="57D21721"/>
    <w:rsid w:val="57D530B5"/>
    <w:rsid w:val="57D8B5E9"/>
    <w:rsid w:val="57D9AEBE"/>
    <w:rsid w:val="57DAB626"/>
    <w:rsid w:val="57DB7535"/>
    <w:rsid w:val="57DBACEC"/>
    <w:rsid w:val="57DBF8DD"/>
    <w:rsid w:val="57DD7E19"/>
    <w:rsid w:val="57DE6E23"/>
    <w:rsid w:val="57E035F5"/>
    <w:rsid w:val="57E30AAB"/>
    <w:rsid w:val="57E3BAAA"/>
    <w:rsid w:val="57EA9E53"/>
    <w:rsid w:val="57EB491A"/>
    <w:rsid w:val="57ECC6AB"/>
    <w:rsid w:val="57ED9FA3"/>
    <w:rsid w:val="57EF7471"/>
    <w:rsid w:val="57EF766D"/>
    <w:rsid w:val="57EFB7D0"/>
    <w:rsid w:val="57EFD2BC"/>
    <w:rsid w:val="57EFFB81"/>
    <w:rsid w:val="57F14470"/>
    <w:rsid w:val="57F2490F"/>
    <w:rsid w:val="57F3AC17"/>
    <w:rsid w:val="57F6F84E"/>
    <w:rsid w:val="57F7A175"/>
    <w:rsid w:val="57F847DD"/>
    <w:rsid w:val="57F8646A"/>
    <w:rsid w:val="57FAB3DB"/>
    <w:rsid w:val="57FAB9B0"/>
    <w:rsid w:val="57FD6B6C"/>
    <w:rsid w:val="5800025B"/>
    <w:rsid w:val="58021BE6"/>
    <w:rsid w:val="58025C94"/>
    <w:rsid w:val="58036434"/>
    <w:rsid w:val="58046D49"/>
    <w:rsid w:val="5804EC78"/>
    <w:rsid w:val="58062A4F"/>
    <w:rsid w:val="58095210"/>
    <w:rsid w:val="5809AE31"/>
    <w:rsid w:val="580A045C"/>
    <w:rsid w:val="580A54D1"/>
    <w:rsid w:val="580CF1EB"/>
    <w:rsid w:val="580D9305"/>
    <w:rsid w:val="580EB781"/>
    <w:rsid w:val="580ECA86"/>
    <w:rsid w:val="5811BE72"/>
    <w:rsid w:val="5811C24A"/>
    <w:rsid w:val="5812CB0B"/>
    <w:rsid w:val="5812DD0F"/>
    <w:rsid w:val="581578D2"/>
    <w:rsid w:val="5816811E"/>
    <w:rsid w:val="58176C6A"/>
    <w:rsid w:val="5817B00E"/>
    <w:rsid w:val="581D2FB8"/>
    <w:rsid w:val="58202471"/>
    <w:rsid w:val="582042B1"/>
    <w:rsid w:val="5823329D"/>
    <w:rsid w:val="5824DBB3"/>
    <w:rsid w:val="5826082A"/>
    <w:rsid w:val="5826B419"/>
    <w:rsid w:val="582A0FE5"/>
    <w:rsid w:val="582C077C"/>
    <w:rsid w:val="582E7D3F"/>
    <w:rsid w:val="583066C6"/>
    <w:rsid w:val="5830C400"/>
    <w:rsid w:val="58333C0B"/>
    <w:rsid w:val="5833922A"/>
    <w:rsid w:val="583720D5"/>
    <w:rsid w:val="583861A0"/>
    <w:rsid w:val="5839FA30"/>
    <w:rsid w:val="583A9193"/>
    <w:rsid w:val="583CA996"/>
    <w:rsid w:val="583FE199"/>
    <w:rsid w:val="5841A2FB"/>
    <w:rsid w:val="58451882"/>
    <w:rsid w:val="58453DF4"/>
    <w:rsid w:val="584AC6C3"/>
    <w:rsid w:val="584B8EEB"/>
    <w:rsid w:val="584BB0D0"/>
    <w:rsid w:val="584BB9E7"/>
    <w:rsid w:val="584BBD00"/>
    <w:rsid w:val="584D6344"/>
    <w:rsid w:val="584F59B1"/>
    <w:rsid w:val="58521E6C"/>
    <w:rsid w:val="5854C5D1"/>
    <w:rsid w:val="5855734B"/>
    <w:rsid w:val="5857C8A3"/>
    <w:rsid w:val="585BEDDD"/>
    <w:rsid w:val="585DB8F6"/>
    <w:rsid w:val="585DC4A6"/>
    <w:rsid w:val="585F1A71"/>
    <w:rsid w:val="585FD2BD"/>
    <w:rsid w:val="58604D5A"/>
    <w:rsid w:val="586074FF"/>
    <w:rsid w:val="5860BA71"/>
    <w:rsid w:val="5862007C"/>
    <w:rsid w:val="58632451"/>
    <w:rsid w:val="58645D39"/>
    <w:rsid w:val="5865F031"/>
    <w:rsid w:val="5868AD84"/>
    <w:rsid w:val="5869B73E"/>
    <w:rsid w:val="586A519C"/>
    <w:rsid w:val="586E691B"/>
    <w:rsid w:val="586F4333"/>
    <w:rsid w:val="586F9A8B"/>
    <w:rsid w:val="587298A3"/>
    <w:rsid w:val="58735CCB"/>
    <w:rsid w:val="587398CF"/>
    <w:rsid w:val="5876948B"/>
    <w:rsid w:val="58777076"/>
    <w:rsid w:val="58779B73"/>
    <w:rsid w:val="58779DE3"/>
    <w:rsid w:val="5878F58D"/>
    <w:rsid w:val="5879AA71"/>
    <w:rsid w:val="587BA2AF"/>
    <w:rsid w:val="587DCE1D"/>
    <w:rsid w:val="587E41AD"/>
    <w:rsid w:val="587F0746"/>
    <w:rsid w:val="587F9BCD"/>
    <w:rsid w:val="58805D7E"/>
    <w:rsid w:val="5885EDD9"/>
    <w:rsid w:val="5888CA2E"/>
    <w:rsid w:val="58898889"/>
    <w:rsid w:val="5889F332"/>
    <w:rsid w:val="588BD77F"/>
    <w:rsid w:val="588D4A92"/>
    <w:rsid w:val="5892EE68"/>
    <w:rsid w:val="58939D73"/>
    <w:rsid w:val="58940608"/>
    <w:rsid w:val="589466AB"/>
    <w:rsid w:val="5895DD38"/>
    <w:rsid w:val="58962CAE"/>
    <w:rsid w:val="58965DAD"/>
    <w:rsid w:val="58985738"/>
    <w:rsid w:val="5898593E"/>
    <w:rsid w:val="589F7DF0"/>
    <w:rsid w:val="58A21482"/>
    <w:rsid w:val="58A4E26B"/>
    <w:rsid w:val="58A7A59D"/>
    <w:rsid w:val="58A8D053"/>
    <w:rsid w:val="58AD2726"/>
    <w:rsid w:val="58AE431E"/>
    <w:rsid w:val="58B08227"/>
    <w:rsid w:val="58B11DFB"/>
    <w:rsid w:val="58B162EA"/>
    <w:rsid w:val="58B759BA"/>
    <w:rsid w:val="58B7B461"/>
    <w:rsid w:val="58B85B7E"/>
    <w:rsid w:val="58B97B30"/>
    <w:rsid w:val="58B99D8E"/>
    <w:rsid w:val="58BB6A0F"/>
    <w:rsid w:val="58BC48B8"/>
    <w:rsid w:val="58BD4395"/>
    <w:rsid w:val="58BDF56E"/>
    <w:rsid w:val="58BED6D7"/>
    <w:rsid w:val="58BF8286"/>
    <w:rsid w:val="58BFB267"/>
    <w:rsid w:val="58C0C94B"/>
    <w:rsid w:val="58C1651F"/>
    <w:rsid w:val="58C2B135"/>
    <w:rsid w:val="58C361A9"/>
    <w:rsid w:val="58C4B38C"/>
    <w:rsid w:val="58C56F0D"/>
    <w:rsid w:val="58C6A8A4"/>
    <w:rsid w:val="58C6AB48"/>
    <w:rsid w:val="58C7B305"/>
    <w:rsid w:val="58C7CF06"/>
    <w:rsid w:val="58CAE5D5"/>
    <w:rsid w:val="58CAED36"/>
    <w:rsid w:val="58CB704A"/>
    <w:rsid w:val="58CCCCF6"/>
    <w:rsid w:val="58CD0DF6"/>
    <w:rsid w:val="58D025AC"/>
    <w:rsid w:val="58D08E4A"/>
    <w:rsid w:val="58D1CCC4"/>
    <w:rsid w:val="58D20B69"/>
    <w:rsid w:val="58D34CAA"/>
    <w:rsid w:val="58D59BB4"/>
    <w:rsid w:val="58D75A39"/>
    <w:rsid w:val="58DA84E7"/>
    <w:rsid w:val="58DBBFC4"/>
    <w:rsid w:val="58DC3B57"/>
    <w:rsid w:val="58DD6C38"/>
    <w:rsid w:val="58DF77E9"/>
    <w:rsid w:val="58E5AAEF"/>
    <w:rsid w:val="58E66DFA"/>
    <w:rsid w:val="58E6AC9E"/>
    <w:rsid w:val="58E6CD90"/>
    <w:rsid w:val="58E8235A"/>
    <w:rsid w:val="58EB03F2"/>
    <w:rsid w:val="58ECCDD2"/>
    <w:rsid w:val="58EF4697"/>
    <w:rsid w:val="58F10AA1"/>
    <w:rsid w:val="58F39AED"/>
    <w:rsid w:val="58F6B205"/>
    <w:rsid w:val="58F6C6EB"/>
    <w:rsid w:val="58F80296"/>
    <w:rsid w:val="58F97DD1"/>
    <w:rsid w:val="58FD65FA"/>
    <w:rsid w:val="58FF21D7"/>
    <w:rsid w:val="58FF73E0"/>
    <w:rsid w:val="5901221B"/>
    <w:rsid w:val="59014FD7"/>
    <w:rsid w:val="59019B4C"/>
    <w:rsid w:val="5901E131"/>
    <w:rsid w:val="590295FF"/>
    <w:rsid w:val="590479D0"/>
    <w:rsid w:val="5905D7C8"/>
    <w:rsid w:val="59064F9F"/>
    <w:rsid w:val="5907AA30"/>
    <w:rsid w:val="590A6455"/>
    <w:rsid w:val="590B4A13"/>
    <w:rsid w:val="590C2772"/>
    <w:rsid w:val="591204E5"/>
    <w:rsid w:val="5912BE86"/>
    <w:rsid w:val="5913334C"/>
    <w:rsid w:val="5915861C"/>
    <w:rsid w:val="5916DA8C"/>
    <w:rsid w:val="5916E0D5"/>
    <w:rsid w:val="59185E77"/>
    <w:rsid w:val="591A5775"/>
    <w:rsid w:val="591AAA07"/>
    <w:rsid w:val="591D23F8"/>
    <w:rsid w:val="591F8CA9"/>
    <w:rsid w:val="59225A24"/>
    <w:rsid w:val="59242ECA"/>
    <w:rsid w:val="5924C07E"/>
    <w:rsid w:val="59259D9C"/>
    <w:rsid w:val="59265538"/>
    <w:rsid w:val="5927D425"/>
    <w:rsid w:val="5928370D"/>
    <w:rsid w:val="5928EC61"/>
    <w:rsid w:val="592911E3"/>
    <w:rsid w:val="5929DEA6"/>
    <w:rsid w:val="5929E853"/>
    <w:rsid w:val="592A025E"/>
    <w:rsid w:val="592A8F6D"/>
    <w:rsid w:val="592C442C"/>
    <w:rsid w:val="592DA706"/>
    <w:rsid w:val="592DBF79"/>
    <w:rsid w:val="5930AFD8"/>
    <w:rsid w:val="593119C9"/>
    <w:rsid w:val="5931F042"/>
    <w:rsid w:val="59347256"/>
    <w:rsid w:val="5934C6B3"/>
    <w:rsid w:val="5934D405"/>
    <w:rsid w:val="5934EEF0"/>
    <w:rsid w:val="5936227D"/>
    <w:rsid w:val="5936CADE"/>
    <w:rsid w:val="5938451C"/>
    <w:rsid w:val="593A90CC"/>
    <w:rsid w:val="593B560C"/>
    <w:rsid w:val="593BAA6A"/>
    <w:rsid w:val="593E8D57"/>
    <w:rsid w:val="5940D6BF"/>
    <w:rsid w:val="5942B7D1"/>
    <w:rsid w:val="5942CF28"/>
    <w:rsid w:val="59456BA7"/>
    <w:rsid w:val="5948773A"/>
    <w:rsid w:val="5948CD98"/>
    <w:rsid w:val="594AA541"/>
    <w:rsid w:val="594ACD94"/>
    <w:rsid w:val="594D0B5D"/>
    <w:rsid w:val="595275B8"/>
    <w:rsid w:val="595386E7"/>
    <w:rsid w:val="59564F01"/>
    <w:rsid w:val="59585514"/>
    <w:rsid w:val="59586AE1"/>
    <w:rsid w:val="595B12B6"/>
    <w:rsid w:val="595D0CC7"/>
    <w:rsid w:val="595D5EA3"/>
    <w:rsid w:val="595E3E2F"/>
    <w:rsid w:val="59608940"/>
    <w:rsid w:val="59614EA5"/>
    <w:rsid w:val="5961F9D7"/>
    <w:rsid w:val="59626F46"/>
    <w:rsid w:val="5963ADE8"/>
    <w:rsid w:val="5966035F"/>
    <w:rsid w:val="59663ACD"/>
    <w:rsid w:val="596908B4"/>
    <w:rsid w:val="59698B17"/>
    <w:rsid w:val="596A6FDF"/>
    <w:rsid w:val="596B37BD"/>
    <w:rsid w:val="596BD054"/>
    <w:rsid w:val="596D3CE1"/>
    <w:rsid w:val="5970A601"/>
    <w:rsid w:val="5970D13A"/>
    <w:rsid w:val="59716FB4"/>
    <w:rsid w:val="5972DD80"/>
    <w:rsid w:val="597526B2"/>
    <w:rsid w:val="5976CDA0"/>
    <w:rsid w:val="59795426"/>
    <w:rsid w:val="597A05E7"/>
    <w:rsid w:val="597B5A84"/>
    <w:rsid w:val="597DC559"/>
    <w:rsid w:val="597FD46F"/>
    <w:rsid w:val="5981BDD0"/>
    <w:rsid w:val="5981FF40"/>
    <w:rsid w:val="5985D411"/>
    <w:rsid w:val="5988720F"/>
    <w:rsid w:val="59896A94"/>
    <w:rsid w:val="598A6171"/>
    <w:rsid w:val="598B69EA"/>
    <w:rsid w:val="598BC945"/>
    <w:rsid w:val="598D66BE"/>
    <w:rsid w:val="598ED002"/>
    <w:rsid w:val="599112B8"/>
    <w:rsid w:val="5993B5DF"/>
    <w:rsid w:val="5997C83C"/>
    <w:rsid w:val="5997D098"/>
    <w:rsid w:val="599875CC"/>
    <w:rsid w:val="599B3843"/>
    <w:rsid w:val="599B83C4"/>
    <w:rsid w:val="599C4B44"/>
    <w:rsid w:val="599E5F62"/>
    <w:rsid w:val="59A0D9D5"/>
    <w:rsid w:val="59A275F2"/>
    <w:rsid w:val="59A31B8A"/>
    <w:rsid w:val="59A44DA6"/>
    <w:rsid w:val="59A73775"/>
    <w:rsid w:val="59A7A80C"/>
    <w:rsid w:val="59A875B9"/>
    <w:rsid w:val="59A8FBA8"/>
    <w:rsid w:val="59A95928"/>
    <w:rsid w:val="59A9BA12"/>
    <w:rsid w:val="59ACE529"/>
    <w:rsid w:val="59AFAA09"/>
    <w:rsid w:val="59B06AF3"/>
    <w:rsid w:val="59B2A798"/>
    <w:rsid w:val="59B4E686"/>
    <w:rsid w:val="59B59E99"/>
    <w:rsid w:val="59B88C66"/>
    <w:rsid w:val="59BB18DB"/>
    <w:rsid w:val="59BD3851"/>
    <w:rsid w:val="59BFDE85"/>
    <w:rsid w:val="59C1BEDF"/>
    <w:rsid w:val="59C33EEA"/>
    <w:rsid w:val="59C49921"/>
    <w:rsid w:val="59C4F311"/>
    <w:rsid w:val="59C505E4"/>
    <w:rsid w:val="59C56FB3"/>
    <w:rsid w:val="59C6AD5B"/>
    <w:rsid w:val="59C6E63C"/>
    <w:rsid w:val="59C73E30"/>
    <w:rsid w:val="59C9A6BE"/>
    <w:rsid w:val="59CD70AA"/>
    <w:rsid w:val="59D16DC6"/>
    <w:rsid w:val="59D19EDC"/>
    <w:rsid w:val="59D8C30E"/>
    <w:rsid w:val="59DD1C9E"/>
    <w:rsid w:val="59E057BF"/>
    <w:rsid w:val="59E271C2"/>
    <w:rsid w:val="59E58AAC"/>
    <w:rsid w:val="59E978BF"/>
    <w:rsid w:val="59EAB6B4"/>
    <w:rsid w:val="59ED53F5"/>
    <w:rsid w:val="59EED65D"/>
    <w:rsid w:val="59EFB87A"/>
    <w:rsid w:val="59F25080"/>
    <w:rsid w:val="59F4A908"/>
    <w:rsid w:val="59F50538"/>
    <w:rsid w:val="59F62319"/>
    <w:rsid w:val="59F62C03"/>
    <w:rsid w:val="59F818D6"/>
    <w:rsid w:val="59F862C3"/>
    <w:rsid w:val="5A015570"/>
    <w:rsid w:val="5A0A4AC9"/>
    <w:rsid w:val="5A0AA351"/>
    <w:rsid w:val="5A0B3C7C"/>
    <w:rsid w:val="5A0C92C5"/>
    <w:rsid w:val="5A0CB93E"/>
    <w:rsid w:val="5A0CD68F"/>
    <w:rsid w:val="5A0CFAE3"/>
    <w:rsid w:val="5A0D71A3"/>
    <w:rsid w:val="5A0FB956"/>
    <w:rsid w:val="5A10D668"/>
    <w:rsid w:val="5A129F60"/>
    <w:rsid w:val="5A16F865"/>
    <w:rsid w:val="5A194EDD"/>
    <w:rsid w:val="5A1B4AF6"/>
    <w:rsid w:val="5A1C0713"/>
    <w:rsid w:val="5A1E4A08"/>
    <w:rsid w:val="5A1F49F1"/>
    <w:rsid w:val="5A200B1D"/>
    <w:rsid w:val="5A203B2C"/>
    <w:rsid w:val="5A20EAF8"/>
    <w:rsid w:val="5A21AB26"/>
    <w:rsid w:val="5A22861B"/>
    <w:rsid w:val="5A2410BE"/>
    <w:rsid w:val="5A248D7B"/>
    <w:rsid w:val="5A24D1EB"/>
    <w:rsid w:val="5A26D3F7"/>
    <w:rsid w:val="5A2985C9"/>
    <w:rsid w:val="5A29BFA9"/>
    <w:rsid w:val="5A29F843"/>
    <w:rsid w:val="5A2A35F0"/>
    <w:rsid w:val="5A2A39B9"/>
    <w:rsid w:val="5A2A55A2"/>
    <w:rsid w:val="5A2AF566"/>
    <w:rsid w:val="5A2B2C04"/>
    <w:rsid w:val="5A2B6E6F"/>
    <w:rsid w:val="5A2CCEAA"/>
    <w:rsid w:val="5A2E06C4"/>
    <w:rsid w:val="5A2F2E7B"/>
    <w:rsid w:val="5A2FB066"/>
    <w:rsid w:val="5A30DFE2"/>
    <w:rsid w:val="5A31B75D"/>
    <w:rsid w:val="5A31C35C"/>
    <w:rsid w:val="5A3257DB"/>
    <w:rsid w:val="5A3290FF"/>
    <w:rsid w:val="5A32AFAD"/>
    <w:rsid w:val="5A33378B"/>
    <w:rsid w:val="5A341DE3"/>
    <w:rsid w:val="5A34775D"/>
    <w:rsid w:val="5A3530E0"/>
    <w:rsid w:val="5A379CEA"/>
    <w:rsid w:val="5A396CFE"/>
    <w:rsid w:val="5A39ABB1"/>
    <w:rsid w:val="5A3B84AA"/>
    <w:rsid w:val="5A3BBF5F"/>
    <w:rsid w:val="5A3C7436"/>
    <w:rsid w:val="5A3CDCF4"/>
    <w:rsid w:val="5A3E290D"/>
    <w:rsid w:val="5A3F49FB"/>
    <w:rsid w:val="5A4150B9"/>
    <w:rsid w:val="5A41584E"/>
    <w:rsid w:val="5A431BB1"/>
    <w:rsid w:val="5A444299"/>
    <w:rsid w:val="5A44D47B"/>
    <w:rsid w:val="5A46CE72"/>
    <w:rsid w:val="5A4977EA"/>
    <w:rsid w:val="5A4A2C5B"/>
    <w:rsid w:val="5A4AD6C8"/>
    <w:rsid w:val="5A4B6C59"/>
    <w:rsid w:val="5A4B7D93"/>
    <w:rsid w:val="5A4C0AA0"/>
    <w:rsid w:val="5A4C1878"/>
    <w:rsid w:val="5A4D344B"/>
    <w:rsid w:val="5A4E2C1E"/>
    <w:rsid w:val="5A50B4F4"/>
    <w:rsid w:val="5A558460"/>
    <w:rsid w:val="5A567709"/>
    <w:rsid w:val="5A57B83F"/>
    <w:rsid w:val="5A5881DA"/>
    <w:rsid w:val="5A5A47C9"/>
    <w:rsid w:val="5A5B2397"/>
    <w:rsid w:val="5A5BD38E"/>
    <w:rsid w:val="5A5C11D8"/>
    <w:rsid w:val="5A5CFF5B"/>
    <w:rsid w:val="5A5D5FCF"/>
    <w:rsid w:val="5A5ECB0B"/>
    <w:rsid w:val="5A5ECBBE"/>
    <w:rsid w:val="5A60DBB7"/>
    <w:rsid w:val="5A613ADC"/>
    <w:rsid w:val="5A618F61"/>
    <w:rsid w:val="5A650FA6"/>
    <w:rsid w:val="5A6688CE"/>
    <w:rsid w:val="5A668B38"/>
    <w:rsid w:val="5A66BB13"/>
    <w:rsid w:val="5A67B856"/>
    <w:rsid w:val="5A68D61A"/>
    <w:rsid w:val="5A69AD9F"/>
    <w:rsid w:val="5A6BFB03"/>
    <w:rsid w:val="5A6C60BC"/>
    <w:rsid w:val="5A6DC3B0"/>
    <w:rsid w:val="5A702095"/>
    <w:rsid w:val="5A727CA7"/>
    <w:rsid w:val="5A740C67"/>
    <w:rsid w:val="5A78A67C"/>
    <w:rsid w:val="5A78B978"/>
    <w:rsid w:val="5A794CA1"/>
    <w:rsid w:val="5A7F0DCF"/>
    <w:rsid w:val="5A7F2C00"/>
    <w:rsid w:val="5A804A47"/>
    <w:rsid w:val="5A81C1DE"/>
    <w:rsid w:val="5A81D3E3"/>
    <w:rsid w:val="5A8222FE"/>
    <w:rsid w:val="5A82F431"/>
    <w:rsid w:val="5A83A799"/>
    <w:rsid w:val="5A84B789"/>
    <w:rsid w:val="5A85072B"/>
    <w:rsid w:val="5A85834D"/>
    <w:rsid w:val="5A89C649"/>
    <w:rsid w:val="5A8BF832"/>
    <w:rsid w:val="5A8F974E"/>
    <w:rsid w:val="5A8FECEF"/>
    <w:rsid w:val="5A904614"/>
    <w:rsid w:val="5A9104D1"/>
    <w:rsid w:val="5A91B204"/>
    <w:rsid w:val="5A931DEC"/>
    <w:rsid w:val="5A93615A"/>
    <w:rsid w:val="5A9487EB"/>
    <w:rsid w:val="5A94CE0B"/>
    <w:rsid w:val="5A94D055"/>
    <w:rsid w:val="5A94FCF9"/>
    <w:rsid w:val="5A95EA50"/>
    <w:rsid w:val="5A97C5E8"/>
    <w:rsid w:val="5A97DB0D"/>
    <w:rsid w:val="5A9883EE"/>
    <w:rsid w:val="5A995C37"/>
    <w:rsid w:val="5A9AC96F"/>
    <w:rsid w:val="5A9B8F14"/>
    <w:rsid w:val="5AA0A9F1"/>
    <w:rsid w:val="5AA27E4F"/>
    <w:rsid w:val="5AA57789"/>
    <w:rsid w:val="5AA86187"/>
    <w:rsid w:val="5AAB9422"/>
    <w:rsid w:val="5AAC16F0"/>
    <w:rsid w:val="5AAD1F66"/>
    <w:rsid w:val="5AAEAB49"/>
    <w:rsid w:val="5AB277DE"/>
    <w:rsid w:val="5AB7B034"/>
    <w:rsid w:val="5AB93A31"/>
    <w:rsid w:val="5AB9A7CB"/>
    <w:rsid w:val="5ABB7221"/>
    <w:rsid w:val="5ABC5937"/>
    <w:rsid w:val="5ABF3CB3"/>
    <w:rsid w:val="5ABF66EF"/>
    <w:rsid w:val="5AC07BA7"/>
    <w:rsid w:val="5AC0E72E"/>
    <w:rsid w:val="5AC241A2"/>
    <w:rsid w:val="5AC2F957"/>
    <w:rsid w:val="5AC5C464"/>
    <w:rsid w:val="5AC60460"/>
    <w:rsid w:val="5ACA30BB"/>
    <w:rsid w:val="5ACA718B"/>
    <w:rsid w:val="5ACA966B"/>
    <w:rsid w:val="5ACB7BED"/>
    <w:rsid w:val="5ACBE509"/>
    <w:rsid w:val="5ACBED3B"/>
    <w:rsid w:val="5ACC3B1E"/>
    <w:rsid w:val="5ACC5092"/>
    <w:rsid w:val="5ACDDA3F"/>
    <w:rsid w:val="5ACDE44B"/>
    <w:rsid w:val="5ACE62B6"/>
    <w:rsid w:val="5AD0BD06"/>
    <w:rsid w:val="5AD2E8D5"/>
    <w:rsid w:val="5AD5D188"/>
    <w:rsid w:val="5AD66A88"/>
    <w:rsid w:val="5AD89523"/>
    <w:rsid w:val="5ADA6D94"/>
    <w:rsid w:val="5ADA9327"/>
    <w:rsid w:val="5ADCB831"/>
    <w:rsid w:val="5AE03D02"/>
    <w:rsid w:val="5AE1B892"/>
    <w:rsid w:val="5AE1B9E5"/>
    <w:rsid w:val="5AE20C00"/>
    <w:rsid w:val="5AE2402A"/>
    <w:rsid w:val="5AE2D1DA"/>
    <w:rsid w:val="5AE39742"/>
    <w:rsid w:val="5AE50B81"/>
    <w:rsid w:val="5AE8775A"/>
    <w:rsid w:val="5AE9B225"/>
    <w:rsid w:val="5AEA1F43"/>
    <w:rsid w:val="5AEA5489"/>
    <w:rsid w:val="5AEA6135"/>
    <w:rsid w:val="5AEBCAD2"/>
    <w:rsid w:val="5AED3670"/>
    <w:rsid w:val="5AED7419"/>
    <w:rsid w:val="5AEF6379"/>
    <w:rsid w:val="5AEF99A0"/>
    <w:rsid w:val="5AF1042D"/>
    <w:rsid w:val="5AF1E889"/>
    <w:rsid w:val="5AF3A6BC"/>
    <w:rsid w:val="5AF3D8A0"/>
    <w:rsid w:val="5AF456EB"/>
    <w:rsid w:val="5AF713E3"/>
    <w:rsid w:val="5AF9D5ED"/>
    <w:rsid w:val="5AFA9287"/>
    <w:rsid w:val="5AFB57EA"/>
    <w:rsid w:val="5AFDDE07"/>
    <w:rsid w:val="5B01089A"/>
    <w:rsid w:val="5B0238F0"/>
    <w:rsid w:val="5B02FD99"/>
    <w:rsid w:val="5B030990"/>
    <w:rsid w:val="5B038509"/>
    <w:rsid w:val="5B0399A4"/>
    <w:rsid w:val="5B05A45E"/>
    <w:rsid w:val="5B076482"/>
    <w:rsid w:val="5B076853"/>
    <w:rsid w:val="5B09C269"/>
    <w:rsid w:val="5B0B7037"/>
    <w:rsid w:val="5B0B9375"/>
    <w:rsid w:val="5B0C3536"/>
    <w:rsid w:val="5B0C783A"/>
    <w:rsid w:val="5B0CD5E3"/>
    <w:rsid w:val="5B0DAD65"/>
    <w:rsid w:val="5B0F2DD2"/>
    <w:rsid w:val="5B0F9338"/>
    <w:rsid w:val="5B13E378"/>
    <w:rsid w:val="5B146827"/>
    <w:rsid w:val="5B18002B"/>
    <w:rsid w:val="5B1855CB"/>
    <w:rsid w:val="5B1B128D"/>
    <w:rsid w:val="5B1CB140"/>
    <w:rsid w:val="5B1D8FC4"/>
    <w:rsid w:val="5B1DCC4F"/>
    <w:rsid w:val="5B1E4372"/>
    <w:rsid w:val="5B1EC502"/>
    <w:rsid w:val="5B1F2F9B"/>
    <w:rsid w:val="5B214BDC"/>
    <w:rsid w:val="5B23736B"/>
    <w:rsid w:val="5B257401"/>
    <w:rsid w:val="5B265080"/>
    <w:rsid w:val="5B274E7E"/>
    <w:rsid w:val="5B27AFA7"/>
    <w:rsid w:val="5B28AD38"/>
    <w:rsid w:val="5B293FC4"/>
    <w:rsid w:val="5B2D2CF7"/>
    <w:rsid w:val="5B2DC0ED"/>
    <w:rsid w:val="5B2E1153"/>
    <w:rsid w:val="5B2EE9CB"/>
    <w:rsid w:val="5B2F1E2D"/>
    <w:rsid w:val="5B316F1B"/>
    <w:rsid w:val="5B3520AA"/>
    <w:rsid w:val="5B37892C"/>
    <w:rsid w:val="5B396549"/>
    <w:rsid w:val="5B3D1247"/>
    <w:rsid w:val="5B3F3456"/>
    <w:rsid w:val="5B454E95"/>
    <w:rsid w:val="5B46F037"/>
    <w:rsid w:val="5B480E23"/>
    <w:rsid w:val="5B484BF1"/>
    <w:rsid w:val="5B4BAC11"/>
    <w:rsid w:val="5B4BE0BD"/>
    <w:rsid w:val="5B4C87CE"/>
    <w:rsid w:val="5B4E272D"/>
    <w:rsid w:val="5B4F5C81"/>
    <w:rsid w:val="5B4F965D"/>
    <w:rsid w:val="5B50E9E9"/>
    <w:rsid w:val="5B527183"/>
    <w:rsid w:val="5B53B6D0"/>
    <w:rsid w:val="5B5445AF"/>
    <w:rsid w:val="5B57F891"/>
    <w:rsid w:val="5B57FC11"/>
    <w:rsid w:val="5B5BD7D3"/>
    <w:rsid w:val="5B5D5899"/>
    <w:rsid w:val="5B60B42B"/>
    <w:rsid w:val="5B61B18B"/>
    <w:rsid w:val="5B629B4B"/>
    <w:rsid w:val="5B62F41F"/>
    <w:rsid w:val="5B63082F"/>
    <w:rsid w:val="5B64C021"/>
    <w:rsid w:val="5B64F53E"/>
    <w:rsid w:val="5B66E764"/>
    <w:rsid w:val="5B6782CB"/>
    <w:rsid w:val="5B67DDBF"/>
    <w:rsid w:val="5B699A56"/>
    <w:rsid w:val="5B6AFEDE"/>
    <w:rsid w:val="5B6FBAEA"/>
    <w:rsid w:val="5B709DD9"/>
    <w:rsid w:val="5B738B42"/>
    <w:rsid w:val="5B759456"/>
    <w:rsid w:val="5B75E401"/>
    <w:rsid w:val="5B75FD28"/>
    <w:rsid w:val="5B7600F1"/>
    <w:rsid w:val="5B79232E"/>
    <w:rsid w:val="5B793316"/>
    <w:rsid w:val="5B7AC649"/>
    <w:rsid w:val="5B7B150A"/>
    <w:rsid w:val="5B7C1616"/>
    <w:rsid w:val="5B7C3169"/>
    <w:rsid w:val="5B7D5853"/>
    <w:rsid w:val="5B7F7014"/>
    <w:rsid w:val="5B81B3E1"/>
    <w:rsid w:val="5B83E3DC"/>
    <w:rsid w:val="5B847E43"/>
    <w:rsid w:val="5B866CD0"/>
    <w:rsid w:val="5B878E25"/>
    <w:rsid w:val="5B87D8EE"/>
    <w:rsid w:val="5B88F457"/>
    <w:rsid w:val="5B8A2094"/>
    <w:rsid w:val="5B8DF19E"/>
    <w:rsid w:val="5B9014B4"/>
    <w:rsid w:val="5B929131"/>
    <w:rsid w:val="5B942DC1"/>
    <w:rsid w:val="5B954D53"/>
    <w:rsid w:val="5B95E40B"/>
    <w:rsid w:val="5B968221"/>
    <w:rsid w:val="5B96952B"/>
    <w:rsid w:val="5B981CD0"/>
    <w:rsid w:val="5B9821F9"/>
    <w:rsid w:val="5B9A1F24"/>
    <w:rsid w:val="5B9A6400"/>
    <w:rsid w:val="5B9D0E36"/>
    <w:rsid w:val="5BA0A899"/>
    <w:rsid w:val="5BA16568"/>
    <w:rsid w:val="5BA55005"/>
    <w:rsid w:val="5BA57408"/>
    <w:rsid w:val="5BA70F64"/>
    <w:rsid w:val="5BA79D6D"/>
    <w:rsid w:val="5BA89305"/>
    <w:rsid w:val="5BAA9B18"/>
    <w:rsid w:val="5BAA9FE4"/>
    <w:rsid w:val="5BACFCEA"/>
    <w:rsid w:val="5BAD2B2B"/>
    <w:rsid w:val="5BAE3EAC"/>
    <w:rsid w:val="5BAF6B0C"/>
    <w:rsid w:val="5BB1F930"/>
    <w:rsid w:val="5BB2157C"/>
    <w:rsid w:val="5BB3129F"/>
    <w:rsid w:val="5BB3A924"/>
    <w:rsid w:val="5BB7B98C"/>
    <w:rsid w:val="5BB82C93"/>
    <w:rsid w:val="5BB996C0"/>
    <w:rsid w:val="5BB9D3C8"/>
    <w:rsid w:val="5BBAC26C"/>
    <w:rsid w:val="5BBD4FC4"/>
    <w:rsid w:val="5BBDB740"/>
    <w:rsid w:val="5BC18707"/>
    <w:rsid w:val="5BC19B5A"/>
    <w:rsid w:val="5BC1FB8B"/>
    <w:rsid w:val="5BC3BCCA"/>
    <w:rsid w:val="5BC5FE15"/>
    <w:rsid w:val="5BC6F7AC"/>
    <w:rsid w:val="5BC76188"/>
    <w:rsid w:val="5BC92D7F"/>
    <w:rsid w:val="5BC95502"/>
    <w:rsid w:val="5BCEB58D"/>
    <w:rsid w:val="5BD07D16"/>
    <w:rsid w:val="5BD1A6ED"/>
    <w:rsid w:val="5BD3C97A"/>
    <w:rsid w:val="5BD3F378"/>
    <w:rsid w:val="5BD6D7D9"/>
    <w:rsid w:val="5BD93845"/>
    <w:rsid w:val="5BD9F96E"/>
    <w:rsid w:val="5BDCE4B7"/>
    <w:rsid w:val="5BDF32FB"/>
    <w:rsid w:val="5BE08969"/>
    <w:rsid w:val="5BE170C6"/>
    <w:rsid w:val="5BE1B85B"/>
    <w:rsid w:val="5BE1FAD9"/>
    <w:rsid w:val="5BE33536"/>
    <w:rsid w:val="5BE45280"/>
    <w:rsid w:val="5BE56B5C"/>
    <w:rsid w:val="5BE94877"/>
    <w:rsid w:val="5BEC7D5F"/>
    <w:rsid w:val="5BF0D2B9"/>
    <w:rsid w:val="5BF1B365"/>
    <w:rsid w:val="5BF1FF4B"/>
    <w:rsid w:val="5BF3426B"/>
    <w:rsid w:val="5BF4D715"/>
    <w:rsid w:val="5BF53A12"/>
    <w:rsid w:val="5BF7C1C2"/>
    <w:rsid w:val="5BFA45A6"/>
    <w:rsid w:val="5BFC1B2C"/>
    <w:rsid w:val="5BFE6515"/>
    <w:rsid w:val="5C000DA9"/>
    <w:rsid w:val="5C015438"/>
    <w:rsid w:val="5C02F20B"/>
    <w:rsid w:val="5C03F276"/>
    <w:rsid w:val="5C043FC6"/>
    <w:rsid w:val="5C08444B"/>
    <w:rsid w:val="5C08C22F"/>
    <w:rsid w:val="5C08C6D4"/>
    <w:rsid w:val="5C0B096C"/>
    <w:rsid w:val="5C0CBC62"/>
    <w:rsid w:val="5C1229B3"/>
    <w:rsid w:val="5C1296CD"/>
    <w:rsid w:val="5C13364D"/>
    <w:rsid w:val="5C13FE36"/>
    <w:rsid w:val="5C189488"/>
    <w:rsid w:val="5C1BBCA6"/>
    <w:rsid w:val="5C1D0ACE"/>
    <w:rsid w:val="5C1E9343"/>
    <w:rsid w:val="5C20A575"/>
    <w:rsid w:val="5C213440"/>
    <w:rsid w:val="5C238C60"/>
    <w:rsid w:val="5C25ADEA"/>
    <w:rsid w:val="5C263238"/>
    <w:rsid w:val="5C266D35"/>
    <w:rsid w:val="5C26F504"/>
    <w:rsid w:val="5C27C68B"/>
    <w:rsid w:val="5C2AB5EB"/>
    <w:rsid w:val="5C2BD2D1"/>
    <w:rsid w:val="5C2C5AB9"/>
    <w:rsid w:val="5C2E2276"/>
    <w:rsid w:val="5C329DD7"/>
    <w:rsid w:val="5C36ABB3"/>
    <w:rsid w:val="5C3A61BA"/>
    <w:rsid w:val="5C3C1741"/>
    <w:rsid w:val="5C3CF1F8"/>
    <w:rsid w:val="5C3D3108"/>
    <w:rsid w:val="5C3DB4B9"/>
    <w:rsid w:val="5C3E8930"/>
    <w:rsid w:val="5C42DED4"/>
    <w:rsid w:val="5C445E5E"/>
    <w:rsid w:val="5C4E9353"/>
    <w:rsid w:val="5C4F9BC5"/>
    <w:rsid w:val="5C509273"/>
    <w:rsid w:val="5C5197E6"/>
    <w:rsid w:val="5C547690"/>
    <w:rsid w:val="5C5657D1"/>
    <w:rsid w:val="5C567250"/>
    <w:rsid w:val="5C58BBAA"/>
    <w:rsid w:val="5C590930"/>
    <w:rsid w:val="5C5B665C"/>
    <w:rsid w:val="5C5BF413"/>
    <w:rsid w:val="5C5CE659"/>
    <w:rsid w:val="5C5CF6E0"/>
    <w:rsid w:val="5C5D0BB9"/>
    <w:rsid w:val="5C5DF251"/>
    <w:rsid w:val="5C5E43F4"/>
    <w:rsid w:val="5C5ED219"/>
    <w:rsid w:val="5C61BF63"/>
    <w:rsid w:val="5C63E8CD"/>
    <w:rsid w:val="5C6438B3"/>
    <w:rsid w:val="5C65F682"/>
    <w:rsid w:val="5C69ACBE"/>
    <w:rsid w:val="5C6AB5D4"/>
    <w:rsid w:val="5C6DFEFC"/>
    <w:rsid w:val="5C6E102C"/>
    <w:rsid w:val="5C70B150"/>
    <w:rsid w:val="5C70EBC0"/>
    <w:rsid w:val="5C7265A9"/>
    <w:rsid w:val="5C74F97D"/>
    <w:rsid w:val="5C74FCBD"/>
    <w:rsid w:val="5C766D0D"/>
    <w:rsid w:val="5C78F19C"/>
    <w:rsid w:val="5C797CD9"/>
    <w:rsid w:val="5C7A53FF"/>
    <w:rsid w:val="5C7CC5D1"/>
    <w:rsid w:val="5C7D0C29"/>
    <w:rsid w:val="5C7E2075"/>
    <w:rsid w:val="5C8115CD"/>
    <w:rsid w:val="5C83F089"/>
    <w:rsid w:val="5C8456E4"/>
    <w:rsid w:val="5C8536A6"/>
    <w:rsid w:val="5C858A01"/>
    <w:rsid w:val="5C88B07F"/>
    <w:rsid w:val="5C894881"/>
    <w:rsid w:val="5C8C1A5E"/>
    <w:rsid w:val="5C8E6EC2"/>
    <w:rsid w:val="5C907CE7"/>
    <w:rsid w:val="5C90A927"/>
    <w:rsid w:val="5C911518"/>
    <w:rsid w:val="5C9218A5"/>
    <w:rsid w:val="5C924331"/>
    <w:rsid w:val="5C93A9A1"/>
    <w:rsid w:val="5C94151B"/>
    <w:rsid w:val="5C94F6F5"/>
    <w:rsid w:val="5C96B0BB"/>
    <w:rsid w:val="5C972134"/>
    <w:rsid w:val="5C9778AA"/>
    <w:rsid w:val="5C9A6335"/>
    <w:rsid w:val="5C9A9FD4"/>
    <w:rsid w:val="5C9AB732"/>
    <w:rsid w:val="5C9B695A"/>
    <w:rsid w:val="5C9F716C"/>
    <w:rsid w:val="5CA24F8A"/>
    <w:rsid w:val="5CA36274"/>
    <w:rsid w:val="5CA4452B"/>
    <w:rsid w:val="5CA47AA4"/>
    <w:rsid w:val="5CA56C98"/>
    <w:rsid w:val="5CA5BD3A"/>
    <w:rsid w:val="5CA69967"/>
    <w:rsid w:val="5CA976F3"/>
    <w:rsid w:val="5CAA213B"/>
    <w:rsid w:val="5CAABD40"/>
    <w:rsid w:val="5CAB1D1C"/>
    <w:rsid w:val="5CAD0C80"/>
    <w:rsid w:val="5CB29B9F"/>
    <w:rsid w:val="5CB35F10"/>
    <w:rsid w:val="5CB455E1"/>
    <w:rsid w:val="5CB465D6"/>
    <w:rsid w:val="5CB61318"/>
    <w:rsid w:val="5CB65E62"/>
    <w:rsid w:val="5CB6C174"/>
    <w:rsid w:val="5CBB165C"/>
    <w:rsid w:val="5CBB6A49"/>
    <w:rsid w:val="5CBF729B"/>
    <w:rsid w:val="5CBFBC73"/>
    <w:rsid w:val="5CBFCDB1"/>
    <w:rsid w:val="5CBFF238"/>
    <w:rsid w:val="5CC0254D"/>
    <w:rsid w:val="5CC2165D"/>
    <w:rsid w:val="5CC2CF1D"/>
    <w:rsid w:val="5CC495AE"/>
    <w:rsid w:val="5CC858CD"/>
    <w:rsid w:val="5CCD8124"/>
    <w:rsid w:val="5CCDA2AF"/>
    <w:rsid w:val="5CCDC62C"/>
    <w:rsid w:val="5CCEE931"/>
    <w:rsid w:val="5CD184BD"/>
    <w:rsid w:val="5CD265D4"/>
    <w:rsid w:val="5CD399F9"/>
    <w:rsid w:val="5CD53051"/>
    <w:rsid w:val="5CD5FACD"/>
    <w:rsid w:val="5CD900A6"/>
    <w:rsid w:val="5CD9E380"/>
    <w:rsid w:val="5CDAB2E7"/>
    <w:rsid w:val="5CDC4805"/>
    <w:rsid w:val="5CDD322B"/>
    <w:rsid w:val="5CE0188A"/>
    <w:rsid w:val="5CE0D4A8"/>
    <w:rsid w:val="5CE0D54A"/>
    <w:rsid w:val="5CE2B373"/>
    <w:rsid w:val="5CE63C2E"/>
    <w:rsid w:val="5CE7397B"/>
    <w:rsid w:val="5CE7DD33"/>
    <w:rsid w:val="5CE851F4"/>
    <w:rsid w:val="5CE980BE"/>
    <w:rsid w:val="5CEA122F"/>
    <w:rsid w:val="5CEA6DD5"/>
    <w:rsid w:val="5CEC6214"/>
    <w:rsid w:val="5CECC961"/>
    <w:rsid w:val="5CF0D47E"/>
    <w:rsid w:val="5CF14472"/>
    <w:rsid w:val="5CF1DCC2"/>
    <w:rsid w:val="5CF41342"/>
    <w:rsid w:val="5CF423B8"/>
    <w:rsid w:val="5CF4C596"/>
    <w:rsid w:val="5CF4DEBE"/>
    <w:rsid w:val="5CF5A09B"/>
    <w:rsid w:val="5CF6FFBA"/>
    <w:rsid w:val="5CF72CA6"/>
    <w:rsid w:val="5CF877BF"/>
    <w:rsid w:val="5CFB2966"/>
    <w:rsid w:val="5CFC2ED1"/>
    <w:rsid w:val="5CFDAF5E"/>
    <w:rsid w:val="5D027608"/>
    <w:rsid w:val="5D02AACE"/>
    <w:rsid w:val="5D050BDA"/>
    <w:rsid w:val="5D0592F0"/>
    <w:rsid w:val="5D0B47F4"/>
    <w:rsid w:val="5D0B6EA2"/>
    <w:rsid w:val="5D0D14A6"/>
    <w:rsid w:val="5D0E5701"/>
    <w:rsid w:val="5D0F1586"/>
    <w:rsid w:val="5D110290"/>
    <w:rsid w:val="5D14F877"/>
    <w:rsid w:val="5D174DCB"/>
    <w:rsid w:val="5D17B844"/>
    <w:rsid w:val="5D184E12"/>
    <w:rsid w:val="5D1D6667"/>
    <w:rsid w:val="5D210858"/>
    <w:rsid w:val="5D23501E"/>
    <w:rsid w:val="5D249168"/>
    <w:rsid w:val="5D258D23"/>
    <w:rsid w:val="5D25C110"/>
    <w:rsid w:val="5D25DD8F"/>
    <w:rsid w:val="5D25F600"/>
    <w:rsid w:val="5D282704"/>
    <w:rsid w:val="5D28E922"/>
    <w:rsid w:val="5D29AB6F"/>
    <w:rsid w:val="5D2B8BB3"/>
    <w:rsid w:val="5D2C08CD"/>
    <w:rsid w:val="5D3220EA"/>
    <w:rsid w:val="5D3275A1"/>
    <w:rsid w:val="5D34D112"/>
    <w:rsid w:val="5D36472B"/>
    <w:rsid w:val="5D3755CF"/>
    <w:rsid w:val="5D3A55D5"/>
    <w:rsid w:val="5D3B5A70"/>
    <w:rsid w:val="5D3D4C23"/>
    <w:rsid w:val="5D3DC80E"/>
    <w:rsid w:val="5D3EF650"/>
    <w:rsid w:val="5D3FD5CB"/>
    <w:rsid w:val="5D402BE8"/>
    <w:rsid w:val="5D413866"/>
    <w:rsid w:val="5D41D9F2"/>
    <w:rsid w:val="5D42B418"/>
    <w:rsid w:val="5D45231C"/>
    <w:rsid w:val="5D47CE6C"/>
    <w:rsid w:val="5D4A6DC8"/>
    <w:rsid w:val="5D4B3B6D"/>
    <w:rsid w:val="5D4CABAA"/>
    <w:rsid w:val="5D4EFEF3"/>
    <w:rsid w:val="5D4F3D34"/>
    <w:rsid w:val="5D5061AD"/>
    <w:rsid w:val="5D50B680"/>
    <w:rsid w:val="5D50C643"/>
    <w:rsid w:val="5D515EDE"/>
    <w:rsid w:val="5D527EF1"/>
    <w:rsid w:val="5D531632"/>
    <w:rsid w:val="5D53CE9A"/>
    <w:rsid w:val="5D58008B"/>
    <w:rsid w:val="5D58F3E2"/>
    <w:rsid w:val="5D5A67EB"/>
    <w:rsid w:val="5D5DE53B"/>
    <w:rsid w:val="5D648EFB"/>
    <w:rsid w:val="5D68BF65"/>
    <w:rsid w:val="5D69B036"/>
    <w:rsid w:val="5D6B34FB"/>
    <w:rsid w:val="5D6CF8BE"/>
    <w:rsid w:val="5D6F481F"/>
    <w:rsid w:val="5D717E39"/>
    <w:rsid w:val="5D71AAAD"/>
    <w:rsid w:val="5D720ABC"/>
    <w:rsid w:val="5D73DE01"/>
    <w:rsid w:val="5D74F816"/>
    <w:rsid w:val="5D74FC25"/>
    <w:rsid w:val="5D76EABD"/>
    <w:rsid w:val="5D77722B"/>
    <w:rsid w:val="5D7781DC"/>
    <w:rsid w:val="5D77BE8A"/>
    <w:rsid w:val="5D78B263"/>
    <w:rsid w:val="5D7A9347"/>
    <w:rsid w:val="5D7E8845"/>
    <w:rsid w:val="5D7FBEE9"/>
    <w:rsid w:val="5D82E94E"/>
    <w:rsid w:val="5D860FCB"/>
    <w:rsid w:val="5D8666D4"/>
    <w:rsid w:val="5D89C314"/>
    <w:rsid w:val="5D8AE066"/>
    <w:rsid w:val="5D8CFA55"/>
    <w:rsid w:val="5D8E7156"/>
    <w:rsid w:val="5D8F1FEB"/>
    <w:rsid w:val="5D926820"/>
    <w:rsid w:val="5D969F6B"/>
    <w:rsid w:val="5D96CB49"/>
    <w:rsid w:val="5D98A41C"/>
    <w:rsid w:val="5D9953DF"/>
    <w:rsid w:val="5D997C90"/>
    <w:rsid w:val="5D9A0D8D"/>
    <w:rsid w:val="5D9A31DF"/>
    <w:rsid w:val="5D9B6466"/>
    <w:rsid w:val="5D9BA6F8"/>
    <w:rsid w:val="5D9C133A"/>
    <w:rsid w:val="5D9E62AB"/>
    <w:rsid w:val="5D9ED54C"/>
    <w:rsid w:val="5DA1C87A"/>
    <w:rsid w:val="5DA23F06"/>
    <w:rsid w:val="5DA8575B"/>
    <w:rsid w:val="5DAACF87"/>
    <w:rsid w:val="5DAC0A21"/>
    <w:rsid w:val="5DAC90A6"/>
    <w:rsid w:val="5DB5F226"/>
    <w:rsid w:val="5DB60318"/>
    <w:rsid w:val="5DB8DF93"/>
    <w:rsid w:val="5DBC41F0"/>
    <w:rsid w:val="5DBE2CAE"/>
    <w:rsid w:val="5DBF3686"/>
    <w:rsid w:val="5DBFD1CF"/>
    <w:rsid w:val="5DC03727"/>
    <w:rsid w:val="5DC0A733"/>
    <w:rsid w:val="5DC59446"/>
    <w:rsid w:val="5DC67493"/>
    <w:rsid w:val="5DC6F0DF"/>
    <w:rsid w:val="5DC719C6"/>
    <w:rsid w:val="5DCA4A99"/>
    <w:rsid w:val="5DCB2FBC"/>
    <w:rsid w:val="5DCD3801"/>
    <w:rsid w:val="5DCD4BE7"/>
    <w:rsid w:val="5DCF4303"/>
    <w:rsid w:val="5DD21E1D"/>
    <w:rsid w:val="5DD691F7"/>
    <w:rsid w:val="5DD75B90"/>
    <w:rsid w:val="5DD851F7"/>
    <w:rsid w:val="5DD9474B"/>
    <w:rsid w:val="5DD95AC9"/>
    <w:rsid w:val="5DD96C39"/>
    <w:rsid w:val="5DDC491B"/>
    <w:rsid w:val="5DDCB2DA"/>
    <w:rsid w:val="5DDCEE6C"/>
    <w:rsid w:val="5DDD88D3"/>
    <w:rsid w:val="5DDE0D8D"/>
    <w:rsid w:val="5DE23946"/>
    <w:rsid w:val="5DE68BF2"/>
    <w:rsid w:val="5DEC32C6"/>
    <w:rsid w:val="5DEC47BB"/>
    <w:rsid w:val="5DECA33A"/>
    <w:rsid w:val="5DECF5B7"/>
    <w:rsid w:val="5DF16EEE"/>
    <w:rsid w:val="5DF186DB"/>
    <w:rsid w:val="5DF192C2"/>
    <w:rsid w:val="5DF34EA3"/>
    <w:rsid w:val="5DF4EC00"/>
    <w:rsid w:val="5DF5BBF0"/>
    <w:rsid w:val="5DF677E3"/>
    <w:rsid w:val="5DF85F5A"/>
    <w:rsid w:val="5DFDE822"/>
    <w:rsid w:val="5E01D620"/>
    <w:rsid w:val="5E025846"/>
    <w:rsid w:val="5E02E906"/>
    <w:rsid w:val="5E042C33"/>
    <w:rsid w:val="5E081671"/>
    <w:rsid w:val="5E08B87D"/>
    <w:rsid w:val="5E08F190"/>
    <w:rsid w:val="5E099BEF"/>
    <w:rsid w:val="5E0B64CF"/>
    <w:rsid w:val="5E0C464D"/>
    <w:rsid w:val="5E0EB91A"/>
    <w:rsid w:val="5E0F372C"/>
    <w:rsid w:val="5E0FFFF1"/>
    <w:rsid w:val="5E137964"/>
    <w:rsid w:val="5E13CE31"/>
    <w:rsid w:val="5E1461B3"/>
    <w:rsid w:val="5E1721B1"/>
    <w:rsid w:val="5E18B7AC"/>
    <w:rsid w:val="5E1A39D2"/>
    <w:rsid w:val="5E1A3B81"/>
    <w:rsid w:val="5E1B4B7D"/>
    <w:rsid w:val="5E1C8545"/>
    <w:rsid w:val="5E1EDA33"/>
    <w:rsid w:val="5E1F94CF"/>
    <w:rsid w:val="5E202B3A"/>
    <w:rsid w:val="5E22D397"/>
    <w:rsid w:val="5E243A37"/>
    <w:rsid w:val="5E26E9E2"/>
    <w:rsid w:val="5E271E82"/>
    <w:rsid w:val="5E279FEE"/>
    <w:rsid w:val="5E27BBC7"/>
    <w:rsid w:val="5E2B8817"/>
    <w:rsid w:val="5E2DA3DA"/>
    <w:rsid w:val="5E30631C"/>
    <w:rsid w:val="5E32C96A"/>
    <w:rsid w:val="5E330715"/>
    <w:rsid w:val="5E34F189"/>
    <w:rsid w:val="5E39F973"/>
    <w:rsid w:val="5E3B776C"/>
    <w:rsid w:val="5E3B8007"/>
    <w:rsid w:val="5E3E9EEF"/>
    <w:rsid w:val="5E408194"/>
    <w:rsid w:val="5E443007"/>
    <w:rsid w:val="5E473C09"/>
    <w:rsid w:val="5E47B377"/>
    <w:rsid w:val="5E480B96"/>
    <w:rsid w:val="5E48E073"/>
    <w:rsid w:val="5E4960ED"/>
    <w:rsid w:val="5E4A4B65"/>
    <w:rsid w:val="5E4A4EB3"/>
    <w:rsid w:val="5E4AA114"/>
    <w:rsid w:val="5E4B8740"/>
    <w:rsid w:val="5E4C35BE"/>
    <w:rsid w:val="5E4E1868"/>
    <w:rsid w:val="5E4E2F44"/>
    <w:rsid w:val="5E4F824B"/>
    <w:rsid w:val="5E50CC1C"/>
    <w:rsid w:val="5E519B79"/>
    <w:rsid w:val="5E51AC70"/>
    <w:rsid w:val="5E51E7C2"/>
    <w:rsid w:val="5E539569"/>
    <w:rsid w:val="5E54A6B2"/>
    <w:rsid w:val="5E5502F2"/>
    <w:rsid w:val="5E55078F"/>
    <w:rsid w:val="5E569F53"/>
    <w:rsid w:val="5E5787A2"/>
    <w:rsid w:val="5E579335"/>
    <w:rsid w:val="5E5918A0"/>
    <w:rsid w:val="5E5963B2"/>
    <w:rsid w:val="5E598CC5"/>
    <w:rsid w:val="5E5A546A"/>
    <w:rsid w:val="5E5CF189"/>
    <w:rsid w:val="5E5EF2E3"/>
    <w:rsid w:val="5E5F30E8"/>
    <w:rsid w:val="5E60B588"/>
    <w:rsid w:val="5E617B83"/>
    <w:rsid w:val="5E62C556"/>
    <w:rsid w:val="5E64BC86"/>
    <w:rsid w:val="5E6722CA"/>
    <w:rsid w:val="5E67F88F"/>
    <w:rsid w:val="5E68BF9F"/>
    <w:rsid w:val="5E6A4E5C"/>
    <w:rsid w:val="5E6AC96A"/>
    <w:rsid w:val="5E6BCA18"/>
    <w:rsid w:val="5E6C0960"/>
    <w:rsid w:val="5E6C5774"/>
    <w:rsid w:val="5E6E436D"/>
    <w:rsid w:val="5E701887"/>
    <w:rsid w:val="5E70647E"/>
    <w:rsid w:val="5E708164"/>
    <w:rsid w:val="5E70BA91"/>
    <w:rsid w:val="5E736402"/>
    <w:rsid w:val="5E743512"/>
    <w:rsid w:val="5E75896C"/>
    <w:rsid w:val="5E761715"/>
    <w:rsid w:val="5E7A5DBF"/>
    <w:rsid w:val="5E7B04ED"/>
    <w:rsid w:val="5E7C15D8"/>
    <w:rsid w:val="5E7F0B26"/>
    <w:rsid w:val="5E7F7FF4"/>
    <w:rsid w:val="5E80BA0E"/>
    <w:rsid w:val="5E8171DC"/>
    <w:rsid w:val="5E845D12"/>
    <w:rsid w:val="5E84CFB5"/>
    <w:rsid w:val="5E857225"/>
    <w:rsid w:val="5E86DEBD"/>
    <w:rsid w:val="5E8847C0"/>
    <w:rsid w:val="5E88A63C"/>
    <w:rsid w:val="5E8B3B92"/>
    <w:rsid w:val="5E8DAFF2"/>
    <w:rsid w:val="5E8E46A5"/>
    <w:rsid w:val="5E8F69EB"/>
    <w:rsid w:val="5E8FACC3"/>
    <w:rsid w:val="5E90595A"/>
    <w:rsid w:val="5E910603"/>
    <w:rsid w:val="5E970493"/>
    <w:rsid w:val="5E97D63A"/>
    <w:rsid w:val="5E99F973"/>
    <w:rsid w:val="5E9B4D5C"/>
    <w:rsid w:val="5E9BB4BF"/>
    <w:rsid w:val="5E9DCC7D"/>
    <w:rsid w:val="5EA361E0"/>
    <w:rsid w:val="5EA3C9D8"/>
    <w:rsid w:val="5EA40D20"/>
    <w:rsid w:val="5EA42B6E"/>
    <w:rsid w:val="5EA57DEE"/>
    <w:rsid w:val="5EA66168"/>
    <w:rsid w:val="5EA7CF46"/>
    <w:rsid w:val="5EA7D241"/>
    <w:rsid w:val="5EA8A64F"/>
    <w:rsid w:val="5EAB4B14"/>
    <w:rsid w:val="5EAF9CCB"/>
    <w:rsid w:val="5EB233A2"/>
    <w:rsid w:val="5EB3492C"/>
    <w:rsid w:val="5EB4955A"/>
    <w:rsid w:val="5EB4DAD6"/>
    <w:rsid w:val="5EB5EDFD"/>
    <w:rsid w:val="5EB7A792"/>
    <w:rsid w:val="5EB9266C"/>
    <w:rsid w:val="5EB96DF0"/>
    <w:rsid w:val="5EBAA7B8"/>
    <w:rsid w:val="5EBB5BF1"/>
    <w:rsid w:val="5EBBE83E"/>
    <w:rsid w:val="5EBC2FFB"/>
    <w:rsid w:val="5EBED742"/>
    <w:rsid w:val="5EC40215"/>
    <w:rsid w:val="5EC4673F"/>
    <w:rsid w:val="5EC4AEA4"/>
    <w:rsid w:val="5EC7C7DA"/>
    <w:rsid w:val="5EC95EEA"/>
    <w:rsid w:val="5ECA0321"/>
    <w:rsid w:val="5ECB8506"/>
    <w:rsid w:val="5ECC48DB"/>
    <w:rsid w:val="5ECCA5A4"/>
    <w:rsid w:val="5ECDAAF3"/>
    <w:rsid w:val="5ECFD457"/>
    <w:rsid w:val="5ED15D43"/>
    <w:rsid w:val="5ED7C2CD"/>
    <w:rsid w:val="5ED7F8DE"/>
    <w:rsid w:val="5ED96336"/>
    <w:rsid w:val="5EDA0727"/>
    <w:rsid w:val="5EDF3063"/>
    <w:rsid w:val="5EE145CC"/>
    <w:rsid w:val="5EE2B587"/>
    <w:rsid w:val="5EE38F7E"/>
    <w:rsid w:val="5EE3D6DD"/>
    <w:rsid w:val="5EE69306"/>
    <w:rsid w:val="5EE95393"/>
    <w:rsid w:val="5EE9D4A6"/>
    <w:rsid w:val="5EEA3D79"/>
    <w:rsid w:val="5EEEEE6A"/>
    <w:rsid w:val="5EEF4543"/>
    <w:rsid w:val="5EF165F5"/>
    <w:rsid w:val="5EF1B86E"/>
    <w:rsid w:val="5EF4AC0A"/>
    <w:rsid w:val="5EF4F10E"/>
    <w:rsid w:val="5EF68BB1"/>
    <w:rsid w:val="5EF72F75"/>
    <w:rsid w:val="5EFB3C4B"/>
    <w:rsid w:val="5EFB7D56"/>
    <w:rsid w:val="5EFD6C7C"/>
    <w:rsid w:val="5EFDAE96"/>
    <w:rsid w:val="5EFE6044"/>
    <w:rsid w:val="5EFFEA5B"/>
    <w:rsid w:val="5F0069AD"/>
    <w:rsid w:val="5F009B70"/>
    <w:rsid w:val="5F00C400"/>
    <w:rsid w:val="5F046E1E"/>
    <w:rsid w:val="5F04DC34"/>
    <w:rsid w:val="5F04F16E"/>
    <w:rsid w:val="5F0547F1"/>
    <w:rsid w:val="5F054CCD"/>
    <w:rsid w:val="5F0574D9"/>
    <w:rsid w:val="5F064675"/>
    <w:rsid w:val="5F07491D"/>
    <w:rsid w:val="5F078481"/>
    <w:rsid w:val="5F08B1E6"/>
    <w:rsid w:val="5F08F904"/>
    <w:rsid w:val="5F0ADBC1"/>
    <w:rsid w:val="5F0C6514"/>
    <w:rsid w:val="5F0CFDD3"/>
    <w:rsid w:val="5F0F5A5E"/>
    <w:rsid w:val="5F0FE277"/>
    <w:rsid w:val="5F11483A"/>
    <w:rsid w:val="5F127020"/>
    <w:rsid w:val="5F136B3B"/>
    <w:rsid w:val="5F13DACA"/>
    <w:rsid w:val="5F155AAE"/>
    <w:rsid w:val="5F1863AD"/>
    <w:rsid w:val="5F188DA6"/>
    <w:rsid w:val="5F18B84F"/>
    <w:rsid w:val="5F190471"/>
    <w:rsid w:val="5F197AE1"/>
    <w:rsid w:val="5F1BAA16"/>
    <w:rsid w:val="5F1F8AAE"/>
    <w:rsid w:val="5F203393"/>
    <w:rsid w:val="5F2063B9"/>
    <w:rsid w:val="5F2294CE"/>
    <w:rsid w:val="5F242965"/>
    <w:rsid w:val="5F252E32"/>
    <w:rsid w:val="5F293D9F"/>
    <w:rsid w:val="5F2B8C2A"/>
    <w:rsid w:val="5F2D9B63"/>
    <w:rsid w:val="5F300390"/>
    <w:rsid w:val="5F32087E"/>
    <w:rsid w:val="5F3319C9"/>
    <w:rsid w:val="5F3751D4"/>
    <w:rsid w:val="5F37F1CB"/>
    <w:rsid w:val="5F3952FC"/>
    <w:rsid w:val="5F3A2198"/>
    <w:rsid w:val="5F3B061D"/>
    <w:rsid w:val="5F3C1BCC"/>
    <w:rsid w:val="5F3ECE26"/>
    <w:rsid w:val="5F41D282"/>
    <w:rsid w:val="5F41F654"/>
    <w:rsid w:val="5F42C20A"/>
    <w:rsid w:val="5F432ED2"/>
    <w:rsid w:val="5F465290"/>
    <w:rsid w:val="5F465908"/>
    <w:rsid w:val="5F4680D0"/>
    <w:rsid w:val="5F47473E"/>
    <w:rsid w:val="5F475DF4"/>
    <w:rsid w:val="5F496BBD"/>
    <w:rsid w:val="5F49CF8A"/>
    <w:rsid w:val="5F4B1C80"/>
    <w:rsid w:val="5F4C2DA8"/>
    <w:rsid w:val="5F4C4EC7"/>
    <w:rsid w:val="5F4C8FA6"/>
    <w:rsid w:val="5F4DBD22"/>
    <w:rsid w:val="5F4F7A52"/>
    <w:rsid w:val="5F500B9C"/>
    <w:rsid w:val="5F508928"/>
    <w:rsid w:val="5F51065A"/>
    <w:rsid w:val="5F518EA2"/>
    <w:rsid w:val="5F539FD6"/>
    <w:rsid w:val="5F5557DF"/>
    <w:rsid w:val="5F567BDC"/>
    <w:rsid w:val="5F5683BE"/>
    <w:rsid w:val="5F56CE05"/>
    <w:rsid w:val="5F587B05"/>
    <w:rsid w:val="5F58E78F"/>
    <w:rsid w:val="5F591F38"/>
    <w:rsid w:val="5F5B4453"/>
    <w:rsid w:val="5F5BBF19"/>
    <w:rsid w:val="5F5D78A4"/>
    <w:rsid w:val="5F5E4DAC"/>
    <w:rsid w:val="5F61A934"/>
    <w:rsid w:val="5F62C79C"/>
    <w:rsid w:val="5F63A560"/>
    <w:rsid w:val="5F653E48"/>
    <w:rsid w:val="5F678362"/>
    <w:rsid w:val="5F699EB8"/>
    <w:rsid w:val="5F69F30E"/>
    <w:rsid w:val="5F69FDE4"/>
    <w:rsid w:val="5F6A4180"/>
    <w:rsid w:val="5F6BF827"/>
    <w:rsid w:val="5F6C38FF"/>
    <w:rsid w:val="5F6C91E3"/>
    <w:rsid w:val="5F6CF804"/>
    <w:rsid w:val="5F6DD3A8"/>
    <w:rsid w:val="5F6FAD89"/>
    <w:rsid w:val="5F739613"/>
    <w:rsid w:val="5F75C28C"/>
    <w:rsid w:val="5F774F8B"/>
    <w:rsid w:val="5F7866F3"/>
    <w:rsid w:val="5F790488"/>
    <w:rsid w:val="5F7AEA76"/>
    <w:rsid w:val="5F7B89C2"/>
    <w:rsid w:val="5F7C08DF"/>
    <w:rsid w:val="5F7D1CE1"/>
    <w:rsid w:val="5F80DDDD"/>
    <w:rsid w:val="5F81516D"/>
    <w:rsid w:val="5F820B04"/>
    <w:rsid w:val="5F830547"/>
    <w:rsid w:val="5F837541"/>
    <w:rsid w:val="5F8405D8"/>
    <w:rsid w:val="5F8632B3"/>
    <w:rsid w:val="5F8651FA"/>
    <w:rsid w:val="5F867A28"/>
    <w:rsid w:val="5F88056C"/>
    <w:rsid w:val="5F8832C5"/>
    <w:rsid w:val="5F90FB14"/>
    <w:rsid w:val="5F912B5E"/>
    <w:rsid w:val="5F92A275"/>
    <w:rsid w:val="5F933A17"/>
    <w:rsid w:val="5F934DA0"/>
    <w:rsid w:val="5F950EF4"/>
    <w:rsid w:val="5F95BA36"/>
    <w:rsid w:val="5F996740"/>
    <w:rsid w:val="5F9B5EEC"/>
    <w:rsid w:val="5F9B98E4"/>
    <w:rsid w:val="5F9CFFC4"/>
    <w:rsid w:val="5FA0C07D"/>
    <w:rsid w:val="5FA10B80"/>
    <w:rsid w:val="5FA19203"/>
    <w:rsid w:val="5FA1BEAE"/>
    <w:rsid w:val="5FA234BE"/>
    <w:rsid w:val="5FA77E97"/>
    <w:rsid w:val="5FA7A1B7"/>
    <w:rsid w:val="5FA7E2F7"/>
    <w:rsid w:val="5FA80115"/>
    <w:rsid w:val="5FA870BD"/>
    <w:rsid w:val="5FA8A0F4"/>
    <w:rsid w:val="5FAAA029"/>
    <w:rsid w:val="5FAC8DCF"/>
    <w:rsid w:val="5FAE0BDA"/>
    <w:rsid w:val="5FAEB4FE"/>
    <w:rsid w:val="5FAFC340"/>
    <w:rsid w:val="5FB0CE5A"/>
    <w:rsid w:val="5FB10CC2"/>
    <w:rsid w:val="5FB14E6B"/>
    <w:rsid w:val="5FB1EAA4"/>
    <w:rsid w:val="5FB408B1"/>
    <w:rsid w:val="5FB719C0"/>
    <w:rsid w:val="5FBB4362"/>
    <w:rsid w:val="5FBC5C4D"/>
    <w:rsid w:val="5FBC9DEF"/>
    <w:rsid w:val="5FBE4BCB"/>
    <w:rsid w:val="5FBF0A6E"/>
    <w:rsid w:val="5FC1B54B"/>
    <w:rsid w:val="5FC3A132"/>
    <w:rsid w:val="5FC72682"/>
    <w:rsid w:val="5FCA476C"/>
    <w:rsid w:val="5FCC64D3"/>
    <w:rsid w:val="5FCEB5C2"/>
    <w:rsid w:val="5FD02BF2"/>
    <w:rsid w:val="5FD2FD15"/>
    <w:rsid w:val="5FD4A2D3"/>
    <w:rsid w:val="5FD4F300"/>
    <w:rsid w:val="5FD6DE08"/>
    <w:rsid w:val="5FD9D92B"/>
    <w:rsid w:val="5FDD14E1"/>
    <w:rsid w:val="5FDD3215"/>
    <w:rsid w:val="5FDF0408"/>
    <w:rsid w:val="5FE00068"/>
    <w:rsid w:val="5FE16747"/>
    <w:rsid w:val="5FE2D550"/>
    <w:rsid w:val="5FE33637"/>
    <w:rsid w:val="5FE900EA"/>
    <w:rsid w:val="5FE90897"/>
    <w:rsid w:val="5FE9937A"/>
    <w:rsid w:val="5FEA36CD"/>
    <w:rsid w:val="5FEA9DA4"/>
    <w:rsid w:val="5FEE932C"/>
    <w:rsid w:val="5FEF739E"/>
    <w:rsid w:val="5FF01609"/>
    <w:rsid w:val="5FF01620"/>
    <w:rsid w:val="5FF128F7"/>
    <w:rsid w:val="5FF42C13"/>
    <w:rsid w:val="5FF54812"/>
    <w:rsid w:val="5FF8CE08"/>
    <w:rsid w:val="5FFA7D18"/>
    <w:rsid w:val="5FFAB300"/>
    <w:rsid w:val="5FFBA616"/>
    <w:rsid w:val="5FFDCFD0"/>
    <w:rsid w:val="5FFE0722"/>
    <w:rsid w:val="60009446"/>
    <w:rsid w:val="6001A8C3"/>
    <w:rsid w:val="6001B66F"/>
    <w:rsid w:val="6003C8F0"/>
    <w:rsid w:val="6006A0D6"/>
    <w:rsid w:val="600B5DD9"/>
    <w:rsid w:val="600F3119"/>
    <w:rsid w:val="60106433"/>
    <w:rsid w:val="6012D8D1"/>
    <w:rsid w:val="6013F3F1"/>
    <w:rsid w:val="60143B4B"/>
    <w:rsid w:val="60163F4C"/>
    <w:rsid w:val="6017342E"/>
    <w:rsid w:val="601784C5"/>
    <w:rsid w:val="6018710D"/>
    <w:rsid w:val="60196B9E"/>
    <w:rsid w:val="601AA9C2"/>
    <w:rsid w:val="601ABF3D"/>
    <w:rsid w:val="601AEFBF"/>
    <w:rsid w:val="601B82DF"/>
    <w:rsid w:val="601D6E65"/>
    <w:rsid w:val="601EEB8D"/>
    <w:rsid w:val="601F73C7"/>
    <w:rsid w:val="60200DCA"/>
    <w:rsid w:val="602395A8"/>
    <w:rsid w:val="6025BC48"/>
    <w:rsid w:val="6025C924"/>
    <w:rsid w:val="60286A75"/>
    <w:rsid w:val="602971FD"/>
    <w:rsid w:val="602A13D2"/>
    <w:rsid w:val="602B1A44"/>
    <w:rsid w:val="602BFA14"/>
    <w:rsid w:val="602D6BA8"/>
    <w:rsid w:val="602DD0D6"/>
    <w:rsid w:val="602F3038"/>
    <w:rsid w:val="60327738"/>
    <w:rsid w:val="60357B38"/>
    <w:rsid w:val="6037FC0A"/>
    <w:rsid w:val="60381605"/>
    <w:rsid w:val="6038CE7A"/>
    <w:rsid w:val="603934FA"/>
    <w:rsid w:val="6039CAE5"/>
    <w:rsid w:val="603ADBE0"/>
    <w:rsid w:val="603D51DB"/>
    <w:rsid w:val="603F4C64"/>
    <w:rsid w:val="603F6457"/>
    <w:rsid w:val="604029F7"/>
    <w:rsid w:val="604149EE"/>
    <w:rsid w:val="6041DD08"/>
    <w:rsid w:val="60429CAF"/>
    <w:rsid w:val="6043105E"/>
    <w:rsid w:val="6044AD11"/>
    <w:rsid w:val="604A2D65"/>
    <w:rsid w:val="604AF9C1"/>
    <w:rsid w:val="604B09F2"/>
    <w:rsid w:val="604B62DC"/>
    <w:rsid w:val="604D3B55"/>
    <w:rsid w:val="604F7F85"/>
    <w:rsid w:val="604FA49D"/>
    <w:rsid w:val="60509CF7"/>
    <w:rsid w:val="6050D682"/>
    <w:rsid w:val="60516137"/>
    <w:rsid w:val="6053ABD4"/>
    <w:rsid w:val="6054930A"/>
    <w:rsid w:val="605576F8"/>
    <w:rsid w:val="60569A0D"/>
    <w:rsid w:val="6056F6E0"/>
    <w:rsid w:val="6058FE11"/>
    <w:rsid w:val="605B0A50"/>
    <w:rsid w:val="605B90C1"/>
    <w:rsid w:val="605D085E"/>
    <w:rsid w:val="60622166"/>
    <w:rsid w:val="606362C4"/>
    <w:rsid w:val="60637664"/>
    <w:rsid w:val="6063D9DB"/>
    <w:rsid w:val="606BEED4"/>
    <w:rsid w:val="6070A93E"/>
    <w:rsid w:val="60786C1B"/>
    <w:rsid w:val="607A2546"/>
    <w:rsid w:val="607AA553"/>
    <w:rsid w:val="607ADDDA"/>
    <w:rsid w:val="607BFB51"/>
    <w:rsid w:val="607C29C7"/>
    <w:rsid w:val="607C5336"/>
    <w:rsid w:val="607CAA30"/>
    <w:rsid w:val="607DB956"/>
    <w:rsid w:val="607EE5EA"/>
    <w:rsid w:val="607FDC9A"/>
    <w:rsid w:val="60815CF4"/>
    <w:rsid w:val="6083156C"/>
    <w:rsid w:val="60844A1D"/>
    <w:rsid w:val="6084D3D7"/>
    <w:rsid w:val="6085634D"/>
    <w:rsid w:val="608641D9"/>
    <w:rsid w:val="60866DC8"/>
    <w:rsid w:val="6086708C"/>
    <w:rsid w:val="6087930E"/>
    <w:rsid w:val="6088FE7D"/>
    <w:rsid w:val="6092DDAC"/>
    <w:rsid w:val="6093D3F5"/>
    <w:rsid w:val="60961E44"/>
    <w:rsid w:val="60969CEE"/>
    <w:rsid w:val="609766B4"/>
    <w:rsid w:val="60979F40"/>
    <w:rsid w:val="6098EC26"/>
    <w:rsid w:val="6098EFDE"/>
    <w:rsid w:val="609A0DE3"/>
    <w:rsid w:val="609F13E3"/>
    <w:rsid w:val="60A36F6B"/>
    <w:rsid w:val="60A61E00"/>
    <w:rsid w:val="60A73BBF"/>
    <w:rsid w:val="60A7F116"/>
    <w:rsid w:val="60A89E36"/>
    <w:rsid w:val="60AA7228"/>
    <w:rsid w:val="60AEA3AC"/>
    <w:rsid w:val="60AF80D9"/>
    <w:rsid w:val="60B212F1"/>
    <w:rsid w:val="60B42AC4"/>
    <w:rsid w:val="60B630D5"/>
    <w:rsid w:val="60B91E15"/>
    <w:rsid w:val="60B93525"/>
    <w:rsid w:val="60BCC78B"/>
    <w:rsid w:val="60BDCBB3"/>
    <w:rsid w:val="60BDFC72"/>
    <w:rsid w:val="60C0A7D1"/>
    <w:rsid w:val="60C15918"/>
    <w:rsid w:val="60C23A1E"/>
    <w:rsid w:val="60C385C0"/>
    <w:rsid w:val="60C680F6"/>
    <w:rsid w:val="60C8CB78"/>
    <w:rsid w:val="60C8F826"/>
    <w:rsid w:val="60CCE50B"/>
    <w:rsid w:val="60CE393A"/>
    <w:rsid w:val="60CECDF8"/>
    <w:rsid w:val="60D15727"/>
    <w:rsid w:val="60D42F44"/>
    <w:rsid w:val="60D50F34"/>
    <w:rsid w:val="60D650E8"/>
    <w:rsid w:val="60DFB92B"/>
    <w:rsid w:val="60E00172"/>
    <w:rsid w:val="60E06FAA"/>
    <w:rsid w:val="60E0E99A"/>
    <w:rsid w:val="60E1CCAF"/>
    <w:rsid w:val="60E39936"/>
    <w:rsid w:val="60E3A9A9"/>
    <w:rsid w:val="60E3F006"/>
    <w:rsid w:val="60E43AA9"/>
    <w:rsid w:val="60E4E466"/>
    <w:rsid w:val="60E556F9"/>
    <w:rsid w:val="60E65C40"/>
    <w:rsid w:val="60E9172A"/>
    <w:rsid w:val="60EA3FDF"/>
    <w:rsid w:val="60EC8E15"/>
    <w:rsid w:val="60ECEF64"/>
    <w:rsid w:val="60EE7EDA"/>
    <w:rsid w:val="60EEB6AA"/>
    <w:rsid w:val="60EFEB06"/>
    <w:rsid w:val="60F03593"/>
    <w:rsid w:val="60F052DA"/>
    <w:rsid w:val="60F0E97D"/>
    <w:rsid w:val="60F1020F"/>
    <w:rsid w:val="60F1D0A8"/>
    <w:rsid w:val="60F400AA"/>
    <w:rsid w:val="60F4A8FF"/>
    <w:rsid w:val="60F4C678"/>
    <w:rsid w:val="60F54E8E"/>
    <w:rsid w:val="60F589E6"/>
    <w:rsid w:val="60F65925"/>
    <w:rsid w:val="60F77291"/>
    <w:rsid w:val="60F79C7B"/>
    <w:rsid w:val="60F8253E"/>
    <w:rsid w:val="60FB698D"/>
    <w:rsid w:val="60FD126A"/>
    <w:rsid w:val="61035A4D"/>
    <w:rsid w:val="61059D57"/>
    <w:rsid w:val="6105B5B6"/>
    <w:rsid w:val="6105D4DE"/>
    <w:rsid w:val="6105D634"/>
    <w:rsid w:val="61065056"/>
    <w:rsid w:val="610C0EAB"/>
    <w:rsid w:val="610CAF6A"/>
    <w:rsid w:val="610D3814"/>
    <w:rsid w:val="610E43F1"/>
    <w:rsid w:val="610E69EC"/>
    <w:rsid w:val="610F5387"/>
    <w:rsid w:val="61131BA6"/>
    <w:rsid w:val="61133CD8"/>
    <w:rsid w:val="6113A318"/>
    <w:rsid w:val="61188E79"/>
    <w:rsid w:val="6118B714"/>
    <w:rsid w:val="6119DCE5"/>
    <w:rsid w:val="611A4A4D"/>
    <w:rsid w:val="611A9D39"/>
    <w:rsid w:val="611AF074"/>
    <w:rsid w:val="611D1BE8"/>
    <w:rsid w:val="611DE074"/>
    <w:rsid w:val="611E099E"/>
    <w:rsid w:val="611E6F53"/>
    <w:rsid w:val="611ED6B7"/>
    <w:rsid w:val="611FBBB5"/>
    <w:rsid w:val="61202EA4"/>
    <w:rsid w:val="6121AA10"/>
    <w:rsid w:val="61221D24"/>
    <w:rsid w:val="61243EEB"/>
    <w:rsid w:val="6124E767"/>
    <w:rsid w:val="612519DC"/>
    <w:rsid w:val="6125D5F9"/>
    <w:rsid w:val="61267A8D"/>
    <w:rsid w:val="6126BFFF"/>
    <w:rsid w:val="612DB681"/>
    <w:rsid w:val="612F9D36"/>
    <w:rsid w:val="6130F782"/>
    <w:rsid w:val="61311C38"/>
    <w:rsid w:val="61312FDF"/>
    <w:rsid w:val="61313964"/>
    <w:rsid w:val="61351119"/>
    <w:rsid w:val="6135C293"/>
    <w:rsid w:val="61395701"/>
    <w:rsid w:val="613A95A2"/>
    <w:rsid w:val="613AA809"/>
    <w:rsid w:val="613BF460"/>
    <w:rsid w:val="613DEEA4"/>
    <w:rsid w:val="613E5168"/>
    <w:rsid w:val="613F0CA4"/>
    <w:rsid w:val="613FB08B"/>
    <w:rsid w:val="614010D3"/>
    <w:rsid w:val="6140F2A8"/>
    <w:rsid w:val="61431207"/>
    <w:rsid w:val="6143BB50"/>
    <w:rsid w:val="6144499D"/>
    <w:rsid w:val="6144D678"/>
    <w:rsid w:val="61464096"/>
    <w:rsid w:val="61465828"/>
    <w:rsid w:val="614953BE"/>
    <w:rsid w:val="614A91D8"/>
    <w:rsid w:val="614BD39A"/>
    <w:rsid w:val="614C23E8"/>
    <w:rsid w:val="614D3662"/>
    <w:rsid w:val="61519E03"/>
    <w:rsid w:val="6154DD81"/>
    <w:rsid w:val="61550635"/>
    <w:rsid w:val="61556D7B"/>
    <w:rsid w:val="615695D6"/>
    <w:rsid w:val="6156E9CA"/>
    <w:rsid w:val="6156FEB9"/>
    <w:rsid w:val="61582CFE"/>
    <w:rsid w:val="61594ABB"/>
    <w:rsid w:val="615AF437"/>
    <w:rsid w:val="615DA46E"/>
    <w:rsid w:val="615EA9A5"/>
    <w:rsid w:val="6163093B"/>
    <w:rsid w:val="61636642"/>
    <w:rsid w:val="6165CCE2"/>
    <w:rsid w:val="6165FE36"/>
    <w:rsid w:val="61681A7B"/>
    <w:rsid w:val="6168A339"/>
    <w:rsid w:val="616A9C2B"/>
    <w:rsid w:val="616B5D47"/>
    <w:rsid w:val="616C7F52"/>
    <w:rsid w:val="616CB2FA"/>
    <w:rsid w:val="616E04F9"/>
    <w:rsid w:val="616E1526"/>
    <w:rsid w:val="6170EBE6"/>
    <w:rsid w:val="6171AD03"/>
    <w:rsid w:val="6172699A"/>
    <w:rsid w:val="6173E08B"/>
    <w:rsid w:val="617627BE"/>
    <w:rsid w:val="61790415"/>
    <w:rsid w:val="6179C4E2"/>
    <w:rsid w:val="617C3A6B"/>
    <w:rsid w:val="617DB12D"/>
    <w:rsid w:val="617DD186"/>
    <w:rsid w:val="61802373"/>
    <w:rsid w:val="6184D771"/>
    <w:rsid w:val="61853275"/>
    <w:rsid w:val="61879D22"/>
    <w:rsid w:val="6187AF68"/>
    <w:rsid w:val="6188868B"/>
    <w:rsid w:val="618B635C"/>
    <w:rsid w:val="618E2EB4"/>
    <w:rsid w:val="618FC4BA"/>
    <w:rsid w:val="6194D688"/>
    <w:rsid w:val="619B2036"/>
    <w:rsid w:val="619B4B68"/>
    <w:rsid w:val="619D2F30"/>
    <w:rsid w:val="619D566E"/>
    <w:rsid w:val="619DF003"/>
    <w:rsid w:val="61A1E37A"/>
    <w:rsid w:val="61A2D4EB"/>
    <w:rsid w:val="61A4675D"/>
    <w:rsid w:val="61A4ED25"/>
    <w:rsid w:val="61A8886A"/>
    <w:rsid w:val="61A8A2CB"/>
    <w:rsid w:val="61AA29BB"/>
    <w:rsid w:val="61AD228E"/>
    <w:rsid w:val="61AD3C3B"/>
    <w:rsid w:val="61AF56FF"/>
    <w:rsid w:val="61B1C1FF"/>
    <w:rsid w:val="61B497DB"/>
    <w:rsid w:val="61B67B05"/>
    <w:rsid w:val="61B71097"/>
    <w:rsid w:val="61B808FA"/>
    <w:rsid w:val="61B83EF6"/>
    <w:rsid w:val="61BA6CA6"/>
    <w:rsid w:val="61BAD3AE"/>
    <w:rsid w:val="61BB270B"/>
    <w:rsid w:val="61BC4FF7"/>
    <w:rsid w:val="61BC655C"/>
    <w:rsid w:val="61BE4097"/>
    <w:rsid w:val="61BE6638"/>
    <w:rsid w:val="61C173B8"/>
    <w:rsid w:val="61C2523A"/>
    <w:rsid w:val="61C32A22"/>
    <w:rsid w:val="61C4C39A"/>
    <w:rsid w:val="61C4E3C2"/>
    <w:rsid w:val="61C51523"/>
    <w:rsid w:val="61C64A7C"/>
    <w:rsid w:val="61C6619F"/>
    <w:rsid w:val="61CAEF31"/>
    <w:rsid w:val="61CB69D9"/>
    <w:rsid w:val="61CC35D6"/>
    <w:rsid w:val="61CDCD41"/>
    <w:rsid w:val="61CF13E5"/>
    <w:rsid w:val="61D1C9AE"/>
    <w:rsid w:val="61D443B0"/>
    <w:rsid w:val="61D45D33"/>
    <w:rsid w:val="61D60545"/>
    <w:rsid w:val="61D99722"/>
    <w:rsid w:val="61DD0CB4"/>
    <w:rsid w:val="61DE60C9"/>
    <w:rsid w:val="61DE6ACE"/>
    <w:rsid w:val="61DEE9EE"/>
    <w:rsid w:val="61DEFCA9"/>
    <w:rsid w:val="61E0BEF0"/>
    <w:rsid w:val="61E12A53"/>
    <w:rsid w:val="61E1C0C1"/>
    <w:rsid w:val="61E2EEBD"/>
    <w:rsid w:val="61E3FD5A"/>
    <w:rsid w:val="61E40B89"/>
    <w:rsid w:val="61E47012"/>
    <w:rsid w:val="61E49A59"/>
    <w:rsid w:val="61E4B552"/>
    <w:rsid w:val="61E65404"/>
    <w:rsid w:val="61E6B000"/>
    <w:rsid w:val="61E7FF1C"/>
    <w:rsid w:val="61EAA728"/>
    <w:rsid w:val="61EC86B2"/>
    <w:rsid w:val="61ECC2B9"/>
    <w:rsid w:val="61EE15BA"/>
    <w:rsid w:val="61EE1791"/>
    <w:rsid w:val="61EECDB5"/>
    <w:rsid w:val="61EEF8B9"/>
    <w:rsid w:val="61F07344"/>
    <w:rsid w:val="61F0A019"/>
    <w:rsid w:val="61F0A7BF"/>
    <w:rsid w:val="61F0E4F9"/>
    <w:rsid w:val="61F2D67F"/>
    <w:rsid w:val="61F39E9C"/>
    <w:rsid w:val="61F46E28"/>
    <w:rsid w:val="61F7C356"/>
    <w:rsid w:val="61F86384"/>
    <w:rsid w:val="61FBFD69"/>
    <w:rsid w:val="61FC5A07"/>
    <w:rsid w:val="61FCD168"/>
    <w:rsid w:val="61FCD2EC"/>
    <w:rsid w:val="61FD52D6"/>
    <w:rsid w:val="61FDD378"/>
    <w:rsid w:val="61FE3D97"/>
    <w:rsid w:val="61FF46C5"/>
    <w:rsid w:val="61FF9A2E"/>
    <w:rsid w:val="62024AAE"/>
    <w:rsid w:val="62029A1F"/>
    <w:rsid w:val="62032228"/>
    <w:rsid w:val="62041F68"/>
    <w:rsid w:val="62066FAE"/>
    <w:rsid w:val="6206CE67"/>
    <w:rsid w:val="6208EAA3"/>
    <w:rsid w:val="6208ED49"/>
    <w:rsid w:val="6209BA89"/>
    <w:rsid w:val="620A3CFF"/>
    <w:rsid w:val="620BE3F7"/>
    <w:rsid w:val="620C3DF9"/>
    <w:rsid w:val="620DB3B1"/>
    <w:rsid w:val="620E2363"/>
    <w:rsid w:val="6211EA16"/>
    <w:rsid w:val="621224B4"/>
    <w:rsid w:val="6216760E"/>
    <w:rsid w:val="6216E07E"/>
    <w:rsid w:val="6218C44A"/>
    <w:rsid w:val="62194EDE"/>
    <w:rsid w:val="621AD4B1"/>
    <w:rsid w:val="621C6343"/>
    <w:rsid w:val="621CEB13"/>
    <w:rsid w:val="621EEFAD"/>
    <w:rsid w:val="6220D8E0"/>
    <w:rsid w:val="6227DFCB"/>
    <w:rsid w:val="6228C178"/>
    <w:rsid w:val="62290BF0"/>
    <w:rsid w:val="622AC758"/>
    <w:rsid w:val="622D658B"/>
    <w:rsid w:val="622D74AC"/>
    <w:rsid w:val="622DE356"/>
    <w:rsid w:val="62302CB6"/>
    <w:rsid w:val="6231A43B"/>
    <w:rsid w:val="62351983"/>
    <w:rsid w:val="62367C42"/>
    <w:rsid w:val="62382AF9"/>
    <w:rsid w:val="623B1582"/>
    <w:rsid w:val="623C3AE5"/>
    <w:rsid w:val="623D2C6B"/>
    <w:rsid w:val="623F98A5"/>
    <w:rsid w:val="624286CB"/>
    <w:rsid w:val="62434985"/>
    <w:rsid w:val="62445D42"/>
    <w:rsid w:val="624509CD"/>
    <w:rsid w:val="624605E9"/>
    <w:rsid w:val="62466FEE"/>
    <w:rsid w:val="624840AB"/>
    <w:rsid w:val="6249E138"/>
    <w:rsid w:val="624D4BDA"/>
    <w:rsid w:val="624EAD6F"/>
    <w:rsid w:val="624F6D3B"/>
    <w:rsid w:val="62505FFB"/>
    <w:rsid w:val="6250633E"/>
    <w:rsid w:val="6252BC41"/>
    <w:rsid w:val="6253DAD9"/>
    <w:rsid w:val="6254981D"/>
    <w:rsid w:val="6254CD9F"/>
    <w:rsid w:val="62588D38"/>
    <w:rsid w:val="62589CFC"/>
    <w:rsid w:val="625A0B9D"/>
    <w:rsid w:val="625A522F"/>
    <w:rsid w:val="625AB30B"/>
    <w:rsid w:val="625AF5F1"/>
    <w:rsid w:val="625AF647"/>
    <w:rsid w:val="625B25D9"/>
    <w:rsid w:val="625B53E2"/>
    <w:rsid w:val="625C2E16"/>
    <w:rsid w:val="625F8CBA"/>
    <w:rsid w:val="62613B91"/>
    <w:rsid w:val="62629884"/>
    <w:rsid w:val="6262E65E"/>
    <w:rsid w:val="62647EAB"/>
    <w:rsid w:val="6264C407"/>
    <w:rsid w:val="6265C8E8"/>
    <w:rsid w:val="6266AEE2"/>
    <w:rsid w:val="6266DB99"/>
    <w:rsid w:val="62693715"/>
    <w:rsid w:val="6269C5BC"/>
    <w:rsid w:val="6269F7A3"/>
    <w:rsid w:val="626B3EF0"/>
    <w:rsid w:val="626B98BA"/>
    <w:rsid w:val="626C7FC6"/>
    <w:rsid w:val="626E6B73"/>
    <w:rsid w:val="626F181B"/>
    <w:rsid w:val="627024ED"/>
    <w:rsid w:val="62702F0B"/>
    <w:rsid w:val="627333FA"/>
    <w:rsid w:val="627487B4"/>
    <w:rsid w:val="6275EA47"/>
    <w:rsid w:val="62773AAE"/>
    <w:rsid w:val="6277630E"/>
    <w:rsid w:val="627947C9"/>
    <w:rsid w:val="627D0E2B"/>
    <w:rsid w:val="627E0BB5"/>
    <w:rsid w:val="627F9CD8"/>
    <w:rsid w:val="6281704C"/>
    <w:rsid w:val="628220A1"/>
    <w:rsid w:val="62831BD3"/>
    <w:rsid w:val="62831F7D"/>
    <w:rsid w:val="6283B706"/>
    <w:rsid w:val="6283FB46"/>
    <w:rsid w:val="6287EBA6"/>
    <w:rsid w:val="628BFA02"/>
    <w:rsid w:val="628D8330"/>
    <w:rsid w:val="628EA0EE"/>
    <w:rsid w:val="6290A50A"/>
    <w:rsid w:val="62910C12"/>
    <w:rsid w:val="62915CF0"/>
    <w:rsid w:val="6291E96D"/>
    <w:rsid w:val="629272CB"/>
    <w:rsid w:val="62928DC1"/>
    <w:rsid w:val="6292DCA8"/>
    <w:rsid w:val="629436AF"/>
    <w:rsid w:val="629D980D"/>
    <w:rsid w:val="629D9E9A"/>
    <w:rsid w:val="629DD16D"/>
    <w:rsid w:val="62A01C57"/>
    <w:rsid w:val="62A45B1A"/>
    <w:rsid w:val="62A50E36"/>
    <w:rsid w:val="62A6070E"/>
    <w:rsid w:val="62A68735"/>
    <w:rsid w:val="62A8C0E0"/>
    <w:rsid w:val="62A8CB22"/>
    <w:rsid w:val="62A92C1B"/>
    <w:rsid w:val="62AA7F5B"/>
    <w:rsid w:val="62AB13CB"/>
    <w:rsid w:val="62AE3448"/>
    <w:rsid w:val="62AE7AA6"/>
    <w:rsid w:val="62AE9E01"/>
    <w:rsid w:val="62AFDBFC"/>
    <w:rsid w:val="62AFEE4B"/>
    <w:rsid w:val="62B1EE80"/>
    <w:rsid w:val="62B2B9EE"/>
    <w:rsid w:val="62B35B4A"/>
    <w:rsid w:val="62B3B307"/>
    <w:rsid w:val="62B5A3AA"/>
    <w:rsid w:val="62B6D9EA"/>
    <w:rsid w:val="62B7BF9A"/>
    <w:rsid w:val="62B8E6E5"/>
    <w:rsid w:val="62B90C41"/>
    <w:rsid w:val="62BBF732"/>
    <w:rsid w:val="62BDA28C"/>
    <w:rsid w:val="62BFEBF2"/>
    <w:rsid w:val="62C24144"/>
    <w:rsid w:val="62C4235C"/>
    <w:rsid w:val="62C53FFF"/>
    <w:rsid w:val="62C5652D"/>
    <w:rsid w:val="62CB18DC"/>
    <w:rsid w:val="62CCB2B3"/>
    <w:rsid w:val="62CD1516"/>
    <w:rsid w:val="62CD6414"/>
    <w:rsid w:val="62CDE3A5"/>
    <w:rsid w:val="62CEAF32"/>
    <w:rsid w:val="62CEDAC7"/>
    <w:rsid w:val="62CF3B8F"/>
    <w:rsid w:val="62D10235"/>
    <w:rsid w:val="62D1F937"/>
    <w:rsid w:val="62D3D8A2"/>
    <w:rsid w:val="62D4436C"/>
    <w:rsid w:val="62D49560"/>
    <w:rsid w:val="62D547B4"/>
    <w:rsid w:val="62D6E19E"/>
    <w:rsid w:val="62D8025E"/>
    <w:rsid w:val="62D808FD"/>
    <w:rsid w:val="62D9D98E"/>
    <w:rsid w:val="62DAD5A1"/>
    <w:rsid w:val="62DD07C4"/>
    <w:rsid w:val="62DF32E0"/>
    <w:rsid w:val="62DF7A07"/>
    <w:rsid w:val="62E0C7F3"/>
    <w:rsid w:val="62E1DE62"/>
    <w:rsid w:val="62E716C1"/>
    <w:rsid w:val="62E75102"/>
    <w:rsid w:val="62E7BCB4"/>
    <w:rsid w:val="62E8144E"/>
    <w:rsid w:val="62E8E49D"/>
    <w:rsid w:val="62EAD4F5"/>
    <w:rsid w:val="62EC53B8"/>
    <w:rsid w:val="62EEDF42"/>
    <w:rsid w:val="62F11363"/>
    <w:rsid w:val="62F164F0"/>
    <w:rsid w:val="62F3108A"/>
    <w:rsid w:val="62F3874A"/>
    <w:rsid w:val="62F4577D"/>
    <w:rsid w:val="62F5EC8D"/>
    <w:rsid w:val="62F873B0"/>
    <w:rsid w:val="62F934C4"/>
    <w:rsid w:val="62FD86C3"/>
    <w:rsid w:val="62FDAA0D"/>
    <w:rsid w:val="62FEEB74"/>
    <w:rsid w:val="62FFE212"/>
    <w:rsid w:val="62FFFF14"/>
    <w:rsid w:val="6301476A"/>
    <w:rsid w:val="630266AA"/>
    <w:rsid w:val="6306575C"/>
    <w:rsid w:val="63067D01"/>
    <w:rsid w:val="63096E4A"/>
    <w:rsid w:val="63099F01"/>
    <w:rsid w:val="630BA42D"/>
    <w:rsid w:val="630D2A6E"/>
    <w:rsid w:val="630DAC7E"/>
    <w:rsid w:val="630F40C1"/>
    <w:rsid w:val="631138EC"/>
    <w:rsid w:val="63117754"/>
    <w:rsid w:val="63121D1F"/>
    <w:rsid w:val="63179D66"/>
    <w:rsid w:val="63187EB0"/>
    <w:rsid w:val="6318E017"/>
    <w:rsid w:val="63198C4F"/>
    <w:rsid w:val="631A8ADC"/>
    <w:rsid w:val="631F130F"/>
    <w:rsid w:val="632113A6"/>
    <w:rsid w:val="63216A1B"/>
    <w:rsid w:val="63222B65"/>
    <w:rsid w:val="63243909"/>
    <w:rsid w:val="6328656A"/>
    <w:rsid w:val="63290312"/>
    <w:rsid w:val="6329B789"/>
    <w:rsid w:val="632BEC1C"/>
    <w:rsid w:val="632C96EE"/>
    <w:rsid w:val="632D2111"/>
    <w:rsid w:val="632E6E77"/>
    <w:rsid w:val="632E81D2"/>
    <w:rsid w:val="63310EFA"/>
    <w:rsid w:val="63316589"/>
    <w:rsid w:val="63329651"/>
    <w:rsid w:val="6332A20B"/>
    <w:rsid w:val="6332ACC8"/>
    <w:rsid w:val="6333C210"/>
    <w:rsid w:val="63351452"/>
    <w:rsid w:val="633ACA92"/>
    <w:rsid w:val="633D5164"/>
    <w:rsid w:val="63413628"/>
    <w:rsid w:val="6341FC40"/>
    <w:rsid w:val="634258AB"/>
    <w:rsid w:val="6343F92F"/>
    <w:rsid w:val="634573C2"/>
    <w:rsid w:val="6345FE4A"/>
    <w:rsid w:val="6346ACB4"/>
    <w:rsid w:val="634B0686"/>
    <w:rsid w:val="634D155F"/>
    <w:rsid w:val="634ED736"/>
    <w:rsid w:val="6351411E"/>
    <w:rsid w:val="63559092"/>
    <w:rsid w:val="63562814"/>
    <w:rsid w:val="6356C030"/>
    <w:rsid w:val="635B514C"/>
    <w:rsid w:val="635CC998"/>
    <w:rsid w:val="635E5C3B"/>
    <w:rsid w:val="6360CFD3"/>
    <w:rsid w:val="636220A9"/>
    <w:rsid w:val="63623200"/>
    <w:rsid w:val="63631DA9"/>
    <w:rsid w:val="63665991"/>
    <w:rsid w:val="6366C4A8"/>
    <w:rsid w:val="636A51E1"/>
    <w:rsid w:val="636BCA0E"/>
    <w:rsid w:val="636D7081"/>
    <w:rsid w:val="636FC074"/>
    <w:rsid w:val="6371577D"/>
    <w:rsid w:val="63719044"/>
    <w:rsid w:val="6371EBAA"/>
    <w:rsid w:val="63725098"/>
    <w:rsid w:val="6375422B"/>
    <w:rsid w:val="6375F995"/>
    <w:rsid w:val="637750C7"/>
    <w:rsid w:val="6379C55B"/>
    <w:rsid w:val="637A7AB5"/>
    <w:rsid w:val="637CEB37"/>
    <w:rsid w:val="637DE2FD"/>
    <w:rsid w:val="637F1EDF"/>
    <w:rsid w:val="637F67E0"/>
    <w:rsid w:val="63800E71"/>
    <w:rsid w:val="6383A4F3"/>
    <w:rsid w:val="63843F60"/>
    <w:rsid w:val="63858AD4"/>
    <w:rsid w:val="63859D10"/>
    <w:rsid w:val="6385F3DE"/>
    <w:rsid w:val="63863147"/>
    <w:rsid w:val="6386C244"/>
    <w:rsid w:val="6387D94A"/>
    <w:rsid w:val="6387E50B"/>
    <w:rsid w:val="638B1C3C"/>
    <w:rsid w:val="638F21DA"/>
    <w:rsid w:val="638F7B9D"/>
    <w:rsid w:val="63914CD8"/>
    <w:rsid w:val="6394E369"/>
    <w:rsid w:val="6396D26C"/>
    <w:rsid w:val="639C6867"/>
    <w:rsid w:val="639C860A"/>
    <w:rsid w:val="63A38ACA"/>
    <w:rsid w:val="63A450D2"/>
    <w:rsid w:val="63A5E1A8"/>
    <w:rsid w:val="63A7AC4A"/>
    <w:rsid w:val="63A83056"/>
    <w:rsid w:val="63AA2EBB"/>
    <w:rsid w:val="63AAA4C6"/>
    <w:rsid w:val="63AC2F26"/>
    <w:rsid w:val="63AC5B47"/>
    <w:rsid w:val="63B0698D"/>
    <w:rsid w:val="63B17384"/>
    <w:rsid w:val="63B27A3B"/>
    <w:rsid w:val="63B343E0"/>
    <w:rsid w:val="63B53E69"/>
    <w:rsid w:val="63B573FE"/>
    <w:rsid w:val="63B7C89B"/>
    <w:rsid w:val="63B84ED6"/>
    <w:rsid w:val="63B8A059"/>
    <w:rsid w:val="63BA509A"/>
    <w:rsid w:val="63BA80FA"/>
    <w:rsid w:val="63BB8896"/>
    <w:rsid w:val="63BBA024"/>
    <w:rsid w:val="63BD6404"/>
    <w:rsid w:val="63C133E7"/>
    <w:rsid w:val="63C17044"/>
    <w:rsid w:val="63C4DBC3"/>
    <w:rsid w:val="63C682BA"/>
    <w:rsid w:val="63C70A2B"/>
    <w:rsid w:val="63C743D3"/>
    <w:rsid w:val="63C8FA2D"/>
    <w:rsid w:val="63C92C02"/>
    <w:rsid w:val="63C93F1F"/>
    <w:rsid w:val="63CB5B72"/>
    <w:rsid w:val="63CC7D2F"/>
    <w:rsid w:val="63CC804A"/>
    <w:rsid w:val="63CC80EF"/>
    <w:rsid w:val="63CD1201"/>
    <w:rsid w:val="63CD4D17"/>
    <w:rsid w:val="63CEF213"/>
    <w:rsid w:val="63CF8C08"/>
    <w:rsid w:val="63D1172D"/>
    <w:rsid w:val="63D38C3C"/>
    <w:rsid w:val="63D5C106"/>
    <w:rsid w:val="63D70886"/>
    <w:rsid w:val="63D947B2"/>
    <w:rsid w:val="63D9504B"/>
    <w:rsid w:val="63DA34FE"/>
    <w:rsid w:val="63DADAC6"/>
    <w:rsid w:val="63DCE68C"/>
    <w:rsid w:val="63DD575E"/>
    <w:rsid w:val="63E02516"/>
    <w:rsid w:val="63E02ACF"/>
    <w:rsid w:val="63E05109"/>
    <w:rsid w:val="63E1038C"/>
    <w:rsid w:val="63E1D7D3"/>
    <w:rsid w:val="63E2CB81"/>
    <w:rsid w:val="63E64C1C"/>
    <w:rsid w:val="63E6EAE7"/>
    <w:rsid w:val="63E89188"/>
    <w:rsid w:val="63E8F170"/>
    <w:rsid w:val="63E9BF87"/>
    <w:rsid w:val="63EBB70C"/>
    <w:rsid w:val="63EC2E5F"/>
    <w:rsid w:val="63F02D83"/>
    <w:rsid w:val="63F06EEE"/>
    <w:rsid w:val="63F1DF80"/>
    <w:rsid w:val="63F2CAA4"/>
    <w:rsid w:val="63F41394"/>
    <w:rsid w:val="63F42FAC"/>
    <w:rsid w:val="63F4FA27"/>
    <w:rsid w:val="63F5DBFE"/>
    <w:rsid w:val="63F76293"/>
    <w:rsid w:val="63F96962"/>
    <w:rsid w:val="63FA76D0"/>
    <w:rsid w:val="63FC7773"/>
    <w:rsid w:val="63FC9820"/>
    <w:rsid w:val="63FDC8D4"/>
    <w:rsid w:val="63FF7033"/>
    <w:rsid w:val="63FF9E8E"/>
    <w:rsid w:val="6400D651"/>
    <w:rsid w:val="6401ACF4"/>
    <w:rsid w:val="64029026"/>
    <w:rsid w:val="64036666"/>
    <w:rsid w:val="6406D6FE"/>
    <w:rsid w:val="6406F93C"/>
    <w:rsid w:val="6407994B"/>
    <w:rsid w:val="6409B97B"/>
    <w:rsid w:val="640A1657"/>
    <w:rsid w:val="640A1F2E"/>
    <w:rsid w:val="640C278F"/>
    <w:rsid w:val="640C83CD"/>
    <w:rsid w:val="640DF8B8"/>
    <w:rsid w:val="640F06A0"/>
    <w:rsid w:val="6411586A"/>
    <w:rsid w:val="641219F4"/>
    <w:rsid w:val="64168AC5"/>
    <w:rsid w:val="6416AC54"/>
    <w:rsid w:val="6416C241"/>
    <w:rsid w:val="6417E859"/>
    <w:rsid w:val="641FB559"/>
    <w:rsid w:val="64224762"/>
    <w:rsid w:val="64234BC9"/>
    <w:rsid w:val="6425608B"/>
    <w:rsid w:val="64266C1F"/>
    <w:rsid w:val="64288453"/>
    <w:rsid w:val="6428A06E"/>
    <w:rsid w:val="642A4D2E"/>
    <w:rsid w:val="642A7B51"/>
    <w:rsid w:val="642AF58B"/>
    <w:rsid w:val="642C4774"/>
    <w:rsid w:val="64305481"/>
    <w:rsid w:val="64320163"/>
    <w:rsid w:val="64323C53"/>
    <w:rsid w:val="6432AA8E"/>
    <w:rsid w:val="643713BF"/>
    <w:rsid w:val="64382217"/>
    <w:rsid w:val="6438875C"/>
    <w:rsid w:val="6438E345"/>
    <w:rsid w:val="64397133"/>
    <w:rsid w:val="643A1BA2"/>
    <w:rsid w:val="643BD632"/>
    <w:rsid w:val="643D3495"/>
    <w:rsid w:val="643DE735"/>
    <w:rsid w:val="64417177"/>
    <w:rsid w:val="64452F4D"/>
    <w:rsid w:val="64452F98"/>
    <w:rsid w:val="6445EC86"/>
    <w:rsid w:val="64475291"/>
    <w:rsid w:val="64499CAE"/>
    <w:rsid w:val="644CF9DC"/>
    <w:rsid w:val="644D5465"/>
    <w:rsid w:val="644F7043"/>
    <w:rsid w:val="6451B979"/>
    <w:rsid w:val="64521E7C"/>
    <w:rsid w:val="6454FDCB"/>
    <w:rsid w:val="6455F5B0"/>
    <w:rsid w:val="6457CF66"/>
    <w:rsid w:val="645BE2C8"/>
    <w:rsid w:val="645CEB62"/>
    <w:rsid w:val="645DB62C"/>
    <w:rsid w:val="645E065B"/>
    <w:rsid w:val="645EFE03"/>
    <w:rsid w:val="645F145E"/>
    <w:rsid w:val="645F6ACA"/>
    <w:rsid w:val="6460BE86"/>
    <w:rsid w:val="6460C77A"/>
    <w:rsid w:val="64617C8F"/>
    <w:rsid w:val="6462D4F0"/>
    <w:rsid w:val="64644960"/>
    <w:rsid w:val="64666DA1"/>
    <w:rsid w:val="64688448"/>
    <w:rsid w:val="6468CA2C"/>
    <w:rsid w:val="646955D0"/>
    <w:rsid w:val="646CFBDC"/>
    <w:rsid w:val="646F7083"/>
    <w:rsid w:val="6470E3AA"/>
    <w:rsid w:val="64716F9A"/>
    <w:rsid w:val="6472025B"/>
    <w:rsid w:val="6472495F"/>
    <w:rsid w:val="6473DDC8"/>
    <w:rsid w:val="64754FA0"/>
    <w:rsid w:val="6475F530"/>
    <w:rsid w:val="64766F05"/>
    <w:rsid w:val="6476B02E"/>
    <w:rsid w:val="6478186B"/>
    <w:rsid w:val="6478A3D4"/>
    <w:rsid w:val="64790B0B"/>
    <w:rsid w:val="64794AE3"/>
    <w:rsid w:val="64799540"/>
    <w:rsid w:val="647D0D20"/>
    <w:rsid w:val="647E7543"/>
    <w:rsid w:val="647EC53D"/>
    <w:rsid w:val="647EEFEB"/>
    <w:rsid w:val="6480534C"/>
    <w:rsid w:val="6481A9B2"/>
    <w:rsid w:val="6484E239"/>
    <w:rsid w:val="64851B93"/>
    <w:rsid w:val="6485DD0E"/>
    <w:rsid w:val="6485F5A9"/>
    <w:rsid w:val="648AF026"/>
    <w:rsid w:val="648C05C5"/>
    <w:rsid w:val="648D64B8"/>
    <w:rsid w:val="648E1C67"/>
    <w:rsid w:val="648EFD91"/>
    <w:rsid w:val="64908069"/>
    <w:rsid w:val="64908BEB"/>
    <w:rsid w:val="649214D2"/>
    <w:rsid w:val="64921EBB"/>
    <w:rsid w:val="6494C2CA"/>
    <w:rsid w:val="64952F47"/>
    <w:rsid w:val="64966C35"/>
    <w:rsid w:val="6496F7AE"/>
    <w:rsid w:val="6499E605"/>
    <w:rsid w:val="649AD90A"/>
    <w:rsid w:val="649B5D7B"/>
    <w:rsid w:val="649DC52E"/>
    <w:rsid w:val="64A0BBA6"/>
    <w:rsid w:val="64A0C45A"/>
    <w:rsid w:val="64A17A75"/>
    <w:rsid w:val="64A3616E"/>
    <w:rsid w:val="64A471E0"/>
    <w:rsid w:val="64A4C745"/>
    <w:rsid w:val="64A552B1"/>
    <w:rsid w:val="64A56975"/>
    <w:rsid w:val="64A729CF"/>
    <w:rsid w:val="64A8EDDA"/>
    <w:rsid w:val="64AA2277"/>
    <w:rsid w:val="64AA5CB7"/>
    <w:rsid w:val="64AB6894"/>
    <w:rsid w:val="64AFF0EC"/>
    <w:rsid w:val="64B2FCF5"/>
    <w:rsid w:val="64B3103B"/>
    <w:rsid w:val="64B4E369"/>
    <w:rsid w:val="64B5F355"/>
    <w:rsid w:val="64B63A3F"/>
    <w:rsid w:val="64B6A9F8"/>
    <w:rsid w:val="64B875A4"/>
    <w:rsid w:val="64B8B380"/>
    <w:rsid w:val="64B9D13F"/>
    <w:rsid w:val="64BB06CC"/>
    <w:rsid w:val="64BD8899"/>
    <w:rsid w:val="64BE2E8B"/>
    <w:rsid w:val="64BE5727"/>
    <w:rsid w:val="64C32017"/>
    <w:rsid w:val="64C4DA00"/>
    <w:rsid w:val="64C6040E"/>
    <w:rsid w:val="64C73115"/>
    <w:rsid w:val="64C92B19"/>
    <w:rsid w:val="64CA190C"/>
    <w:rsid w:val="64CA9755"/>
    <w:rsid w:val="64CE115C"/>
    <w:rsid w:val="64CE624C"/>
    <w:rsid w:val="64CFF3EE"/>
    <w:rsid w:val="64D0ED4D"/>
    <w:rsid w:val="64D10536"/>
    <w:rsid w:val="64D21E52"/>
    <w:rsid w:val="64D33492"/>
    <w:rsid w:val="64D36156"/>
    <w:rsid w:val="64D4AC40"/>
    <w:rsid w:val="64D60FB5"/>
    <w:rsid w:val="64D647D6"/>
    <w:rsid w:val="64DB67EA"/>
    <w:rsid w:val="64DF03F2"/>
    <w:rsid w:val="64E642DA"/>
    <w:rsid w:val="64E71CD3"/>
    <w:rsid w:val="64E7C4EE"/>
    <w:rsid w:val="64E8C0B3"/>
    <w:rsid w:val="64E96256"/>
    <w:rsid w:val="64E9DAC6"/>
    <w:rsid w:val="64EA6A40"/>
    <w:rsid w:val="64EB2970"/>
    <w:rsid w:val="64ECB1DF"/>
    <w:rsid w:val="64EDBEED"/>
    <w:rsid w:val="64EDFC7D"/>
    <w:rsid w:val="64EE02E7"/>
    <w:rsid w:val="64EE18A6"/>
    <w:rsid w:val="64EFA477"/>
    <w:rsid w:val="64EFBD21"/>
    <w:rsid w:val="64F0188E"/>
    <w:rsid w:val="64F13DD1"/>
    <w:rsid w:val="64F1C9C1"/>
    <w:rsid w:val="64F2754C"/>
    <w:rsid w:val="64F39BB0"/>
    <w:rsid w:val="64F4745F"/>
    <w:rsid w:val="64F493CA"/>
    <w:rsid w:val="64F4BF7D"/>
    <w:rsid w:val="64F4D032"/>
    <w:rsid w:val="64F54E8D"/>
    <w:rsid w:val="64F66B37"/>
    <w:rsid w:val="64F6B9C1"/>
    <w:rsid w:val="64F6FCF5"/>
    <w:rsid w:val="64F93907"/>
    <w:rsid w:val="64FA3A43"/>
    <w:rsid w:val="64FB4CF5"/>
    <w:rsid w:val="64FD3891"/>
    <w:rsid w:val="64FF6B37"/>
    <w:rsid w:val="65030D37"/>
    <w:rsid w:val="6503BEAE"/>
    <w:rsid w:val="65065668"/>
    <w:rsid w:val="6506CB11"/>
    <w:rsid w:val="6509F6EA"/>
    <w:rsid w:val="650AF387"/>
    <w:rsid w:val="650AFD3F"/>
    <w:rsid w:val="650B8BBB"/>
    <w:rsid w:val="650D756E"/>
    <w:rsid w:val="650E7441"/>
    <w:rsid w:val="65102B7F"/>
    <w:rsid w:val="651189B2"/>
    <w:rsid w:val="65127193"/>
    <w:rsid w:val="65135877"/>
    <w:rsid w:val="6513E1D2"/>
    <w:rsid w:val="6515D3A8"/>
    <w:rsid w:val="65184664"/>
    <w:rsid w:val="6518A3C9"/>
    <w:rsid w:val="651B92ED"/>
    <w:rsid w:val="651BB813"/>
    <w:rsid w:val="651D1094"/>
    <w:rsid w:val="651D1E88"/>
    <w:rsid w:val="651D8CF9"/>
    <w:rsid w:val="651EACDE"/>
    <w:rsid w:val="651ED524"/>
    <w:rsid w:val="6520F12E"/>
    <w:rsid w:val="65210033"/>
    <w:rsid w:val="652139DB"/>
    <w:rsid w:val="652272E8"/>
    <w:rsid w:val="65267A41"/>
    <w:rsid w:val="65271C0C"/>
    <w:rsid w:val="652A4008"/>
    <w:rsid w:val="652AE72F"/>
    <w:rsid w:val="652B128B"/>
    <w:rsid w:val="652F85A0"/>
    <w:rsid w:val="653057ED"/>
    <w:rsid w:val="65329E53"/>
    <w:rsid w:val="6533BA5C"/>
    <w:rsid w:val="6533D6E6"/>
    <w:rsid w:val="6533E970"/>
    <w:rsid w:val="6534918A"/>
    <w:rsid w:val="6535843B"/>
    <w:rsid w:val="6535EF2B"/>
    <w:rsid w:val="6536E0D8"/>
    <w:rsid w:val="6537A18B"/>
    <w:rsid w:val="653814B0"/>
    <w:rsid w:val="6538E014"/>
    <w:rsid w:val="653BCE52"/>
    <w:rsid w:val="653CC834"/>
    <w:rsid w:val="653F0787"/>
    <w:rsid w:val="6542A3C2"/>
    <w:rsid w:val="6543645D"/>
    <w:rsid w:val="654440BF"/>
    <w:rsid w:val="65450CD8"/>
    <w:rsid w:val="65451C4C"/>
    <w:rsid w:val="65451FA3"/>
    <w:rsid w:val="6546430D"/>
    <w:rsid w:val="6546BAED"/>
    <w:rsid w:val="654B84DF"/>
    <w:rsid w:val="654DB48F"/>
    <w:rsid w:val="654DE7A0"/>
    <w:rsid w:val="654DFB6A"/>
    <w:rsid w:val="654E0F57"/>
    <w:rsid w:val="6550CA3F"/>
    <w:rsid w:val="65517101"/>
    <w:rsid w:val="6553BB29"/>
    <w:rsid w:val="65543B77"/>
    <w:rsid w:val="65556BB1"/>
    <w:rsid w:val="655623B6"/>
    <w:rsid w:val="65575D2A"/>
    <w:rsid w:val="65582D79"/>
    <w:rsid w:val="655988A6"/>
    <w:rsid w:val="655A99AD"/>
    <w:rsid w:val="655B469B"/>
    <w:rsid w:val="655F1C13"/>
    <w:rsid w:val="655FC494"/>
    <w:rsid w:val="65603D19"/>
    <w:rsid w:val="6561DE26"/>
    <w:rsid w:val="6562F64F"/>
    <w:rsid w:val="65656AC8"/>
    <w:rsid w:val="6567ED8B"/>
    <w:rsid w:val="65696FB8"/>
    <w:rsid w:val="656BC177"/>
    <w:rsid w:val="656BD9C2"/>
    <w:rsid w:val="656D15B3"/>
    <w:rsid w:val="656EB7D2"/>
    <w:rsid w:val="6572EBAD"/>
    <w:rsid w:val="65737829"/>
    <w:rsid w:val="6575426B"/>
    <w:rsid w:val="65754EEB"/>
    <w:rsid w:val="6575F0BF"/>
    <w:rsid w:val="65785AD6"/>
    <w:rsid w:val="6579BF39"/>
    <w:rsid w:val="657BFB9E"/>
    <w:rsid w:val="657EBAE6"/>
    <w:rsid w:val="6580A261"/>
    <w:rsid w:val="6580BD90"/>
    <w:rsid w:val="6580FB9F"/>
    <w:rsid w:val="65835019"/>
    <w:rsid w:val="65836D42"/>
    <w:rsid w:val="65853F3B"/>
    <w:rsid w:val="6585AF76"/>
    <w:rsid w:val="65860406"/>
    <w:rsid w:val="658802E7"/>
    <w:rsid w:val="6588B8C9"/>
    <w:rsid w:val="6588C617"/>
    <w:rsid w:val="658CDC98"/>
    <w:rsid w:val="658D8D75"/>
    <w:rsid w:val="658E49E3"/>
    <w:rsid w:val="658E5731"/>
    <w:rsid w:val="65903BA4"/>
    <w:rsid w:val="65919A6F"/>
    <w:rsid w:val="6591AC5F"/>
    <w:rsid w:val="6591B217"/>
    <w:rsid w:val="65926966"/>
    <w:rsid w:val="65959AD6"/>
    <w:rsid w:val="6597A350"/>
    <w:rsid w:val="659834E9"/>
    <w:rsid w:val="659A0520"/>
    <w:rsid w:val="659C4869"/>
    <w:rsid w:val="659E1673"/>
    <w:rsid w:val="659E660A"/>
    <w:rsid w:val="659E86C6"/>
    <w:rsid w:val="65A1411E"/>
    <w:rsid w:val="65A151E7"/>
    <w:rsid w:val="65A1B509"/>
    <w:rsid w:val="65A1DAD5"/>
    <w:rsid w:val="65A3D8BE"/>
    <w:rsid w:val="65A59D34"/>
    <w:rsid w:val="65A5A12B"/>
    <w:rsid w:val="65A5D414"/>
    <w:rsid w:val="65A5E00F"/>
    <w:rsid w:val="65A6FF86"/>
    <w:rsid w:val="65A8B26D"/>
    <w:rsid w:val="65A8DA82"/>
    <w:rsid w:val="65AA9998"/>
    <w:rsid w:val="65AD8E56"/>
    <w:rsid w:val="65AE1877"/>
    <w:rsid w:val="65AEF97B"/>
    <w:rsid w:val="65AFF78E"/>
    <w:rsid w:val="65B2487A"/>
    <w:rsid w:val="65B36AB4"/>
    <w:rsid w:val="65B418F3"/>
    <w:rsid w:val="65B4AEED"/>
    <w:rsid w:val="65B55BBD"/>
    <w:rsid w:val="65B7AF23"/>
    <w:rsid w:val="65B908BD"/>
    <w:rsid w:val="65B94651"/>
    <w:rsid w:val="65BA614B"/>
    <w:rsid w:val="65BCF887"/>
    <w:rsid w:val="65BD1E52"/>
    <w:rsid w:val="65BD3C64"/>
    <w:rsid w:val="65C039B2"/>
    <w:rsid w:val="65C0D237"/>
    <w:rsid w:val="65C19AA0"/>
    <w:rsid w:val="65C26AAC"/>
    <w:rsid w:val="65C3D775"/>
    <w:rsid w:val="65C6ED2A"/>
    <w:rsid w:val="65C77DE4"/>
    <w:rsid w:val="65C8F05B"/>
    <w:rsid w:val="65C8F2FA"/>
    <w:rsid w:val="65C9A06F"/>
    <w:rsid w:val="65CB951A"/>
    <w:rsid w:val="65CE240D"/>
    <w:rsid w:val="65CEEFF6"/>
    <w:rsid w:val="65CF9EEB"/>
    <w:rsid w:val="65D01438"/>
    <w:rsid w:val="65D0A6AE"/>
    <w:rsid w:val="65D0F0C7"/>
    <w:rsid w:val="65D16F6B"/>
    <w:rsid w:val="65D5CD66"/>
    <w:rsid w:val="65D737E6"/>
    <w:rsid w:val="65D7C552"/>
    <w:rsid w:val="65DA157D"/>
    <w:rsid w:val="65DF8692"/>
    <w:rsid w:val="65E216B4"/>
    <w:rsid w:val="65E4D91E"/>
    <w:rsid w:val="65E59C31"/>
    <w:rsid w:val="65E64503"/>
    <w:rsid w:val="65E65B70"/>
    <w:rsid w:val="65E6A497"/>
    <w:rsid w:val="65E77171"/>
    <w:rsid w:val="65E7C32A"/>
    <w:rsid w:val="65E8ED76"/>
    <w:rsid w:val="65E8EE97"/>
    <w:rsid w:val="65E93F04"/>
    <w:rsid w:val="65E97756"/>
    <w:rsid w:val="65ECC0EB"/>
    <w:rsid w:val="65ED3F36"/>
    <w:rsid w:val="65EDFC95"/>
    <w:rsid w:val="65F14218"/>
    <w:rsid w:val="65F3C345"/>
    <w:rsid w:val="65F40AF6"/>
    <w:rsid w:val="65F466DE"/>
    <w:rsid w:val="65F504D1"/>
    <w:rsid w:val="65F5090D"/>
    <w:rsid w:val="65F79771"/>
    <w:rsid w:val="65F8484E"/>
    <w:rsid w:val="65F897AF"/>
    <w:rsid w:val="65F8A6A0"/>
    <w:rsid w:val="65F9929A"/>
    <w:rsid w:val="65FA0F60"/>
    <w:rsid w:val="65FB9D24"/>
    <w:rsid w:val="65FBCCEB"/>
    <w:rsid w:val="66002518"/>
    <w:rsid w:val="66020EE4"/>
    <w:rsid w:val="66025340"/>
    <w:rsid w:val="6603A410"/>
    <w:rsid w:val="6603AF7D"/>
    <w:rsid w:val="6603BBFD"/>
    <w:rsid w:val="6604941D"/>
    <w:rsid w:val="660508EB"/>
    <w:rsid w:val="6607471E"/>
    <w:rsid w:val="660B055B"/>
    <w:rsid w:val="660B8F1A"/>
    <w:rsid w:val="660C1638"/>
    <w:rsid w:val="660CD09E"/>
    <w:rsid w:val="660E7430"/>
    <w:rsid w:val="6612CC9C"/>
    <w:rsid w:val="6612D46B"/>
    <w:rsid w:val="66164D42"/>
    <w:rsid w:val="661C6CAA"/>
    <w:rsid w:val="661C7EB8"/>
    <w:rsid w:val="661C94E3"/>
    <w:rsid w:val="661D60EB"/>
    <w:rsid w:val="661E9C72"/>
    <w:rsid w:val="661EB563"/>
    <w:rsid w:val="661F3FB6"/>
    <w:rsid w:val="661F86B0"/>
    <w:rsid w:val="661F8853"/>
    <w:rsid w:val="661FB613"/>
    <w:rsid w:val="6620A5E9"/>
    <w:rsid w:val="6620D590"/>
    <w:rsid w:val="662237F7"/>
    <w:rsid w:val="6622FF46"/>
    <w:rsid w:val="66236B80"/>
    <w:rsid w:val="66237111"/>
    <w:rsid w:val="662396B7"/>
    <w:rsid w:val="6623DD86"/>
    <w:rsid w:val="6624A8AC"/>
    <w:rsid w:val="66258492"/>
    <w:rsid w:val="6625EE7B"/>
    <w:rsid w:val="6628FA2F"/>
    <w:rsid w:val="6629B6E4"/>
    <w:rsid w:val="662A9895"/>
    <w:rsid w:val="662BC162"/>
    <w:rsid w:val="662CBEF0"/>
    <w:rsid w:val="662FE83B"/>
    <w:rsid w:val="66302680"/>
    <w:rsid w:val="663173B7"/>
    <w:rsid w:val="6631D489"/>
    <w:rsid w:val="663255D6"/>
    <w:rsid w:val="66334487"/>
    <w:rsid w:val="66363773"/>
    <w:rsid w:val="6638C1AC"/>
    <w:rsid w:val="663962BE"/>
    <w:rsid w:val="663B7501"/>
    <w:rsid w:val="663CA782"/>
    <w:rsid w:val="6640B977"/>
    <w:rsid w:val="6640E04A"/>
    <w:rsid w:val="66423D69"/>
    <w:rsid w:val="66436287"/>
    <w:rsid w:val="664389B2"/>
    <w:rsid w:val="66440754"/>
    <w:rsid w:val="66448667"/>
    <w:rsid w:val="6649A11A"/>
    <w:rsid w:val="6652FA76"/>
    <w:rsid w:val="66538E7B"/>
    <w:rsid w:val="66543D0A"/>
    <w:rsid w:val="66554510"/>
    <w:rsid w:val="6655CD55"/>
    <w:rsid w:val="66563153"/>
    <w:rsid w:val="6657E89F"/>
    <w:rsid w:val="66589B99"/>
    <w:rsid w:val="665AA22C"/>
    <w:rsid w:val="665BBCD9"/>
    <w:rsid w:val="665D56CD"/>
    <w:rsid w:val="665E3CC7"/>
    <w:rsid w:val="66613147"/>
    <w:rsid w:val="66630224"/>
    <w:rsid w:val="66632012"/>
    <w:rsid w:val="666348C3"/>
    <w:rsid w:val="666359BC"/>
    <w:rsid w:val="666495E6"/>
    <w:rsid w:val="666715F5"/>
    <w:rsid w:val="6669AB6E"/>
    <w:rsid w:val="666A4B7C"/>
    <w:rsid w:val="666BFDD3"/>
    <w:rsid w:val="666C5DD5"/>
    <w:rsid w:val="666EB5C3"/>
    <w:rsid w:val="6670A16D"/>
    <w:rsid w:val="6670D581"/>
    <w:rsid w:val="6673F722"/>
    <w:rsid w:val="6678D49F"/>
    <w:rsid w:val="66798D3A"/>
    <w:rsid w:val="6679FDC7"/>
    <w:rsid w:val="667B939D"/>
    <w:rsid w:val="667C46A8"/>
    <w:rsid w:val="667D2948"/>
    <w:rsid w:val="66806070"/>
    <w:rsid w:val="66808188"/>
    <w:rsid w:val="6680FFB8"/>
    <w:rsid w:val="6682716D"/>
    <w:rsid w:val="66834DFE"/>
    <w:rsid w:val="66877CEA"/>
    <w:rsid w:val="66881B8B"/>
    <w:rsid w:val="6689BA12"/>
    <w:rsid w:val="668A9CA1"/>
    <w:rsid w:val="668C36D3"/>
    <w:rsid w:val="668C6906"/>
    <w:rsid w:val="668CA943"/>
    <w:rsid w:val="668E5F46"/>
    <w:rsid w:val="668E7191"/>
    <w:rsid w:val="669042E6"/>
    <w:rsid w:val="6691BEFF"/>
    <w:rsid w:val="6691EC3A"/>
    <w:rsid w:val="66921956"/>
    <w:rsid w:val="66931548"/>
    <w:rsid w:val="669379CF"/>
    <w:rsid w:val="66963CF3"/>
    <w:rsid w:val="66977879"/>
    <w:rsid w:val="6697BA9B"/>
    <w:rsid w:val="6698D7C9"/>
    <w:rsid w:val="6698F1C5"/>
    <w:rsid w:val="6699D2C2"/>
    <w:rsid w:val="669AF712"/>
    <w:rsid w:val="669BEBEC"/>
    <w:rsid w:val="669E357E"/>
    <w:rsid w:val="669ED2A4"/>
    <w:rsid w:val="66A2F706"/>
    <w:rsid w:val="66A58421"/>
    <w:rsid w:val="66A8996C"/>
    <w:rsid w:val="66AB3BD5"/>
    <w:rsid w:val="66AC7FF6"/>
    <w:rsid w:val="66ACF2CA"/>
    <w:rsid w:val="66B16309"/>
    <w:rsid w:val="66B26355"/>
    <w:rsid w:val="66B2726B"/>
    <w:rsid w:val="66B3B07C"/>
    <w:rsid w:val="66B56AA9"/>
    <w:rsid w:val="66B5FA3E"/>
    <w:rsid w:val="66B6ADA9"/>
    <w:rsid w:val="66B92F79"/>
    <w:rsid w:val="66BD6B44"/>
    <w:rsid w:val="66BE32BA"/>
    <w:rsid w:val="66BF3EA2"/>
    <w:rsid w:val="66BF6AE8"/>
    <w:rsid w:val="66BF730A"/>
    <w:rsid w:val="66C0C0EF"/>
    <w:rsid w:val="66C0F2BC"/>
    <w:rsid w:val="66C14852"/>
    <w:rsid w:val="66C419EA"/>
    <w:rsid w:val="66C76959"/>
    <w:rsid w:val="66C83568"/>
    <w:rsid w:val="66C8DE93"/>
    <w:rsid w:val="66C9846A"/>
    <w:rsid w:val="66C98CE8"/>
    <w:rsid w:val="66CA085E"/>
    <w:rsid w:val="66CA80F6"/>
    <w:rsid w:val="66CAE736"/>
    <w:rsid w:val="66CBA0F4"/>
    <w:rsid w:val="66CCB329"/>
    <w:rsid w:val="66CE3B82"/>
    <w:rsid w:val="66D1D98F"/>
    <w:rsid w:val="66D4B00D"/>
    <w:rsid w:val="66D5BC22"/>
    <w:rsid w:val="66D67474"/>
    <w:rsid w:val="66DA7888"/>
    <w:rsid w:val="66DC24ED"/>
    <w:rsid w:val="66DD2162"/>
    <w:rsid w:val="66DE91AA"/>
    <w:rsid w:val="66DF38C6"/>
    <w:rsid w:val="66DF86EE"/>
    <w:rsid w:val="66E09DAC"/>
    <w:rsid w:val="66E14238"/>
    <w:rsid w:val="66E20714"/>
    <w:rsid w:val="66E360EE"/>
    <w:rsid w:val="66E3EF52"/>
    <w:rsid w:val="66E40CCD"/>
    <w:rsid w:val="66E5FFAC"/>
    <w:rsid w:val="66E69DEF"/>
    <w:rsid w:val="66ECD35C"/>
    <w:rsid w:val="66EDF973"/>
    <w:rsid w:val="66EE8681"/>
    <w:rsid w:val="66EF3D8F"/>
    <w:rsid w:val="66F4DA9F"/>
    <w:rsid w:val="66F5DC74"/>
    <w:rsid w:val="66F75AED"/>
    <w:rsid w:val="66F7FD80"/>
    <w:rsid w:val="66FAB0E0"/>
    <w:rsid w:val="66FABC70"/>
    <w:rsid w:val="66FB3EF6"/>
    <w:rsid w:val="66FBCBBB"/>
    <w:rsid w:val="66FC6C07"/>
    <w:rsid w:val="66FCE04F"/>
    <w:rsid w:val="66FDDCFB"/>
    <w:rsid w:val="66FE927F"/>
    <w:rsid w:val="66FF871D"/>
    <w:rsid w:val="66FFDE45"/>
    <w:rsid w:val="66FFE082"/>
    <w:rsid w:val="670076EB"/>
    <w:rsid w:val="670189E8"/>
    <w:rsid w:val="6701F3C7"/>
    <w:rsid w:val="67033BD7"/>
    <w:rsid w:val="67035C7A"/>
    <w:rsid w:val="67045E04"/>
    <w:rsid w:val="6704DF53"/>
    <w:rsid w:val="67055209"/>
    <w:rsid w:val="67084DA2"/>
    <w:rsid w:val="670863F2"/>
    <w:rsid w:val="6709276E"/>
    <w:rsid w:val="670A4A61"/>
    <w:rsid w:val="670AC8E2"/>
    <w:rsid w:val="670CC37C"/>
    <w:rsid w:val="670CCE97"/>
    <w:rsid w:val="670D580D"/>
    <w:rsid w:val="670DA543"/>
    <w:rsid w:val="670F6506"/>
    <w:rsid w:val="670F76F7"/>
    <w:rsid w:val="67115D28"/>
    <w:rsid w:val="67116564"/>
    <w:rsid w:val="67120F5F"/>
    <w:rsid w:val="6713B61B"/>
    <w:rsid w:val="67145994"/>
    <w:rsid w:val="67149337"/>
    <w:rsid w:val="671A38AD"/>
    <w:rsid w:val="671B8201"/>
    <w:rsid w:val="671E9FB1"/>
    <w:rsid w:val="671EBA7E"/>
    <w:rsid w:val="67210A46"/>
    <w:rsid w:val="67217CBF"/>
    <w:rsid w:val="6722CA12"/>
    <w:rsid w:val="6724AC70"/>
    <w:rsid w:val="67259A5E"/>
    <w:rsid w:val="6725FE27"/>
    <w:rsid w:val="672700AB"/>
    <w:rsid w:val="672712F4"/>
    <w:rsid w:val="6727645A"/>
    <w:rsid w:val="6729E9EC"/>
    <w:rsid w:val="672BA356"/>
    <w:rsid w:val="672D6800"/>
    <w:rsid w:val="673186A7"/>
    <w:rsid w:val="67331FB7"/>
    <w:rsid w:val="67344D9B"/>
    <w:rsid w:val="6734934B"/>
    <w:rsid w:val="6734B952"/>
    <w:rsid w:val="6735E0E2"/>
    <w:rsid w:val="67361073"/>
    <w:rsid w:val="6736F991"/>
    <w:rsid w:val="673BE73D"/>
    <w:rsid w:val="673C5587"/>
    <w:rsid w:val="673C6E34"/>
    <w:rsid w:val="673D87CA"/>
    <w:rsid w:val="673EA9B2"/>
    <w:rsid w:val="673F0298"/>
    <w:rsid w:val="6741F1DF"/>
    <w:rsid w:val="67433E4D"/>
    <w:rsid w:val="67459BCC"/>
    <w:rsid w:val="67479430"/>
    <w:rsid w:val="67480E56"/>
    <w:rsid w:val="67489C09"/>
    <w:rsid w:val="6748DD7D"/>
    <w:rsid w:val="67493D77"/>
    <w:rsid w:val="674A58C1"/>
    <w:rsid w:val="674BF1EE"/>
    <w:rsid w:val="674D006D"/>
    <w:rsid w:val="674D5A65"/>
    <w:rsid w:val="674F68CE"/>
    <w:rsid w:val="67503D74"/>
    <w:rsid w:val="6751F16C"/>
    <w:rsid w:val="67525E06"/>
    <w:rsid w:val="67537F84"/>
    <w:rsid w:val="67544AD0"/>
    <w:rsid w:val="67562E65"/>
    <w:rsid w:val="67589134"/>
    <w:rsid w:val="6759EFF2"/>
    <w:rsid w:val="675A9A81"/>
    <w:rsid w:val="675CFF26"/>
    <w:rsid w:val="675DBD80"/>
    <w:rsid w:val="675DE6ED"/>
    <w:rsid w:val="675E51CE"/>
    <w:rsid w:val="675ED64A"/>
    <w:rsid w:val="676039C3"/>
    <w:rsid w:val="6760817F"/>
    <w:rsid w:val="6760B830"/>
    <w:rsid w:val="6765186C"/>
    <w:rsid w:val="67689AC7"/>
    <w:rsid w:val="676D180B"/>
    <w:rsid w:val="67701732"/>
    <w:rsid w:val="6773B450"/>
    <w:rsid w:val="6773B516"/>
    <w:rsid w:val="677596A7"/>
    <w:rsid w:val="67768A40"/>
    <w:rsid w:val="6776C927"/>
    <w:rsid w:val="6777A6DE"/>
    <w:rsid w:val="6778DF93"/>
    <w:rsid w:val="67792847"/>
    <w:rsid w:val="677C2200"/>
    <w:rsid w:val="677F4147"/>
    <w:rsid w:val="6780C85F"/>
    <w:rsid w:val="67811074"/>
    <w:rsid w:val="67837543"/>
    <w:rsid w:val="67842706"/>
    <w:rsid w:val="67845AE5"/>
    <w:rsid w:val="67853018"/>
    <w:rsid w:val="67863531"/>
    <w:rsid w:val="6786513D"/>
    <w:rsid w:val="678885FD"/>
    <w:rsid w:val="678A035F"/>
    <w:rsid w:val="678B76E8"/>
    <w:rsid w:val="678B9612"/>
    <w:rsid w:val="678D5E79"/>
    <w:rsid w:val="678D8FE0"/>
    <w:rsid w:val="678F35E5"/>
    <w:rsid w:val="679240FB"/>
    <w:rsid w:val="6792E8CC"/>
    <w:rsid w:val="6793A45C"/>
    <w:rsid w:val="67959B63"/>
    <w:rsid w:val="6795D7C6"/>
    <w:rsid w:val="67969D5C"/>
    <w:rsid w:val="67974981"/>
    <w:rsid w:val="6797E0FA"/>
    <w:rsid w:val="679BD9FD"/>
    <w:rsid w:val="679BEB63"/>
    <w:rsid w:val="679D70A0"/>
    <w:rsid w:val="679F0437"/>
    <w:rsid w:val="67A04B0B"/>
    <w:rsid w:val="67A0E59A"/>
    <w:rsid w:val="67A0EFC6"/>
    <w:rsid w:val="67A2DDD8"/>
    <w:rsid w:val="67A90B70"/>
    <w:rsid w:val="67AA01C7"/>
    <w:rsid w:val="67ADFABB"/>
    <w:rsid w:val="67B06D35"/>
    <w:rsid w:val="67B0EBA5"/>
    <w:rsid w:val="67B3AD56"/>
    <w:rsid w:val="67B3F637"/>
    <w:rsid w:val="67B451CE"/>
    <w:rsid w:val="67B476B1"/>
    <w:rsid w:val="67B4D553"/>
    <w:rsid w:val="67B7C6F2"/>
    <w:rsid w:val="67B805B5"/>
    <w:rsid w:val="67B9314C"/>
    <w:rsid w:val="67B95E93"/>
    <w:rsid w:val="67C0BE23"/>
    <w:rsid w:val="67CA2C00"/>
    <w:rsid w:val="67CB24EB"/>
    <w:rsid w:val="67D08AFE"/>
    <w:rsid w:val="67D4C1C4"/>
    <w:rsid w:val="67D59A36"/>
    <w:rsid w:val="67D7146F"/>
    <w:rsid w:val="67DB5F21"/>
    <w:rsid w:val="67DCBF60"/>
    <w:rsid w:val="67DDF2F6"/>
    <w:rsid w:val="67DE2E4A"/>
    <w:rsid w:val="67DE8E1B"/>
    <w:rsid w:val="67DFD2FD"/>
    <w:rsid w:val="67E091E5"/>
    <w:rsid w:val="67E0D42B"/>
    <w:rsid w:val="67E3505D"/>
    <w:rsid w:val="67E53B94"/>
    <w:rsid w:val="67E5583C"/>
    <w:rsid w:val="67E592F3"/>
    <w:rsid w:val="67E62103"/>
    <w:rsid w:val="67E914EB"/>
    <w:rsid w:val="67EB4B00"/>
    <w:rsid w:val="67ECC5F8"/>
    <w:rsid w:val="67EDFFD4"/>
    <w:rsid w:val="67EE6E9B"/>
    <w:rsid w:val="67F24C38"/>
    <w:rsid w:val="67F311C0"/>
    <w:rsid w:val="67F41FCF"/>
    <w:rsid w:val="67F4BB97"/>
    <w:rsid w:val="67F4FF2C"/>
    <w:rsid w:val="67F527E4"/>
    <w:rsid w:val="67F72761"/>
    <w:rsid w:val="67F75E6C"/>
    <w:rsid w:val="67F7C9D0"/>
    <w:rsid w:val="67F814C8"/>
    <w:rsid w:val="67FC3444"/>
    <w:rsid w:val="67FD0A40"/>
    <w:rsid w:val="67FE90C9"/>
    <w:rsid w:val="67FF01E4"/>
    <w:rsid w:val="6802DA14"/>
    <w:rsid w:val="68033D22"/>
    <w:rsid w:val="68037DA7"/>
    <w:rsid w:val="6803A70B"/>
    <w:rsid w:val="680559E5"/>
    <w:rsid w:val="6806048C"/>
    <w:rsid w:val="6807F29E"/>
    <w:rsid w:val="6807FDDA"/>
    <w:rsid w:val="680A96C7"/>
    <w:rsid w:val="680B24DE"/>
    <w:rsid w:val="680D0764"/>
    <w:rsid w:val="680D22D1"/>
    <w:rsid w:val="680D24CB"/>
    <w:rsid w:val="680D2D5F"/>
    <w:rsid w:val="680E71EF"/>
    <w:rsid w:val="680E983D"/>
    <w:rsid w:val="68121ABF"/>
    <w:rsid w:val="6812BF93"/>
    <w:rsid w:val="6812C16B"/>
    <w:rsid w:val="681441B8"/>
    <w:rsid w:val="6815CE60"/>
    <w:rsid w:val="6815D959"/>
    <w:rsid w:val="6818728C"/>
    <w:rsid w:val="68196000"/>
    <w:rsid w:val="6819D7AD"/>
    <w:rsid w:val="681ABBFE"/>
    <w:rsid w:val="681B08C6"/>
    <w:rsid w:val="681CA07B"/>
    <w:rsid w:val="68207503"/>
    <w:rsid w:val="6820D02B"/>
    <w:rsid w:val="68216577"/>
    <w:rsid w:val="68230187"/>
    <w:rsid w:val="6823A801"/>
    <w:rsid w:val="68241FAD"/>
    <w:rsid w:val="682429E8"/>
    <w:rsid w:val="6826293D"/>
    <w:rsid w:val="6826AE2C"/>
    <w:rsid w:val="68274F98"/>
    <w:rsid w:val="6827DECE"/>
    <w:rsid w:val="6829668A"/>
    <w:rsid w:val="6829FD72"/>
    <w:rsid w:val="682C1BAD"/>
    <w:rsid w:val="682EABAB"/>
    <w:rsid w:val="682F8872"/>
    <w:rsid w:val="6830DC5B"/>
    <w:rsid w:val="68313431"/>
    <w:rsid w:val="68321BAC"/>
    <w:rsid w:val="68345A8D"/>
    <w:rsid w:val="683712E8"/>
    <w:rsid w:val="6837470F"/>
    <w:rsid w:val="68375EF9"/>
    <w:rsid w:val="68377A9B"/>
    <w:rsid w:val="68392A5F"/>
    <w:rsid w:val="683C75FA"/>
    <w:rsid w:val="683EEA6A"/>
    <w:rsid w:val="683FCB7E"/>
    <w:rsid w:val="6843011D"/>
    <w:rsid w:val="684320BE"/>
    <w:rsid w:val="684325CF"/>
    <w:rsid w:val="68432C64"/>
    <w:rsid w:val="6844BD2D"/>
    <w:rsid w:val="6844BDA3"/>
    <w:rsid w:val="68450167"/>
    <w:rsid w:val="68463728"/>
    <w:rsid w:val="68473CB8"/>
    <w:rsid w:val="684D0AF4"/>
    <w:rsid w:val="684D3232"/>
    <w:rsid w:val="684DFC7B"/>
    <w:rsid w:val="684E69D9"/>
    <w:rsid w:val="684F8BC6"/>
    <w:rsid w:val="684FCA8E"/>
    <w:rsid w:val="6850E08E"/>
    <w:rsid w:val="68546DED"/>
    <w:rsid w:val="6856624B"/>
    <w:rsid w:val="6859185C"/>
    <w:rsid w:val="685A6638"/>
    <w:rsid w:val="685B9357"/>
    <w:rsid w:val="685BB166"/>
    <w:rsid w:val="685C05F2"/>
    <w:rsid w:val="685C9DE1"/>
    <w:rsid w:val="686057E4"/>
    <w:rsid w:val="6860D0F7"/>
    <w:rsid w:val="6861A2CC"/>
    <w:rsid w:val="6862D926"/>
    <w:rsid w:val="68637506"/>
    <w:rsid w:val="6864182C"/>
    <w:rsid w:val="6864B258"/>
    <w:rsid w:val="68659F14"/>
    <w:rsid w:val="686802B1"/>
    <w:rsid w:val="6868CF20"/>
    <w:rsid w:val="686A41C5"/>
    <w:rsid w:val="686F0036"/>
    <w:rsid w:val="686F483A"/>
    <w:rsid w:val="686F7C36"/>
    <w:rsid w:val="6873118F"/>
    <w:rsid w:val="68738F2C"/>
    <w:rsid w:val="687570E8"/>
    <w:rsid w:val="687578F4"/>
    <w:rsid w:val="6876B87D"/>
    <w:rsid w:val="68774E39"/>
    <w:rsid w:val="687B399F"/>
    <w:rsid w:val="687BE687"/>
    <w:rsid w:val="687FAC85"/>
    <w:rsid w:val="68800BCD"/>
    <w:rsid w:val="688137DD"/>
    <w:rsid w:val="68820D60"/>
    <w:rsid w:val="6882D033"/>
    <w:rsid w:val="68846AF7"/>
    <w:rsid w:val="6889854F"/>
    <w:rsid w:val="688D09FF"/>
    <w:rsid w:val="688DD0CB"/>
    <w:rsid w:val="6890AB81"/>
    <w:rsid w:val="68914B31"/>
    <w:rsid w:val="68917FB1"/>
    <w:rsid w:val="68925350"/>
    <w:rsid w:val="68937194"/>
    <w:rsid w:val="68951435"/>
    <w:rsid w:val="68951576"/>
    <w:rsid w:val="6896DEA4"/>
    <w:rsid w:val="68971175"/>
    <w:rsid w:val="68978397"/>
    <w:rsid w:val="68996488"/>
    <w:rsid w:val="68996C09"/>
    <w:rsid w:val="689A9432"/>
    <w:rsid w:val="689B3906"/>
    <w:rsid w:val="689BA025"/>
    <w:rsid w:val="689CE0BF"/>
    <w:rsid w:val="689CE9F3"/>
    <w:rsid w:val="689CEFC6"/>
    <w:rsid w:val="689F8E2B"/>
    <w:rsid w:val="689FD1FA"/>
    <w:rsid w:val="68A06096"/>
    <w:rsid w:val="68A0A91F"/>
    <w:rsid w:val="68A0E091"/>
    <w:rsid w:val="68A4423D"/>
    <w:rsid w:val="68A60307"/>
    <w:rsid w:val="68A6BC06"/>
    <w:rsid w:val="68A6DD36"/>
    <w:rsid w:val="68A81C17"/>
    <w:rsid w:val="68A84748"/>
    <w:rsid w:val="68A8B6E9"/>
    <w:rsid w:val="68AA3AC5"/>
    <w:rsid w:val="68AAADB2"/>
    <w:rsid w:val="68AABB0F"/>
    <w:rsid w:val="68ACE78F"/>
    <w:rsid w:val="68AD1EDD"/>
    <w:rsid w:val="68AD97AB"/>
    <w:rsid w:val="68AF5EB6"/>
    <w:rsid w:val="68B3AF49"/>
    <w:rsid w:val="68B40E2A"/>
    <w:rsid w:val="68B4AA25"/>
    <w:rsid w:val="68B4B0F3"/>
    <w:rsid w:val="68B6E189"/>
    <w:rsid w:val="68B7DB69"/>
    <w:rsid w:val="68B83927"/>
    <w:rsid w:val="68B90B18"/>
    <w:rsid w:val="68B97028"/>
    <w:rsid w:val="68BA9F1B"/>
    <w:rsid w:val="68BCD12C"/>
    <w:rsid w:val="68BF313D"/>
    <w:rsid w:val="68C0C5CD"/>
    <w:rsid w:val="68C11FDC"/>
    <w:rsid w:val="68C1FA74"/>
    <w:rsid w:val="68C2A17B"/>
    <w:rsid w:val="68C3944F"/>
    <w:rsid w:val="68C58E2F"/>
    <w:rsid w:val="68C79451"/>
    <w:rsid w:val="68C805DC"/>
    <w:rsid w:val="68C8378B"/>
    <w:rsid w:val="68C85912"/>
    <w:rsid w:val="68CD2358"/>
    <w:rsid w:val="68CDA358"/>
    <w:rsid w:val="68CDC0F6"/>
    <w:rsid w:val="68D02905"/>
    <w:rsid w:val="68D36E28"/>
    <w:rsid w:val="68D5DF28"/>
    <w:rsid w:val="68D6AFD6"/>
    <w:rsid w:val="68DA14B6"/>
    <w:rsid w:val="68DC1F29"/>
    <w:rsid w:val="68DD2A9E"/>
    <w:rsid w:val="68DDC517"/>
    <w:rsid w:val="68DE5ECE"/>
    <w:rsid w:val="68DFAE8A"/>
    <w:rsid w:val="68DFE573"/>
    <w:rsid w:val="68E19D85"/>
    <w:rsid w:val="68E1B062"/>
    <w:rsid w:val="68E1B454"/>
    <w:rsid w:val="68E1E6DE"/>
    <w:rsid w:val="68E3B126"/>
    <w:rsid w:val="68E61DAB"/>
    <w:rsid w:val="68E6241B"/>
    <w:rsid w:val="68E74CD0"/>
    <w:rsid w:val="68E7DF28"/>
    <w:rsid w:val="68E81DD8"/>
    <w:rsid w:val="68E8F6C4"/>
    <w:rsid w:val="68E91D20"/>
    <w:rsid w:val="68E9E3A7"/>
    <w:rsid w:val="68EA17AA"/>
    <w:rsid w:val="68EA27E0"/>
    <w:rsid w:val="68EC4FAF"/>
    <w:rsid w:val="68EC51FE"/>
    <w:rsid w:val="68EEAE5D"/>
    <w:rsid w:val="68EF4629"/>
    <w:rsid w:val="68EF4C8E"/>
    <w:rsid w:val="68F1184E"/>
    <w:rsid w:val="68F3674F"/>
    <w:rsid w:val="68F5DAA2"/>
    <w:rsid w:val="68F64DE3"/>
    <w:rsid w:val="68F6F69C"/>
    <w:rsid w:val="68F7EEB6"/>
    <w:rsid w:val="68F80997"/>
    <w:rsid w:val="68FAA6BC"/>
    <w:rsid w:val="68FAFD74"/>
    <w:rsid w:val="68FC8CC6"/>
    <w:rsid w:val="68FED427"/>
    <w:rsid w:val="68FF396D"/>
    <w:rsid w:val="68FF4EA6"/>
    <w:rsid w:val="6900228C"/>
    <w:rsid w:val="6902490A"/>
    <w:rsid w:val="69028A11"/>
    <w:rsid w:val="69030DA3"/>
    <w:rsid w:val="6903FC4D"/>
    <w:rsid w:val="69047BCC"/>
    <w:rsid w:val="6906D1FE"/>
    <w:rsid w:val="6907377F"/>
    <w:rsid w:val="690A7781"/>
    <w:rsid w:val="690B2267"/>
    <w:rsid w:val="690B75BE"/>
    <w:rsid w:val="690C8723"/>
    <w:rsid w:val="690E35E3"/>
    <w:rsid w:val="690F132C"/>
    <w:rsid w:val="690F8002"/>
    <w:rsid w:val="690FF207"/>
    <w:rsid w:val="691281EB"/>
    <w:rsid w:val="69128D22"/>
    <w:rsid w:val="691552EE"/>
    <w:rsid w:val="691933EF"/>
    <w:rsid w:val="691C18FE"/>
    <w:rsid w:val="691C4CB3"/>
    <w:rsid w:val="691CC6A1"/>
    <w:rsid w:val="691DADB2"/>
    <w:rsid w:val="691FBFA5"/>
    <w:rsid w:val="6920FD63"/>
    <w:rsid w:val="6922AFF8"/>
    <w:rsid w:val="6926FAA1"/>
    <w:rsid w:val="69289A0B"/>
    <w:rsid w:val="692AF281"/>
    <w:rsid w:val="692B3FAA"/>
    <w:rsid w:val="692BD1B0"/>
    <w:rsid w:val="692C1FF6"/>
    <w:rsid w:val="692C6F03"/>
    <w:rsid w:val="692CFE58"/>
    <w:rsid w:val="692E6372"/>
    <w:rsid w:val="6935ADD9"/>
    <w:rsid w:val="693983CD"/>
    <w:rsid w:val="69398430"/>
    <w:rsid w:val="6939B0D5"/>
    <w:rsid w:val="693A2A67"/>
    <w:rsid w:val="693B0439"/>
    <w:rsid w:val="693E1888"/>
    <w:rsid w:val="693EAE39"/>
    <w:rsid w:val="693F1449"/>
    <w:rsid w:val="693F23DA"/>
    <w:rsid w:val="6942F97E"/>
    <w:rsid w:val="6944D4A4"/>
    <w:rsid w:val="69462B4B"/>
    <w:rsid w:val="69473D4C"/>
    <w:rsid w:val="69484FFF"/>
    <w:rsid w:val="69499A01"/>
    <w:rsid w:val="6949E955"/>
    <w:rsid w:val="694B8342"/>
    <w:rsid w:val="694BCC1C"/>
    <w:rsid w:val="694F9D51"/>
    <w:rsid w:val="694FF590"/>
    <w:rsid w:val="6950457A"/>
    <w:rsid w:val="6950B01E"/>
    <w:rsid w:val="695154B6"/>
    <w:rsid w:val="69536F09"/>
    <w:rsid w:val="69557FAC"/>
    <w:rsid w:val="6955F226"/>
    <w:rsid w:val="69574B51"/>
    <w:rsid w:val="695872A7"/>
    <w:rsid w:val="69588CB6"/>
    <w:rsid w:val="6958DFB6"/>
    <w:rsid w:val="69598116"/>
    <w:rsid w:val="6959C2E0"/>
    <w:rsid w:val="695A12F8"/>
    <w:rsid w:val="695BFAF2"/>
    <w:rsid w:val="695DCF76"/>
    <w:rsid w:val="69605565"/>
    <w:rsid w:val="6960CFB0"/>
    <w:rsid w:val="696274DC"/>
    <w:rsid w:val="69635F72"/>
    <w:rsid w:val="6963F8A6"/>
    <w:rsid w:val="6964F477"/>
    <w:rsid w:val="69670133"/>
    <w:rsid w:val="696A8E43"/>
    <w:rsid w:val="696B8772"/>
    <w:rsid w:val="696C5F8E"/>
    <w:rsid w:val="696C7A90"/>
    <w:rsid w:val="696E4D2A"/>
    <w:rsid w:val="69706069"/>
    <w:rsid w:val="69715AEE"/>
    <w:rsid w:val="6971B309"/>
    <w:rsid w:val="6972A228"/>
    <w:rsid w:val="697315C3"/>
    <w:rsid w:val="6974A1E0"/>
    <w:rsid w:val="6974F971"/>
    <w:rsid w:val="6975599C"/>
    <w:rsid w:val="6979C357"/>
    <w:rsid w:val="697C4CD5"/>
    <w:rsid w:val="697CA635"/>
    <w:rsid w:val="697CC5B3"/>
    <w:rsid w:val="697DFCCF"/>
    <w:rsid w:val="69800ABF"/>
    <w:rsid w:val="6982D705"/>
    <w:rsid w:val="6982F2B5"/>
    <w:rsid w:val="6983B862"/>
    <w:rsid w:val="6983C9C2"/>
    <w:rsid w:val="69841F39"/>
    <w:rsid w:val="69871A0E"/>
    <w:rsid w:val="69875A1C"/>
    <w:rsid w:val="698A552D"/>
    <w:rsid w:val="698A8C45"/>
    <w:rsid w:val="698BC749"/>
    <w:rsid w:val="698BF131"/>
    <w:rsid w:val="698C4DB7"/>
    <w:rsid w:val="698D5BE6"/>
    <w:rsid w:val="698EB155"/>
    <w:rsid w:val="69902E63"/>
    <w:rsid w:val="699055F5"/>
    <w:rsid w:val="6990D367"/>
    <w:rsid w:val="699153B6"/>
    <w:rsid w:val="6992648F"/>
    <w:rsid w:val="699283CA"/>
    <w:rsid w:val="699401A6"/>
    <w:rsid w:val="69943433"/>
    <w:rsid w:val="699437BF"/>
    <w:rsid w:val="69947404"/>
    <w:rsid w:val="6995752C"/>
    <w:rsid w:val="699578E2"/>
    <w:rsid w:val="69972E7B"/>
    <w:rsid w:val="6997E882"/>
    <w:rsid w:val="6997EF84"/>
    <w:rsid w:val="6999BD5B"/>
    <w:rsid w:val="699A084A"/>
    <w:rsid w:val="699A59DE"/>
    <w:rsid w:val="699AF798"/>
    <w:rsid w:val="699FB209"/>
    <w:rsid w:val="69A514D7"/>
    <w:rsid w:val="69A5DD37"/>
    <w:rsid w:val="69A7D39F"/>
    <w:rsid w:val="69A8200B"/>
    <w:rsid w:val="69A83582"/>
    <w:rsid w:val="69A956CE"/>
    <w:rsid w:val="69AA0BC5"/>
    <w:rsid w:val="69ABBBFB"/>
    <w:rsid w:val="69ACD6F3"/>
    <w:rsid w:val="69AFC69D"/>
    <w:rsid w:val="69B06E03"/>
    <w:rsid w:val="69B27515"/>
    <w:rsid w:val="69B28BB1"/>
    <w:rsid w:val="69B30517"/>
    <w:rsid w:val="69B6CE02"/>
    <w:rsid w:val="69BA3AFB"/>
    <w:rsid w:val="69BAE1B4"/>
    <w:rsid w:val="69BD67DB"/>
    <w:rsid w:val="69BE51B9"/>
    <w:rsid w:val="69BF8BB2"/>
    <w:rsid w:val="69C1CCE9"/>
    <w:rsid w:val="69C215FF"/>
    <w:rsid w:val="69C30705"/>
    <w:rsid w:val="69C34927"/>
    <w:rsid w:val="69C364B6"/>
    <w:rsid w:val="69C3A6EF"/>
    <w:rsid w:val="69C44D65"/>
    <w:rsid w:val="69C5DEB9"/>
    <w:rsid w:val="69C7885F"/>
    <w:rsid w:val="69C9EB4B"/>
    <w:rsid w:val="69CA76B7"/>
    <w:rsid w:val="69CCD0A9"/>
    <w:rsid w:val="69CDC323"/>
    <w:rsid w:val="69CF466D"/>
    <w:rsid w:val="69D083A0"/>
    <w:rsid w:val="69D40D73"/>
    <w:rsid w:val="69D460B2"/>
    <w:rsid w:val="69D579DD"/>
    <w:rsid w:val="69D99E06"/>
    <w:rsid w:val="69D9AD9B"/>
    <w:rsid w:val="69DA6A92"/>
    <w:rsid w:val="69DAEDFA"/>
    <w:rsid w:val="69DB7C22"/>
    <w:rsid w:val="69DDCBE8"/>
    <w:rsid w:val="69E00468"/>
    <w:rsid w:val="69E0D1C8"/>
    <w:rsid w:val="69E518A8"/>
    <w:rsid w:val="69E61165"/>
    <w:rsid w:val="69E69F59"/>
    <w:rsid w:val="69EB0499"/>
    <w:rsid w:val="69EB99CC"/>
    <w:rsid w:val="69ED3173"/>
    <w:rsid w:val="69EED878"/>
    <w:rsid w:val="69EF552C"/>
    <w:rsid w:val="69EF83C0"/>
    <w:rsid w:val="69EF9E6A"/>
    <w:rsid w:val="69F357CF"/>
    <w:rsid w:val="69F50507"/>
    <w:rsid w:val="69F53E41"/>
    <w:rsid w:val="69F80D9F"/>
    <w:rsid w:val="69F817B5"/>
    <w:rsid w:val="69FA0208"/>
    <w:rsid w:val="69FA9738"/>
    <w:rsid w:val="69FE1A65"/>
    <w:rsid w:val="69FEA74C"/>
    <w:rsid w:val="69FFEB9F"/>
    <w:rsid w:val="6A00E5A7"/>
    <w:rsid w:val="6A00F382"/>
    <w:rsid w:val="6A010248"/>
    <w:rsid w:val="6A06CF04"/>
    <w:rsid w:val="6A080D45"/>
    <w:rsid w:val="6A091C5E"/>
    <w:rsid w:val="6A0B2438"/>
    <w:rsid w:val="6A0BDD5D"/>
    <w:rsid w:val="6A0C13A0"/>
    <w:rsid w:val="6A0F2B9A"/>
    <w:rsid w:val="6A107D91"/>
    <w:rsid w:val="6A10CCD9"/>
    <w:rsid w:val="6A10E7BE"/>
    <w:rsid w:val="6A135C38"/>
    <w:rsid w:val="6A14D4AE"/>
    <w:rsid w:val="6A1547F0"/>
    <w:rsid w:val="6A15F755"/>
    <w:rsid w:val="6A162A2E"/>
    <w:rsid w:val="6A16A10E"/>
    <w:rsid w:val="6A19860E"/>
    <w:rsid w:val="6A19A6D1"/>
    <w:rsid w:val="6A1ABF80"/>
    <w:rsid w:val="6A1B9B7E"/>
    <w:rsid w:val="6A1D3699"/>
    <w:rsid w:val="6A1D7F82"/>
    <w:rsid w:val="6A20D63B"/>
    <w:rsid w:val="6A238C68"/>
    <w:rsid w:val="6A286442"/>
    <w:rsid w:val="6A29192F"/>
    <w:rsid w:val="6A2AC5DE"/>
    <w:rsid w:val="6A2AD8E5"/>
    <w:rsid w:val="6A2B5C3F"/>
    <w:rsid w:val="6A2BE02D"/>
    <w:rsid w:val="6A2CF737"/>
    <w:rsid w:val="6A3122F8"/>
    <w:rsid w:val="6A339CF5"/>
    <w:rsid w:val="6A33D1FE"/>
    <w:rsid w:val="6A33F989"/>
    <w:rsid w:val="6A343B92"/>
    <w:rsid w:val="6A34ECBA"/>
    <w:rsid w:val="6A368CF5"/>
    <w:rsid w:val="6A3763BA"/>
    <w:rsid w:val="6A37B2E0"/>
    <w:rsid w:val="6A380B9B"/>
    <w:rsid w:val="6A399C09"/>
    <w:rsid w:val="6A39A4CF"/>
    <w:rsid w:val="6A3B5F58"/>
    <w:rsid w:val="6A3BA804"/>
    <w:rsid w:val="6A3C3E1A"/>
    <w:rsid w:val="6A3C41EA"/>
    <w:rsid w:val="6A3CE3DB"/>
    <w:rsid w:val="6A3EB050"/>
    <w:rsid w:val="6A3F5991"/>
    <w:rsid w:val="6A40AEC3"/>
    <w:rsid w:val="6A45AC27"/>
    <w:rsid w:val="6A47115D"/>
    <w:rsid w:val="6A476AB9"/>
    <w:rsid w:val="6A481740"/>
    <w:rsid w:val="6A4B2DC0"/>
    <w:rsid w:val="6A4C0EBA"/>
    <w:rsid w:val="6A4DD65B"/>
    <w:rsid w:val="6A4E3C18"/>
    <w:rsid w:val="6A5149FA"/>
    <w:rsid w:val="6A515D85"/>
    <w:rsid w:val="6A519FF8"/>
    <w:rsid w:val="6A524B41"/>
    <w:rsid w:val="6A53562A"/>
    <w:rsid w:val="6A544D2F"/>
    <w:rsid w:val="6A54D7FB"/>
    <w:rsid w:val="6A5560A0"/>
    <w:rsid w:val="6A5851DC"/>
    <w:rsid w:val="6A59663A"/>
    <w:rsid w:val="6A598983"/>
    <w:rsid w:val="6A59F577"/>
    <w:rsid w:val="6A5B6E8C"/>
    <w:rsid w:val="6A5D7460"/>
    <w:rsid w:val="6A63A846"/>
    <w:rsid w:val="6A650DAC"/>
    <w:rsid w:val="6A66F182"/>
    <w:rsid w:val="6A671EEB"/>
    <w:rsid w:val="6A679406"/>
    <w:rsid w:val="6A67A4A5"/>
    <w:rsid w:val="6A695CB8"/>
    <w:rsid w:val="6A6AD40F"/>
    <w:rsid w:val="6A6CB55C"/>
    <w:rsid w:val="6A6D1447"/>
    <w:rsid w:val="6A6EB6CF"/>
    <w:rsid w:val="6A6EE494"/>
    <w:rsid w:val="6A6EEACC"/>
    <w:rsid w:val="6A6FAF99"/>
    <w:rsid w:val="6A6FE194"/>
    <w:rsid w:val="6A705CDA"/>
    <w:rsid w:val="6A70ADDF"/>
    <w:rsid w:val="6A71F7E9"/>
    <w:rsid w:val="6A730415"/>
    <w:rsid w:val="6A7628C8"/>
    <w:rsid w:val="6A768122"/>
    <w:rsid w:val="6A794DF1"/>
    <w:rsid w:val="6A79BBA9"/>
    <w:rsid w:val="6A7A07F1"/>
    <w:rsid w:val="6A7A8F82"/>
    <w:rsid w:val="6A7ADCFC"/>
    <w:rsid w:val="6A7B3792"/>
    <w:rsid w:val="6A7C30E8"/>
    <w:rsid w:val="6A7DF4EC"/>
    <w:rsid w:val="6A7F70C3"/>
    <w:rsid w:val="6A803194"/>
    <w:rsid w:val="6A80D11F"/>
    <w:rsid w:val="6A8179D9"/>
    <w:rsid w:val="6A838813"/>
    <w:rsid w:val="6A8A5D19"/>
    <w:rsid w:val="6A8AAAC3"/>
    <w:rsid w:val="6A8B0F6A"/>
    <w:rsid w:val="6A8D36E9"/>
    <w:rsid w:val="6A8D93F4"/>
    <w:rsid w:val="6A8E5B94"/>
    <w:rsid w:val="6A8F92AB"/>
    <w:rsid w:val="6A8FFD07"/>
    <w:rsid w:val="6A9104BF"/>
    <w:rsid w:val="6A91D50E"/>
    <w:rsid w:val="6A91F58F"/>
    <w:rsid w:val="6A92286F"/>
    <w:rsid w:val="6A92486B"/>
    <w:rsid w:val="6A953FB8"/>
    <w:rsid w:val="6A954401"/>
    <w:rsid w:val="6A984025"/>
    <w:rsid w:val="6A98AF29"/>
    <w:rsid w:val="6A9B30EF"/>
    <w:rsid w:val="6A9B41A4"/>
    <w:rsid w:val="6A9DB30A"/>
    <w:rsid w:val="6A9DEE5F"/>
    <w:rsid w:val="6A9EB194"/>
    <w:rsid w:val="6A9F59CF"/>
    <w:rsid w:val="6AA0ACA9"/>
    <w:rsid w:val="6AA1B0F8"/>
    <w:rsid w:val="6AA247B3"/>
    <w:rsid w:val="6AA504BD"/>
    <w:rsid w:val="6AA55A06"/>
    <w:rsid w:val="6AA5C67A"/>
    <w:rsid w:val="6AAA1A65"/>
    <w:rsid w:val="6AABA6E3"/>
    <w:rsid w:val="6AAF4A9A"/>
    <w:rsid w:val="6AB25C76"/>
    <w:rsid w:val="6AB43E00"/>
    <w:rsid w:val="6AB76E03"/>
    <w:rsid w:val="6AB8063B"/>
    <w:rsid w:val="6ABA25B6"/>
    <w:rsid w:val="6ABA549B"/>
    <w:rsid w:val="6ABC32EB"/>
    <w:rsid w:val="6ABCE161"/>
    <w:rsid w:val="6ABEF6FC"/>
    <w:rsid w:val="6AC088E7"/>
    <w:rsid w:val="6AC17881"/>
    <w:rsid w:val="6AC28E35"/>
    <w:rsid w:val="6AC2AF05"/>
    <w:rsid w:val="6AC4288E"/>
    <w:rsid w:val="6AC55C24"/>
    <w:rsid w:val="6AC87F02"/>
    <w:rsid w:val="6AC902AD"/>
    <w:rsid w:val="6ACA1075"/>
    <w:rsid w:val="6ACA2F52"/>
    <w:rsid w:val="6ACCCC18"/>
    <w:rsid w:val="6AD04DCE"/>
    <w:rsid w:val="6AD21FE9"/>
    <w:rsid w:val="6AD29B7F"/>
    <w:rsid w:val="6AD7CE16"/>
    <w:rsid w:val="6AD8726B"/>
    <w:rsid w:val="6AD9F867"/>
    <w:rsid w:val="6ADB2560"/>
    <w:rsid w:val="6ADBE248"/>
    <w:rsid w:val="6AE05F29"/>
    <w:rsid w:val="6AE13862"/>
    <w:rsid w:val="6AE2107A"/>
    <w:rsid w:val="6AE2110F"/>
    <w:rsid w:val="6AE36CCC"/>
    <w:rsid w:val="6AE478A1"/>
    <w:rsid w:val="6AE7FBF8"/>
    <w:rsid w:val="6AEC99AB"/>
    <w:rsid w:val="6AECE256"/>
    <w:rsid w:val="6AED6EC6"/>
    <w:rsid w:val="6AEDFA20"/>
    <w:rsid w:val="6AEEDDF2"/>
    <w:rsid w:val="6AF1B356"/>
    <w:rsid w:val="6AF29ED2"/>
    <w:rsid w:val="6AF2F5CB"/>
    <w:rsid w:val="6AF3B426"/>
    <w:rsid w:val="6AF3C455"/>
    <w:rsid w:val="6AF4ACFB"/>
    <w:rsid w:val="6AF4C605"/>
    <w:rsid w:val="6AF53D7A"/>
    <w:rsid w:val="6AF5BE8B"/>
    <w:rsid w:val="6AF69AA1"/>
    <w:rsid w:val="6AF71AB1"/>
    <w:rsid w:val="6AF75257"/>
    <w:rsid w:val="6AF8A6AF"/>
    <w:rsid w:val="6AF98A45"/>
    <w:rsid w:val="6AFA65FD"/>
    <w:rsid w:val="6B019700"/>
    <w:rsid w:val="6B01EBC3"/>
    <w:rsid w:val="6B033EDC"/>
    <w:rsid w:val="6B038C05"/>
    <w:rsid w:val="6B04696F"/>
    <w:rsid w:val="6B04A33C"/>
    <w:rsid w:val="6B04F706"/>
    <w:rsid w:val="6B0717FB"/>
    <w:rsid w:val="6B08CB4D"/>
    <w:rsid w:val="6B0E1257"/>
    <w:rsid w:val="6B0E8710"/>
    <w:rsid w:val="6B0EE7BC"/>
    <w:rsid w:val="6B0F361E"/>
    <w:rsid w:val="6B10819E"/>
    <w:rsid w:val="6B1480C4"/>
    <w:rsid w:val="6B1518BC"/>
    <w:rsid w:val="6B152DFF"/>
    <w:rsid w:val="6B16FF57"/>
    <w:rsid w:val="6B17011B"/>
    <w:rsid w:val="6B185BF7"/>
    <w:rsid w:val="6B186F4B"/>
    <w:rsid w:val="6B199E6F"/>
    <w:rsid w:val="6B19CAB7"/>
    <w:rsid w:val="6B19DDB3"/>
    <w:rsid w:val="6B1AD8C3"/>
    <w:rsid w:val="6B1BB551"/>
    <w:rsid w:val="6B1C3AF5"/>
    <w:rsid w:val="6B207CFD"/>
    <w:rsid w:val="6B21BDCC"/>
    <w:rsid w:val="6B2437EE"/>
    <w:rsid w:val="6B2577DF"/>
    <w:rsid w:val="6B257CBE"/>
    <w:rsid w:val="6B279015"/>
    <w:rsid w:val="6B279634"/>
    <w:rsid w:val="6B2837D8"/>
    <w:rsid w:val="6B290C7E"/>
    <w:rsid w:val="6B29D6E0"/>
    <w:rsid w:val="6B2A2967"/>
    <w:rsid w:val="6B2ED73E"/>
    <w:rsid w:val="6B2F4AC6"/>
    <w:rsid w:val="6B2F6388"/>
    <w:rsid w:val="6B307EEC"/>
    <w:rsid w:val="6B332CAE"/>
    <w:rsid w:val="6B33A845"/>
    <w:rsid w:val="6B348AE3"/>
    <w:rsid w:val="6B37C2F8"/>
    <w:rsid w:val="6B391138"/>
    <w:rsid w:val="6B39F29A"/>
    <w:rsid w:val="6B3BB495"/>
    <w:rsid w:val="6B3EAA11"/>
    <w:rsid w:val="6B40263A"/>
    <w:rsid w:val="6B411011"/>
    <w:rsid w:val="6B460A59"/>
    <w:rsid w:val="6B47DFF9"/>
    <w:rsid w:val="6B4ABB21"/>
    <w:rsid w:val="6B4BAA2D"/>
    <w:rsid w:val="6B4DC8D7"/>
    <w:rsid w:val="6B51F7A2"/>
    <w:rsid w:val="6B525CC0"/>
    <w:rsid w:val="6B526960"/>
    <w:rsid w:val="6B534B5B"/>
    <w:rsid w:val="6B561728"/>
    <w:rsid w:val="6B5950E8"/>
    <w:rsid w:val="6B59E668"/>
    <w:rsid w:val="6B5A6EA9"/>
    <w:rsid w:val="6B5B65E6"/>
    <w:rsid w:val="6B6111C6"/>
    <w:rsid w:val="6B62FF85"/>
    <w:rsid w:val="6B658C37"/>
    <w:rsid w:val="6B662684"/>
    <w:rsid w:val="6B66A0E6"/>
    <w:rsid w:val="6B682623"/>
    <w:rsid w:val="6B68B147"/>
    <w:rsid w:val="6B69431A"/>
    <w:rsid w:val="6B6B6641"/>
    <w:rsid w:val="6B6B9840"/>
    <w:rsid w:val="6B6C01F2"/>
    <w:rsid w:val="6B6CF011"/>
    <w:rsid w:val="6B6E65A6"/>
    <w:rsid w:val="6B6F784C"/>
    <w:rsid w:val="6B726DE1"/>
    <w:rsid w:val="6B72E07C"/>
    <w:rsid w:val="6B732A17"/>
    <w:rsid w:val="6B758DB2"/>
    <w:rsid w:val="6B77A858"/>
    <w:rsid w:val="6B77A9D1"/>
    <w:rsid w:val="6B796D95"/>
    <w:rsid w:val="6B7A1A53"/>
    <w:rsid w:val="6B7AC1EB"/>
    <w:rsid w:val="6B7D0E9A"/>
    <w:rsid w:val="6B7F92DB"/>
    <w:rsid w:val="6B7FF1C1"/>
    <w:rsid w:val="6B8031A1"/>
    <w:rsid w:val="6B80C7A2"/>
    <w:rsid w:val="6B82A658"/>
    <w:rsid w:val="6B848FAF"/>
    <w:rsid w:val="6B8673DD"/>
    <w:rsid w:val="6B86F246"/>
    <w:rsid w:val="6B888448"/>
    <w:rsid w:val="6B89D024"/>
    <w:rsid w:val="6B8EE82A"/>
    <w:rsid w:val="6B8EF94C"/>
    <w:rsid w:val="6B9040CD"/>
    <w:rsid w:val="6B91983C"/>
    <w:rsid w:val="6B93A223"/>
    <w:rsid w:val="6B94AB5D"/>
    <w:rsid w:val="6B9825F5"/>
    <w:rsid w:val="6B98CBE3"/>
    <w:rsid w:val="6B9C356A"/>
    <w:rsid w:val="6B9C68C3"/>
    <w:rsid w:val="6B9DCFAA"/>
    <w:rsid w:val="6B9E35CF"/>
    <w:rsid w:val="6B9E57BB"/>
    <w:rsid w:val="6B9EDCEC"/>
    <w:rsid w:val="6B9F7893"/>
    <w:rsid w:val="6BA4B248"/>
    <w:rsid w:val="6BA4D8C3"/>
    <w:rsid w:val="6BA5DC35"/>
    <w:rsid w:val="6BAAD7CD"/>
    <w:rsid w:val="6BABDF9E"/>
    <w:rsid w:val="6BABE6BD"/>
    <w:rsid w:val="6BACA776"/>
    <w:rsid w:val="6BACD6FF"/>
    <w:rsid w:val="6BAED120"/>
    <w:rsid w:val="6BB04007"/>
    <w:rsid w:val="6BB0565F"/>
    <w:rsid w:val="6BB2C9C4"/>
    <w:rsid w:val="6BB338D4"/>
    <w:rsid w:val="6BB5002F"/>
    <w:rsid w:val="6BB510F2"/>
    <w:rsid w:val="6BB6203B"/>
    <w:rsid w:val="6BB62AC7"/>
    <w:rsid w:val="6BB7139F"/>
    <w:rsid w:val="6BB84534"/>
    <w:rsid w:val="6BB89039"/>
    <w:rsid w:val="6BB8DE1E"/>
    <w:rsid w:val="6BBAC7E7"/>
    <w:rsid w:val="6BBC362B"/>
    <w:rsid w:val="6BBCFE9F"/>
    <w:rsid w:val="6BBE1DFF"/>
    <w:rsid w:val="6BC04F9D"/>
    <w:rsid w:val="6BC0723D"/>
    <w:rsid w:val="6BC08D2C"/>
    <w:rsid w:val="6BC3A04D"/>
    <w:rsid w:val="6BC3EB9A"/>
    <w:rsid w:val="6BC9489E"/>
    <w:rsid w:val="6BC9C5C2"/>
    <w:rsid w:val="6BCA10AE"/>
    <w:rsid w:val="6BCB0A54"/>
    <w:rsid w:val="6BCB74B6"/>
    <w:rsid w:val="6BCCA2F5"/>
    <w:rsid w:val="6BCD0A58"/>
    <w:rsid w:val="6BCD8B06"/>
    <w:rsid w:val="6BD4827E"/>
    <w:rsid w:val="6BD5DBEF"/>
    <w:rsid w:val="6BD6AA39"/>
    <w:rsid w:val="6BD6D950"/>
    <w:rsid w:val="6BD804E0"/>
    <w:rsid w:val="6BD93361"/>
    <w:rsid w:val="6BD93458"/>
    <w:rsid w:val="6BD963AF"/>
    <w:rsid w:val="6BDA9D5C"/>
    <w:rsid w:val="6BDB2356"/>
    <w:rsid w:val="6BDB3DFE"/>
    <w:rsid w:val="6BDC27D0"/>
    <w:rsid w:val="6BDD4A59"/>
    <w:rsid w:val="6BE21AB1"/>
    <w:rsid w:val="6BE29466"/>
    <w:rsid w:val="6BE3B307"/>
    <w:rsid w:val="6BE3B970"/>
    <w:rsid w:val="6BE40DD3"/>
    <w:rsid w:val="6BE42052"/>
    <w:rsid w:val="6BE4C382"/>
    <w:rsid w:val="6BE658D6"/>
    <w:rsid w:val="6BE75F92"/>
    <w:rsid w:val="6BE7DBDC"/>
    <w:rsid w:val="6BE8D87C"/>
    <w:rsid w:val="6BE99B88"/>
    <w:rsid w:val="6BEA75EE"/>
    <w:rsid w:val="6BEF2B8D"/>
    <w:rsid w:val="6BEFFAA7"/>
    <w:rsid w:val="6BF17FD6"/>
    <w:rsid w:val="6BF5173E"/>
    <w:rsid w:val="6BF55C6A"/>
    <w:rsid w:val="6BF75EDD"/>
    <w:rsid w:val="6BF7AE9A"/>
    <w:rsid w:val="6BF898AF"/>
    <w:rsid w:val="6BFAAD1F"/>
    <w:rsid w:val="6BFB8DBD"/>
    <w:rsid w:val="6BFF09B8"/>
    <w:rsid w:val="6C00AD29"/>
    <w:rsid w:val="6C03E451"/>
    <w:rsid w:val="6C04995E"/>
    <w:rsid w:val="6C074B3C"/>
    <w:rsid w:val="6C085C67"/>
    <w:rsid w:val="6C0C9C90"/>
    <w:rsid w:val="6C0D3623"/>
    <w:rsid w:val="6C0EB71D"/>
    <w:rsid w:val="6C0FEED2"/>
    <w:rsid w:val="6C11AE9D"/>
    <w:rsid w:val="6C13D0DF"/>
    <w:rsid w:val="6C14EF83"/>
    <w:rsid w:val="6C15D217"/>
    <w:rsid w:val="6C17ECBF"/>
    <w:rsid w:val="6C1EC34F"/>
    <w:rsid w:val="6C1F6375"/>
    <w:rsid w:val="6C1F747A"/>
    <w:rsid w:val="6C2147BC"/>
    <w:rsid w:val="6C21ED07"/>
    <w:rsid w:val="6C24B8C9"/>
    <w:rsid w:val="6C260984"/>
    <w:rsid w:val="6C28A8F4"/>
    <w:rsid w:val="6C2996F1"/>
    <w:rsid w:val="6C2A2CBC"/>
    <w:rsid w:val="6C2A62D0"/>
    <w:rsid w:val="6C2B90C5"/>
    <w:rsid w:val="6C2BC5DE"/>
    <w:rsid w:val="6C2DE262"/>
    <w:rsid w:val="6C2DFCBB"/>
    <w:rsid w:val="6C2E3FB7"/>
    <w:rsid w:val="6C3284A4"/>
    <w:rsid w:val="6C353E22"/>
    <w:rsid w:val="6C35DCCF"/>
    <w:rsid w:val="6C35FD9B"/>
    <w:rsid w:val="6C37357B"/>
    <w:rsid w:val="6C38A46C"/>
    <w:rsid w:val="6C38EFD3"/>
    <w:rsid w:val="6C3A8457"/>
    <w:rsid w:val="6C3B829F"/>
    <w:rsid w:val="6C3D5C1A"/>
    <w:rsid w:val="6C3E37B5"/>
    <w:rsid w:val="6C3E824B"/>
    <w:rsid w:val="6C3EE87C"/>
    <w:rsid w:val="6C3F126B"/>
    <w:rsid w:val="6C3FA9E9"/>
    <w:rsid w:val="6C3FD18B"/>
    <w:rsid w:val="6C41CE47"/>
    <w:rsid w:val="6C4201B7"/>
    <w:rsid w:val="6C422BB1"/>
    <w:rsid w:val="6C43258B"/>
    <w:rsid w:val="6C44BA81"/>
    <w:rsid w:val="6C4617F1"/>
    <w:rsid w:val="6C4983A8"/>
    <w:rsid w:val="6C4B4CBF"/>
    <w:rsid w:val="6C4B9A02"/>
    <w:rsid w:val="6C4C6397"/>
    <w:rsid w:val="6C4D3CE5"/>
    <w:rsid w:val="6C4DE3F6"/>
    <w:rsid w:val="6C4E64E3"/>
    <w:rsid w:val="6C4E751B"/>
    <w:rsid w:val="6C4E7D71"/>
    <w:rsid w:val="6C4FF254"/>
    <w:rsid w:val="6C50C940"/>
    <w:rsid w:val="6C517312"/>
    <w:rsid w:val="6C551B81"/>
    <w:rsid w:val="6C566A9F"/>
    <w:rsid w:val="6C5ABB8D"/>
    <w:rsid w:val="6C5CCD1E"/>
    <w:rsid w:val="6C5D6B10"/>
    <w:rsid w:val="6C5DCA48"/>
    <w:rsid w:val="6C5F7A3F"/>
    <w:rsid w:val="6C61AB30"/>
    <w:rsid w:val="6C624B22"/>
    <w:rsid w:val="6C64C658"/>
    <w:rsid w:val="6C64FDB4"/>
    <w:rsid w:val="6C65FBB2"/>
    <w:rsid w:val="6C677FC5"/>
    <w:rsid w:val="6C691737"/>
    <w:rsid w:val="6C6A554E"/>
    <w:rsid w:val="6C6AE1A3"/>
    <w:rsid w:val="6C6E660A"/>
    <w:rsid w:val="6C7012F1"/>
    <w:rsid w:val="6C703412"/>
    <w:rsid w:val="6C71CACC"/>
    <w:rsid w:val="6C71DD6A"/>
    <w:rsid w:val="6C73937E"/>
    <w:rsid w:val="6C78E31B"/>
    <w:rsid w:val="6C78E387"/>
    <w:rsid w:val="6C797BF1"/>
    <w:rsid w:val="6C7A6C6C"/>
    <w:rsid w:val="6C7DF804"/>
    <w:rsid w:val="6C81B84B"/>
    <w:rsid w:val="6C82AB39"/>
    <w:rsid w:val="6C86493A"/>
    <w:rsid w:val="6C868E22"/>
    <w:rsid w:val="6C875874"/>
    <w:rsid w:val="6C88A801"/>
    <w:rsid w:val="6C88D675"/>
    <w:rsid w:val="6C8B767E"/>
    <w:rsid w:val="6C9173EA"/>
    <w:rsid w:val="6C963D9D"/>
    <w:rsid w:val="6C965B35"/>
    <w:rsid w:val="6C976AD3"/>
    <w:rsid w:val="6C97899A"/>
    <w:rsid w:val="6C9869E7"/>
    <w:rsid w:val="6C9A1D08"/>
    <w:rsid w:val="6C9B9D0F"/>
    <w:rsid w:val="6C9C3D50"/>
    <w:rsid w:val="6C9D3F8B"/>
    <w:rsid w:val="6C9E0FEC"/>
    <w:rsid w:val="6C9F5234"/>
    <w:rsid w:val="6C9FE69A"/>
    <w:rsid w:val="6CA08B19"/>
    <w:rsid w:val="6CA0F683"/>
    <w:rsid w:val="6CA1CFBB"/>
    <w:rsid w:val="6CA21DE8"/>
    <w:rsid w:val="6CA39673"/>
    <w:rsid w:val="6CA4EF1D"/>
    <w:rsid w:val="6CA4FEEB"/>
    <w:rsid w:val="6CA7A88F"/>
    <w:rsid w:val="6CA7DD95"/>
    <w:rsid w:val="6CAE88E2"/>
    <w:rsid w:val="6CAE8BF1"/>
    <w:rsid w:val="6CB1736B"/>
    <w:rsid w:val="6CB177FC"/>
    <w:rsid w:val="6CB5CCB8"/>
    <w:rsid w:val="6CB6C3B1"/>
    <w:rsid w:val="6CB806E5"/>
    <w:rsid w:val="6CB9C87E"/>
    <w:rsid w:val="6CB9F746"/>
    <w:rsid w:val="6CBC3116"/>
    <w:rsid w:val="6CBDDA22"/>
    <w:rsid w:val="6CBF963D"/>
    <w:rsid w:val="6CBFE02C"/>
    <w:rsid w:val="6CC03C95"/>
    <w:rsid w:val="6CC15954"/>
    <w:rsid w:val="6CC1C57D"/>
    <w:rsid w:val="6CC27770"/>
    <w:rsid w:val="6CC4B334"/>
    <w:rsid w:val="6CC54C07"/>
    <w:rsid w:val="6CCACD76"/>
    <w:rsid w:val="6CCB86F5"/>
    <w:rsid w:val="6CCBFEB3"/>
    <w:rsid w:val="6CCC1AC4"/>
    <w:rsid w:val="6CCDA204"/>
    <w:rsid w:val="6CCEEC58"/>
    <w:rsid w:val="6CCFC43F"/>
    <w:rsid w:val="6CCFE3C9"/>
    <w:rsid w:val="6CD2052F"/>
    <w:rsid w:val="6CD44F0A"/>
    <w:rsid w:val="6CD6B438"/>
    <w:rsid w:val="6CD72AC3"/>
    <w:rsid w:val="6CD8606E"/>
    <w:rsid w:val="6CD9B571"/>
    <w:rsid w:val="6CDB81D5"/>
    <w:rsid w:val="6CDC9A1B"/>
    <w:rsid w:val="6CDD0A5B"/>
    <w:rsid w:val="6CDD2690"/>
    <w:rsid w:val="6CDD5E7B"/>
    <w:rsid w:val="6CE16EDD"/>
    <w:rsid w:val="6CE3B05A"/>
    <w:rsid w:val="6CE440CD"/>
    <w:rsid w:val="6CE598BB"/>
    <w:rsid w:val="6CE785F6"/>
    <w:rsid w:val="6CE78BED"/>
    <w:rsid w:val="6CE7B67A"/>
    <w:rsid w:val="6CE8C129"/>
    <w:rsid w:val="6CEB21E6"/>
    <w:rsid w:val="6CEC0FD6"/>
    <w:rsid w:val="6CEC9183"/>
    <w:rsid w:val="6CEF193E"/>
    <w:rsid w:val="6CF0BC02"/>
    <w:rsid w:val="6CF30AA7"/>
    <w:rsid w:val="6CF341AA"/>
    <w:rsid w:val="6CF50A97"/>
    <w:rsid w:val="6CF50F2E"/>
    <w:rsid w:val="6CFB1AC0"/>
    <w:rsid w:val="6CFCF4C9"/>
    <w:rsid w:val="6CFEF7F0"/>
    <w:rsid w:val="6CFFC597"/>
    <w:rsid w:val="6D020CB8"/>
    <w:rsid w:val="6D038D0F"/>
    <w:rsid w:val="6D03C7E4"/>
    <w:rsid w:val="6D043E9A"/>
    <w:rsid w:val="6D046E1A"/>
    <w:rsid w:val="6D047D40"/>
    <w:rsid w:val="6D04AC88"/>
    <w:rsid w:val="6D06344A"/>
    <w:rsid w:val="6D0681C0"/>
    <w:rsid w:val="6D0763DA"/>
    <w:rsid w:val="6D07EAA5"/>
    <w:rsid w:val="6D0912E7"/>
    <w:rsid w:val="6D0CF45C"/>
    <w:rsid w:val="6D0E0C4F"/>
    <w:rsid w:val="6D0E281E"/>
    <w:rsid w:val="6D13B73C"/>
    <w:rsid w:val="6D157B81"/>
    <w:rsid w:val="6D15BA9C"/>
    <w:rsid w:val="6D15C1DD"/>
    <w:rsid w:val="6D17E272"/>
    <w:rsid w:val="6D1861F8"/>
    <w:rsid w:val="6D18DE08"/>
    <w:rsid w:val="6D19A78C"/>
    <w:rsid w:val="6D1ACFBE"/>
    <w:rsid w:val="6D1B9FD3"/>
    <w:rsid w:val="6D1CB141"/>
    <w:rsid w:val="6D1DF96D"/>
    <w:rsid w:val="6D1F48AF"/>
    <w:rsid w:val="6D22E5FA"/>
    <w:rsid w:val="6D2365DC"/>
    <w:rsid w:val="6D24EEFA"/>
    <w:rsid w:val="6D25A77B"/>
    <w:rsid w:val="6D266D1B"/>
    <w:rsid w:val="6D274EB7"/>
    <w:rsid w:val="6D27B0CA"/>
    <w:rsid w:val="6D28226B"/>
    <w:rsid w:val="6D282F29"/>
    <w:rsid w:val="6D288720"/>
    <w:rsid w:val="6D2A1BE9"/>
    <w:rsid w:val="6D2AECC9"/>
    <w:rsid w:val="6D2B397A"/>
    <w:rsid w:val="6D2DB703"/>
    <w:rsid w:val="6D2E214A"/>
    <w:rsid w:val="6D2EDE41"/>
    <w:rsid w:val="6D32E0DC"/>
    <w:rsid w:val="6D342A89"/>
    <w:rsid w:val="6D3621FE"/>
    <w:rsid w:val="6D38E0BC"/>
    <w:rsid w:val="6D38E4C3"/>
    <w:rsid w:val="6D38F4EE"/>
    <w:rsid w:val="6D3AEF46"/>
    <w:rsid w:val="6D3B20BB"/>
    <w:rsid w:val="6D3B4A92"/>
    <w:rsid w:val="6D3D947E"/>
    <w:rsid w:val="6D3FE968"/>
    <w:rsid w:val="6D41EFCA"/>
    <w:rsid w:val="6D42C4C6"/>
    <w:rsid w:val="6D43475A"/>
    <w:rsid w:val="6D437E1F"/>
    <w:rsid w:val="6D43B253"/>
    <w:rsid w:val="6D44F795"/>
    <w:rsid w:val="6D46A6E0"/>
    <w:rsid w:val="6D4973F0"/>
    <w:rsid w:val="6D4ADDC0"/>
    <w:rsid w:val="6D4E7A4A"/>
    <w:rsid w:val="6D52CBD6"/>
    <w:rsid w:val="6D52F009"/>
    <w:rsid w:val="6D55A7CD"/>
    <w:rsid w:val="6D56A43E"/>
    <w:rsid w:val="6D5933E7"/>
    <w:rsid w:val="6D596249"/>
    <w:rsid w:val="6D597D76"/>
    <w:rsid w:val="6D5BB4F3"/>
    <w:rsid w:val="6D5D23CE"/>
    <w:rsid w:val="6D61CCE0"/>
    <w:rsid w:val="6D652817"/>
    <w:rsid w:val="6D6607D6"/>
    <w:rsid w:val="6D6730D5"/>
    <w:rsid w:val="6D69CC8E"/>
    <w:rsid w:val="6D6C990E"/>
    <w:rsid w:val="6D6D66AC"/>
    <w:rsid w:val="6D6D7E82"/>
    <w:rsid w:val="6D6DC923"/>
    <w:rsid w:val="6D6F5EB2"/>
    <w:rsid w:val="6D6FA78E"/>
    <w:rsid w:val="6D7291E2"/>
    <w:rsid w:val="6D734904"/>
    <w:rsid w:val="6D73BF3A"/>
    <w:rsid w:val="6D77DADE"/>
    <w:rsid w:val="6D7B56AA"/>
    <w:rsid w:val="6D7C21A6"/>
    <w:rsid w:val="6D7CE595"/>
    <w:rsid w:val="6D7E0256"/>
    <w:rsid w:val="6D805A2E"/>
    <w:rsid w:val="6D8105D2"/>
    <w:rsid w:val="6D822653"/>
    <w:rsid w:val="6D8283AB"/>
    <w:rsid w:val="6D82B58E"/>
    <w:rsid w:val="6D831AC1"/>
    <w:rsid w:val="6D83EBC3"/>
    <w:rsid w:val="6D855FFB"/>
    <w:rsid w:val="6D85E095"/>
    <w:rsid w:val="6D872E7E"/>
    <w:rsid w:val="6D87DB58"/>
    <w:rsid w:val="6D89ADC7"/>
    <w:rsid w:val="6D8CAE27"/>
    <w:rsid w:val="6D8DDE35"/>
    <w:rsid w:val="6D8E5386"/>
    <w:rsid w:val="6D907A02"/>
    <w:rsid w:val="6D907DA0"/>
    <w:rsid w:val="6D9088D4"/>
    <w:rsid w:val="6D90B4CE"/>
    <w:rsid w:val="6D9163C2"/>
    <w:rsid w:val="6D91CE37"/>
    <w:rsid w:val="6D91DEDB"/>
    <w:rsid w:val="6D932806"/>
    <w:rsid w:val="6D9742B1"/>
    <w:rsid w:val="6D97FF75"/>
    <w:rsid w:val="6D987C39"/>
    <w:rsid w:val="6D994227"/>
    <w:rsid w:val="6D997F72"/>
    <w:rsid w:val="6D9AFEA7"/>
    <w:rsid w:val="6D9B4402"/>
    <w:rsid w:val="6D9C0D5D"/>
    <w:rsid w:val="6D9E71C1"/>
    <w:rsid w:val="6DA2DC5C"/>
    <w:rsid w:val="6DA31209"/>
    <w:rsid w:val="6DA35300"/>
    <w:rsid w:val="6DA52A06"/>
    <w:rsid w:val="6DA91D92"/>
    <w:rsid w:val="6DAA5478"/>
    <w:rsid w:val="6DAAEF86"/>
    <w:rsid w:val="6DAB1BCB"/>
    <w:rsid w:val="6DABF530"/>
    <w:rsid w:val="6DAC5A07"/>
    <w:rsid w:val="6DAC85EB"/>
    <w:rsid w:val="6DACD98D"/>
    <w:rsid w:val="6DAF7591"/>
    <w:rsid w:val="6DB401BB"/>
    <w:rsid w:val="6DB45011"/>
    <w:rsid w:val="6DB55144"/>
    <w:rsid w:val="6DB659A1"/>
    <w:rsid w:val="6DB66473"/>
    <w:rsid w:val="6DB8B605"/>
    <w:rsid w:val="6DB94D7D"/>
    <w:rsid w:val="6DBBAC20"/>
    <w:rsid w:val="6DBC6F4B"/>
    <w:rsid w:val="6DBE1376"/>
    <w:rsid w:val="6DBEF23F"/>
    <w:rsid w:val="6DC1013A"/>
    <w:rsid w:val="6DC35552"/>
    <w:rsid w:val="6DC4F1F7"/>
    <w:rsid w:val="6DC72C85"/>
    <w:rsid w:val="6DCA1D6D"/>
    <w:rsid w:val="6DCB3EE3"/>
    <w:rsid w:val="6DCBAA78"/>
    <w:rsid w:val="6DCC5848"/>
    <w:rsid w:val="6DCD32C0"/>
    <w:rsid w:val="6DCD7C1C"/>
    <w:rsid w:val="6DCEF7B7"/>
    <w:rsid w:val="6DD076B0"/>
    <w:rsid w:val="6DD22C4E"/>
    <w:rsid w:val="6DD36666"/>
    <w:rsid w:val="6DD38942"/>
    <w:rsid w:val="6DD63721"/>
    <w:rsid w:val="6DD8E018"/>
    <w:rsid w:val="6DD975F6"/>
    <w:rsid w:val="6DDA0062"/>
    <w:rsid w:val="6DDA1BA4"/>
    <w:rsid w:val="6DDAADA6"/>
    <w:rsid w:val="6DDBDE7F"/>
    <w:rsid w:val="6DDC72A6"/>
    <w:rsid w:val="6DDE3EBB"/>
    <w:rsid w:val="6DE18CB1"/>
    <w:rsid w:val="6DE4C2BB"/>
    <w:rsid w:val="6DEFFF17"/>
    <w:rsid w:val="6DF0FD61"/>
    <w:rsid w:val="6DF125BD"/>
    <w:rsid w:val="6DF176BB"/>
    <w:rsid w:val="6DF67462"/>
    <w:rsid w:val="6DF68BEE"/>
    <w:rsid w:val="6DF6CA78"/>
    <w:rsid w:val="6DF72503"/>
    <w:rsid w:val="6DFA2ABB"/>
    <w:rsid w:val="6DFA71A6"/>
    <w:rsid w:val="6DFD5625"/>
    <w:rsid w:val="6DFD641D"/>
    <w:rsid w:val="6DFDEBA3"/>
    <w:rsid w:val="6DFE39A1"/>
    <w:rsid w:val="6E005E31"/>
    <w:rsid w:val="6E02403B"/>
    <w:rsid w:val="6E027524"/>
    <w:rsid w:val="6E032261"/>
    <w:rsid w:val="6E07B9F6"/>
    <w:rsid w:val="6E07C22A"/>
    <w:rsid w:val="6E09C632"/>
    <w:rsid w:val="6E0D7A24"/>
    <w:rsid w:val="6E102DDE"/>
    <w:rsid w:val="6E106CD2"/>
    <w:rsid w:val="6E167867"/>
    <w:rsid w:val="6E1A6545"/>
    <w:rsid w:val="6E1DD2D5"/>
    <w:rsid w:val="6E1E70D8"/>
    <w:rsid w:val="6E1F8504"/>
    <w:rsid w:val="6E1FCF8B"/>
    <w:rsid w:val="6E202666"/>
    <w:rsid w:val="6E20A3A6"/>
    <w:rsid w:val="6E213B27"/>
    <w:rsid w:val="6E21C65F"/>
    <w:rsid w:val="6E263B64"/>
    <w:rsid w:val="6E275AA6"/>
    <w:rsid w:val="6E2A5753"/>
    <w:rsid w:val="6E2C1C9A"/>
    <w:rsid w:val="6E2C6471"/>
    <w:rsid w:val="6E2E2522"/>
    <w:rsid w:val="6E2E5FBA"/>
    <w:rsid w:val="6E3227B6"/>
    <w:rsid w:val="6E32E6C9"/>
    <w:rsid w:val="6E32FC20"/>
    <w:rsid w:val="6E33FB42"/>
    <w:rsid w:val="6E35F439"/>
    <w:rsid w:val="6E370EC7"/>
    <w:rsid w:val="6E3779CB"/>
    <w:rsid w:val="6E37C87B"/>
    <w:rsid w:val="6E3BE29E"/>
    <w:rsid w:val="6E3DAB19"/>
    <w:rsid w:val="6E3E357D"/>
    <w:rsid w:val="6E445F8A"/>
    <w:rsid w:val="6E460131"/>
    <w:rsid w:val="6E465BF8"/>
    <w:rsid w:val="6E476C80"/>
    <w:rsid w:val="6E49F9F1"/>
    <w:rsid w:val="6E4E38A9"/>
    <w:rsid w:val="6E54098A"/>
    <w:rsid w:val="6E56EFBD"/>
    <w:rsid w:val="6E57C1BD"/>
    <w:rsid w:val="6E57F2B6"/>
    <w:rsid w:val="6E58EE8A"/>
    <w:rsid w:val="6E605434"/>
    <w:rsid w:val="6E60C451"/>
    <w:rsid w:val="6E60C6E9"/>
    <w:rsid w:val="6E618095"/>
    <w:rsid w:val="6E638EDD"/>
    <w:rsid w:val="6E65417E"/>
    <w:rsid w:val="6E678F54"/>
    <w:rsid w:val="6E686668"/>
    <w:rsid w:val="6E6A1B4F"/>
    <w:rsid w:val="6E6C7C84"/>
    <w:rsid w:val="6E6D75F0"/>
    <w:rsid w:val="6E6E04C9"/>
    <w:rsid w:val="6E6EA157"/>
    <w:rsid w:val="6E6F5D44"/>
    <w:rsid w:val="6E706B3F"/>
    <w:rsid w:val="6E71EE1C"/>
    <w:rsid w:val="6E749B81"/>
    <w:rsid w:val="6E75418E"/>
    <w:rsid w:val="6E78D360"/>
    <w:rsid w:val="6E7A0230"/>
    <w:rsid w:val="6E7B418E"/>
    <w:rsid w:val="6E8012AE"/>
    <w:rsid w:val="6E80D5C1"/>
    <w:rsid w:val="6E8209C0"/>
    <w:rsid w:val="6E84D0CF"/>
    <w:rsid w:val="6E88DFD7"/>
    <w:rsid w:val="6E8948C5"/>
    <w:rsid w:val="6E8B9169"/>
    <w:rsid w:val="6E8E20D4"/>
    <w:rsid w:val="6E8F264E"/>
    <w:rsid w:val="6E8FB073"/>
    <w:rsid w:val="6E93931C"/>
    <w:rsid w:val="6E94FED6"/>
    <w:rsid w:val="6E950F6C"/>
    <w:rsid w:val="6E95B516"/>
    <w:rsid w:val="6E95B8F8"/>
    <w:rsid w:val="6E95D220"/>
    <w:rsid w:val="6E963F78"/>
    <w:rsid w:val="6E96BBB5"/>
    <w:rsid w:val="6E97B549"/>
    <w:rsid w:val="6E9AEA02"/>
    <w:rsid w:val="6E9C4AA8"/>
    <w:rsid w:val="6E9CD2A6"/>
    <w:rsid w:val="6E9DAFCE"/>
    <w:rsid w:val="6E9E713D"/>
    <w:rsid w:val="6E9F8215"/>
    <w:rsid w:val="6E9FBFB3"/>
    <w:rsid w:val="6EA21862"/>
    <w:rsid w:val="6EA280F3"/>
    <w:rsid w:val="6EA2A409"/>
    <w:rsid w:val="6EA34FD6"/>
    <w:rsid w:val="6EA4BE43"/>
    <w:rsid w:val="6EA61A95"/>
    <w:rsid w:val="6EA62421"/>
    <w:rsid w:val="6EA73AED"/>
    <w:rsid w:val="6EA84A50"/>
    <w:rsid w:val="6EA88690"/>
    <w:rsid w:val="6EA905AE"/>
    <w:rsid w:val="6EA918B4"/>
    <w:rsid w:val="6EA9A994"/>
    <w:rsid w:val="6EA9AD74"/>
    <w:rsid w:val="6EAAA1C2"/>
    <w:rsid w:val="6EAD208F"/>
    <w:rsid w:val="6EAE9A6A"/>
    <w:rsid w:val="6EB0355B"/>
    <w:rsid w:val="6EB1FB7E"/>
    <w:rsid w:val="6EB21524"/>
    <w:rsid w:val="6EB2F989"/>
    <w:rsid w:val="6EB43746"/>
    <w:rsid w:val="6EB55687"/>
    <w:rsid w:val="6EB6114E"/>
    <w:rsid w:val="6EB77C78"/>
    <w:rsid w:val="6EB86804"/>
    <w:rsid w:val="6EBB74D0"/>
    <w:rsid w:val="6EBC3071"/>
    <w:rsid w:val="6EBC3ECA"/>
    <w:rsid w:val="6EBDFB90"/>
    <w:rsid w:val="6EBE5A16"/>
    <w:rsid w:val="6EBEC6AC"/>
    <w:rsid w:val="6EC9BF44"/>
    <w:rsid w:val="6ECB5D62"/>
    <w:rsid w:val="6ECC4CA7"/>
    <w:rsid w:val="6ECC7961"/>
    <w:rsid w:val="6ED1DD86"/>
    <w:rsid w:val="6ED241C0"/>
    <w:rsid w:val="6ED25BEA"/>
    <w:rsid w:val="6ED4E2F3"/>
    <w:rsid w:val="6ED6FDE2"/>
    <w:rsid w:val="6ED9AD68"/>
    <w:rsid w:val="6EDA9980"/>
    <w:rsid w:val="6EDAA219"/>
    <w:rsid w:val="6EDB168A"/>
    <w:rsid w:val="6EDCA89D"/>
    <w:rsid w:val="6EDD1048"/>
    <w:rsid w:val="6EE36FF9"/>
    <w:rsid w:val="6EE37BE6"/>
    <w:rsid w:val="6EE4EE00"/>
    <w:rsid w:val="6EE88BED"/>
    <w:rsid w:val="6EE89C5B"/>
    <w:rsid w:val="6EEAB8D6"/>
    <w:rsid w:val="6EEE2FC3"/>
    <w:rsid w:val="6EEE754E"/>
    <w:rsid w:val="6EEEAA27"/>
    <w:rsid w:val="6EEEB276"/>
    <w:rsid w:val="6EEFA430"/>
    <w:rsid w:val="6EF0E1F7"/>
    <w:rsid w:val="6EF15E73"/>
    <w:rsid w:val="6EF2F6EA"/>
    <w:rsid w:val="6EF47650"/>
    <w:rsid w:val="6EF54CF2"/>
    <w:rsid w:val="6EF5C35D"/>
    <w:rsid w:val="6EF5D280"/>
    <w:rsid w:val="6EF65AB2"/>
    <w:rsid w:val="6EF7D646"/>
    <w:rsid w:val="6EF7FFC9"/>
    <w:rsid w:val="6EFAC187"/>
    <w:rsid w:val="6EFAE571"/>
    <w:rsid w:val="6F004FDA"/>
    <w:rsid w:val="6F0112CE"/>
    <w:rsid w:val="6F0163E5"/>
    <w:rsid w:val="6F04A2FC"/>
    <w:rsid w:val="6F08D059"/>
    <w:rsid w:val="6F094C54"/>
    <w:rsid w:val="6F09D817"/>
    <w:rsid w:val="6F0B57FC"/>
    <w:rsid w:val="6F0C6E84"/>
    <w:rsid w:val="6F0C849D"/>
    <w:rsid w:val="6F0F7175"/>
    <w:rsid w:val="6F0FDAB8"/>
    <w:rsid w:val="6F121EDF"/>
    <w:rsid w:val="6F136F79"/>
    <w:rsid w:val="6F1610A4"/>
    <w:rsid w:val="6F185E45"/>
    <w:rsid w:val="6F19C8B9"/>
    <w:rsid w:val="6F1AEBDF"/>
    <w:rsid w:val="6F1DCD3B"/>
    <w:rsid w:val="6F1E0C86"/>
    <w:rsid w:val="6F1FF4BD"/>
    <w:rsid w:val="6F213037"/>
    <w:rsid w:val="6F21AD07"/>
    <w:rsid w:val="6F21F832"/>
    <w:rsid w:val="6F248FF7"/>
    <w:rsid w:val="6F25C489"/>
    <w:rsid w:val="6F2697D0"/>
    <w:rsid w:val="6F298816"/>
    <w:rsid w:val="6F2B787E"/>
    <w:rsid w:val="6F2BEF6A"/>
    <w:rsid w:val="6F2C9600"/>
    <w:rsid w:val="6F2EA778"/>
    <w:rsid w:val="6F2F27D7"/>
    <w:rsid w:val="6F341AC4"/>
    <w:rsid w:val="6F376A32"/>
    <w:rsid w:val="6F37AE6A"/>
    <w:rsid w:val="6F37C12D"/>
    <w:rsid w:val="6F388353"/>
    <w:rsid w:val="6F389E9B"/>
    <w:rsid w:val="6F390BC8"/>
    <w:rsid w:val="6F3B6856"/>
    <w:rsid w:val="6F3C6330"/>
    <w:rsid w:val="6F3C942F"/>
    <w:rsid w:val="6F3E15F8"/>
    <w:rsid w:val="6F3E85F2"/>
    <w:rsid w:val="6F3F5860"/>
    <w:rsid w:val="6F441BB7"/>
    <w:rsid w:val="6F44EFA7"/>
    <w:rsid w:val="6F4580DF"/>
    <w:rsid w:val="6F45A457"/>
    <w:rsid w:val="6F4776A4"/>
    <w:rsid w:val="6F4A4259"/>
    <w:rsid w:val="6F4F1C1A"/>
    <w:rsid w:val="6F4F4C42"/>
    <w:rsid w:val="6F509EB8"/>
    <w:rsid w:val="6F510C24"/>
    <w:rsid w:val="6F527CFF"/>
    <w:rsid w:val="6F530BE1"/>
    <w:rsid w:val="6F533479"/>
    <w:rsid w:val="6F54EAFC"/>
    <w:rsid w:val="6F553C6C"/>
    <w:rsid w:val="6F55EA9D"/>
    <w:rsid w:val="6F573F30"/>
    <w:rsid w:val="6F57BE23"/>
    <w:rsid w:val="6F58D3C4"/>
    <w:rsid w:val="6F58D5F3"/>
    <w:rsid w:val="6F5AF603"/>
    <w:rsid w:val="6F5BA312"/>
    <w:rsid w:val="6F5DE506"/>
    <w:rsid w:val="6F5FCBF3"/>
    <w:rsid w:val="6F617AAD"/>
    <w:rsid w:val="6F62B321"/>
    <w:rsid w:val="6F6376C9"/>
    <w:rsid w:val="6F65561B"/>
    <w:rsid w:val="6F65B30E"/>
    <w:rsid w:val="6F67C6D0"/>
    <w:rsid w:val="6F67D0CF"/>
    <w:rsid w:val="6F6828A9"/>
    <w:rsid w:val="6F6BF3F6"/>
    <w:rsid w:val="6F6BF966"/>
    <w:rsid w:val="6F6C3141"/>
    <w:rsid w:val="6F6D64C9"/>
    <w:rsid w:val="6F6D9260"/>
    <w:rsid w:val="6F6E2578"/>
    <w:rsid w:val="6F70AE8B"/>
    <w:rsid w:val="6F70C508"/>
    <w:rsid w:val="6F7250FF"/>
    <w:rsid w:val="6F72531D"/>
    <w:rsid w:val="6F73BED6"/>
    <w:rsid w:val="6F7550B1"/>
    <w:rsid w:val="6F7622A6"/>
    <w:rsid w:val="6F785877"/>
    <w:rsid w:val="6F7A7E0E"/>
    <w:rsid w:val="6F7C1FD1"/>
    <w:rsid w:val="6F7F0C1F"/>
    <w:rsid w:val="6F820751"/>
    <w:rsid w:val="6F84343A"/>
    <w:rsid w:val="6F85AAF9"/>
    <w:rsid w:val="6F85B4A0"/>
    <w:rsid w:val="6F86FE39"/>
    <w:rsid w:val="6F876563"/>
    <w:rsid w:val="6F89FEDC"/>
    <w:rsid w:val="6F8BA15E"/>
    <w:rsid w:val="6F8C5A4C"/>
    <w:rsid w:val="6F8CBE5E"/>
    <w:rsid w:val="6F8DF681"/>
    <w:rsid w:val="6F8F7D22"/>
    <w:rsid w:val="6F931165"/>
    <w:rsid w:val="6F95296B"/>
    <w:rsid w:val="6F95DEEB"/>
    <w:rsid w:val="6F960450"/>
    <w:rsid w:val="6F964753"/>
    <w:rsid w:val="6F964BD6"/>
    <w:rsid w:val="6F979D5A"/>
    <w:rsid w:val="6F982CA4"/>
    <w:rsid w:val="6F9A2849"/>
    <w:rsid w:val="6F9A500C"/>
    <w:rsid w:val="6F9BC8EA"/>
    <w:rsid w:val="6F9DB3E4"/>
    <w:rsid w:val="6FA22563"/>
    <w:rsid w:val="6FA2847A"/>
    <w:rsid w:val="6FA37809"/>
    <w:rsid w:val="6FA48742"/>
    <w:rsid w:val="6FA58E28"/>
    <w:rsid w:val="6FA67BDD"/>
    <w:rsid w:val="6FAA38A1"/>
    <w:rsid w:val="6FABCB93"/>
    <w:rsid w:val="6FABCE93"/>
    <w:rsid w:val="6FAD3809"/>
    <w:rsid w:val="6FAD614D"/>
    <w:rsid w:val="6FAE7731"/>
    <w:rsid w:val="6FAEAB2B"/>
    <w:rsid w:val="6FAF8AA4"/>
    <w:rsid w:val="6FB01FC8"/>
    <w:rsid w:val="6FB15878"/>
    <w:rsid w:val="6FB22AF7"/>
    <w:rsid w:val="6FB33139"/>
    <w:rsid w:val="6FB52AB4"/>
    <w:rsid w:val="6FB91BD5"/>
    <w:rsid w:val="6FB970B8"/>
    <w:rsid w:val="6FB9D475"/>
    <w:rsid w:val="6FBA2705"/>
    <w:rsid w:val="6FBAD852"/>
    <w:rsid w:val="6FBB4259"/>
    <w:rsid w:val="6FBCDFD1"/>
    <w:rsid w:val="6FC0705F"/>
    <w:rsid w:val="6FC073D4"/>
    <w:rsid w:val="6FC089CA"/>
    <w:rsid w:val="6FC68F2D"/>
    <w:rsid w:val="6FCAED4A"/>
    <w:rsid w:val="6FCBA0A2"/>
    <w:rsid w:val="6FD06194"/>
    <w:rsid w:val="6FD0AE67"/>
    <w:rsid w:val="6FD0CF87"/>
    <w:rsid w:val="6FD1BC23"/>
    <w:rsid w:val="6FD607CF"/>
    <w:rsid w:val="6FD83C17"/>
    <w:rsid w:val="6FD86ECE"/>
    <w:rsid w:val="6FDBFEB6"/>
    <w:rsid w:val="6FE1E3C2"/>
    <w:rsid w:val="6FE1F581"/>
    <w:rsid w:val="6FE4887E"/>
    <w:rsid w:val="6FE58ECF"/>
    <w:rsid w:val="6FE6663C"/>
    <w:rsid w:val="6FE67B53"/>
    <w:rsid w:val="6FE6D634"/>
    <w:rsid w:val="6FE8D8DB"/>
    <w:rsid w:val="6FE97B79"/>
    <w:rsid w:val="6FE9A245"/>
    <w:rsid w:val="6FEAB011"/>
    <w:rsid w:val="6FEBC2E8"/>
    <w:rsid w:val="6FEE5175"/>
    <w:rsid w:val="6FEF78A9"/>
    <w:rsid w:val="6FF03252"/>
    <w:rsid w:val="6FF31EC3"/>
    <w:rsid w:val="6FF62171"/>
    <w:rsid w:val="6FFDF716"/>
    <w:rsid w:val="6FFED851"/>
    <w:rsid w:val="70007422"/>
    <w:rsid w:val="7002295B"/>
    <w:rsid w:val="7002B76B"/>
    <w:rsid w:val="7003AB50"/>
    <w:rsid w:val="70059FCD"/>
    <w:rsid w:val="7005C837"/>
    <w:rsid w:val="70068869"/>
    <w:rsid w:val="7006F252"/>
    <w:rsid w:val="700858B4"/>
    <w:rsid w:val="70093894"/>
    <w:rsid w:val="700CDCEB"/>
    <w:rsid w:val="700F3042"/>
    <w:rsid w:val="7013D8E7"/>
    <w:rsid w:val="7015BB25"/>
    <w:rsid w:val="70182681"/>
    <w:rsid w:val="7018DED2"/>
    <w:rsid w:val="7018F1E4"/>
    <w:rsid w:val="701A9131"/>
    <w:rsid w:val="701B93B3"/>
    <w:rsid w:val="701BC8EE"/>
    <w:rsid w:val="701BF943"/>
    <w:rsid w:val="701CECC3"/>
    <w:rsid w:val="701E0981"/>
    <w:rsid w:val="70200066"/>
    <w:rsid w:val="70214E21"/>
    <w:rsid w:val="7022AF28"/>
    <w:rsid w:val="7025572E"/>
    <w:rsid w:val="7026D63C"/>
    <w:rsid w:val="702896D6"/>
    <w:rsid w:val="7028FAD9"/>
    <w:rsid w:val="7029C93F"/>
    <w:rsid w:val="702B4D6C"/>
    <w:rsid w:val="702CB555"/>
    <w:rsid w:val="702DFC93"/>
    <w:rsid w:val="702E0B1E"/>
    <w:rsid w:val="7031B726"/>
    <w:rsid w:val="7031CCA8"/>
    <w:rsid w:val="7031D18A"/>
    <w:rsid w:val="703336F2"/>
    <w:rsid w:val="7033823B"/>
    <w:rsid w:val="7033E70D"/>
    <w:rsid w:val="7034348C"/>
    <w:rsid w:val="70352391"/>
    <w:rsid w:val="7037EFF8"/>
    <w:rsid w:val="70386A32"/>
    <w:rsid w:val="703BF166"/>
    <w:rsid w:val="703F6D1F"/>
    <w:rsid w:val="7040D39E"/>
    <w:rsid w:val="70432827"/>
    <w:rsid w:val="7046120F"/>
    <w:rsid w:val="70464845"/>
    <w:rsid w:val="7046A25F"/>
    <w:rsid w:val="7046C3DB"/>
    <w:rsid w:val="70476242"/>
    <w:rsid w:val="70481DC8"/>
    <w:rsid w:val="70484FBE"/>
    <w:rsid w:val="70494A9E"/>
    <w:rsid w:val="704C1772"/>
    <w:rsid w:val="704CFCD5"/>
    <w:rsid w:val="704DE8A1"/>
    <w:rsid w:val="704E3C50"/>
    <w:rsid w:val="704F325B"/>
    <w:rsid w:val="7051AA52"/>
    <w:rsid w:val="70521B7E"/>
    <w:rsid w:val="7053ED0D"/>
    <w:rsid w:val="7055C143"/>
    <w:rsid w:val="70560F81"/>
    <w:rsid w:val="70590AA6"/>
    <w:rsid w:val="70597998"/>
    <w:rsid w:val="705C14A6"/>
    <w:rsid w:val="705CFE09"/>
    <w:rsid w:val="705F90ED"/>
    <w:rsid w:val="706003DD"/>
    <w:rsid w:val="70648FA0"/>
    <w:rsid w:val="70675C2F"/>
    <w:rsid w:val="706B5A93"/>
    <w:rsid w:val="706E1906"/>
    <w:rsid w:val="707033F0"/>
    <w:rsid w:val="70720C9C"/>
    <w:rsid w:val="7074A040"/>
    <w:rsid w:val="70791FB9"/>
    <w:rsid w:val="707A6513"/>
    <w:rsid w:val="707DBCAF"/>
    <w:rsid w:val="707F3D2D"/>
    <w:rsid w:val="70809E8A"/>
    <w:rsid w:val="708469FF"/>
    <w:rsid w:val="708A6C98"/>
    <w:rsid w:val="708E2B54"/>
    <w:rsid w:val="708E8C83"/>
    <w:rsid w:val="708F3D97"/>
    <w:rsid w:val="7091E9E4"/>
    <w:rsid w:val="7092F5CA"/>
    <w:rsid w:val="70933CE8"/>
    <w:rsid w:val="7094CE45"/>
    <w:rsid w:val="7094D3E9"/>
    <w:rsid w:val="7094EC89"/>
    <w:rsid w:val="70962277"/>
    <w:rsid w:val="709B4BFB"/>
    <w:rsid w:val="709C69F4"/>
    <w:rsid w:val="709C9F47"/>
    <w:rsid w:val="709E9322"/>
    <w:rsid w:val="709E9704"/>
    <w:rsid w:val="70A1629F"/>
    <w:rsid w:val="70A38B3A"/>
    <w:rsid w:val="70A47915"/>
    <w:rsid w:val="70A81EB6"/>
    <w:rsid w:val="70A93875"/>
    <w:rsid w:val="70A9F214"/>
    <w:rsid w:val="70AAC6D4"/>
    <w:rsid w:val="70AC56A2"/>
    <w:rsid w:val="70AD751B"/>
    <w:rsid w:val="70ADE473"/>
    <w:rsid w:val="70AEB45C"/>
    <w:rsid w:val="70B1E2C2"/>
    <w:rsid w:val="70B25262"/>
    <w:rsid w:val="70B2543A"/>
    <w:rsid w:val="70B3D4FC"/>
    <w:rsid w:val="70B4B23A"/>
    <w:rsid w:val="70B7C3D9"/>
    <w:rsid w:val="70B8D264"/>
    <w:rsid w:val="70B97A9B"/>
    <w:rsid w:val="70BB912D"/>
    <w:rsid w:val="70BBF121"/>
    <w:rsid w:val="70BCE014"/>
    <w:rsid w:val="70BE2BDB"/>
    <w:rsid w:val="70BF359E"/>
    <w:rsid w:val="70BF449D"/>
    <w:rsid w:val="70C16AF4"/>
    <w:rsid w:val="70C204F0"/>
    <w:rsid w:val="70C26C82"/>
    <w:rsid w:val="70C5B923"/>
    <w:rsid w:val="70C7EE37"/>
    <w:rsid w:val="70C8C63B"/>
    <w:rsid w:val="70CE8964"/>
    <w:rsid w:val="70CECC0F"/>
    <w:rsid w:val="70D0740F"/>
    <w:rsid w:val="70D2F47A"/>
    <w:rsid w:val="70D5FDE2"/>
    <w:rsid w:val="70D69B41"/>
    <w:rsid w:val="70D775AF"/>
    <w:rsid w:val="70DDA4FF"/>
    <w:rsid w:val="70DEB8CE"/>
    <w:rsid w:val="70E0FC04"/>
    <w:rsid w:val="70E1817D"/>
    <w:rsid w:val="70E272F5"/>
    <w:rsid w:val="70E3BD3D"/>
    <w:rsid w:val="70E43989"/>
    <w:rsid w:val="70E53B20"/>
    <w:rsid w:val="70E68124"/>
    <w:rsid w:val="70E79F70"/>
    <w:rsid w:val="70E7F2F8"/>
    <w:rsid w:val="70E8373B"/>
    <w:rsid w:val="70E915B3"/>
    <w:rsid w:val="70E9C34B"/>
    <w:rsid w:val="70EA0E40"/>
    <w:rsid w:val="70EB5109"/>
    <w:rsid w:val="70F0BB5D"/>
    <w:rsid w:val="70F12461"/>
    <w:rsid w:val="70F1855E"/>
    <w:rsid w:val="70F1D672"/>
    <w:rsid w:val="70F1D6D3"/>
    <w:rsid w:val="70F37FEF"/>
    <w:rsid w:val="70F4CE8D"/>
    <w:rsid w:val="70F6DB81"/>
    <w:rsid w:val="70F868CE"/>
    <w:rsid w:val="70F8BE6B"/>
    <w:rsid w:val="70FC0D56"/>
    <w:rsid w:val="70FC123D"/>
    <w:rsid w:val="70FD54CD"/>
    <w:rsid w:val="71013CB3"/>
    <w:rsid w:val="7101EEF5"/>
    <w:rsid w:val="710376EB"/>
    <w:rsid w:val="7103C260"/>
    <w:rsid w:val="7104FE31"/>
    <w:rsid w:val="7106F43E"/>
    <w:rsid w:val="71087748"/>
    <w:rsid w:val="7108CB57"/>
    <w:rsid w:val="7109320B"/>
    <w:rsid w:val="7109B3DF"/>
    <w:rsid w:val="710C25DF"/>
    <w:rsid w:val="710D4852"/>
    <w:rsid w:val="710D5423"/>
    <w:rsid w:val="710D6AE8"/>
    <w:rsid w:val="710F79AC"/>
    <w:rsid w:val="711583E1"/>
    <w:rsid w:val="711592C4"/>
    <w:rsid w:val="7119432C"/>
    <w:rsid w:val="711A3E19"/>
    <w:rsid w:val="711AFD9F"/>
    <w:rsid w:val="711B8E2E"/>
    <w:rsid w:val="711C591F"/>
    <w:rsid w:val="711C5B6A"/>
    <w:rsid w:val="711CE25D"/>
    <w:rsid w:val="711F8298"/>
    <w:rsid w:val="711FC1A8"/>
    <w:rsid w:val="711FE48A"/>
    <w:rsid w:val="7120D328"/>
    <w:rsid w:val="7122F884"/>
    <w:rsid w:val="71244759"/>
    <w:rsid w:val="71256D81"/>
    <w:rsid w:val="71258DF2"/>
    <w:rsid w:val="71290E1F"/>
    <w:rsid w:val="712CFE66"/>
    <w:rsid w:val="71300891"/>
    <w:rsid w:val="7130B368"/>
    <w:rsid w:val="7131D72A"/>
    <w:rsid w:val="7136E395"/>
    <w:rsid w:val="7138377B"/>
    <w:rsid w:val="713A535F"/>
    <w:rsid w:val="713B0C67"/>
    <w:rsid w:val="713F9F42"/>
    <w:rsid w:val="71421266"/>
    <w:rsid w:val="71423354"/>
    <w:rsid w:val="71433E79"/>
    <w:rsid w:val="71480AE6"/>
    <w:rsid w:val="71491F8A"/>
    <w:rsid w:val="714A4792"/>
    <w:rsid w:val="714C7A95"/>
    <w:rsid w:val="714D5D6E"/>
    <w:rsid w:val="714E833A"/>
    <w:rsid w:val="7150AB18"/>
    <w:rsid w:val="7154E910"/>
    <w:rsid w:val="71581B54"/>
    <w:rsid w:val="71585461"/>
    <w:rsid w:val="7158BD84"/>
    <w:rsid w:val="715A8025"/>
    <w:rsid w:val="715A8439"/>
    <w:rsid w:val="715DE279"/>
    <w:rsid w:val="715E6AE8"/>
    <w:rsid w:val="71606896"/>
    <w:rsid w:val="71625F8E"/>
    <w:rsid w:val="7162725D"/>
    <w:rsid w:val="71637A28"/>
    <w:rsid w:val="71661324"/>
    <w:rsid w:val="71670CD7"/>
    <w:rsid w:val="716786C2"/>
    <w:rsid w:val="716B29AB"/>
    <w:rsid w:val="716CA9B8"/>
    <w:rsid w:val="716CDB90"/>
    <w:rsid w:val="716CDFFF"/>
    <w:rsid w:val="716E0F59"/>
    <w:rsid w:val="716F3DFF"/>
    <w:rsid w:val="716FD2BB"/>
    <w:rsid w:val="71700F68"/>
    <w:rsid w:val="7171053F"/>
    <w:rsid w:val="71714709"/>
    <w:rsid w:val="71715CB4"/>
    <w:rsid w:val="7172F60D"/>
    <w:rsid w:val="717375FB"/>
    <w:rsid w:val="7174335A"/>
    <w:rsid w:val="71755903"/>
    <w:rsid w:val="71767F08"/>
    <w:rsid w:val="7176AEE6"/>
    <w:rsid w:val="71775008"/>
    <w:rsid w:val="7177EC56"/>
    <w:rsid w:val="7177FF86"/>
    <w:rsid w:val="717A022A"/>
    <w:rsid w:val="717A09E6"/>
    <w:rsid w:val="717E9ECD"/>
    <w:rsid w:val="718120D1"/>
    <w:rsid w:val="7182EC68"/>
    <w:rsid w:val="7182F99D"/>
    <w:rsid w:val="7185C82C"/>
    <w:rsid w:val="7187CDDD"/>
    <w:rsid w:val="71885BC1"/>
    <w:rsid w:val="71886A1C"/>
    <w:rsid w:val="718AC0C6"/>
    <w:rsid w:val="718ADF98"/>
    <w:rsid w:val="718C207A"/>
    <w:rsid w:val="718E69D5"/>
    <w:rsid w:val="718EEC2C"/>
    <w:rsid w:val="718FC55C"/>
    <w:rsid w:val="7195485A"/>
    <w:rsid w:val="7195B317"/>
    <w:rsid w:val="71966BB7"/>
    <w:rsid w:val="7196E65F"/>
    <w:rsid w:val="7197859C"/>
    <w:rsid w:val="719AA8AF"/>
    <w:rsid w:val="719AEF77"/>
    <w:rsid w:val="719CADA3"/>
    <w:rsid w:val="719CCFDF"/>
    <w:rsid w:val="719F49DF"/>
    <w:rsid w:val="719FD98D"/>
    <w:rsid w:val="719FFD77"/>
    <w:rsid w:val="71A3818D"/>
    <w:rsid w:val="71A56A2F"/>
    <w:rsid w:val="71A751D7"/>
    <w:rsid w:val="71A7B47D"/>
    <w:rsid w:val="71A7CD4C"/>
    <w:rsid w:val="71A90829"/>
    <w:rsid w:val="71AA0303"/>
    <w:rsid w:val="71AA8AFD"/>
    <w:rsid w:val="71AB1F14"/>
    <w:rsid w:val="71AB6F7D"/>
    <w:rsid w:val="71AF685D"/>
    <w:rsid w:val="71B198B5"/>
    <w:rsid w:val="71B75BBF"/>
    <w:rsid w:val="71B84497"/>
    <w:rsid w:val="71B8F84D"/>
    <w:rsid w:val="71BA5494"/>
    <w:rsid w:val="71BABEC2"/>
    <w:rsid w:val="71BC2AB7"/>
    <w:rsid w:val="71BCAE0E"/>
    <w:rsid w:val="71BD7601"/>
    <w:rsid w:val="71BD9FF4"/>
    <w:rsid w:val="71BEBA65"/>
    <w:rsid w:val="71BEFE2B"/>
    <w:rsid w:val="71C0DB22"/>
    <w:rsid w:val="71C1BEDD"/>
    <w:rsid w:val="71C22FE3"/>
    <w:rsid w:val="71C75135"/>
    <w:rsid w:val="71C7F4B7"/>
    <w:rsid w:val="71CA0091"/>
    <w:rsid w:val="71CACE55"/>
    <w:rsid w:val="71CB5B1C"/>
    <w:rsid w:val="71CD5FCF"/>
    <w:rsid w:val="71D141B5"/>
    <w:rsid w:val="71D22964"/>
    <w:rsid w:val="71D685EB"/>
    <w:rsid w:val="71D8F57C"/>
    <w:rsid w:val="71D93FE3"/>
    <w:rsid w:val="71DA4B06"/>
    <w:rsid w:val="71DADB8B"/>
    <w:rsid w:val="71DB684C"/>
    <w:rsid w:val="71DC76F2"/>
    <w:rsid w:val="71DD5665"/>
    <w:rsid w:val="71DDE7A8"/>
    <w:rsid w:val="71DE46C8"/>
    <w:rsid w:val="71DFB273"/>
    <w:rsid w:val="71E03103"/>
    <w:rsid w:val="71E0FFCC"/>
    <w:rsid w:val="71E10162"/>
    <w:rsid w:val="71E166E3"/>
    <w:rsid w:val="71E2449D"/>
    <w:rsid w:val="71E48379"/>
    <w:rsid w:val="71E7FF3E"/>
    <w:rsid w:val="71E8E792"/>
    <w:rsid w:val="71E90750"/>
    <w:rsid w:val="71E9EAE6"/>
    <w:rsid w:val="71EBB8BC"/>
    <w:rsid w:val="71EC43B6"/>
    <w:rsid w:val="71ECD6C9"/>
    <w:rsid w:val="71ED3EDF"/>
    <w:rsid w:val="71EED0BD"/>
    <w:rsid w:val="71EF3A42"/>
    <w:rsid w:val="71F1CCD9"/>
    <w:rsid w:val="71F41583"/>
    <w:rsid w:val="71F43DF8"/>
    <w:rsid w:val="71F50F0E"/>
    <w:rsid w:val="71F82EC2"/>
    <w:rsid w:val="71F8D25C"/>
    <w:rsid w:val="71FA2124"/>
    <w:rsid w:val="71FDCEED"/>
    <w:rsid w:val="71FF5CDA"/>
    <w:rsid w:val="71FFDDED"/>
    <w:rsid w:val="72004FB9"/>
    <w:rsid w:val="72006945"/>
    <w:rsid w:val="7202DEA3"/>
    <w:rsid w:val="7203E87B"/>
    <w:rsid w:val="7203F912"/>
    <w:rsid w:val="7205C3E3"/>
    <w:rsid w:val="7205D5CC"/>
    <w:rsid w:val="720728A1"/>
    <w:rsid w:val="720C10DF"/>
    <w:rsid w:val="72129547"/>
    <w:rsid w:val="7215F568"/>
    <w:rsid w:val="721684BF"/>
    <w:rsid w:val="72170DA7"/>
    <w:rsid w:val="72172A55"/>
    <w:rsid w:val="72179F9D"/>
    <w:rsid w:val="72188465"/>
    <w:rsid w:val="7218EA44"/>
    <w:rsid w:val="7219AABF"/>
    <w:rsid w:val="7219CED0"/>
    <w:rsid w:val="721A4B9B"/>
    <w:rsid w:val="721A881B"/>
    <w:rsid w:val="721C5CB7"/>
    <w:rsid w:val="721CF4A2"/>
    <w:rsid w:val="721DF798"/>
    <w:rsid w:val="7220E1E6"/>
    <w:rsid w:val="7220E5AC"/>
    <w:rsid w:val="722105A3"/>
    <w:rsid w:val="722261E1"/>
    <w:rsid w:val="722396FD"/>
    <w:rsid w:val="722408D8"/>
    <w:rsid w:val="7224130C"/>
    <w:rsid w:val="7224B8B6"/>
    <w:rsid w:val="722511C9"/>
    <w:rsid w:val="72254D16"/>
    <w:rsid w:val="7229E7CF"/>
    <w:rsid w:val="722A35CB"/>
    <w:rsid w:val="722C4015"/>
    <w:rsid w:val="722CB269"/>
    <w:rsid w:val="722D0D1B"/>
    <w:rsid w:val="722E3CDC"/>
    <w:rsid w:val="722E73B9"/>
    <w:rsid w:val="722FFC9B"/>
    <w:rsid w:val="72317B1B"/>
    <w:rsid w:val="72327F1A"/>
    <w:rsid w:val="723355A5"/>
    <w:rsid w:val="7233B4E3"/>
    <w:rsid w:val="72364D41"/>
    <w:rsid w:val="7236E6CB"/>
    <w:rsid w:val="7238CEB0"/>
    <w:rsid w:val="72390776"/>
    <w:rsid w:val="72394A64"/>
    <w:rsid w:val="723959F4"/>
    <w:rsid w:val="723B247E"/>
    <w:rsid w:val="723F920B"/>
    <w:rsid w:val="72417C28"/>
    <w:rsid w:val="7242D094"/>
    <w:rsid w:val="72442501"/>
    <w:rsid w:val="72457B11"/>
    <w:rsid w:val="72476D62"/>
    <w:rsid w:val="7248A8E1"/>
    <w:rsid w:val="7249703A"/>
    <w:rsid w:val="7249D95A"/>
    <w:rsid w:val="724A2016"/>
    <w:rsid w:val="724B9AD7"/>
    <w:rsid w:val="724BFBFD"/>
    <w:rsid w:val="724CCF8F"/>
    <w:rsid w:val="724D58C5"/>
    <w:rsid w:val="7250429C"/>
    <w:rsid w:val="725322C3"/>
    <w:rsid w:val="7253E4F4"/>
    <w:rsid w:val="7256D67C"/>
    <w:rsid w:val="7256DEAF"/>
    <w:rsid w:val="72571618"/>
    <w:rsid w:val="7258B032"/>
    <w:rsid w:val="7258B075"/>
    <w:rsid w:val="72590D7A"/>
    <w:rsid w:val="725A80C3"/>
    <w:rsid w:val="725AB067"/>
    <w:rsid w:val="725B6DAB"/>
    <w:rsid w:val="725DAA6B"/>
    <w:rsid w:val="725E5718"/>
    <w:rsid w:val="725F4B4E"/>
    <w:rsid w:val="725F544A"/>
    <w:rsid w:val="7261896B"/>
    <w:rsid w:val="7262AA27"/>
    <w:rsid w:val="72635EC1"/>
    <w:rsid w:val="7265DC26"/>
    <w:rsid w:val="72686981"/>
    <w:rsid w:val="7269FE2C"/>
    <w:rsid w:val="726B58C3"/>
    <w:rsid w:val="726B6D70"/>
    <w:rsid w:val="726C1E16"/>
    <w:rsid w:val="726D1705"/>
    <w:rsid w:val="727418DB"/>
    <w:rsid w:val="72743C80"/>
    <w:rsid w:val="727451E1"/>
    <w:rsid w:val="7274653D"/>
    <w:rsid w:val="72752FFE"/>
    <w:rsid w:val="72766498"/>
    <w:rsid w:val="7278F245"/>
    <w:rsid w:val="72797C61"/>
    <w:rsid w:val="7279A2A9"/>
    <w:rsid w:val="727CB3D3"/>
    <w:rsid w:val="72806E2A"/>
    <w:rsid w:val="72809602"/>
    <w:rsid w:val="72815F3B"/>
    <w:rsid w:val="7282DBC1"/>
    <w:rsid w:val="72835F93"/>
    <w:rsid w:val="7283AAF9"/>
    <w:rsid w:val="7285A8E2"/>
    <w:rsid w:val="72886EBD"/>
    <w:rsid w:val="728A7AA1"/>
    <w:rsid w:val="728B5594"/>
    <w:rsid w:val="728B6A34"/>
    <w:rsid w:val="728C163F"/>
    <w:rsid w:val="728D0946"/>
    <w:rsid w:val="728D244B"/>
    <w:rsid w:val="728DD42E"/>
    <w:rsid w:val="72905C43"/>
    <w:rsid w:val="72910D75"/>
    <w:rsid w:val="72912904"/>
    <w:rsid w:val="72917617"/>
    <w:rsid w:val="72927584"/>
    <w:rsid w:val="7295D18C"/>
    <w:rsid w:val="7296475A"/>
    <w:rsid w:val="7296C86F"/>
    <w:rsid w:val="7296FF89"/>
    <w:rsid w:val="72973049"/>
    <w:rsid w:val="7299952A"/>
    <w:rsid w:val="729A08BB"/>
    <w:rsid w:val="729AD9DF"/>
    <w:rsid w:val="729F12DB"/>
    <w:rsid w:val="72A083FE"/>
    <w:rsid w:val="72A17A74"/>
    <w:rsid w:val="72A4423D"/>
    <w:rsid w:val="72A501FC"/>
    <w:rsid w:val="72A62F19"/>
    <w:rsid w:val="72A641C4"/>
    <w:rsid w:val="72A6D7CF"/>
    <w:rsid w:val="72A7EAA4"/>
    <w:rsid w:val="72A8A027"/>
    <w:rsid w:val="72AB6686"/>
    <w:rsid w:val="72AF6F76"/>
    <w:rsid w:val="72AFA02B"/>
    <w:rsid w:val="72B0CE43"/>
    <w:rsid w:val="72B2232B"/>
    <w:rsid w:val="72B24BC1"/>
    <w:rsid w:val="72B2CF6B"/>
    <w:rsid w:val="72B3698E"/>
    <w:rsid w:val="72B54206"/>
    <w:rsid w:val="72B586E6"/>
    <w:rsid w:val="72B6E29E"/>
    <w:rsid w:val="72B7A326"/>
    <w:rsid w:val="72B7CD82"/>
    <w:rsid w:val="72B86197"/>
    <w:rsid w:val="72BA1E3E"/>
    <w:rsid w:val="72BB32D3"/>
    <w:rsid w:val="72BBD56A"/>
    <w:rsid w:val="72BD44DF"/>
    <w:rsid w:val="72BF0625"/>
    <w:rsid w:val="72C1396E"/>
    <w:rsid w:val="72C1CA6B"/>
    <w:rsid w:val="72C26586"/>
    <w:rsid w:val="72C3651D"/>
    <w:rsid w:val="72C3AF29"/>
    <w:rsid w:val="72C3C0FF"/>
    <w:rsid w:val="72C41F16"/>
    <w:rsid w:val="72C54A89"/>
    <w:rsid w:val="72C5A88D"/>
    <w:rsid w:val="72C690F9"/>
    <w:rsid w:val="72C7F467"/>
    <w:rsid w:val="72C925A3"/>
    <w:rsid w:val="72C92EC1"/>
    <w:rsid w:val="72C9582C"/>
    <w:rsid w:val="72C9CAC6"/>
    <w:rsid w:val="72CA4E58"/>
    <w:rsid w:val="72CAD470"/>
    <w:rsid w:val="72CB0922"/>
    <w:rsid w:val="72CC1395"/>
    <w:rsid w:val="72CC5EA9"/>
    <w:rsid w:val="72CD30EF"/>
    <w:rsid w:val="72CD3CF2"/>
    <w:rsid w:val="72CD7C65"/>
    <w:rsid w:val="72CF325F"/>
    <w:rsid w:val="72D57E00"/>
    <w:rsid w:val="72D67164"/>
    <w:rsid w:val="72D6DCC8"/>
    <w:rsid w:val="72D7D6AF"/>
    <w:rsid w:val="72D7DC19"/>
    <w:rsid w:val="72D867E2"/>
    <w:rsid w:val="72D8F993"/>
    <w:rsid w:val="72D964B1"/>
    <w:rsid w:val="72D9B532"/>
    <w:rsid w:val="72DE0323"/>
    <w:rsid w:val="72DF9AEA"/>
    <w:rsid w:val="72DFA6A0"/>
    <w:rsid w:val="72DFF710"/>
    <w:rsid w:val="72E25358"/>
    <w:rsid w:val="72E2A706"/>
    <w:rsid w:val="72E3ED73"/>
    <w:rsid w:val="72E503AC"/>
    <w:rsid w:val="72E55C32"/>
    <w:rsid w:val="72E5D5F5"/>
    <w:rsid w:val="72ED1393"/>
    <w:rsid w:val="72EE19FE"/>
    <w:rsid w:val="72F15046"/>
    <w:rsid w:val="72F17866"/>
    <w:rsid w:val="72F28C83"/>
    <w:rsid w:val="72F458C0"/>
    <w:rsid w:val="72F4784E"/>
    <w:rsid w:val="72F76D39"/>
    <w:rsid w:val="72F836FC"/>
    <w:rsid w:val="72F9B0B0"/>
    <w:rsid w:val="72FB1613"/>
    <w:rsid w:val="72FF2E2E"/>
    <w:rsid w:val="7300523B"/>
    <w:rsid w:val="730090A2"/>
    <w:rsid w:val="73023C14"/>
    <w:rsid w:val="73029561"/>
    <w:rsid w:val="7302AEE0"/>
    <w:rsid w:val="7306C898"/>
    <w:rsid w:val="7306DE35"/>
    <w:rsid w:val="7309A9C2"/>
    <w:rsid w:val="730B7FEF"/>
    <w:rsid w:val="730CB7B7"/>
    <w:rsid w:val="73117189"/>
    <w:rsid w:val="7311BB11"/>
    <w:rsid w:val="73124359"/>
    <w:rsid w:val="7313FDDD"/>
    <w:rsid w:val="7314F0B5"/>
    <w:rsid w:val="7315F376"/>
    <w:rsid w:val="7317ECFD"/>
    <w:rsid w:val="7318218E"/>
    <w:rsid w:val="73192150"/>
    <w:rsid w:val="731B9A14"/>
    <w:rsid w:val="731D9953"/>
    <w:rsid w:val="731DC0C4"/>
    <w:rsid w:val="731F92BF"/>
    <w:rsid w:val="731FF2E4"/>
    <w:rsid w:val="7322253D"/>
    <w:rsid w:val="7323774E"/>
    <w:rsid w:val="7324724A"/>
    <w:rsid w:val="73270BE3"/>
    <w:rsid w:val="73284409"/>
    <w:rsid w:val="7329839A"/>
    <w:rsid w:val="732A2337"/>
    <w:rsid w:val="7331B518"/>
    <w:rsid w:val="7331F7CE"/>
    <w:rsid w:val="733253CD"/>
    <w:rsid w:val="7332FF22"/>
    <w:rsid w:val="7333057F"/>
    <w:rsid w:val="73350937"/>
    <w:rsid w:val="73353801"/>
    <w:rsid w:val="733621FF"/>
    <w:rsid w:val="7336A349"/>
    <w:rsid w:val="7337E8E8"/>
    <w:rsid w:val="73382FA2"/>
    <w:rsid w:val="7338410A"/>
    <w:rsid w:val="733B957D"/>
    <w:rsid w:val="733EB315"/>
    <w:rsid w:val="733F0550"/>
    <w:rsid w:val="733F1444"/>
    <w:rsid w:val="733F47A3"/>
    <w:rsid w:val="733F988B"/>
    <w:rsid w:val="733FDA57"/>
    <w:rsid w:val="73418CC9"/>
    <w:rsid w:val="73421127"/>
    <w:rsid w:val="7343BC73"/>
    <w:rsid w:val="73470479"/>
    <w:rsid w:val="73482E5D"/>
    <w:rsid w:val="7348D91C"/>
    <w:rsid w:val="734CD00A"/>
    <w:rsid w:val="734DD5A6"/>
    <w:rsid w:val="734F384B"/>
    <w:rsid w:val="734F5507"/>
    <w:rsid w:val="73508368"/>
    <w:rsid w:val="73541D53"/>
    <w:rsid w:val="73546F07"/>
    <w:rsid w:val="73551B78"/>
    <w:rsid w:val="7355A6CB"/>
    <w:rsid w:val="7356AA33"/>
    <w:rsid w:val="73579117"/>
    <w:rsid w:val="7359C34B"/>
    <w:rsid w:val="735F1105"/>
    <w:rsid w:val="73639DC9"/>
    <w:rsid w:val="7365CAB7"/>
    <w:rsid w:val="7369EC5A"/>
    <w:rsid w:val="736AD635"/>
    <w:rsid w:val="736E396D"/>
    <w:rsid w:val="736F7AB0"/>
    <w:rsid w:val="736FFE6E"/>
    <w:rsid w:val="73714C9E"/>
    <w:rsid w:val="73719140"/>
    <w:rsid w:val="73728830"/>
    <w:rsid w:val="737458C5"/>
    <w:rsid w:val="737463F9"/>
    <w:rsid w:val="73780E63"/>
    <w:rsid w:val="7379BEA0"/>
    <w:rsid w:val="737B1E47"/>
    <w:rsid w:val="737C689E"/>
    <w:rsid w:val="737E8F90"/>
    <w:rsid w:val="737F6EC6"/>
    <w:rsid w:val="738256B0"/>
    <w:rsid w:val="73830926"/>
    <w:rsid w:val="7383EB0C"/>
    <w:rsid w:val="73865345"/>
    <w:rsid w:val="738687C2"/>
    <w:rsid w:val="73878EA5"/>
    <w:rsid w:val="738833E7"/>
    <w:rsid w:val="73889B99"/>
    <w:rsid w:val="7388E35A"/>
    <w:rsid w:val="73898DD4"/>
    <w:rsid w:val="738AC2B6"/>
    <w:rsid w:val="738AD01B"/>
    <w:rsid w:val="738CE77E"/>
    <w:rsid w:val="738E5100"/>
    <w:rsid w:val="738EF0F7"/>
    <w:rsid w:val="73900F6D"/>
    <w:rsid w:val="7390A71C"/>
    <w:rsid w:val="73918CB6"/>
    <w:rsid w:val="7391C920"/>
    <w:rsid w:val="73935C71"/>
    <w:rsid w:val="7399781E"/>
    <w:rsid w:val="739BB8F6"/>
    <w:rsid w:val="739C62A2"/>
    <w:rsid w:val="739D1770"/>
    <w:rsid w:val="739E18E8"/>
    <w:rsid w:val="739EB70A"/>
    <w:rsid w:val="739F3C4E"/>
    <w:rsid w:val="739FB4FA"/>
    <w:rsid w:val="73A49A1E"/>
    <w:rsid w:val="73A5E311"/>
    <w:rsid w:val="73A6ED61"/>
    <w:rsid w:val="73A760D3"/>
    <w:rsid w:val="73A807CE"/>
    <w:rsid w:val="73A80B54"/>
    <w:rsid w:val="73AA4F9A"/>
    <w:rsid w:val="73AA8119"/>
    <w:rsid w:val="73AAE2F2"/>
    <w:rsid w:val="73AB78D9"/>
    <w:rsid w:val="73AC0824"/>
    <w:rsid w:val="73ADBE9C"/>
    <w:rsid w:val="73AF847C"/>
    <w:rsid w:val="73AFB404"/>
    <w:rsid w:val="73B01EC8"/>
    <w:rsid w:val="73B29212"/>
    <w:rsid w:val="73B4D4ED"/>
    <w:rsid w:val="73B557AD"/>
    <w:rsid w:val="73B584F5"/>
    <w:rsid w:val="73B599C2"/>
    <w:rsid w:val="73B66428"/>
    <w:rsid w:val="73B8B476"/>
    <w:rsid w:val="73BA7DC2"/>
    <w:rsid w:val="73C03515"/>
    <w:rsid w:val="73C13C33"/>
    <w:rsid w:val="73C2AB7E"/>
    <w:rsid w:val="73C2E24D"/>
    <w:rsid w:val="73C42671"/>
    <w:rsid w:val="73C52B56"/>
    <w:rsid w:val="73C56CEF"/>
    <w:rsid w:val="73C5E1BD"/>
    <w:rsid w:val="73C66DCD"/>
    <w:rsid w:val="73C8E771"/>
    <w:rsid w:val="73CB1D8B"/>
    <w:rsid w:val="73CC6643"/>
    <w:rsid w:val="73CC74AB"/>
    <w:rsid w:val="73D15486"/>
    <w:rsid w:val="73D184C3"/>
    <w:rsid w:val="73D34A72"/>
    <w:rsid w:val="73D3BBB7"/>
    <w:rsid w:val="73D47E51"/>
    <w:rsid w:val="73D54DDA"/>
    <w:rsid w:val="73D59241"/>
    <w:rsid w:val="73D59380"/>
    <w:rsid w:val="73D6633E"/>
    <w:rsid w:val="73D76000"/>
    <w:rsid w:val="73DC4107"/>
    <w:rsid w:val="73DD54C9"/>
    <w:rsid w:val="73DE4040"/>
    <w:rsid w:val="73DF2DCE"/>
    <w:rsid w:val="73E09BA0"/>
    <w:rsid w:val="73E1B6F2"/>
    <w:rsid w:val="73E2A8B3"/>
    <w:rsid w:val="73E3866E"/>
    <w:rsid w:val="73E8967B"/>
    <w:rsid w:val="73E8E7A8"/>
    <w:rsid w:val="73EA165E"/>
    <w:rsid w:val="73ED3A23"/>
    <w:rsid w:val="73EE6260"/>
    <w:rsid w:val="73F05130"/>
    <w:rsid w:val="73F0C693"/>
    <w:rsid w:val="73F0F60D"/>
    <w:rsid w:val="73F10485"/>
    <w:rsid w:val="73F1560F"/>
    <w:rsid w:val="73F17B73"/>
    <w:rsid w:val="73F1CBE9"/>
    <w:rsid w:val="73F47ED9"/>
    <w:rsid w:val="73F5FE58"/>
    <w:rsid w:val="73F69951"/>
    <w:rsid w:val="73F7DFF2"/>
    <w:rsid w:val="73F935BD"/>
    <w:rsid w:val="73FB8BA0"/>
    <w:rsid w:val="73FE64D1"/>
    <w:rsid w:val="73FF55DD"/>
    <w:rsid w:val="7400AA70"/>
    <w:rsid w:val="7401FF67"/>
    <w:rsid w:val="74064E69"/>
    <w:rsid w:val="74071A9B"/>
    <w:rsid w:val="74077FB5"/>
    <w:rsid w:val="7408CE4E"/>
    <w:rsid w:val="74094AD9"/>
    <w:rsid w:val="7409CBAC"/>
    <w:rsid w:val="740C2048"/>
    <w:rsid w:val="740DCA93"/>
    <w:rsid w:val="740F97E6"/>
    <w:rsid w:val="7410BDCD"/>
    <w:rsid w:val="7411D434"/>
    <w:rsid w:val="741775FE"/>
    <w:rsid w:val="741940DA"/>
    <w:rsid w:val="741ADA5E"/>
    <w:rsid w:val="741AECAF"/>
    <w:rsid w:val="741B3FBA"/>
    <w:rsid w:val="741B6774"/>
    <w:rsid w:val="741D9A3D"/>
    <w:rsid w:val="7420323C"/>
    <w:rsid w:val="74228490"/>
    <w:rsid w:val="7423650B"/>
    <w:rsid w:val="74288423"/>
    <w:rsid w:val="742DB847"/>
    <w:rsid w:val="742E3F6A"/>
    <w:rsid w:val="742EC5CF"/>
    <w:rsid w:val="743385E1"/>
    <w:rsid w:val="7433B467"/>
    <w:rsid w:val="743459F5"/>
    <w:rsid w:val="7436E1EB"/>
    <w:rsid w:val="74382637"/>
    <w:rsid w:val="7439D60B"/>
    <w:rsid w:val="7439F9E0"/>
    <w:rsid w:val="743ACB0F"/>
    <w:rsid w:val="743B7859"/>
    <w:rsid w:val="743CE0E6"/>
    <w:rsid w:val="743D279A"/>
    <w:rsid w:val="743EFE63"/>
    <w:rsid w:val="743FDFCD"/>
    <w:rsid w:val="7440165F"/>
    <w:rsid w:val="74427A6D"/>
    <w:rsid w:val="7442889E"/>
    <w:rsid w:val="74459B5C"/>
    <w:rsid w:val="74466B92"/>
    <w:rsid w:val="7447D5AB"/>
    <w:rsid w:val="744AA829"/>
    <w:rsid w:val="744E1B88"/>
    <w:rsid w:val="7450669C"/>
    <w:rsid w:val="7450ACC5"/>
    <w:rsid w:val="7450DD57"/>
    <w:rsid w:val="7451A784"/>
    <w:rsid w:val="7451BCB4"/>
    <w:rsid w:val="745410D9"/>
    <w:rsid w:val="7457CF6A"/>
    <w:rsid w:val="7459C631"/>
    <w:rsid w:val="745A83D5"/>
    <w:rsid w:val="745B6418"/>
    <w:rsid w:val="745CC255"/>
    <w:rsid w:val="745D626A"/>
    <w:rsid w:val="745E6BDE"/>
    <w:rsid w:val="745F3B43"/>
    <w:rsid w:val="745FD05D"/>
    <w:rsid w:val="7461458C"/>
    <w:rsid w:val="74617D19"/>
    <w:rsid w:val="7461C0BD"/>
    <w:rsid w:val="7461F383"/>
    <w:rsid w:val="7463B4B5"/>
    <w:rsid w:val="746405DC"/>
    <w:rsid w:val="74659B27"/>
    <w:rsid w:val="746919B3"/>
    <w:rsid w:val="746A147A"/>
    <w:rsid w:val="746C22CF"/>
    <w:rsid w:val="746D35C8"/>
    <w:rsid w:val="746E60AF"/>
    <w:rsid w:val="746EDC1E"/>
    <w:rsid w:val="7471067E"/>
    <w:rsid w:val="74725710"/>
    <w:rsid w:val="7473ACCE"/>
    <w:rsid w:val="747491F6"/>
    <w:rsid w:val="74751C10"/>
    <w:rsid w:val="7475E332"/>
    <w:rsid w:val="7477135F"/>
    <w:rsid w:val="74773B01"/>
    <w:rsid w:val="7478FF4B"/>
    <w:rsid w:val="747A1288"/>
    <w:rsid w:val="747A5C7A"/>
    <w:rsid w:val="747FC69E"/>
    <w:rsid w:val="74812D83"/>
    <w:rsid w:val="7481C4D4"/>
    <w:rsid w:val="74827E15"/>
    <w:rsid w:val="74844AFC"/>
    <w:rsid w:val="74849845"/>
    <w:rsid w:val="74873926"/>
    <w:rsid w:val="7488E811"/>
    <w:rsid w:val="748A4ADF"/>
    <w:rsid w:val="748AE74D"/>
    <w:rsid w:val="748F01CD"/>
    <w:rsid w:val="748FEE52"/>
    <w:rsid w:val="74919A41"/>
    <w:rsid w:val="74925EA7"/>
    <w:rsid w:val="7494FC0C"/>
    <w:rsid w:val="749694CE"/>
    <w:rsid w:val="74982E7B"/>
    <w:rsid w:val="74995CCC"/>
    <w:rsid w:val="749A0698"/>
    <w:rsid w:val="749A3283"/>
    <w:rsid w:val="749C3DDC"/>
    <w:rsid w:val="749DD159"/>
    <w:rsid w:val="749E4853"/>
    <w:rsid w:val="749E6DA5"/>
    <w:rsid w:val="749EB886"/>
    <w:rsid w:val="74A21A9E"/>
    <w:rsid w:val="74A2870D"/>
    <w:rsid w:val="74A410FF"/>
    <w:rsid w:val="74A4253C"/>
    <w:rsid w:val="74A477EB"/>
    <w:rsid w:val="74A6A1B1"/>
    <w:rsid w:val="74A6C607"/>
    <w:rsid w:val="74AA939E"/>
    <w:rsid w:val="74AB73E9"/>
    <w:rsid w:val="74AC6E1D"/>
    <w:rsid w:val="74AF3CBB"/>
    <w:rsid w:val="74AF80DC"/>
    <w:rsid w:val="74B328AD"/>
    <w:rsid w:val="74B421B9"/>
    <w:rsid w:val="74B5113A"/>
    <w:rsid w:val="74B62FE5"/>
    <w:rsid w:val="74B66CD8"/>
    <w:rsid w:val="74B97765"/>
    <w:rsid w:val="74BC6380"/>
    <w:rsid w:val="74BE71C9"/>
    <w:rsid w:val="74BEF6BA"/>
    <w:rsid w:val="74BF5E3A"/>
    <w:rsid w:val="74C00440"/>
    <w:rsid w:val="74C045E8"/>
    <w:rsid w:val="74C1FB98"/>
    <w:rsid w:val="74C2FE29"/>
    <w:rsid w:val="74C43476"/>
    <w:rsid w:val="74C51CEF"/>
    <w:rsid w:val="74C81844"/>
    <w:rsid w:val="74C8AB02"/>
    <w:rsid w:val="74C99DFD"/>
    <w:rsid w:val="74C9EFBC"/>
    <w:rsid w:val="74C9F4E9"/>
    <w:rsid w:val="74CCCF9A"/>
    <w:rsid w:val="74CDEBF1"/>
    <w:rsid w:val="74CE834B"/>
    <w:rsid w:val="74D1C4CE"/>
    <w:rsid w:val="74D2F9B3"/>
    <w:rsid w:val="74D362F4"/>
    <w:rsid w:val="74D36EA6"/>
    <w:rsid w:val="74D41816"/>
    <w:rsid w:val="74D824B6"/>
    <w:rsid w:val="74DA7C6A"/>
    <w:rsid w:val="74DA835C"/>
    <w:rsid w:val="74DBAF13"/>
    <w:rsid w:val="74DD53C2"/>
    <w:rsid w:val="74E28D9B"/>
    <w:rsid w:val="74E2B4E7"/>
    <w:rsid w:val="74E33F42"/>
    <w:rsid w:val="74E5B96C"/>
    <w:rsid w:val="74E60D4C"/>
    <w:rsid w:val="74E673C8"/>
    <w:rsid w:val="74E75E74"/>
    <w:rsid w:val="74E90675"/>
    <w:rsid w:val="74ED2E7A"/>
    <w:rsid w:val="74EE6F13"/>
    <w:rsid w:val="74EE741E"/>
    <w:rsid w:val="74F031B6"/>
    <w:rsid w:val="74F0A70E"/>
    <w:rsid w:val="74F17219"/>
    <w:rsid w:val="74F6CD95"/>
    <w:rsid w:val="74F76AB5"/>
    <w:rsid w:val="74F76C99"/>
    <w:rsid w:val="74F7A639"/>
    <w:rsid w:val="74F8D76B"/>
    <w:rsid w:val="74FD043C"/>
    <w:rsid w:val="74FE9279"/>
    <w:rsid w:val="75010B93"/>
    <w:rsid w:val="7501EEE4"/>
    <w:rsid w:val="75021354"/>
    <w:rsid w:val="75022FF5"/>
    <w:rsid w:val="75026924"/>
    <w:rsid w:val="75029A6A"/>
    <w:rsid w:val="7504003F"/>
    <w:rsid w:val="7505D04A"/>
    <w:rsid w:val="7506411F"/>
    <w:rsid w:val="7508D44B"/>
    <w:rsid w:val="750E31E9"/>
    <w:rsid w:val="750E721E"/>
    <w:rsid w:val="750F4444"/>
    <w:rsid w:val="750FA306"/>
    <w:rsid w:val="7510A89B"/>
    <w:rsid w:val="7510DD3F"/>
    <w:rsid w:val="75149CAF"/>
    <w:rsid w:val="75160B13"/>
    <w:rsid w:val="75163076"/>
    <w:rsid w:val="75169E4B"/>
    <w:rsid w:val="7518DC34"/>
    <w:rsid w:val="75196398"/>
    <w:rsid w:val="75199663"/>
    <w:rsid w:val="751A3695"/>
    <w:rsid w:val="751D6F94"/>
    <w:rsid w:val="751F3291"/>
    <w:rsid w:val="752023E4"/>
    <w:rsid w:val="752033C9"/>
    <w:rsid w:val="7520DD7E"/>
    <w:rsid w:val="75234D4B"/>
    <w:rsid w:val="752383E6"/>
    <w:rsid w:val="7523D347"/>
    <w:rsid w:val="75258EA2"/>
    <w:rsid w:val="7525C4D8"/>
    <w:rsid w:val="752654C6"/>
    <w:rsid w:val="7526D337"/>
    <w:rsid w:val="752AA723"/>
    <w:rsid w:val="752AAF39"/>
    <w:rsid w:val="752DAB2A"/>
    <w:rsid w:val="752DAF83"/>
    <w:rsid w:val="752E8553"/>
    <w:rsid w:val="752ECA53"/>
    <w:rsid w:val="752F62CD"/>
    <w:rsid w:val="75317A38"/>
    <w:rsid w:val="7531CA60"/>
    <w:rsid w:val="75320790"/>
    <w:rsid w:val="75322012"/>
    <w:rsid w:val="753275CF"/>
    <w:rsid w:val="7535AB51"/>
    <w:rsid w:val="753829D8"/>
    <w:rsid w:val="7538EC7E"/>
    <w:rsid w:val="7538FF6C"/>
    <w:rsid w:val="7539EE88"/>
    <w:rsid w:val="753B3126"/>
    <w:rsid w:val="753B755E"/>
    <w:rsid w:val="753C5DEB"/>
    <w:rsid w:val="753C85D2"/>
    <w:rsid w:val="753CF67A"/>
    <w:rsid w:val="753DCCEE"/>
    <w:rsid w:val="75435A8D"/>
    <w:rsid w:val="75440691"/>
    <w:rsid w:val="7546267C"/>
    <w:rsid w:val="7546F156"/>
    <w:rsid w:val="75482C19"/>
    <w:rsid w:val="754860F1"/>
    <w:rsid w:val="7549E576"/>
    <w:rsid w:val="754A4818"/>
    <w:rsid w:val="754BE606"/>
    <w:rsid w:val="754E694C"/>
    <w:rsid w:val="754F034A"/>
    <w:rsid w:val="754FE81F"/>
    <w:rsid w:val="755152CD"/>
    <w:rsid w:val="7551609D"/>
    <w:rsid w:val="755422FE"/>
    <w:rsid w:val="75542F84"/>
    <w:rsid w:val="7555FE46"/>
    <w:rsid w:val="75561DC2"/>
    <w:rsid w:val="75567DCB"/>
    <w:rsid w:val="7556B066"/>
    <w:rsid w:val="755AD20E"/>
    <w:rsid w:val="755B710D"/>
    <w:rsid w:val="755C6C1B"/>
    <w:rsid w:val="755F3392"/>
    <w:rsid w:val="755F9627"/>
    <w:rsid w:val="755FD069"/>
    <w:rsid w:val="755FD0E1"/>
    <w:rsid w:val="7566F39A"/>
    <w:rsid w:val="7569B115"/>
    <w:rsid w:val="756A7B7C"/>
    <w:rsid w:val="756C6798"/>
    <w:rsid w:val="756D3355"/>
    <w:rsid w:val="756DD1D8"/>
    <w:rsid w:val="756E54DA"/>
    <w:rsid w:val="756EAC8A"/>
    <w:rsid w:val="756FED73"/>
    <w:rsid w:val="75702540"/>
    <w:rsid w:val="757182E2"/>
    <w:rsid w:val="7571F8F8"/>
    <w:rsid w:val="7572F114"/>
    <w:rsid w:val="75730E93"/>
    <w:rsid w:val="757735E5"/>
    <w:rsid w:val="7577A100"/>
    <w:rsid w:val="757A6E51"/>
    <w:rsid w:val="757CADFA"/>
    <w:rsid w:val="757EEA9B"/>
    <w:rsid w:val="757EF7ED"/>
    <w:rsid w:val="757FED01"/>
    <w:rsid w:val="7580E63E"/>
    <w:rsid w:val="758112B2"/>
    <w:rsid w:val="75834161"/>
    <w:rsid w:val="758354A8"/>
    <w:rsid w:val="75858672"/>
    <w:rsid w:val="75881F07"/>
    <w:rsid w:val="7589588F"/>
    <w:rsid w:val="758C3343"/>
    <w:rsid w:val="758DA2B3"/>
    <w:rsid w:val="758E49E8"/>
    <w:rsid w:val="758E595C"/>
    <w:rsid w:val="758E761E"/>
    <w:rsid w:val="758EF740"/>
    <w:rsid w:val="75903804"/>
    <w:rsid w:val="7591AAB3"/>
    <w:rsid w:val="7592278A"/>
    <w:rsid w:val="75926FED"/>
    <w:rsid w:val="7592C3AB"/>
    <w:rsid w:val="7598C3C2"/>
    <w:rsid w:val="759A65ED"/>
    <w:rsid w:val="759ACBD9"/>
    <w:rsid w:val="759B03A0"/>
    <w:rsid w:val="759B4EC5"/>
    <w:rsid w:val="759B6565"/>
    <w:rsid w:val="759D333D"/>
    <w:rsid w:val="759D6EA0"/>
    <w:rsid w:val="759E1095"/>
    <w:rsid w:val="75A0159A"/>
    <w:rsid w:val="75A23D48"/>
    <w:rsid w:val="75A30D57"/>
    <w:rsid w:val="75A46F00"/>
    <w:rsid w:val="75A72230"/>
    <w:rsid w:val="75A73ACC"/>
    <w:rsid w:val="75A84CAF"/>
    <w:rsid w:val="75AC20C5"/>
    <w:rsid w:val="75AC5B33"/>
    <w:rsid w:val="75AD0F3B"/>
    <w:rsid w:val="75AD9306"/>
    <w:rsid w:val="75AD9F3D"/>
    <w:rsid w:val="75AE3BEB"/>
    <w:rsid w:val="75AEAE4C"/>
    <w:rsid w:val="75AFBDAF"/>
    <w:rsid w:val="75B04084"/>
    <w:rsid w:val="75B107F0"/>
    <w:rsid w:val="75B24EF1"/>
    <w:rsid w:val="75B31FD0"/>
    <w:rsid w:val="75B36D94"/>
    <w:rsid w:val="75B4AA90"/>
    <w:rsid w:val="75B879AC"/>
    <w:rsid w:val="75B8F7D4"/>
    <w:rsid w:val="75BA9BD3"/>
    <w:rsid w:val="75BE3844"/>
    <w:rsid w:val="75BF5B1C"/>
    <w:rsid w:val="75C24204"/>
    <w:rsid w:val="75C3B217"/>
    <w:rsid w:val="75C599DD"/>
    <w:rsid w:val="75C5BB8C"/>
    <w:rsid w:val="75C929D7"/>
    <w:rsid w:val="75CB9BDA"/>
    <w:rsid w:val="75CBC1E0"/>
    <w:rsid w:val="75CD0B1B"/>
    <w:rsid w:val="75CEAFB7"/>
    <w:rsid w:val="75CF2FA4"/>
    <w:rsid w:val="75D07CBB"/>
    <w:rsid w:val="75D2932F"/>
    <w:rsid w:val="75D598EB"/>
    <w:rsid w:val="75D5EF0F"/>
    <w:rsid w:val="75D63D84"/>
    <w:rsid w:val="75D6B214"/>
    <w:rsid w:val="75D73AD2"/>
    <w:rsid w:val="75D7AA90"/>
    <w:rsid w:val="75D92FBA"/>
    <w:rsid w:val="75D99DF0"/>
    <w:rsid w:val="75DA5044"/>
    <w:rsid w:val="75DACEC4"/>
    <w:rsid w:val="75DBE9D9"/>
    <w:rsid w:val="75E8DE79"/>
    <w:rsid w:val="75E96BC8"/>
    <w:rsid w:val="75EA3A43"/>
    <w:rsid w:val="75EA514C"/>
    <w:rsid w:val="75EA94CB"/>
    <w:rsid w:val="75EBB601"/>
    <w:rsid w:val="75EC1641"/>
    <w:rsid w:val="75F1E2CE"/>
    <w:rsid w:val="75F24E8A"/>
    <w:rsid w:val="75F25793"/>
    <w:rsid w:val="75F27569"/>
    <w:rsid w:val="75F2A1E9"/>
    <w:rsid w:val="75F366DD"/>
    <w:rsid w:val="75F47839"/>
    <w:rsid w:val="75F5193A"/>
    <w:rsid w:val="75F69006"/>
    <w:rsid w:val="75F8C1A5"/>
    <w:rsid w:val="75F8FCCB"/>
    <w:rsid w:val="75FB4042"/>
    <w:rsid w:val="75FC7C40"/>
    <w:rsid w:val="75FE1CFC"/>
    <w:rsid w:val="7601397F"/>
    <w:rsid w:val="76056DA6"/>
    <w:rsid w:val="76065C85"/>
    <w:rsid w:val="76070150"/>
    <w:rsid w:val="7607458A"/>
    <w:rsid w:val="760B8F38"/>
    <w:rsid w:val="760D543C"/>
    <w:rsid w:val="760DE5E2"/>
    <w:rsid w:val="7610DD29"/>
    <w:rsid w:val="76111EDE"/>
    <w:rsid w:val="7615442B"/>
    <w:rsid w:val="761867B4"/>
    <w:rsid w:val="7618C1B6"/>
    <w:rsid w:val="7619C7DA"/>
    <w:rsid w:val="761D3B50"/>
    <w:rsid w:val="761D438F"/>
    <w:rsid w:val="762065EE"/>
    <w:rsid w:val="76209F50"/>
    <w:rsid w:val="76252211"/>
    <w:rsid w:val="762733EB"/>
    <w:rsid w:val="7629EC6B"/>
    <w:rsid w:val="762A0652"/>
    <w:rsid w:val="762A315B"/>
    <w:rsid w:val="762CF524"/>
    <w:rsid w:val="762DEAA9"/>
    <w:rsid w:val="762F432A"/>
    <w:rsid w:val="76315BA5"/>
    <w:rsid w:val="76323CD1"/>
    <w:rsid w:val="7633C5D1"/>
    <w:rsid w:val="7634E0FF"/>
    <w:rsid w:val="7636E69E"/>
    <w:rsid w:val="763A454A"/>
    <w:rsid w:val="763A71D3"/>
    <w:rsid w:val="763B0054"/>
    <w:rsid w:val="763CE66B"/>
    <w:rsid w:val="763F5CE0"/>
    <w:rsid w:val="764019A4"/>
    <w:rsid w:val="7640C9BD"/>
    <w:rsid w:val="7641404E"/>
    <w:rsid w:val="7642D03E"/>
    <w:rsid w:val="76433987"/>
    <w:rsid w:val="7644B32D"/>
    <w:rsid w:val="7645FBFA"/>
    <w:rsid w:val="76467925"/>
    <w:rsid w:val="764A094C"/>
    <w:rsid w:val="764C32EC"/>
    <w:rsid w:val="7650DB61"/>
    <w:rsid w:val="7651156B"/>
    <w:rsid w:val="76535824"/>
    <w:rsid w:val="7653D3F5"/>
    <w:rsid w:val="7653E103"/>
    <w:rsid w:val="7653F556"/>
    <w:rsid w:val="7654C7DC"/>
    <w:rsid w:val="7659CD3C"/>
    <w:rsid w:val="765A6387"/>
    <w:rsid w:val="765AE53F"/>
    <w:rsid w:val="765AEAC4"/>
    <w:rsid w:val="765CB375"/>
    <w:rsid w:val="765D1134"/>
    <w:rsid w:val="765DBDF4"/>
    <w:rsid w:val="765E3AA9"/>
    <w:rsid w:val="765F591D"/>
    <w:rsid w:val="766075AB"/>
    <w:rsid w:val="7660D00F"/>
    <w:rsid w:val="766102BA"/>
    <w:rsid w:val="7662BEF5"/>
    <w:rsid w:val="76631F19"/>
    <w:rsid w:val="7663E925"/>
    <w:rsid w:val="7665B352"/>
    <w:rsid w:val="766772B2"/>
    <w:rsid w:val="7669A4F1"/>
    <w:rsid w:val="766A128F"/>
    <w:rsid w:val="766AB657"/>
    <w:rsid w:val="766B3046"/>
    <w:rsid w:val="766B87DF"/>
    <w:rsid w:val="766BCEE5"/>
    <w:rsid w:val="766C1281"/>
    <w:rsid w:val="766D58D3"/>
    <w:rsid w:val="766DD6DF"/>
    <w:rsid w:val="766E3E44"/>
    <w:rsid w:val="766FD3F7"/>
    <w:rsid w:val="7670680D"/>
    <w:rsid w:val="7672C9AE"/>
    <w:rsid w:val="7672D3BE"/>
    <w:rsid w:val="7675ED5A"/>
    <w:rsid w:val="76787A0C"/>
    <w:rsid w:val="76787BF8"/>
    <w:rsid w:val="767883CD"/>
    <w:rsid w:val="767915EA"/>
    <w:rsid w:val="7679FA4E"/>
    <w:rsid w:val="767CBC44"/>
    <w:rsid w:val="767FDA7C"/>
    <w:rsid w:val="7680E0A3"/>
    <w:rsid w:val="7681640B"/>
    <w:rsid w:val="7681BDC9"/>
    <w:rsid w:val="76831F05"/>
    <w:rsid w:val="768428D4"/>
    <w:rsid w:val="7684A85A"/>
    <w:rsid w:val="76850A61"/>
    <w:rsid w:val="76853893"/>
    <w:rsid w:val="768861B0"/>
    <w:rsid w:val="7688DB5D"/>
    <w:rsid w:val="76891E7D"/>
    <w:rsid w:val="768AB7ED"/>
    <w:rsid w:val="768C7146"/>
    <w:rsid w:val="768CEFE1"/>
    <w:rsid w:val="768D0368"/>
    <w:rsid w:val="768F0E41"/>
    <w:rsid w:val="7690B896"/>
    <w:rsid w:val="7690F970"/>
    <w:rsid w:val="7692C10D"/>
    <w:rsid w:val="76934A69"/>
    <w:rsid w:val="7693C0D9"/>
    <w:rsid w:val="76944423"/>
    <w:rsid w:val="769815FA"/>
    <w:rsid w:val="7698700E"/>
    <w:rsid w:val="769AE8E1"/>
    <w:rsid w:val="769BA1EA"/>
    <w:rsid w:val="769E35A0"/>
    <w:rsid w:val="769ED3A0"/>
    <w:rsid w:val="76A242B3"/>
    <w:rsid w:val="76A33387"/>
    <w:rsid w:val="76A350A6"/>
    <w:rsid w:val="76A86031"/>
    <w:rsid w:val="76AB2FC4"/>
    <w:rsid w:val="76AB68E1"/>
    <w:rsid w:val="76AC0783"/>
    <w:rsid w:val="76AC2132"/>
    <w:rsid w:val="76AC644A"/>
    <w:rsid w:val="76B2FA15"/>
    <w:rsid w:val="76B40A31"/>
    <w:rsid w:val="76B45162"/>
    <w:rsid w:val="76B4C856"/>
    <w:rsid w:val="76B7CA64"/>
    <w:rsid w:val="76B876DC"/>
    <w:rsid w:val="76B9C044"/>
    <w:rsid w:val="76BBDA6A"/>
    <w:rsid w:val="76BD1626"/>
    <w:rsid w:val="76BF6ED4"/>
    <w:rsid w:val="76BFA0F3"/>
    <w:rsid w:val="76BFB799"/>
    <w:rsid w:val="76C06A2C"/>
    <w:rsid w:val="76C111AE"/>
    <w:rsid w:val="76C13C67"/>
    <w:rsid w:val="76C16230"/>
    <w:rsid w:val="76C28926"/>
    <w:rsid w:val="76C36046"/>
    <w:rsid w:val="76C521CA"/>
    <w:rsid w:val="76C52DED"/>
    <w:rsid w:val="76C550FD"/>
    <w:rsid w:val="76C88B36"/>
    <w:rsid w:val="76CA9B7D"/>
    <w:rsid w:val="76CB1751"/>
    <w:rsid w:val="76CEB548"/>
    <w:rsid w:val="76D46CE7"/>
    <w:rsid w:val="76D470E5"/>
    <w:rsid w:val="76D4D131"/>
    <w:rsid w:val="76D4D907"/>
    <w:rsid w:val="76D4F22C"/>
    <w:rsid w:val="76D69673"/>
    <w:rsid w:val="76D756EC"/>
    <w:rsid w:val="76D81A5B"/>
    <w:rsid w:val="76DA9E76"/>
    <w:rsid w:val="76DAFEDB"/>
    <w:rsid w:val="76DB34C0"/>
    <w:rsid w:val="76DB54F6"/>
    <w:rsid w:val="76DEAE01"/>
    <w:rsid w:val="76DF5ED1"/>
    <w:rsid w:val="76E0CD02"/>
    <w:rsid w:val="76E24A77"/>
    <w:rsid w:val="76E2A0F4"/>
    <w:rsid w:val="76E4FF5C"/>
    <w:rsid w:val="76E57E23"/>
    <w:rsid w:val="76E5CBC9"/>
    <w:rsid w:val="76E70C61"/>
    <w:rsid w:val="76E83E59"/>
    <w:rsid w:val="76E92BA7"/>
    <w:rsid w:val="76EB05F5"/>
    <w:rsid w:val="76EB20AA"/>
    <w:rsid w:val="76EB61D9"/>
    <w:rsid w:val="76EB812C"/>
    <w:rsid w:val="76EC782A"/>
    <w:rsid w:val="76EC90D3"/>
    <w:rsid w:val="76ED4BB3"/>
    <w:rsid w:val="76EE993B"/>
    <w:rsid w:val="76EF4200"/>
    <w:rsid w:val="76EFCEA9"/>
    <w:rsid w:val="76F09BD7"/>
    <w:rsid w:val="76F0D477"/>
    <w:rsid w:val="76F2424B"/>
    <w:rsid w:val="76F2CD44"/>
    <w:rsid w:val="76F3F037"/>
    <w:rsid w:val="76F702DA"/>
    <w:rsid w:val="76F7768B"/>
    <w:rsid w:val="76F85F40"/>
    <w:rsid w:val="76F9B956"/>
    <w:rsid w:val="76FC818C"/>
    <w:rsid w:val="76FC825F"/>
    <w:rsid w:val="76FCAE33"/>
    <w:rsid w:val="76FD4FFA"/>
    <w:rsid w:val="76FDB2C6"/>
    <w:rsid w:val="76FE7379"/>
    <w:rsid w:val="76FF4D9B"/>
    <w:rsid w:val="7700EC6A"/>
    <w:rsid w:val="7701A9F0"/>
    <w:rsid w:val="7702BCC9"/>
    <w:rsid w:val="7702E3CE"/>
    <w:rsid w:val="77054219"/>
    <w:rsid w:val="77054FBE"/>
    <w:rsid w:val="7706B056"/>
    <w:rsid w:val="7707B72D"/>
    <w:rsid w:val="77089600"/>
    <w:rsid w:val="770A373C"/>
    <w:rsid w:val="770A9DD5"/>
    <w:rsid w:val="770C25DB"/>
    <w:rsid w:val="770CAF9A"/>
    <w:rsid w:val="770E07E4"/>
    <w:rsid w:val="770E3E8F"/>
    <w:rsid w:val="770E79DD"/>
    <w:rsid w:val="770EC15B"/>
    <w:rsid w:val="770ECA90"/>
    <w:rsid w:val="770F34D0"/>
    <w:rsid w:val="770F6EA1"/>
    <w:rsid w:val="7711C287"/>
    <w:rsid w:val="7718B2A6"/>
    <w:rsid w:val="771A920D"/>
    <w:rsid w:val="771B4CC6"/>
    <w:rsid w:val="771B523C"/>
    <w:rsid w:val="771BD6B8"/>
    <w:rsid w:val="771CEE13"/>
    <w:rsid w:val="772274CE"/>
    <w:rsid w:val="7723A58A"/>
    <w:rsid w:val="7726C1DF"/>
    <w:rsid w:val="7726D734"/>
    <w:rsid w:val="772776F4"/>
    <w:rsid w:val="77287DA1"/>
    <w:rsid w:val="772913F3"/>
    <w:rsid w:val="772BBB7E"/>
    <w:rsid w:val="772E4924"/>
    <w:rsid w:val="77303AAD"/>
    <w:rsid w:val="7731E957"/>
    <w:rsid w:val="7732411A"/>
    <w:rsid w:val="7732FB53"/>
    <w:rsid w:val="77331794"/>
    <w:rsid w:val="77361C75"/>
    <w:rsid w:val="7737DE2A"/>
    <w:rsid w:val="7739137C"/>
    <w:rsid w:val="77399CC3"/>
    <w:rsid w:val="773A1DF4"/>
    <w:rsid w:val="773C7B1E"/>
    <w:rsid w:val="773D16F0"/>
    <w:rsid w:val="773D31CA"/>
    <w:rsid w:val="773F75E6"/>
    <w:rsid w:val="77415325"/>
    <w:rsid w:val="7743FE65"/>
    <w:rsid w:val="7745EB50"/>
    <w:rsid w:val="77482B94"/>
    <w:rsid w:val="774A96C7"/>
    <w:rsid w:val="774D8264"/>
    <w:rsid w:val="77504CBF"/>
    <w:rsid w:val="77517FE9"/>
    <w:rsid w:val="77544F5A"/>
    <w:rsid w:val="7755B9CE"/>
    <w:rsid w:val="7757ED5A"/>
    <w:rsid w:val="7759FA76"/>
    <w:rsid w:val="775A9C37"/>
    <w:rsid w:val="775B212A"/>
    <w:rsid w:val="775B9EA3"/>
    <w:rsid w:val="775E3CAE"/>
    <w:rsid w:val="775ED995"/>
    <w:rsid w:val="77651244"/>
    <w:rsid w:val="7765AED4"/>
    <w:rsid w:val="776A0E35"/>
    <w:rsid w:val="776A0EF6"/>
    <w:rsid w:val="776A8211"/>
    <w:rsid w:val="776B0B15"/>
    <w:rsid w:val="776B72B6"/>
    <w:rsid w:val="776BD87E"/>
    <w:rsid w:val="776D9BD4"/>
    <w:rsid w:val="776E6739"/>
    <w:rsid w:val="777007A5"/>
    <w:rsid w:val="77705433"/>
    <w:rsid w:val="7770D8C3"/>
    <w:rsid w:val="7772EEE0"/>
    <w:rsid w:val="7772F666"/>
    <w:rsid w:val="77747023"/>
    <w:rsid w:val="77757659"/>
    <w:rsid w:val="77769DEF"/>
    <w:rsid w:val="77790D3E"/>
    <w:rsid w:val="777A0283"/>
    <w:rsid w:val="777ADBFE"/>
    <w:rsid w:val="777B640E"/>
    <w:rsid w:val="777DBC5F"/>
    <w:rsid w:val="7780C5BA"/>
    <w:rsid w:val="77814953"/>
    <w:rsid w:val="778224EC"/>
    <w:rsid w:val="778388D7"/>
    <w:rsid w:val="778392C2"/>
    <w:rsid w:val="7784C3C4"/>
    <w:rsid w:val="77885159"/>
    <w:rsid w:val="7788961C"/>
    <w:rsid w:val="7789BD77"/>
    <w:rsid w:val="778A5E08"/>
    <w:rsid w:val="778B725F"/>
    <w:rsid w:val="778E93A6"/>
    <w:rsid w:val="778EA155"/>
    <w:rsid w:val="779035D2"/>
    <w:rsid w:val="7790765C"/>
    <w:rsid w:val="7790E6B9"/>
    <w:rsid w:val="7791723A"/>
    <w:rsid w:val="7791B215"/>
    <w:rsid w:val="7793A09A"/>
    <w:rsid w:val="77945C6E"/>
    <w:rsid w:val="7794C66A"/>
    <w:rsid w:val="7798181D"/>
    <w:rsid w:val="7798404E"/>
    <w:rsid w:val="7798C55C"/>
    <w:rsid w:val="779B7713"/>
    <w:rsid w:val="779C694D"/>
    <w:rsid w:val="779F2635"/>
    <w:rsid w:val="779FCE72"/>
    <w:rsid w:val="77A3896F"/>
    <w:rsid w:val="77A58F83"/>
    <w:rsid w:val="77A5FF9B"/>
    <w:rsid w:val="77A621A5"/>
    <w:rsid w:val="77A6CB90"/>
    <w:rsid w:val="77A8910B"/>
    <w:rsid w:val="77AAF409"/>
    <w:rsid w:val="77AAF599"/>
    <w:rsid w:val="77AB4B4F"/>
    <w:rsid w:val="77ABF373"/>
    <w:rsid w:val="77AC0808"/>
    <w:rsid w:val="77AD39A1"/>
    <w:rsid w:val="77AD97BF"/>
    <w:rsid w:val="77AEA1E0"/>
    <w:rsid w:val="77AFCE18"/>
    <w:rsid w:val="77AFD4FC"/>
    <w:rsid w:val="77B0CA1B"/>
    <w:rsid w:val="77B1BEA8"/>
    <w:rsid w:val="77B361E1"/>
    <w:rsid w:val="77B4030F"/>
    <w:rsid w:val="77B9386C"/>
    <w:rsid w:val="77BBBE1E"/>
    <w:rsid w:val="77BE48FC"/>
    <w:rsid w:val="77C01460"/>
    <w:rsid w:val="77C0691C"/>
    <w:rsid w:val="77C2F99E"/>
    <w:rsid w:val="77C367EA"/>
    <w:rsid w:val="77C3A652"/>
    <w:rsid w:val="77C3EC53"/>
    <w:rsid w:val="77C3F751"/>
    <w:rsid w:val="77C49198"/>
    <w:rsid w:val="77C4942C"/>
    <w:rsid w:val="77C7B046"/>
    <w:rsid w:val="77CC4C4D"/>
    <w:rsid w:val="77CCF7B9"/>
    <w:rsid w:val="77CD159B"/>
    <w:rsid w:val="77D1502B"/>
    <w:rsid w:val="77D266C6"/>
    <w:rsid w:val="77D29CA7"/>
    <w:rsid w:val="77D32E01"/>
    <w:rsid w:val="77D42174"/>
    <w:rsid w:val="77D4F37A"/>
    <w:rsid w:val="77DA5340"/>
    <w:rsid w:val="77DA54CE"/>
    <w:rsid w:val="77DB2488"/>
    <w:rsid w:val="77DCC18A"/>
    <w:rsid w:val="77DCDE99"/>
    <w:rsid w:val="77DFE0BE"/>
    <w:rsid w:val="77E2CCFB"/>
    <w:rsid w:val="77E35EA3"/>
    <w:rsid w:val="77E4B683"/>
    <w:rsid w:val="77E6520D"/>
    <w:rsid w:val="77E77AF0"/>
    <w:rsid w:val="77E92182"/>
    <w:rsid w:val="77EBEF97"/>
    <w:rsid w:val="77EFC290"/>
    <w:rsid w:val="77EFC534"/>
    <w:rsid w:val="77F16ABD"/>
    <w:rsid w:val="77F44E01"/>
    <w:rsid w:val="77F8C493"/>
    <w:rsid w:val="77FB2F1E"/>
    <w:rsid w:val="77FB3DC0"/>
    <w:rsid w:val="77FCA1B0"/>
    <w:rsid w:val="77FDC72B"/>
    <w:rsid w:val="77FEC488"/>
    <w:rsid w:val="78005199"/>
    <w:rsid w:val="78028CC8"/>
    <w:rsid w:val="7803281D"/>
    <w:rsid w:val="7803C828"/>
    <w:rsid w:val="78043EE6"/>
    <w:rsid w:val="780517F4"/>
    <w:rsid w:val="7805808A"/>
    <w:rsid w:val="780869B1"/>
    <w:rsid w:val="780A9E9E"/>
    <w:rsid w:val="780B8DC7"/>
    <w:rsid w:val="780B90B5"/>
    <w:rsid w:val="780BFE21"/>
    <w:rsid w:val="780C0518"/>
    <w:rsid w:val="780C38BF"/>
    <w:rsid w:val="780F1D6F"/>
    <w:rsid w:val="780F720F"/>
    <w:rsid w:val="781C6C57"/>
    <w:rsid w:val="781CFF99"/>
    <w:rsid w:val="781D075C"/>
    <w:rsid w:val="781E2956"/>
    <w:rsid w:val="781EB95C"/>
    <w:rsid w:val="7821D540"/>
    <w:rsid w:val="7823F293"/>
    <w:rsid w:val="78241E4A"/>
    <w:rsid w:val="78257B24"/>
    <w:rsid w:val="7825FEF3"/>
    <w:rsid w:val="78264167"/>
    <w:rsid w:val="78273F82"/>
    <w:rsid w:val="782852B7"/>
    <w:rsid w:val="7828C3D4"/>
    <w:rsid w:val="7828D40C"/>
    <w:rsid w:val="782B0AE0"/>
    <w:rsid w:val="782BD879"/>
    <w:rsid w:val="783073D2"/>
    <w:rsid w:val="78329E90"/>
    <w:rsid w:val="7832EB56"/>
    <w:rsid w:val="783597E5"/>
    <w:rsid w:val="783675F6"/>
    <w:rsid w:val="78373AB8"/>
    <w:rsid w:val="7837B3E7"/>
    <w:rsid w:val="7839758F"/>
    <w:rsid w:val="7839D822"/>
    <w:rsid w:val="783B33CE"/>
    <w:rsid w:val="783CB5A3"/>
    <w:rsid w:val="784087B9"/>
    <w:rsid w:val="78420D53"/>
    <w:rsid w:val="7847D669"/>
    <w:rsid w:val="78484F74"/>
    <w:rsid w:val="784946C2"/>
    <w:rsid w:val="7849E78D"/>
    <w:rsid w:val="784BF359"/>
    <w:rsid w:val="784D8A35"/>
    <w:rsid w:val="784F9200"/>
    <w:rsid w:val="785136BD"/>
    <w:rsid w:val="7851481C"/>
    <w:rsid w:val="7851B7AA"/>
    <w:rsid w:val="7852A9DD"/>
    <w:rsid w:val="78532779"/>
    <w:rsid w:val="78558EE6"/>
    <w:rsid w:val="7859F3B9"/>
    <w:rsid w:val="785AC151"/>
    <w:rsid w:val="785ADC91"/>
    <w:rsid w:val="785B2AEE"/>
    <w:rsid w:val="785C22B3"/>
    <w:rsid w:val="785E3C9E"/>
    <w:rsid w:val="785F0AD8"/>
    <w:rsid w:val="78601879"/>
    <w:rsid w:val="7861264A"/>
    <w:rsid w:val="786248E6"/>
    <w:rsid w:val="7863C182"/>
    <w:rsid w:val="78643081"/>
    <w:rsid w:val="7867091E"/>
    <w:rsid w:val="7867D5F4"/>
    <w:rsid w:val="786AA520"/>
    <w:rsid w:val="786B3E8F"/>
    <w:rsid w:val="786BA2B7"/>
    <w:rsid w:val="786EFBE4"/>
    <w:rsid w:val="7870037C"/>
    <w:rsid w:val="78704A38"/>
    <w:rsid w:val="78727270"/>
    <w:rsid w:val="78733BA5"/>
    <w:rsid w:val="7875AF6A"/>
    <w:rsid w:val="78765844"/>
    <w:rsid w:val="78777691"/>
    <w:rsid w:val="78779057"/>
    <w:rsid w:val="7877C970"/>
    <w:rsid w:val="7879B312"/>
    <w:rsid w:val="787E1A7A"/>
    <w:rsid w:val="787FC611"/>
    <w:rsid w:val="7881341C"/>
    <w:rsid w:val="7881517F"/>
    <w:rsid w:val="7883DFD9"/>
    <w:rsid w:val="78844A3B"/>
    <w:rsid w:val="7884BC54"/>
    <w:rsid w:val="78878B81"/>
    <w:rsid w:val="7888E93C"/>
    <w:rsid w:val="78898605"/>
    <w:rsid w:val="7889E1B1"/>
    <w:rsid w:val="788ABBFA"/>
    <w:rsid w:val="788BA168"/>
    <w:rsid w:val="788CDC85"/>
    <w:rsid w:val="788D4526"/>
    <w:rsid w:val="788E25A4"/>
    <w:rsid w:val="788F306B"/>
    <w:rsid w:val="788F5868"/>
    <w:rsid w:val="788F7838"/>
    <w:rsid w:val="7890FEDC"/>
    <w:rsid w:val="789109FC"/>
    <w:rsid w:val="78915C30"/>
    <w:rsid w:val="78916E77"/>
    <w:rsid w:val="7891B648"/>
    <w:rsid w:val="7897843C"/>
    <w:rsid w:val="78984CBE"/>
    <w:rsid w:val="7898E4EF"/>
    <w:rsid w:val="789A14AB"/>
    <w:rsid w:val="789A7691"/>
    <w:rsid w:val="789B8623"/>
    <w:rsid w:val="789D1D91"/>
    <w:rsid w:val="789DB0DF"/>
    <w:rsid w:val="789E6B66"/>
    <w:rsid w:val="78A33EE8"/>
    <w:rsid w:val="78A6B197"/>
    <w:rsid w:val="78A71DD3"/>
    <w:rsid w:val="78A8D446"/>
    <w:rsid w:val="78AA2B7D"/>
    <w:rsid w:val="78ABEF87"/>
    <w:rsid w:val="78AC6029"/>
    <w:rsid w:val="78AE3878"/>
    <w:rsid w:val="78AE4D81"/>
    <w:rsid w:val="78AFDB60"/>
    <w:rsid w:val="78B38C41"/>
    <w:rsid w:val="78B69BCE"/>
    <w:rsid w:val="78B9CBBC"/>
    <w:rsid w:val="78BCA853"/>
    <w:rsid w:val="78BEABD2"/>
    <w:rsid w:val="78BEED03"/>
    <w:rsid w:val="78C136B1"/>
    <w:rsid w:val="78C1E8BB"/>
    <w:rsid w:val="78C5C406"/>
    <w:rsid w:val="78C5FC81"/>
    <w:rsid w:val="78C78516"/>
    <w:rsid w:val="78C835DD"/>
    <w:rsid w:val="78C8DE85"/>
    <w:rsid w:val="78CA1161"/>
    <w:rsid w:val="78CB8558"/>
    <w:rsid w:val="78CBB0CB"/>
    <w:rsid w:val="78CBD14C"/>
    <w:rsid w:val="78CE2A2A"/>
    <w:rsid w:val="78CE7ADA"/>
    <w:rsid w:val="78CEBF0B"/>
    <w:rsid w:val="78CF4A63"/>
    <w:rsid w:val="78D159D5"/>
    <w:rsid w:val="78D23B42"/>
    <w:rsid w:val="78D265A4"/>
    <w:rsid w:val="78D3012F"/>
    <w:rsid w:val="78D301F5"/>
    <w:rsid w:val="78D42F18"/>
    <w:rsid w:val="78D4E4D7"/>
    <w:rsid w:val="78D5CB3B"/>
    <w:rsid w:val="78D6C899"/>
    <w:rsid w:val="78D8F939"/>
    <w:rsid w:val="78D93D9D"/>
    <w:rsid w:val="78DB54FB"/>
    <w:rsid w:val="78DCAA4A"/>
    <w:rsid w:val="78DCD69D"/>
    <w:rsid w:val="78DCF9B1"/>
    <w:rsid w:val="78DD3695"/>
    <w:rsid w:val="78DE00C8"/>
    <w:rsid w:val="78DEADFF"/>
    <w:rsid w:val="78DEBAD3"/>
    <w:rsid w:val="78DF27F4"/>
    <w:rsid w:val="78DF7945"/>
    <w:rsid w:val="78E1BA64"/>
    <w:rsid w:val="78E8E3EF"/>
    <w:rsid w:val="78E941C5"/>
    <w:rsid w:val="78E9755A"/>
    <w:rsid w:val="78EC49BA"/>
    <w:rsid w:val="78EC8C7E"/>
    <w:rsid w:val="78ED7E20"/>
    <w:rsid w:val="78EED586"/>
    <w:rsid w:val="78EF4D41"/>
    <w:rsid w:val="78EFF208"/>
    <w:rsid w:val="78F05A33"/>
    <w:rsid w:val="78F16D0B"/>
    <w:rsid w:val="78F3FB5A"/>
    <w:rsid w:val="78F40A61"/>
    <w:rsid w:val="78F60D75"/>
    <w:rsid w:val="78F62FB9"/>
    <w:rsid w:val="78F7BB2B"/>
    <w:rsid w:val="78F86588"/>
    <w:rsid w:val="78FB078C"/>
    <w:rsid w:val="78FB8434"/>
    <w:rsid w:val="78FD111B"/>
    <w:rsid w:val="78FF375A"/>
    <w:rsid w:val="78FFF19B"/>
    <w:rsid w:val="790078C7"/>
    <w:rsid w:val="7900A6F7"/>
    <w:rsid w:val="79013A56"/>
    <w:rsid w:val="7901908D"/>
    <w:rsid w:val="79049CE8"/>
    <w:rsid w:val="7904A97B"/>
    <w:rsid w:val="7905DD05"/>
    <w:rsid w:val="7905F6BB"/>
    <w:rsid w:val="79064A0C"/>
    <w:rsid w:val="79095098"/>
    <w:rsid w:val="790B04A1"/>
    <w:rsid w:val="790C40FA"/>
    <w:rsid w:val="790E3355"/>
    <w:rsid w:val="790EEAF8"/>
    <w:rsid w:val="790F2DA3"/>
    <w:rsid w:val="790FBA91"/>
    <w:rsid w:val="790FDA61"/>
    <w:rsid w:val="791238AA"/>
    <w:rsid w:val="7912B57F"/>
    <w:rsid w:val="7912DDC0"/>
    <w:rsid w:val="7912EE50"/>
    <w:rsid w:val="79130704"/>
    <w:rsid w:val="79134156"/>
    <w:rsid w:val="79136F11"/>
    <w:rsid w:val="79170A6A"/>
    <w:rsid w:val="791A0050"/>
    <w:rsid w:val="791A6423"/>
    <w:rsid w:val="791E53BD"/>
    <w:rsid w:val="791EF5BC"/>
    <w:rsid w:val="79205682"/>
    <w:rsid w:val="79205CFD"/>
    <w:rsid w:val="7922253D"/>
    <w:rsid w:val="79257455"/>
    <w:rsid w:val="7925ABED"/>
    <w:rsid w:val="7927FC21"/>
    <w:rsid w:val="792879A6"/>
    <w:rsid w:val="792A45E6"/>
    <w:rsid w:val="792C6339"/>
    <w:rsid w:val="792CA1A1"/>
    <w:rsid w:val="792ED80A"/>
    <w:rsid w:val="79314D91"/>
    <w:rsid w:val="79321EBC"/>
    <w:rsid w:val="7933FE8B"/>
    <w:rsid w:val="793410AF"/>
    <w:rsid w:val="793549AF"/>
    <w:rsid w:val="7935D64B"/>
    <w:rsid w:val="7936D4CD"/>
    <w:rsid w:val="79375E7B"/>
    <w:rsid w:val="793CC147"/>
    <w:rsid w:val="793D6D83"/>
    <w:rsid w:val="793F323D"/>
    <w:rsid w:val="7940FB3F"/>
    <w:rsid w:val="7946B28A"/>
    <w:rsid w:val="79488CA3"/>
    <w:rsid w:val="794A89B3"/>
    <w:rsid w:val="794B893F"/>
    <w:rsid w:val="794BB3FD"/>
    <w:rsid w:val="794D7520"/>
    <w:rsid w:val="794EAA32"/>
    <w:rsid w:val="794ECB9D"/>
    <w:rsid w:val="79508D2A"/>
    <w:rsid w:val="7950E739"/>
    <w:rsid w:val="79533A8F"/>
    <w:rsid w:val="79534129"/>
    <w:rsid w:val="79534E8C"/>
    <w:rsid w:val="795395F4"/>
    <w:rsid w:val="7953D531"/>
    <w:rsid w:val="79557028"/>
    <w:rsid w:val="7955D708"/>
    <w:rsid w:val="79584012"/>
    <w:rsid w:val="795A5793"/>
    <w:rsid w:val="795A8CB0"/>
    <w:rsid w:val="795ABB05"/>
    <w:rsid w:val="795B4029"/>
    <w:rsid w:val="795F92A9"/>
    <w:rsid w:val="795FFC60"/>
    <w:rsid w:val="79608AE3"/>
    <w:rsid w:val="79614D05"/>
    <w:rsid w:val="79623140"/>
    <w:rsid w:val="7962ED4C"/>
    <w:rsid w:val="7964701F"/>
    <w:rsid w:val="79654AD5"/>
    <w:rsid w:val="79677586"/>
    <w:rsid w:val="79678846"/>
    <w:rsid w:val="7967D438"/>
    <w:rsid w:val="796A64F0"/>
    <w:rsid w:val="796B6148"/>
    <w:rsid w:val="796DB03D"/>
    <w:rsid w:val="796DE36C"/>
    <w:rsid w:val="796EE3E5"/>
    <w:rsid w:val="79713C82"/>
    <w:rsid w:val="79726ABA"/>
    <w:rsid w:val="79731526"/>
    <w:rsid w:val="797506BF"/>
    <w:rsid w:val="797532FE"/>
    <w:rsid w:val="7975EF49"/>
    <w:rsid w:val="7976AA71"/>
    <w:rsid w:val="797F9339"/>
    <w:rsid w:val="797FA621"/>
    <w:rsid w:val="7982B27A"/>
    <w:rsid w:val="7987BFF8"/>
    <w:rsid w:val="798807E8"/>
    <w:rsid w:val="79890F27"/>
    <w:rsid w:val="798A052D"/>
    <w:rsid w:val="798A21B2"/>
    <w:rsid w:val="798D0309"/>
    <w:rsid w:val="798E5615"/>
    <w:rsid w:val="7990117F"/>
    <w:rsid w:val="79905190"/>
    <w:rsid w:val="7991DBC1"/>
    <w:rsid w:val="799452B6"/>
    <w:rsid w:val="79963C87"/>
    <w:rsid w:val="79976C7D"/>
    <w:rsid w:val="799934FD"/>
    <w:rsid w:val="799C7E45"/>
    <w:rsid w:val="799D9E04"/>
    <w:rsid w:val="799DF844"/>
    <w:rsid w:val="799E3185"/>
    <w:rsid w:val="799F9CBC"/>
    <w:rsid w:val="799FA945"/>
    <w:rsid w:val="79A297C4"/>
    <w:rsid w:val="79A2AC49"/>
    <w:rsid w:val="79A4F3FE"/>
    <w:rsid w:val="79A51385"/>
    <w:rsid w:val="79A5F2D2"/>
    <w:rsid w:val="79A7AF48"/>
    <w:rsid w:val="79A7B24F"/>
    <w:rsid w:val="79A7C589"/>
    <w:rsid w:val="79A90B05"/>
    <w:rsid w:val="79ABE929"/>
    <w:rsid w:val="79ADB34C"/>
    <w:rsid w:val="79AEA9B9"/>
    <w:rsid w:val="79AEBDE9"/>
    <w:rsid w:val="79AF1BB5"/>
    <w:rsid w:val="79B1E8D4"/>
    <w:rsid w:val="79B2528D"/>
    <w:rsid w:val="79B36C91"/>
    <w:rsid w:val="79B39891"/>
    <w:rsid w:val="79B3E7A3"/>
    <w:rsid w:val="79B3F146"/>
    <w:rsid w:val="79B41104"/>
    <w:rsid w:val="79B45D06"/>
    <w:rsid w:val="79B58E3C"/>
    <w:rsid w:val="79B60011"/>
    <w:rsid w:val="79B67A5A"/>
    <w:rsid w:val="79B6C041"/>
    <w:rsid w:val="79B6CD0F"/>
    <w:rsid w:val="79B8A51D"/>
    <w:rsid w:val="79BAD80F"/>
    <w:rsid w:val="79BB8039"/>
    <w:rsid w:val="79BCF649"/>
    <w:rsid w:val="79BD053C"/>
    <w:rsid w:val="79BD28A0"/>
    <w:rsid w:val="79BDEEF0"/>
    <w:rsid w:val="79BE3D99"/>
    <w:rsid w:val="79C1A6CE"/>
    <w:rsid w:val="79C1BDA7"/>
    <w:rsid w:val="79C2038A"/>
    <w:rsid w:val="79C6EE0C"/>
    <w:rsid w:val="79CC5B05"/>
    <w:rsid w:val="79CCFA84"/>
    <w:rsid w:val="79CD66E7"/>
    <w:rsid w:val="79CF4CD3"/>
    <w:rsid w:val="79D3086A"/>
    <w:rsid w:val="79D375BA"/>
    <w:rsid w:val="79D7125C"/>
    <w:rsid w:val="79DAC309"/>
    <w:rsid w:val="79DCFCC8"/>
    <w:rsid w:val="79E17030"/>
    <w:rsid w:val="79E3DF23"/>
    <w:rsid w:val="79E423A3"/>
    <w:rsid w:val="79E43B07"/>
    <w:rsid w:val="79E553B3"/>
    <w:rsid w:val="79E60520"/>
    <w:rsid w:val="79E66B4C"/>
    <w:rsid w:val="79E71BA6"/>
    <w:rsid w:val="79E9255D"/>
    <w:rsid w:val="79E92B98"/>
    <w:rsid w:val="79E9A4C0"/>
    <w:rsid w:val="79EA9440"/>
    <w:rsid w:val="79EC81E7"/>
    <w:rsid w:val="79ECD344"/>
    <w:rsid w:val="79EDB9B0"/>
    <w:rsid w:val="79F0E042"/>
    <w:rsid w:val="79F1631E"/>
    <w:rsid w:val="79F2E531"/>
    <w:rsid w:val="79F5BBA6"/>
    <w:rsid w:val="79F6F2C4"/>
    <w:rsid w:val="79F78ACB"/>
    <w:rsid w:val="79F9889B"/>
    <w:rsid w:val="79F9DD60"/>
    <w:rsid w:val="79FB7E13"/>
    <w:rsid w:val="79FCCA14"/>
    <w:rsid w:val="79FE6E38"/>
    <w:rsid w:val="79FF3241"/>
    <w:rsid w:val="7A00DCEB"/>
    <w:rsid w:val="7A0157FD"/>
    <w:rsid w:val="7A036390"/>
    <w:rsid w:val="7A0419C7"/>
    <w:rsid w:val="7A069D44"/>
    <w:rsid w:val="7A083C1E"/>
    <w:rsid w:val="7A084DEF"/>
    <w:rsid w:val="7A08BFEB"/>
    <w:rsid w:val="7A0B6977"/>
    <w:rsid w:val="7A0CDDB2"/>
    <w:rsid w:val="7A0F5D75"/>
    <w:rsid w:val="7A1004E8"/>
    <w:rsid w:val="7A10896D"/>
    <w:rsid w:val="7A1246DB"/>
    <w:rsid w:val="7A129B1E"/>
    <w:rsid w:val="7A13C797"/>
    <w:rsid w:val="7A1432D8"/>
    <w:rsid w:val="7A1526E5"/>
    <w:rsid w:val="7A15D02D"/>
    <w:rsid w:val="7A16B407"/>
    <w:rsid w:val="7A170252"/>
    <w:rsid w:val="7A1B1697"/>
    <w:rsid w:val="7A1B9264"/>
    <w:rsid w:val="7A1BDC67"/>
    <w:rsid w:val="7A1C7858"/>
    <w:rsid w:val="7A1D41A6"/>
    <w:rsid w:val="7A1EA19F"/>
    <w:rsid w:val="7A1F2B9C"/>
    <w:rsid w:val="7A1F36E9"/>
    <w:rsid w:val="7A20118C"/>
    <w:rsid w:val="7A20AA9A"/>
    <w:rsid w:val="7A20D02E"/>
    <w:rsid w:val="7A27B80F"/>
    <w:rsid w:val="7A28E6FF"/>
    <w:rsid w:val="7A2983C7"/>
    <w:rsid w:val="7A2A290F"/>
    <w:rsid w:val="7A2A69F2"/>
    <w:rsid w:val="7A2B8394"/>
    <w:rsid w:val="7A2DF2A6"/>
    <w:rsid w:val="7A2EF658"/>
    <w:rsid w:val="7A2F417E"/>
    <w:rsid w:val="7A30B31E"/>
    <w:rsid w:val="7A34720F"/>
    <w:rsid w:val="7A34FF01"/>
    <w:rsid w:val="7A39C397"/>
    <w:rsid w:val="7A3B2217"/>
    <w:rsid w:val="7A3B351B"/>
    <w:rsid w:val="7A3E3F49"/>
    <w:rsid w:val="7A3FB077"/>
    <w:rsid w:val="7A41339D"/>
    <w:rsid w:val="7A416774"/>
    <w:rsid w:val="7A42FF45"/>
    <w:rsid w:val="7A4355F4"/>
    <w:rsid w:val="7A438683"/>
    <w:rsid w:val="7A465AA2"/>
    <w:rsid w:val="7A473932"/>
    <w:rsid w:val="7A4779B6"/>
    <w:rsid w:val="7A482D62"/>
    <w:rsid w:val="7A4A2610"/>
    <w:rsid w:val="7A4AE70E"/>
    <w:rsid w:val="7A4B91DD"/>
    <w:rsid w:val="7A4BBFF1"/>
    <w:rsid w:val="7A4C8C75"/>
    <w:rsid w:val="7A4EB743"/>
    <w:rsid w:val="7A4F8D18"/>
    <w:rsid w:val="7A50BAFE"/>
    <w:rsid w:val="7A5154E6"/>
    <w:rsid w:val="7A51EC95"/>
    <w:rsid w:val="7A545761"/>
    <w:rsid w:val="7A55A258"/>
    <w:rsid w:val="7A568AA2"/>
    <w:rsid w:val="7A58D4AA"/>
    <w:rsid w:val="7A5934A8"/>
    <w:rsid w:val="7A5AD3D2"/>
    <w:rsid w:val="7A5D88A8"/>
    <w:rsid w:val="7A5E6112"/>
    <w:rsid w:val="7A5EA23D"/>
    <w:rsid w:val="7A5F4839"/>
    <w:rsid w:val="7A6272F4"/>
    <w:rsid w:val="7A63C25A"/>
    <w:rsid w:val="7A63E998"/>
    <w:rsid w:val="7A653EFA"/>
    <w:rsid w:val="7A666CDE"/>
    <w:rsid w:val="7A6840AE"/>
    <w:rsid w:val="7A68438A"/>
    <w:rsid w:val="7A68BBDA"/>
    <w:rsid w:val="7A6B79F8"/>
    <w:rsid w:val="7A6CFE3C"/>
    <w:rsid w:val="7A6DEA5A"/>
    <w:rsid w:val="7A71CC99"/>
    <w:rsid w:val="7A728378"/>
    <w:rsid w:val="7A7378AE"/>
    <w:rsid w:val="7A7A6659"/>
    <w:rsid w:val="7A7F70DC"/>
    <w:rsid w:val="7A7FD4A1"/>
    <w:rsid w:val="7A80B5BE"/>
    <w:rsid w:val="7A82C801"/>
    <w:rsid w:val="7A8856CC"/>
    <w:rsid w:val="7A8ADE3B"/>
    <w:rsid w:val="7A8B0030"/>
    <w:rsid w:val="7A8CBDC2"/>
    <w:rsid w:val="7A8D79AD"/>
    <w:rsid w:val="7A8E3B83"/>
    <w:rsid w:val="7A8EE08C"/>
    <w:rsid w:val="7A8EEDA8"/>
    <w:rsid w:val="7A91B2B5"/>
    <w:rsid w:val="7A91F9DC"/>
    <w:rsid w:val="7A93F889"/>
    <w:rsid w:val="7A95A466"/>
    <w:rsid w:val="7A975A15"/>
    <w:rsid w:val="7A9803FB"/>
    <w:rsid w:val="7A985446"/>
    <w:rsid w:val="7A99727A"/>
    <w:rsid w:val="7A9AD3D5"/>
    <w:rsid w:val="7A9BA9C6"/>
    <w:rsid w:val="7A9FE950"/>
    <w:rsid w:val="7AA00B53"/>
    <w:rsid w:val="7AA0D7DC"/>
    <w:rsid w:val="7AA10B44"/>
    <w:rsid w:val="7AA19DC0"/>
    <w:rsid w:val="7AA38CC4"/>
    <w:rsid w:val="7AA41A85"/>
    <w:rsid w:val="7AA436AE"/>
    <w:rsid w:val="7AA5737B"/>
    <w:rsid w:val="7AA6C4C4"/>
    <w:rsid w:val="7AA78061"/>
    <w:rsid w:val="7AA87E04"/>
    <w:rsid w:val="7AA92147"/>
    <w:rsid w:val="7AAB2000"/>
    <w:rsid w:val="7AAC21BF"/>
    <w:rsid w:val="7AACA121"/>
    <w:rsid w:val="7AACF236"/>
    <w:rsid w:val="7AAE199F"/>
    <w:rsid w:val="7AAFDA61"/>
    <w:rsid w:val="7AB0320D"/>
    <w:rsid w:val="7AB0743C"/>
    <w:rsid w:val="7AB63628"/>
    <w:rsid w:val="7AB8DD9F"/>
    <w:rsid w:val="7AB917F4"/>
    <w:rsid w:val="7ABC655F"/>
    <w:rsid w:val="7ABE93E7"/>
    <w:rsid w:val="7ABFED2F"/>
    <w:rsid w:val="7ABFFDEC"/>
    <w:rsid w:val="7AC1CE5D"/>
    <w:rsid w:val="7AC2C5C2"/>
    <w:rsid w:val="7AC5193A"/>
    <w:rsid w:val="7AC61C7C"/>
    <w:rsid w:val="7AC6B2E4"/>
    <w:rsid w:val="7AC82B41"/>
    <w:rsid w:val="7ACB415C"/>
    <w:rsid w:val="7ACC6DEE"/>
    <w:rsid w:val="7ACCAA1B"/>
    <w:rsid w:val="7ACF5C03"/>
    <w:rsid w:val="7AD3554B"/>
    <w:rsid w:val="7AD65D57"/>
    <w:rsid w:val="7AD755FF"/>
    <w:rsid w:val="7AD93325"/>
    <w:rsid w:val="7ADBC704"/>
    <w:rsid w:val="7ADCA96C"/>
    <w:rsid w:val="7ADCABE6"/>
    <w:rsid w:val="7ADD0A62"/>
    <w:rsid w:val="7ADE77B1"/>
    <w:rsid w:val="7ADF470A"/>
    <w:rsid w:val="7ADF9ACE"/>
    <w:rsid w:val="7ADFDF7A"/>
    <w:rsid w:val="7AE8F10D"/>
    <w:rsid w:val="7AE92D9D"/>
    <w:rsid w:val="7AEA2E89"/>
    <w:rsid w:val="7AEF5945"/>
    <w:rsid w:val="7AEFA937"/>
    <w:rsid w:val="7AF0073F"/>
    <w:rsid w:val="7AF10480"/>
    <w:rsid w:val="7AF19BE6"/>
    <w:rsid w:val="7AF304D1"/>
    <w:rsid w:val="7AF45B4A"/>
    <w:rsid w:val="7AF53DC9"/>
    <w:rsid w:val="7AF626A9"/>
    <w:rsid w:val="7AF65D11"/>
    <w:rsid w:val="7AF6AC31"/>
    <w:rsid w:val="7AF7D517"/>
    <w:rsid w:val="7AFA09DD"/>
    <w:rsid w:val="7AFA1388"/>
    <w:rsid w:val="7AFBAFBF"/>
    <w:rsid w:val="7AFC6A08"/>
    <w:rsid w:val="7AFD83E6"/>
    <w:rsid w:val="7AFE2635"/>
    <w:rsid w:val="7B002372"/>
    <w:rsid w:val="7B0296A6"/>
    <w:rsid w:val="7B0586C5"/>
    <w:rsid w:val="7B069DC8"/>
    <w:rsid w:val="7B06C4DF"/>
    <w:rsid w:val="7B093296"/>
    <w:rsid w:val="7B0950E5"/>
    <w:rsid w:val="7B098F62"/>
    <w:rsid w:val="7B0AAFF6"/>
    <w:rsid w:val="7B0B6CAD"/>
    <w:rsid w:val="7B0C39F1"/>
    <w:rsid w:val="7B0C9DE9"/>
    <w:rsid w:val="7B0CE40F"/>
    <w:rsid w:val="7B12BE50"/>
    <w:rsid w:val="7B13C040"/>
    <w:rsid w:val="7B13D4A1"/>
    <w:rsid w:val="7B14B35F"/>
    <w:rsid w:val="7B1710AF"/>
    <w:rsid w:val="7B192820"/>
    <w:rsid w:val="7B1B0E79"/>
    <w:rsid w:val="7B1B94A8"/>
    <w:rsid w:val="7B1C06D3"/>
    <w:rsid w:val="7B21A9BD"/>
    <w:rsid w:val="7B2394AF"/>
    <w:rsid w:val="7B24661C"/>
    <w:rsid w:val="7B249477"/>
    <w:rsid w:val="7B24989A"/>
    <w:rsid w:val="7B24D61B"/>
    <w:rsid w:val="7B26C9F6"/>
    <w:rsid w:val="7B28B6B7"/>
    <w:rsid w:val="7B290077"/>
    <w:rsid w:val="7B2A29F5"/>
    <w:rsid w:val="7B2D8B3C"/>
    <w:rsid w:val="7B2E840A"/>
    <w:rsid w:val="7B2FC622"/>
    <w:rsid w:val="7B3203BA"/>
    <w:rsid w:val="7B3279C5"/>
    <w:rsid w:val="7B33E14C"/>
    <w:rsid w:val="7B34A0C1"/>
    <w:rsid w:val="7B352E53"/>
    <w:rsid w:val="7B36E0F1"/>
    <w:rsid w:val="7B36E6EB"/>
    <w:rsid w:val="7B38077D"/>
    <w:rsid w:val="7B3980FD"/>
    <w:rsid w:val="7B3BE2E1"/>
    <w:rsid w:val="7B3E7CAA"/>
    <w:rsid w:val="7B3FC25A"/>
    <w:rsid w:val="7B41687B"/>
    <w:rsid w:val="7B425182"/>
    <w:rsid w:val="7B4439F4"/>
    <w:rsid w:val="7B455AA4"/>
    <w:rsid w:val="7B4786BC"/>
    <w:rsid w:val="7B488E93"/>
    <w:rsid w:val="7B48CB79"/>
    <w:rsid w:val="7B48CE62"/>
    <w:rsid w:val="7B49D367"/>
    <w:rsid w:val="7B4F463F"/>
    <w:rsid w:val="7B4FFC72"/>
    <w:rsid w:val="7B511D9C"/>
    <w:rsid w:val="7B538CD5"/>
    <w:rsid w:val="7B53BE44"/>
    <w:rsid w:val="7B54B372"/>
    <w:rsid w:val="7B569735"/>
    <w:rsid w:val="7B57E36F"/>
    <w:rsid w:val="7B5AC6E5"/>
    <w:rsid w:val="7B5BD2D3"/>
    <w:rsid w:val="7B60982A"/>
    <w:rsid w:val="7B610222"/>
    <w:rsid w:val="7B6383DC"/>
    <w:rsid w:val="7B63FEC0"/>
    <w:rsid w:val="7B64AAF0"/>
    <w:rsid w:val="7B65BF6E"/>
    <w:rsid w:val="7B686A61"/>
    <w:rsid w:val="7B689725"/>
    <w:rsid w:val="7B68A5F3"/>
    <w:rsid w:val="7B696E55"/>
    <w:rsid w:val="7B6C9374"/>
    <w:rsid w:val="7B6CF41F"/>
    <w:rsid w:val="7B72751D"/>
    <w:rsid w:val="7B72A246"/>
    <w:rsid w:val="7B72FC6A"/>
    <w:rsid w:val="7B73E3D8"/>
    <w:rsid w:val="7B744970"/>
    <w:rsid w:val="7B747567"/>
    <w:rsid w:val="7B74D77A"/>
    <w:rsid w:val="7B75ED71"/>
    <w:rsid w:val="7B76F394"/>
    <w:rsid w:val="7B790720"/>
    <w:rsid w:val="7B7A72ED"/>
    <w:rsid w:val="7B7A7547"/>
    <w:rsid w:val="7B7B8127"/>
    <w:rsid w:val="7B7CACFD"/>
    <w:rsid w:val="7B7EC57D"/>
    <w:rsid w:val="7B7F5807"/>
    <w:rsid w:val="7B7FE898"/>
    <w:rsid w:val="7B82AD04"/>
    <w:rsid w:val="7B86099E"/>
    <w:rsid w:val="7B87EB2F"/>
    <w:rsid w:val="7B8D14D5"/>
    <w:rsid w:val="7B8D56D0"/>
    <w:rsid w:val="7B8E111B"/>
    <w:rsid w:val="7B8F7932"/>
    <w:rsid w:val="7B8FE9BC"/>
    <w:rsid w:val="7B906EC9"/>
    <w:rsid w:val="7B912E16"/>
    <w:rsid w:val="7B92A113"/>
    <w:rsid w:val="7B933AD5"/>
    <w:rsid w:val="7B938FFE"/>
    <w:rsid w:val="7B9554D8"/>
    <w:rsid w:val="7B96066B"/>
    <w:rsid w:val="7B964309"/>
    <w:rsid w:val="7B97D631"/>
    <w:rsid w:val="7B97E812"/>
    <w:rsid w:val="7B9A6590"/>
    <w:rsid w:val="7B9C9C1F"/>
    <w:rsid w:val="7B9F0B5C"/>
    <w:rsid w:val="7BA5B4E7"/>
    <w:rsid w:val="7BA6DD42"/>
    <w:rsid w:val="7BA78EBA"/>
    <w:rsid w:val="7BAAF4A7"/>
    <w:rsid w:val="7BAB6F26"/>
    <w:rsid w:val="7BACC0D6"/>
    <w:rsid w:val="7BAD074B"/>
    <w:rsid w:val="7BAD1B12"/>
    <w:rsid w:val="7BAD8E14"/>
    <w:rsid w:val="7BAD99E7"/>
    <w:rsid w:val="7BAE0751"/>
    <w:rsid w:val="7BB3E08D"/>
    <w:rsid w:val="7BB5F03A"/>
    <w:rsid w:val="7BB6764E"/>
    <w:rsid w:val="7BB6DDB3"/>
    <w:rsid w:val="7BB78543"/>
    <w:rsid w:val="7BB88A69"/>
    <w:rsid w:val="7BB8EB4F"/>
    <w:rsid w:val="7BBC01C1"/>
    <w:rsid w:val="7BBC574A"/>
    <w:rsid w:val="7BBCD6C4"/>
    <w:rsid w:val="7BBD88FA"/>
    <w:rsid w:val="7BBE8509"/>
    <w:rsid w:val="7BBF0C1F"/>
    <w:rsid w:val="7BC0607D"/>
    <w:rsid w:val="7BC06D65"/>
    <w:rsid w:val="7BC0D794"/>
    <w:rsid w:val="7BC136A5"/>
    <w:rsid w:val="7BC26E04"/>
    <w:rsid w:val="7BC67231"/>
    <w:rsid w:val="7BC67908"/>
    <w:rsid w:val="7BC731F7"/>
    <w:rsid w:val="7BC7A6D0"/>
    <w:rsid w:val="7BC81FD1"/>
    <w:rsid w:val="7BC84092"/>
    <w:rsid w:val="7BCB9C60"/>
    <w:rsid w:val="7BCD1F26"/>
    <w:rsid w:val="7BCE0549"/>
    <w:rsid w:val="7BD13163"/>
    <w:rsid w:val="7BD22DAD"/>
    <w:rsid w:val="7BD3A5EE"/>
    <w:rsid w:val="7BD4F595"/>
    <w:rsid w:val="7BD51515"/>
    <w:rsid w:val="7BDB2472"/>
    <w:rsid w:val="7BDE4954"/>
    <w:rsid w:val="7BDED7DE"/>
    <w:rsid w:val="7BDFDA8E"/>
    <w:rsid w:val="7BE11205"/>
    <w:rsid w:val="7BE12DC6"/>
    <w:rsid w:val="7BE2C1E7"/>
    <w:rsid w:val="7BE420FA"/>
    <w:rsid w:val="7BE49155"/>
    <w:rsid w:val="7BE66575"/>
    <w:rsid w:val="7BEA2FDB"/>
    <w:rsid w:val="7BEBD8BD"/>
    <w:rsid w:val="7BEF8D8C"/>
    <w:rsid w:val="7BF0829E"/>
    <w:rsid w:val="7BF107AB"/>
    <w:rsid w:val="7BF12F15"/>
    <w:rsid w:val="7BF2C659"/>
    <w:rsid w:val="7BF4015D"/>
    <w:rsid w:val="7BF4ED7B"/>
    <w:rsid w:val="7BF76B23"/>
    <w:rsid w:val="7BF86C98"/>
    <w:rsid w:val="7BF8745E"/>
    <w:rsid w:val="7BF8AA41"/>
    <w:rsid w:val="7BF92727"/>
    <w:rsid w:val="7BFA174C"/>
    <w:rsid w:val="7BFCF28F"/>
    <w:rsid w:val="7BFD1D52"/>
    <w:rsid w:val="7BFE613A"/>
    <w:rsid w:val="7BFF69B1"/>
    <w:rsid w:val="7C0134C9"/>
    <w:rsid w:val="7C01F84F"/>
    <w:rsid w:val="7C04A3B6"/>
    <w:rsid w:val="7C057E32"/>
    <w:rsid w:val="7C08040F"/>
    <w:rsid w:val="7C09FD22"/>
    <w:rsid w:val="7C0BCDAB"/>
    <w:rsid w:val="7C0D1B93"/>
    <w:rsid w:val="7C0DB115"/>
    <w:rsid w:val="7C11E273"/>
    <w:rsid w:val="7C121B52"/>
    <w:rsid w:val="7C129C26"/>
    <w:rsid w:val="7C146A2F"/>
    <w:rsid w:val="7C14775F"/>
    <w:rsid w:val="7C18258C"/>
    <w:rsid w:val="7C18668C"/>
    <w:rsid w:val="7C1A4022"/>
    <w:rsid w:val="7C1AAB1A"/>
    <w:rsid w:val="7C1DCECC"/>
    <w:rsid w:val="7C2004AE"/>
    <w:rsid w:val="7C20100F"/>
    <w:rsid w:val="7C214DFF"/>
    <w:rsid w:val="7C2275BF"/>
    <w:rsid w:val="7C236869"/>
    <w:rsid w:val="7C246E1E"/>
    <w:rsid w:val="7C2506B7"/>
    <w:rsid w:val="7C2851D9"/>
    <w:rsid w:val="7C2B998D"/>
    <w:rsid w:val="7C2BC402"/>
    <w:rsid w:val="7C2C12B2"/>
    <w:rsid w:val="7C2CABC1"/>
    <w:rsid w:val="7C3047E2"/>
    <w:rsid w:val="7C3054BF"/>
    <w:rsid w:val="7C311F3F"/>
    <w:rsid w:val="7C31E932"/>
    <w:rsid w:val="7C332F22"/>
    <w:rsid w:val="7C336422"/>
    <w:rsid w:val="7C33E0EE"/>
    <w:rsid w:val="7C340E41"/>
    <w:rsid w:val="7C34F664"/>
    <w:rsid w:val="7C38E5FB"/>
    <w:rsid w:val="7C3B0D09"/>
    <w:rsid w:val="7C3B5FB8"/>
    <w:rsid w:val="7C3D5B23"/>
    <w:rsid w:val="7C3D6ED7"/>
    <w:rsid w:val="7C3DFBB4"/>
    <w:rsid w:val="7C3E9195"/>
    <w:rsid w:val="7C3FAE9D"/>
    <w:rsid w:val="7C41EAE4"/>
    <w:rsid w:val="7C428705"/>
    <w:rsid w:val="7C435CBA"/>
    <w:rsid w:val="7C437EDB"/>
    <w:rsid w:val="7C444A80"/>
    <w:rsid w:val="7C44A52E"/>
    <w:rsid w:val="7C452E24"/>
    <w:rsid w:val="7C45639E"/>
    <w:rsid w:val="7C46B9DF"/>
    <w:rsid w:val="7C499AF5"/>
    <w:rsid w:val="7C4B74D7"/>
    <w:rsid w:val="7C4CA0C3"/>
    <w:rsid w:val="7C4DA5EF"/>
    <w:rsid w:val="7C4E98EF"/>
    <w:rsid w:val="7C4F79B4"/>
    <w:rsid w:val="7C51E873"/>
    <w:rsid w:val="7C52011F"/>
    <w:rsid w:val="7C52DF46"/>
    <w:rsid w:val="7C540F22"/>
    <w:rsid w:val="7C54C6A1"/>
    <w:rsid w:val="7C54CDBD"/>
    <w:rsid w:val="7C55040A"/>
    <w:rsid w:val="7C590240"/>
    <w:rsid w:val="7C5A2768"/>
    <w:rsid w:val="7C5AA7BB"/>
    <w:rsid w:val="7C5BDC5F"/>
    <w:rsid w:val="7C5C7F2C"/>
    <w:rsid w:val="7C5E11FE"/>
    <w:rsid w:val="7C5F5682"/>
    <w:rsid w:val="7C5FF70E"/>
    <w:rsid w:val="7C603EE3"/>
    <w:rsid w:val="7C61F23B"/>
    <w:rsid w:val="7C639DD0"/>
    <w:rsid w:val="7C656705"/>
    <w:rsid w:val="7C664F0D"/>
    <w:rsid w:val="7C686810"/>
    <w:rsid w:val="7C6B1801"/>
    <w:rsid w:val="7C6DAB28"/>
    <w:rsid w:val="7C6FE73C"/>
    <w:rsid w:val="7C701FA6"/>
    <w:rsid w:val="7C708D94"/>
    <w:rsid w:val="7C7116FB"/>
    <w:rsid w:val="7C732319"/>
    <w:rsid w:val="7C74E3D2"/>
    <w:rsid w:val="7C7528DC"/>
    <w:rsid w:val="7C75FF33"/>
    <w:rsid w:val="7C791267"/>
    <w:rsid w:val="7C7A27BB"/>
    <w:rsid w:val="7C7AB8C6"/>
    <w:rsid w:val="7C7C36AF"/>
    <w:rsid w:val="7C7D27C5"/>
    <w:rsid w:val="7C7DC519"/>
    <w:rsid w:val="7C7E7680"/>
    <w:rsid w:val="7C80FC0B"/>
    <w:rsid w:val="7C81D428"/>
    <w:rsid w:val="7C831711"/>
    <w:rsid w:val="7C84FFF7"/>
    <w:rsid w:val="7C85EA83"/>
    <w:rsid w:val="7C85EC88"/>
    <w:rsid w:val="7C87E2C1"/>
    <w:rsid w:val="7C88CBBF"/>
    <w:rsid w:val="7C88FB86"/>
    <w:rsid w:val="7C88FDCB"/>
    <w:rsid w:val="7C8C883D"/>
    <w:rsid w:val="7C8D371A"/>
    <w:rsid w:val="7C8D66F1"/>
    <w:rsid w:val="7C8EEA35"/>
    <w:rsid w:val="7C8FAC41"/>
    <w:rsid w:val="7C905F93"/>
    <w:rsid w:val="7C90EA09"/>
    <w:rsid w:val="7C91DEA9"/>
    <w:rsid w:val="7C95080D"/>
    <w:rsid w:val="7C95854D"/>
    <w:rsid w:val="7C95B4FF"/>
    <w:rsid w:val="7C9861DA"/>
    <w:rsid w:val="7C992D8F"/>
    <w:rsid w:val="7C9B191E"/>
    <w:rsid w:val="7CA057CD"/>
    <w:rsid w:val="7CA05A03"/>
    <w:rsid w:val="7CA19971"/>
    <w:rsid w:val="7CA19EED"/>
    <w:rsid w:val="7CA21B40"/>
    <w:rsid w:val="7CA292B5"/>
    <w:rsid w:val="7CA3EC35"/>
    <w:rsid w:val="7CA712E6"/>
    <w:rsid w:val="7CA77DDB"/>
    <w:rsid w:val="7CA949D2"/>
    <w:rsid w:val="7CAB46A5"/>
    <w:rsid w:val="7CAC4083"/>
    <w:rsid w:val="7CAD06D0"/>
    <w:rsid w:val="7CAD259A"/>
    <w:rsid w:val="7CADC593"/>
    <w:rsid w:val="7CB02657"/>
    <w:rsid w:val="7CB292E8"/>
    <w:rsid w:val="7CB2BDFA"/>
    <w:rsid w:val="7CB80CBB"/>
    <w:rsid w:val="7CBA9C7F"/>
    <w:rsid w:val="7CBAA558"/>
    <w:rsid w:val="7CBBCB4E"/>
    <w:rsid w:val="7CBBE0F8"/>
    <w:rsid w:val="7CBC5FD4"/>
    <w:rsid w:val="7CBC77D7"/>
    <w:rsid w:val="7CBD172A"/>
    <w:rsid w:val="7CBECCFD"/>
    <w:rsid w:val="7CBEE840"/>
    <w:rsid w:val="7CBFCAE6"/>
    <w:rsid w:val="7CC17CF5"/>
    <w:rsid w:val="7CC301AE"/>
    <w:rsid w:val="7CC517B9"/>
    <w:rsid w:val="7CC616B3"/>
    <w:rsid w:val="7CC8C7D5"/>
    <w:rsid w:val="7CC9C652"/>
    <w:rsid w:val="7CCA0A4E"/>
    <w:rsid w:val="7CCA12F3"/>
    <w:rsid w:val="7CCAD118"/>
    <w:rsid w:val="7CCB7CD2"/>
    <w:rsid w:val="7CCBD4FE"/>
    <w:rsid w:val="7CCC2332"/>
    <w:rsid w:val="7CCDD7D4"/>
    <w:rsid w:val="7CCF8769"/>
    <w:rsid w:val="7CD28398"/>
    <w:rsid w:val="7CD30086"/>
    <w:rsid w:val="7CD3CE5E"/>
    <w:rsid w:val="7CD3DCC4"/>
    <w:rsid w:val="7CD64664"/>
    <w:rsid w:val="7CD75478"/>
    <w:rsid w:val="7CD7D6D0"/>
    <w:rsid w:val="7CD871D0"/>
    <w:rsid w:val="7CD88917"/>
    <w:rsid w:val="7CDBE292"/>
    <w:rsid w:val="7CE0B69D"/>
    <w:rsid w:val="7CE1C5A5"/>
    <w:rsid w:val="7CE54146"/>
    <w:rsid w:val="7CE59273"/>
    <w:rsid w:val="7CE74B3B"/>
    <w:rsid w:val="7CE7FBBC"/>
    <w:rsid w:val="7CE8C39B"/>
    <w:rsid w:val="7CEA5558"/>
    <w:rsid w:val="7CEA7F5F"/>
    <w:rsid w:val="7CEB3D83"/>
    <w:rsid w:val="7CF13F13"/>
    <w:rsid w:val="7CF14541"/>
    <w:rsid w:val="7CF1DD97"/>
    <w:rsid w:val="7CF58075"/>
    <w:rsid w:val="7CF60DDA"/>
    <w:rsid w:val="7CF73F29"/>
    <w:rsid w:val="7CF7AE28"/>
    <w:rsid w:val="7CF9BC20"/>
    <w:rsid w:val="7CFA8D76"/>
    <w:rsid w:val="7CFC9FBB"/>
    <w:rsid w:val="7CFE1692"/>
    <w:rsid w:val="7CFEE601"/>
    <w:rsid w:val="7CFFF89C"/>
    <w:rsid w:val="7D00EB8B"/>
    <w:rsid w:val="7D024BE8"/>
    <w:rsid w:val="7D04190A"/>
    <w:rsid w:val="7D045B98"/>
    <w:rsid w:val="7D04A6F2"/>
    <w:rsid w:val="7D05AC4E"/>
    <w:rsid w:val="7D079D54"/>
    <w:rsid w:val="7D0956F1"/>
    <w:rsid w:val="7D09F72C"/>
    <w:rsid w:val="7D0BB96A"/>
    <w:rsid w:val="7D0E20C4"/>
    <w:rsid w:val="7D0EA647"/>
    <w:rsid w:val="7D0FA766"/>
    <w:rsid w:val="7D10A42D"/>
    <w:rsid w:val="7D14233F"/>
    <w:rsid w:val="7D146589"/>
    <w:rsid w:val="7D14D70E"/>
    <w:rsid w:val="7D1556D7"/>
    <w:rsid w:val="7D167EDF"/>
    <w:rsid w:val="7D1682AA"/>
    <w:rsid w:val="7D170141"/>
    <w:rsid w:val="7D17BF72"/>
    <w:rsid w:val="7D1C28B6"/>
    <w:rsid w:val="7D1D0508"/>
    <w:rsid w:val="7D1D25F0"/>
    <w:rsid w:val="7D1F4CDC"/>
    <w:rsid w:val="7D211568"/>
    <w:rsid w:val="7D2292E9"/>
    <w:rsid w:val="7D236BE7"/>
    <w:rsid w:val="7D24B9E2"/>
    <w:rsid w:val="7D25DCF8"/>
    <w:rsid w:val="7D26C01E"/>
    <w:rsid w:val="7D271CAD"/>
    <w:rsid w:val="7D27C311"/>
    <w:rsid w:val="7D29A0A9"/>
    <w:rsid w:val="7D2AD4F6"/>
    <w:rsid w:val="7D2C5B6B"/>
    <w:rsid w:val="7D2DA78A"/>
    <w:rsid w:val="7D2DB4AB"/>
    <w:rsid w:val="7D2EE966"/>
    <w:rsid w:val="7D3066CB"/>
    <w:rsid w:val="7D314412"/>
    <w:rsid w:val="7D31ADC1"/>
    <w:rsid w:val="7D321FD0"/>
    <w:rsid w:val="7D32CE40"/>
    <w:rsid w:val="7D331BDA"/>
    <w:rsid w:val="7D33D318"/>
    <w:rsid w:val="7D35E114"/>
    <w:rsid w:val="7D38702E"/>
    <w:rsid w:val="7D3886C9"/>
    <w:rsid w:val="7D38AD0E"/>
    <w:rsid w:val="7D3AAFB4"/>
    <w:rsid w:val="7D3C396C"/>
    <w:rsid w:val="7D3D511E"/>
    <w:rsid w:val="7D3DFE5D"/>
    <w:rsid w:val="7D3F23F6"/>
    <w:rsid w:val="7D3F69FC"/>
    <w:rsid w:val="7D3FBF59"/>
    <w:rsid w:val="7D40617D"/>
    <w:rsid w:val="7D41A902"/>
    <w:rsid w:val="7D46AAC8"/>
    <w:rsid w:val="7D47141F"/>
    <w:rsid w:val="7D4B01A2"/>
    <w:rsid w:val="7D4BA874"/>
    <w:rsid w:val="7D4CB099"/>
    <w:rsid w:val="7D4F48C9"/>
    <w:rsid w:val="7D508DCD"/>
    <w:rsid w:val="7D50F4E1"/>
    <w:rsid w:val="7D523008"/>
    <w:rsid w:val="7D528D2B"/>
    <w:rsid w:val="7D52B378"/>
    <w:rsid w:val="7D58DE07"/>
    <w:rsid w:val="7D5998B4"/>
    <w:rsid w:val="7D59B1C1"/>
    <w:rsid w:val="7D5BE2AE"/>
    <w:rsid w:val="7D5F6F7E"/>
    <w:rsid w:val="7D605D0D"/>
    <w:rsid w:val="7D60F34A"/>
    <w:rsid w:val="7D614B2C"/>
    <w:rsid w:val="7D61FCA9"/>
    <w:rsid w:val="7D62DEC3"/>
    <w:rsid w:val="7D6C15C8"/>
    <w:rsid w:val="7D6E005F"/>
    <w:rsid w:val="7D6F2C66"/>
    <w:rsid w:val="7D6F9663"/>
    <w:rsid w:val="7D7093DD"/>
    <w:rsid w:val="7D72BF39"/>
    <w:rsid w:val="7D760C4D"/>
    <w:rsid w:val="7D7874BF"/>
    <w:rsid w:val="7D792FA7"/>
    <w:rsid w:val="7D7BC3DD"/>
    <w:rsid w:val="7D7C51F3"/>
    <w:rsid w:val="7D7D29F7"/>
    <w:rsid w:val="7D828C78"/>
    <w:rsid w:val="7D84494E"/>
    <w:rsid w:val="7D87E411"/>
    <w:rsid w:val="7D888D81"/>
    <w:rsid w:val="7D88E2C6"/>
    <w:rsid w:val="7D894DF9"/>
    <w:rsid w:val="7D8A392F"/>
    <w:rsid w:val="7D8A4EDE"/>
    <w:rsid w:val="7D8A9D09"/>
    <w:rsid w:val="7D8AE26D"/>
    <w:rsid w:val="7D8DC32E"/>
    <w:rsid w:val="7D8E27D5"/>
    <w:rsid w:val="7D8F732B"/>
    <w:rsid w:val="7D8FAB81"/>
    <w:rsid w:val="7D92420A"/>
    <w:rsid w:val="7D92888B"/>
    <w:rsid w:val="7D985E5B"/>
    <w:rsid w:val="7D9D1C55"/>
    <w:rsid w:val="7D9F1986"/>
    <w:rsid w:val="7DA4D127"/>
    <w:rsid w:val="7DA6B953"/>
    <w:rsid w:val="7DA8A34F"/>
    <w:rsid w:val="7DAA8482"/>
    <w:rsid w:val="7DABCCA9"/>
    <w:rsid w:val="7DAD5EB9"/>
    <w:rsid w:val="7DAD85D5"/>
    <w:rsid w:val="7DB0E6A6"/>
    <w:rsid w:val="7DB2C6DD"/>
    <w:rsid w:val="7DB31BFA"/>
    <w:rsid w:val="7DB363FF"/>
    <w:rsid w:val="7DB445DA"/>
    <w:rsid w:val="7DB55E99"/>
    <w:rsid w:val="7DB809F8"/>
    <w:rsid w:val="7DB99732"/>
    <w:rsid w:val="7DB9D822"/>
    <w:rsid w:val="7DBEEE33"/>
    <w:rsid w:val="7DBFA474"/>
    <w:rsid w:val="7DC24BA5"/>
    <w:rsid w:val="7DC441DB"/>
    <w:rsid w:val="7DC52BF4"/>
    <w:rsid w:val="7DC59124"/>
    <w:rsid w:val="7DC769EE"/>
    <w:rsid w:val="7DC7889D"/>
    <w:rsid w:val="7DCA4F83"/>
    <w:rsid w:val="7DCC43BB"/>
    <w:rsid w:val="7DCD1029"/>
    <w:rsid w:val="7DCD23EF"/>
    <w:rsid w:val="7DCD93CE"/>
    <w:rsid w:val="7DCF729F"/>
    <w:rsid w:val="7DCF78C4"/>
    <w:rsid w:val="7DCFA76E"/>
    <w:rsid w:val="7DD3B315"/>
    <w:rsid w:val="7DD3BA6F"/>
    <w:rsid w:val="7DD55B22"/>
    <w:rsid w:val="7DD5EBF9"/>
    <w:rsid w:val="7DD64DEE"/>
    <w:rsid w:val="7DD6CD90"/>
    <w:rsid w:val="7DD8E6E0"/>
    <w:rsid w:val="7DDAFDB9"/>
    <w:rsid w:val="7DDDA1E1"/>
    <w:rsid w:val="7DDF417E"/>
    <w:rsid w:val="7DE1B0A4"/>
    <w:rsid w:val="7DE1D428"/>
    <w:rsid w:val="7DE479B9"/>
    <w:rsid w:val="7DE76439"/>
    <w:rsid w:val="7DE7B026"/>
    <w:rsid w:val="7DEC8F49"/>
    <w:rsid w:val="7DEEAF4F"/>
    <w:rsid w:val="7DF008FF"/>
    <w:rsid w:val="7DF302AD"/>
    <w:rsid w:val="7DF36CE8"/>
    <w:rsid w:val="7DF3992C"/>
    <w:rsid w:val="7DF4659A"/>
    <w:rsid w:val="7DFBAACA"/>
    <w:rsid w:val="7DFC15BE"/>
    <w:rsid w:val="7DFCC8C7"/>
    <w:rsid w:val="7DFDDCFA"/>
    <w:rsid w:val="7DFDFE03"/>
    <w:rsid w:val="7DFE7E90"/>
    <w:rsid w:val="7DFFDA26"/>
    <w:rsid w:val="7E012DF9"/>
    <w:rsid w:val="7E02D7C5"/>
    <w:rsid w:val="7E04A96A"/>
    <w:rsid w:val="7E056238"/>
    <w:rsid w:val="7E0618D6"/>
    <w:rsid w:val="7E0623F1"/>
    <w:rsid w:val="7E06D2AF"/>
    <w:rsid w:val="7E08F2B5"/>
    <w:rsid w:val="7E09597B"/>
    <w:rsid w:val="7E0AFED8"/>
    <w:rsid w:val="7E0B0421"/>
    <w:rsid w:val="7E0C3BE7"/>
    <w:rsid w:val="7E0C50C7"/>
    <w:rsid w:val="7E0EBC3D"/>
    <w:rsid w:val="7E15C0E3"/>
    <w:rsid w:val="7E17234A"/>
    <w:rsid w:val="7E193E38"/>
    <w:rsid w:val="7E19E1A5"/>
    <w:rsid w:val="7E1A41B5"/>
    <w:rsid w:val="7E1B2977"/>
    <w:rsid w:val="7E1CE9B2"/>
    <w:rsid w:val="7E1E66C5"/>
    <w:rsid w:val="7E1F4388"/>
    <w:rsid w:val="7E1FAD0D"/>
    <w:rsid w:val="7E1FC016"/>
    <w:rsid w:val="7E23450E"/>
    <w:rsid w:val="7E242145"/>
    <w:rsid w:val="7E252E46"/>
    <w:rsid w:val="7E27171C"/>
    <w:rsid w:val="7E271EA6"/>
    <w:rsid w:val="7E273451"/>
    <w:rsid w:val="7E2A14C2"/>
    <w:rsid w:val="7E2C9F1D"/>
    <w:rsid w:val="7E2D8CB2"/>
    <w:rsid w:val="7E2F6275"/>
    <w:rsid w:val="7E2FA530"/>
    <w:rsid w:val="7E2FB594"/>
    <w:rsid w:val="7E30963C"/>
    <w:rsid w:val="7E32617F"/>
    <w:rsid w:val="7E329081"/>
    <w:rsid w:val="7E343C7F"/>
    <w:rsid w:val="7E371AD8"/>
    <w:rsid w:val="7E38E34C"/>
    <w:rsid w:val="7E3A895D"/>
    <w:rsid w:val="7E3F01D4"/>
    <w:rsid w:val="7E40F1A7"/>
    <w:rsid w:val="7E450D4F"/>
    <w:rsid w:val="7E46EC0B"/>
    <w:rsid w:val="7E473783"/>
    <w:rsid w:val="7E47972E"/>
    <w:rsid w:val="7E4818BB"/>
    <w:rsid w:val="7E4AB404"/>
    <w:rsid w:val="7E4B0174"/>
    <w:rsid w:val="7E4F8AF8"/>
    <w:rsid w:val="7E508358"/>
    <w:rsid w:val="7E5096F4"/>
    <w:rsid w:val="7E512FA9"/>
    <w:rsid w:val="7E529E83"/>
    <w:rsid w:val="7E54043A"/>
    <w:rsid w:val="7E5BFC17"/>
    <w:rsid w:val="7E5D4BF1"/>
    <w:rsid w:val="7E5F441D"/>
    <w:rsid w:val="7E60041D"/>
    <w:rsid w:val="7E602925"/>
    <w:rsid w:val="7E611333"/>
    <w:rsid w:val="7E642422"/>
    <w:rsid w:val="7E64A70D"/>
    <w:rsid w:val="7E64E2BD"/>
    <w:rsid w:val="7E669357"/>
    <w:rsid w:val="7E669D6A"/>
    <w:rsid w:val="7E6A98F7"/>
    <w:rsid w:val="7E6AA2E2"/>
    <w:rsid w:val="7E6B138D"/>
    <w:rsid w:val="7E6D2791"/>
    <w:rsid w:val="7E6F6B25"/>
    <w:rsid w:val="7E703FF7"/>
    <w:rsid w:val="7E70A567"/>
    <w:rsid w:val="7E74D771"/>
    <w:rsid w:val="7E768FF1"/>
    <w:rsid w:val="7E784393"/>
    <w:rsid w:val="7E798448"/>
    <w:rsid w:val="7E7A5BD7"/>
    <w:rsid w:val="7E7A6C27"/>
    <w:rsid w:val="7E7C391B"/>
    <w:rsid w:val="7E7C4916"/>
    <w:rsid w:val="7E7D5F1A"/>
    <w:rsid w:val="7E7D7A05"/>
    <w:rsid w:val="7E7F51DA"/>
    <w:rsid w:val="7E7F5C1B"/>
    <w:rsid w:val="7E80617F"/>
    <w:rsid w:val="7E815A27"/>
    <w:rsid w:val="7E818724"/>
    <w:rsid w:val="7E8396ED"/>
    <w:rsid w:val="7E84BB97"/>
    <w:rsid w:val="7E84ED97"/>
    <w:rsid w:val="7E859CE5"/>
    <w:rsid w:val="7E8668B0"/>
    <w:rsid w:val="7E87CE29"/>
    <w:rsid w:val="7E8D8AA9"/>
    <w:rsid w:val="7E9034C3"/>
    <w:rsid w:val="7E9060E2"/>
    <w:rsid w:val="7E906C2B"/>
    <w:rsid w:val="7E9209BE"/>
    <w:rsid w:val="7E9262F5"/>
    <w:rsid w:val="7E936FF7"/>
    <w:rsid w:val="7E93C7E5"/>
    <w:rsid w:val="7E97A4D9"/>
    <w:rsid w:val="7E9942F0"/>
    <w:rsid w:val="7E9985A4"/>
    <w:rsid w:val="7E99B33C"/>
    <w:rsid w:val="7EA095A4"/>
    <w:rsid w:val="7EA11EDC"/>
    <w:rsid w:val="7EA2EDB8"/>
    <w:rsid w:val="7EA31900"/>
    <w:rsid w:val="7EA7450F"/>
    <w:rsid w:val="7EA766F7"/>
    <w:rsid w:val="7EA8DC72"/>
    <w:rsid w:val="7EAC6BB1"/>
    <w:rsid w:val="7EADF197"/>
    <w:rsid w:val="7EB321E9"/>
    <w:rsid w:val="7EB498C9"/>
    <w:rsid w:val="7EB5CA58"/>
    <w:rsid w:val="7EB5FB62"/>
    <w:rsid w:val="7EB7AEF3"/>
    <w:rsid w:val="7EB853AB"/>
    <w:rsid w:val="7EB8DF4A"/>
    <w:rsid w:val="7EBBB05D"/>
    <w:rsid w:val="7EBBCDDB"/>
    <w:rsid w:val="7EBD3406"/>
    <w:rsid w:val="7EC37A4F"/>
    <w:rsid w:val="7EC416F3"/>
    <w:rsid w:val="7EC47D90"/>
    <w:rsid w:val="7EC5232F"/>
    <w:rsid w:val="7EC72485"/>
    <w:rsid w:val="7EC96B19"/>
    <w:rsid w:val="7EC97464"/>
    <w:rsid w:val="7EC9AB75"/>
    <w:rsid w:val="7ECCBC6A"/>
    <w:rsid w:val="7ECE05D1"/>
    <w:rsid w:val="7ECF1AF2"/>
    <w:rsid w:val="7ED0C239"/>
    <w:rsid w:val="7ED0F57D"/>
    <w:rsid w:val="7ED2F479"/>
    <w:rsid w:val="7ED35C6C"/>
    <w:rsid w:val="7ED6CB9A"/>
    <w:rsid w:val="7ED70515"/>
    <w:rsid w:val="7ED77E65"/>
    <w:rsid w:val="7ED7F1B7"/>
    <w:rsid w:val="7ED9B831"/>
    <w:rsid w:val="7EDA2AB3"/>
    <w:rsid w:val="7EDD6529"/>
    <w:rsid w:val="7EDD799A"/>
    <w:rsid w:val="7EDE24D8"/>
    <w:rsid w:val="7EE0A403"/>
    <w:rsid w:val="7EE321A6"/>
    <w:rsid w:val="7EE40FCC"/>
    <w:rsid w:val="7EE4BF16"/>
    <w:rsid w:val="7EE62692"/>
    <w:rsid w:val="7EE6867B"/>
    <w:rsid w:val="7EE71DF8"/>
    <w:rsid w:val="7EE9B79F"/>
    <w:rsid w:val="7EEADB17"/>
    <w:rsid w:val="7EEB2B30"/>
    <w:rsid w:val="7EF2DC5C"/>
    <w:rsid w:val="7EF35C7C"/>
    <w:rsid w:val="7EF41F0F"/>
    <w:rsid w:val="7EF75C43"/>
    <w:rsid w:val="7EF84B06"/>
    <w:rsid w:val="7EFB66DA"/>
    <w:rsid w:val="7EFB9229"/>
    <w:rsid w:val="7EFBF9D8"/>
    <w:rsid w:val="7EFD5157"/>
    <w:rsid w:val="7EFDB627"/>
    <w:rsid w:val="7EFE1A0A"/>
    <w:rsid w:val="7EFE3F3A"/>
    <w:rsid w:val="7EFE7D18"/>
    <w:rsid w:val="7EFEC2AF"/>
    <w:rsid w:val="7EFF797E"/>
    <w:rsid w:val="7F034446"/>
    <w:rsid w:val="7F0477A7"/>
    <w:rsid w:val="7F058BBE"/>
    <w:rsid w:val="7F06C617"/>
    <w:rsid w:val="7F070BE9"/>
    <w:rsid w:val="7F080E6D"/>
    <w:rsid w:val="7F0A2409"/>
    <w:rsid w:val="7F0A63B7"/>
    <w:rsid w:val="7F0ABF85"/>
    <w:rsid w:val="7F0B1BEF"/>
    <w:rsid w:val="7F0CD21B"/>
    <w:rsid w:val="7F0EA31A"/>
    <w:rsid w:val="7F1333A0"/>
    <w:rsid w:val="7F136B38"/>
    <w:rsid w:val="7F14B50D"/>
    <w:rsid w:val="7F15C892"/>
    <w:rsid w:val="7F170C2D"/>
    <w:rsid w:val="7F170E9C"/>
    <w:rsid w:val="7F178550"/>
    <w:rsid w:val="7F17E7C8"/>
    <w:rsid w:val="7F181678"/>
    <w:rsid w:val="7F19A2A0"/>
    <w:rsid w:val="7F1BEFEB"/>
    <w:rsid w:val="7F1DABCF"/>
    <w:rsid w:val="7F1E0B20"/>
    <w:rsid w:val="7F1F018C"/>
    <w:rsid w:val="7F20B7E3"/>
    <w:rsid w:val="7F252764"/>
    <w:rsid w:val="7F253703"/>
    <w:rsid w:val="7F25B6E7"/>
    <w:rsid w:val="7F2A4F03"/>
    <w:rsid w:val="7F2D7E9A"/>
    <w:rsid w:val="7F2FCC20"/>
    <w:rsid w:val="7F32CE0B"/>
    <w:rsid w:val="7F354D18"/>
    <w:rsid w:val="7F355A41"/>
    <w:rsid w:val="7F367ED9"/>
    <w:rsid w:val="7F36AC35"/>
    <w:rsid w:val="7F372D55"/>
    <w:rsid w:val="7F38725E"/>
    <w:rsid w:val="7F390EE2"/>
    <w:rsid w:val="7F3A4BF1"/>
    <w:rsid w:val="7F3B0A03"/>
    <w:rsid w:val="7F3BC783"/>
    <w:rsid w:val="7F3E5A69"/>
    <w:rsid w:val="7F3FEF37"/>
    <w:rsid w:val="7F414480"/>
    <w:rsid w:val="7F416A48"/>
    <w:rsid w:val="7F42C75F"/>
    <w:rsid w:val="7F45DBBA"/>
    <w:rsid w:val="7F45E905"/>
    <w:rsid w:val="7F470780"/>
    <w:rsid w:val="7F4C0B98"/>
    <w:rsid w:val="7F4D1243"/>
    <w:rsid w:val="7F4E7B23"/>
    <w:rsid w:val="7F4EE99E"/>
    <w:rsid w:val="7F50768A"/>
    <w:rsid w:val="7F52AA75"/>
    <w:rsid w:val="7F54F180"/>
    <w:rsid w:val="7F555AE1"/>
    <w:rsid w:val="7F574F9D"/>
    <w:rsid w:val="7F57ECC4"/>
    <w:rsid w:val="7F5A92A5"/>
    <w:rsid w:val="7F5E12E1"/>
    <w:rsid w:val="7F5ED146"/>
    <w:rsid w:val="7F60BB81"/>
    <w:rsid w:val="7F6220BE"/>
    <w:rsid w:val="7F638184"/>
    <w:rsid w:val="7F64A87C"/>
    <w:rsid w:val="7F64C364"/>
    <w:rsid w:val="7F65A322"/>
    <w:rsid w:val="7F67B258"/>
    <w:rsid w:val="7F68959E"/>
    <w:rsid w:val="7F6FF549"/>
    <w:rsid w:val="7F71487C"/>
    <w:rsid w:val="7F7192B1"/>
    <w:rsid w:val="7F756126"/>
    <w:rsid w:val="7F77093F"/>
    <w:rsid w:val="7F78BFF7"/>
    <w:rsid w:val="7F7966E1"/>
    <w:rsid w:val="7F79F304"/>
    <w:rsid w:val="7F7CB6FE"/>
    <w:rsid w:val="7F7D5816"/>
    <w:rsid w:val="7F7D694D"/>
    <w:rsid w:val="7F7F430E"/>
    <w:rsid w:val="7F8177F0"/>
    <w:rsid w:val="7F82C4D5"/>
    <w:rsid w:val="7F8458DC"/>
    <w:rsid w:val="7F85237C"/>
    <w:rsid w:val="7F890A1B"/>
    <w:rsid w:val="7F8AD40A"/>
    <w:rsid w:val="7F8AEAAD"/>
    <w:rsid w:val="7F8CE906"/>
    <w:rsid w:val="7F8D1884"/>
    <w:rsid w:val="7F8D1B9E"/>
    <w:rsid w:val="7F90DC3F"/>
    <w:rsid w:val="7F91FF65"/>
    <w:rsid w:val="7F924FD1"/>
    <w:rsid w:val="7F92D59F"/>
    <w:rsid w:val="7F92DBC4"/>
    <w:rsid w:val="7F946D0C"/>
    <w:rsid w:val="7F98D410"/>
    <w:rsid w:val="7F9907C8"/>
    <w:rsid w:val="7F992A20"/>
    <w:rsid w:val="7F99B065"/>
    <w:rsid w:val="7F9A64F7"/>
    <w:rsid w:val="7F9B79A5"/>
    <w:rsid w:val="7F9F9152"/>
    <w:rsid w:val="7FA2138C"/>
    <w:rsid w:val="7FA6995A"/>
    <w:rsid w:val="7FA6F292"/>
    <w:rsid w:val="7FA7B4C2"/>
    <w:rsid w:val="7FAD5B42"/>
    <w:rsid w:val="7FAEBEA5"/>
    <w:rsid w:val="7FAEFD7D"/>
    <w:rsid w:val="7FAFB19D"/>
    <w:rsid w:val="7FB2192C"/>
    <w:rsid w:val="7FB40810"/>
    <w:rsid w:val="7FB5512D"/>
    <w:rsid w:val="7FB61693"/>
    <w:rsid w:val="7FB61742"/>
    <w:rsid w:val="7FB8F553"/>
    <w:rsid w:val="7FBBB31A"/>
    <w:rsid w:val="7FBBF943"/>
    <w:rsid w:val="7FBC7FEA"/>
    <w:rsid w:val="7FBDD670"/>
    <w:rsid w:val="7FBEC2BE"/>
    <w:rsid w:val="7FBF0FF8"/>
    <w:rsid w:val="7FC0ED75"/>
    <w:rsid w:val="7FC1D47E"/>
    <w:rsid w:val="7FC4CB8A"/>
    <w:rsid w:val="7FC5739A"/>
    <w:rsid w:val="7FC6FBDC"/>
    <w:rsid w:val="7FCA7895"/>
    <w:rsid w:val="7FCAB4AC"/>
    <w:rsid w:val="7FCC36D6"/>
    <w:rsid w:val="7FCD0372"/>
    <w:rsid w:val="7FCD81CA"/>
    <w:rsid w:val="7FCDE50A"/>
    <w:rsid w:val="7FCE4B02"/>
    <w:rsid w:val="7FCF53CE"/>
    <w:rsid w:val="7FCF5E27"/>
    <w:rsid w:val="7FD01883"/>
    <w:rsid w:val="7FD1C200"/>
    <w:rsid w:val="7FD2CA7B"/>
    <w:rsid w:val="7FD4AB9B"/>
    <w:rsid w:val="7FD740B9"/>
    <w:rsid w:val="7FD9C329"/>
    <w:rsid w:val="7FD9ECC9"/>
    <w:rsid w:val="7FDACFAB"/>
    <w:rsid w:val="7FE1C325"/>
    <w:rsid w:val="7FE2FF3E"/>
    <w:rsid w:val="7FE3622B"/>
    <w:rsid w:val="7FE5DD04"/>
    <w:rsid w:val="7FE6232F"/>
    <w:rsid w:val="7FE68425"/>
    <w:rsid w:val="7FE68D0D"/>
    <w:rsid w:val="7FE7E9B0"/>
    <w:rsid w:val="7FE949D0"/>
    <w:rsid w:val="7FEA12A6"/>
    <w:rsid w:val="7FEB39B4"/>
    <w:rsid w:val="7FEC2964"/>
    <w:rsid w:val="7FEF47EF"/>
    <w:rsid w:val="7FEFDF8E"/>
    <w:rsid w:val="7FF0BFC0"/>
    <w:rsid w:val="7FF11AEE"/>
    <w:rsid w:val="7FF180B6"/>
    <w:rsid w:val="7FF1EF62"/>
    <w:rsid w:val="7FF26FA3"/>
    <w:rsid w:val="7FF432CF"/>
    <w:rsid w:val="7FF5DB54"/>
    <w:rsid w:val="7FF61646"/>
    <w:rsid w:val="7FF695A4"/>
    <w:rsid w:val="7FF695AB"/>
    <w:rsid w:val="7FF81680"/>
    <w:rsid w:val="7FF8C2F2"/>
    <w:rsid w:val="7FFB23D3"/>
    <w:rsid w:val="7FFD46DA"/>
    <w:rsid w:val="7FFD99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0FFC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cs-CZ"/>
    </w:rPr>
  </w:style>
  <w:style w:type="paragraph" w:styleId="Heading1">
    <w:name w:val="heading 1"/>
    <w:basedOn w:val="Normal"/>
    <w:next w:val="Text1"/>
    <w:link w:val="Heading1Char"/>
    <w:uiPriority w:val="9"/>
    <w:qFormat/>
    <w:pPr>
      <w:keepNext/>
      <w:numPr>
        <w:numId w:val="5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5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5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52"/>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52"/>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52"/>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52"/>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nhideWhenUsed/>
    <w:pPr>
      <w:numPr>
        <w:numId w:val="1"/>
      </w:numPr>
      <w:tabs>
        <w:tab w:val="num" w:pos="643"/>
      </w:tabs>
      <w:ind w:left="643"/>
      <w:contextualSpacing/>
    </w:pPr>
  </w:style>
  <w:style w:type="paragraph" w:styleId="ListBullet2">
    <w:name w:val="List Bullet 2"/>
    <w:basedOn w:val="Normal"/>
    <w:unhideWhenUsed/>
    <w:pPr>
      <w:numPr>
        <w:numId w:val="2"/>
      </w:numPr>
      <w:tabs>
        <w:tab w:val="num" w:pos="926"/>
      </w:tabs>
      <w:ind w:left="926"/>
      <w:contextualSpacing/>
    </w:pPr>
  </w:style>
  <w:style w:type="paragraph" w:styleId="ListBullet3">
    <w:name w:val="List Bullet 3"/>
    <w:basedOn w:val="Normal"/>
    <w:unhideWhenUsed/>
    <w:pPr>
      <w:numPr>
        <w:numId w:val="3"/>
      </w:numPr>
      <w:tabs>
        <w:tab w:val="num" w:pos="1209"/>
      </w:tabs>
      <w:ind w:left="1209"/>
      <w:contextualSpacing/>
    </w:pPr>
  </w:style>
  <w:style w:type="paragraph" w:styleId="ListBullet4">
    <w:name w:val="List Bullet 4"/>
    <w:basedOn w:val="Normal"/>
    <w:unhideWhenUsed/>
    <w:pPr>
      <w:numPr>
        <w:numId w:val="4"/>
      </w:numPr>
      <w:tabs>
        <w:tab w:val="num" w:pos="643"/>
      </w:tabs>
      <w:ind w:left="643"/>
      <w:contextualSpacing/>
    </w:p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Times New Roman" w:hAnsi="Times New Roman" w:cs="Times New Roman"/>
      <w:sz w:val="20"/>
      <w:szCs w:val="20"/>
      <w:lang w:val="cs-CZ"/>
    </w:rPr>
  </w:style>
  <w:style w:type="character" w:styleId="CommentReference">
    <w:name w:val="annotation reference"/>
    <w:basedOn w:val="DefaultParagraphFont"/>
    <w:unhideWhenUsed/>
    <w:rPr>
      <w:sz w:val="16"/>
      <w:szCs w:val="16"/>
    </w:rPr>
  </w:style>
  <w:style w:type="character" w:styleId="Hyperlink">
    <w:name w:val="Hyperlink"/>
    <w:basedOn w:val="DefaultParagraphFont"/>
    <w:uiPriority w:val="99"/>
    <w:unhideWhenUsed/>
    <w:rPr>
      <w:color w:val="0000FF" w:themeColor="hyperlink"/>
      <w:u w:val="single"/>
    </w:rPr>
  </w:style>
  <w:style w:type="paragraph" w:customStyle="1" w:styleId="HeaderCouncilLarge">
    <w:name w:val="Header Council Large"/>
    <w:basedOn w:val="Normal"/>
    <w:link w:val="HeaderCouncilLargeChar"/>
    <w:pPr>
      <w:spacing w:before="0" w:after="440" w:line="360" w:lineRule="auto"/>
      <w:jc w:val="left"/>
    </w:pPr>
    <w:rPr>
      <w:sz w:val="2"/>
    </w:rPr>
  </w:style>
  <w:style w:type="character" w:customStyle="1" w:styleId="HeaderCouncilLargeChar">
    <w:name w:val="Header Council Large Char"/>
    <w:basedOn w:val="DefaultParagraphFont"/>
    <w:link w:val="HeaderCouncilLarge"/>
    <w:rPr>
      <w:rFonts w:ascii="Times New Roman" w:hAnsi="Times New Roman" w:cs="Times New Roman"/>
      <w:sz w:val="2"/>
      <w:lang w:val="cs-CZ"/>
    </w:rPr>
  </w:style>
  <w:style w:type="paragraph" w:customStyle="1" w:styleId="FooterText">
    <w:name w:val="Footer Text"/>
    <w:basedOn w:val="Normal"/>
    <w:pPr>
      <w:spacing w:before="0" w:after="0"/>
      <w:jc w:val="left"/>
    </w:pPr>
    <w:rPr>
      <w:rFonts w:eastAsia="Times New Roman"/>
      <w:szCs w:val="24"/>
    </w:rPr>
  </w:style>
  <w:style w:type="paragraph" w:customStyle="1" w:styleId="HeaderCouncil">
    <w:name w:val="Header Council"/>
    <w:basedOn w:val="Normal"/>
    <w:pPr>
      <w:spacing w:before="0" w:after="0"/>
      <w:jc w:val="left"/>
    </w:pPr>
    <w:rPr>
      <w:sz w:val="2"/>
    </w:rPr>
  </w:style>
  <w:style w:type="paragraph" w:customStyle="1" w:styleId="FooterCouncil">
    <w:name w:val="Footer Council"/>
    <w:basedOn w:val="Normal"/>
    <w:pPr>
      <w:spacing w:before="0" w:after="0"/>
      <w:jc w:val="left"/>
    </w:pPr>
    <w:rPr>
      <w:sz w:val="2"/>
    </w:rPr>
  </w:style>
  <w:style w:type="paragraph" w:styleId="BalloonText">
    <w:name w:val="Balloon Text"/>
    <w:basedOn w:val="Normal"/>
    <w:link w:val="BalloonTextChar"/>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rPr>
      <w:rFonts w:ascii="Segoe UI" w:hAnsi="Segoe UI" w:cs="Segoe UI"/>
      <w:sz w:val="18"/>
      <w:szCs w:val="18"/>
      <w:lang w:val="cs-CZ"/>
    </w:rPr>
  </w:style>
  <w:style w:type="paragraph" w:styleId="ListParagraph">
    <w:name w:val="List Paragraph"/>
    <w:aliases w:val="Dot pt,No Spacing1,List Paragraph Char Char Char,Indicator Text,Numbered Para 1,List Paragraph1,Bullet Points,MAIN CONTENT,List Paragraph12,List Paragraph11,OBC Bullet,F5 List Paragraph,Colorful List - Accent 11,Normal numbered,L"/>
    <w:basedOn w:val="Normal"/>
    <w:link w:val="ListParagraphChar"/>
    <w:uiPriority w:val="34"/>
    <w:qFormat/>
    <w:pPr>
      <w:spacing w:line="360" w:lineRule="auto"/>
      <w:ind w:left="720"/>
      <w:contextualSpacing/>
      <w:jc w:val="left"/>
    </w:pPr>
  </w:style>
  <w:style w:type="paragraph" w:customStyle="1" w:styleId="Normal1">
    <w:name w:val="Normal1"/>
    <w:basedOn w:val="Normal"/>
    <w:pPr>
      <w:spacing w:before="100" w:beforeAutospacing="1" w:after="100" w:afterAutospacing="1"/>
      <w:jc w:val="left"/>
    </w:pPr>
    <w:rPr>
      <w:rFonts w:eastAsia="Times New Roman"/>
      <w:szCs w:val="24"/>
      <w:lang w:eastAsia="fr-BE"/>
    </w:rPr>
  </w:style>
  <w:style w:type="character" w:customStyle="1" w:styleId="UnresolvedMention1">
    <w:name w:val="Unresolved Mention1"/>
    <w:basedOn w:val="DefaultParagraphFont"/>
    <w:uiPriority w:val="99"/>
    <w:unhideWhenUsed/>
    <w:rPr>
      <w:color w:val="605E5C"/>
      <w:shd w:val="clear" w:color="auto" w:fill="E1DFDD"/>
    </w:rPr>
  </w:style>
  <w:style w:type="character" w:customStyle="1" w:styleId="normaltextrun">
    <w:name w:val="normaltextrun"/>
    <w:basedOn w:val="DefaultParagraphFont"/>
  </w:style>
  <w:style w:type="character" w:customStyle="1" w:styleId="eop">
    <w:name w:val="eop"/>
    <w:basedOn w:val="DefaultParagraphFont"/>
  </w:style>
  <w:style w:type="paragraph" w:styleId="Caption">
    <w:name w:val="caption"/>
    <w:basedOn w:val="Normal"/>
    <w:next w:val="Normal"/>
    <w:unhideWhenUsed/>
    <w:qFormat/>
    <w:pPr>
      <w:spacing w:before="0" w:after="200" w:line="360" w:lineRule="auto"/>
      <w:jc w:val="left"/>
    </w:pPr>
    <w:rPr>
      <w:i/>
      <w:iCs/>
      <w:color w:val="1F497D" w:themeColor="text2"/>
      <w:sz w:val="18"/>
      <w:szCs w:val="18"/>
    </w:rPr>
  </w:style>
  <w:style w:type="paragraph" w:styleId="TableofFigures">
    <w:name w:val="table of figures"/>
    <w:basedOn w:val="Normal"/>
    <w:next w:val="Normal"/>
    <w:unhideWhenUsed/>
    <w:pPr>
      <w:spacing w:after="0" w:line="360" w:lineRule="auto"/>
      <w:jc w:val="left"/>
    </w:pPr>
  </w:style>
  <w:style w:type="paragraph" w:styleId="ListNumber">
    <w:name w:val="List Number"/>
    <w:basedOn w:val="Normal"/>
    <w:unhideWhenUsed/>
    <w:pPr>
      <w:numPr>
        <w:numId w:val="5"/>
      </w:numPr>
      <w:tabs>
        <w:tab w:val="num" w:pos="926"/>
      </w:tabs>
      <w:spacing w:line="360" w:lineRule="auto"/>
      <w:ind w:left="926"/>
      <w:contextualSpacing/>
      <w:jc w:val="left"/>
    </w:pPr>
  </w:style>
  <w:style w:type="paragraph" w:styleId="ListNumber2">
    <w:name w:val="List Number 2"/>
    <w:basedOn w:val="Normal"/>
    <w:unhideWhenUsed/>
    <w:pPr>
      <w:numPr>
        <w:numId w:val="6"/>
      </w:numPr>
      <w:tabs>
        <w:tab w:val="num" w:pos="1209"/>
      </w:tabs>
      <w:spacing w:line="360" w:lineRule="auto"/>
      <w:ind w:left="1209"/>
      <w:contextualSpacing/>
      <w:jc w:val="left"/>
    </w:pPr>
  </w:style>
  <w:style w:type="paragraph" w:styleId="ListNumber3">
    <w:name w:val="List Number 3"/>
    <w:basedOn w:val="Normal"/>
    <w:unhideWhenUsed/>
    <w:pPr>
      <w:numPr>
        <w:numId w:val="7"/>
      </w:numPr>
      <w:tabs>
        <w:tab w:val="num" w:pos="1134"/>
      </w:tabs>
      <w:spacing w:line="360" w:lineRule="auto"/>
      <w:ind w:left="1134"/>
      <w:contextualSpacing/>
      <w:jc w:val="left"/>
    </w:pPr>
  </w:style>
  <w:style w:type="paragraph" w:styleId="ListNumber4">
    <w:name w:val="List Number 4"/>
    <w:basedOn w:val="Normal"/>
    <w:unhideWhenUsed/>
    <w:pPr>
      <w:tabs>
        <w:tab w:val="num" w:pos="850"/>
      </w:tabs>
      <w:spacing w:line="360" w:lineRule="auto"/>
      <w:ind w:left="850" w:hanging="850"/>
      <w:contextualSpacing/>
      <w:jc w:val="left"/>
    </w:pPr>
  </w:style>
  <w:style w:type="paragraph" w:styleId="CommentSubject">
    <w:name w:val="annotation subject"/>
    <w:basedOn w:val="CommentText"/>
    <w:next w:val="CommentText"/>
    <w:link w:val="CommentSubjectChar"/>
    <w:unhideWhenUsed/>
    <w:pPr>
      <w:spacing w:line="360" w:lineRule="auto"/>
      <w:jc w:val="left"/>
    </w:pPr>
    <w:rPr>
      <w:b/>
      <w:bCs/>
    </w:rPr>
  </w:style>
  <w:style w:type="character" w:customStyle="1" w:styleId="CommentSubjectChar">
    <w:name w:val="Comment Subject Char"/>
    <w:basedOn w:val="CommentTextChar"/>
    <w:link w:val="CommentSubject"/>
    <w:rPr>
      <w:rFonts w:ascii="Times New Roman" w:hAnsi="Times New Roman" w:cs="Times New Roman"/>
      <w:b/>
      <w:bCs/>
      <w:sz w:val="20"/>
      <w:szCs w:val="20"/>
      <w:lang w:val="cs-CZ"/>
    </w:rPr>
  </w:style>
  <w:style w:type="paragraph" w:customStyle="1" w:styleId="paragraph">
    <w:name w:val="paragraph"/>
    <w:basedOn w:val="Normal"/>
    <w:pPr>
      <w:spacing w:before="100" w:beforeAutospacing="1" w:after="100" w:afterAutospacing="1" w:line="360" w:lineRule="auto"/>
      <w:jc w:val="left"/>
    </w:pPr>
    <w:rPr>
      <w:rFonts w:eastAsia="Times New Roman"/>
      <w:szCs w:val="24"/>
      <w:lang w:eastAsia="en-GB"/>
    </w:rPr>
  </w:style>
  <w:style w:type="character" w:customStyle="1" w:styleId="TechnicalBlockChar">
    <w:name w:val="Technical Block Char"/>
    <w:basedOn w:val="DefaultParagraphFont"/>
    <w:rPr>
      <w:rFonts w:ascii="Times New Roman" w:hAnsi="Times New Roman" w:cs="Times New Roman"/>
      <w:sz w:val="24"/>
      <w:lang w:val="cs-CZ"/>
    </w:rPr>
  </w:style>
  <w:style w:type="paragraph" w:customStyle="1" w:styleId="Lignefinal">
    <w:name w:val="Ligne final"/>
    <w:basedOn w:val="Normal"/>
    <w:next w:val="Normal"/>
    <w:pPr>
      <w:pBdr>
        <w:bottom w:val="single" w:sz="4" w:space="0" w:color="000000"/>
      </w:pBdr>
      <w:spacing w:before="360" w:line="360" w:lineRule="auto"/>
      <w:ind w:left="3400" w:right="3400"/>
      <w:jc w:val="center"/>
    </w:pPr>
    <w:rPr>
      <w:b/>
    </w:rPr>
  </w:style>
  <w:style w:type="paragraph" w:customStyle="1" w:styleId="EntText">
    <w:name w:val="EntText"/>
    <w:basedOn w:val="Normal"/>
    <w:pPr>
      <w:spacing w:line="360" w:lineRule="auto"/>
      <w:jc w:val="left"/>
    </w:pPr>
  </w:style>
  <w:style w:type="paragraph" w:customStyle="1" w:styleId="pj">
    <w:name w:val="p.j."/>
    <w:basedOn w:val="Normal"/>
    <w:link w:val="pjChar"/>
    <w:pPr>
      <w:spacing w:before="1200" w:line="360" w:lineRule="auto"/>
      <w:ind w:left="1440" w:hanging="1440"/>
      <w:jc w:val="left"/>
    </w:pPr>
  </w:style>
  <w:style w:type="character" w:customStyle="1" w:styleId="pjChar">
    <w:name w:val="p.j. Char"/>
    <w:basedOn w:val="TechnicalBlockChar"/>
    <w:link w:val="pj"/>
    <w:rPr>
      <w:rFonts w:ascii="Times New Roman" w:hAnsi="Times New Roman" w:cs="Times New Roman"/>
      <w:sz w:val="24"/>
      <w:lang w:val="cs-CZ"/>
    </w:rPr>
  </w:style>
  <w:style w:type="paragraph" w:customStyle="1" w:styleId="nbbordered">
    <w:name w:val="nb bordered"/>
    <w:basedOn w:val="Normal"/>
    <w:link w:val="nbborderedChar"/>
    <w:pPr>
      <w:pBdr>
        <w:top w:val="single" w:sz="4" w:space="1" w:color="auto"/>
        <w:left w:val="single" w:sz="4" w:space="4" w:color="auto"/>
        <w:bottom w:val="single" w:sz="4" w:space="1" w:color="auto"/>
        <w:right w:val="single" w:sz="4" w:space="4" w:color="auto"/>
        <w:between w:val="single" w:sz="4" w:space="0" w:color="auto"/>
      </w:pBdr>
      <w:spacing w:after="160" w:line="360" w:lineRule="auto"/>
      <w:ind w:left="480" w:hanging="480"/>
      <w:jc w:val="left"/>
    </w:pPr>
    <w:rPr>
      <w:b/>
    </w:rPr>
  </w:style>
  <w:style w:type="character" w:customStyle="1" w:styleId="nbborderedChar">
    <w:name w:val="nb bordered Char"/>
    <w:basedOn w:val="TechnicalBlockChar"/>
    <w:link w:val="nbbordered"/>
    <w:rPr>
      <w:rFonts w:ascii="Times New Roman" w:hAnsi="Times New Roman" w:cs="Times New Roman"/>
      <w:b/>
      <w:sz w:val="24"/>
      <w:lang w:val="cs-CZ"/>
    </w:rPr>
  </w:style>
  <w:style w:type="character" w:customStyle="1" w:styleId="HeaderCouncilChar">
    <w:name w:val="Header Council Char"/>
    <w:basedOn w:val="DefaultParagraphFont"/>
    <w:rPr>
      <w:rFonts w:ascii="Times New Roman" w:hAnsi="Times New Roman" w:cs="Times New Roman"/>
      <w:sz w:val="2"/>
      <w:lang w:val="cs-CZ"/>
    </w:rPr>
  </w:style>
  <w:style w:type="character" w:customStyle="1" w:styleId="FooterCouncilChar">
    <w:name w:val="Footer Council Char"/>
    <w:basedOn w:val="DefaultParagraphFont"/>
    <w:rPr>
      <w:rFonts w:ascii="Times New Roman" w:hAnsi="Times New Roman" w:cs="Times New Roman"/>
      <w:sz w:val="2"/>
      <w:lang w:val="cs-CZ"/>
    </w:rPr>
  </w:style>
  <w:style w:type="character" w:styleId="PlaceholderText">
    <w:name w:val="Placeholder Text"/>
    <w:basedOn w:val="DefaultParagraphFont"/>
    <w:uiPriority w:val="99"/>
    <w:semiHidden/>
    <w:rPr>
      <w:color w:val="808080"/>
    </w:rPr>
  </w:style>
  <w:style w:type="paragraph" w:customStyle="1" w:styleId="NormalJustified">
    <w:name w:val="Normal Justified"/>
    <w:basedOn w:val="Normal"/>
    <w:pPr>
      <w:spacing w:before="200" w:line="360" w:lineRule="auto"/>
    </w:pPr>
  </w:style>
  <w:style w:type="paragraph" w:customStyle="1" w:styleId="TechnicalBlock">
    <w:name w:val="Technical Block"/>
    <w:basedOn w:val="Normal"/>
    <w:next w:val="Normal"/>
    <w:pPr>
      <w:spacing w:before="0" w:after="240"/>
      <w:jc w:val="center"/>
    </w:pPr>
  </w:style>
  <w:style w:type="paragraph" w:customStyle="1" w:styleId="FinalLine">
    <w:name w:val="Final Line"/>
    <w:basedOn w:val="Normal"/>
    <w:next w:val="Normal"/>
    <w:pPr>
      <w:pBdr>
        <w:bottom w:val="single" w:sz="4" w:space="0" w:color="000000"/>
      </w:pBdr>
      <w:spacing w:before="360" w:line="360" w:lineRule="auto"/>
      <w:ind w:left="3400" w:right="3400"/>
      <w:jc w:val="center"/>
    </w:pPr>
    <w:rPr>
      <w:b/>
    </w:rPr>
  </w:style>
  <w:style w:type="paragraph" w:customStyle="1" w:styleId="FinalLineLandscape">
    <w:name w:val="Final Line (Landscape)"/>
    <w:basedOn w:val="Normal"/>
    <w:next w:val="Normal"/>
    <w:pPr>
      <w:pBdr>
        <w:bottom w:val="single" w:sz="4" w:space="0" w:color="000000"/>
      </w:pBdr>
      <w:spacing w:before="360" w:line="360" w:lineRule="auto"/>
      <w:ind w:left="5868" w:right="5868"/>
      <w:jc w:val="center"/>
    </w:pPr>
    <w:rPr>
      <w:b/>
    </w:rPr>
  </w:style>
  <w:style w:type="paragraph" w:customStyle="1" w:styleId="PointManual">
    <w:name w:val="Point Manual"/>
    <w:basedOn w:val="Normal"/>
    <w:pPr>
      <w:spacing w:line="360" w:lineRule="auto"/>
      <w:ind w:left="567" w:hanging="567"/>
      <w:jc w:val="left"/>
    </w:pPr>
  </w:style>
  <w:style w:type="paragraph" w:customStyle="1" w:styleId="PointManual1">
    <w:name w:val="Point Manual (1)"/>
    <w:basedOn w:val="Normal"/>
    <w:pPr>
      <w:spacing w:line="360" w:lineRule="auto"/>
      <w:ind w:left="1134" w:hanging="567"/>
      <w:jc w:val="left"/>
    </w:pPr>
  </w:style>
  <w:style w:type="paragraph" w:customStyle="1" w:styleId="PointManual2">
    <w:name w:val="Point Manual (2)"/>
    <w:basedOn w:val="Normal"/>
    <w:pPr>
      <w:spacing w:line="360" w:lineRule="auto"/>
      <w:ind w:left="1701" w:hanging="567"/>
      <w:jc w:val="left"/>
    </w:pPr>
  </w:style>
  <w:style w:type="paragraph" w:customStyle="1" w:styleId="PointManual3">
    <w:name w:val="Point Manual (3)"/>
    <w:basedOn w:val="Normal"/>
    <w:pPr>
      <w:spacing w:line="360" w:lineRule="auto"/>
      <w:ind w:left="2268" w:hanging="567"/>
      <w:jc w:val="left"/>
    </w:pPr>
  </w:style>
  <w:style w:type="paragraph" w:customStyle="1" w:styleId="PointManual4">
    <w:name w:val="Point Manual (4)"/>
    <w:basedOn w:val="Normal"/>
    <w:pPr>
      <w:spacing w:line="360" w:lineRule="auto"/>
      <w:ind w:left="2835" w:hanging="567"/>
      <w:jc w:val="left"/>
    </w:pPr>
  </w:style>
  <w:style w:type="paragraph" w:customStyle="1" w:styleId="PointDoubleManual">
    <w:name w:val="Point Double Manual"/>
    <w:basedOn w:val="Normal"/>
    <w:pPr>
      <w:tabs>
        <w:tab w:val="left" w:pos="567"/>
      </w:tabs>
      <w:spacing w:line="360" w:lineRule="auto"/>
      <w:ind w:left="1134" w:hanging="1134"/>
      <w:jc w:val="left"/>
    </w:pPr>
  </w:style>
  <w:style w:type="paragraph" w:customStyle="1" w:styleId="PointDoubleManual1">
    <w:name w:val="Point Double Manual (1)"/>
    <w:basedOn w:val="Normal"/>
    <w:pPr>
      <w:tabs>
        <w:tab w:val="left" w:pos="1134"/>
      </w:tabs>
      <w:spacing w:line="360" w:lineRule="auto"/>
      <w:ind w:left="1701" w:hanging="1134"/>
      <w:jc w:val="left"/>
    </w:pPr>
  </w:style>
  <w:style w:type="paragraph" w:customStyle="1" w:styleId="PointDoubleManual2">
    <w:name w:val="Point Double Manual (2)"/>
    <w:basedOn w:val="Normal"/>
    <w:pPr>
      <w:tabs>
        <w:tab w:val="left" w:pos="1701"/>
      </w:tabs>
      <w:spacing w:line="360" w:lineRule="auto"/>
      <w:ind w:left="2268" w:hanging="1134"/>
      <w:jc w:val="left"/>
    </w:pPr>
  </w:style>
  <w:style w:type="paragraph" w:customStyle="1" w:styleId="PointDoubleManual3">
    <w:name w:val="Point Double Manual (3)"/>
    <w:basedOn w:val="Normal"/>
    <w:pPr>
      <w:tabs>
        <w:tab w:val="left" w:pos="2268"/>
      </w:tabs>
      <w:spacing w:line="360" w:lineRule="auto"/>
      <w:ind w:left="2835" w:hanging="1134"/>
      <w:jc w:val="left"/>
    </w:pPr>
  </w:style>
  <w:style w:type="paragraph" w:customStyle="1" w:styleId="PointDoubleManual4">
    <w:name w:val="Point Double Manual (4)"/>
    <w:basedOn w:val="Normal"/>
    <w:pPr>
      <w:tabs>
        <w:tab w:val="left" w:pos="2835"/>
      </w:tabs>
      <w:spacing w:line="360" w:lineRule="auto"/>
      <w:ind w:left="3402" w:hanging="1134"/>
      <w:jc w:val="left"/>
    </w:pPr>
  </w:style>
  <w:style w:type="paragraph" w:customStyle="1" w:styleId="Pointabc">
    <w:name w:val="Point abc"/>
    <w:basedOn w:val="Normal"/>
    <w:pPr>
      <w:numPr>
        <w:ilvl w:val="1"/>
        <w:numId w:val="19"/>
      </w:numPr>
      <w:tabs>
        <w:tab w:val="num" w:pos="567"/>
      </w:tabs>
      <w:spacing w:line="360" w:lineRule="auto"/>
      <w:ind w:left="567"/>
      <w:jc w:val="left"/>
    </w:pPr>
  </w:style>
  <w:style w:type="paragraph" w:customStyle="1" w:styleId="Pointabc1">
    <w:name w:val="Point abc (1)"/>
    <w:basedOn w:val="Normal"/>
    <w:pPr>
      <w:numPr>
        <w:ilvl w:val="3"/>
        <w:numId w:val="19"/>
      </w:numPr>
      <w:tabs>
        <w:tab w:val="clear" w:pos="2268"/>
        <w:tab w:val="num" w:pos="567"/>
        <w:tab w:val="num" w:pos="1134"/>
      </w:tabs>
      <w:spacing w:line="360" w:lineRule="auto"/>
      <w:ind w:left="567"/>
      <w:jc w:val="left"/>
    </w:pPr>
  </w:style>
  <w:style w:type="paragraph" w:customStyle="1" w:styleId="Pointabc2">
    <w:name w:val="Point abc (2)"/>
    <w:basedOn w:val="Normal"/>
    <w:pPr>
      <w:numPr>
        <w:ilvl w:val="5"/>
        <w:numId w:val="19"/>
      </w:numPr>
      <w:tabs>
        <w:tab w:val="num" w:pos="1134"/>
      </w:tabs>
      <w:spacing w:line="360" w:lineRule="auto"/>
      <w:ind w:left="1134" w:hanging="567"/>
      <w:jc w:val="left"/>
    </w:pPr>
  </w:style>
  <w:style w:type="paragraph" w:customStyle="1" w:styleId="Pointabc3">
    <w:name w:val="Point abc (3)"/>
    <w:basedOn w:val="Normal"/>
    <w:pPr>
      <w:numPr>
        <w:ilvl w:val="7"/>
        <w:numId w:val="19"/>
      </w:numPr>
      <w:tabs>
        <w:tab w:val="num" w:pos="1134"/>
      </w:tabs>
      <w:spacing w:line="360" w:lineRule="auto"/>
      <w:ind w:left="1134" w:hanging="567"/>
      <w:jc w:val="left"/>
    </w:pPr>
  </w:style>
  <w:style w:type="paragraph" w:customStyle="1" w:styleId="Pointabc4">
    <w:name w:val="Point abc (4)"/>
    <w:basedOn w:val="Normal"/>
    <w:pPr>
      <w:numPr>
        <w:ilvl w:val="8"/>
        <w:numId w:val="19"/>
      </w:numPr>
      <w:tabs>
        <w:tab w:val="num" w:pos="1134"/>
      </w:tabs>
      <w:spacing w:line="360" w:lineRule="auto"/>
      <w:ind w:left="1134" w:hanging="567"/>
      <w:jc w:val="left"/>
    </w:pPr>
  </w:style>
  <w:style w:type="paragraph" w:customStyle="1" w:styleId="Point123">
    <w:name w:val="Point 123"/>
    <w:basedOn w:val="Normal"/>
    <w:pPr>
      <w:numPr>
        <w:numId w:val="19"/>
      </w:numPr>
      <w:spacing w:line="360" w:lineRule="auto"/>
      <w:jc w:val="left"/>
    </w:pPr>
  </w:style>
  <w:style w:type="paragraph" w:customStyle="1" w:styleId="Point1231">
    <w:name w:val="Point 123 (1)"/>
    <w:basedOn w:val="Normal"/>
    <w:pPr>
      <w:numPr>
        <w:ilvl w:val="2"/>
        <w:numId w:val="19"/>
      </w:numPr>
      <w:tabs>
        <w:tab w:val="clear" w:pos="1701"/>
        <w:tab w:val="num" w:pos="567"/>
        <w:tab w:val="num" w:pos="1134"/>
      </w:tabs>
      <w:spacing w:line="360" w:lineRule="auto"/>
      <w:ind w:left="567"/>
      <w:jc w:val="left"/>
    </w:pPr>
  </w:style>
  <w:style w:type="paragraph" w:customStyle="1" w:styleId="Point1232">
    <w:name w:val="Point 123 (2)"/>
    <w:basedOn w:val="Normal"/>
    <w:pPr>
      <w:spacing w:line="360" w:lineRule="auto"/>
      <w:jc w:val="left"/>
    </w:pPr>
  </w:style>
  <w:style w:type="paragraph" w:customStyle="1" w:styleId="Point1233">
    <w:name w:val="Point 123 (3)"/>
    <w:basedOn w:val="Normal"/>
    <w:pPr>
      <w:tabs>
        <w:tab w:val="num" w:pos="2835"/>
      </w:tabs>
      <w:spacing w:line="360" w:lineRule="auto"/>
      <w:ind w:left="2835" w:hanging="567"/>
      <w:jc w:val="left"/>
    </w:pPr>
  </w:style>
  <w:style w:type="paragraph" w:customStyle="1" w:styleId="Pointivx">
    <w:name w:val="Point ivx"/>
    <w:basedOn w:val="Normal"/>
    <w:pPr>
      <w:numPr>
        <w:numId w:val="20"/>
      </w:numPr>
      <w:tabs>
        <w:tab w:val="clear" w:pos="567"/>
        <w:tab w:val="num" w:pos="1134"/>
      </w:tabs>
      <w:spacing w:line="360" w:lineRule="auto"/>
      <w:ind w:left="1134"/>
      <w:jc w:val="left"/>
    </w:pPr>
  </w:style>
  <w:style w:type="paragraph" w:customStyle="1" w:styleId="Pointivx1">
    <w:name w:val="Point ivx (1)"/>
    <w:basedOn w:val="Normal"/>
    <w:pPr>
      <w:numPr>
        <w:ilvl w:val="1"/>
        <w:numId w:val="20"/>
      </w:numPr>
      <w:tabs>
        <w:tab w:val="num" w:pos="1134"/>
      </w:tabs>
      <w:spacing w:line="360" w:lineRule="auto"/>
      <w:ind w:left="1134" w:hanging="567"/>
      <w:jc w:val="left"/>
    </w:pPr>
  </w:style>
  <w:style w:type="paragraph" w:customStyle="1" w:styleId="Pointivx2">
    <w:name w:val="Point ivx (2)"/>
    <w:basedOn w:val="Normal"/>
    <w:pPr>
      <w:numPr>
        <w:ilvl w:val="2"/>
        <w:numId w:val="20"/>
      </w:numPr>
      <w:tabs>
        <w:tab w:val="num" w:pos="1701"/>
      </w:tabs>
      <w:spacing w:line="360" w:lineRule="auto"/>
      <w:ind w:left="1701" w:hanging="567"/>
      <w:jc w:val="left"/>
    </w:pPr>
  </w:style>
  <w:style w:type="paragraph" w:customStyle="1" w:styleId="Pointivx3">
    <w:name w:val="Point ivx (3)"/>
    <w:basedOn w:val="Normal"/>
    <w:pPr>
      <w:spacing w:line="360" w:lineRule="auto"/>
      <w:ind w:left="1440" w:hanging="360"/>
      <w:jc w:val="left"/>
    </w:pPr>
  </w:style>
  <w:style w:type="paragraph" w:customStyle="1" w:styleId="Pointivx4">
    <w:name w:val="Point ivx (4)"/>
    <w:basedOn w:val="Normal"/>
    <w:pPr>
      <w:numPr>
        <w:ilvl w:val="4"/>
        <w:numId w:val="20"/>
      </w:numPr>
      <w:tabs>
        <w:tab w:val="num" w:pos="2835"/>
      </w:tabs>
      <w:spacing w:line="360" w:lineRule="auto"/>
      <w:ind w:left="2835" w:hanging="567"/>
      <w:jc w:val="left"/>
    </w:pPr>
  </w:style>
  <w:style w:type="paragraph" w:customStyle="1" w:styleId="Bullet">
    <w:name w:val="Bullet"/>
    <w:basedOn w:val="Normal"/>
    <w:pPr>
      <w:numPr>
        <w:numId w:val="18"/>
      </w:numPr>
      <w:tabs>
        <w:tab w:val="clear" w:pos="1134"/>
        <w:tab w:val="num" w:pos="567"/>
      </w:tabs>
      <w:spacing w:line="360" w:lineRule="auto"/>
      <w:ind w:left="567"/>
      <w:jc w:val="left"/>
    </w:pPr>
  </w:style>
  <w:style w:type="paragraph" w:customStyle="1" w:styleId="Dash">
    <w:name w:val="Dash"/>
    <w:basedOn w:val="Normal"/>
    <w:pPr>
      <w:numPr>
        <w:numId w:val="8"/>
      </w:numPr>
      <w:tabs>
        <w:tab w:val="num" w:pos="1701"/>
      </w:tabs>
      <w:spacing w:line="360" w:lineRule="auto"/>
      <w:ind w:left="1701"/>
      <w:jc w:val="left"/>
    </w:pPr>
  </w:style>
  <w:style w:type="paragraph" w:customStyle="1" w:styleId="Dash1">
    <w:name w:val="Dash 1"/>
    <w:basedOn w:val="Normal"/>
    <w:pPr>
      <w:numPr>
        <w:numId w:val="9"/>
      </w:numPr>
      <w:tabs>
        <w:tab w:val="num" w:pos="2268"/>
      </w:tabs>
      <w:spacing w:line="360" w:lineRule="auto"/>
      <w:ind w:left="2268"/>
      <w:jc w:val="left"/>
    </w:pPr>
  </w:style>
  <w:style w:type="paragraph" w:customStyle="1" w:styleId="Dash2">
    <w:name w:val="Dash 2"/>
    <w:basedOn w:val="Normal"/>
    <w:pPr>
      <w:numPr>
        <w:numId w:val="10"/>
      </w:numPr>
      <w:tabs>
        <w:tab w:val="num" w:pos="2835"/>
      </w:tabs>
      <w:spacing w:line="360" w:lineRule="auto"/>
      <w:ind w:left="2835"/>
      <w:jc w:val="left"/>
    </w:pPr>
  </w:style>
  <w:style w:type="paragraph" w:customStyle="1" w:styleId="Dash3">
    <w:name w:val="Dash 3"/>
    <w:basedOn w:val="Normal"/>
    <w:pPr>
      <w:numPr>
        <w:numId w:val="11"/>
      </w:numPr>
      <w:tabs>
        <w:tab w:val="num" w:pos="567"/>
      </w:tabs>
      <w:spacing w:line="360" w:lineRule="auto"/>
      <w:ind w:left="567"/>
      <w:jc w:val="left"/>
    </w:pPr>
  </w:style>
  <w:style w:type="paragraph" w:customStyle="1" w:styleId="Dash4">
    <w:name w:val="Dash 4"/>
    <w:basedOn w:val="Normal"/>
    <w:pPr>
      <w:numPr>
        <w:numId w:val="12"/>
      </w:numPr>
      <w:tabs>
        <w:tab w:val="num" w:pos="1134"/>
      </w:tabs>
      <w:spacing w:line="360" w:lineRule="auto"/>
      <w:ind w:left="1134"/>
      <w:jc w:val="left"/>
    </w:pPr>
  </w:style>
  <w:style w:type="paragraph" w:customStyle="1" w:styleId="DashEqual">
    <w:name w:val="Dash Equal"/>
    <w:basedOn w:val="Dash"/>
    <w:pPr>
      <w:numPr>
        <w:numId w:val="13"/>
      </w:numPr>
      <w:ind w:left="1701"/>
    </w:pPr>
  </w:style>
  <w:style w:type="paragraph" w:customStyle="1" w:styleId="DashEqual1">
    <w:name w:val="Dash Equal 1"/>
    <w:basedOn w:val="Dash1"/>
    <w:pPr>
      <w:numPr>
        <w:numId w:val="14"/>
      </w:numPr>
      <w:ind w:left="2268"/>
    </w:pPr>
  </w:style>
  <w:style w:type="paragraph" w:customStyle="1" w:styleId="DashEqual2">
    <w:name w:val="Dash Equal 2"/>
    <w:basedOn w:val="Dash2"/>
    <w:pPr>
      <w:numPr>
        <w:numId w:val="15"/>
      </w:numPr>
      <w:ind w:left="2835"/>
    </w:pPr>
  </w:style>
  <w:style w:type="paragraph" w:customStyle="1" w:styleId="DashEqual3">
    <w:name w:val="Dash Equal 3"/>
    <w:basedOn w:val="Dash3"/>
    <w:pPr>
      <w:numPr>
        <w:numId w:val="16"/>
      </w:numPr>
      <w:tabs>
        <w:tab w:val="num" w:pos="567"/>
      </w:tabs>
      <w:ind w:left="567"/>
    </w:pPr>
  </w:style>
  <w:style w:type="paragraph" w:customStyle="1" w:styleId="DashEqual4">
    <w:name w:val="Dash Equal 4"/>
    <w:basedOn w:val="Dash4"/>
    <w:pPr>
      <w:numPr>
        <w:numId w:val="17"/>
      </w:numPr>
      <w:tabs>
        <w:tab w:val="clear" w:pos="1134"/>
      </w:tabs>
      <w:ind w:left="1134"/>
    </w:pPr>
  </w:style>
  <w:style w:type="paragraph" w:customStyle="1" w:styleId="HeadingLeft">
    <w:name w:val="Heading Left"/>
    <w:basedOn w:val="Normal"/>
    <w:next w:val="Normal"/>
    <w:pPr>
      <w:spacing w:before="360" w:line="360" w:lineRule="auto"/>
      <w:jc w:val="left"/>
      <w:outlineLvl w:val="0"/>
    </w:pPr>
    <w:rPr>
      <w:b/>
      <w:caps/>
      <w:u w:val="single"/>
    </w:rPr>
  </w:style>
  <w:style w:type="paragraph" w:customStyle="1" w:styleId="HeadingIVX">
    <w:name w:val="Heading IVX"/>
    <w:basedOn w:val="HeadingLeft"/>
    <w:next w:val="Normal"/>
    <w:pPr>
      <w:tabs>
        <w:tab w:val="num" w:pos="567"/>
      </w:tabs>
      <w:ind w:left="567" w:hanging="567"/>
    </w:pPr>
  </w:style>
  <w:style w:type="paragraph" w:customStyle="1" w:styleId="Heading123">
    <w:name w:val="Heading 123"/>
    <w:basedOn w:val="HeadingLeft"/>
    <w:next w:val="Normal"/>
    <w:pPr>
      <w:numPr>
        <w:numId w:val="22"/>
      </w:numPr>
      <w:tabs>
        <w:tab w:val="num" w:pos="850"/>
      </w:tabs>
      <w:ind w:left="850" w:hanging="850"/>
    </w:pPr>
  </w:style>
  <w:style w:type="paragraph" w:customStyle="1" w:styleId="HeadingABC">
    <w:name w:val="Heading ABC"/>
    <w:basedOn w:val="HeadingLeft"/>
    <w:next w:val="Normal"/>
    <w:pPr>
      <w:numPr>
        <w:numId w:val="21"/>
      </w:numPr>
    </w:pPr>
  </w:style>
  <w:style w:type="paragraph" w:customStyle="1" w:styleId="HeadingCentered">
    <w:name w:val="Heading Centered"/>
    <w:basedOn w:val="HeadingLeft"/>
    <w:next w:val="Normal"/>
    <w:pPr>
      <w:jc w:val="center"/>
    </w:pPr>
  </w:style>
  <w:style w:type="paragraph" w:customStyle="1" w:styleId="Jardin">
    <w:name w:val="Jardin"/>
    <w:basedOn w:val="Normal"/>
    <w:pPr>
      <w:spacing w:before="200" w:after="0"/>
      <w:jc w:val="center"/>
    </w:pPr>
  </w:style>
  <w:style w:type="paragraph" w:customStyle="1" w:styleId="Amendment">
    <w:name w:val="Amendment"/>
    <w:basedOn w:val="Normal"/>
    <w:next w:val="Normal"/>
    <w:pPr>
      <w:spacing w:line="360" w:lineRule="auto"/>
      <w:jc w:val="left"/>
    </w:pPr>
    <w:rPr>
      <w:i/>
      <w:u w:val="single"/>
    </w:rPr>
  </w:style>
  <w:style w:type="paragraph" w:customStyle="1" w:styleId="AmendmentList">
    <w:name w:val="Amendment List"/>
    <w:basedOn w:val="Normal"/>
    <w:pPr>
      <w:spacing w:line="360" w:lineRule="auto"/>
      <w:ind w:left="2268" w:hanging="2268"/>
      <w:jc w:val="left"/>
    </w:pPr>
  </w:style>
  <w:style w:type="paragraph" w:customStyle="1" w:styleId="ReplyRE">
    <w:name w:val="Reply RE"/>
    <w:basedOn w:val="Normal"/>
    <w:next w:val="Normal"/>
    <w:pPr>
      <w:spacing w:after="480"/>
      <w:contextualSpacing/>
      <w:jc w:val="left"/>
    </w:pPr>
  </w:style>
  <w:style w:type="paragraph" w:customStyle="1" w:styleId="ReplyBold">
    <w:name w:val="Reply Bold"/>
    <w:basedOn w:val="ReplyRE"/>
    <w:next w:val="Normal"/>
    <w:rPr>
      <w:b/>
    </w:rPr>
  </w:style>
  <w:style w:type="paragraph" w:customStyle="1" w:styleId="Annex">
    <w:name w:val="Annex"/>
    <w:basedOn w:val="Normal"/>
    <w:next w:val="Normal"/>
    <w:pPr>
      <w:spacing w:line="360" w:lineRule="auto"/>
      <w:jc w:val="right"/>
    </w:pPr>
    <w:rPr>
      <w:b/>
      <w:u w:val="single"/>
    </w:rPr>
  </w:style>
  <w:style w:type="paragraph" w:customStyle="1" w:styleId="Sign">
    <w:name w:val="Sign"/>
    <w:basedOn w:val="Normal"/>
    <w:pPr>
      <w:tabs>
        <w:tab w:val="center" w:pos="7087"/>
      </w:tabs>
      <w:spacing w:line="360" w:lineRule="auto"/>
      <w:contextualSpacing/>
      <w:jc w:val="left"/>
    </w:pPr>
  </w:style>
  <w:style w:type="paragraph" w:customStyle="1" w:styleId="NotDeclassified">
    <w:name w:val="Not Declassified"/>
    <w:basedOn w:val="Normal"/>
    <w:next w:val="Normal"/>
    <w:pPr>
      <w:spacing w:line="360" w:lineRule="auto"/>
      <w:jc w:val="left"/>
    </w:pPr>
    <w:rPr>
      <w:b/>
      <w:shd w:val="clear" w:color="auto" w:fill="CCCCCC"/>
    </w:rPr>
  </w:style>
  <w:style w:type="character" w:customStyle="1" w:styleId="NotDeclassifiedCharacter">
    <w:name w:val="Not Declassified Character"/>
    <w:basedOn w:val="DefaultParagraphFont"/>
    <w:rPr>
      <w:rFonts w:ascii="Times New Roman" w:hAnsi="Times New Roman" w:cs="Times New Roman"/>
      <w:b/>
      <w:sz w:val="24"/>
      <w:shd w:val="clear" w:color="auto" w:fill="CCCCCC"/>
    </w:rPr>
  </w:style>
  <w:style w:type="paragraph" w:customStyle="1" w:styleId="NormalCompact">
    <w:name w:val="Normal Compact"/>
    <w:basedOn w:val="Normal"/>
    <w:next w:val="Normal"/>
    <w:pPr>
      <w:jc w:val="left"/>
    </w:pPr>
  </w:style>
  <w:style w:type="paragraph" w:styleId="EndnoteText">
    <w:name w:val="endnote text"/>
    <w:basedOn w:val="Normal"/>
    <w:link w:val="EndnoteTextChar"/>
    <w:uiPriority w:val="99"/>
    <w:semiHidden/>
    <w:unhideWhenUsed/>
    <w:pPr>
      <w:spacing w:before="0" w:after="0"/>
      <w:jc w:val="left"/>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cs-CZ"/>
    </w:rPr>
  </w:style>
  <w:style w:type="character" w:styleId="EndnoteReference">
    <w:name w:val="endnote reference"/>
    <w:basedOn w:val="DefaultParagraphFont"/>
    <w:uiPriority w:val="99"/>
    <w:semiHidden/>
    <w:unhideWhenUsed/>
    <w:rPr>
      <w:vertAlign w:val="superscript"/>
    </w:rPr>
  </w:style>
  <w:style w:type="paragraph" w:styleId="Revision">
    <w:name w:val="Revision"/>
    <w:hidden/>
    <w:uiPriority w:val="99"/>
    <w:semiHidden/>
    <w:pPr>
      <w:spacing w:after="0" w:line="240" w:lineRule="auto"/>
    </w:pPr>
    <w:rPr>
      <w:rFonts w:ascii="Times New Roman" w:hAnsi="Times New Roman" w:cs="Times New Roman"/>
      <w:sz w:val="24"/>
    </w:rPr>
  </w:style>
  <w:style w:type="character" w:customStyle="1" w:styleId="Mention1">
    <w:name w:val="Mention1"/>
    <w:basedOn w:val="DefaultParagraphFont"/>
    <w:uiPriority w:val="99"/>
    <w:unhideWhenUsed/>
    <w:rPr>
      <w:color w:val="2B579A"/>
      <w:shd w:val="clear" w:color="auto" w:fill="E6E6E6"/>
    </w:rPr>
  </w:style>
  <w:style w:type="character" w:customStyle="1" w:styleId="Mention2">
    <w:name w:val="Mention2"/>
    <w:basedOn w:val="DefaultParagraphFont"/>
    <w:uiPriority w:val="99"/>
    <w:unhideWhenUsed/>
    <w:rPr>
      <w:color w:val="2B579A"/>
      <w:shd w:val="clear" w:color="auto" w:fill="E6E6E6"/>
    </w:rPr>
  </w:style>
  <w:style w:type="character" w:styleId="Strong">
    <w:name w:val="Strong"/>
    <w:basedOn w:val="DefaultParagraphFont"/>
    <w:uiPriority w:val="22"/>
    <w:qFormat/>
    <w:rPr>
      <w:b/>
      <w:bCs/>
    </w:rPr>
  </w:style>
  <w:style w:type="character" w:customStyle="1" w:styleId="Mention20">
    <w:name w:val="Mention20"/>
    <w:basedOn w:val="DefaultParagraphFont"/>
    <w:uiPriority w:val="99"/>
    <w:unhideWhenUsed/>
    <w:rPr>
      <w:color w:val="2B579A"/>
      <w:shd w:val="clear" w:color="auto" w:fill="E6E6E6"/>
    </w:rPr>
  </w:style>
  <w:style w:type="character" w:customStyle="1" w:styleId="Mention200">
    <w:name w:val="Mention200"/>
    <w:basedOn w:val="DefaultParagraphFont"/>
    <w:uiPriority w:val="99"/>
    <w:unhideWhenUsed/>
    <w:rPr>
      <w:color w:val="2B579A"/>
      <w:shd w:val="clear" w:color="auto" w:fill="E6E6E6"/>
    </w:rPr>
  </w:style>
  <w:style w:type="character" w:customStyle="1" w:styleId="Mention2000">
    <w:name w:val="Mention2000"/>
    <w:basedOn w:val="DefaultParagraphFont"/>
    <w:uiPriority w:val="99"/>
    <w:unhideWhenUsed/>
    <w:rPr>
      <w:color w:val="2B579A"/>
      <w:shd w:val="clear" w:color="auto" w:fill="E6E6E6"/>
    </w:rPr>
  </w:style>
  <w:style w:type="character" w:customStyle="1" w:styleId="Mention20000">
    <w:name w:val="Mention20000"/>
    <w:basedOn w:val="DefaultParagraphFont"/>
    <w:uiPriority w:val="99"/>
    <w:unhideWhenUsed/>
    <w:rPr>
      <w:color w:val="2B579A"/>
      <w:shd w:val="clear" w:color="auto" w:fill="E6E6E6"/>
    </w:rPr>
  </w:style>
  <w:style w:type="character" w:customStyle="1" w:styleId="Mention200000">
    <w:name w:val="Mention200000"/>
    <w:basedOn w:val="DefaultParagraphFont"/>
    <w:uiPriority w:val="99"/>
    <w:unhideWhenUsed/>
    <w:rPr>
      <w:color w:val="2B579A"/>
      <w:shd w:val="clear" w:color="auto" w:fill="E6E6E6"/>
    </w:rPr>
  </w:style>
  <w:style w:type="character" w:customStyle="1" w:styleId="Mention2000000">
    <w:name w:val="Mention2000000"/>
    <w:basedOn w:val="DefaultParagraphFont"/>
    <w:uiPriority w:val="99"/>
    <w:unhideWhenUsed/>
    <w:rPr>
      <w:color w:val="2B579A"/>
      <w:shd w:val="clear" w:color="auto" w:fill="E6E6E6"/>
    </w:rPr>
  </w:style>
  <w:style w:type="character" w:customStyle="1" w:styleId="Mention20000000">
    <w:name w:val="Mention20000000"/>
    <w:basedOn w:val="DefaultParagraphFont"/>
    <w:uiPriority w:val="99"/>
    <w:unhideWhenUsed/>
    <w:rPr>
      <w:color w:val="2B579A"/>
      <w:shd w:val="clear" w:color="auto" w:fill="E6E6E6"/>
    </w:rPr>
  </w:style>
  <w:style w:type="character" w:customStyle="1" w:styleId="Mention200000000">
    <w:name w:val="Mention200000000"/>
    <w:basedOn w:val="DefaultParagraphFont"/>
    <w:uiPriority w:val="99"/>
    <w:unhideWhenUsed/>
    <w:rPr>
      <w:color w:val="2B579A"/>
      <w:shd w:val="clear" w:color="auto" w:fill="E6E6E6"/>
    </w:rPr>
  </w:style>
  <w:style w:type="character" w:customStyle="1" w:styleId="Mention200000001">
    <w:name w:val="Mention200000001"/>
    <w:basedOn w:val="DefaultParagraphFont"/>
    <w:uiPriority w:val="99"/>
    <w:unhideWhenUsed/>
    <w:rPr>
      <w:color w:val="2B579A"/>
      <w:shd w:val="clear" w:color="auto" w:fill="E6E6E6"/>
    </w:rPr>
  </w:style>
  <w:style w:type="character" w:customStyle="1" w:styleId="Mention2000000010">
    <w:name w:val="Mention2000000010"/>
    <w:basedOn w:val="DefaultParagraphFont"/>
    <w:uiPriority w:val="99"/>
    <w:unhideWhenUsed/>
    <w:rPr>
      <w:color w:val="2B579A"/>
      <w:shd w:val="clear" w:color="auto" w:fill="E6E6E6"/>
    </w:rPr>
  </w:style>
  <w:style w:type="character" w:customStyle="1" w:styleId="Mention20000000100">
    <w:name w:val="Mention20000000100"/>
    <w:basedOn w:val="DefaultParagraphFont"/>
    <w:uiPriority w:val="99"/>
    <w:unhideWhenUsed/>
    <w:rPr>
      <w:color w:val="2B579A"/>
      <w:shd w:val="clear" w:color="auto" w:fill="E6E6E6"/>
    </w:rPr>
  </w:style>
  <w:style w:type="character" w:customStyle="1" w:styleId="Mention200000001000">
    <w:name w:val="Mention200000001000"/>
    <w:basedOn w:val="DefaultParagraphFont"/>
    <w:uiPriority w:val="99"/>
    <w:unhideWhenUsed/>
    <w:rPr>
      <w:color w:val="2B579A"/>
      <w:shd w:val="clear" w:color="auto" w:fill="E6E6E6"/>
    </w:rPr>
  </w:style>
  <w:style w:type="character" w:customStyle="1" w:styleId="Mention2000000010000">
    <w:name w:val="Mention2000000010000"/>
    <w:basedOn w:val="DefaultParagraphFont"/>
    <w:uiPriority w:val="99"/>
    <w:unhideWhenUsed/>
    <w:rPr>
      <w:color w:val="2B579A"/>
      <w:shd w:val="clear" w:color="auto" w:fill="E6E6E6"/>
    </w:rPr>
  </w:style>
  <w:style w:type="character" w:customStyle="1" w:styleId="Mention20000000100000">
    <w:name w:val="Mention20000000100000"/>
    <w:basedOn w:val="DefaultParagraphFont"/>
    <w:uiPriority w:val="99"/>
    <w:unhideWhenUsed/>
    <w:rPr>
      <w:color w:val="2B579A"/>
      <w:shd w:val="clear" w:color="auto" w:fill="E6E6E6"/>
    </w:rPr>
  </w:style>
  <w:style w:type="character" w:customStyle="1" w:styleId="Mention200000001000000">
    <w:name w:val="Mention200000001000000"/>
    <w:basedOn w:val="DefaultParagraphFont"/>
    <w:uiPriority w:val="99"/>
    <w:unhideWhenUsed/>
    <w:rPr>
      <w:color w:val="2B579A"/>
      <w:shd w:val="clear" w:color="auto" w:fill="E6E6E6"/>
    </w:rPr>
  </w:style>
  <w:style w:type="character" w:customStyle="1" w:styleId="Mention2000000010000000">
    <w:name w:val="Mention2000000010000000"/>
    <w:basedOn w:val="DefaultParagraphFont"/>
    <w:uiPriority w:val="99"/>
    <w:unhideWhenUsed/>
    <w:rPr>
      <w:color w:val="2B579A"/>
      <w:shd w:val="clear" w:color="auto" w:fill="E6E6E6"/>
    </w:rPr>
  </w:style>
  <w:style w:type="character" w:customStyle="1" w:styleId="Mention20000000100000000">
    <w:name w:val="Mention20000000100000000"/>
    <w:basedOn w:val="DefaultParagraphFont"/>
    <w:uiPriority w:val="99"/>
    <w:unhideWhenUsed/>
    <w:rPr>
      <w:color w:val="2B579A"/>
      <w:shd w:val="clear" w:color="auto" w:fill="E6E6E6"/>
    </w:rPr>
  </w:style>
  <w:style w:type="character" w:customStyle="1" w:styleId="Mention200000001000000000">
    <w:name w:val="Mention200000001000000000"/>
    <w:basedOn w:val="DefaultParagraphFont"/>
    <w:uiPriority w:val="99"/>
    <w:unhideWhenUsed/>
    <w:rPr>
      <w:color w:val="2B579A"/>
      <w:shd w:val="clear" w:color="auto" w:fill="E6E6E6"/>
    </w:rPr>
  </w:style>
  <w:style w:type="character" w:customStyle="1" w:styleId="Mention2000000010000000000">
    <w:name w:val="Mention2000000010000000000"/>
    <w:basedOn w:val="DefaultParagraphFont"/>
    <w:uiPriority w:val="99"/>
    <w:unhideWhenUsed/>
    <w:rPr>
      <w:color w:val="2B579A"/>
      <w:shd w:val="clear" w:color="auto" w:fill="E6E6E6"/>
    </w:rPr>
  </w:style>
  <w:style w:type="character" w:customStyle="1" w:styleId="Mention20000000100000000000">
    <w:name w:val="Mention20000000100000000000"/>
    <w:basedOn w:val="DefaultParagraphFont"/>
    <w:uiPriority w:val="99"/>
    <w:unhideWhenUsed/>
    <w:rPr>
      <w:color w:val="2B579A"/>
      <w:shd w:val="clear" w:color="auto" w:fill="E6E6E6"/>
    </w:rPr>
  </w:style>
  <w:style w:type="character" w:customStyle="1" w:styleId="Mention200000001000000000000">
    <w:name w:val="Mention200000001000000000000"/>
    <w:basedOn w:val="DefaultParagraphFont"/>
    <w:uiPriority w:val="99"/>
    <w:unhideWhenUsed/>
    <w:rPr>
      <w:color w:val="2B579A"/>
      <w:shd w:val="clear" w:color="auto" w:fill="E6E6E6"/>
    </w:rPr>
  </w:style>
  <w:style w:type="character" w:customStyle="1" w:styleId="Mention2000000010000000000000">
    <w:name w:val="Mention2000000010000000000000"/>
    <w:basedOn w:val="DefaultParagraphFont"/>
    <w:uiPriority w:val="99"/>
    <w:unhideWhenUsed/>
    <w:rPr>
      <w:color w:val="2B579A"/>
      <w:shd w:val="clear" w:color="auto" w:fill="E6E6E6"/>
    </w:rPr>
  </w:style>
  <w:style w:type="character" w:customStyle="1" w:styleId="Mention20000000100000000000000">
    <w:name w:val="Mention20000000100000000000000"/>
    <w:basedOn w:val="DefaultParagraphFont"/>
    <w:uiPriority w:val="99"/>
    <w:unhideWhenUsed/>
    <w:rPr>
      <w:color w:val="2B579A"/>
      <w:shd w:val="clear" w:color="auto" w:fill="E6E6E6"/>
    </w:rPr>
  </w:style>
  <w:style w:type="character" w:customStyle="1" w:styleId="Mention200000001000000000000000">
    <w:name w:val="Mention200000001000000000000000"/>
    <w:basedOn w:val="DefaultParagraphFont"/>
    <w:uiPriority w:val="99"/>
    <w:unhideWhenUsed/>
    <w:rPr>
      <w:color w:val="2B579A"/>
      <w:shd w:val="clear" w:color="auto" w:fill="E6E6E6"/>
    </w:rPr>
  </w:style>
  <w:style w:type="character" w:customStyle="1" w:styleId="Mention2000000010000000000000000">
    <w:name w:val="Mention2000000010000000000000000"/>
    <w:basedOn w:val="DefaultParagraphFont"/>
    <w:uiPriority w:val="99"/>
    <w:unhideWhenUsed/>
    <w:rPr>
      <w:color w:val="2B579A"/>
      <w:shd w:val="clear" w:color="auto" w:fill="E6E6E6"/>
    </w:rPr>
  </w:style>
  <w:style w:type="character" w:customStyle="1" w:styleId="Mention20000000100000000000000000">
    <w:name w:val="Mention20000000100000000000000000"/>
    <w:basedOn w:val="DefaultParagraphFont"/>
    <w:uiPriority w:val="99"/>
    <w:unhideWhenUsed/>
    <w:rPr>
      <w:color w:val="2B579A"/>
      <w:shd w:val="clear" w:color="auto" w:fill="E6E6E6"/>
    </w:rPr>
  </w:style>
  <w:style w:type="character" w:customStyle="1" w:styleId="Mention200000001000000000000000000">
    <w:name w:val="Mention200000001000000000000000000"/>
    <w:basedOn w:val="DefaultParagraphFont"/>
    <w:uiPriority w:val="99"/>
    <w:unhideWhenUsed/>
    <w:rPr>
      <w:color w:val="2B579A"/>
      <w:shd w:val="clear" w:color="auto" w:fill="E6E6E6"/>
    </w:rPr>
  </w:style>
  <w:style w:type="character" w:customStyle="1" w:styleId="Mention2000000010000000000000000000">
    <w:name w:val="Mention2000000010000000000000000000"/>
    <w:basedOn w:val="DefaultParagraphFont"/>
    <w:uiPriority w:val="99"/>
    <w:unhideWhenUsed/>
    <w:rPr>
      <w:color w:val="2B579A"/>
      <w:shd w:val="clear" w:color="auto" w:fill="E6E6E6"/>
    </w:rPr>
  </w:style>
  <w:style w:type="character" w:customStyle="1" w:styleId="Mention20000000100000000000000000000">
    <w:name w:val="Mention20000000100000000000000000000"/>
    <w:basedOn w:val="DefaultParagraphFont"/>
    <w:uiPriority w:val="99"/>
    <w:unhideWhenUsed/>
    <w:rPr>
      <w:color w:val="2B579A"/>
      <w:shd w:val="clear" w:color="auto" w:fill="E6E6E6"/>
    </w:rPr>
  </w:style>
  <w:style w:type="character" w:customStyle="1" w:styleId="Mention200000001000000000000000000000">
    <w:name w:val="Mention200000001000000000000000000000"/>
    <w:basedOn w:val="DefaultParagraphFont"/>
    <w:uiPriority w:val="99"/>
    <w:unhideWhenUsed/>
    <w:rPr>
      <w:color w:val="2B579A"/>
      <w:shd w:val="clear" w:color="auto" w:fill="E6E6E6"/>
    </w:rPr>
  </w:style>
  <w:style w:type="character" w:customStyle="1" w:styleId="Mention2000000010000000000000000000000">
    <w:name w:val="Mention2000000010000000000000000000000"/>
    <w:basedOn w:val="DefaultParagraphFont"/>
    <w:uiPriority w:val="99"/>
    <w:unhideWhenUsed/>
    <w:rPr>
      <w:color w:val="2B579A"/>
      <w:shd w:val="clear" w:color="auto" w:fill="E6E6E6"/>
    </w:rPr>
  </w:style>
  <w:style w:type="character" w:customStyle="1" w:styleId="Mention20000000100000000000000000000000">
    <w:name w:val="Mention20000000100000000000000000000000"/>
    <w:basedOn w:val="DefaultParagraphFont"/>
    <w:uiPriority w:val="99"/>
    <w:unhideWhenUsed/>
    <w:rPr>
      <w:color w:val="2B579A"/>
      <w:shd w:val="clear" w:color="auto" w:fill="E6E6E6"/>
    </w:rPr>
  </w:style>
  <w:style w:type="character" w:customStyle="1" w:styleId="Mention200000001000000000000000000000000">
    <w:name w:val="Mention200000001000000000000000000000000"/>
    <w:basedOn w:val="DefaultParagraphFont"/>
    <w:uiPriority w:val="99"/>
    <w:unhideWhenUsed/>
    <w:rPr>
      <w:color w:val="2B579A"/>
      <w:shd w:val="clear" w:color="auto" w:fill="E6E6E6"/>
    </w:rPr>
  </w:style>
  <w:style w:type="character" w:customStyle="1" w:styleId="Mention2000000010000000000000000000000000">
    <w:name w:val="Mention2000000010000000000000000000000000"/>
    <w:basedOn w:val="DefaultParagraphFont"/>
    <w:uiPriority w:val="99"/>
    <w:unhideWhenUsed/>
    <w:rPr>
      <w:color w:val="2B579A"/>
      <w:shd w:val="clear" w:color="auto" w:fill="E6E6E6"/>
    </w:rPr>
  </w:style>
  <w:style w:type="character" w:customStyle="1" w:styleId="Mention20000000100000000000000000000000000">
    <w:name w:val="Mention20000000100000000000000000000000000"/>
    <w:basedOn w:val="DefaultParagraphFont"/>
    <w:uiPriority w:val="99"/>
    <w:unhideWhenUsed/>
    <w:rPr>
      <w:color w:val="2B579A"/>
      <w:shd w:val="clear" w:color="auto" w:fill="E6E6E6"/>
    </w:rPr>
  </w:style>
  <w:style w:type="character" w:customStyle="1" w:styleId="Mention200000001000000000000000000000000000">
    <w:name w:val="Mention200000001000000000000000000000000000"/>
    <w:basedOn w:val="DefaultParagraphFont"/>
    <w:uiPriority w:val="99"/>
    <w:unhideWhenUsed/>
    <w:rPr>
      <w:color w:val="2B579A"/>
      <w:shd w:val="clear" w:color="auto" w:fill="E6E6E6"/>
    </w:rPr>
  </w:style>
  <w:style w:type="character" w:customStyle="1" w:styleId="Mention2000000010000000000000000000000000000">
    <w:name w:val="Mention2000000010000000000000000000000000000"/>
    <w:basedOn w:val="DefaultParagraphFont"/>
    <w:uiPriority w:val="99"/>
    <w:unhideWhenUsed/>
    <w:rPr>
      <w:color w:val="2B579A"/>
      <w:shd w:val="clear" w:color="auto" w:fill="E6E6E6"/>
    </w:rPr>
  </w:style>
  <w:style w:type="character" w:customStyle="1" w:styleId="Mention20000000100000000000000000000000000000">
    <w:name w:val="Mention20000000100000000000000000000000000000"/>
    <w:basedOn w:val="DefaultParagraphFont"/>
    <w:uiPriority w:val="99"/>
    <w:unhideWhenUsed/>
    <w:rPr>
      <w:color w:val="2B579A"/>
      <w:shd w:val="clear" w:color="auto" w:fill="E6E6E6"/>
    </w:rPr>
  </w:style>
  <w:style w:type="character" w:customStyle="1" w:styleId="Mention3">
    <w:name w:val="Mention3"/>
    <w:basedOn w:val="DefaultParagraphFont"/>
    <w:uiPriority w:val="99"/>
    <w:unhideWhenUsed/>
    <w:rPr>
      <w:color w:val="2B579A"/>
      <w:shd w:val="clear" w:color="auto" w:fill="E6E6E6"/>
    </w:rPr>
  </w:style>
  <w:style w:type="character" w:customStyle="1" w:styleId="Mention2000000000">
    <w:name w:val="Mention2000000000"/>
    <w:basedOn w:val="DefaultParagraphFont"/>
    <w:uiPriority w:val="99"/>
    <w:unhideWhenUsed/>
    <w:rPr>
      <w:color w:val="2B579A"/>
      <w:shd w:val="clear" w:color="auto" w:fill="E6E6E6"/>
    </w:rPr>
  </w:style>
  <w:style w:type="character" w:customStyle="1" w:styleId="Mention20000000000">
    <w:name w:val="Mention20000000000"/>
    <w:basedOn w:val="DefaultParagraphFont"/>
    <w:uiPriority w:val="99"/>
    <w:unhideWhenUsed/>
    <w:rPr>
      <w:color w:val="2B579A"/>
      <w:shd w:val="clear" w:color="auto" w:fill="E6E6E6"/>
    </w:rPr>
  </w:style>
  <w:style w:type="character" w:customStyle="1" w:styleId="Mention200000000000">
    <w:name w:val="Mention200000000000"/>
    <w:basedOn w:val="DefaultParagraphFont"/>
    <w:uiPriority w:val="99"/>
    <w:unhideWhenUsed/>
    <w:rPr>
      <w:color w:val="2B579A"/>
      <w:shd w:val="clear" w:color="auto" w:fill="E6E6E6"/>
    </w:rPr>
  </w:style>
  <w:style w:type="character" w:customStyle="1" w:styleId="Mention4">
    <w:name w:val="Mention4"/>
    <w:basedOn w:val="DefaultParagraphFont"/>
    <w:uiPriority w:val="99"/>
    <w:unhideWhenUsed/>
    <w:rPr>
      <w:color w:val="2B579A"/>
      <w:shd w:val="clear" w:color="auto" w:fill="E6E6E6"/>
    </w:rPr>
  </w:style>
  <w:style w:type="character" w:customStyle="1" w:styleId="crmarker">
    <w:name w:val="crmarker"/>
    <w:basedOn w:val="DefaultParagraphFont"/>
  </w:style>
  <w:style w:type="character" w:customStyle="1" w:styleId="Mention500000">
    <w:name w:val="Mention500000"/>
    <w:basedOn w:val="DefaultParagraphFont"/>
    <w:uiPriority w:val="99"/>
    <w:unhideWhenUsed/>
    <w:rPr>
      <w:color w:val="2B579A"/>
      <w:shd w:val="clear" w:color="auto" w:fill="E6E6E6"/>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5">
    <w:name w:val="Mention5"/>
    <w:basedOn w:val="DefaultParagraphFont"/>
    <w:uiPriority w:val="99"/>
    <w:unhideWhenUsed/>
    <w:rPr>
      <w:color w:val="2B579A"/>
      <w:shd w:val="clear" w:color="auto" w:fill="E6E6E6"/>
    </w:rPr>
  </w:style>
  <w:style w:type="character" w:styleId="Emphasis">
    <w:name w:val="Emphasis"/>
    <w:basedOn w:val="DefaultParagraphFont"/>
    <w:uiPriority w:val="20"/>
    <w:qFormat/>
    <w:rPr>
      <w:i/>
      <w:iCs/>
    </w:rPr>
  </w:style>
  <w:style w:type="character" w:customStyle="1" w:styleId="Mention50">
    <w:name w:val="Mention50"/>
    <w:basedOn w:val="DefaultParagraphFont"/>
    <w:uiPriority w:val="99"/>
    <w:unhideWhenUsed/>
    <w:rPr>
      <w:color w:val="2B579A"/>
      <w:shd w:val="clear" w:color="auto" w:fill="E6E6E6"/>
    </w:rPr>
  </w:style>
  <w:style w:type="character" w:customStyle="1" w:styleId="Mention500">
    <w:name w:val="Mention500"/>
    <w:basedOn w:val="DefaultParagraphFont"/>
    <w:uiPriority w:val="99"/>
    <w:unhideWhenUsed/>
    <w:rPr>
      <w:color w:val="2B579A"/>
      <w:shd w:val="clear" w:color="auto" w:fill="E6E6E6"/>
    </w:rPr>
  </w:style>
  <w:style w:type="character" w:customStyle="1" w:styleId="Mention5000">
    <w:name w:val="Mention5000"/>
    <w:basedOn w:val="DefaultParagraphFont"/>
    <w:uiPriority w:val="99"/>
    <w:unhideWhenUsed/>
    <w:rPr>
      <w:color w:val="2B579A"/>
      <w:shd w:val="clear" w:color="auto" w:fill="E6E6E6"/>
    </w:rPr>
  </w:style>
  <w:style w:type="character" w:customStyle="1" w:styleId="Mention50000">
    <w:name w:val="Mention50000"/>
    <w:basedOn w:val="DefaultParagraphFont"/>
    <w:uiPriority w:val="99"/>
    <w:unhideWhenUsed/>
    <w:rPr>
      <w:color w:val="2B579A"/>
      <w:shd w:val="clear" w:color="auto" w:fill="E6E6E6"/>
    </w:rPr>
  </w:style>
  <w:style w:type="character" w:customStyle="1" w:styleId="Mention5000000">
    <w:name w:val="Mention5000000"/>
    <w:basedOn w:val="DefaultParagraphFont"/>
    <w:uiPriority w:val="99"/>
    <w:unhideWhenUsed/>
    <w:rPr>
      <w:color w:val="2B579A"/>
      <w:shd w:val="clear" w:color="auto" w:fill="E6E6E6"/>
    </w:rPr>
  </w:style>
  <w:style w:type="character" w:customStyle="1" w:styleId="Mention50000000">
    <w:name w:val="Mention50000000"/>
    <w:basedOn w:val="DefaultParagraphFont"/>
    <w:uiPriority w:val="99"/>
    <w:unhideWhenUsed/>
    <w:rPr>
      <w:color w:val="2B579A"/>
      <w:shd w:val="clear" w:color="auto" w:fill="E6E6E6"/>
    </w:rPr>
  </w:style>
  <w:style w:type="character" w:customStyle="1" w:styleId="Mention500000000">
    <w:name w:val="Mention500000000"/>
    <w:basedOn w:val="DefaultParagraphFont"/>
    <w:uiPriority w:val="99"/>
    <w:unhideWhenUsed/>
    <w:rPr>
      <w:color w:val="2B579A"/>
      <w:shd w:val="clear" w:color="auto" w:fill="E6E6E6"/>
    </w:rPr>
  </w:style>
  <w:style w:type="character" w:customStyle="1" w:styleId="Mention5000000000">
    <w:name w:val="Mention5000000000"/>
    <w:basedOn w:val="DefaultParagraphFont"/>
    <w:uiPriority w:val="99"/>
    <w:unhideWhenUsed/>
    <w:rPr>
      <w:color w:val="2B579A"/>
      <w:shd w:val="clear" w:color="auto" w:fill="E6E6E6"/>
    </w:rPr>
  </w:style>
  <w:style w:type="character" w:customStyle="1" w:styleId="Mention50000000000">
    <w:name w:val="Mention50000000000"/>
    <w:basedOn w:val="DefaultParagraphFont"/>
    <w:uiPriority w:val="99"/>
    <w:unhideWhenUsed/>
    <w:rPr>
      <w:color w:val="2B579A"/>
      <w:shd w:val="clear" w:color="auto" w:fill="E6E6E6"/>
    </w:rPr>
  </w:style>
  <w:style w:type="character" w:customStyle="1" w:styleId="Mention500000000000">
    <w:name w:val="Mention500000000000"/>
    <w:basedOn w:val="DefaultParagraphFont"/>
    <w:uiPriority w:val="99"/>
    <w:unhideWhenUsed/>
    <w:rPr>
      <w:color w:val="2B579A"/>
      <w:shd w:val="clear" w:color="auto" w:fill="E6E6E6"/>
    </w:rPr>
  </w:style>
  <w:style w:type="character" w:customStyle="1" w:styleId="Mention5000000000000">
    <w:name w:val="Mention5000000000000"/>
    <w:basedOn w:val="DefaultParagraphFont"/>
    <w:uiPriority w:val="99"/>
    <w:unhideWhenUsed/>
    <w:rPr>
      <w:color w:val="2B579A"/>
      <w:shd w:val="clear" w:color="auto" w:fill="E6E6E6"/>
    </w:rPr>
  </w:style>
  <w:style w:type="character" w:customStyle="1" w:styleId="Mention50000000000000">
    <w:name w:val="Mention50000000000000"/>
    <w:basedOn w:val="DefaultParagraphFont"/>
    <w:uiPriority w:val="99"/>
    <w:unhideWhenUsed/>
    <w:rPr>
      <w:color w:val="2B579A"/>
      <w:shd w:val="clear" w:color="auto" w:fill="E6E6E6"/>
    </w:rPr>
  </w:style>
  <w:style w:type="character" w:customStyle="1" w:styleId="Mention500000000000000">
    <w:name w:val="Mention500000000000000"/>
    <w:basedOn w:val="DefaultParagraphFont"/>
    <w:uiPriority w:val="99"/>
    <w:unhideWhenUsed/>
    <w:rPr>
      <w:color w:val="2B579A"/>
      <w:shd w:val="clear" w:color="auto" w:fill="E6E6E6"/>
    </w:rPr>
  </w:style>
  <w:style w:type="character" w:customStyle="1" w:styleId="Mention5000000000000000">
    <w:name w:val="Mention5000000000000000"/>
    <w:basedOn w:val="DefaultParagraphFont"/>
    <w:uiPriority w:val="99"/>
    <w:unhideWhenUsed/>
    <w:rPr>
      <w:color w:val="2B579A"/>
      <w:shd w:val="clear" w:color="auto" w:fill="E6E6E6"/>
    </w:rPr>
  </w:style>
  <w:style w:type="character" w:customStyle="1" w:styleId="Mention50000000000000000">
    <w:name w:val="Mention50000000000000000"/>
    <w:basedOn w:val="DefaultParagraphFont"/>
    <w:uiPriority w:val="99"/>
    <w:unhideWhenUsed/>
    <w:rPr>
      <w:color w:val="2B579A"/>
      <w:shd w:val="clear" w:color="auto" w:fill="E6E6E6"/>
    </w:rPr>
  </w:style>
  <w:style w:type="character" w:customStyle="1" w:styleId="Mention6">
    <w:name w:val="Mention6"/>
    <w:basedOn w:val="DefaultParagraphFont"/>
    <w:uiPriority w:val="99"/>
    <w:unhideWhenUsed/>
    <w:rPr>
      <w:color w:val="2B579A"/>
      <w:shd w:val="clear" w:color="auto" w:fill="E6E6E6"/>
    </w:rPr>
  </w:style>
  <w:style w:type="character" w:customStyle="1" w:styleId="Mention7">
    <w:name w:val="Mention7"/>
    <w:basedOn w:val="DefaultParagraphFont"/>
    <w:uiPriority w:val="99"/>
    <w:unhideWhenUsed/>
    <w:rPr>
      <w:color w:val="2B579A"/>
      <w:shd w:val="clear" w:color="auto" w:fill="E6E6E6"/>
    </w:rPr>
  </w:style>
  <w:style w:type="character" w:customStyle="1" w:styleId="Mention8">
    <w:name w:val="Mention8"/>
    <w:basedOn w:val="DefaultParagraphFont"/>
    <w:uiPriority w:val="99"/>
    <w:unhideWhenUsed/>
    <w:rPr>
      <w:color w:val="2B579A"/>
      <w:shd w:val="clear" w:color="auto" w:fill="E6E6E6"/>
    </w:rPr>
  </w:style>
  <w:style w:type="character" w:styleId="FollowedHyperlink">
    <w:name w:val="FollowedHyperlink"/>
    <w:basedOn w:val="DefaultParagraphFont"/>
    <w:unhideWhenUsed/>
    <w:rPr>
      <w:color w:val="800080" w:themeColor="followedHyperlink"/>
      <w:u w:val="single"/>
    </w:rPr>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12 Char,List Paragraph11 Char,OBC Bullet Char,L Char"/>
    <w:basedOn w:val="DefaultParagraphFont"/>
    <w:link w:val="ListParagraph"/>
    <w:uiPriority w:val="34"/>
    <w:qFormat/>
    <w:locked/>
    <w:rPr>
      <w:rFonts w:ascii="Times New Roman" w:hAnsi="Times New Roman" w:cs="Times New Roman"/>
      <w:sz w:val="24"/>
      <w:lang w:val="cs-CZ"/>
    </w:rPr>
  </w:style>
  <w:style w:type="character" w:customStyle="1" w:styleId="Mention9">
    <w:name w:val="Mention9"/>
    <w:basedOn w:val="DefaultParagraphFont"/>
    <w:uiPriority w:val="99"/>
    <w:unhideWhenUsed/>
    <w:rPr>
      <w:color w:val="2B579A"/>
      <w:shd w:val="clear" w:color="auto" w:fill="E6E6E6"/>
    </w:rPr>
  </w:style>
  <w:style w:type="character" w:customStyle="1" w:styleId="UnresolvedMention2">
    <w:name w:val="Unresolved Mention2"/>
    <w:basedOn w:val="DefaultParagraphFont"/>
    <w:uiPriority w:val="99"/>
    <w:unhideWhenUsed/>
    <w:rPr>
      <w:color w:val="605E5C"/>
      <w:shd w:val="clear" w:color="auto" w:fill="E1DFDD"/>
    </w:rPr>
  </w:style>
  <w:style w:type="character" w:customStyle="1" w:styleId="Mention10">
    <w:name w:val="Mention10"/>
    <w:basedOn w:val="DefaultParagraphFont"/>
    <w:uiPriority w:val="99"/>
    <w:unhideWhenUsed/>
    <w:rPr>
      <w:color w:val="2B579A"/>
      <w:shd w:val="clear" w:color="auto" w:fill="E6E6E6"/>
    </w:rPr>
  </w:style>
  <w:style w:type="character" w:customStyle="1" w:styleId="Mention11">
    <w:name w:val="Mention11"/>
    <w:basedOn w:val="DefaultParagraphFont"/>
    <w:uiPriority w:val="99"/>
    <w:unhideWhenUsed/>
    <w:rPr>
      <w:color w:val="2B579A"/>
      <w:shd w:val="clear" w:color="auto" w:fill="E1DFDD"/>
    </w:rPr>
  </w:style>
  <w:style w:type="character" w:customStyle="1" w:styleId="Mention12">
    <w:name w:val="Mention12"/>
    <w:basedOn w:val="DefaultParagraphFont"/>
    <w:uiPriority w:val="99"/>
    <w:unhideWhenUsed/>
    <w:rPr>
      <w:color w:val="2B579A"/>
      <w:shd w:val="clear" w:color="auto" w:fill="E6E6E6"/>
    </w:rPr>
  </w:style>
  <w:style w:type="character" w:customStyle="1" w:styleId="Mention13">
    <w:name w:val="Mention13"/>
    <w:basedOn w:val="DefaultParagraphFont"/>
    <w:uiPriority w:val="99"/>
    <w:unhideWhenUsed/>
    <w:rPr>
      <w:color w:val="2B579A"/>
      <w:shd w:val="clear" w:color="auto" w:fill="E6E6E6"/>
    </w:rPr>
  </w:style>
  <w:style w:type="character" w:customStyle="1" w:styleId="Mention14">
    <w:name w:val="Mention14"/>
    <w:basedOn w:val="DefaultParagraphFont"/>
    <w:uiPriority w:val="99"/>
    <w:unhideWhenUsed/>
    <w:rPr>
      <w:color w:val="2B579A"/>
      <w:shd w:val="clear" w:color="auto" w:fill="E6E6E6"/>
    </w:rPr>
  </w:style>
  <w:style w:type="character" w:customStyle="1" w:styleId="UnresolvedMention3">
    <w:name w:val="Unresolved Mention3"/>
    <w:basedOn w:val="DefaultParagraphFont"/>
    <w:uiPriority w:val="99"/>
    <w:unhideWhenUsed/>
    <w:rPr>
      <w:color w:val="605E5C"/>
      <w:shd w:val="clear" w:color="auto" w:fill="E1DFDD"/>
    </w:rPr>
  </w:style>
  <w:style w:type="character" w:customStyle="1" w:styleId="Mention15">
    <w:name w:val="Mention15"/>
    <w:basedOn w:val="DefaultParagraphFont"/>
    <w:uiPriority w:val="99"/>
    <w:unhideWhenUsed/>
    <w:rPr>
      <w:color w:val="2B579A"/>
      <w:shd w:val="clear" w:color="auto" w:fill="E6E6E6"/>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color w:val="000000"/>
      <w:szCs w:val="20"/>
      <w:u w:val="single"/>
    </w:rPr>
  </w:style>
  <w:style w:type="character" w:customStyle="1" w:styleId="ExposdesmotifstitreChar">
    <w:name w:val="Exposé des motifs titre Char"/>
    <w:basedOn w:val="DefaultParagraphFont"/>
    <w:rPr>
      <w:rFonts w:ascii="Times New Roman" w:hAnsi="Times New Roman" w:cs="Times New Roman"/>
      <w:b/>
      <w:sz w:val="24"/>
      <w:u w:val="single"/>
      <w:lang w:val="cs-CZ"/>
    </w:rPr>
  </w:style>
  <w:style w:type="character" w:customStyle="1" w:styleId="FooterCoverPageChar">
    <w:name w:val="Footer Cover Page Char"/>
    <w:basedOn w:val="ExposdesmotifstitreChar"/>
    <w:link w:val="FooterCoverPage"/>
    <w:rPr>
      <w:rFonts w:ascii="Times New Roman" w:hAnsi="Times New Roman" w:cs="Times New Roman"/>
      <w:b w:val="0"/>
      <w:color w:val="000000"/>
      <w:sz w:val="24"/>
      <w:szCs w:val="20"/>
      <w:u w:val="single"/>
      <w:lang w:val="cs-CZ"/>
    </w:rPr>
  </w:style>
  <w:style w:type="character" w:customStyle="1" w:styleId="FooterSensitivityChar">
    <w:name w:val="Footer Sensitivity Char"/>
    <w:basedOn w:val="ExposdesmotifstitreChar"/>
    <w:rPr>
      <w:rFonts w:ascii="Times New Roman" w:hAnsi="Times New Roman" w:cs="Times New Roman"/>
      <w:b/>
      <w:sz w:val="32"/>
      <w:u w:val="single"/>
      <w:lang w:val="cs-CZ"/>
    </w:rPr>
  </w:style>
  <w:style w:type="paragraph" w:customStyle="1" w:styleId="HeaderCoverPage">
    <w:name w:val="Header Cover Page"/>
    <w:basedOn w:val="Normal"/>
    <w:link w:val="HeaderCoverPageChar"/>
    <w:pPr>
      <w:tabs>
        <w:tab w:val="center" w:pos="4535"/>
        <w:tab w:val="right" w:pos="9071"/>
      </w:tabs>
      <w:spacing w:before="0"/>
    </w:pPr>
    <w:rPr>
      <w:color w:val="000000"/>
      <w:szCs w:val="20"/>
      <w:u w:val="single"/>
    </w:rPr>
  </w:style>
  <w:style w:type="character" w:customStyle="1" w:styleId="HeaderCoverPageChar">
    <w:name w:val="Header Cover Page Char"/>
    <w:basedOn w:val="ExposdesmotifstitreChar"/>
    <w:link w:val="HeaderCoverPage"/>
    <w:rPr>
      <w:rFonts w:ascii="Times New Roman" w:hAnsi="Times New Roman" w:cs="Times New Roman"/>
      <w:b w:val="0"/>
      <w:color w:val="000000"/>
      <w:sz w:val="24"/>
      <w:szCs w:val="20"/>
      <w:u w:val="single"/>
      <w:lang w:val="cs-CZ"/>
    </w:rPr>
  </w:style>
  <w:style w:type="character" w:customStyle="1" w:styleId="HeaderSensitivityChar">
    <w:name w:val="Header Sensitivity Char"/>
    <w:basedOn w:val="ExposdesmotifstitreChar"/>
    <w:rPr>
      <w:rFonts w:ascii="Times New Roman" w:hAnsi="Times New Roman" w:cs="Times New Roman"/>
      <w:b/>
      <w:sz w:val="32"/>
      <w:u w:val="single"/>
      <w:lang w:val="cs-CZ"/>
    </w:rPr>
  </w:style>
  <w:style w:type="character" w:customStyle="1" w:styleId="HeaderSensitivityRightChar">
    <w:name w:val="Header Sensitivity Right Char"/>
    <w:basedOn w:val="ExposdesmotifstitreChar"/>
    <w:rPr>
      <w:rFonts w:ascii="Times New Roman" w:hAnsi="Times New Roman" w:cs="Times New Roman"/>
      <w:b w:val="0"/>
      <w:sz w:val="28"/>
      <w:u w:val="single"/>
      <w:lang w:val="cs-CZ"/>
    </w:rPr>
  </w:style>
  <w:style w:type="paragraph" w:customStyle="1" w:styleId="ListBullet1">
    <w:name w:val="List Bullet 1"/>
    <w:basedOn w:val="Normal"/>
    <w:pPr>
      <w:numPr>
        <w:numId w:val="25"/>
      </w:numPr>
      <w:tabs>
        <w:tab w:val="clear" w:pos="1134"/>
        <w:tab w:val="num" w:pos="850"/>
      </w:tabs>
      <w:ind w:left="850" w:hanging="850"/>
    </w:pPr>
    <w:rPr>
      <w:lang w:eastAsia="en-GB"/>
    </w:rPr>
  </w:style>
  <w:style w:type="paragraph" w:customStyle="1" w:styleId="ListDash1">
    <w:name w:val="List Dash 1"/>
    <w:basedOn w:val="Normal"/>
    <w:pPr>
      <w:numPr>
        <w:numId w:val="26"/>
      </w:numPr>
      <w:tabs>
        <w:tab w:val="clear" w:pos="1134"/>
        <w:tab w:val="num" w:pos="850"/>
      </w:tabs>
      <w:ind w:left="850" w:hanging="850"/>
    </w:pPr>
    <w:rPr>
      <w:lang w:eastAsia="en-GB"/>
    </w:rPr>
  </w:style>
  <w:style w:type="paragraph" w:customStyle="1" w:styleId="ListDash2">
    <w:name w:val="List Dash 2"/>
    <w:basedOn w:val="Normal"/>
    <w:pPr>
      <w:numPr>
        <w:numId w:val="27"/>
      </w:numPr>
      <w:ind w:left="1044"/>
    </w:pPr>
    <w:rPr>
      <w:lang w:eastAsia="en-GB"/>
    </w:rPr>
  </w:style>
  <w:style w:type="paragraph" w:customStyle="1" w:styleId="ListNumberLevel2">
    <w:name w:val="List Number (Level 2)"/>
    <w:basedOn w:val="Normal"/>
    <w:pPr>
      <w:tabs>
        <w:tab w:val="num" w:pos="1417"/>
      </w:tabs>
      <w:ind w:left="1417" w:hanging="708"/>
    </w:pPr>
    <w:rPr>
      <w:lang w:eastAsia="en-GB"/>
    </w:rPr>
  </w:style>
  <w:style w:type="paragraph" w:customStyle="1" w:styleId="ListNumberLevel3">
    <w:name w:val="List Number (Level 3)"/>
    <w:basedOn w:val="Normal"/>
    <w:pPr>
      <w:tabs>
        <w:tab w:val="num" w:pos="2126"/>
      </w:tabs>
      <w:ind w:left="2126" w:hanging="709"/>
    </w:pPr>
    <w:rPr>
      <w:lang w:eastAsia="en-GB"/>
    </w:rPr>
  </w:style>
  <w:style w:type="paragraph" w:customStyle="1" w:styleId="ListNumberLevel4">
    <w:name w:val="List Number (Level 4)"/>
    <w:basedOn w:val="Normal"/>
    <w:pPr>
      <w:tabs>
        <w:tab w:val="num" w:pos="2835"/>
      </w:tabs>
      <w:ind w:left="2835" w:hanging="709"/>
    </w:pPr>
    <w:rPr>
      <w:lang w:eastAsia="en-GB"/>
    </w:rPr>
  </w:style>
  <w:style w:type="paragraph" w:customStyle="1" w:styleId="Fichefinancirestandardtitre">
    <w:name w:val="Fiche financière (standard) titre"/>
    <w:basedOn w:val="Normal"/>
    <w:next w:val="Normal"/>
    <w:pPr>
      <w:jc w:val="center"/>
    </w:pPr>
    <w:rPr>
      <w:b/>
      <w:u w:val="single"/>
      <w:lang w:eastAsia="en-GB"/>
    </w:rPr>
  </w:style>
  <w:style w:type="paragraph" w:customStyle="1" w:styleId="Sous-titreobjet">
    <w:name w:val="Sous-titre objet"/>
    <w:basedOn w:val="Normal"/>
    <w:pPr>
      <w:spacing w:before="0" w:after="0"/>
      <w:jc w:val="center"/>
    </w:pPr>
    <w:rPr>
      <w:b/>
      <w:lang w:eastAsia="en-GB"/>
    </w:rPr>
  </w:style>
  <w:style w:type="paragraph" w:customStyle="1" w:styleId="Sous-titreobjetPagedecouverture">
    <w:name w:val="Sous-titre objet (Page de couverture)"/>
    <w:basedOn w:val="Sous-titreobjet"/>
  </w:style>
  <w:style w:type="character" w:customStyle="1" w:styleId="TOCHeadingChar">
    <w:name w:val="TOC Heading Char"/>
    <w:basedOn w:val="DefaultParagraphFont"/>
    <w:uiPriority w:val="39"/>
    <w:rPr>
      <w:rFonts w:ascii="Times New Roman" w:hAnsi="Times New Roman" w:cs="Times New Roman"/>
      <w:b/>
      <w:sz w:val="28"/>
      <w:lang w:val="cs-CZ"/>
    </w:rPr>
  </w:style>
  <w:style w:type="paragraph" w:customStyle="1" w:styleId="ListDash3">
    <w:name w:val="List Dash 3"/>
    <w:basedOn w:val="Normal"/>
    <w:pPr>
      <w:numPr>
        <w:numId w:val="28"/>
      </w:numPr>
      <w:tabs>
        <w:tab w:val="num" w:pos="850"/>
      </w:tabs>
      <w:ind w:left="850" w:hanging="850"/>
    </w:pPr>
    <w:rPr>
      <w:rFonts w:eastAsia="Times New Roman"/>
      <w:lang w:eastAsia="en-GB"/>
    </w:rPr>
  </w:style>
  <w:style w:type="character" w:customStyle="1" w:styleId="Mention16">
    <w:name w:val="Mention16"/>
    <w:basedOn w:val="DefaultParagraphFont"/>
    <w:uiPriority w:val="99"/>
    <w:unhideWhenUsed/>
    <w:rPr>
      <w:color w:val="2B579A"/>
      <w:shd w:val="clear" w:color="auto" w:fill="E6E6E6"/>
    </w:rPr>
  </w:style>
  <w:style w:type="character" w:customStyle="1" w:styleId="Mention17">
    <w:name w:val="Mention17"/>
    <w:basedOn w:val="DefaultParagraphFont"/>
    <w:uiPriority w:val="99"/>
    <w:unhideWhenUsed/>
    <w:rPr>
      <w:color w:val="2B579A"/>
      <w:shd w:val="clear" w:color="auto" w:fill="E6E6E6"/>
    </w:rPr>
  </w:style>
  <w:style w:type="character" w:customStyle="1" w:styleId="Mention160">
    <w:name w:val="Mention160"/>
    <w:basedOn w:val="DefaultParagraphFont"/>
    <w:uiPriority w:val="99"/>
    <w:unhideWhenUsed/>
    <w:rPr>
      <w:color w:val="2B579A"/>
      <w:shd w:val="clear" w:color="auto" w:fill="E6E6E6"/>
    </w:rPr>
  </w:style>
  <w:style w:type="character" w:customStyle="1" w:styleId="Mention1600">
    <w:name w:val="Mention1600"/>
    <w:basedOn w:val="DefaultParagraphFont"/>
    <w:uiPriority w:val="99"/>
    <w:unhideWhenUsed/>
    <w:rPr>
      <w:color w:val="2B579A"/>
      <w:shd w:val="clear" w:color="auto" w:fill="E6E6E6"/>
    </w:rPr>
  </w:style>
  <w:style w:type="paragraph" w:customStyle="1" w:styleId="Normal2">
    <w:name w:val="Normal2"/>
    <w:basedOn w:val="Normal"/>
    <w:pPr>
      <w:spacing w:before="100" w:beforeAutospacing="1" w:after="100" w:afterAutospacing="1"/>
      <w:jc w:val="left"/>
    </w:pPr>
    <w:rPr>
      <w:rFonts w:eastAsia="Times New Roman"/>
      <w:szCs w:val="24"/>
      <w:lang w:eastAsia="en-IE"/>
    </w:rPr>
  </w:style>
  <w:style w:type="paragraph" w:customStyle="1" w:styleId="ti-art">
    <w:name w:val="ti-art"/>
    <w:basedOn w:val="Normal"/>
    <w:pPr>
      <w:spacing w:before="100" w:beforeAutospacing="1" w:after="100" w:afterAutospacing="1"/>
      <w:jc w:val="left"/>
    </w:pPr>
    <w:rPr>
      <w:rFonts w:eastAsia="Times New Roman"/>
      <w:szCs w:val="24"/>
      <w:lang w:eastAsia="en-IE"/>
    </w:rPr>
  </w:style>
  <w:style w:type="paragraph" w:customStyle="1" w:styleId="sti-art">
    <w:name w:val="sti-art"/>
    <w:basedOn w:val="Normal"/>
    <w:pPr>
      <w:spacing w:before="100" w:beforeAutospacing="1" w:after="100" w:afterAutospacing="1"/>
      <w:jc w:val="left"/>
    </w:pPr>
    <w:rPr>
      <w:rFonts w:eastAsia="Times New Roman"/>
      <w:szCs w:val="24"/>
      <w:lang w:eastAsia="en-IE"/>
    </w:rPr>
  </w:style>
  <w:style w:type="character" w:customStyle="1" w:styleId="Mention170">
    <w:name w:val="Mention170"/>
    <w:basedOn w:val="DefaultParagraphFont"/>
    <w:uiPriority w:val="99"/>
    <w:unhideWhenUsed/>
    <w:rPr>
      <w:color w:val="2B579A"/>
      <w:shd w:val="clear" w:color="auto" w:fill="E6E6E6"/>
    </w:rPr>
  </w:style>
  <w:style w:type="character" w:customStyle="1" w:styleId="UnresolvedMention4">
    <w:name w:val="Unresolved Mention4"/>
    <w:basedOn w:val="DefaultParagraphFont"/>
    <w:uiPriority w:val="99"/>
    <w:unhideWhenUsed/>
    <w:rPr>
      <w:color w:val="605E5C"/>
      <w:shd w:val="clear" w:color="auto" w:fill="E1DFDD"/>
    </w:rPr>
  </w:style>
  <w:style w:type="character" w:customStyle="1" w:styleId="Mention1700">
    <w:name w:val="Mention1700"/>
    <w:basedOn w:val="DefaultParagraphFont"/>
    <w:uiPriority w:val="99"/>
    <w:unhideWhenUsed/>
    <w:rPr>
      <w:color w:val="2B579A"/>
      <w:shd w:val="clear" w:color="auto" w:fill="E6E6E6"/>
    </w:rPr>
  </w:style>
  <w:style w:type="character" w:customStyle="1" w:styleId="Mention171">
    <w:name w:val="Mention171"/>
    <w:basedOn w:val="DefaultParagraphFont"/>
    <w:uiPriority w:val="99"/>
    <w:unhideWhenUsed/>
    <w:rPr>
      <w:color w:val="2B579A"/>
      <w:shd w:val="clear" w:color="auto" w:fill="E6E6E6"/>
    </w:rPr>
  </w:style>
  <w:style w:type="character" w:customStyle="1" w:styleId="Mention17000">
    <w:name w:val="Mention17000"/>
    <w:basedOn w:val="DefaultParagraphFont"/>
    <w:uiPriority w:val="99"/>
    <w:unhideWhenUsed/>
    <w:rPr>
      <w:color w:val="2B579A"/>
      <w:shd w:val="clear" w:color="auto" w:fill="E6E6E6"/>
    </w:rPr>
  </w:style>
  <w:style w:type="character" w:customStyle="1" w:styleId="Mention180">
    <w:name w:val="Mention180"/>
    <w:basedOn w:val="DefaultParagraphFont"/>
    <w:uiPriority w:val="99"/>
    <w:unhideWhenUsed/>
    <w:rsid w:val="00043B49"/>
    <w:rPr>
      <w:color w:val="2B579A"/>
      <w:shd w:val="clear" w:color="auto" w:fill="E1DFDD"/>
    </w:rPr>
  </w:style>
  <w:style w:type="character" w:customStyle="1" w:styleId="Mention18">
    <w:name w:val="Mention18"/>
    <w:basedOn w:val="DefaultParagraphFont"/>
    <w:uiPriority w:val="99"/>
    <w:unhideWhenUsed/>
    <w:rsid w:val="00C0295D"/>
    <w:rPr>
      <w:color w:val="2B579A"/>
      <w:shd w:val="clear" w:color="auto" w:fill="E6E6E6"/>
    </w:rPr>
  </w:style>
  <w:style w:type="character" w:customStyle="1" w:styleId="UnresolvedMention5">
    <w:name w:val="Unresolved Mention5"/>
    <w:basedOn w:val="DefaultParagraphFont"/>
    <w:uiPriority w:val="99"/>
    <w:unhideWhenUsed/>
    <w:rsid w:val="004C46EA"/>
    <w:rPr>
      <w:color w:val="605E5C"/>
      <w:shd w:val="clear" w:color="auto" w:fill="E1DFDD"/>
    </w:rPr>
  </w:style>
  <w:style w:type="character" w:customStyle="1" w:styleId="Mention181">
    <w:name w:val="Mention181"/>
    <w:basedOn w:val="DefaultParagraphFont"/>
    <w:uiPriority w:val="99"/>
    <w:unhideWhenUsed/>
    <w:rsid w:val="00A9102F"/>
    <w:rPr>
      <w:color w:val="2B579A"/>
      <w:shd w:val="clear" w:color="auto" w:fill="E6E6E6"/>
    </w:rPr>
  </w:style>
  <w:style w:type="paragraph" w:styleId="Header">
    <w:name w:val="header"/>
    <w:basedOn w:val="Normal"/>
    <w:link w:val="HeaderChar"/>
    <w:uiPriority w:val="99"/>
    <w:unhideWhenUsed/>
    <w:rsid w:val="007D2204"/>
    <w:pPr>
      <w:tabs>
        <w:tab w:val="center" w:pos="4535"/>
        <w:tab w:val="right" w:pos="9071"/>
      </w:tabs>
      <w:spacing w:before="0"/>
    </w:pPr>
  </w:style>
  <w:style w:type="character" w:customStyle="1" w:styleId="HeaderChar">
    <w:name w:val="Header Char"/>
    <w:basedOn w:val="DefaultParagraphFont"/>
    <w:link w:val="Header"/>
    <w:uiPriority w:val="99"/>
    <w:rsid w:val="007D2204"/>
    <w:rPr>
      <w:rFonts w:ascii="Times New Roman" w:hAnsi="Times New Roman" w:cs="Times New Roman"/>
      <w:sz w:val="24"/>
      <w:lang w:val="cs-CZ"/>
    </w:rPr>
  </w:style>
  <w:style w:type="paragraph" w:styleId="Footer">
    <w:name w:val="footer"/>
    <w:basedOn w:val="Normal"/>
    <w:link w:val="FooterChar"/>
    <w:uiPriority w:val="99"/>
    <w:unhideWhenUsed/>
    <w:rsid w:val="007D2204"/>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7D2204"/>
    <w:rPr>
      <w:rFonts w:ascii="Times New Roman" w:hAnsi="Times New Roman" w:cs="Times New Roman"/>
      <w:sz w:val="24"/>
      <w:lang w:val="cs-CZ"/>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cs-CZ"/>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cs-CZ"/>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cs-CZ"/>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cs-CZ"/>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cs-CZ"/>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cs-CZ"/>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cs-CZ"/>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7D2204"/>
    <w:pPr>
      <w:tabs>
        <w:tab w:val="center" w:pos="7285"/>
        <w:tab w:val="right" w:pos="14003"/>
      </w:tabs>
      <w:spacing w:before="0"/>
    </w:pPr>
  </w:style>
  <w:style w:type="paragraph" w:customStyle="1" w:styleId="FooterLandscape">
    <w:name w:val="FooterLandscape"/>
    <w:basedOn w:val="Normal"/>
    <w:rsid w:val="007D2204"/>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7D2204"/>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7D2204"/>
    <w:pPr>
      <w:spacing w:before="0"/>
      <w:jc w:val="right"/>
    </w:pPr>
    <w:rPr>
      <w:sz w:val="28"/>
    </w:rPr>
  </w:style>
  <w:style w:type="paragraph" w:customStyle="1" w:styleId="FooterSensitivity">
    <w:name w:val="Footer Sensitivity"/>
    <w:basedOn w:val="Normal"/>
    <w:rsid w:val="007D2204"/>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45"/>
      </w:numPr>
    </w:pPr>
  </w:style>
  <w:style w:type="paragraph" w:customStyle="1" w:styleId="Tiret1">
    <w:name w:val="Tiret 1"/>
    <w:basedOn w:val="Point1"/>
    <w:pPr>
      <w:numPr>
        <w:numId w:val="46"/>
      </w:numPr>
    </w:pPr>
  </w:style>
  <w:style w:type="paragraph" w:customStyle="1" w:styleId="Tiret2">
    <w:name w:val="Tiret 2"/>
    <w:basedOn w:val="Point2"/>
    <w:pPr>
      <w:numPr>
        <w:numId w:val="47"/>
      </w:numPr>
    </w:pPr>
  </w:style>
  <w:style w:type="paragraph" w:customStyle="1" w:styleId="Tiret3">
    <w:name w:val="Tiret 3"/>
    <w:basedOn w:val="Point3"/>
    <w:pPr>
      <w:numPr>
        <w:numId w:val="48"/>
      </w:numPr>
    </w:pPr>
  </w:style>
  <w:style w:type="paragraph" w:customStyle="1" w:styleId="Tiret4">
    <w:name w:val="Tiret 4"/>
    <w:basedOn w:val="Point4"/>
    <w:pPr>
      <w:numPr>
        <w:numId w:val="49"/>
      </w:numPr>
    </w:pPr>
  </w:style>
  <w:style w:type="paragraph" w:customStyle="1" w:styleId="Tiret5">
    <w:name w:val="Tiret 5"/>
    <w:basedOn w:val="Point5"/>
    <w:pPr>
      <w:numPr>
        <w:numId w:val="5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51"/>
      </w:numPr>
    </w:pPr>
  </w:style>
  <w:style w:type="paragraph" w:customStyle="1" w:styleId="NumPar2">
    <w:name w:val="NumPar 2"/>
    <w:basedOn w:val="Normal"/>
    <w:next w:val="Text1"/>
    <w:pPr>
      <w:numPr>
        <w:ilvl w:val="1"/>
        <w:numId w:val="51"/>
      </w:numPr>
    </w:pPr>
  </w:style>
  <w:style w:type="paragraph" w:customStyle="1" w:styleId="NumPar3">
    <w:name w:val="NumPar 3"/>
    <w:basedOn w:val="Normal"/>
    <w:next w:val="Text1"/>
    <w:pPr>
      <w:numPr>
        <w:ilvl w:val="2"/>
        <w:numId w:val="51"/>
      </w:numPr>
    </w:pPr>
  </w:style>
  <w:style w:type="paragraph" w:customStyle="1" w:styleId="NumPar4">
    <w:name w:val="NumPar 4"/>
    <w:basedOn w:val="Normal"/>
    <w:next w:val="Text1"/>
    <w:pPr>
      <w:numPr>
        <w:ilvl w:val="3"/>
        <w:numId w:val="51"/>
      </w:numPr>
    </w:pPr>
  </w:style>
  <w:style w:type="paragraph" w:customStyle="1" w:styleId="NumPar5">
    <w:name w:val="NumPar 5"/>
    <w:basedOn w:val="Normal"/>
    <w:next w:val="Text2"/>
    <w:pPr>
      <w:numPr>
        <w:ilvl w:val="4"/>
        <w:numId w:val="51"/>
      </w:numPr>
    </w:pPr>
  </w:style>
  <w:style w:type="paragraph" w:customStyle="1" w:styleId="NumPar6">
    <w:name w:val="NumPar 6"/>
    <w:basedOn w:val="Normal"/>
    <w:next w:val="Text2"/>
    <w:pPr>
      <w:numPr>
        <w:ilvl w:val="5"/>
        <w:numId w:val="51"/>
      </w:numPr>
    </w:pPr>
  </w:style>
  <w:style w:type="paragraph" w:customStyle="1" w:styleId="NumPar7">
    <w:name w:val="NumPar 7"/>
    <w:basedOn w:val="Normal"/>
    <w:next w:val="Text2"/>
    <w:pPr>
      <w:numPr>
        <w:ilvl w:val="6"/>
        <w:numId w:val="5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53"/>
      </w:numPr>
    </w:pPr>
  </w:style>
  <w:style w:type="paragraph" w:customStyle="1" w:styleId="Point1number">
    <w:name w:val="Point 1 (number)"/>
    <w:basedOn w:val="Normal"/>
    <w:pPr>
      <w:numPr>
        <w:ilvl w:val="2"/>
        <w:numId w:val="53"/>
      </w:numPr>
    </w:pPr>
  </w:style>
  <w:style w:type="paragraph" w:customStyle="1" w:styleId="Point2number">
    <w:name w:val="Point 2 (number)"/>
    <w:basedOn w:val="Normal"/>
    <w:pPr>
      <w:numPr>
        <w:ilvl w:val="4"/>
        <w:numId w:val="53"/>
      </w:numPr>
    </w:pPr>
  </w:style>
  <w:style w:type="paragraph" w:customStyle="1" w:styleId="Point3number">
    <w:name w:val="Point 3 (number)"/>
    <w:basedOn w:val="Normal"/>
    <w:pPr>
      <w:numPr>
        <w:ilvl w:val="6"/>
        <w:numId w:val="53"/>
      </w:numPr>
    </w:pPr>
  </w:style>
  <w:style w:type="paragraph" w:customStyle="1" w:styleId="Point0letter">
    <w:name w:val="Point 0 (letter)"/>
    <w:basedOn w:val="Normal"/>
    <w:pPr>
      <w:numPr>
        <w:ilvl w:val="1"/>
        <w:numId w:val="53"/>
      </w:numPr>
    </w:pPr>
  </w:style>
  <w:style w:type="paragraph" w:customStyle="1" w:styleId="Point1letter">
    <w:name w:val="Point 1 (letter)"/>
    <w:basedOn w:val="Normal"/>
    <w:pPr>
      <w:numPr>
        <w:ilvl w:val="3"/>
        <w:numId w:val="53"/>
      </w:numPr>
    </w:pPr>
  </w:style>
  <w:style w:type="paragraph" w:customStyle="1" w:styleId="Point2letter">
    <w:name w:val="Point 2 (letter)"/>
    <w:basedOn w:val="Normal"/>
    <w:pPr>
      <w:numPr>
        <w:ilvl w:val="5"/>
        <w:numId w:val="53"/>
      </w:numPr>
    </w:pPr>
  </w:style>
  <w:style w:type="paragraph" w:customStyle="1" w:styleId="Point3letter">
    <w:name w:val="Point 3 (letter)"/>
    <w:basedOn w:val="Normal"/>
    <w:pPr>
      <w:numPr>
        <w:ilvl w:val="7"/>
        <w:numId w:val="53"/>
      </w:numPr>
    </w:pPr>
  </w:style>
  <w:style w:type="paragraph" w:customStyle="1" w:styleId="Point4letter">
    <w:name w:val="Point 4 (letter)"/>
    <w:basedOn w:val="Normal"/>
    <w:pPr>
      <w:numPr>
        <w:ilvl w:val="8"/>
        <w:numId w:val="53"/>
      </w:numPr>
    </w:pPr>
  </w:style>
  <w:style w:type="paragraph" w:customStyle="1" w:styleId="Bullet0">
    <w:name w:val="Bullet 0"/>
    <w:basedOn w:val="Normal"/>
    <w:pPr>
      <w:numPr>
        <w:numId w:val="54"/>
      </w:numPr>
    </w:pPr>
  </w:style>
  <w:style w:type="paragraph" w:customStyle="1" w:styleId="Bullet1">
    <w:name w:val="Bullet 1"/>
    <w:basedOn w:val="Normal"/>
    <w:pPr>
      <w:numPr>
        <w:numId w:val="55"/>
      </w:numPr>
    </w:pPr>
  </w:style>
  <w:style w:type="paragraph" w:customStyle="1" w:styleId="Bullet2">
    <w:name w:val="Bullet 2"/>
    <w:basedOn w:val="Normal"/>
    <w:pPr>
      <w:numPr>
        <w:numId w:val="56"/>
      </w:numPr>
    </w:pPr>
  </w:style>
  <w:style w:type="paragraph" w:customStyle="1" w:styleId="Bullet3">
    <w:name w:val="Bullet 3"/>
    <w:basedOn w:val="Normal"/>
    <w:pPr>
      <w:numPr>
        <w:numId w:val="57"/>
      </w:numPr>
    </w:pPr>
  </w:style>
  <w:style w:type="paragraph" w:customStyle="1" w:styleId="Bullet4">
    <w:name w:val="Bullet 4"/>
    <w:basedOn w:val="Normal"/>
    <w:pPr>
      <w:numPr>
        <w:numId w:val="5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77769">
      <w:bodyDiv w:val="1"/>
      <w:marLeft w:val="0"/>
      <w:marRight w:val="0"/>
      <w:marTop w:val="0"/>
      <w:marBottom w:val="0"/>
      <w:divBdr>
        <w:top w:val="none" w:sz="0" w:space="0" w:color="auto"/>
        <w:left w:val="none" w:sz="0" w:space="0" w:color="auto"/>
        <w:bottom w:val="none" w:sz="0" w:space="0" w:color="auto"/>
        <w:right w:val="none" w:sz="0" w:space="0" w:color="auto"/>
      </w:divBdr>
    </w:div>
    <w:div w:id="306665784">
      <w:bodyDiv w:val="1"/>
      <w:marLeft w:val="0"/>
      <w:marRight w:val="0"/>
      <w:marTop w:val="0"/>
      <w:marBottom w:val="0"/>
      <w:divBdr>
        <w:top w:val="none" w:sz="0" w:space="0" w:color="auto"/>
        <w:left w:val="none" w:sz="0" w:space="0" w:color="auto"/>
        <w:bottom w:val="none" w:sz="0" w:space="0" w:color="auto"/>
        <w:right w:val="none" w:sz="0" w:space="0" w:color="auto"/>
      </w:divBdr>
    </w:div>
    <w:div w:id="308632556">
      <w:bodyDiv w:val="1"/>
      <w:marLeft w:val="0"/>
      <w:marRight w:val="0"/>
      <w:marTop w:val="0"/>
      <w:marBottom w:val="0"/>
      <w:divBdr>
        <w:top w:val="none" w:sz="0" w:space="0" w:color="auto"/>
        <w:left w:val="none" w:sz="0" w:space="0" w:color="auto"/>
        <w:bottom w:val="none" w:sz="0" w:space="0" w:color="auto"/>
        <w:right w:val="none" w:sz="0" w:space="0" w:color="auto"/>
      </w:divBdr>
    </w:div>
    <w:div w:id="807669765">
      <w:bodyDiv w:val="1"/>
      <w:marLeft w:val="0"/>
      <w:marRight w:val="0"/>
      <w:marTop w:val="0"/>
      <w:marBottom w:val="0"/>
      <w:divBdr>
        <w:top w:val="none" w:sz="0" w:space="0" w:color="auto"/>
        <w:left w:val="none" w:sz="0" w:space="0" w:color="auto"/>
        <w:bottom w:val="none" w:sz="0" w:space="0" w:color="auto"/>
        <w:right w:val="none" w:sz="0" w:space="0" w:color="auto"/>
      </w:divBdr>
    </w:div>
    <w:div w:id="949163441">
      <w:bodyDiv w:val="1"/>
      <w:marLeft w:val="0"/>
      <w:marRight w:val="0"/>
      <w:marTop w:val="0"/>
      <w:marBottom w:val="0"/>
      <w:divBdr>
        <w:top w:val="none" w:sz="0" w:space="0" w:color="auto"/>
        <w:left w:val="none" w:sz="0" w:space="0" w:color="auto"/>
        <w:bottom w:val="none" w:sz="0" w:space="0" w:color="auto"/>
        <w:right w:val="none" w:sz="0" w:space="0" w:color="auto"/>
      </w:divBdr>
    </w:div>
    <w:div w:id="989674322">
      <w:bodyDiv w:val="1"/>
      <w:marLeft w:val="0"/>
      <w:marRight w:val="0"/>
      <w:marTop w:val="0"/>
      <w:marBottom w:val="0"/>
      <w:divBdr>
        <w:top w:val="none" w:sz="0" w:space="0" w:color="auto"/>
        <w:left w:val="none" w:sz="0" w:space="0" w:color="auto"/>
        <w:bottom w:val="none" w:sz="0" w:space="0" w:color="auto"/>
        <w:right w:val="none" w:sz="0" w:space="0" w:color="auto"/>
      </w:divBdr>
    </w:div>
    <w:div w:id="1027027284">
      <w:bodyDiv w:val="1"/>
      <w:marLeft w:val="0"/>
      <w:marRight w:val="0"/>
      <w:marTop w:val="0"/>
      <w:marBottom w:val="0"/>
      <w:divBdr>
        <w:top w:val="none" w:sz="0" w:space="0" w:color="auto"/>
        <w:left w:val="none" w:sz="0" w:space="0" w:color="auto"/>
        <w:bottom w:val="none" w:sz="0" w:space="0" w:color="auto"/>
        <w:right w:val="none" w:sz="0" w:space="0" w:color="auto"/>
      </w:divBdr>
    </w:div>
    <w:div w:id="1540892386">
      <w:bodyDiv w:val="1"/>
      <w:marLeft w:val="0"/>
      <w:marRight w:val="0"/>
      <w:marTop w:val="0"/>
      <w:marBottom w:val="0"/>
      <w:divBdr>
        <w:top w:val="none" w:sz="0" w:space="0" w:color="auto"/>
        <w:left w:val="none" w:sz="0" w:space="0" w:color="auto"/>
        <w:bottom w:val="none" w:sz="0" w:space="0" w:color="auto"/>
        <w:right w:val="none" w:sz="0" w:space="0" w:color="auto"/>
      </w:divBdr>
    </w:div>
    <w:div w:id="1952082057">
      <w:bodyDiv w:val="1"/>
      <w:marLeft w:val="0"/>
      <w:marRight w:val="0"/>
      <w:marTop w:val="0"/>
      <w:marBottom w:val="0"/>
      <w:divBdr>
        <w:top w:val="none" w:sz="0" w:space="0" w:color="auto"/>
        <w:left w:val="none" w:sz="0" w:space="0" w:color="auto"/>
        <w:bottom w:val="none" w:sz="0" w:space="0" w:color="auto"/>
        <w:right w:val="none" w:sz="0" w:space="0" w:color="auto"/>
      </w:divBdr>
    </w:div>
    <w:div w:id="202552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myintracomm.ec.europa.eu/corp/budget/financial-rules/budget-implementation/Pages/implementation-methods.aspx" TargetMode="External"/><Relationship Id="rId2" Type="http://schemas.openxmlformats.org/officeDocument/2006/relationships/hyperlink" Target="https://eur-lex.europa.eu/legal-content/CS/TXT/PDF/?uri=CELEX:52023DC0062&amp;from=EN" TargetMode="External"/><Relationship Id="rId1" Type="http://schemas.openxmlformats.org/officeDocument/2006/relationships/hyperlink" Target="https://prod-cofe-platform.s3.eu-central-1.amazonaws.com/sjqz0fg5g97gfuw74x7cm7cjiqkd?response-content-disposition=inline%3B%20filename%3D%222022.2472_CS_04.pdf%22%3B%20filename%2A%3DUTF-8%27%272022.2472_CS_04.pdf&amp;response-content-type=application%2Fpdf&amp;X-Amz-Algorithm=AWS4-HMAC-SHA256&amp;X-Amz-Credential=AKIA3LJJXGZPDFYVOW5V%2F20230321%2Feu-central-1%2Fs3%2Faws4_request&amp;X-Amz-Date=20230321T155800Z&amp;X-Amz-Expires=300&amp;X-Amz-SignedHeaders=host&amp;X-Amz-Signature=5792693bba62f4dcf73ad5d4bd857b7f34c27445f9da483d6445824378f8600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E0BFD-7FAF-43B7-95E4-7C9F82DF0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83</Pages>
  <Words>22378</Words>
  <Characters>135170</Characters>
  <Application>Microsoft Office Word</Application>
  <DocSecurity>0</DocSecurity>
  <Lines>3003</Lines>
  <Paragraphs>1071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2023-03-13T19:04:00Z</dcterms:created>
  <dcterms:modified xsi:type="dcterms:W3CDTF">2023-03-28T10:04:00Z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8.1, Build 20230124</vt:lpwstr>
  </property>
  <property fmtid="{D5CDD505-2E9C-101B-9397-08002B2CF9AE}" pid="3" name="Category">
    <vt:lpwstr>COM/PL/ORG</vt:lpwstr>
  </property>
  <property fmtid="{D5CDD505-2E9C-101B-9397-08002B2CF9AE}" pid="4" name="Level of sensitivity">
    <vt:lpwstr>Standard treatment</vt:lpwstr>
  </property>
  <property fmtid="{D5CDD505-2E9C-101B-9397-08002B2CF9AE}" pid="5" name="Part">
    <vt:lpwstr>1</vt:lpwstr>
  </property>
  <property fmtid="{D5CDD505-2E9C-101B-9397-08002B2CF9AE}" pid="6" name="Total parts">
    <vt:lpwstr>1</vt:lpwstr>
  </property>
  <property fmtid="{D5CDD505-2E9C-101B-9397-08002B2CF9AE}" pid="7" name="LWTemplateID">
    <vt:lpwstr>SJ-023</vt:lpwstr>
  </property>
  <property fmtid="{D5CDD505-2E9C-101B-9397-08002B2CF9AE}" pid="8" name="MSIP_Label_6bd9ddd1-4d20-43f6-abfa-fc3c07406f94_Enabled">
    <vt:lpwstr>true</vt:lpwstr>
  </property>
  <property fmtid="{D5CDD505-2E9C-101B-9397-08002B2CF9AE}" pid="9" name="MSIP_Label_6bd9ddd1-4d20-43f6-abfa-fc3c07406f94_SetDate">
    <vt:lpwstr>2023-03-27T07:39:02Z</vt:lpwstr>
  </property>
  <property fmtid="{D5CDD505-2E9C-101B-9397-08002B2CF9AE}" pid="10" name="MSIP_Label_6bd9ddd1-4d20-43f6-abfa-fc3c07406f94_Method">
    <vt:lpwstr>Standard</vt:lpwstr>
  </property>
  <property fmtid="{D5CDD505-2E9C-101B-9397-08002B2CF9AE}" pid="11" name="MSIP_Label_6bd9ddd1-4d20-43f6-abfa-fc3c07406f94_Name">
    <vt:lpwstr>Commission Use</vt:lpwstr>
  </property>
  <property fmtid="{D5CDD505-2E9C-101B-9397-08002B2CF9AE}" pid="12" name="MSIP_Label_6bd9ddd1-4d20-43f6-abfa-fc3c07406f94_SiteId">
    <vt:lpwstr>b24c8b06-522c-46fe-9080-70926f8dddb1</vt:lpwstr>
  </property>
  <property fmtid="{D5CDD505-2E9C-101B-9397-08002B2CF9AE}" pid="13" name="MSIP_Label_6bd9ddd1-4d20-43f6-abfa-fc3c07406f94_ActionId">
    <vt:lpwstr>eb29869e-da5e-4619-8d9e-3f0ed2ba7a13</vt:lpwstr>
  </property>
  <property fmtid="{D5CDD505-2E9C-101B-9397-08002B2CF9AE}" pid="14" name="MSIP_Label_6bd9ddd1-4d20-43f6-abfa-fc3c07406f94_ContentBits">
    <vt:lpwstr>0</vt:lpwstr>
  </property>
  <property fmtid="{D5CDD505-2E9C-101B-9397-08002B2CF9AE}" pid="15" name="DQCStatus">
    <vt:lpwstr>Green (DQC version 03)</vt:lpwstr>
  </property>
</Properties>
</file>