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8A027" w14:textId="6490B2C9" w:rsidR="00F6213C" w:rsidRDefault="009F6C55" w:rsidP="009F6C55">
      <w:pPr>
        <w:pStyle w:val="Pagedecouverture"/>
        <w:rPr>
          <w:noProof/>
        </w:rPr>
      </w:pPr>
      <w:bookmarkStart w:id="0" w:name="LW_BM_COVERPAGE"/>
      <w:r>
        <w:rPr>
          <w:noProof/>
        </w:rPr>
        <w:pict w14:anchorId="23378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69DA85A-8D2F-422D-AABC-4C2894D94D8F" style="width:455.25pt;height:426.75pt">
            <v:imagedata r:id="rId9" o:title=""/>
          </v:shape>
        </w:pict>
      </w:r>
    </w:p>
    <w:bookmarkEnd w:id="0"/>
    <w:p w14:paraId="6FE4D06E" w14:textId="77777777" w:rsidR="00F6213C" w:rsidRDefault="00F6213C" w:rsidP="00F6213C">
      <w:pPr>
        <w:rPr>
          <w:noProof/>
        </w:rPr>
        <w:sectPr w:rsidR="00F6213C" w:rsidSect="009F6C5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Style w:val="TableGrid"/>
        <w:tblW w:w="9450" w:type="dxa"/>
        <w:tblLayout w:type="fixed"/>
        <w:tblLook w:val="06A0" w:firstRow="1" w:lastRow="0" w:firstColumn="1" w:lastColumn="0" w:noHBand="1" w:noVBand="1"/>
      </w:tblPr>
      <w:tblGrid>
        <w:gridCol w:w="9450"/>
      </w:tblGrid>
      <w:tr w:rsidR="52A9D588" w14:paraId="4D403AD1" w14:textId="77777777" w:rsidTr="2ED4E331">
        <w:trPr>
          <w:trHeight w:val="300"/>
        </w:trPr>
        <w:tc>
          <w:tcPr>
            <w:tcW w:w="9450" w:type="dxa"/>
          </w:tcPr>
          <w:p w14:paraId="381D0B1D" w14:textId="77777777" w:rsidR="1B65425A" w:rsidRDefault="1B65425A" w:rsidP="52A9D588">
            <w:pPr>
              <w:jc w:val="center"/>
              <w:rPr>
                <w:rFonts w:ascii="Times New Roman" w:eastAsia="Times New Roman" w:hAnsi="Times New Roman" w:cs="Times New Roman"/>
                <w:b/>
                <w:bCs/>
                <w:noProof/>
                <w:sz w:val="24"/>
                <w:szCs w:val="24"/>
              </w:rPr>
            </w:pPr>
            <w:bookmarkStart w:id="1" w:name="_GoBack"/>
            <w:bookmarkEnd w:id="1"/>
            <w:r w:rsidRPr="52A9D588">
              <w:rPr>
                <w:rFonts w:ascii="Times New Roman" w:eastAsia="Times New Roman" w:hAnsi="Times New Roman" w:cs="Times New Roman"/>
                <w:b/>
                <w:bCs/>
                <w:noProof/>
                <w:sz w:val="24"/>
                <w:szCs w:val="24"/>
              </w:rPr>
              <w:lastRenderedPageBreak/>
              <w:t>Executive Summary Sheet</w:t>
            </w:r>
          </w:p>
        </w:tc>
      </w:tr>
      <w:tr w:rsidR="52A9D588" w14:paraId="5EF74F79" w14:textId="77777777" w:rsidTr="2ED4E331">
        <w:trPr>
          <w:trHeight w:val="300"/>
        </w:trPr>
        <w:tc>
          <w:tcPr>
            <w:tcW w:w="9450" w:type="dxa"/>
            <w:shd w:val="clear" w:color="auto" w:fill="B4C6E7" w:themeFill="accent1" w:themeFillTint="66"/>
          </w:tcPr>
          <w:p w14:paraId="341D3141" w14:textId="77777777" w:rsidR="1B65425A" w:rsidRDefault="1B65425A" w:rsidP="52A9D588">
            <w:pPr>
              <w:rPr>
                <w:rFonts w:ascii="Times New Roman" w:eastAsia="Times New Roman" w:hAnsi="Times New Roman" w:cs="Times New Roman"/>
                <w:b/>
                <w:bCs/>
                <w:noProof/>
              </w:rPr>
            </w:pPr>
            <w:r w:rsidRPr="52A9D588">
              <w:rPr>
                <w:rFonts w:ascii="Times New Roman" w:eastAsia="Times New Roman" w:hAnsi="Times New Roman" w:cs="Times New Roman"/>
                <w:b/>
                <w:bCs/>
                <w:noProof/>
              </w:rPr>
              <w:t>Impact Assessment for the European Critical Raw Materials Act</w:t>
            </w:r>
          </w:p>
        </w:tc>
      </w:tr>
      <w:tr w:rsidR="52A9D588" w14:paraId="24C43E91" w14:textId="77777777" w:rsidTr="2ED4E331">
        <w:trPr>
          <w:trHeight w:val="300"/>
        </w:trPr>
        <w:tc>
          <w:tcPr>
            <w:tcW w:w="9450" w:type="dxa"/>
            <w:shd w:val="clear" w:color="auto" w:fill="A6A6A6" w:themeFill="background1" w:themeFillShade="A6"/>
          </w:tcPr>
          <w:p w14:paraId="50B0AC06" w14:textId="77777777" w:rsidR="66D75453" w:rsidRDefault="66D75453" w:rsidP="52A9D588">
            <w:pPr>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 xml:space="preserve">A. </w:t>
            </w:r>
            <w:r w:rsidR="1B65425A" w:rsidRPr="52A9D588">
              <w:rPr>
                <w:rFonts w:ascii="Times New Roman" w:eastAsia="Times New Roman" w:hAnsi="Times New Roman" w:cs="Times New Roman"/>
                <w:b/>
                <w:bCs/>
                <w:noProof/>
                <w:sz w:val="24"/>
                <w:szCs w:val="24"/>
              </w:rPr>
              <w:t>What is the problem and why is it a problem at EU level?</w:t>
            </w:r>
          </w:p>
        </w:tc>
      </w:tr>
      <w:tr w:rsidR="52A9D588" w14:paraId="0127F699" w14:textId="77777777" w:rsidTr="2ED4E331">
        <w:trPr>
          <w:trHeight w:val="4680"/>
        </w:trPr>
        <w:tc>
          <w:tcPr>
            <w:tcW w:w="9450" w:type="dxa"/>
          </w:tcPr>
          <w:p w14:paraId="17A11918" w14:textId="77777777" w:rsidR="0B270968" w:rsidRDefault="0B270968" w:rsidP="52A9D588">
            <w:pPr>
              <w:jc w:val="both"/>
              <w:rPr>
                <w:rFonts w:ascii="Times New Roman" w:eastAsia="Times New Roman" w:hAnsi="Times New Roman" w:cs="Times New Roman"/>
                <w:noProof/>
                <w:sz w:val="24"/>
                <w:szCs w:val="24"/>
              </w:rPr>
            </w:pPr>
            <w:r w:rsidRPr="5CA58D31">
              <w:rPr>
                <w:rFonts w:ascii="Times New Roman" w:eastAsia="Times New Roman" w:hAnsi="Times New Roman" w:cs="Times New Roman"/>
                <w:noProof/>
                <w:sz w:val="24"/>
                <w:szCs w:val="24"/>
              </w:rPr>
              <w:t>Critical raw materials</w:t>
            </w:r>
            <w:r w:rsidR="28583D62" w:rsidRPr="5CA58D31">
              <w:rPr>
                <w:rFonts w:ascii="Times New Roman" w:eastAsia="Times New Roman" w:hAnsi="Times New Roman" w:cs="Times New Roman"/>
                <w:noProof/>
                <w:sz w:val="24"/>
                <w:szCs w:val="24"/>
              </w:rPr>
              <w:t xml:space="preserve"> (CRMs)</w:t>
            </w:r>
            <w:r w:rsidRPr="5CA58D31">
              <w:rPr>
                <w:rFonts w:ascii="Times New Roman" w:eastAsia="Times New Roman" w:hAnsi="Times New Roman" w:cs="Times New Roman"/>
                <w:noProof/>
                <w:sz w:val="24"/>
                <w:szCs w:val="24"/>
              </w:rPr>
              <w:t xml:space="preserve"> are indispensable inputs in our economy, particularly as they are used to manufacture technologies </w:t>
            </w:r>
            <w:r w:rsidR="4839DAC8" w:rsidRPr="5CA58D31">
              <w:rPr>
                <w:rFonts w:ascii="Times New Roman" w:eastAsia="Times New Roman" w:hAnsi="Times New Roman" w:cs="Times New Roman"/>
                <w:noProof/>
                <w:sz w:val="24"/>
                <w:szCs w:val="24"/>
              </w:rPr>
              <w:t xml:space="preserve">required </w:t>
            </w:r>
            <w:r w:rsidRPr="5CA58D31">
              <w:rPr>
                <w:rFonts w:ascii="Times New Roman" w:eastAsia="Times New Roman" w:hAnsi="Times New Roman" w:cs="Times New Roman"/>
                <w:noProof/>
                <w:sz w:val="24"/>
                <w:szCs w:val="24"/>
              </w:rPr>
              <w:t>for the depl</w:t>
            </w:r>
            <w:r w:rsidR="3D82F3F3" w:rsidRPr="5CA58D31">
              <w:rPr>
                <w:rFonts w:ascii="Times New Roman" w:eastAsia="Times New Roman" w:hAnsi="Times New Roman" w:cs="Times New Roman"/>
                <w:noProof/>
                <w:sz w:val="24"/>
                <w:szCs w:val="24"/>
              </w:rPr>
              <w:t xml:space="preserve">oyment of green energy, for the digital transition or for </w:t>
            </w:r>
            <w:r w:rsidR="108C6BE6" w:rsidRPr="5CA58D31">
              <w:rPr>
                <w:rFonts w:ascii="Times New Roman" w:eastAsia="Times New Roman" w:hAnsi="Times New Roman" w:cs="Times New Roman"/>
                <w:noProof/>
                <w:sz w:val="24"/>
                <w:szCs w:val="24"/>
              </w:rPr>
              <w:t xml:space="preserve">strategic applications in health or defence. </w:t>
            </w:r>
            <w:r w:rsidR="1C046D31" w:rsidRPr="5CA58D31">
              <w:rPr>
                <w:rFonts w:ascii="Times New Roman" w:eastAsia="Times New Roman" w:hAnsi="Times New Roman" w:cs="Times New Roman"/>
                <w:noProof/>
                <w:sz w:val="24"/>
                <w:szCs w:val="24"/>
              </w:rPr>
              <w:t>Given t</w:t>
            </w:r>
            <w:r w:rsidR="108C6BE6" w:rsidRPr="5CA58D31">
              <w:rPr>
                <w:rFonts w:ascii="Times New Roman" w:eastAsia="Times New Roman" w:hAnsi="Times New Roman" w:cs="Times New Roman"/>
                <w:noProof/>
                <w:sz w:val="24"/>
                <w:szCs w:val="24"/>
              </w:rPr>
              <w:t>he</w:t>
            </w:r>
            <w:r w:rsidR="48FAF53E" w:rsidRPr="5CA58D31">
              <w:rPr>
                <w:rFonts w:ascii="Times New Roman" w:eastAsia="Times New Roman" w:hAnsi="Times New Roman" w:cs="Times New Roman"/>
                <w:noProof/>
                <w:sz w:val="24"/>
                <w:szCs w:val="24"/>
              </w:rPr>
              <w:t xml:space="preserve"> growing needs generated by the twin transition</w:t>
            </w:r>
            <w:r w:rsidR="0598E490" w:rsidRPr="5CA58D31">
              <w:rPr>
                <w:rFonts w:ascii="Times New Roman" w:eastAsia="Times New Roman" w:hAnsi="Times New Roman" w:cs="Times New Roman"/>
                <w:noProof/>
                <w:sz w:val="24"/>
                <w:szCs w:val="24"/>
              </w:rPr>
              <w:t>s, the demand for those materials is forecasted to increase exponentially both at EU and global level</w:t>
            </w:r>
            <w:r w:rsidR="0DDE6F41" w:rsidRPr="5CA58D31">
              <w:rPr>
                <w:rFonts w:ascii="Times New Roman" w:eastAsia="Times New Roman" w:hAnsi="Times New Roman" w:cs="Times New Roman"/>
                <w:noProof/>
                <w:sz w:val="24"/>
                <w:szCs w:val="24"/>
              </w:rPr>
              <w:t>, leading to supply-demand gaps</w:t>
            </w:r>
            <w:r w:rsidR="517C0D20" w:rsidRPr="5CA58D31">
              <w:rPr>
                <w:rFonts w:ascii="Times New Roman" w:eastAsia="Times New Roman" w:hAnsi="Times New Roman" w:cs="Times New Roman"/>
                <w:noProof/>
                <w:sz w:val="24"/>
                <w:szCs w:val="24"/>
              </w:rPr>
              <w:t xml:space="preserve">. In addition, the </w:t>
            </w:r>
            <w:r w:rsidR="485F411F" w:rsidRPr="5CA58D31">
              <w:rPr>
                <w:rFonts w:ascii="Times New Roman" w:eastAsia="Times New Roman" w:hAnsi="Times New Roman" w:cs="Times New Roman"/>
                <w:noProof/>
                <w:sz w:val="24"/>
                <w:szCs w:val="24"/>
              </w:rPr>
              <w:t xml:space="preserve">EU </w:t>
            </w:r>
            <w:r w:rsidR="517C0D20" w:rsidRPr="5CA58D31">
              <w:rPr>
                <w:rFonts w:ascii="Times New Roman" w:eastAsia="Times New Roman" w:hAnsi="Times New Roman" w:cs="Times New Roman"/>
                <w:noProof/>
                <w:sz w:val="24"/>
                <w:szCs w:val="24"/>
              </w:rPr>
              <w:t xml:space="preserve">supply of </w:t>
            </w:r>
            <w:r w:rsidR="04D53142" w:rsidRPr="5CA58D31">
              <w:rPr>
                <w:rFonts w:ascii="Times New Roman" w:eastAsia="Times New Roman" w:hAnsi="Times New Roman" w:cs="Times New Roman"/>
                <w:noProof/>
                <w:sz w:val="24"/>
                <w:szCs w:val="24"/>
              </w:rPr>
              <w:t>CRMs</w:t>
            </w:r>
            <w:r w:rsidR="517C0D20" w:rsidRPr="5CA58D31">
              <w:rPr>
                <w:rFonts w:ascii="Times New Roman" w:eastAsia="Times New Roman" w:hAnsi="Times New Roman" w:cs="Times New Roman"/>
                <w:noProof/>
                <w:sz w:val="24"/>
                <w:szCs w:val="24"/>
              </w:rPr>
              <w:t xml:space="preserve"> at both the extraction and processing stage is highly concentrated</w:t>
            </w:r>
            <w:r w:rsidR="69B35830" w:rsidRPr="5CA58D31">
              <w:rPr>
                <w:rFonts w:ascii="Times New Roman" w:eastAsia="Times New Roman" w:hAnsi="Times New Roman" w:cs="Times New Roman"/>
                <w:noProof/>
                <w:sz w:val="24"/>
                <w:szCs w:val="24"/>
              </w:rPr>
              <w:t>,</w:t>
            </w:r>
            <w:r w:rsidR="517C0D20" w:rsidRPr="5CA58D31">
              <w:rPr>
                <w:rFonts w:ascii="Times New Roman" w:eastAsia="Times New Roman" w:hAnsi="Times New Roman" w:cs="Times New Roman"/>
                <w:noProof/>
                <w:sz w:val="24"/>
                <w:szCs w:val="24"/>
              </w:rPr>
              <w:t xml:space="preserve"> </w:t>
            </w:r>
            <w:r w:rsidR="318FE743" w:rsidRPr="5CA58D31">
              <w:rPr>
                <w:rFonts w:ascii="Times New Roman" w:eastAsia="Times New Roman" w:hAnsi="Times New Roman" w:cs="Times New Roman"/>
                <w:noProof/>
                <w:sz w:val="24"/>
                <w:szCs w:val="24"/>
              </w:rPr>
              <w:t xml:space="preserve">sometimes </w:t>
            </w:r>
            <w:r w:rsidR="517C0D20" w:rsidRPr="5CA58D31">
              <w:rPr>
                <w:rFonts w:ascii="Times New Roman" w:eastAsia="Times New Roman" w:hAnsi="Times New Roman" w:cs="Times New Roman"/>
                <w:noProof/>
                <w:sz w:val="24"/>
                <w:szCs w:val="24"/>
              </w:rPr>
              <w:t>in</w:t>
            </w:r>
            <w:r w:rsidR="09BA5BEE" w:rsidRPr="5CA58D31">
              <w:rPr>
                <w:rFonts w:ascii="Times New Roman" w:eastAsia="Times New Roman" w:hAnsi="Times New Roman" w:cs="Times New Roman"/>
                <w:noProof/>
                <w:sz w:val="24"/>
                <w:szCs w:val="24"/>
              </w:rPr>
              <w:t xml:space="preserve"> a single third country</w:t>
            </w:r>
            <w:r w:rsidR="7BB61EC4" w:rsidRPr="5CA58D31">
              <w:rPr>
                <w:rFonts w:ascii="Times New Roman" w:eastAsia="Times New Roman" w:hAnsi="Times New Roman" w:cs="Times New Roman"/>
                <w:noProof/>
                <w:sz w:val="24"/>
                <w:szCs w:val="24"/>
              </w:rPr>
              <w:t>.</w:t>
            </w:r>
            <w:r w:rsidR="27B1B3B8" w:rsidRPr="5CA58D31">
              <w:rPr>
                <w:rFonts w:ascii="Times New Roman" w:eastAsia="Times New Roman" w:hAnsi="Times New Roman" w:cs="Times New Roman"/>
                <w:noProof/>
                <w:sz w:val="24"/>
                <w:szCs w:val="24"/>
              </w:rPr>
              <w:t xml:space="preserve"> </w:t>
            </w:r>
            <w:r w:rsidR="4905CAC9" w:rsidRPr="5CA58D31">
              <w:rPr>
                <w:rFonts w:ascii="Times New Roman" w:eastAsia="Times New Roman" w:hAnsi="Times New Roman" w:cs="Times New Roman"/>
                <w:noProof/>
                <w:sz w:val="24"/>
                <w:szCs w:val="24"/>
              </w:rPr>
              <w:t xml:space="preserve">In the event of the EU not being able to secure </w:t>
            </w:r>
            <w:r w:rsidR="7D33E328" w:rsidRPr="5CA58D31">
              <w:rPr>
                <w:rFonts w:ascii="Times New Roman" w:eastAsia="Times New Roman" w:hAnsi="Times New Roman" w:cs="Times New Roman"/>
                <w:noProof/>
                <w:sz w:val="24"/>
                <w:szCs w:val="24"/>
              </w:rPr>
              <w:t>sufficient supplies</w:t>
            </w:r>
            <w:r w:rsidR="4905CAC9" w:rsidRPr="5CA58D31">
              <w:rPr>
                <w:rFonts w:ascii="Times New Roman" w:eastAsia="Times New Roman" w:hAnsi="Times New Roman" w:cs="Times New Roman"/>
                <w:noProof/>
                <w:sz w:val="24"/>
                <w:szCs w:val="24"/>
              </w:rPr>
              <w:t xml:space="preserve"> of </w:t>
            </w:r>
            <w:r w:rsidR="2B144940" w:rsidRPr="5CA58D31">
              <w:rPr>
                <w:rFonts w:ascii="Times New Roman" w:eastAsia="Times New Roman" w:hAnsi="Times New Roman" w:cs="Times New Roman"/>
                <w:noProof/>
                <w:sz w:val="24"/>
                <w:szCs w:val="24"/>
              </w:rPr>
              <w:t>CRMs, the EU’s continued reliance might</w:t>
            </w:r>
            <w:r w:rsidR="654820DC" w:rsidRPr="5CA58D31">
              <w:rPr>
                <w:rFonts w:ascii="Times New Roman" w:eastAsia="Times New Roman" w:hAnsi="Times New Roman" w:cs="Times New Roman"/>
                <w:noProof/>
                <w:sz w:val="24"/>
                <w:szCs w:val="24"/>
              </w:rPr>
              <w:t xml:space="preserve"> expose the EU to </w:t>
            </w:r>
            <w:r w:rsidR="2C089E29" w:rsidRPr="5CA58D31">
              <w:rPr>
                <w:rFonts w:ascii="Times New Roman" w:eastAsia="Times New Roman" w:hAnsi="Times New Roman" w:cs="Times New Roman"/>
                <w:noProof/>
                <w:sz w:val="24"/>
                <w:szCs w:val="24"/>
              </w:rPr>
              <w:t xml:space="preserve">the following </w:t>
            </w:r>
            <w:r w:rsidR="654820DC" w:rsidRPr="5CA58D31">
              <w:rPr>
                <w:rFonts w:ascii="Times New Roman" w:eastAsia="Times New Roman" w:hAnsi="Times New Roman" w:cs="Times New Roman"/>
                <w:noProof/>
                <w:sz w:val="24"/>
                <w:szCs w:val="24"/>
              </w:rPr>
              <w:t>risks</w:t>
            </w:r>
            <w:r w:rsidR="601BAA1A" w:rsidRPr="5CA58D31">
              <w:rPr>
                <w:rFonts w:ascii="Times New Roman" w:eastAsia="Times New Roman" w:hAnsi="Times New Roman" w:cs="Times New Roman"/>
                <w:noProof/>
                <w:sz w:val="24"/>
                <w:szCs w:val="24"/>
              </w:rPr>
              <w:t>:</w:t>
            </w:r>
            <w:r w:rsidR="0238AC28" w:rsidRPr="5CA58D31">
              <w:rPr>
                <w:rFonts w:ascii="Times New Roman" w:eastAsia="Times New Roman" w:hAnsi="Times New Roman" w:cs="Times New Roman"/>
                <w:noProof/>
                <w:sz w:val="24"/>
                <w:szCs w:val="24"/>
              </w:rPr>
              <w:t xml:space="preserve"> </w:t>
            </w:r>
            <w:r w:rsidR="2B144940" w:rsidRPr="5CA58D31">
              <w:rPr>
                <w:rFonts w:ascii="Times New Roman" w:eastAsia="Times New Roman" w:hAnsi="Times New Roman" w:cs="Times New Roman"/>
                <w:noProof/>
                <w:sz w:val="24"/>
                <w:szCs w:val="24"/>
              </w:rPr>
              <w:t xml:space="preserve">geopolitical </w:t>
            </w:r>
            <w:r w:rsidR="0E11465F" w:rsidRPr="5CA58D31">
              <w:rPr>
                <w:rFonts w:ascii="Times New Roman" w:eastAsia="Times New Roman" w:hAnsi="Times New Roman" w:cs="Times New Roman"/>
                <w:noProof/>
                <w:sz w:val="24"/>
                <w:szCs w:val="24"/>
              </w:rPr>
              <w:t>vulnerability</w:t>
            </w:r>
            <w:r w:rsidR="727A2D38" w:rsidRPr="5CA58D31">
              <w:rPr>
                <w:rFonts w:ascii="Times New Roman" w:eastAsia="Times New Roman" w:hAnsi="Times New Roman" w:cs="Times New Roman"/>
                <w:noProof/>
                <w:sz w:val="24"/>
                <w:szCs w:val="24"/>
              </w:rPr>
              <w:t>;</w:t>
            </w:r>
            <w:r w:rsidR="2B144940" w:rsidRPr="5CA58D31">
              <w:rPr>
                <w:rFonts w:ascii="Times New Roman" w:eastAsia="Times New Roman" w:hAnsi="Times New Roman" w:cs="Times New Roman"/>
                <w:noProof/>
                <w:sz w:val="24"/>
                <w:szCs w:val="24"/>
              </w:rPr>
              <w:t xml:space="preserve"> </w:t>
            </w:r>
            <w:r w:rsidR="1893073A" w:rsidRPr="5CA58D31">
              <w:rPr>
                <w:rFonts w:ascii="Times New Roman" w:eastAsia="Times New Roman" w:hAnsi="Times New Roman" w:cs="Times New Roman"/>
                <w:noProof/>
                <w:sz w:val="24"/>
                <w:szCs w:val="24"/>
              </w:rPr>
              <w:t>adverse environmental and social effects</w:t>
            </w:r>
            <w:r w:rsidR="1A521DC6" w:rsidRPr="5CA58D31">
              <w:rPr>
                <w:rFonts w:ascii="Times New Roman" w:eastAsia="Times New Roman" w:hAnsi="Times New Roman" w:cs="Times New Roman"/>
                <w:noProof/>
                <w:sz w:val="24"/>
                <w:szCs w:val="24"/>
              </w:rPr>
              <w:t>;</w:t>
            </w:r>
            <w:r w:rsidR="6ECEBDDA" w:rsidRPr="5CA58D31">
              <w:rPr>
                <w:rFonts w:ascii="Times New Roman" w:eastAsia="Times New Roman" w:hAnsi="Times New Roman" w:cs="Times New Roman"/>
                <w:noProof/>
                <w:sz w:val="24"/>
                <w:szCs w:val="24"/>
              </w:rPr>
              <w:t xml:space="preserve"> disruptions to industrial supply chains</w:t>
            </w:r>
            <w:r w:rsidR="55503488" w:rsidRPr="5CA58D31">
              <w:rPr>
                <w:rFonts w:ascii="Times New Roman" w:eastAsia="Times New Roman" w:hAnsi="Times New Roman" w:cs="Times New Roman"/>
                <w:noProof/>
                <w:sz w:val="24"/>
                <w:szCs w:val="24"/>
              </w:rPr>
              <w:t>;</w:t>
            </w:r>
            <w:r w:rsidR="75EFD15F" w:rsidRPr="5CA58D31">
              <w:rPr>
                <w:rFonts w:ascii="Times New Roman" w:eastAsia="Times New Roman" w:hAnsi="Times New Roman" w:cs="Times New Roman"/>
                <w:noProof/>
                <w:sz w:val="24"/>
                <w:szCs w:val="24"/>
              </w:rPr>
              <w:t xml:space="preserve"> </w:t>
            </w:r>
            <w:r w:rsidR="6ECEBDDA" w:rsidRPr="5CA58D31">
              <w:rPr>
                <w:rFonts w:ascii="Times New Roman" w:eastAsia="Times New Roman" w:hAnsi="Times New Roman" w:cs="Times New Roman"/>
                <w:noProof/>
                <w:sz w:val="24"/>
                <w:szCs w:val="24"/>
              </w:rPr>
              <w:t>high and volatile prices delaying the green transition</w:t>
            </w:r>
            <w:r w:rsidR="3D8C7BE6" w:rsidRPr="5CA58D31">
              <w:rPr>
                <w:rFonts w:ascii="Times New Roman" w:eastAsia="Times New Roman" w:hAnsi="Times New Roman" w:cs="Times New Roman"/>
                <w:noProof/>
                <w:sz w:val="24"/>
                <w:szCs w:val="24"/>
              </w:rPr>
              <w:t>;</w:t>
            </w:r>
            <w:r w:rsidR="48C3F890" w:rsidRPr="5CA58D31">
              <w:rPr>
                <w:rFonts w:ascii="Times New Roman" w:eastAsia="Times New Roman" w:hAnsi="Times New Roman" w:cs="Times New Roman"/>
                <w:noProof/>
                <w:sz w:val="24"/>
                <w:szCs w:val="24"/>
              </w:rPr>
              <w:t xml:space="preserve"> dominant </w:t>
            </w:r>
            <w:r w:rsidR="278C4D61" w:rsidRPr="5CA58D31">
              <w:rPr>
                <w:rFonts w:ascii="Times New Roman" w:eastAsia="Times New Roman" w:hAnsi="Times New Roman" w:cs="Times New Roman"/>
                <w:noProof/>
                <w:sz w:val="24"/>
                <w:szCs w:val="24"/>
              </w:rPr>
              <w:t xml:space="preserve">and </w:t>
            </w:r>
            <w:r w:rsidR="48C3F890" w:rsidRPr="5CA58D31">
              <w:rPr>
                <w:rFonts w:ascii="Times New Roman" w:eastAsia="Times New Roman" w:hAnsi="Times New Roman" w:cs="Times New Roman"/>
                <w:noProof/>
                <w:sz w:val="24"/>
                <w:szCs w:val="24"/>
              </w:rPr>
              <w:t>critical raw materials suppliers leveraging market power in downstream industries</w:t>
            </w:r>
            <w:r w:rsidR="6411E7C4" w:rsidRPr="5CA58D31">
              <w:rPr>
                <w:rFonts w:ascii="Times New Roman" w:eastAsia="Times New Roman" w:hAnsi="Times New Roman" w:cs="Times New Roman"/>
                <w:noProof/>
                <w:sz w:val="24"/>
                <w:szCs w:val="24"/>
              </w:rPr>
              <w:t xml:space="preserve">. </w:t>
            </w:r>
          </w:p>
          <w:p w14:paraId="1A4C6E16" w14:textId="77777777" w:rsidR="6E6F65FC" w:rsidRDefault="6E6F65FC" w:rsidP="52A9D588">
            <w:pPr>
              <w:jc w:val="both"/>
              <w:rPr>
                <w:rFonts w:ascii="Times New Roman" w:eastAsia="Times New Roman" w:hAnsi="Times New Roman" w:cs="Times New Roman"/>
                <w:noProof/>
                <w:sz w:val="24"/>
                <w:szCs w:val="24"/>
              </w:rPr>
            </w:pPr>
            <w:r w:rsidRPr="5CA58D31">
              <w:rPr>
                <w:rFonts w:ascii="Times New Roman" w:eastAsia="Times New Roman" w:hAnsi="Times New Roman" w:cs="Times New Roman"/>
                <w:noProof/>
                <w:sz w:val="24"/>
                <w:szCs w:val="24"/>
              </w:rPr>
              <w:t>Against this background, the main problem identified is the EU’s lack of secure and sustainable access to CRMs, which is fostered by three sub-problems, namely the insufficient anticipation and mitigation of supply risks, the u</w:t>
            </w:r>
            <w:r w:rsidR="5A0AD33B" w:rsidRPr="5CA58D31">
              <w:rPr>
                <w:rFonts w:ascii="Times New Roman" w:eastAsia="Times New Roman" w:hAnsi="Times New Roman" w:cs="Times New Roman"/>
                <w:noProof/>
                <w:sz w:val="24"/>
                <w:szCs w:val="24"/>
              </w:rPr>
              <w:t xml:space="preserve">nderdevelopment of the EU domestic CRM supply potential due to insufficient capacity at different value chain stages, and the insufficient sustainability and circularity in the EU sourcing of CRMs. </w:t>
            </w:r>
          </w:p>
        </w:tc>
      </w:tr>
      <w:tr w:rsidR="52A9D588" w14:paraId="31161474" w14:textId="77777777" w:rsidTr="2ED4E331">
        <w:trPr>
          <w:trHeight w:val="323"/>
        </w:trPr>
        <w:tc>
          <w:tcPr>
            <w:tcW w:w="9450" w:type="dxa"/>
          </w:tcPr>
          <w:p w14:paraId="752BEC53" w14:textId="77777777" w:rsidR="30BCCFE7" w:rsidRDefault="30BCCFE7" w:rsidP="52A9D588">
            <w:pPr>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What should be achieved?</w:t>
            </w:r>
          </w:p>
        </w:tc>
      </w:tr>
      <w:tr w:rsidR="52A9D588" w14:paraId="38F71B74" w14:textId="77777777" w:rsidTr="2ED4E331">
        <w:trPr>
          <w:trHeight w:val="4155"/>
        </w:trPr>
        <w:tc>
          <w:tcPr>
            <w:tcW w:w="9450" w:type="dxa"/>
          </w:tcPr>
          <w:p w14:paraId="371B8586" w14:textId="77777777" w:rsidR="3D0DA69B" w:rsidRDefault="3D0DA69B" w:rsidP="5CA58D31">
            <w:pPr>
              <w:jc w:val="both"/>
              <w:rPr>
                <w:rFonts w:ascii="Times New Roman" w:eastAsia="Times New Roman" w:hAnsi="Times New Roman" w:cs="Times New Roman"/>
                <w:noProof/>
                <w:color w:val="000000" w:themeColor="text1"/>
                <w:sz w:val="24"/>
                <w:szCs w:val="24"/>
              </w:rPr>
            </w:pPr>
            <w:r w:rsidRPr="5CA58D31">
              <w:rPr>
                <w:rFonts w:ascii="Times New Roman" w:eastAsia="Times New Roman" w:hAnsi="Times New Roman" w:cs="Times New Roman"/>
                <w:noProof/>
                <w:color w:val="000000" w:themeColor="text1"/>
                <w:sz w:val="24"/>
                <w:szCs w:val="24"/>
              </w:rPr>
              <w:t>The general objective of the Critical Raw Materials Act is to address the main problem</w:t>
            </w:r>
            <w:r w:rsidR="69CE3610" w:rsidRPr="5CA58D31">
              <w:rPr>
                <w:rFonts w:ascii="Times New Roman" w:eastAsia="Times New Roman" w:hAnsi="Times New Roman" w:cs="Times New Roman"/>
                <w:noProof/>
                <w:color w:val="000000" w:themeColor="text1"/>
                <w:sz w:val="24"/>
                <w:szCs w:val="24"/>
              </w:rPr>
              <w:t>:</w:t>
            </w:r>
            <w:r w:rsidRPr="5CA58D31">
              <w:rPr>
                <w:rFonts w:ascii="Times New Roman" w:eastAsia="Times New Roman" w:hAnsi="Times New Roman" w:cs="Times New Roman"/>
                <w:noProof/>
                <w:color w:val="000000" w:themeColor="text1"/>
                <w:sz w:val="24"/>
                <w:szCs w:val="24"/>
              </w:rPr>
              <w:t xml:space="preserve"> the lack of secure and sustainable access to </w:t>
            </w:r>
            <w:r w:rsidR="04341606" w:rsidRPr="5CA58D31">
              <w:rPr>
                <w:rFonts w:ascii="Times New Roman" w:eastAsia="Times New Roman" w:hAnsi="Times New Roman" w:cs="Times New Roman"/>
                <w:noProof/>
                <w:color w:val="000000" w:themeColor="text1"/>
                <w:sz w:val="24"/>
                <w:szCs w:val="24"/>
              </w:rPr>
              <w:t>CRMs</w:t>
            </w:r>
            <w:r w:rsidRPr="5CA58D31">
              <w:rPr>
                <w:rFonts w:ascii="Times New Roman" w:eastAsia="Times New Roman" w:hAnsi="Times New Roman" w:cs="Times New Roman"/>
                <w:noProof/>
                <w:color w:val="000000" w:themeColor="text1"/>
                <w:sz w:val="24"/>
                <w:szCs w:val="24"/>
              </w:rPr>
              <w:t xml:space="preserve"> for the EU. </w:t>
            </w:r>
            <w:r w:rsidR="00CEAB70" w:rsidRPr="5CA58D31">
              <w:rPr>
                <w:rFonts w:ascii="Times New Roman" w:eastAsia="Times New Roman" w:hAnsi="Times New Roman" w:cs="Times New Roman"/>
                <w:noProof/>
                <w:color w:val="000000" w:themeColor="text1"/>
                <w:sz w:val="24"/>
                <w:szCs w:val="24"/>
              </w:rPr>
              <w:t>To best address the problem, the following specific objectives directly address the problem drivers identified</w:t>
            </w:r>
            <w:r w:rsidR="6F121531" w:rsidRPr="5CA58D31">
              <w:rPr>
                <w:rFonts w:ascii="Times New Roman" w:eastAsia="Times New Roman" w:hAnsi="Times New Roman" w:cs="Times New Roman"/>
                <w:noProof/>
                <w:color w:val="000000" w:themeColor="text1"/>
                <w:sz w:val="24"/>
                <w:szCs w:val="24"/>
              </w:rPr>
              <w:t>:</w:t>
            </w:r>
          </w:p>
          <w:p w14:paraId="35DE4849" w14:textId="77777777" w:rsidR="5867ECDA" w:rsidRDefault="5867ECDA" w:rsidP="5CA58D31">
            <w:pPr>
              <w:jc w:val="both"/>
              <w:rPr>
                <w:noProof/>
              </w:rPr>
            </w:pPr>
            <w:r w:rsidRPr="5CA58D31">
              <w:rPr>
                <w:rFonts w:ascii="Times New Roman" w:eastAsia="Times New Roman" w:hAnsi="Times New Roman" w:cs="Times New Roman"/>
                <w:b/>
                <w:bCs/>
                <w:noProof/>
                <w:sz w:val="24"/>
                <w:szCs w:val="24"/>
              </w:rPr>
              <w:t>SO1</w:t>
            </w:r>
            <w:r w:rsidRPr="5CA58D31">
              <w:rPr>
                <w:rFonts w:ascii="Times New Roman" w:eastAsia="Times New Roman" w:hAnsi="Times New Roman" w:cs="Times New Roman"/>
                <w:noProof/>
                <w:sz w:val="24"/>
                <w:szCs w:val="24"/>
              </w:rPr>
              <w:t>. Increase EU industry’s awareness and mitigation of CRM-related risks in the global supply chain</w:t>
            </w:r>
          </w:p>
          <w:p w14:paraId="2B87F3DC" w14:textId="77777777" w:rsidR="5867ECDA" w:rsidRDefault="5867ECDA" w:rsidP="5CA58D31">
            <w:pPr>
              <w:jc w:val="both"/>
              <w:rPr>
                <w:noProof/>
              </w:rPr>
            </w:pPr>
            <w:r w:rsidRPr="5CA58D31">
              <w:rPr>
                <w:rFonts w:ascii="Times New Roman" w:eastAsia="Times New Roman" w:hAnsi="Times New Roman" w:cs="Times New Roman"/>
                <w:b/>
                <w:bCs/>
                <w:noProof/>
                <w:sz w:val="24"/>
                <w:szCs w:val="24"/>
              </w:rPr>
              <w:t>SO2</w:t>
            </w:r>
            <w:r w:rsidRPr="5CA58D31">
              <w:rPr>
                <w:rFonts w:ascii="Times New Roman" w:eastAsia="Times New Roman" w:hAnsi="Times New Roman" w:cs="Times New Roman"/>
                <w:noProof/>
                <w:sz w:val="24"/>
                <w:szCs w:val="24"/>
              </w:rPr>
              <w:t xml:space="preserve">. Increase the EU CRM value chain’s capacity in the internal market    </w:t>
            </w:r>
          </w:p>
          <w:p w14:paraId="19A30283" w14:textId="77777777" w:rsidR="5867ECDA" w:rsidRDefault="5867ECDA" w:rsidP="5CA58D31">
            <w:pPr>
              <w:jc w:val="both"/>
              <w:rPr>
                <w:noProof/>
              </w:rPr>
            </w:pPr>
            <w:r w:rsidRPr="5CA58D31">
              <w:rPr>
                <w:rFonts w:ascii="Times New Roman" w:eastAsia="Times New Roman" w:hAnsi="Times New Roman" w:cs="Times New Roman"/>
                <w:b/>
                <w:bCs/>
                <w:noProof/>
                <w:sz w:val="24"/>
                <w:szCs w:val="24"/>
              </w:rPr>
              <w:t>SO3</w:t>
            </w:r>
            <w:r w:rsidRPr="5CA58D31">
              <w:rPr>
                <w:rFonts w:ascii="Times New Roman" w:eastAsia="Times New Roman" w:hAnsi="Times New Roman" w:cs="Times New Roman"/>
                <w:noProof/>
                <w:sz w:val="24"/>
                <w:szCs w:val="24"/>
              </w:rPr>
              <w:t xml:space="preserve">. Reduce the environmental footprint of the EU’s CRM consumption  </w:t>
            </w:r>
          </w:p>
          <w:p w14:paraId="1DA408ED" w14:textId="77777777" w:rsidR="6A2B8AB7" w:rsidRDefault="6A2B8AB7" w:rsidP="5CA58D31">
            <w:pPr>
              <w:jc w:val="both"/>
              <w:rPr>
                <w:rFonts w:ascii="Times New Roman" w:eastAsia="Times New Roman" w:hAnsi="Times New Roman" w:cs="Times New Roman"/>
                <w:noProof/>
                <w:color w:val="000000" w:themeColor="text1"/>
                <w:sz w:val="24"/>
                <w:szCs w:val="24"/>
              </w:rPr>
            </w:pPr>
            <w:r w:rsidRPr="5CA58D31">
              <w:rPr>
                <w:rFonts w:ascii="Times New Roman" w:eastAsia="Times New Roman" w:hAnsi="Times New Roman" w:cs="Times New Roman"/>
                <w:noProof/>
                <w:color w:val="000000" w:themeColor="text1"/>
                <w:sz w:val="24"/>
                <w:szCs w:val="24"/>
              </w:rPr>
              <w:t>However, the regulatory initiative that this Impact Assessment underpins cannot meet the objective</w:t>
            </w:r>
            <w:r w:rsidR="0239A518" w:rsidRPr="5CA58D31">
              <w:rPr>
                <w:rFonts w:ascii="Times New Roman" w:eastAsia="Times New Roman" w:hAnsi="Times New Roman" w:cs="Times New Roman"/>
                <w:noProof/>
                <w:color w:val="000000" w:themeColor="text1"/>
                <w:sz w:val="24"/>
                <w:szCs w:val="24"/>
              </w:rPr>
              <w:t xml:space="preserve"> alone</w:t>
            </w:r>
            <w:r w:rsidRPr="5CA58D31">
              <w:rPr>
                <w:rFonts w:ascii="Times New Roman" w:eastAsia="Times New Roman" w:hAnsi="Times New Roman" w:cs="Times New Roman"/>
                <w:noProof/>
                <w:color w:val="000000" w:themeColor="text1"/>
                <w:sz w:val="24"/>
                <w:szCs w:val="24"/>
              </w:rPr>
              <w:t>. Strengthened efforts to diversify international trade and investment</w:t>
            </w:r>
            <w:r w:rsidR="1C88DF9A" w:rsidRPr="5CA58D31">
              <w:rPr>
                <w:rFonts w:ascii="Times New Roman" w:eastAsia="Times New Roman" w:hAnsi="Times New Roman" w:cs="Times New Roman"/>
                <w:noProof/>
                <w:color w:val="000000" w:themeColor="text1"/>
                <w:sz w:val="24"/>
                <w:szCs w:val="24"/>
              </w:rPr>
              <w:t>s</w:t>
            </w:r>
            <w:r w:rsidRPr="5CA58D31">
              <w:rPr>
                <w:rFonts w:ascii="Times New Roman" w:eastAsia="Times New Roman" w:hAnsi="Times New Roman" w:cs="Times New Roman"/>
                <w:noProof/>
                <w:color w:val="000000" w:themeColor="text1"/>
                <w:sz w:val="24"/>
                <w:szCs w:val="24"/>
              </w:rPr>
              <w:t xml:space="preserve"> ensure undistorted international markets, and the promotion of high social and environmental standards in partnership</w:t>
            </w:r>
            <w:r w:rsidR="09CA41A6" w:rsidRPr="5CA58D31">
              <w:rPr>
                <w:rFonts w:ascii="Times New Roman" w:eastAsia="Times New Roman" w:hAnsi="Times New Roman" w:cs="Times New Roman"/>
                <w:noProof/>
                <w:color w:val="000000" w:themeColor="text1"/>
                <w:sz w:val="24"/>
                <w:szCs w:val="24"/>
              </w:rPr>
              <w:t>s</w:t>
            </w:r>
            <w:r w:rsidRPr="5CA58D31">
              <w:rPr>
                <w:rFonts w:ascii="Times New Roman" w:eastAsia="Times New Roman" w:hAnsi="Times New Roman" w:cs="Times New Roman"/>
                <w:noProof/>
                <w:color w:val="000000" w:themeColor="text1"/>
                <w:sz w:val="24"/>
                <w:szCs w:val="24"/>
              </w:rPr>
              <w:t xml:space="preserve"> and cooperation with third countries</w:t>
            </w:r>
            <w:r w:rsidR="226B43DC" w:rsidRPr="5CA58D31">
              <w:rPr>
                <w:rFonts w:ascii="Times New Roman" w:eastAsia="Times New Roman" w:hAnsi="Times New Roman" w:cs="Times New Roman"/>
                <w:noProof/>
                <w:color w:val="000000" w:themeColor="text1"/>
                <w:sz w:val="24"/>
                <w:szCs w:val="24"/>
              </w:rPr>
              <w:t>. I</w:t>
            </w:r>
            <w:r w:rsidR="2A91311B" w:rsidRPr="5CA58D31">
              <w:rPr>
                <w:rFonts w:ascii="Times New Roman" w:eastAsia="Times New Roman" w:hAnsi="Times New Roman" w:cs="Times New Roman"/>
                <w:noProof/>
                <w:sz w:val="24"/>
                <w:szCs w:val="24"/>
                <w:lang w:val="en-IE"/>
              </w:rPr>
              <w:t>ncreased research and innovation efforts to substitute critical raw materials and minimise the environmental impacts of resource extraction, and work on skills and societal acceptance will also be necessary</w:t>
            </w:r>
            <w:r w:rsidRPr="5CA58D31">
              <w:rPr>
                <w:rFonts w:ascii="Times New Roman" w:eastAsia="Times New Roman" w:hAnsi="Times New Roman" w:cs="Times New Roman"/>
                <w:noProof/>
                <w:color w:val="000000" w:themeColor="text1"/>
                <w:sz w:val="24"/>
                <w:szCs w:val="24"/>
              </w:rPr>
              <w:t>. These aspects are further developed in the accompanying Communication that forms part of the European Critical Raw Materials Act.</w:t>
            </w:r>
          </w:p>
        </w:tc>
      </w:tr>
      <w:tr w:rsidR="52A9D588" w14:paraId="3EB81E4E" w14:textId="77777777" w:rsidTr="2ED4E331">
        <w:trPr>
          <w:trHeight w:val="323"/>
        </w:trPr>
        <w:tc>
          <w:tcPr>
            <w:tcW w:w="9450" w:type="dxa"/>
          </w:tcPr>
          <w:p w14:paraId="7AE5032F" w14:textId="77777777" w:rsidR="30BCCFE7" w:rsidRDefault="30BCCFE7" w:rsidP="52A9D588">
            <w:pPr>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What is the value added of action at the EU level (subsidiarity)?</w:t>
            </w:r>
          </w:p>
        </w:tc>
      </w:tr>
      <w:tr w:rsidR="52A9D588" w14:paraId="2720B528" w14:textId="77777777" w:rsidTr="2ED4E331">
        <w:trPr>
          <w:trHeight w:val="3495"/>
        </w:trPr>
        <w:tc>
          <w:tcPr>
            <w:tcW w:w="9450" w:type="dxa"/>
          </w:tcPr>
          <w:p w14:paraId="386F7678" w14:textId="77777777" w:rsidR="3656C4A0" w:rsidRDefault="3656C4A0" w:rsidP="52A9D588">
            <w:pPr>
              <w:spacing w:after="240"/>
              <w:jc w:val="both"/>
              <w:rPr>
                <w:rFonts w:ascii="Times New Roman" w:eastAsia="Times New Roman" w:hAnsi="Times New Roman" w:cs="Times New Roman"/>
                <w:noProof/>
                <w:color w:val="000000" w:themeColor="text1"/>
                <w:sz w:val="24"/>
                <w:szCs w:val="24"/>
              </w:rPr>
            </w:pPr>
            <w:r w:rsidRPr="52A9D588">
              <w:rPr>
                <w:rFonts w:ascii="Times New Roman" w:eastAsia="Times New Roman" w:hAnsi="Times New Roman" w:cs="Times New Roman"/>
                <w:noProof/>
                <w:color w:val="000000" w:themeColor="text1"/>
                <w:sz w:val="24"/>
                <w:szCs w:val="24"/>
              </w:rPr>
              <w:t>EU action is essential to generate economies of scale and of scope and to limit, if not to avoid, the fragmentation of efforts and associated inefficiencies. In line with this logic, the proposed actions focus on areas where there is a demonstrable value added in acting at Union level due to the scale, speed and scope of the efforts needed. F</w:t>
            </w:r>
            <w:r w:rsidR="07E2B1A9" w:rsidRPr="52A9D588">
              <w:rPr>
                <w:rFonts w:ascii="Times New Roman" w:eastAsia="Times New Roman" w:hAnsi="Times New Roman" w:cs="Times New Roman"/>
                <w:noProof/>
                <w:color w:val="000000" w:themeColor="text1"/>
                <w:sz w:val="24"/>
                <w:szCs w:val="24"/>
              </w:rPr>
              <w:t>or instance, a</w:t>
            </w:r>
            <w:r w:rsidRPr="52A9D588">
              <w:rPr>
                <w:rFonts w:ascii="Times New Roman" w:eastAsia="Times New Roman" w:hAnsi="Times New Roman" w:cs="Times New Roman"/>
                <w:noProof/>
                <w:color w:val="000000" w:themeColor="text1"/>
                <w:sz w:val="24"/>
                <w:szCs w:val="24"/>
              </w:rPr>
              <w:t>ctions aimed at mobilising investment in critical raw material projects along the value chain could be most effective</w:t>
            </w:r>
            <w:r w:rsidR="08244CD9" w:rsidRPr="52A9D588">
              <w:rPr>
                <w:rFonts w:ascii="Times New Roman" w:eastAsia="Times New Roman" w:hAnsi="Times New Roman" w:cs="Times New Roman"/>
                <w:noProof/>
                <w:color w:val="000000" w:themeColor="text1"/>
                <w:sz w:val="24"/>
                <w:szCs w:val="24"/>
              </w:rPr>
              <w:t>ly</w:t>
            </w:r>
            <w:r w:rsidRPr="52A9D588">
              <w:rPr>
                <w:rFonts w:ascii="Times New Roman" w:eastAsia="Times New Roman" w:hAnsi="Times New Roman" w:cs="Times New Roman"/>
                <w:noProof/>
                <w:color w:val="000000" w:themeColor="text1"/>
                <w:sz w:val="24"/>
                <w:szCs w:val="24"/>
              </w:rPr>
              <w:t xml:space="preserve"> designed and coordinated at Union level, given the scale of the investments needed and because the resulting capacities should serve the full internal market.</w:t>
            </w:r>
            <w:r w:rsidR="3743688D" w:rsidRPr="52A9D588">
              <w:rPr>
                <w:rFonts w:ascii="Times New Roman" w:eastAsia="Times New Roman" w:hAnsi="Times New Roman" w:cs="Times New Roman"/>
                <w:noProof/>
                <w:color w:val="000000" w:themeColor="text1"/>
                <w:sz w:val="24"/>
                <w:szCs w:val="24"/>
              </w:rPr>
              <w:t xml:space="preserve"> In addition,</w:t>
            </w:r>
            <w:r w:rsidRPr="52A9D588">
              <w:rPr>
                <w:rFonts w:ascii="Times New Roman" w:eastAsia="Times New Roman" w:hAnsi="Times New Roman" w:cs="Times New Roman"/>
                <w:noProof/>
                <w:color w:val="000000" w:themeColor="text1"/>
                <w:sz w:val="24"/>
                <w:szCs w:val="24"/>
              </w:rPr>
              <w:t xml:space="preserve"> actions aimed at improving monitoring capacities at Union level will achieve greater effectiveness than if left uncoordinated. Together, Member States and Commission will be better able to anticipate supply disruptions than through a patchwork of national efforts. The framework proposed should allow for a more efficient division of tasks and for the sharing of relevant information to prevent the duplication of efforts.</w:t>
            </w:r>
          </w:p>
        </w:tc>
      </w:tr>
      <w:tr w:rsidR="52A9D588" w14:paraId="261EE583" w14:textId="77777777" w:rsidTr="2ED4E331">
        <w:trPr>
          <w:trHeight w:val="323"/>
        </w:trPr>
        <w:tc>
          <w:tcPr>
            <w:tcW w:w="9450" w:type="dxa"/>
            <w:shd w:val="clear" w:color="auto" w:fill="A6A6A6" w:themeFill="background1" w:themeFillShade="A6"/>
          </w:tcPr>
          <w:p w14:paraId="2CD29806" w14:textId="77777777" w:rsidR="30BCCFE7" w:rsidRDefault="30BCCFE7" w:rsidP="52A9D588">
            <w:pPr>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B. Solutions</w:t>
            </w:r>
          </w:p>
        </w:tc>
      </w:tr>
      <w:tr w:rsidR="52A9D588" w14:paraId="600BCECE" w14:textId="77777777" w:rsidTr="2ED4E331">
        <w:trPr>
          <w:trHeight w:val="323"/>
        </w:trPr>
        <w:tc>
          <w:tcPr>
            <w:tcW w:w="9450" w:type="dxa"/>
          </w:tcPr>
          <w:p w14:paraId="0A57A96F" w14:textId="77777777" w:rsidR="7E6815B9" w:rsidRDefault="7E6815B9" w:rsidP="52A9D588">
            <w:pPr>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What are the various options to achieve the objectives? Is there a preferred option or not? If not, why?</w:t>
            </w:r>
          </w:p>
        </w:tc>
      </w:tr>
      <w:tr w:rsidR="52A9D588" w14:paraId="5BE43F81" w14:textId="77777777" w:rsidTr="2ED4E331">
        <w:trPr>
          <w:trHeight w:val="7920"/>
        </w:trPr>
        <w:tc>
          <w:tcPr>
            <w:tcW w:w="9450" w:type="dxa"/>
          </w:tcPr>
          <w:p w14:paraId="4009999D" w14:textId="77777777" w:rsidR="52A9D588" w:rsidRDefault="73E16D9B" w:rsidP="5CA58D31">
            <w:pPr>
              <w:jc w:val="both"/>
              <w:rPr>
                <w:rFonts w:ascii="Times New Roman" w:eastAsia="Times New Roman" w:hAnsi="Times New Roman" w:cs="Times New Roman"/>
                <w:noProof/>
                <w:color w:val="000000" w:themeColor="text1"/>
                <w:sz w:val="24"/>
                <w:szCs w:val="24"/>
              </w:rPr>
            </w:pPr>
            <w:r w:rsidRPr="2ED4E331">
              <w:rPr>
                <w:rFonts w:ascii="Times New Roman" w:eastAsia="Times New Roman" w:hAnsi="Times New Roman" w:cs="Times New Roman"/>
                <w:noProof/>
                <w:color w:val="000000" w:themeColor="text1"/>
                <w:sz w:val="24"/>
                <w:szCs w:val="24"/>
              </w:rPr>
              <w:t xml:space="preserve">The options are organised in different pillars that propose different policy approaches to meet the specific objectives. The options </w:t>
            </w:r>
            <w:r w:rsidR="19F0ECC3" w:rsidRPr="2ED4E331">
              <w:rPr>
                <w:rFonts w:ascii="Times New Roman" w:eastAsia="Times New Roman" w:hAnsi="Times New Roman" w:cs="Times New Roman"/>
                <w:noProof/>
                <w:color w:val="000000" w:themeColor="text1"/>
                <w:sz w:val="24"/>
                <w:szCs w:val="24"/>
              </w:rPr>
              <w:t>combine different set</w:t>
            </w:r>
            <w:r w:rsidR="2E6E4785" w:rsidRPr="2ED4E331">
              <w:rPr>
                <w:rFonts w:ascii="Times New Roman" w:eastAsia="Times New Roman" w:hAnsi="Times New Roman" w:cs="Times New Roman"/>
                <w:noProof/>
                <w:color w:val="000000" w:themeColor="text1"/>
                <w:sz w:val="24"/>
                <w:szCs w:val="24"/>
              </w:rPr>
              <w:t>s</w:t>
            </w:r>
            <w:r w:rsidR="19F0ECC3" w:rsidRPr="2ED4E331">
              <w:rPr>
                <w:rFonts w:ascii="Times New Roman" w:eastAsia="Times New Roman" w:hAnsi="Times New Roman" w:cs="Times New Roman"/>
                <w:noProof/>
                <w:color w:val="000000" w:themeColor="text1"/>
                <w:sz w:val="24"/>
                <w:szCs w:val="24"/>
              </w:rPr>
              <w:t xml:space="preserve"> of policy approaches </w:t>
            </w:r>
            <w:r w:rsidRPr="2ED4E331">
              <w:rPr>
                <w:rFonts w:ascii="Times New Roman" w:eastAsia="Times New Roman" w:hAnsi="Times New Roman" w:cs="Times New Roman"/>
                <w:noProof/>
                <w:color w:val="000000" w:themeColor="text1"/>
                <w:sz w:val="24"/>
                <w:szCs w:val="24"/>
              </w:rPr>
              <w:t xml:space="preserve">based on their </w:t>
            </w:r>
            <w:r w:rsidR="0B722F02" w:rsidRPr="2ED4E331">
              <w:rPr>
                <w:rFonts w:ascii="Times New Roman" w:eastAsia="Times New Roman" w:hAnsi="Times New Roman" w:cs="Times New Roman"/>
                <w:noProof/>
                <w:color w:val="000000" w:themeColor="text1"/>
                <w:sz w:val="24"/>
                <w:szCs w:val="24"/>
              </w:rPr>
              <w:t xml:space="preserve">level of ambition but also based on what is achievable </w:t>
            </w:r>
            <w:r w:rsidR="09AF0684" w:rsidRPr="2ED4E331">
              <w:rPr>
                <w:rFonts w:ascii="Times New Roman" w:eastAsia="Times New Roman" w:hAnsi="Times New Roman" w:cs="Times New Roman"/>
                <w:noProof/>
                <w:color w:val="000000" w:themeColor="text1"/>
                <w:sz w:val="24"/>
                <w:szCs w:val="24"/>
              </w:rPr>
              <w:t>with different</w:t>
            </w:r>
            <w:r w:rsidR="0B722F02" w:rsidRPr="2ED4E331">
              <w:rPr>
                <w:rFonts w:ascii="Times New Roman" w:eastAsia="Times New Roman" w:hAnsi="Times New Roman" w:cs="Times New Roman"/>
                <w:noProof/>
                <w:color w:val="000000" w:themeColor="text1"/>
                <w:sz w:val="24"/>
                <w:szCs w:val="24"/>
              </w:rPr>
              <w:t xml:space="preserve"> governance</w:t>
            </w:r>
            <w:r w:rsidR="3689DFA0" w:rsidRPr="2ED4E331">
              <w:rPr>
                <w:rFonts w:ascii="Times New Roman" w:eastAsia="Times New Roman" w:hAnsi="Times New Roman" w:cs="Times New Roman"/>
                <w:noProof/>
                <w:color w:val="000000" w:themeColor="text1"/>
                <w:sz w:val="24"/>
                <w:szCs w:val="24"/>
              </w:rPr>
              <w:t xml:space="preserve"> structures</w:t>
            </w:r>
            <w:r w:rsidR="0B722F02" w:rsidRPr="2ED4E331">
              <w:rPr>
                <w:rFonts w:ascii="Times New Roman" w:eastAsia="Times New Roman" w:hAnsi="Times New Roman" w:cs="Times New Roman"/>
                <w:noProof/>
                <w:color w:val="000000" w:themeColor="text1"/>
                <w:sz w:val="24"/>
                <w:szCs w:val="24"/>
              </w:rPr>
              <w:t xml:space="preserve">, so that the </w:t>
            </w:r>
            <w:r w:rsidR="712B37FE" w:rsidRPr="2ED4E331">
              <w:rPr>
                <w:rFonts w:ascii="Times New Roman" w:eastAsia="Times New Roman" w:hAnsi="Times New Roman" w:cs="Times New Roman"/>
                <w:noProof/>
                <w:color w:val="000000" w:themeColor="text1"/>
                <w:sz w:val="24"/>
                <w:szCs w:val="24"/>
              </w:rPr>
              <w:t xml:space="preserve">tasks implied in each </w:t>
            </w:r>
            <w:r w:rsidR="11512286" w:rsidRPr="2ED4E331">
              <w:rPr>
                <w:rFonts w:ascii="Times New Roman" w:eastAsia="Times New Roman" w:hAnsi="Times New Roman" w:cs="Times New Roman"/>
                <w:noProof/>
                <w:color w:val="000000" w:themeColor="text1"/>
                <w:sz w:val="24"/>
                <w:szCs w:val="24"/>
              </w:rPr>
              <w:t>option</w:t>
            </w:r>
            <w:r w:rsidR="712B37FE" w:rsidRPr="2ED4E331">
              <w:rPr>
                <w:rFonts w:ascii="Times New Roman" w:eastAsia="Times New Roman" w:hAnsi="Times New Roman" w:cs="Times New Roman"/>
                <w:noProof/>
                <w:color w:val="000000" w:themeColor="text1"/>
                <w:sz w:val="24"/>
                <w:szCs w:val="24"/>
              </w:rPr>
              <w:t xml:space="preserve"> are met with the appropriate level of resources.</w:t>
            </w:r>
          </w:p>
          <w:p w14:paraId="4B5701A3" w14:textId="77777777" w:rsidR="52A9D588" w:rsidRDefault="5F747806" w:rsidP="2ED4E331">
            <w:pPr>
              <w:jc w:val="both"/>
              <w:rPr>
                <w:rFonts w:ascii="Times New Roman" w:eastAsia="Times New Roman" w:hAnsi="Times New Roman" w:cs="Times New Roman"/>
                <w:noProof/>
                <w:color w:val="000000" w:themeColor="text1"/>
                <w:sz w:val="24"/>
                <w:szCs w:val="24"/>
                <w:lang w:val="en-US"/>
              </w:rPr>
            </w:pPr>
            <w:r w:rsidRPr="2ED4E331">
              <w:rPr>
                <w:rFonts w:ascii="Times New Roman" w:eastAsia="Times New Roman" w:hAnsi="Times New Roman" w:cs="Times New Roman"/>
                <w:b/>
                <w:bCs/>
                <w:noProof/>
                <w:color w:val="000000" w:themeColor="text1"/>
                <w:sz w:val="24"/>
                <w:szCs w:val="24"/>
              </w:rPr>
              <w:t>Policy option 1 (PO1)</w:t>
            </w:r>
            <w:r w:rsidRPr="2ED4E331">
              <w:rPr>
                <w:rFonts w:ascii="Times New Roman" w:eastAsia="Times New Roman" w:hAnsi="Times New Roman" w:cs="Times New Roman"/>
                <w:noProof/>
                <w:color w:val="000000" w:themeColor="text1"/>
                <w:sz w:val="24"/>
                <w:szCs w:val="24"/>
              </w:rPr>
              <w:t xml:space="preserve"> provides for a mechanism to set targets for strategic raw materials. It comprises a governance structure under a dedicated EU CRM board supported by a network of national agencies and operational capacity within the Commission. Such entity would develop monitoring capacity, enable the coordination of EU strategic stocks and ensure that companies are better prepared ahead of supply disruptions. It contains elements to support the value chain, notably through exploration coordination, enhanced support for national CRM projects and easier access to finance. In terms of circularity, it provides for a recommendation targeting small consumer electronics and the announcement of future actions. It provides for enhanced EU efforts in international standards-setting, as well as minimum requirements for certification schemes on CRM sustainability and information requirement on the environmental footprint of CRMs placed on EU market.</w:t>
            </w:r>
          </w:p>
          <w:p w14:paraId="63E6AFBE" w14:textId="77777777" w:rsidR="52A9D588" w:rsidRDefault="5F747806" w:rsidP="2ED4E331">
            <w:pPr>
              <w:jc w:val="both"/>
              <w:rPr>
                <w:rFonts w:ascii="Times New Roman" w:eastAsia="Times New Roman" w:hAnsi="Times New Roman" w:cs="Times New Roman"/>
                <w:noProof/>
                <w:color w:val="000000" w:themeColor="text1"/>
                <w:sz w:val="24"/>
                <w:szCs w:val="24"/>
                <w:lang w:val="en-US"/>
              </w:rPr>
            </w:pPr>
            <w:r w:rsidRPr="2ED4E331">
              <w:rPr>
                <w:rFonts w:ascii="Times New Roman" w:eastAsia="Times New Roman" w:hAnsi="Times New Roman" w:cs="Times New Roman"/>
                <w:b/>
                <w:bCs/>
                <w:noProof/>
                <w:color w:val="000000" w:themeColor="text1"/>
                <w:sz w:val="24"/>
                <w:szCs w:val="24"/>
              </w:rPr>
              <w:t>Policy option 2 (PO2)</w:t>
            </w:r>
            <w:r w:rsidRPr="2ED4E331">
              <w:rPr>
                <w:rFonts w:ascii="Times New Roman" w:eastAsia="Times New Roman" w:hAnsi="Times New Roman" w:cs="Times New Roman"/>
                <w:noProof/>
                <w:color w:val="000000" w:themeColor="text1"/>
                <w:sz w:val="24"/>
                <w:szCs w:val="24"/>
              </w:rPr>
              <w:t xml:space="preserve"> shares with PO1 the same governance mechanism and tasks in terms of monitoring, strategic stocks and risk preparedness. It further reinforces the value chain in the EU with the development of stronger obligations on exploration and the implementation of Strategic Projects along the value chain of strategic raw materials. These projects would benefit from streamlined permitting and easier access to finance. Measures around circularity include targeted amendments of extractive waste directive. Measures on standards contain the development of additional standardisation deliverables on industrial process and measures on environmental footprint contain the progressive development of threshold for CRM if a dedicated assessment provides that it would not affect supply security. </w:t>
            </w:r>
          </w:p>
          <w:p w14:paraId="23F0EA96" w14:textId="77777777" w:rsidR="52A9D588" w:rsidRDefault="5F747806" w:rsidP="2ED4E331">
            <w:pPr>
              <w:jc w:val="both"/>
              <w:rPr>
                <w:rFonts w:ascii="Times New Roman" w:eastAsia="Times New Roman" w:hAnsi="Times New Roman" w:cs="Times New Roman"/>
                <w:noProof/>
                <w:color w:val="000000" w:themeColor="text1"/>
                <w:sz w:val="24"/>
                <w:szCs w:val="24"/>
                <w:lang w:val="en-US"/>
              </w:rPr>
            </w:pPr>
            <w:r w:rsidRPr="2ED4E331">
              <w:rPr>
                <w:rFonts w:ascii="Times New Roman" w:eastAsia="Times New Roman" w:hAnsi="Times New Roman" w:cs="Times New Roman"/>
                <w:b/>
                <w:bCs/>
                <w:noProof/>
                <w:color w:val="000000" w:themeColor="text1"/>
                <w:sz w:val="24"/>
                <w:szCs w:val="24"/>
              </w:rPr>
              <w:t xml:space="preserve">Policy option 3 (PO3) </w:t>
            </w:r>
            <w:r w:rsidRPr="2ED4E331">
              <w:rPr>
                <w:rFonts w:ascii="Times New Roman" w:eastAsia="Times New Roman" w:hAnsi="Times New Roman" w:cs="Times New Roman"/>
                <w:noProof/>
                <w:color w:val="000000" w:themeColor="text1"/>
                <w:sz w:val="24"/>
                <w:szCs w:val="24"/>
              </w:rPr>
              <w:t>develops an external capacity in terms of governance, which enables to propose ambitious measures on strategic stocks, monitoring and risks preparedness. It also builds on the notion of Strategic Projects, which would benefit from additional permitting support through dedicated resources from Member States and a dedicated European CRM Fund. It shares with PO2 the measures on circularity, standards and environmental footprint.</w:t>
            </w:r>
          </w:p>
          <w:p w14:paraId="6C6438CF" w14:textId="77777777" w:rsidR="52A9D588" w:rsidRDefault="52A9D588" w:rsidP="2ED4E331">
            <w:pPr>
              <w:jc w:val="both"/>
              <w:rPr>
                <w:rFonts w:ascii="Times New Roman" w:eastAsia="Times New Roman" w:hAnsi="Times New Roman" w:cs="Times New Roman"/>
                <w:noProof/>
                <w:color w:val="000000" w:themeColor="text1"/>
                <w:sz w:val="24"/>
                <w:szCs w:val="24"/>
              </w:rPr>
            </w:pPr>
          </w:p>
        </w:tc>
      </w:tr>
      <w:tr w:rsidR="52A9D588" w14:paraId="368F85B5" w14:textId="77777777" w:rsidTr="2ED4E331">
        <w:trPr>
          <w:trHeight w:val="1470"/>
        </w:trPr>
        <w:tc>
          <w:tcPr>
            <w:tcW w:w="9450" w:type="dxa"/>
          </w:tcPr>
          <w:p w14:paraId="5E651DB0" w14:textId="77777777" w:rsidR="33DAB2BF" w:rsidRDefault="33DAB2BF" w:rsidP="5CA58D31">
            <w:pPr>
              <w:spacing w:line="259" w:lineRule="auto"/>
              <w:jc w:val="both"/>
              <w:rPr>
                <w:rFonts w:ascii="Times New Roman" w:eastAsia="Times New Roman" w:hAnsi="Times New Roman" w:cs="Times New Roman"/>
                <w:noProof/>
                <w:color w:val="000000" w:themeColor="text1"/>
                <w:sz w:val="24"/>
                <w:szCs w:val="24"/>
              </w:rPr>
            </w:pPr>
            <w:r w:rsidRPr="5CA58D31">
              <w:rPr>
                <w:rFonts w:ascii="Times New Roman" w:eastAsia="Times New Roman" w:hAnsi="Times New Roman" w:cs="Times New Roman"/>
                <w:noProof/>
                <w:color w:val="000000" w:themeColor="text1"/>
                <w:sz w:val="24"/>
                <w:szCs w:val="24"/>
              </w:rPr>
              <w:t>All policy options build on the notion of critical raw materials and of strategic raw materials, which are a subset focused on the materials needed for particularly strategic applications.</w:t>
            </w:r>
          </w:p>
          <w:p w14:paraId="6830E35E" w14:textId="77777777" w:rsidR="624E5311" w:rsidRDefault="624E5311" w:rsidP="52A9D588">
            <w:pPr>
              <w:jc w:val="both"/>
              <w:rPr>
                <w:rFonts w:ascii="Times New Roman" w:eastAsia="Times New Roman" w:hAnsi="Times New Roman" w:cs="Times New Roman"/>
                <w:noProof/>
                <w:sz w:val="24"/>
                <w:szCs w:val="24"/>
              </w:rPr>
            </w:pPr>
            <w:r w:rsidRPr="5CA58D31">
              <w:rPr>
                <w:rFonts w:ascii="Times New Roman" w:eastAsia="Times New Roman" w:hAnsi="Times New Roman" w:cs="Times New Roman"/>
                <w:noProof/>
                <w:sz w:val="24"/>
                <w:szCs w:val="24"/>
              </w:rPr>
              <w:t xml:space="preserve">The impact assessment suggests that option 2 is the preferred </w:t>
            </w:r>
            <w:r w:rsidR="3055DC78" w:rsidRPr="5CA58D31">
              <w:rPr>
                <w:rFonts w:ascii="Times New Roman" w:eastAsia="Times New Roman" w:hAnsi="Times New Roman" w:cs="Times New Roman"/>
                <w:noProof/>
                <w:sz w:val="24"/>
                <w:szCs w:val="24"/>
              </w:rPr>
              <w:t>option,</w:t>
            </w:r>
            <w:r w:rsidRPr="5CA58D31">
              <w:rPr>
                <w:rFonts w:ascii="Times New Roman" w:eastAsia="Times New Roman" w:hAnsi="Times New Roman" w:cs="Times New Roman"/>
                <w:noProof/>
                <w:sz w:val="24"/>
                <w:szCs w:val="24"/>
              </w:rPr>
              <w:t xml:space="preserve"> notably in terms of efficiency and </w:t>
            </w:r>
            <w:r w:rsidR="6375B04B" w:rsidRPr="5CA58D31">
              <w:rPr>
                <w:rFonts w:ascii="Times New Roman" w:eastAsia="Times New Roman" w:hAnsi="Times New Roman" w:cs="Times New Roman"/>
                <w:noProof/>
                <w:sz w:val="24"/>
                <w:szCs w:val="24"/>
              </w:rPr>
              <w:t>stakeholders'</w:t>
            </w:r>
            <w:r w:rsidRPr="5CA58D31">
              <w:rPr>
                <w:rFonts w:ascii="Times New Roman" w:eastAsia="Times New Roman" w:hAnsi="Times New Roman" w:cs="Times New Roman"/>
                <w:noProof/>
                <w:sz w:val="24"/>
                <w:szCs w:val="24"/>
              </w:rPr>
              <w:t xml:space="preserve"> support. It is to be noted that option 3 </w:t>
            </w:r>
            <w:r w:rsidR="3C1917D6" w:rsidRPr="5CA58D31">
              <w:rPr>
                <w:rFonts w:ascii="Times New Roman" w:eastAsia="Times New Roman" w:hAnsi="Times New Roman" w:cs="Times New Roman"/>
                <w:noProof/>
                <w:sz w:val="24"/>
                <w:szCs w:val="24"/>
              </w:rPr>
              <w:t xml:space="preserve">presents a higher level of ambition and would allow to meet the objectives more effectively. </w:t>
            </w:r>
          </w:p>
        </w:tc>
      </w:tr>
      <w:tr w:rsidR="52A9D588" w14:paraId="6FFDC9B0" w14:textId="77777777" w:rsidTr="2ED4E331">
        <w:trPr>
          <w:trHeight w:val="323"/>
        </w:trPr>
        <w:tc>
          <w:tcPr>
            <w:tcW w:w="9450" w:type="dxa"/>
          </w:tcPr>
          <w:p w14:paraId="3B09548F" w14:textId="77777777" w:rsidR="29D6F5F8" w:rsidRDefault="29D6F5F8" w:rsidP="52A9D588">
            <w:pPr>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What are different stakeholders' views? Who supports which option?</w:t>
            </w:r>
          </w:p>
        </w:tc>
      </w:tr>
      <w:tr w:rsidR="52A9D588" w14:paraId="11901BB1" w14:textId="77777777" w:rsidTr="2ED4E331">
        <w:trPr>
          <w:trHeight w:val="2370"/>
        </w:trPr>
        <w:tc>
          <w:tcPr>
            <w:tcW w:w="9450" w:type="dxa"/>
          </w:tcPr>
          <w:p w14:paraId="762F59AC" w14:textId="77777777" w:rsidR="29D6F5F8" w:rsidRDefault="29D6F5F8" w:rsidP="52A9D588">
            <w:pPr>
              <w:jc w:val="both"/>
              <w:rPr>
                <w:rFonts w:ascii="Times New Roman" w:eastAsia="Times New Roman" w:hAnsi="Times New Roman" w:cs="Times New Roman"/>
                <w:noProof/>
                <w:sz w:val="24"/>
                <w:szCs w:val="24"/>
              </w:rPr>
            </w:pPr>
            <w:r w:rsidRPr="5CA58D31">
              <w:rPr>
                <w:rFonts w:ascii="Times New Roman" w:eastAsia="Times New Roman" w:hAnsi="Times New Roman" w:cs="Times New Roman"/>
                <w:noProof/>
                <w:sz w:val="24"/>
                <w:szCs w:val="24"/>
              </w:rPr>
              <w:t>Due to the variety of the proposed pillars, it is not straightforward to attribute opinion</w:t>
            </w:r>
            <w:r w:rsidR="23E1A372" w:rsidRPr="5CA58D31">
              <w:rPr>
                <w:rFonts w:ascii="Times New Roman" w:eastAsia="Times New Roman" w:hAnsi="Times New Roman" w:cs="Times New Roman"/>
                <w:noProof/>
                <w:sz w:val="24"/>
                <w:szCs w:val="24"/>
              </w:rPr>
              <w:t>s of stakeholders</w:t>
            </w:r>
            <w:r w:rsidRPr="5CA58D31">
              <w:rPr>
                <w:rFonts w:ascii="Times New Roman" w:eastAsia="Times New Roman" w:hAnsi="Times New Roman" w:cs="Times New Roman"/>
                <w:noProof/>
                <w:sz w:val="24"/>
                <w:szCs w:val="24"/>
              </w:rPr>
              <w:t xml:space="preserve"> </w:t>
            </w:r>
            <w:r w:rsidR="72CC4C0B" w:rsidRPr="5CA58D31">
              <w:rPr>
                <w:rFonts w:ascii="Times New Roman" w:eastAsia="Times New Roman" w:hAnsi="Times New Roman" w:cs="Times New Roman"/>
                <w:noProof/>
                <w:sz w:val="24"/>
                <w:szCs w:val="24"/>
              </w:rPr>
              <w:t xml:space="preserve">to </w:t>
            </w:r>
            <w:r w:rsidRPr="5CA58D31">
              <w:rPr>
                <w:rFonts w:ascii="Times New Roman" w:eastAsia="Times New Roman" w:hAnsi="Times New Roman" w:cs="Times New Roman"/>
                <w:noProof/>
                <w:sz w:val="24"/>
                <w:szCs w:val="24"/>
              </w:rPr>
              <w:t>the overall options. Instead, the impact assessment details the stakeholders</w:t>
            </w:r>
            <w:r w:rsidR="586270DC" w:rsidRPr="5CA58D31">
              <w:rPr>
                <w:rFonts w:ascii="Times New Roman" w:eastAsia="Times New Roman" w:hAnsi="Times New Roman" w:cs="Times New Roman"/>
                <w:noProof/>
                <w:sz w:val="24"/>
                <w:szCs w:val="24"/>
              </w:rPr>
              <w:t>’</w:t>
            </w:r>
            <w:r w:rsidRPr="5CA58D31">
              <w:rPr>
                <w:rFonts w:ascii="Times New Roman" w:eastAsia="Times New Roman" w:hAnsi="Times New Roman" w:cs="Times New Roman"/>
                <w:noProof/>
                <w:sz w:val="24"/>
                <w:szCs w:val="24"/>
              </w:rPr>
              <w:t xml:space="preserve"> view</w:t>
            </w:r>
            <w:r w:rsidR="2D6C01B5" w:rsidRPr="5CA58D31">
              <w:rPr>
                <w:rFonts w:ascii="Times New Roman" w:eastAsia="Times New Roman" w:hAnsi="Times New Roman" w:cs="Times New Roman"/>
                <w:noProof/>
                <w:sz w:val="24"/>
                <w:szCs w:val="24"/>
              </w:rPr>
              <w:t>s</w:t>
            </w:r>
            <w:r w:rsidRPr="5CA58D31">
              <w:rPr>
                <w:rFonts w:ascii="Times New Roman" w:eastAsia="Times New Roman" w:hAnsi="Times New Roman" w:cs="Times New Roman"/>
                <w:noProof/>
                <w:sz w:val="24"/>
                <w:szCs w:val="24"/>
              </w:rPr>
              <w:t xml:space="preserve"> for each of the pi</w:t>
            </w:r>
            <w:r w:rsidR="4DC774FA" w:rsidRPr="5CA58D31">
              <w:rPr>
                <w:rFonts w:ascii="Times New Roman" w:eastAsia="Times New Roman" w:hAnsi="Times New Roman" w:cs="Times New Roman"/>
                <w:noProof/>
                <w:sz w:val="24"/>
                <w:szCs w:val="24"/>
              </w:rPr>
              <w:t>llars. In total, it can be concluded that stakeholders from the industry are</w:t>
            </w:r>
            <w:r w:rsidR="5C813A61" w:rsidRPr="5CA58D31">
              <w:rPr>
                <w:rFonts w:ascii="Times New Roman" w:eastAsia="Times New Roman" w:hAnsi="Times New Roman" w:cs="Times New Roman"/>
                <w:noProof/>
                <w:sz w:val="24"/>
                <w:szCs w:val="24"/>
              </w:rPr>
              <w:t xml:space="preserve"> rather</w:t>
            </w:r>
            <w:r w:rsidR="4DC774FA" w:rsidRPr="5CA58D31">
              <w:rPr>
                <w:rFonts w:ascii="Times New Roman" w:eastAsia="Times New Roman" w:hAnsi="Times New Roman" w:cs="Times New Roman"/>
                <w:noProof/>
                <w:sz w:val="24"/>
                <w:szCs w:val="24"/>
              </w:rPr>
              <w:t xml:space="preserve"> in favour of the strong measures that would be proposed in option 3</w:t>
            </w:r>
            <w:r w:rsidR="18B554D2" w:rsidRPr="5CA58D31">
              <w:rPr>
                <w:rFonts w:ascii="Times New Roman" w:eastAsia="Times New Roman" w:hAnsi="Times New Roman" w:cs="Times New Roman"/>
                <w:noProof/>
                <w:sz w:val="24"/>
                <w:szCs w:val="24"/>
              </w:rPr>
              <w:t xml:space="preserve"> notably in terms of governance and of support to the value chain</w:t>
            </w:r>
            <w:r w:rsidR="23FD1B92" w:rsidRPr="5CA58D31">
              <w:rPr>
                <w:rFonts w:ascii="Times New Roman" w:eastAsia="Times New Roman" w:hAnsi="Times New Roman" w:cs="Times New Roman"/>
                <w:noProof/>
                <w:sz w:val="24"/>
                <w:szCs w:val="24"/>
              </w:rPr>
              <w:t xml:space="preserve">. Public authorities’ views are split, with a slight preference for a network-based </w:t>
            </w:r>
            <w:r w:rsidR="034F8E2B" w:rsidRPr="5CA58D31">
              <w:rPr>
                <w:rFonts w:ascii="Times New Roman" w:eastAsia="Times New Roman" w:hAnsi="Times New Roman" w:cs="Times New Roman"/>
                <w:noProof/>
                <w:sz w:val="24"/>
                <w:szCs w:val="24"/>
              </w:rPr>
              <w:t>approach on governance, alike in option 2. Civil society would support the most stringent measures in options 2 and 3 on circularity and environmental footprint.</w:t>
            </w:r>
          </w:p>
        </w:tc>
      </w:tr>
      <w:tr w:rsidR="52A9D588" w14:paraId="1CBE19EF" w14:textId="77777777" w:rsidTr="2ED4E331">
        <w:trPr>
          <w:trHeight w:val="323"/>
        </w:trPr>
        <w:tc>
          <w:tcPr>
            <w:tcW w:w="9450" w:type="dxa"/>
            <w:shd w:val="clear" w:color="auto" w:fill="A5A5A5" w:themeFill="accent3"/>
          </w:tcPr>
          <w:p w14:paraId="608300AF" w14:textId="77777777" w:rsidR="7E6815B9" w:rsidRDefault="7E6815B9" w:rsidP="52A9D588">
            <w:pPr>
              <w:spacing w:line="259" w:lineRule="auto"/>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C. Impacts of the options</w:t>
            </w:r>
          </w:p>
        </w:tc>
      </w:tr>
      <w:tr w:rsidR="52A9D588" w14:paraId="436B0997" w14:textId="77777777" w:rsidTr="2ED4E331">
        <w:trPr>
          <w:trHeight w:val="323"/>
        </w:trPr>
        <w:tc>
          <w:tcPr>
            <w:tcW w:w="9450" w:type="dxa"/>
            <w:shd w:val="clear" w:color="auto" w:fill="FFFFFF" w:themeFill="background1"/>
          </w:tcPr>
          <w:p w14:paraId="43F5AFEE" w14:textId="77777777" w:rsidR="101672DE" w:rsidRDefault="101672DE" w:rsidP="52A9D588">
            <w:pPr>
              <w:spacing w:line="259" w:lineRule="auto"/>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What are the benefits of the options (if any, otherwise of main ones)?</w:t>
            </w:r>
          </w:p>
        </w:tc>
      </w:tr>
      <w:tr w:rsidR="52A9D588" w14:paraId="4C4E1AC7" w14:textId="77777777" w:rsidTr="2ED4E331">
        <w:trPr>
          <w:trHeight w:val="5262"/>
        </w:trPr>
        <w:tc>
          <w:tcPr>
            <w:tcW w:w="9450" w:type="dxa"/>
            <w:shd w:val="clear" w:color="auto" w:fill="FFFFFF" w:themeFill="background1"/>
          </w:tcPr>
          <w:p w14:paraId="7C5BAE4F" w14:textId="77777777" w:rsidR="5492CCBF" w:rsidRDefault="5492CCBF" w:rsidP="52A9D588">
            <w:pPr>
              <w:spacing w:line="259" w:lineRule="auto"/>
              <w:jc w:val="both"/>
              <w:rPr>
                <w:rFonts w:ascii="Times New Roman" w:eastAsia="Times New Roman" w:hAnsi="Times New Roman" w:cs="Times New Roman"/>
                <w:noProof/>
                <w:sz w:val="24"/>
                <w:szCs w:val="24"/>
              </w:rPr>
            </w:pPr>
            <w:r w:rsidRPr="5CA58D31">
              <w:rPr>
                <w:rFonts w:ascii="Times New Roman" w:eastAsia="Times New Roman" w:hAnsi="Times New Roman" w:cs="Times New Roman"/>
                <w:b/>
                <w:bCs/>
                <w:noProof/>
                <w:sz w:val="24"/>
                <w:szCs w:val="24"/>
              </w:rPr>
              <w:t>Option 1</w:t>
            </w:r>
            <w:r w:rsidRPr="5CA58D31">
              <w:rPr>
                <w:rFonts w:ascii="Times New Roman" w:eastAsia="Times New Roman" w:hAnsi="Times New Roman" w:cs="Times New Roman"/>
                <w:noProof/>
                <w:sz w:val="24"/>
                <w:szCs w:val="24"/>
              </w:rPr>
              <w:t xml:space="preserve"> is expected to bring economic benefits for companies, </w:t>
            </w:r>
            <w:r w:rsidR="44C115FB" w:rsidRPr="5CA58D31">
              <w:rPr>
                <w:rFonts w:ascii="Times New Roman" w:eastAsia="Times New Roman" w:hAnsi="Times New Roman" w:cs="Times New Roman"/>
                <w:noProof/>
                <w:sz w:val="24"/>
                <w:szCs w:val="24"/>
              </w:rPr>
              <w:t xml:space="preserve">due to targets guiding the development of </w:t>
            </w:r>
            <w:r w:rsidR="321184F1" w:rsidRPr="5CA58D31">
              <w:rPr>
                <w:rFonts w:ascii="Times New Roman" w:eastAsia="Times New Roman" w:hAnsi="Times New Roman" w:cs="Times New Roman"/>
                <w:noProof/>
                <w:sz w:val="24"/>
                <w:szCs w:val="24"/>
              </w:rPr>
              <w:t>EU support. They would</w:t>
            </w:r>
            <w:r w:rsidR="68ECD2E7" w:rsidRPr="5CA58D31">
              <w:rPr>
                <w:rFonts w:ascii="Times New Roman" w:eastAsia="Times New Roman" w:hAnsi="Times New Roman" w:cs="Times New Roman"/>
                <w:noProof/>
                <w:sz w:val="24"/>
                <w:szCs w:val="24"/>
              </w:rPr>
              <w:t xml:space="preserve"> also</w:t>
            </w:r>
            <w:r w:rsidR="321184F1" w:rsidRPr="5CA58D31">
              <w:rPr>
                <w:rFonts w:ascii="Times New Roman" w:eastAsia="Times New Roman" w:hAnsi="Times New Roman" w:cs="Times New Roman"/>
                <w:noProof/>
                <w:sz w:val="24"/>
                <w:szCs w:val="24"/>
              </w:rPr>
              <w:t xml:space="preserve"> benefit from increase</w:t>
            </w:r>
            <w:r w:rsidR="67B606E6" w:rsidRPr="5CA58D31">
              <w:rPr>
                <w:rFonts w:ascii="Times New Roman" w:eastAsia="Times New Roman" w:hAnsi="Times New Roman" w:cs="Times New Roman"/>
                <w:noProof/>
                <w:sz w:val="24"/>
                <w:szCs w:val="24"/>
              </w:rPr>
              <w:t>d</w:t>
            </w:r>
            <w:r w:rsidR="321184F1" w:rsidRPr="5CA58D31">
              <w:rPr>
                <w:rFonts w:ascii="Times New Roman" w:eastAsia="Times New Roman" w:hAnsi="Times New Roman" w:cs="Times New Roman"/>
                <w:noProof/>
                <w:sz w:val="24"/>
                <w:szCs w:val="24"/>
              </w:rPr>
              <w:t xml:space="preserve"> EU monitoring capacity provided by the network</w:t>
            </w:r>
            <w:r w:rsidR="26C9BE31" w:rsidRPr="5CA58D31">
              <w:rPr>
                <w:rFonts w:ascii="Times New Roman" w:eastAsia="Times New Roman" w:hAnsi="Times New Roman" w:cs="Times New Roman"/>
                <w:noProof/>
                <w:sz w:val="24"/>
                <w:szCs w:val="24"/>
              </w:rPr>
              <w:t>, while their diversification and resilience building would be encouraged by national measures</w:t>
            </w:r>
            <w:r w:rsidR="4DADFD88" w:rsidRPr="5CA58D31">
              <w:rPr>
                <w:rFonts w:ascii="Times New Roman" w:eastAsia="Times New Roman" w:hAnsi="Times New Roman" w:cs="Times New Roman"/>
                <w:noProof/>
                <w:sz w:val="24"/>
                <w:szCs w:val="24"/>
              </w:rPr>
              <w:t>, as well as from targeted value chain support in terms of exploration, permitting and financing</w:t>
            </w:r>
            <w:r w:rsidR="06ED803C" w:rsidRPr="5CA58D31">
              <w:rPr>
                <w:rFonts w:ascii="Times New Roman" w:eastAsia="Times New Roman" w:hAnsi="Times New Roman" w:cs="Times New Roman"/>
                <w:noProof/>
                <w:sz w:val="24"/>
                <w:szCs w:val="24"/>
              </w:rPr>
              <w:t xml:space="preserve">. Measures on waste legislation could </w:t>
            </w:r>
            <w:r w:rsidR="549195B0" w:rsidRPr="5CA58D31">
              <w:rPr>
                <w:rFonts w:ascii="Times New Roman" w:eastAsia="Times New Roman" w:hAnsi="Times New Roman" w:cs="Times New Roman"/>
                <w:noProof/>
                <w:sz w:val="24"/>
                <w:szCs w:val="24"/>
              </w:rPr>
              <w:t>incentiv</w:t>
            </w:r>
            <w:r w:rsidR="541F2C8E" w:rsidRPr="5CA58D31">
              <w:rPr>
                <w:rFonts w:ascii="Times New Roman" w:eastAsia="Times New Roman" w:hAnsi="Times New Roman" w:cs="Times New Roman"/>
                <w:noProof/>
                <w:sz w:val="24"/>
                <w:szCs w:val="24"/>
              </w:rPr>
              <w:t>i</w:t>
            </w:r>
            <w:r w:rsidR="00DBEB4B" w:rsidRPr="5CA58D31">
              <w:rPr>
                <w:rFonts w:ascii="Times New Roman" w:eastAsia="Times New Roman" w:hAnsi="Times New Roman" w:cs="Times New Roman"/>
                <w:noProof/>
                <w:sz w:val="24"/>
                <w:szCs w:val="24"/>
              </w:rPr>
              <w:t>s</w:t>
            </w:r>
            <w:r w:rsidR="541F2C8E" w:rsidRPr="5CA58D31">
              <w:rPr>
                <w:rFonts w:ascii="Times New Roman" w:eastAsia="Times New Roman" w:hAnsi="Times New Roman" w:cs="Times New Roman"/>
                <w:noProof/>
                <w:sz w:val="24"/>
                <w:szCs w:val="24"/>
              </w:rPr>
              <w:t xml:space="preserve">e </w:t>
            </w:r>
            <w:r w:rsidR="549195B0" w:rsidRPr="5CA58D31">
              <w:rPr>
                <w:rFonts w:ascii="Times New Roman" w:eastAsia="Times New Roman" w:hAnsi="Times New Roman" w:cs="Times New Roman"/>
                <w:noProof/>
                <w:sz w:val="24"/>
                <w:szCs w:val="24"/>
              </w:rPr>
              <w:t>additional waste recovery while environmental footprint declar</w:t>
            </w:r>
            <w:r w:rsidR="628F920D" w:rsidRPr="5CA58D31">
              <w:rPr>
                <w:rFonts w:ascii="Times New Roman" w:eastAsia="Times New Roman" w:hAnsi="Times New Roman" w:cs="Times New Roman"/>
                <w:noProof/>
                <w:sz w:val="24"/>
                <w:szCs w:val="24"/>
              </w:rPr>
              <w:t>ation requirements</w:t>
            </w:r>
            <w:r w:rsidR="7EF9298A" w:rsidRPr="5CA58D31">
              <w:rPr>
                <w:rFonts w:ascii="Times New Roman" w:eastAsia="Times New Roman" w:hAnsi="Times New Roman" w:cs="Times New Roman"/>
                <w:noProof/>
                <w:sz w:val="24"/>
                <w:szCs w:val="24"/>
              </w:rPr>
              <w:t xml:space="preserve"> and actions on standards would </w:t>
            </w:r>
            <w:r w:rsidR="1FA6B6F2" w:rsidRPr="5CA58D31">
              <w:rPr>
                <w:rFonts w:ascii="Times New Roman" w:eastAsia="Times New Roman" w:hAnsi="Times New Roman" w:cs="Times New Roman"/>
                <w:noProof/>
                <w:sz w:val="24"/>
                <w:szCs w:val="24"/>
              </w:rPr>
              <w:t>improve</w:t>
            </w:r>
            <w:r w:rsidR="7EF9298A" w:rsidRPr="5CA58D31">
              <w:rPr>
                <w:rFonts w:ascii="Times New Roman" w:eastAsia="Times New Roman" w:hAnsi="Times New Roman" w:cs="Times New Roman"/>
                <w:noProof/>
                <w:sz w:val="24"/>
                <w:szCs w:val="24"/>
              </w:rPr>
              <w:t xml:space="preserve"> the quality of information on sustainability.</w:t>
            </w:r>
          </w:p>
          <w:p w14:paraId="643AFF56" w14:textId="77777777" w:rsidR="5492CCBF" w:rsidRDefault="5492CCBF" w:rsidP="52A9D588">
            <w:pPr>
              <w:spacing w:line="259" w:lineRule="auto"/>
              <w:jc w:val="both"/>
              <w:rPr>
                <w:rFonts w:ascii="Times New Roman" w:eastAsia="Times New Roman" w:hAnsi="Times New Roman" w:cs="Times New Roman"/>
                <w:noProof/>
                <w:sz w:val="24"/>
                <w:szCs w:val="24"/>
              </w:rPr>
            </w:pPr>
            <w:r w:rsidRPr="5CA58D31">
              <w:rPr>
                <w:rFonts w:ascii="Times New Roman" w:eastAsia="Times New Roman" w:hAnsi="Times New Roman" w:cs="Times New Roman"/>
                <w:b/>
                <w:bCs/>
                <w:noProof/>
                <w:sz w:val="24"/>
                <w:szCs w:val="24"/>
              </w:rPr>
              <w:t>Option 2</w:t>
            </w:r>
            <w:r w:rsidRPr="5CA58D31">
              <w:rPr>
                <w:rFonts w:ascii="Times New Roman" w:eastAsia="Times New Roman" w:hAnsi="Times New Roman" w:cs="Times New Roman"/>
                <w:noProof/>
                <w:sz w:val="24"/>
                <w:szCs w:val="24"/>
              </w:rPr>
              <w:t xml:space="preserve"> w</w:t>
            </w:r>
            <w:r w:rsidR="0D02C26F" w:rsidRPr="5CA58D31">
              <w:rPr>
                <w:rFonts w:ascii="Times New Roman" w:eastAsia="Times New Roman" w:hAnsi="Times New Roman" w:cs="Times New Roman"/>
                <w:noProof/>
                <w:sz w:val="24"/>
                <w:szCs w:val="24"/>
              </w:rPr>
              <w:t>ould</w:t>
            </w:r>
            <w:r w:rsidRPr="5CA58D31">
              <w:rPr>
                <w:rFonts w:ascii="Times New Roman" w:eastAsia="Times New Roman" w:hAnsi="Times New Roman" w:cs="Times New Roman"/>
                <w:noProof/>
                <w:sz w:val="24"/>
                <w:szCs w:val="24"/>
              </w:rPr>
              <w:t xml:space="preserve"> bring </w:t>
            </w:r>
            <w:r w:rsidR="680926F4" w:rsidRPr="5CA58D31">
              <w:rPr>
                <w:rFonts w:ascii="Times New Roman" w:eastAsia="Times New Roman" w:hAnsi="Times New Roman" w:cs="Times New Roman"/>
                <w:noProof/>
                <w:sz w:val="24"/>
                <w:szCs w:val="24"/>
              </w:rPr>
              <w:t xml:space="preserve">stronger </w:t>
            </w:r>
            <w:r w:rsidRPr="5CA58D31">
              <w:rPr>
                <w:rFonts w:ascii="Times New Roman" w:eastAsia="Times New Roman" w:hAnsi="Times New Roman" w:cs="Times New Roman"/>
                <w:noProof/>
                <w:sz w:val="24"/>
                <w:szCs w:val="24"/>
              </w:rPr>
              <w:t xml:space="preserve">benefits </w:t>
            </w:r>
            <w:r w:rsidR="15E35AF5" w:rsidRPr="5CA58D31">
              <w:rPr>
                <w:rFonts w:ascii="Times New Roman" w:eastAsia="Times New Roman" w:hAnsi="Times New Roman" w:cs="Times New Roman"/>
                <w:noProof/>
                <w:sz w:val="24"/>
                <w:szCs w:val="24"/>
              </w:rPr>
              <w:t>than</w:t>
            </w:r>
            <w:r w:rsidRPr="5CA58D31">
              <w:rPr>
                <w:rFonts w:ascii="Times New Roman" w:eastAsia="Times New Roman" w:hAnsi="Times New Roman" w:cs="Times New Roman"/>
                <w:noProof/>
                <w:sz w:val="24"/>
                <w:szCs w:val="24"/>
              </w:rPr>
              <w:t xml:space="preserve"> </w:t>
            </w:r>
            <w:r w:rsidR="5F4DEE3C" w:rsidRPr="5CA58D31">
              <w:rPr>
                <w:rFonts w:ascii="Times New Roman" w:eastAsia="Times New Roman" w:hAnsi="Times New Roman" w:cs="Times New Roman"/>
                <w:noProof/>
                <w:sz w:val="24"/>
                <w:szCs w:val="24"/>
              </w:rPr>
              <w:t>o</w:t>
            </w:r>
            <w:r w:rsidRPr="5CA58D31">
              <w:rPr>
                <w:rFonts w:ascii="Times New Roman" w:eastAsia="Times New Roman" w:hAnsi="Times New Roman" w:cs="Times New Roman"/>
                <w:noProof/>
                <w:sz w:val="24"/>
                <w:szCs w:val="24"/>
              </w:rPr>
              <w:t>ption 1</w:t>
            </w:r>
            <w:r w:rsidR="2FCAD827" w:rsidRPr="5CA58D31">
              <w:rPr>
                <w:rFonts w:ascii="Times New Roman" w:eastAsia="Times New Roman" w:hAnsi="Times New Roman" w:cs="Times New Roman"/>
                <w:noProof/>
                <w:sz w:val="24"/>
                <w:szCs w:val="24"/>
              </w:rPr>
              <w:t xml:space="preserve">. Though actions on governance, monitoring, strategic stocks are </w:t>
            </w:r>
            <w:r w:rsidR="5F9A6ECB" w:rsidRPr="5CA58D31">
              <w:rPr>
                <w:rFonts w:ascii="Times New Roman" w:eastAsia="Times New Roman" w:hAnsi="Times New Roman" w:cs="Times New Roman"/>
                <w:noProof/>
                <w:sz w:val="24"/>
                <w:szCs w:val="24"/>
              </w:rPr>
              <w:t>the same as in</w:t>
            </w:r>
            <w:r w:rsidR="2FCAD827" w:rsidRPr="5CA58D31">
              <w:rPr>
                <w:rFonts w:ascii="Times New Roman" w:eastAsia="Times New Roman" w:hAnsi="Times New Roman" w:cs="Times New Roman"/>
                <w:noProof/>
                <w:sz w:val="24"/>
                <w:szCs w:val="24"/>
              </w:rPr>
              <w:t xml:space="preserve"> option 1, actions related to the support of the value chain</w:t>
            </w:r>
            <w:r w:rsidR="64DCF84F" w:rsidRPr="5CA58D31">
              <w:rPr>
                <w:rFonts w:ascii="Times New Roman" w:eastAsia="Times New Roman" w:hAnsi="Times New Roman" w:cs="Times New Roman"/>
                <w:noProof/>
                <w:sz w:val="24"/>
                <w:szCs w:val="24"/>
              </w:rPr>
              <w:t xml:space="preserve"> provide for a more strategic and comprehensive response to the problem drivers. </w:t>
            </w:r>
            <w:r w:rsidR="518A0BE2" w:rsidRPr="5CA58D31">
              <w:rPr>
                <w:rFonts w:ascii="Times New Roman" w:eastAsia="Times New Roman" w:hAnsi="Times New Roman" w:cs="Times New Roman"/>
                <w:noProof/>
                <w:sz w:val="24"/>
                <w:szCs w:val="24"/>
              </w:rPr>
              <w:t xml:space="preserve">By proposing the development of Strategic Projects, </w:t>
            </w:r>
            <w:r w:rsidR="5F88083F" w:rsidRPr="5CA58D31">
              <w:rPr>
                <w:rFonts w:ascii="Times New Roman" w:eastAsia="Times New Roman" w:hAnsi="Times New Roman" w:cs="Times New Roman"/>
                <w:noProof/>
                <w:sz w:val="24"/>
                <w:szCs w:val="24"/>
              </w:rPr>
              <w:t xml:space="preserve">supported by </w:t>
            </w:r>
            <w:r w:rsidR="09DEFFAF" w:rsidRPr="5CA58D31">
              <w:rPr>
                <w:rFonts w:ascii="Times New Roman" w:eastAsia="Times New Roman" w:hAnsi="Times New Roman" w:cs="Times New Roman"/>
                <w:noProof/>
                <w:sz w:val="24"/>
                <w:szCs w:val="24"/>
              </w:rPr>
              <w:t xml:space="preserve">streamlined </w:t>
            </w:r>
            <w:r w:rsidR="5F88083F" w:rsidRPr="5CA58D31">
              <w:rPr>
                <w:rFonts w:ascii="Times New Roman" w:eastAsia="Times New Roman" w:hAnsi="Times New Roman" w:cs="Times New Roman"/>
                <w:noProof/>
                <w:sz w:val="24"/>
                <w:szCs w:val="24"/>
              </w:rPr>
              <w:t xml:space="preserve">permitting and </w:t>
            </w:r>
            <w:r w:rsidR="3FF32C44" w:rsidRPr="5CA58D31">
              <w:rPr>
                <w:rFonts w:ascii="Times New Roman" w:eastAsia="Times New Roman" w:hAnsi="Times New Roman" w:cs="Times New Roman"/>
                <w:noProof/>
                <w:sz w:val="24"/>
                <w:szCs w:val="24"/>
              </w:rPr>
              <w:t xml:space="preserve">access </w:t>
            </w:r>
            <w:r w:rsidR="5A85C2F2" w:rsidRPr="5CA58D31">
              <w:rPr>
                <w:rFonts w:ascii="Times New Roman" w:eastAsia="Times New Roman" w:hAnsi="Times New Roman" w:cs="Times New Roman"/>
                <w:noProof/>
                <w:sz w:val="24"/>
                <w:szCs w:val="24"/>
              </w:rPr>
              <w:t>to finance</w:t>
            </w:r>
            <w:r w:rsidR="5F88083F" w:rsidRPr="5CA58D31">
              <w:rPr>
                <w:rFonts w:ascii="Times New Roman" w:eastAsia="Times New Roman" w:hAnsi="Times New Roman" w:cs="Times New Roman"/>
                <w:noProof/>
                <w:sz w:val="24"/>
                <w:szCs w:val="24"/>
              </w:rPr>
              <w:t xml:space="preserve">, </w:t>
            </w:r>
            <w:r w:rsidR="518A0BE2" w:rsidRPr="5CA58D31">
              <w:rPr>
                <w:rFonts w:ascii="Times New Roman" w:eastAsia="Times New Roman" w:hAnsi="Times New Roman" w:cs="Times New Roman"/>
                <w:noProof/>
                <w:sz w:val="24"/>
                <w:szCs w:val="24"/>
              </w:rPr>
              <w:t>this option</w:t>
            </w:r>
            <w:r w:rsidR="137191E3" w:rsidRPr="5CA58D31">
              <w:rPr>
                <w:rFonts w:ascii="Times New Roman" w:eastAsia="Times New Roman" w:hAnsi="Times New Roman" w:cs="Times New Roman"/>
                <w:noProof/>
                <w:sz w:val="24"/>
                <w:szCs w:val="24"/>
              </w:rPr>
              <w:t xml:space="preserve"> would</w:t>
            </w:r>
            <w:r w:rsidR="0A49CB39" w:rsidRPr="5CA58D31">
              <w:rPr>
                <w:rFonts w:ascii="Times New Roman" w:eastAsia="Times New Roman" w:hAnsi="Times New Roman" w:cs="Times New Roman"/>
                <w:noProof/>
                <w:sz w:val="24"/>
                <w:szCs w:val="24"/>
              </w:rPr>
              <w:t xml:space="preserve"> better</w:t>
            </w:r>
            <w:r w:rsidR="137191E3" w:rsidRPr="5CA58D31">
              <w:rPr>
                <w:rFonts w:ascii="Times New Roman" w:eastAsia="Times New Roman" w:hAnsi="Times New Roman" w:cs="Times New Roman"/>
                <w:noProof/>
                <w:sz w:val="24"/>
                <w:szCs w:val="24"/>
              </w:rPr>
              <w:t xml:space="preserve"> </w:t>
            </w:r>
            <w:r w:rsidR="7FFCB8E7" w:rsidRPr="5CA58D31">
              <w:rPr>
                <w:rFonts w:ascii="Times New Roman" w:eastAsia="Times New Roman" w:hAnsi="Times New Roman" w:cs="Times New Roman"/>
                <w:noProof/>
                <w:sz w:val="24"/>
                <w:szCs w:val="24"/>
              </w:rPr>
              <w:t>contribute to meeting</w:t>
            </w:r>
            <w:r w:rsidR="137191E3" w:rsidRPr="5CA58D31">
              <w:rPr>
                <w:rFonts w:ascii="Times New Roman" w:eastAsia="Times New Roman" w:hAnsi="Times New Roman" w:cs="Times New Roman"/>
                <w:noProof/>
                <w:sz w:val="24"/>
                <w:szCs w:val="24"/>
              </w:rPr>
              <w:t xml:space="preserve"> EU supply targets </w:t>
            </w:r>
            <w:r w:rsidR="4E5DDD3D" w:rsidRPr="5CA58D31">
              <w:rPr>
                <w:rFonts w:ascii="Times New Roman" w:eastAsia="Times New Roman" w:hAnsi="Times New Roman" w:cs="Times New Roman"/>
                <w:noProof/>
                <w:sz w:val="24"/>
                <w:szCs w:val="24"/>
              </w:rPr>
              <w:t>for strategic raw materials across the value chain</w:t>
            </w:r>
            <w:r w:rsidR="2D41FE93" w:rsidRPr="5CA58D31">
              <w:rPr>
                <w:rFonts w:ascii="Times New Roman" w:eastAsia="Times New Roman" w:hAnsi="Times New Roman" w:cs="Times New Roman"/>
                <w:noProof/>
                <w:sz w:val="24"/>
                <w:szCs w:val="24"/>
              </w:rPr>
              <w:t>, also increasing the competitiveness of downstream users.</w:t>
            </w:r>
            <w:r w:rsidR="0188F20F" w:rsidRPr="5CA58D31">
              <w:rPr>
                <w:rFonts w:ascii="Times New Roman" w:eastAsia="Times New Roman" w:hAnsi="Times New Roman" w:cs="Times New Roman"/>
                <w:noProof/>
                <w:sz w:val="24"/>
                <w:szCs w:val="24"/>
              </w:rPr>
              <w:t xml:space="preserve"> Environmental footprint declarations for CRMs would better inform consumer.</w:t>
            </w:r>
            <w:r w:rsidR="4E5DDD3D" w:rsidRPr="5CA58D31">
              <w:rPr>
                <w:rFonts w:ascii="Times New Roman" w:eastAsia="Times New Roman" w:hAnsi="Times New Roman" w:cs="Times New Roman"/>
                <w:noProof/>
                <w:sz w:val="24"/>
                <w:szCs w:val="24"/>
              </w:rPr>
              <w:t xml:space="preserve"> Measures on exploration or waste</w:t>
            </w:r>
            <w:r w:rsidR="70D27176" w:rsidRPr="5CA58D31">
              <w:rPr>
                <w:rFonts w:ascii="Times New Roman" w:eastAsia="Times New Roman" w:hAnsi="Times New Roman" w:cs="Times New Roman"/>
                <w:noProof/>
                <w:sz w:val="24"/>
                <w:szCs w:val="24"/>
              </w:rPr>
              <w:t>, notably on</w:t>
            </w:r>
            <w:r w:rsidR="2142B180" w:rsidRPr="5CA58D31">
              <w:rPr>
                <w:rFonts w:ascii="Times New Roman" w:eastAsia="Times New Roman" w:hAnsi="Times New Roman" w:cs="Times New Roman"/>
                <w:noProof/>
                <w:sz w:val="24"/>
                <w:szCs w:val="24"/>
              </w:rPr>
              <w:t xml:space="preserve"> recycling</w:t>
            </w:r>
            <w:r w:rsidR="70D27176" w:rsidRPr="5CA58D31">
              <w:rPr>
                <w:rFonts w:ascii="Times New Roman" w:eastAsia="Times New Roman" w:hAnsi="Times New Roman" w:cs="Times New Roman"/>
                <w:noProof/>
                <w:sz w:val="24"/>
                <w:szCs w:val="24"/>
              </w:rPr>
              <w:t xml:space="preserve"> targets,</w:t>
            </w:r>
            <w:r w:rsidR="4E5DDD3D" w:rsidRPr="5CA58D31">
              <w:rPr>
                <w:rFonts w:ascii="Times New Roman" w:eastAsia="Times New Roman" w:hAnsi="Times New Roman" w:cs="Times New Roman"/>
                <w:noProof/>
                <w:sz w:val="24"/>
                <w:szCs w:val="24"/>
              </w:rPr>
              <w:t xml:space="preserve"> would also </w:t>
            </w:r>
            <w:r w:rsidR="76818EDF" w:rsidRPr="5CA58D31">
              <w:rPr>
                <w:rFonts w:ascii="Times New Roman" w:eastAsia="Times New Roman" w:hAnsi="Times New Roman" w:cs="Times New Roman"/>
                <w:noProof/>
                <w:sz w:val="24"/>
                <w:szCs w:val="24"/>
              </w:rPr>
              <w:t>further</w:t>
            </w:r>
            <w:r w:rsidR="47F746D9" w:rsidRPr="5CA58D31">
              <w:rPr>
                <w:rFonts w:ascii="Times New Roman" w:eastAsia="Times New Roman" w:hAnsi="Times New Roman" w:cs="Times New Roman"/>
                <w:noProof/>
                <w:sz w:val="24"/>
                <w:szCs w:val="24"/>
              </w:rPr>
              <w:t xml:space="preserve"> enable the development of a strong market for secondary raw materials.</w:t>
            </w:r>
            <w:r w:rsidR="5FFF51A8" w:rsidRPr="5CA58D31">
              <w:rPr>
                <w:rFonts w:ascii="Times New Roman" w:eastAsia="Times New Roman" w:hAnsi="Times New Roman" w:cs="Times New Roman"/>
                <w:noProof/>
                <w:sz w:val="24"/>
                <w:szCs w:val="24"/>
              </w:rPr>
              <w:t xml:space="preserve"> </w:t>
            </w:r>
          </w:p>
          <w:p w14:paraId="46628326" w14:textId="77777777" w:rsidR="5492CCBF" w:rsidRDefault="5492CCBF" w:rsidP="52A9D588">
            <w:pPr>
              <w:spacing w:line="259" w:lineRule="auto"/>
              <w:jc w:val="both"/>
              <w:rPr>
                <w:rFonts w:ascii="Times New Roman" w:eastAsia="Times New Roman" w:hAnsi="Times New Roman" w:cs="Times New Roman"/>
                <w:noProof/>
                <w:sz w:val="24"/>
                <w:szCs w:val="24"/>
              </w:rPr>
            </w:pPr>
            <w:r w:rsidRPr="5CA58D31">
              <w:rPr>
                <w:rFonts w:ascii="Times New Roman" w:eastAsia="Times New Roman" w:hAnsi="Times New Roman" w:cs="Times New Roman"/>
                <w:b/>
                <w:bCs/>
                <w:noProof/>
                <w:sz w:val="24"/>
                <w:szCs w:val="24"/>
              </w:rPr>
              <w:t>Option 3</w:t>
            </w:r>
            <w:r w:rsidRPr="5CA58D31">
              <w:rPr>
                <w:rFonts w:ascii="Times New Roman" w:eastAsia="Times New Roman" w:hAnsi="Times New Roman" w:cs="Times New Roman"/>
                <w:noProof/>
                <w:sz w:val="24"/>
                <w:szCs w:val="24"/>
              </w:rPr>
              <w:t xml:space="preserve"> is expected to bring even larger economic benefits for companies</w:t>
            </w:r>
            <w:r w:rsidR="50170C66" w:rsidRPr="5CA58D31">
              <w:rPr>
                <w:rFonts w:ascii="Times New Roman" w:eastAsia="Times New Roman" w:hAnsi="Times New Roman" w:cs="Times New Roman"/>
                <w:noProof/>
                <w:sz w:val="24"/>
                <w:szCs w:val="24"/>
              </w:rPr>
              <w:t xml:space="preserve"> and the wider economy</w:t>
            </w:r>
            <w:r w:rsidRPr="5CA58D31">
              <w:rPr>
                <w:rFonts w:ascii="Times New Roman" w:eastAsia="Times New Roman" w:hAnsi="Times New Roman" w:cs="Times New Roman"/>
                <w:noProof/>
                <w:sz w:val="24"/>
                <w:szCs w:val="24"/>
              </w:rPr>
              <w:t>,</w:t>
            </w:r>
            <w:r w:rsidR="0EBAA2B6" w:rsidRPr="5CA58D31">
              <w:rPr>
                <w:rFonts w:ascii="Times New Roman" w:eastAsia="Times New Roman" w:hAnsi="Times New Roman" w:cs="Times New Roman"/>
                <w:noProof/>
                <w:sz w:val="24"/>
                <w:szCs w:val="24"/>
              </w:rPr>
              <w:t xml:space="preserve"> notably by providing enhanced support for monitoring, strategic stocks or risk diversification, executed by an </w:t>
            </w:r>
            <w:r w:rsidR="10943470" w:rsidRPr="5CA58D31">
              <w:rPr>
                <w:rFonts w:ascii="Times New Roman" w:eastAsia="Times New Roman" w:hAnsi="Times New Roman" w:cs="Times New Roman"/>
                <w:noProof/>
                <w:sz w:val="24"/>
                <w:szCs w:val="24"/>
              </w:rPr>
              <w:t xml:space="preserve">external </w:t>
            </w:r>
            <w:r w:rsidR="0EBAA2B6" w:rsidRPr="5CA58D31">
              <w:rPr>
                <w:rFonts w:ascii="Times New Roman" w:eastAsia="Times New Roman" w:hAnsi="Times New Roman" w:cs="Times New Roman"/>
                <w:noProof/>
                <w:sz w:val="24"/>
                <w:szCs w:val="24"/>
              </w:rPr>
              <w:t>operational capacity</w:t>
            </w:r>
            <w:r w:rsidR="71709307" w:rsidRPr="5CA58D31">
              <w:rPr>
                <w:rFonts w:ascii="Times New Roman" w:eastAsia="Times New Roman" w:hAnsi="Times New Roman" w:cs="Times New Roman"/>
                <w:noProof/>
                <w:sz w:val="24"/>
                <w:szCs w:val="24"/>
              </w:rPr>
              <w:t>.</w:t>
            </w:r>
            <w:r w:rsidR="33FF27D2" w:rsidRPr="5CA58D31">
              <w:rPr>
                <w:rFonts w:ascii="Times New Roman" w:eastAsia="Times New Roman" w:hAnsi="Times New Roman" w:cs="Times New Roman"/>
                <w:noProof/>
                <w:sz w:val="24"/>
                <w:szCs w:val="24"/>
              </w:rPr>
              <w:t xml:space="preserve"> T</w:t>
            </w:r>
            <w:r w:rsidR="11F5F7E6" w:rsidRPr="5CA58D31">
              <w:rPr>
                <w:rFonts w:ascii="Times New Roman" w:eastAsia="Times New Roman" w:hAnsi="Times New Roman" w:cs="Times New Roman"/>
                <w:noProof/>
                <w:sz w:val="24"/>
                <w:szCs w:val="24"/>
              </w:rPr>
              <w:t>he option's f</w:t>
            </w:r>
            <w:r w:rsidR="402DD740" w:rsidRPr="5CA58D31">
              <w:rPr>
                <w:rFonts w:ascii="Times New Roman" w:eastAsia="Times New Roman" w:hAnsi="Times New Roman" w:cs="Times New Roman"/>
                <w:noProof/>
                <w:sz w:val="24"/>
                <w:szCs w:val="24"/>
              </w:rPr>
              <w:t xml:space="preserve">inancing </w:t>
            </w:r>
            <w:r w:rsidR="11F5F7E6" w:rsidRPr="5CA58D31">
              <w:rPr>
                <w:rFonts w:ascii="Times New Roman" w:eastAsia="Times New Roman" w:hAnsi="Times New Roman" w:cs="Times New Roman"/>
                <w:noProof/>
                <w:sz w:val="24"/>
                <w:szCs w:val="24"/>
              </w:rPr>
              <w:t>support to Strategic Projects would also benefit from a fund of wider reach, while Strategic Projects would also</w:t>
            </w:r>
            <w:r w:rsidR="0C1393A4" w:rsidRPr="5CA58D31">
              <w:rPr>
                <w:rFonts w:ascii="Times New Roman" w:eastAsia="Times New Roman" w:hAnsi="Times New Roman" w:cs="Times New Roman"/>
                <w:noProof/>
                <w:sz w:val="24"/>
                <w:szCs w:val="24"/>
              </w:rPr>
              <w:t xml:space="preserve"> be </w:t>
            </w:r>
            <w:r w:rsidR="39D8358B" w:rsidRPr="5CA58D31">
              <w:rPr>
                <w:rFonts w:ascii="Times New Roman" w:eastAsia="Times New Roman" w:hAnsi="Times New Roman" w:cs="Times New Roman"/>
                <w:noProof/>
                <w:sz w:val="24"/>
                <w:szCs w:val="24"/>
              </w:rPr>
              <w:t>signalled</w:t>
            </w:r>
            <w:r w:rsidR="0C1393A4" w:rsidRPr="5CA58D31">
              <w:rPr>
                <w:rFonts w:ascii="Times New Roman" w:eastAsia="Times New Roman" w:hAnsi="Times New Roman" w:cs="Times New Roman"/>
                <w:noProof/>
                <w:sz w:val="24"/>
                <w:szCs w:val="24"/>
              </w:rPr>
              <w:t xml:space="preserve"> as of overriding public interest, with higher administrative capacity for Member States to support them.</w:t>
            </w:r>
            <w:r w:rsidR="34AE4F80" w:rsidRPr="5CA58D31">
              <w:rPr>
                <w:rFonts w:ascii="Times New Roman" w:eastAsia="Times New Roman" w:hAnsi="Times New Roman" w:cs="Times New Roman"/>
                <w:noProof/>
                <w:sz w:val="24"/>
                <w:szCs w:val="24"/>
              </w:rPr>
              <w:t xml:space="preserve"> Thresholds for environmental footprints would increase the sustainability of CRMs on the ma</w:t>
            </w:r>
            <w:r w:rsidR="6BF9A381" w:rsidRPr="5CA58D31">
              <w:rPr>
                <w:rFonts w:ascii="Times New Roman" w:eastAsia="Times New Roman" w:hAnsi="Times New Roman" w:cs="Times New Roman"/>
                <w:noProof/>
                <w:sz w:val="24"/>
                <w:szCs w:val="24"/>
              </w:rPr>
              <w:t>rket.</w:t>
            </w:r>
            <w:r w:rsidR="0C1393A4" w:rsidRPr="5CA58D31">
              <w:rPr>
                <w:rFonts w:ascii="Times New Roman" w:eastAsia="Times New Roman" w:hAnsi="Times New Roman" w:cs="Times New Roman"/>
                <w:noProof/>
                <w:sz w:val="24"/>
                <w:szCs w:val="24"/>
              </w:rPr>
              <w:t xml:space="preserve"> Options on </w:t>
            </w:r>
            <w:r w:rsidR="4AB878D5" w:rsidRPr="5CA58D31">
              <w:rPr>
                <w:rFonts w:ascii="Times New Roman" w:eastAsia="Times New Roman" w:hAnsi="Times New Roman" w:cs="Times New Roman"/>
                <w:noProof/>
                <w:sz w:val="24"/>
                <w:szCs w:val="24"/>
              </w:rPr>
              <w:t>waste, environmental footprint and standards are the same as for option 2.</w:t>
            </w:r>
          </w:p>
        </w:tc>
      </w:tr>
      <w:tr w:rsidR="52A9D588" w14:paraId="45FB22E8" w14:textId="77777777" w:rsidTr="2ED4E331">
        <w:trPr>
          <w:trHeight w:val="323"/>
        </w:trPr>
        <w:tc>
          <w:tcPr>
            <w:tcW w:w="9450" w:type="dxa"/>
            <w:shd w:val="clear" w:color="auto" w:fill="FFFFFF" w:themeFill="background1"/>
          </w:tcPr>
          <w:p w14:paraId="6B661331" w14:textId="77777777" w:rsidR="101672DE" w:rsidRDefault="101672DE" w:rsidP="52A9D588">
            <w:pPr>
              <w:spacing w:line="259" w:lineRule="auto"/>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 xml:space="preserve">What are the costs of the options (if any, otherwise of </w:t>
            </w:r>
            <w:r w:rsidR="43AD285B" w:rsidRPr="52A9D588">
              <w:rPr>
                <w:rFonts w:ascii="Times New Roman" w:eastAsia="Times New Roman" w:hAnsi="Times New Roman" w:cs="Times New Roman"/>
                <w:b/>
                <w:bCs/>
                <w:noProof/>
                <w:sz w:val="24"/>
                <w:szCs w:val="24"/>
              </w:rPr>
              <w:t xml:space="preserve">the </w:t>
            </w:r>
            <w:r w:rsidRPr="52A9D588">
              <w:rPr>
                <w:rFonts w:ascii="Times New Roman" w:eastAsia="Times New Roman" w:hAnsi="Times New Roman" w:cs="Times New Roman"/>
                <w:b/>
                <w:bCs/>
                <w:noProof/>
                <w:sz w:val="24"/>
                <w:szCs w:val="24"/>
              </w:rPr>
              <w:t>main ones)?</w:t>
            </w:r>
          </w:p>
        </w:tc>
      </w:tr>
      <w:tr w:rsidR="52A9D588" w14:paraId="1BD0AA25" w14:textId="77777777" w:rsidTr="2ED4E331">
        <w:trPr>
          <w:trHeight w:val="323"/>
        </w:trPr>
        <w:tc>
          <w:tcPr>
            <w:tcW w:w="9450" w:type="dxa"/>
            <w:shd w:val="clear" w:color="auto" w:fill="FFFFFF" w:themeFill="background1"/>
          </w:tcPr>
          <w:p w14:paraId="4E76EB88" w14:textId="77777777" w:rsidR="70B8D772" w:rsidRDefault="70B8D772" w:rsidP="52A9D588">
            <w:pPr>
              <w:jc w:val="both"/>
              <w:rPr>
                <w:rFonts w:ascii="Times New Roman" w:eastAsia="Times New Roman" w:hAnsi="Times New Roman" w:cs="Times New Roman"/>
                <w:noProof/>
                <w:sz w:val="24"/>
                <w:szCs w:val="24"/>
              </w:rPr>
            </w:pPr>
            <w:r w:rsidRPr="5CA58D31">
              <w:rPr>
                <w:rFonts w:ascii="Times New Roman" w:eastAsia="Times New Roman" w:hAnsi="Times New Roman" w:cs="Times New Roman"/>
                <w:b/>
                <w:bCs/>
                <w:noProof/>
                <w:sz w:val="24"/>
                <w:szCs w:val="24"/>
              </w:rPr>
              <w:t xml:space="preserve">Option 1 </w:t>
            </w:r>
            <w:r w:rsidRPr="5CA58D31">
              <w:rPr>
                <w:rFonts w:ascii="Times New Roman" w:eastAsia="Times New Roman" w:hAnsi="Times New Roman" w:cs="Times New Roman"/>
                <w:noProof/>
                <w:sz w:val="24"/>
                <w:szCs w:val="24"/>
              </w:rPr>
              <w:t>entails minimum administrative costs for large companies operating in the CRM value chain which would have to report information for monit</w:t>
            </w:r>
            <w:r w:rsidR="500B4A0B" w:rsidRPr="5CA58D31">
              <w:rPr>
                <w:rFonts w:ascii="Times New Roman" w:eastAsia="Times New Roman" w:hAnsi="Times New Roman" w:cs="Times New Roman"/>
                <w:noProof/>
                <w:sz w:val="24"/>
                <w:szCs w:val="24"/>
              </w:rPr>
              <w:t>oring</w:t>
            </w:r>
            <w:r w:rsidR="3D06071E" w:rsidRPr="5CA58D31">
              <w:rPr>
                <w:rFonts w:ascii="Times New Roman" w:eastAsia="Times New Roman" w:hAnsi="Times New Roman" w:cs="Times New Roman"/>
                <w:noProof/>
                <w:sz w:val="24"/>
                <w:szCs w:val="24"/>
              </w:rPr>
              <w:t xml:space="preserve"> as well as for some </w:t>
            </w:r>
            <w:r w:rsidR="7ED833F7" w:rsidRPr="5CA58D31">
              <w:rPr>
                <w:rFonts w:ascii="Times New Roman" w:eastAsia="Times New Roman" w:hAnsi="Times New Roman" w:cs="Times New Roman"/>
                <w:noProof/>
                <w:sz w:val="24"/>
                <w:szCs w:val="24"/>
              </w:rPr>
              <w:t xml:space="preserve">downstream </w:t>
            </w:r>
            <w:r w:rsidR="3D06071E" w:rsidRPr="5CA58D31">
              <w:rPr>
                <w:rFonts w:ascii="Times New Roman" w:eastAsia="Times New Roman" w:hAnsi="Times New Roman" w:cs="Times New Roman"/>
                <w:noProof/>
                <w:sz w:val="24"/>
                <w:szCs w:val="24"/>
              </w:rPr>
              <w:t>manufacturers.</w:t>
            </w:r>
            <w:r w:rsidR="208FCF86" w:rsidRPr="5CA58D31">
              <w:rPr>
                <w:rFonts w:ascii="Times New Roman" w:eastAsia="Times New Roman" w:hAnsi="Times New Roman" w:cs="Times New Roman"/>
                <w:noProof/>
                <w:sz w:val="24"/>
                <w:szCs w:val="24"/>
              </w:rPr>
              <w:t xml:space="preserve"> There are also costs related to</w:t>
            </w:r>
            <w:r w:rsidR="7A63E6BB" w:rsidRPr="5CA58D31">
              <w:rPr>
                <w:rFonts w:ascii="Times New Roman" w:eastAsia="Times New Roman" w:hAnsi="Times New Roman" w:cs="Times New Roman"/>
                <w:noProof/>
                <w:sz w:val="24"/>
                <w:szCs w:val="24"/>
              </w:rPr>
              <w:t xml:space="preserve"> the</w:t>
            </w:r>
            <w:r w:rsidR="208FCF86" w:rsidRPr="5CA58D31">
              <w:rPr>
                <w:rFonts w:ascii="Times New Roman" w:eastAsia="Times New Roman" w:hAnsi="Times New Roman" w:cs="Times New Roman"/>
                <w:noProof/>
                <w:sz w:val="24"/>
                <w:szCs w:val="24"/>
              </w:rPr>
              <w:t xml:space="preserve"> environmental footprint </w:t>
            </w:r>
            <w:r w:rsidR="7FE2421E" w:rsidRPr="5CA58D31">
              <w:rPr>
                <w:rFonts w:ascii="Times New Roman" w:eastAsia="Times New Roman" w:hAnsi="Times New Roman" w:cs="Times New Roman"/>
                <w:noProof/>
                <w:sz w:val="24"/>
                <w:szCs w:val="24"/>
              </w:rPr>
              <w:t>that would apply to all companies selling CRMs for which calculation rules are available and to companies wishing to make general claims on environmental footprint</w:t>
            </w:r>
            <w:r w:rsidR="5F34B4B7" w:rsidRPr="5CA58D31">
              <w:rPr>
                <w:rFonts w:ascii="Times New Roman" w:eastAsia="Times New Roman" w:hAnsi="Times New Roman" w:cs="Times New Roman"/>
                <w:noProof/>
                <w:sz w:val="24"/>
                <w:szCs w:val="24"/>
              </w:rPr>
              <w:t xml:space="preserve">. </w:t>
            </w:r>
            <w:r w:rsidRPr="5CA58D31">
              <w:rPr>
                <w:rFonts w:ascii="Times New Roman" w:eastAsia="Times New Roman" w:hAnsi="Times New Roman" w:cs="Times New Roman"/>
                <w:noProof/>
                <w:sz w:val="24"/>
                <w:szCs w:val="24"/>
              </w:rPr>
              <w:t>Costs to the Commission and Member States</w:t>
            </w:r>
            <w:r w:rsidR="44EDBDB4" w:rsidRPr="5CA58D31">
              <w:rPr>
                <w:rFonts w:ascii="Times New Roman" w:eastAsia="Times New Roman" w:hAnsi="Times New Roman" w:cs="Times New Roman"/>
                <w:noProof/>
                <w:sz w:val="24"/>
                <w:szCs w:val="24"/>
              </w:rPr>
              <w:t xml:space="preserve"> mainly</w:t>
            </w:r>
            <w:r w:rsidRPr="5CA58D31">
              <w:rPr>
                <w:rFonts w:ascii="Times New Roman" w:eastAsia="Times New Roman" w:hAnsi="Times New Roman" w:cs="Times New Roman"/>
                <w:noProof/>
                <w:sz w:val="24"/>
                <w:szCs w:val="24"/>
              </w:rPr>
              <w:t xml:space="preserve"> relate to the </w:t>
            </w:r>
            <w:r w:rsidR="05AE1CB4" w:rsidRPr="5CA58D31">
              <w:rPr>
                <w:rFonts w:ascii="Times New Roman" w:eastAsia="Times New Roman" w:hAnsi="Times New Roman" w:cs="Times New Roman"/>
                <w:noProof/>
                <w:sz w:val="24"/>
                <w:szCs w:val="24"/>
              </w:rPr>
              <w:t>enforcement of the measures proposed, notably to set up a governance structure that would then carry out tasks, and on reporting obligations for Member States</w:t>
            </w:r>
            <w:r w:rsidR="732CDAA7" w:rsidRPr="5CA58D31">
              <w:rPr>
                <w:rFonts w:ascii="Times New Roman" w:eastAsia="Times New Roman" w:hAnsi="Times New Roman" w:cs="Times New Roman"/>
                <w:noProof/>
                <w:sz w:val="24"/>
                <w:szCs w:val="24"/>
              </w:rPr>
              <w:t xml:space="preserve"> (e.g. on exploration).</w:t>
            </w:r>
          </w:p>
          <w:p w14:paraId="4336A4A9" w14:textId="77777777" w:rsidR="732CDAA7" w:rsidRDefault="732CDAA7" w:rsidP="52A9D588">
            <w:pPr>
              <w:jc w:val="both"/>
              <w:rPr>
                <w:rFonts w:ascii="Times New Roman" w:eastAsia="Times New Roman" w:hAnsi="Times New Roman" w:cs="Times New Roman"/>
                <w:noProof/>
                <w:sz w:val="24"/>
                <w:szCs w:val="24"/>
              </w:rPr>
            </w:pPr>
            <w:r w:rsidRPr="5CA58D31">
              <w:rPr>
                <w:rFonts w:ascii="Times New Roman" w:eastAsia="Times New Roman" w:hAnsi="Times New Roman" w:cs="Times New Roman"/>
                <w:b/>
                <w:bCs/>
                <w:noProof/>
                <w:sz w:val="24"/>
                <w:szCs w:val="24"/>
              </w:rPr>
              <w:t xml:space="preserve">Option 2 </w:t>
            </w:r>
            <w:r w:rsidRPr="5CA58D31">
              <w:rPr>
                <w:rFonts w:ascii="Times New Roman" w:eastAsia="Times New Roman" w:hAnsi="Times New Roman" w:cs="Times New Roman"/>
                <w:noProof/>
                <w:sz w:val="24"/>
                <w:szCs w:val="24"/>
              </w:rPr>
              <w:t xml:space="preserve">would entail similar costs for companies, </w:t>
            </w:r>
            <w:r w:rsidR="5B2DC4CB" w:rsidRPr="5CA58D31">
              <w:rPr>
                <w:rFonts w:ascii="Times New Roman" w:eastAsia="Times New Roman" w:hAnsi="Times New Roman" w:cs="Times New Roman"/>
                <w:noProof/>
                <w:sz w:val="24"/>
                <w:szCs w:val="24"/>
              </w:rPr>
              <w:t xml:space="preserve">to which would be added </w:t>
            </w:r>
            <w:r w:rsidR="4DB0EEE6" w:rsidRPr="5CA58D31">
              <w:rPr>
                <w:rFonts w:ascii="Times New Roman" w:eastAsia="Times New Roman" w:hAnsi="Times New Roman" w:cs="Times New Roman"/>
                <w:noProof/>
                <w:sz w:val="24"/>
                <w:szCs w:val="24"/>
              </w:rPr>
              <w:t xml:space="preserve">new costs </w:t>
            </w:r>
            <w:r w:rsidR="2648736F" w:rsidRPr="5CA58D31">
              <w:rPr>
                <w:rFonts w:ascii="Times New Roman" w:eastAsia="Times New Roman" w:hAnsi="Times New Roman" w:cs="Times New Roman"/>
                <w:noProof/>
                <w:sz w:val="24"/>
                <w:szCs w:val="24"/>
              </w:rPr>
              <w:t xml:space="preserve">for extractive waste operators and </w:t>
            </w:r>
            <w:r w:rsidR="4DB0EEE6" w:rsidRPr="5CA58D31">
              <w:rPr>
                <w:rFonts w:ascii="Times New Roman" w:eastAsia="Times New Roman" w:hAnsi="Times New Roman" w:cs="Times New Roman"/>
                <w:noProof/>
                <w:sz w:val="24"/>
                <w:szCs w:val="24"/>
              </w:rPr>
              <w:t>EEE producers</w:t>
            </w:r>
            <w:r w:rsidR="2AF4FA7F" w:rsidRPr="5CA58D31">
              <w:rPr>
                <w:rFonts w:ascii="Times New Roman" w:eastAsia="Times New Roman" w:hAnsi="Times New Roman" w:cs="Times New Roman"/>
                <w:noProof/>
                <w:sz w:val="24"/>
                <w:szCs w:val="24"/>
              </w:rPr>
              <w:t xml:space="preserve"> </w:t>
            </w:r>
            <w:r w:rsidR="4DB0EEE6" w:rsidRPr="5CA58D31">
              <w:rPr>
                <w:rFonts w:ascii="Times New Roman" w:eastAsia="Times New Roman" w:hAnsi="Times New Roman" w:cs="Times New Roman"/>
                <w:noProof/>
                <w:sz w:val="24"/>
                <w:szCs w:val="24"/>
              </w:rPr>
              <w:t>to provide information on CRMs contained in the</w:t>
            </w:r>
            <w:r w:rsidR="1FB50E3F" w:rsidRPr="5CA58D31">
              <w:rPr>
                <w:rFonts w:ascii="Times New Roman" w:eastAsia="Times New Roman" w:hAnsi="Times New Roman" w:cs="Times New Roman"/>
                <w:noProof/>
                <w:sz w:val="24"/>
                <w:szCs w:val="24"/>
              </w:rPr>
              <w:t>ir products and waste streams, respectively</w:t>
            </w:r>
            <w:r w:rsidR="4DB0EEE6" w:rsidRPr="5CA58D31">
              <w:rPr>
                <w:rFonts w:ascii="Times New Roman" w:eastAsia="Times New Roman" w:hAnsi="Times New Roman" w:cs="Times New Roman"/>
                <w:noProof/>
                <w:sz w:val="24"/>
                <w:szCs w:val="24"/>
              </w:rPr>
              <w:t>. Costs to Member States would increase with additional requirements in terms of exploration, though th</w:t>
            </w:r>
            <w:r w:rsidR="47CE8AA4" w:rsidRPr="5CA58D31">
              <w:rPr>
                <w:rFonts w:ascii="Times New Roman" w:eastAsia="Times New Roman" w:hAnsi="Times New Roman" w:cs="Times New Roman"/>
                <w:noProof/>
                <w:sz w:val="24"/>
                <w:szCs w:val="24"/>
              </w:rPr>
              <w:t>ose costs would be split based on the territorial size of a country.</w:t>
            </w:r>
            <w:r w:rsidR="6D376C81" w:rsidRPr="5CA58D31">
              <w:rPr>
                <w:rFonts w:ascii="Times New Roman" w:eastAsia="Times New Roman" w:hAnsi="Times New Roman" w:cs="Times New Roman"/>
                <w:noProof/>
                <w:sz w:val="24"/>
                <w:szCs w:val="24"/>
              </w:rPr>
              <w:t xml:space="preserve"> Costs to the Commission would mainly cover the setting up of an effective governance and monitoring system, a</w:t>
            </w:r>
            <w:r w:rsidR="4237AFB9" w:rsidRPr="5CA58D31">
              <w:rPr>
                <w:rFonts w:ascii="Times New Roman" w:eastAsia="Times New Roman" w:hAnsi="Times New Roman" w:cs="Times New Roman"/>
                <w:noProof/>
                <w:sz w:val="24"/>
                <w:szCs w:val="24"/>
              </w:rPr>
              <w:t>nd</w:t>
            </w:r>
            <w:r w:rsidR="6D376C81" w:rsidRPr="5CA58D31">
              <w:rPr>
                <w:rFonts w:ascii="Times New Roman" w:eastAsia="Times New Roman" w:hAnsi="Times New Roman" w:cs="Times New Roman"/>
                <w:noProof/>
                <w:sz w:val="24"/>
                <w:szCs w:val="24"/>
              </w:rPr>
              <w:t xml:space="preserve"> the implementation o</w:t>
            </w:r>
            <w:r w:rsidR="29345530" w:rsidRPr="5CA58D31">
              <w:rPr>
                <w:rFonts w:ascii="Times New Roman" w:eastAsia="Times New Roman" w:hAnsi="Times New Roman" w:cs="Times New Roman"/>
                <w:noProof/>
                <w:sz w:val="24"/>
                <w:szCs w:val="24"/>
              </w:rPr>
              <w:t>f other measures</w:t>
            </w:r>
            <w:r w:rsidR="0834C937" w:rsidRPr="5CA58D31">
              <w:rPr>
                <w:rFonts w:ascii="Times New Roman" w:eastAsia="Times New Roman" w:hAnsi="Times New Roman" w:cs="Times New Roman"/>
                <w:noProof/>
                <w:sz w:val="24"/>
                <w:szCs w:val="24"/>
              </w:rPr>
              <w:t>,</w:t>
            </w:r>
            <w:r w:rsidR="403ECBEF" w:rsidRPr="5CA58D31">
              <w:rPr>
                <w:rFonts w:ascii="Times New Roman" w:eastAsia="Times New Roman" w:hAnsi="Times New Roman" w:cs="Times New Roman"/>
                <w:noProof/>
                <w:sz w:val="24"/>
                <w:szCs w:val="24"/>
              </w:rPr>
              <w:t xml:space="preserve"> e.g. </w:t>
            </w:r>
            <w:r w:rsidR="29345530" w:rsidRPr="5CA58D31">
              <w:rPr>
                <w:rFonts w:ascii="Times New Roman" w:eastAsia="Times New Roman" w:hAnsi="Times New Roman" w:cs="Times New Roman"/>
                <w:noProof/>
                <w:sz w:val="24"/>
                <w:szCs w:val="24"/>
              </w:rPr>
              <w:t>on circularity</w:t>
            </w:r>
            <w:r w:rsidR="218A2252" w:rsidRPr="5CA58D31">
              <w:rPr>
                <w:rFonts w:ascii="Times New Roman" w:eastAsia="Times New Roman" w:hAnsi="Times New Roman" w:cs="Times New Roman"/>
                <w:noProof/>
                <w:sz w:val="24"/>
                <w:szCs w:val="24"/>
              </w:rPr>
              <w:t xml:space="preserve">, </w:t>
            </w:r>
            <w:r w:rsidR="29345530" w:rsidRPr="5CA58D31">
              <w:rPr>
                <w:rFonts w:ascii="Times New Roman" w:eastAsia="Times New Roman" w:hAnsi="Times New Roman" w:cs="Times New Roman"/>
                <w:noProof/>
                <w:sz w:val="24"/>
                <w:szCs w:val="24"/>
              </w:rPr>
              <w:t>environmental footprint</w:t>
            </w:r>
            <w:r w:rsidR="04C61563" w:rsidRPr="5CA58D31">
              <w:rPr>
                <w:rFonts w:ascii="Times New Roman" w:eastAsia="Times New Roman" w:hAnsi="Times New Roman" w:cs="Times New Roman"/>
                <w:noProof/>
                <w:sz w:val="24"/>
                <w:szCs w:val="24"/>
              </w:rPr>
              <w:t>.</w:t>
            </w:r>
          </w:p>
          <w:p w14:paraId="2257C296" w14:textId="77777777" w:rsidR="29345530" w:rsidRDefault="29345530" w:rsidP="52A9D588">
            <w:pPr>
              <w:jc w:val="both"/>
              <w:rPr>
                <w:rFonts w:ascii="Times New Roman" w:eastAsia="Times New Roman" w:hAnsi="Times New Roman" w:cs="Times New Roman"/>
                <w:noProof/>
                <w:sz w:val="24"/>
                <w:szCs w:val="24"/>
              </w:rPr>
            </w:pPr>
            <w:r w:rsidRPr="2ED4E331">
              <w:rPr>
                <w:rFonts w:ascii="Times New Roman" w:eastAsia="Times New Roman" w:hAnsi="Times New Roman" w:cs="Times New Roman"/>
                <w:b/>
                <w:bCs/>
                <w:noProof/>
                <w:sz w:val="24"/>
                <w:szCs w:val="24"/>
              </w:rPr>
              <w:t>Option 3</w:t>
            </w:r>
            <w:r w:rsidR="1A9B57B5" w:rsidRPr="2ED4E331">
              <w:rPr>
                <w:rFonts w:ascii="Times New Roman" w:eastAsia="Times New Roman" w:hAnsi="Times New Roman" w:cs="Times New Roman"/>
                <w:b/>
                <w:bCs/>
                <w:noProof/>
                <w:sz w:val="24"/>
                <w:szCs w:val="24"/>
              </w:rPr>
              <w:t xml:space="preserve"> </w:t>
            </w:r>
            <w:r w:rsidR="1A9B57B5" w:rsidRPr="2ED4E331">
              <w:rPr>
                <w:rFonts w:ascii="Times New Roman" w:eastAsia="Times New Roman" w:hAnsi="Times New Roman" w:cs="Times New Roman"/>
                <w:noProof/>
                <w:sz w:val="24"/>
                <w:szCs w:val="24"/>
              </w:rPr>
              <w:t>entails significant costs for the Commission and Member States related to the set</w:t>
            </w:r>
            <w:r w:rsidR="625595B3" w:rsidRPr="2ED4E331">
              <w:rPr>
                <w:rFonts w:ascii="Times New Roman" w:eastAsia="Times New Roman" w:hAnsi="Times New Roman" w:cs="Times New Roman"/>
                <w:noProof/>
                <w:sz w:val="24"/>
                <w:szCs w:val="24"/>
              </w:rPr>
              <w:t xml:space="preserve">ting </w:t>
            </w:r>
            <w:r w:rsidR="1A9B57B5" w:rsidRPr="2ED4E331">
              <w:rPr>
                <w:rFonts w:ascii="Times New Roman" w:eastAsia="Times New Roman" w:hAnsi="Times New Roman" w:cs="Times New Roman"/>
                <w:noProof/>
                <w:sz w:val="24"/>
                <w:szCs w:val="24"/>
              </w:rPr>
              <w:t xml:space="preserve">up of an external operational capacity. This would enable a wider </w:t>
            </w:r>
            <w:r w:rsidR="2D4AE8BF" w:rsidRPr="2ED4E331">
              <w:rPr>
                <w:rFonts w:ascii="Times New Roman" w:eastAsia="Times New Roman" w:hAnsi="Times New Roman" w:cs="Times New Roman"/>
                <w:noProof/>
                <w:sz w:val="24"/>
                <w:szCs w:val="24"/>
              </w:rPr>
              <w:t xml:space="preserve">scope of actions </w:t>
            </w:r>
            <w:r w:rsidR="276805D6" w:rsidRPr="2ED4E331">
              <w:rPr>
                <w:rFonts w:ascii="Times New Roman" w:eastAsia="Times New Roman" w:hAnsi="Times New Roman" w:cs="Times New Roman"/>
                <w:noProof/>
                <w:sz w:val="24"/>
                <w:szCs w:val="24"/>
              </w:rPr>
              <w:t xml:space="preserve">and thereby be </w:t>
            </w:r>
            <w:r w:rsidR="2D4AE8BF" w:rsidRPr="2ED4E331">
              <w:rPr>
                <w:rFonts w:ascii="Times New Roman" w:eastAsia="Times New Roman" w:hAnsi="Times New Roman" w:cs="Times New Roman"/>
                <w:noProof/>
                <w:sz w:val="24"/>
                <w:szCs w:val="24"/>
              </w:rPr>
              <w:t xml:space="preserve">more efficient to meet the specific objectives, but </w:t>
            </w:r>
            <w:r w:rsidR="12E66036" w:rsidRPr="2ED4E331">
              <w:rPr>
                <w:rFonts w:ascii="Times New Roman" w:eastAsia="Times New Roman" w:hAnsi="Times New Roman" w:cs="Times New Roman"/>
                <w:noProof/>
                <w:sz w:val="24"/>
                <w:szCs w:val="24"/>
              </w:rPr>
              <w:t xml:space="preserve">it </w:t>
            </w:r>
            <w:r w:rsidR="2D4AE8BF" w:rsidRPr="2ED4E331">
              <w:rPr>
                <w:rFonts w:ascii="Times New Roman" w:eastAsia="Times New Roman" w:hAnsi="Times New Roman" w:cs="Times New Roman"/>
                <w:noProof/>
                <w:sz w:val="24"/>
                <w:szCs w:val="24"/>
              </w:rPr>
              <w:t xml:space="preserve">would require considerable budgetary support. </w:t>
            </w:r>
            <w:r w:rsidR="62E53D20" w:rsidRPr="2ED4E331">
              <w:rPr>
                <w:rFonts w:ascii="Times New Roman" w:eastAsia="Times New Roman" w:hAnsi="Times New Roman" w:cs="Times New Roman"/>
                <w:noProof/>
                <w:sz w:val="24"/>
                <w:szCs w:val="24"/>
              </w:rPr>
              <w:t xml:space="preserve">In addition to </w:t>
            </w:r>
            <w:r w:rsidR="7EE3B120" w:rsidRPr="2ED4E331">
              <w:rPr>
                <w:rFonts w:ascii="Times New Roman" w:eastAsia="Times New Roman" w:hAnsi="Times New Roman" w:cs="Times New Roman"/>
                <w:noProof/>
                <w:sz w:val="24"/>
                <w:szCs w:val="24"/>
              </w:rPr>
              <w:t xml:space="preserve">similar </w:t>
            </w:r>
            <w:r w:rsidR="62E53D20" w:rsidRPr="2ED4E331">
              <w:rPr>
                <w:rFonts w:ascii="Times New Roman" w:eastAsia="Times New Roman" w:hAnsi="Times New Roman" w:cs="Times New Roman"/>
                <w:noProof/>
                <w:sz w:val="24"/>
                <w:szCs w:val="24"/>
              </w:rPr>
              <w:t xml:space="preserve">costs </w:t>
            </w:r>
            <w:r w:rsidR="5207642B" w:rsidRPr="2ED4E331">
              <w:rPr>
                <w:rFonts w:ascii="Times New Roman" w:eastAsia="Times New Roman" w:hAnsi="Times New Roman" w:cs="Times New Roman"/>
                <w:noProof/>
                <w:sz w:val="24"/>
                <w:szCs w:val="24"/>
              </w:rPr>
              <w:t xml:space="preserve">as </w:t>
            </w:r>
            <w:r w:rsidR="7CCE4B1B" w:rsidRPr="2ED4E331">
              <w:rPr>
                <w:rFonts w:ascii="Times New Roman" w:eastAsia="Times New Roman" w:hAnsi="Times New Roman" w:cs="Times New Roman"/>
                <w:noProof/>
                <w:sz w:val="24"/>
                <w:szCs w:val="24"/>
              </w:rPr>
              <w:t>in</w:t>
            </w:r>
            <w:r w:rsidR="6AA1BFC8" w:rsidRPr="2ED4E331">
              <w:rPr>
                <w:rFonts w:ascii="Times New Roman" w:eastAsia="Times New Roman" w:hAnsi="Times New Roman" w:cs="Times New Roman"/>
                <w:noProof/>
                <w:sz w:val="24"/>
                <w:szCs w:val="24"/>
              </w:rPr>
              <w:t xml:space="preserve"> </w:t>
            </w:r>
            <w:r w:rsidR="62E53D20" w:rsidRPr="2ED4E331">
              <w:rPr>
                <w:rFonts w:ascii="Times New Roman" w:eastAsia="Times New Roman" w:hAnsi="Times New Roman" w:cs="Times New Roman"/>
                <w:noProof/>
                <w:sz w:val="24"/>
                <w:szCs w:val="24"/>
              </w:rPr>
              <w:t>options 1 and 2, this option would increase costs on</w:t>
            </w:r>
            <w:r w:rsidR="1DD9C18B" w:rsidRPr="2ED4E331">
              <w:rPr>
                <w:rFonts w:ascii="Times New Roman" w:eastAsia="Times New Roman" w:hAnsi="Times New Roman" w:cs="Times New Roman"/>
                <w:noProof/>
                <w:sz w:val="24"/>
                <w:szCs w:val="24"/>
              </w:rPr>
              <w:t xml:space="preserve"> companies </w:t>
            </w:r>
            <w:r w:rsidR="1FD2B4BC" w:rsidRPr="2ED4E331">
              <w:rPr>
                <w:rFonts w:ascii="Times New Roman" w:eastAsia="Times New Roman" w:hAnsi="Times New Roman" w:cs="Times New Roman"/>
                <w:noProof/>
                <w:sz w:val="24"/>
                <w:szCs w:val="24"/>
              </w:rPr>
              <w:t xml:space="preserve">which </w:t>
            </w:r>
            <w:r w:rsidR="7D2C3423" w:rsidRPr="2ED4E331">
              <w:rPr>
                <w:rFonts w:ascii="Times New Roman" w:eastAsia="Times New Roman" w:hAnsi="Times New Roman" w:cs="Times New Roman"/>
                <w:noProof/>
                <w:sz w:val="24"/>
                <w:szCs w:val="24"/>
              </w:rPr>
              <w:t>would have to abide by additional</w:t>
            </w:r>
            <w:r w:rsidR="1DD9C18B" w:rsidRPr="2ED4E331">
              <w:rPr>
                <w:rFonts w:ascii="Times New Roman" w:eastAsia="Times New Roman" w:hAnsi="Times New Roman" w:cs="Times New Roman"/>
                <w:noProof/>
                <w:sz w:val="24"/>
                <w:szCs w:val="24"/>
              </w:rPr>
              <w:t xml:space="preserve"> requirements on </w:t>
            </w:r>
            <w:r w:rsidR="56DDD3A9" w:rsidRPr="2ED4E331">
              <w:rPr>
                <w:rFonts w:ascii="Times New Roman" w:eastAsia="Times New Roman" w:hAnsi="Times New Roman" w:cs="Times New Roman"/>
                <w:noProof/>
                <w:sz w:val="24"/>
                <w:szCs w:val="24"/>
              </w:rPr>
              <w:t>preparedness</w:t>
            </w:r>
            <w:r w:rsidR="1DD9C18B" w:rsidRPr="2ED4E331">
              <w:rPr>
                <w:rFonts w:ascii="Times New Roman" w:eastAsia="Times New Roman" w:hAnsi="Times New Roman" w:cs="Times New Roman"/>
                <w:noProof/>
                <w:sz w:val="24"/>
                <w:szCs w:val="24"/>
              </w:rPr>
              <w:t xml:space="preserve">, </w:t>
            </w:r>
            <w:r w:rsidR="599213C4" w:rsidRPr="2ED4E331">
              <w:rPr>
                <w:rFonts w:ascii="Times New Roman" w:eastAsia="Times New Roman" w:hAnsi="Times New Roman" w:cs="Times New Roman"/>
                <w:noProof/>
                <w:sz w:val="24"/>
                <w:szCs w:val="24"/>
              </w:rPr>
              <w:t xml:space="preserve">strategic stocks </w:t>
            </w:r>
            <w:r w:rsidR="1DD9C18B" w:rsidRPr="2ED4E331">
              <w:rPr>
                <w:rFonts w:ascii="Times New Roman" w:eastAsia="Times New Roman" w:hAnsi="Times New Roman" w:cs="Times New Roman"/>
                <w:noProof/>
                <w:sz w:val="24"/>
                <w:szCs w:val="24"/>
              </w:rPr>
              <w:t>or</w:t>
            </w:r>
            <w:r w:rsidR="0FDBC52E" w:rsidRPr="2ED4E331">
              <w:rPr>
                <w:rFonts w:ascii="Times New Roman" w:eastAsia="Times New Roman" w:hAnsi="Times New Roman" w:cs="Times New Roman"/>
                <w:noProof/>
                <w:sz w:val="24"/>
                <w:szCs w:val="24"/>
              </w:rPr>
              <w:t xml:space="preserve"> audit</w:t>
            </w:r>
            <w:r w:rsidR="53A56BA3" w:rsidRPr="2ED4E331">
              <w:rPr>
                <w:rFonts w:ascii="Times New Roman" w:eastAsia="Times New Roman" w:hAnsi="Times New Roman" w:cs="Times New Roman"/>
                <w:noProof/>
                <w:sz w:val="24"/>
                <w:szCs w:val="24"/>
              </w:rPr>
              <w:t>s</w:t>
            </w:r>
            <w:r w:rsidR="0FDBC52E" w:rsidRPr="2ED4E331">
              <w:rPr>
                <w:rFonts w:ascii="Times New Roman" w:eastAsia="Times New Roman" w:hAnsi="Times New Roman" w:cs="Times New Roman"/>
                <w:noProof/>
                <w:sz w:val="24"/>
                <w:szCs w:val="24"/>
              </w:rPr>
              <w:t xml:space="preserve"> of their supply chains. </w:t>
            </w:r>
          </w:p>
        </w:tc>
      </w:tr>
      <w:tr w:rsidR="52A9D588" w14:paraId="60AC856C" w14:textId="77777777" w:rsidTr="2ED4E331">
        <w:trPr>
          <w:trHeight w:val="323"/>
        </w:trPr>
        <w:tc>
          <w:tcPr>
            <w:tcW w:w="9450" w:type="dxa"/>
            <w:shd w:val="clear" w:color="auto" w:fill="FFFFFF" w:themeFill="background1"/>
          </w:tcPr>
          <w:p w14:paraId="2F1C0304" w14:textId="77777777" w:rsidR="101672DE" w:rsidRDefault="101672DE" w:rsidP="52A9D588">
            <w:pPr>
              <w:spacing w:line="259" w:lineRule="auto"/>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What are the impacts on SMEs and competitiveness?</w:t>
            </w:r>
          </w:p>
        </w:tc>
      </w:tr>
      <w:tr w:rsidR="52A9D588" w14:paraId="2F0729E3" w14:textId="77777777" w:rsidTr="2ED4E331">
        <w:trPr>
          <w:trHeight w:val="323"/>
        </w:trPr>
        <w:tc>
          <w:tcPr>
            <w:tcW w:w="9450" w:type="dxa"/>
            <w:shd w:val="clear" w:color="auto" w:fill="FFFFFF" w:themeFill="background1"/>
          </w:tcPr>
          <w:p w14:paraId="55875953" w14:textId="77777777" w:rsidR="00DC94EB" w:rsidRDefault="00DC94EB" w:rsidP="52A9D588">
            <w:pPr>
              <w:spacing w:line="259" w:lineRule="auto"/>
              <w:jc w:val="both"/>
              <w:rPr>
                <w:rFonts w:ascii="Times New Roman" w:eastAsia="Times New Roman" w:hAnsi="Times New Roman" w:cs="Times New Roman"/>
                <w:noProof/>
                <w:sz w:val="24"/>
                <w:szCs w:val="24"/>
                <w:lang w:val="en-US"/>
              </w:rPr>
            </w:pPr>
            <w:r w:rsidRPr="5CA58D31">
              <w:rPr>
                <w:rFonts w:ascii="Times New Roman" w:eastAsia="Times New Roman" w:hAnsi="Times New Roman" w:cs="Times New Roman"/>
                <w:noProof/>
                <w:sz w:val="24"/>
                <w:szCs w:val="24"/>
              </w:rPr>
              <w:t>The preferred measures would</w:t>
            </w:r>
            <w:r w:rsidR="10506152" w:rsidRPr="5CA58D31">
              <w:rPr>
                <w:rFonts w:ascii="Times New Roman" w:eastAsia="Times New Roman" w:hAnsi="Times New Roman" w:cs="Times New Roman"/>
                <w:noProof/>
                <w:sz w:val="24"/>
                <w:szCs w:val="24"/>
              </w:rPr>
              <w:t xml:space="preserve"> make</w:t>
            </w:r>
            <w:r w:rsidRPr="5CA58D31">
              <w:rPr>
                <w:rFonts w:ascii="Times New Roman" w:eastAsia="Times New Roman" w:hAnsi="Times New Roman" w:cs="Times New Roman"/>
                <w:noProof/>
                <w:sz w:val="24"/>
                <w:szCs w:val="24"/>
              </w:rPr>
              <w:t xml:space="preserve"> SMEs, such as junior exploration companies, benefit from additional data and information provided by Member States. In addition</w:t>
            </w:r>
            <w:r w:rsidR="199A304F" w:rsidRPr="5CA58D31">
              <w:rPr>
                <w:rFonts w:ascii="Times New Roman" w:eastAsia="Times New Roman" w:hAnsi="Times New Roman" w:cs="Times New Roman"/>
                <w:noProof/>
                <w:sz w:val="24"/>
                <w:szCs w:val="24"/>
              </w:rPr>
              <w:t>,</w:t>
            </w:r>
            <w:r w:rsidRPr="5CA58D31">
              <w:rPr>
                <w:rFonts w:ascii="Times New Roman" w:eastAsia="Times New Roman" w:hAnsi="Times New Roman" w:cs="Times New Roman"/>
                <w:noProof/>
                <w:sz w:val="24"/>
                <w:szCs w:val="24"/>
              </w:rPr>
              <w:t xml:space="preserve"> SMEs operating in the CRM value chain or downstream</w:t>
            </w:r>
            <w:r w:rsidR="290578F7" w:rsidRPr="5CA58D31">
              <w:rPr>
                <w:rFonts w:ascii="Times New Roman" w:eastAsia="Times New Roman" w:hAnsi="Times New Roman" w:cs="Times New Roman"/>
                <w:noProof/>
                <w:sz w:val="24"/>
                <w:szCs w:val="24"/>
              </w:rPr>
              <w:t xml:space="preserve"> sectors</w:t>
            </w:r>
            <w:r w:rsidRPr="5CA58D31">
              <w:rPr>
                <w:rFonts w:ascii="Times New Roman" w:eastAsia="Times New Roman" w:hAnsi="Times New Roman" w:cs="Times New Roman"/>
                <w:noProof/>
                <w:sz w:val="24"/>
                <w:szCs w:val="24"/>
              </w:rPr>
              <w:t xml:space="preserve"> would benefit from additional monitoring</w:t>
            </w:r>
            <w:r w:rsidR="6C780229" w:rsidRPr="5CA58D31">
              <w:rPr>
                <w:rFonts w:ascii="Times New Roman" w:eastAsia="Times New Roman" w:hAnsi="Times New Roman" w:cs="Times New Roman"/>
                <w:noProof/>
                <w:sz w:val="24"/>
                <w:szCs w:val="24"/>
              </w:rPr>
              <w:t xml:space="preserve"> and other risk mitigation measures that they are less likely to pursue by themselves. Direct administrative costs like reporting obligations are not imposed on them. They would also benefit from increased access to finance</w:t>
            </w:r>
            <w:r w:rsidR="1ED3ECB5" w:rsidRPr="5CA58D31">
              <w:rPr>
                <w:rFonts w:ascii="Times New Roman" w:eastAsia="Times New Roman" w:hAnsi="Times New Roman" w:cs="Times New Roman"/>
                <w:noProof/>
                <w:sz w:val="24"/>
                <w:szCs w:val="24"/>
              </w:rPr>
              <w:t>.</w:t>
            </w:r>
          </w:p>
          <w:p w14:paraId="447A9DDE" w14:textId="77777777" w:rsidR="1ED3ECB5" w:rsidRDefault="1ED3ECB5" w:rsidP="52A9D588">
            <w:pPr>
              <w:spacing w:line="259" w:lineRule="auto"/>
              <w:jc w:val="both"/>
              <w:rPr>
                <w:rFonts w:ascii="Times New Roman" w:eastAsia="Times New Roman" w:hAnsi="Times New Roman" w:cs="Times New Roman"/>
                <w:noProof/>
                <w:sz w:val="24"/>
                <w:szCs w:val="24"/>
              </w:rPr>
            </w:pPr>
            <w:r w:rsidRPr="5CA58D31">
              <w:rPr>
                <w:rFonts w:ascii="Times New Roman" w:eastAsia="Times New Roman" w:hAnsi="Times New Roman" w:cs="Times New Roman"/>
                <w:noProof/>
                <w:sz w:val="24"/>
                <w:szCs w:val="24"/>
              </w:rPr>
              <w:t xml:space="preserve">Overall, </w:t>
            </w:r>
            <w:r w:rsidR="42ADA8C1" w:rsidRPr="5CA58D31">
              <w:rPr>
                <w:rFonts w:ascii="Times New Roman" w:eastAsia="Times New Roman" w:hAnsi="Times New Roman" w:cs="Times New Roman"/>
                <w:noProof/>
                <w:sz w:val="24"/>
                <w:szCs w:val="24"/>
              </w:rPr>
              <w:t>the competitiveness</w:t>
            </w:r>
            <w:r w:rsidRPr="5CA58D31">
              <w:rPr>
                <w:rFonts w:ascii="Times New Roman" w:eastAsia="Times New Roman" w:hAnsi="Times New Roman" w:cs="Times New Roman"/>
                <w:noProof/>
                <w:sz w:val="24"/>
                <w:szCs w:val="24"/>
              </w:rPr>
              <w:t xml:space="preserve"> of the EU industry would be supported by the same measures that benefit SMEs. The development of Strategic Projects would increase the EU’s resilience </w:t>
            </w:r>
            <w:r w:rsidR="2709FFCC" w:rsidRPr="5CA58D31">
              <w:rPr>
                <w:rFonts w:ascii="Times New Roman" w:eastAsia="Times New Roman" w:hAnsi="Times New Roman" w:cs="Times New Roman"/>
                <w:noProof/>
                <w:sz w:val="24"/>
                <w:szCs w:val="24"/>
              </w:rPr>
              <w:t xml:space="preserve">by </w:t>
            </w:r>
            <w:r w:rsidR="5E837732" w:rsidRPr="5CA58D31">
              <w:rPr>
                <w:rFonts w:ascii="Times New Roman" w:eastAsia="Times New Roman" w:hAnsi="Times New Roman" w:cs="Times New Roman"/>
                <w:noProof/>
                <w:sz w:val="24"/>
                <w:szCs w:val="24"/>
              </w:rPr>
              <w:t>strength</w:t>
            </w:r>
            <w:r w:rsidR="560F7F67" w:rsidRPr="5CA58D31">
              <w:rPr>
                <w:rFonts w:ascii="Times New Roman" w:eastAsia="Times New Roman" w:hAnsi="Times New Roman" w:cs="Times New Roman"/>
                <w:noProof/>
                <w:sz w:val="24"/>
                <w:szCs w:val="24"/>
              </w:rPr>
              <w:t>en</w:t>
            </w:r>
            <w:r w:rsidR="58311573" w:rsidRPr="5CA58D31">
              <w:rPr>
                <w:rFonts w:ascii="Times New Roman" w:eastAsia="Times New Roman" w:hAnsi="Times New Roman" w:cs="Times New Roman"/>
                <w:noProof/>
                <w:sz w:val="24"/>
                <w:szCs w:val="24"/>
              </w:rPr>
              <w:t>ing</w:t>
            </w:r>
            <w:r w:rsidRPr="5CA58D31">
              <w:rPr>
                <w:rFonts w:ascii="Times New Roman" w:eastAsia="Times New Roman" w:hAnsi="Times New Roman" w:cs="Times New Roman"/>
                <w:noProof/>
                <w:sz w:val="24"/>
                <w:szCs w:val="24"/>
              </w:rPr>
              <w:t xml:space="preserve"> the</w:t>
            </w:r>
            <w:r w:rsidR="591BD946" w:rsidRPr="5CA58D31">
              <w:rPr>
                <w:rFonts w:ascii="Times New Roman" w:eastAsia="Times New Roman" w:hAnsi="Times New Roman" w:cs="Times New Roman"/>
                <w:noProof/>
                <w:sz w:val="24"/>
                <w:szCs w:val="24"/>
              </w:rPr>
              <w:t xml:space="preserve"> CRM</w:t>
            </w:r>
            <w:r w:rsidRPr="5CA58D31">
              <w:rPr>
                <w:rFonts w:ascii="Times New Roman" w:eastAsia="Times New Roman" w:hAnsi="Times New Roman" w:cs="Times New Roman"/>
                <w:noProof/>
                <w:sz w:val="24"/>
                <w:szCs w:val="24"/>
              </w:rPr>
              <w:t xml:space="preserve"> value chain</w:t>
            </w:r>
            <w:r w:rsidR="253A8319" w:rsidRPr="5CA58D31">
              <w:rPr>
                <w:rFonts w:ascii="Times New Roman" w:eastAsia="Times New Roman" w:hAnsi="Times New Roman" w:cs="Times New Roman"/>
                <w:noProof/>
                <w:sz w:val="24"/>
                <w:szCs w:val="24"/>
              </w:rPr>
              <w:t>,</w:t>
            </w:r>
            <w:r w:rsidR="41134205" w:rsidRPr="5CA58D31">
              <w:rPr>
                <w:rFonts w:ascii="Times New Roman" w:eastAsia="Times New Roman" w:hAnsi="Times New Roman" w:cs="Times New Roman"/>
                <w:noProof/>
                <w:sz w:val="24"/>
                <w:szCs w:val="24"/>
              </w:rPr>
              <w:t xml:space="preserve"> particularly for strategic raw materials,</w:t>
            </w:r>
            <w:r w:rsidR="253A8319" w:rsidRPr="5CA58D31">
              <w:rPr>
                <w:rFonts w:ascii="Times New Roman" w:eastAsia="Times New Roman" w:hAnsi="Times New Roman" w:cs="Times New Roman"/>
                <w:noProof/>
                <w:sz w:val="24"/>
                <w:szCs w:val="24"/>
              </w:rPr>
              <w:t xml:space="preserve"> which would enable downstream </w:t>
            </w:r>
            <w:r w:rsidR="1EEE67B1" w:rsidRPr="5CA58D31">
              <w:rPr>
                <w:rFonts w:ascii="Times New Roman" w:eastAsia="Times New Roman" w:hAnsi="Times New Roman" w:cs="Times New Roman"/>
                <w:noProof/>
                <w:sz w:val="24"/>
                <w:szCs w:val="24"/>
              </w:rPr>
              <w:t xml:space="preserve">sectors </w:t>
            </w:r>
            <w:r w:rsidR="253A8319" w:rsidRPr="5CA58D31">
              <w:rPr>
                <w:rFonts w:ascii="Times New Roman" w:eastAsia="Times New Roman" w:hAnsi="Times New Roman" w:cs="Times New Roman"/>
                <w:noProof/>
                <w:sz w:val="24"/>
                <w:szCs w:val="24"/>
              </w:rPr>
              <w:t xml:space="preserve">to benefit from </w:t>
            </w:r>
            <w:r w:rsidR="43BD8FCC" w:rsidRPr="5CA58D31">
              <w:rPr>
                <w:rFonts w:ascii="Times New Roman" w:eastAsia="Times New Roman" w:hAnsi="Times New Roman" w:cs="Times New Roman"/>
                <w:noProof/>
                <w:sz w:val="24"/>
                <w:szCs w:val="24"/>
              </w:rPr>
              <w:t>a more</w:t>
            </w:r>
            <w:r w:rsidR="253A8319" w:rsidRPr="5CA58D31">
              <w:rPr>
                <w:rFonts w:ascii="Times New Roman" w:eastAsia="Times New Roman" w:hAnsi="Times New Roman" w:cs="Times New Roman"/>
                <w:noProof/>
                <w:sz w:val="24"/>
                <w:szCs w:val="24"/>
              </w:rPr>
              <w:t xml:space="preserve"> secure </w:t>
            </w:r>
            <w:r w:rsidR="19013519" w:rsidRPr="5CA58D31">
              <w:rPr>
                <w:rFonts w:ascii="Times New Roman" w:eastAsia="Times New Roman" w:hAnsi="Times New Roman" w:cs="Times New Roman"/>
                <w:noProof/>
                <w:sz w:val="24"/>
                <w:szCs w:val="24"/>
              </w:rPr>
              <w:t>CRM supply</w:t>
            </w:r>
            <w:r w:rsidR="1C73D629" w:rsidRPr="5CA58D31">
              <w:rPr>
                <w:rFonts w:ascii="Times New Roman" w:eastAsia="Times New Roman" w:hAnsi="Times New Roman" w:cs="Times New Roman"/>
                <w:noProof/>
                <w:sz w:val="24"/>
                <w:szCs w:val="24"/>
              </w:rPr>
              <w:t xml:space="preserve"> and hence make them more competitive vis-a-vis competitors in other parts of the world.</w:t>
            </w:r>
          </w:p>
        </w:tc>
      </w:tr>
      <w:tr w:rsidR="52A9D588" w14:paraId="3AAA1385" w14:textId="77777777" w:rsidTr="2ED4E331">
        <w:trPr>
          <w:trHeight w:val="323"/>
        </w:trPr>
        <w:tc>
          <w:tcPr>
            <w:tcW w:w="9450" w:type="dxa"/>
            <w:shd w:val="clear" w:color="auto" w:fill="FFFFFF" w:themeFill="background1"/>
          </w:tcPr>
          <w:p w14:paraId="40DEB3F2" w14:textId="77777777" w:rsidR="101672DE" w:rsidRDefault="101672DE" w:rsidP="52A9D588">
            <w:pPr>
              <w:spacing w:line="259" w:lineRule="auto"/>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Will there be significant impacts on national budgets and administrations?</w:t>
            </w:r>
          </w:p>
        </w:tc>
      </w:tr>
      <w:tr w:rsidR="52A9D588" w14:paraId="2049C28F" w14:textId="77777777" w:rsidTr="2ED4E331">
        <w:trPr>
          <w:trHeight w:val="323"/>
        </w:trPr>
        <w:tc>
          <w:tcPr>
            <w:tcW w:w="9450" w:type="dxa"/>
            <w:shd w:val="clear" w:color="auto" w:fill="FFFFFF" w:themeFill="background1"/>
          </w:tcPr>
          <w:p w14:paraId="29BBAF88" w14:textId="77777777" w:rsidR="3E9AC132" w:rsidRDefault="3E9AC132" w:rsidP="52A9D588">
            <w:pPr>
              <w:spacing w:line="259" w:lineRule="auto"/>
              <w:jc w:val="both"/>
              <w:rPr>
                <w:rFonts w:ascii="Times New Roman" w:eastAsia="Times New Roman" w:hAnsi="Times New Roman" w:cs="Times New Roman"/>
                <w:noProof/>
                <w:sz w:val="24"/>
                <w:szCs w:val="24"/>
              </w:rPr>
            </w:pPr>
            <w:r w:rsidRPr="5CA58D31">
              <w:rPr>
                <w:rFonts w:ascii="Times New Roman" w:eastAsia="Times New Roman" w:hAnsi="Times New Roman" w:cs="Times New Roman"/>
                <w:noProof/>
                <w:sz w:val="24"/>
                <w:szCs w:val="24"/>
              </w:rPr>
              <w:t xml:space="preserve">Member States would incur costs related to the participation </w:t>
            </w:r>
            <w:r w:rsidR="19B529AC" w:rsidRPr="5CA58D31">
              <w:rPr>
                <w:rFonts w:ascii="Times New Roman" w:eastAsia="Times New Roman" w:hAnsi="Times New Roman" w:cs="Times New Roman"/>
                <w:noProof/>
                <w:sz w:val="24"/>
                <w:szCs w:val="24"/>
              </w:rPr>
              <w:t xml:space="preserve">in </w:t>
            </w:r>
            <w:r w:rsidRPr="5CA58D31">
              <w:rPr>
                <w:rFonts w:ascii="Times New Roman" w:eastAsia="Times New Roman" w:hAnsi="Times New Roman" w:cs="Times New Roman"/>
                <w:noProof/>
                <w:sz w:val="24"/>
                <w:szCs w:val="24"/>
              </w:rPr>
              <w:t>the governance structure, to the sharing of information with the board</w:t>
            </w:r>
            <w:r w:rsidR="45015796" w:rsidRPr="5CA58D31">
              <w:rPr>
                <w:rFonts w:ascii="Times New Roman" w:eastAsia="Times New Roman" w:hAnsi="Times New Roman" w:cs="Times New Roman"/>
                <w:noProof/>
                <w:sz w:val="24"/>
                <w:szCs w:val="24"/>
              </w:rPr>
              <w:t xml:space="preserve"> and </w:t>
            </w:r>
            <w:r w:rsidRPr="5CA58D31">
              <w:rPr>
                <w:rFonts w:ascii="Times New Roman" w:eastAsia="Times New Roman" w:hAnsi="Times New Roman" w:cs="Times New Roman"/>
                <w:noProof/>
                <w:sz w:val="24"/>
                <w:szCs w:val="24"/>
              </w:rPr>
              <w:t>to the implementation of measures</w:t>
            </w:r>
            <w:r w:rsidR="3D216390" w:rsidRPr="5CA58D31">
              <w:rPr>
                <w:rFonts w:ascii="Times New Roman" w:eastAsia="Times New Roman" w:hAnsi="Times New Roman" w:cs="Times New Roman"/>
                <w:noProof/>
                <w:sz w:val="24"/>
                <w:szCs w:val="24"/>
              </w:rPr>
              <w:t>,</w:t>
            </w:r>
            <w:r w:rsidRPr="5CA58D31">
              <w:rPr>
                <w:rFonts w:ascii="Times New Roman" w:eastAsia="Times New Roman" w:hAnsi="Times New Roman" w:cs="Times New Roman"/>
                <w:noProof/>
                <w:sz w:val="24"/>
                <w:szCs w:val="24"/>
              </w:rPr>
              <w:t xml:space="preserve"> e.g. on</w:t>
            </w:r>
            <w:r w:rsidR="309CC4D5" w:rsidRPr="5CA58D31">
              <w:rPr>
                <w:rFonts w:ascii="Times New Roman" w:eastAsia="Times New Roman" w:hAnsi="Times New Roman" w:cs="Times New Roman"/>
                <w:noProof/>
                <w:sz w:val="24"/>
                <w:szCs w:val="24"/>
              </w:rPr>
              <w:t xml:space="preserve"> strategic stocks coordination, companies’ risk preparedness,</w:t>
            </w:r>
            <w:r w:rsidR="229DE43D" w:rsidRPr="5CA58D31">
              <w:rPr>
                <w:rFonts w:ascii="Times New Roman" w:eastAsia="Times New Roman" w:hAnsi="Times New Roman" w:cs="Times New Roman"/>
                <w:noProof/>
                <w:sz w:val="24"/>
                <w:szCs w:val="24"/>
              </w:rPr>
              <w:t xml:space="preserve"> permitting, </w:t>
            </w:r>
            <w:r w:rsidRPr="5CA58D31">
              <w:rPr>
                <w:rFonts w:ascii="Times New Roman" w:eastAsia="Times New Roman" w:hAnsi="Times New Roman" w:cs="Times New Roman"/>
                <w:noProof/>
                <w:sz w:val="24"/>
                <w:szCs w:val="24"/>
              </w:rPr>
              <w:t>waste and exploration.</w:t>
            </w:r>
          </w:p>
        </w:tc>
      </w:tr>
      <w:tr w:rsidR="52A9D588" w14:paraId="16247866" w14:textId="77777777" w:rsidTr="2ED4E331">
        <w:trPr>
          <w:trHeight w:val="323"/>
        </w:trPr>
        <w:tc>
          <w:tcPr>
            <w:tcW w:w="9450" w:type="dxa"/>
            <w:shd w:val="clear" w:color="auto" w:fill="FFFFFF" w:themeFill="background1"/>
          </w:tcPr>
          <w:p w14:paraId="48B9ACBC" w14:textId="77777777" w:rsidR="101672DE" w:rsidRDefault="101672DE" w:rsidP="52A9D588">
            <w:pPr>
              <w:spacing w:line="259" w:lineRule="auto"/>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Will there be other significant impacts?</w:t>
            </w:r>
          </w:p>
        </w:tc>
      </w:tr>
      <w:tr w:rsidR="52A9D588" w14:paraId="73EDCB91" w14:textId="77777777" w:rsidTr="2ED4E331">
        <w:trPr>
          <w:trHeight w:val="323"/>
        </w:trPr>
        <w:tc>
          <w:tcPr>
            <w:tcW w:w="9450" w:type="dxa"/>
            <w:shd w:val="clear" w:color="auto" w:fill="FFFFFF" w:themeFill="background1"/>
          </w:tcPr>
          <w:p w14:paraId="102B9B34" w14:textId="77777777" w:rsidR="69C1B774" w:rsidRDefault="69C1B774" w:rsidP="52A9D588">
            <w:pPr>
              <w:spacing w:line="259" w:lineRule="auto"/>
              <w:jc w:val="both"/>
              <w:rPr>
                <w:rFonts w:ascii="Times New Roman" w:eastAsia="Times New Roman" w:hAnsi="Times New Roman" w:cs="Times New Roman"/>
                <w:noProof/>
                <w:sz w:val="24"/>
                <w:szCs w:val="24"/>
              </w:rPr>
            </w:pPr>
            <w:r w:rsidRPr="5CA58D31">
              <w:rPr>
                <w:rFonts w:ascii="Times New Roman" w:eastAsia="Times New Roman" w:hAnsi="Times New Roman" w:cs="Times New Roman"/>
                <w:noProof/>
                <w:sz w:val="24"/>
                <w:szCs w:val="24"/>
              </w:rPr>
              <w:t xml:space="preserve">There </w:t>
            </w:r>
            <w:r w:rsidR="544F23DB" w:rsidRPr="5CA58D31">
              <w:rPr>
                <w:rFonts w:ascii="Times New Roman" w:eastAsia="Times New Roman" w:hAnsi="Times New Roman" w:cs="Times New Roman"/>
                <w:noProof/>
                <w:sz w:val="24"/>
                <w:szCs w:val="24"/>
              </w:rPr>
              <w:t xml:space="preserve">are </w:t>
            </w:r>
            <w:r w:rsidRPr="5CA58D31">
              <w:rPr>
                <w:rFonts w:ascii="Times New Roman" w:eastAsia="Times New Roman" w:hAnsi="Times New Roman" w:cs="Times New Roman"/>
                <w:noProof/>
                <w:sz w:val="24"/>
                <w:szCs w:val="24"/>
              </w:rPr>
              <w:t xml:space="preserve">no </w:t>
            </w:r>
            <w:r w:rsidR="2BF84302" w:rsidRPr="5CA58D31">
              <w:rPr>
                <w:rFonts w:ascii="Times New Roman" w:eastAsia="Times New Roman" w:hAnsi="Times New Roman" w:cs="Times New Roman"/>
                <w:noProof/>
                <w:sz w:val="24"/>
                <w:szCs w:val="24"/>
              </w:rPr>
              <w:t>other significant impact</w:t>
            </w:r>
            <w:r w:rsidR="0227EFB4" w:rsidRPr="5CA58D31">
              <w:rPr>
                <w:rFonts w:ascii="Times New Roman" w:eastAsia="Times New Roman" w:hAnsi="Times New Roman" w:cs="Times New Roman"/>
                <w:noProof/>
                <w:sz w:val="24"/>
                <w:szCs w:val="24"/>
              </w:rPr>
              <w:t>s</w:t>
            </w:r>
            <w:r w:rsidR="2BF84302" w:rsidRPr="5CA58D31">
              <w:rPr>
                <w:rFonts w:ascii="Times New Roman" w:eastAsia="Times New Roman" w:hAnsi="Times New Roman" w:cs="Times New Roman"/>
                <w:noProof/>
                <w:sz w:val="24"/>
                <w:szCs w:val="24"/>
              </w:rPr>
              <w:t xml:space="preserve"> foreseen in this initiative. It is </w:t>
            </w:r>
            <w:r w:rsidR="73253802" w:rsidRPr="5CA58D31">
              <w:rPr>
                <w:rFonts w:ascii="Times New Roman" w:eastAsia="Times New Roman" w:hAnsi="Times New Roman" w:cs="Times New Roman"/>
                <w:noProof/>
                <w:sz w:val="24"/>
                <w:szCs w:val="24"/>
              </w:rPr>
              <w:t>expected</w:t>
            </w:r>
            <w:r w:rsidR="2BF84302" w:rsidRPr="5CA58D31">
              <w:rPr>
                <w:rFonts w:ascii="Times New Roman" w:eastAsia="Times New Roman" w:hAnsi="Times New Roman" w:cs="Times New Roman"/>
                <w:noProof/>
                <w:sz w:val="24"/>
                <w:szCs w:val="24"/>
              </w:rPr>
              <w:t xml:space="preserve"> to do no significant harm to the environment, while </w:t>
            </w:r>
            <w:r w:rsidR="01AADDB2" w:rsidRPr="5CA58D31">
              <w:rPr>
                <w:rFonts w:ascii="Times New Roman" w:eastAsia="Times New Roman" w:hAnsi="Times New Roman" w:cs="Times New Roman"/>
                <w:noProof/>
                <w:sz w:val="24"/>
                <w:szCs w:val="24"/>
              </w:rPr>
              <w:t>conversely</w:t>
            </w:r>
            <w:r w:rsidR="2BF84302" w:rsidRPr="5CA58D31">
              <w:rPr>
                <w:rFonts w:ascii="Times New Roman" w:eastAsia="Times New Roman" w:hAnsi="Times New Roman" w:cs="Times New Roman"/>
                <w:noProof/>
                <w:sz w:val="24"/>
                <w:szCs w:val="24"/>
              </w:rPr>
              <w:t xml:space="preserve"> to foster measures promoting the circularity of CRMs and</w:t>
            </w:r>
            <w:r w:rsidR="6F604EBB" w:rsidRPr="5CA58D31">
              <w:rPr>
                <w:rFonts w:ascii="Times New Roman" w:eastAsia="Times New Roman" w:hAnsi="Times New Roman" w:cs="Times New Roman"/>
                <w:noProof/>
                <w:sz w:val="24"/>
                <w:szCs w:val="24"/>
              </w:rPr>
              <w:t xml:space="preserve"> their</w:t>
            </w:r>
            <w:r w:rsidR="2BF84302" w:rsidRPr="5CA58D31">
              <w:rPr>
                <w:rFonts w:ascii="Times New Roman" w:eastAsia="Times New Roman" w:hAnsi="Times New Roman" w:cs="Times New Roman"/>
                <w:noProof/>
                <w:sz w:val="24"/>
                <w:szCs w:val="24"/>
              </w:rPr>
              <w:t xml:space="preserve"> </w:t>
            </w:r>
            <w:r w:rsidR="5F819CAE" w:rsidRPr="5CA58D31">
              <w:rPr>
                <w:rFonts w:ascii="Times New Roman" w:eastAsia="Times New Roman" w:hAnsi="Times New Roman" w:cs="Times New Roman"/>
                <w:noProof/>
                <w:sz w:val="24"/>
                <w:szCs w:val="24"/>
              </w:rPr>
              <w:t>enhanced sustainability through environmental footprint measures.</w:t>
            </w:r>
          </w:p>
        </w:tc>
      </w:tr>
      <w:tr w:rsidR="52A9D588" w14:paraId="24B14474" w14:textId="77777777" w:rsidTr="2ED4E331">
        <w:trPr>
          <w:trHeight w:val="323"/>
        </w:trPr>
        <w:tc>
          <w:tcPr>
            <w:tcW w:w="9450" w:type="dxa"/>
            <w:shd w:val="clear" w:color="auto" w:fill="FFFFFF" w:themeFill="background1"/>
          </w:tcPr>
          <w:p w14:paraId="04A763EE" w14:textId="77777777" w:rsidR="101672DE" w:rsidRDefault="101672DE" w:rsidP="52A9D588">
            <w:pPr>
              <w:spacing w:line="259" w:lineRule="auto"/>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Proportionality?</w:t>
            </w:r>
          </w:p>
        </w:tc>
      </w:tr>
      <w:tr w:rsidR="52A9D588" w14:paraId="5B526D5D" w14:textId="77777777" w:rsidTr="2ED4E331">
        <w:trPr>
          <w:trHeight w:val="323"/>
        </w:trPr>
        <w:tc>
          <w:tcPr>
            <w:tcW w:w="9450" w:type="dxa"/>
            <w:shd w:val="clear" w:color="auto" w:fill="FFFFFF" w:themeFill="background1"/>
          </w:tcPr>
          <w:p w14:paraId="3F9BE950" w14:textId="77777777" w:rsidR="15F28DB4" w:rsidRDefault="15F28DB4" w:rsidP="52A9D588">
            <w:pPr>
              <w:spacing w:line="259" w:lineRule="auto"/>
              <w:rPr>
                <w:rFonts w:ascii="Times New Roman" w:eastAsia="Times New Roman" w:hAnsi="Times New Roman" w:cs="Times New Roman"/>
                <w:noProof/>
                <w:sz w:val="24"/>
                <w:szCs w:val="24"/>
              </w:rPr>
            </w:pPr>
            <w:r w:rsidRPr="5CA58D31">
              <w:rPr>
                <w:rFonts w:ascii="Times New Roman" w:eastAsia="Times New Roman" w:hAnsi="Times New Roman" w:cs="Times New Roman"/>
                <w:noProof/>
                <w:sz w:val="24"/>
                <w:szCs w:val="24"/>
              </w:rPr>
              <w:t xml:space="preserve">The </w:t>
            </w:r>
            <w:r w:rsidR="27B32609" w:rsidRPr="5CA58D31">
              <w:rPr>
                <w:rFonts w:ascii="Times New Roman" w:eastAsia="Times New Roman" w:hAnsi="Times New Roman" w:cs="Times New Roman"/>
                <w:noProof/>
                <w:sz w:val="24"/>
                <w:szCs w:val="24"/>
              </w:rPr>
              <w:t>preferred</w:t>
            </w:r>
            <w:r w:rsidRPr="5CA58D31">
              <w:rPr>
                <w:rFonts w:ascii="Times New Roman" w:eastAsia="Times New Roman" w:hAnsi="Times New Roman" w:cs="Times New Roman"/>
                <w:noProof/>
                <w:sz w:val="24"/>
                <w:szCs w:val="24"/>
              </w:rPr>
              <w:t xml:space="preserve"> option is more in line </w:t>
            </w:r>
            <w:r w:rsidR="26AD61CA" w:rsidRPr="5CA58D31">
              <w:rPr>
                <w:rFonts w:ascii="Times New Roman" w:eastAsia="Times New Roman" w:hAnsi="Times New Roman" w:cs="Times New Roman"/>
                <w:noProof/>
                <w:sz w:val="24"/>
                <w:szCs w:val="24"/>
              </w:rPr>
              <w:t xml:space="preserve">with the principle of proportionality as it does not create a specific external operational capacity to enforce tasks related to </w:t>
            </w:r>
            <w:r w:rsidR="5DCEF0F7" w:rsidRPr="5CA58D31">
              <w:rPr>
                <w:rFonts w:ascii="Times New Roman" w:eastAsia="Times New Roman" w:hAnsi="Times New Roman" w:cs="Times New Roman"/>
                <w:noProof/>
                <w:sz w:val="24"/>
                <w:szCs w:val="24"/>
              </w:rPr>
              <w:t>CRMs</w:t>
            </w:r>
            <w:r w:rsidR="26AD61CA" w:rsidRPr="5CA58D31">
              <w:rPr>
                <w:rFonts w:ascii="Times New Roman" w:eastAsia="Times New Roman" w:hAnsi="Times New Roman" w:cs="Times New Roman"/>
                <w:noProof/>
                <w:sz w:val="24"/>
                <w:szCs w:val="24"/>
              </w:rPr>
              <w:t>. This however implies lesser effectiveness in meeting the specific objectives.</w:t>
            </w:r>
            <w:r w:rsidR="51A93EC6" w:rsidRPr="5CA58D31">
              <w:rPr>
                <w:rFonts w:ascii="Times New Roman" w:eastAsia="Times New Roman" w:hAnsi="Times New Roman" w:cs="Times New Roman"/>
                <w:noProof/>
                <w:sz w:val="24"/>
                <w:szCs w:val="24"/>
              </w:rPr>
              <w:t xml:space="preserve"> </w:t>
            </w:r>
          </w:p>
        </w:tc>
      </w:tr>
      <w:tr w:rsidR="52A9D588" w14:paraId="520E2175" w14:textId="77777777" w:rsidTr="2ED4E331">
        <w:trPr>
          <w:trHeight w:val="323"/>
        </w:trPr>
        <w:tc>
          <w:tcPr>
            <w:tcW w:w="9450" w:type="dxa"/>
            <w:shd w:val="clear" w:color="auto" w:fill="A5A5A5" w:themeFill="accent3"/>
          </w:tcPr>
          <w:p w14:paraId="043A77AF" w14:textId="77777777" w:rsidR="101672DE" w:rsidRDefault="101672DE" w:rsidP="52A9D588">
            <w:pPr>
              <w:spacing w:line="259" w:lineRule="auto"/>
              <w:rPr>
                <w:rFonts w:ascii="Times New Roman" w:eastAsia="Times New Roman" w:hAnsi="Times New Roman" w:cs="Times New Roman"/>
                <w:b/>
                <w:bCs/>
                <w:noProof/>
                <w:sz w:val="24"/>
                <w:szCs w:val="24"/>
              </w:rPr>
            </w:pPr>
            <w:r w:rsidRPr="52A9D588">
              <w:rPr>
                <w:rFonts w:ascii="Times New Roman" w:eastAsia="Times New Roman" w:hAnsi="Times New Roman" w:cs="Times New Roman"/>
                <w:b/>
                <w:bCs/>
                <w:noProof/>
                <w:sz w:val="24"/>
                <w:szCs w:val="24"/>
              </w:rPr>
              <w:t>D. Follow up</w:t>
            </w:r>
          </w:p>
        </w:tc>
      </w:tr>
      <w:tr w:rsidR="52A9D588" w14:paraId="710231B3" w14:textId="77777777" w:rsidTr="2ED4E331">
        <w:trPr>
          <w:trHeight w:val="323"/>
        </w:trPr>
        <w:tc>
          <w:tcPr>
            <w:tcW w:w="9450" w:type="dxa"/>
            <w:shd w:val="clear" w:color="auto" w:fill="FFFFFF" w:themeFill="background1"/>
          </w:tcPr>
          <w:p w14:paraId="032657C7" w14:textId="77777777" w:rsidR="13706D17" w:rsidRDefault="13706D17" w:rsidP="52A9D588">
            <w:pPr>
              <w:spacing w:line="259" w:lineRule="auto"/>
              <w:jc w:val="both"/>
              <w:rPr>
                <w:rFonts w:ascii="Times New Roman" w:eastAsia="Times New Roman" w:hAnsi="Times New Roman" w:cs="Times New Roman"/>
                <w:noProof/>
                <w:sz w:val="24"/>
                <w:szCs w:val="24"/>
              </w:rPr>
            </w:pPr>
            <w:r w:rsidRPr="2ED4E331">
              <w:rPr>
                <w:rFonts w:ascii="Times New Roman" w:eastAsia="Times New Roman" w:hAnsi="Times New Roman" w:cs="Times New Roman"/>
                <w:noProof/>
                <w:sz w:val="24"/>
                <w:szCs w:val="24"/>
              </w:rPr>
              <w:t xml:space="preserve">The Commission will carry out an evaluation of the effectiveness, efficiency, coherence, relevance and EU added value of this legislative initiative and present a report on the main findings to the European Parliament, the Council, the European Economic and Social Committee, and the Committee of the Regions </w:t>
            </w:r>
            <w:r w:rsidR="1F723701" w:rsidRPr="2ED4E331">
              <w:rPr>
                <w:rFonts w:ascii="Times New Roman" w:eastAsia="Times New Roman" w:hAnsi="Times New Roman" w:cs="Times New Roman"/>
                <w:noProof/>
                <w:sz w:val="24"/>
                <w:szCs w:val="24"/>
              </w:rPr>
              <w:t>five</w:t>
            </w:r>
            <w:r w:rsidR="1CCA2637" w:rsidRPr="2ED4E331">
              <w:rPr>
                <w:rFonts w:ascii="Times New Roman" w:eastAsia="Times New Roman" w:hAnsi="Times New Roman" w:cs="Times New Roman"/>
                <w:noProof/>
                <w:sz w:val="24"/>
                <w:szCs w:val="24"/>
              </w:rPr>
              <w:t xml:space="preserve"> </w:t>
            </w:r>
            <w:r w:rsidRPr="2ED4E331">
              <w:rPr>
                <w:rFonts w:ascii="Times New Roman" w:eastAsia="Times New Roman" w:hAnsi="Times New Roman" w:cs="Times New Roman"/>
                <w:noProof/>
                <w:sz w:val="24"/>
                <w:szCs w:val="24"/>
              </w:rPr>
              <w:t xml:space="preserve">years after the date of application of the legislative act. The Commission may propose based on the evaluation report how to improve the </w:t>
            </w:r>
            <w:r w:rsidR="7F409325" w:rsidRPr="2ED4E331">
              <w:rPr>
                <w:rFonts w:ascii="Times New Roman" w:eastAsia="Times New Roman" w:hAnsi="Times New Roman" w:cs="Times New Roman"/>
                <w:noProof/>
                <w:sz w:val="24"/>
                <w:szCs w:val="24"/>
              </w:rPr>
              <w:t>European Critical Raw Materials Act, whose implementation should also measure the achievement of the targets for European supply capacity presented in the IA.</w:t>
            </w:r>
            <w:r w:rsidR="1D6E641E" w:rsidRPr="2ED4E331">
              <w:rPr>
                <w:rFonts w:ascii="Times New Roman" w:eastAsia="Times New Roman" w:hAnsi="Times New Roman" w:cs="Times New Roman"/>
                <w:noProof/>
                <w:sz w:val="24"/>
                <w:szCs w:val="24"/>
              </w:rPr>
              <w:t xml:space="preserve"> Indicators to monitor progress are included in the assessment.</w:t>
            </w:r>
          </w:p>
        </w:tc>
      </w:tr>
    </w:tbl>
    <w:p w14:paraId="7C399A02" w14:textId="77777777" w:rsidR="52A9D588" w:rsidRDefault="52A9D588" w:rsidP="52A9D588">
      <w:pPr>
        <w:rPr>
          <w:b/>
          <w:bCs/>
          <w:noProof/>
        </w:rPr>
      </w:pPr>
    </w:p>
    <w:sectPr w:rsidR="52A9D588" w:rsidSect="00F6213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C3CE" w14:textId="77777777" w:rsidR="00A2492C" w:rsidRDefault="00A2492C" w:rsidP="00F6213C">
      <w:pPr>
        <w:spacing w:after="0" w:line="240" w:lineRule="auto"/>
      </w:pPr>
      <w:r>
        <w:separator/>
      </w:r>
    </w:p>
  </w:endnote>
  <w:endnote w:type="continuationSeparator" w:id="0">
    <w:p w14:paraId="6EDC9DCE" w14:textId="77777777" w:rsidR="00A2492C" w:rsidRDefault="00A2492C" w:rsidP="00F6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F644E" w14:textId="77777777" w:rsidR="009F6C55" w:rsidRPr="009F6C55" w:rsidRDefault="009F6C55" w:rsidP="009F6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6DC4" w14:textId="4797101D" w:rsidR="00FA7897" w:rsidRPr="009F6C55" w:rsidRDefault="009F6C55" w:rsidP="009F6C55">
    <w:pPr>
      <w:pStyle w:val="FooterCoverPage"/>
      <w:rPr>
        <w:rFonts w:ascii="Arial" w:hAnsi="Arial" w:cs="Arial"/>
        <w:b/>
        <w:sz w:val="48"/>
      </w:rPr>
    </w:pPr>
    <w:r w:rsidRPr="009F6C55">
      <w:rPr>
        <w:rFonts w:ascii="Arial" w:hAnsi="Arial" w:cs="Arial"/>
        <w:b/>
        <w:sz w:val="48"/>
      </w:rPr>
      <w:t>EN</w:t>
    </w:r>
    <w:r w:rsidRPr="009F6C55">
      <w:rPr>
        <w:rFonts w:ascii="Arial" w:hAnsi="Arial" w:cs="Arial"/>
        <w:b/>
        <w:sz w:val="48"/>
      </w:rPr>
      <w:tab/>
    </w:r>
    <w:r w:rsidRPr="009F6C55">
      <w:rPr>
        <w:rFonts w:ascii="Arial" w:hAnsi="Arial" w:cs="Arial"/>
        <w:b/>
        <w:sz w:val="48"/>
      </w:rPr>
      <w:tab/>
    </w:r>
    <w:r w:rsidRPr="009F6C55">
      <w:tab/>
    </w:r>
    <w:r w:rsidRPr="009F6C5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C8A9B" w14:textId="77777777" w:rsidR="009F6C55" w:rsidRPr="009F6C55" w:rsidRDefault="009F6C55" w:rsidP="009F6C5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130E" w14:textId="77777777" w:rsidR="00F6213C" w:rsidRDefault="00F621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066525"/>
      <w:docPartObj>
        <w:docPartGallery w:val="Page Numbers (Bottom of Page)"/>
        <w:docPartUnique/>
      </w:docPartObj>
    </w:sdtPr>
    <w:sdtEndPr>
      <w:rPr>
        <w:noProof/>
      </w:rPr>
    </w:sdtEndPr>
    <w:sdtContent>
      <w:p w14:paraId="76F90C98" w14:textId="041F3C18" w:rsidR="00E709DA" w:rsidRDefault="00E709DA">
        <w:pPr>
          <w:pStyle w:val="Footer"/>
          <w:jc w:val="center"/>
        </w:pPr>
        <w:r>
          <w:fldChar w:fldCharType="begin"/>
        </w:r>
        <w:r>
          <w:instrText xml:space="preserve"> PAGE   \* MERGEFORMAT </w:instrText>
        </w:r>
        <w:r>
          <w:fldChar w:fldCharType="separate"/>
        </w:r>
        <w:r w:rsidR="009F6C55">
          <w:rPr>
            <w:noProof/>
          </w:rPr>
          <w:t>1</w:t>
        </w:r>
        <w:r>
          <w:rPr>
            <w:noProof/>
          </w:rPr>
          <w:fldChar w:fldCharType="end"/>
        </w:r>
      </w:p>
    </w:sdtContent>
  </w:sdt>
  <w:p w14:paraId="4B65169C" w14:textId="77777777" w:rsidR="00F6213C" w:rsidRDefault="00F621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6E024" w14:textId="77777777" w:rsidR="00F6213C" w:rsidRDefault="00F62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D698E" w14:textId="77777777" w:rsidR="00A2492C" w:rsidRDefault="00A2492C" w:rsidP="00F6213C">
      <w:pPr>
        <w:spacing w:after="0" w:line="240" w:lineRule="auto"/>
      </w:pPr>
      <w:r>
        <w:separator/>
      </w:r>
    </w:p>
  </w:footnote>
  <w:footnote w:type="continuationSeparator" w:id="0">
    <w:p w14:paraId="6CD59544" w14:textId="77777777" w:rsidR="00A2492C" w:rsidRDefault="00A2492C" w:rsidP="00F62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2A8D2" w14:textId="77777777" w:rsidR="009F6C55" w:rsidRPr="009F6C55" w:rsidRDefault="009F6C55" w:rsidP="009F6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823DF" w14:textId="77777777" w:rsidR="009F6C55" w:rsidRPr="009F6C55" w:rsidRDefault="009F6C55" w:rsidP="009F6C5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07A" w14:textId="77777777" w:rsidR="009F6C55" w:rsidRPr="009F6C55" w:rsidRDefault="009F6C55" w:rsidP="009F6C5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0544" w14:textId="77777777" w:rsidR="00F6213C" w:rsidRDefault="00F621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545F" w14:textId="77777777" w:rsidR="00F6213C" w:rsidRDefault="00F621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5D5F" w14:textId="77777777" w:rsidR="00F6213C" w:rsidRDefault="00F62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Accompanying the document"/>
    <w:docVar w:name="LW_CORRIGENDUM" w:val="&lt;UNUSED&gt;"/>
    <w:docVar w:name="LW_COVERPAGE_EXISTS" w:val="True"/>
    <w:docVar w:name="LW_COVERPAGE_GUID" w:val="769DA85A-8D2F-422D-AABC-4C2894D94D8F"/>
    <w:docVar w:name="LW_COVERPAGE_TYPE" w:val="1"/>
    <w:docVar w:name="LW_CROSSREFERENCE" w:val="{COM(2023) 160 final} - {SEC(2023) 360 final} - {SWD(2023) 160 final} - {SWD(2023) 161 final}"/>
    <w:docVar w:name="LW_DocType" w:val="NORMAL"/>
    <w:docVar w:name="LW_EMISSION" w:val="16.3.2023"/>
    <w:docVar w:name="LW_EMISSION_ISODATE" w:val="2023-03-16"/>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establishing a framework for ensuring a secure and sustainable supply of critical raw materials and amending Regulations (EU) 168/2013, (EU) 2018/858, 2018/1724 and (EU) 2019/1020"/>
    <w:docVar w:name="LW_PART_NBR" w:val="1"/>
    <w:docVar w:name="LW_PART_NBR_TOTAL" w:val="1"/>
    <w:docVar w:name="LW_REF.INST.NEW" w:val="SWD"/>
    <w:docVar w:name="LW_REF.INST.NEW_ADOPTED" w:val="final"/>
    <w:docVar w:name="LW_REF.INST.NEW_TEXT" w:val="(2023) 1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_x000b_"/>
    <w:docVar w:name="LW_TYPEACTEPRINCIPAL.CP" w:val="Proposal for a Regulation of the European Parliament and of the Council"/>
    <w:docVar w:name="LwApiVersions" w:val="LW4CoDe 1.23.2.0; LW 8.0, Build 20211117"/>
  </w:docVars>
  <w:rsids>
    <w:rsidRoot w:val="09337141"/>
    <w:rsid w:val="00075189"/>
    <w:rsid w:val="0046721F"/>
    <w:rsid w:val="004F2E52"/>
    <w:rsid w:val="00566269"/>
    <w:rsid w:val="007578F4"/>
    <w:rsid w:val="007C0701"/>
    <w:rsid w:val="008935CF"/>
    <w:rsid w:val="008E02CB"/>
    <w:rsid w:val="008F5806"/>
    <w:rsid w:val="009F6C55"/>
    <w:rsid w:val="00A23FDF"/>
    <w:rsid w:val="00A2492C"/>
    <w:rsid w:val="00A936E0"/>
    <w:rsid w:val="00B32CFB"/>
    <w:rsid w:val="00B72BE0"/>
    <w:rsid w:val="00B94452"/>
    <w:rsid w:val="00C70F42"/>
    <w:rsid w:val="00CB6072"/>
    <w:rsid w:val="00CEAB70"/>
    <w:rsid w:val="00D06FE4"/>
    <w:rsid w:val="00D10B93"/>
    <w:rsid w:val="00D51F48"/>
    <w:rsid w:val="00DBEB4B"/>
    <w:rsid w:val="00DC94EB"/>
    <w:rsid w:val="00E4101E"/>
    <w:rsid w:val="00E709DA"/>
    <w:rsid w:val="00F464EB"/>
    <w:rsid w:val="00F57FCB"/>
    <w:rsid w:val="00F6213C"/>
    <w:rsid w:val="00F82C88"/>
    <w:rsid w:val="00FA7897"/>
    <w:rsid w:val="00FE2907"/>
    <w:rsid w:val="00FF279A"/>
    <w:rsid w:val="0188F20F"/>
    <w:rsid w:val="01AADDB2"/>
    <w:rsid w:val="01AF63B8"/>
    <w:rsid w:val="01FEE721"/>
    <w:rsid w:val="0227EFB4"/>
    <w:rsid w:val="0238AC28"/>
    <w:rsid w:val="0239A518"/>
    <w:rsid w:val="027FE07F"/>
    <w:rsid w:val="02A0903A"/>
    <w:rsid w:val="02CFEB27"/>
    <w:rsid w:val="032B053E"/>
    <w:rsid w:val="034F8E2B"/>
    <w:rsid w:val="036E646D"/>
    <w:rsid w:val="039CF8BC"/>
    <w:rsid w:val="03A63CC8"/>
    <w:rsid w:val="041BB0E0"/>
    <w:rsid w:val="042BDDCD"/>
    <w:rsid w:val="04341606"/>
    <w:rsid w:val="0435C9C9"/>
    <w:rsid w:val="046BBB88"/>
    <w:rsid w:val="04953425"/>
    <w:rsid w:val="04C61563"/>
    <w:rsid w:val="04D53142"/>
    <w:rsid w:val="04FFA0B2"/>
    <w:rsid w:val="05344666"/>
    <w:rsid w:val="0598E490"/>
    <w:rsid w:val="05A45939"/>
    <w:rsid w:val="05AE1CB4"/>
    <w:rsid w:val="05C7AE2E"/>
    <w:rsid w:val="05D19A2A"/>
    <w:rsid w:val="05D8F038"/>
    <w:rsid w:val="06DEBFFA"/>
    <w:rsid w:val="06ED803C"/>
    <w:rsid w:val="0756C114"/>
    <w:rsid w:val="07A35C4A"/>
    <w:rsid w:val="07E2B1A9"/>
    <w:rsid w:val="08244CD9"/>
    <w:rsid w:val="0834C937"/>
    <w:rsid w:val="08374174"/>
    <w:rsid w:val="08B2E1E8"/>
    <w:rsid w:val="09337141"/>
    <w:rsid w:val="093F2CAB"/>
    <w:rsid w:val="098D5583"/>
    <w:rsid w:val="09AF0684"/>
    <w:rsid w:val="09B49D14"/>
    <w:rsid w:val="09BA5BEE"/>
    <w:rsid w:val="09CA41A6"/>
    <w:rsid w:val="09DEFFAF"/>
    <w:rsid w:val="0A084F01"/>
    <w:rsid w:val="0A49CB39"/>
    <w:rsid w:val="0A4DDE5E"/>
    <w:rsid w:val="0A71CA07"/>
    <w:rsid w:val="0A8E61D6"/>
    <w:rsid w:val="0AB447AE"/>
    <w:rsid w:val="0AE7882B"/>
    <w:rsid w:val="0B270968"/>
    <w:rsid w:val="0B64F5F7"/>
    <w:rsid w:val="0B722F02"/>
    <w:rsid w:val="0B914117"/>
    <w:rsid w:val="0BA41F62"/>
    <w:rsid w:val="0BD798CC"/>
    <w:rsid w:val="0BEA82AA"/>
    <w:rsid w:val="0C1393A4"/>
    <w:rsid w:val="0C2A3237"/>
    <w:rsid w:val="0D00C658"/>
    <w:rsid w:val="0D02C26F"/>
    <w:rsid w:val="0D142131"/>
    <w:rsid w:val="0DDE6F41"/>
    <w:rsid w:val="0DF859CE"/>
    <w:rsid w:val="0E11465F"/>
    <w:rsid w:val="0E970713"/>
    <w:rsid w:val="0E9C96B9"/>
    <w:rsid w:val="0EBAA2B6"/>
    <w:rsid w:val="0F228FC9"/>
    <w:rsid w:val="0F37F23F"/>
    <w:rsid w:val="0F61D2F9"/>
    <w:rsid w:val="0F6E9074"/>
    <w:rsid w:val="0F913AE1"/>
    <w:rsid w:val="0FDBC52E"/>
    <w:rsid w:val="101672DE"/>
    <w:rsid w:val="1038671A"/>
    <w:rsid w:val="10506152"/>
    <w:rsid w:val="108C6BE6"/>
    <w:rsid w:val="10943470"/>
    <w:rsid w:val="110A60D5"/>
    <w:rsid w:val="114A3E90"/>
    <w:rsid w:val="11512286"/>
    <w:rsid w:val="11A66FB0"/>
    <w:rsid w:val="11F5F7E6"/>
    <w:rsid w:val="12E66036"/>
    <w:rsid w:val="12FF461C"/>
    <w:rsid w:val="13706D17"/>
    <w:rsid w:val="137191E3"/>
    <w:rsid w:val="138D36AE"/>
    <w:rsid w:val="13B53817"/>
    <w:rsid w:val="14388319"/>
    <w:rsid w:val="1488BEEE"/>
    <w:rsid w:val="14BD2E5B"/>
    <w:rsid w:val="150BD83D"/>
    <w:rsid w:val="1538235D"/>
    <w:rsid w:val="15510878"/>
    <w:rsid w:val="15D90203"/>
    <w:rsid w:val="15E35AF5"/>
    <w:rsid w:val="15F28DB4"/>
    <w:rsid w:val="1658FEBC"/>
    <w:rsid w:val="16BB0377"/>
    <w:rsid w:val="16D3F3BE"/>
    <w:rsid w:val="16ECD8D9"/>
    <w:rsid w:val="173AEB43"/>
    <w:rsid w:val="175A707F"/>
    <w:rsid w:val="1874184F"/>
    <w:rsid w:val="18877E35"/>
    <w:rsid w:val="1893073A"/>
    <w:rsid w:val="18B554D2"/>
    <w:rsid w:val="19013519"/>
    <w:rsid w:val="199A304F"/>
    <w:rsid w:val="19B529AC"/>
    <w:rsid w:val="19F0ECC3"/>
    <w:rsid w:val="1A24799B"/>
    <w:rsid w:val="1A521DC6"/>
    <w:rsid w:val="1A9B57B5"/>
    <w:rsid w:val="1B65425A"/>
    <w:rsid w:val="1C046D31"/>
    <w:rsid w:val="1C094117"/>
    <w:rsid w:val="1C73D629"/>
    <w:rsid w:val="1C88DF9A"/>
    <w:rsid w:val="1CBFEA61"/>
    <w:rsid w:val="1CCA2637"/>
    <w:rsid w:val="1D0A4F26"/>
    <w:rsid w:val="1D38535F"/>
    <w:rsid w:val="1D6E641E"/>
    <w:rsid w:val="1DD9C18B"/>
    <w:rsid w:val="1DF0D163"/>
    <w:rsid w:val="1ED3ECB5"/>
    <w:rsid w:val="1EEE67B1"/>
    <w:rsid w:val="1F035C2E"/>
    <w:rsid w:val="1F164ED1"/>
    <w:rsid w:val="1F723701"/>
    <w:rsid w:val="1F761FFE"/>
    <w:rsid w:val="1F974158"/>
    <w:rsid w:val="1FA0AFF2"/>
    <w:rsid w:val="1FA6B6F2"/>
    <w:rsid w:val="1FB50E3F"/>
    <w:rsid w:val="1FD2B4BC"/>
    <w:rsid w:val="20787731"/>
    <w:rsid w:val="20886AB9"/>
    <w:rsid w:val="208FCF86"/>
    <w:rsid w:val="20AC06B0"/>
    <w:rsid w:val="20B430BA"/>
    <w:rsid w:val="20C24EE4"/>
    <w:rsid w:val="21287225"/>
    <w:rsid w:val="2142B180"/>
    <w:rsid w:val="218A2252"/>
    <w:rsid w:val="226B43DC"/>
    <w:rsid w:val="22942F1B"/>
    <w:rsid w:val="229DE43D"/>
    <w:rsid w:val="22C4F5DB"/>
    <w:rsid w:val="23495413"/>
    <w:rsid w:val="23796DB6"/>
    <w:rsid w:val="23E1A372"/>
    <w:rsid w:val="23FD1B92"/>
    <w:rsid w:val="2405D594"/>
    <w:rsid w:val="244C2659"/>
    <w:rsid w:val="24742115"/>
    <w:rsid w:val="253A8319"/>
    <w:rsid w:val="25729DB2"/>
    <w:rsid w:val="25F67135"/>
    <w:rsid w:val="2628E1BD"/>
    <w:rsid w:val="2648736F"/>
    <w:rsid w:val="26921306"/>
    <w:rsid w:val="269E8463"/>
    <w:rsid w:val="26AD61CA"/>
    <w:rsid w:val="26C9BE31"/>
    <w:rsid w:val="2709FFCC"/>
    <w:rsid w:val="270E6E13"/>
    <w:rsid w:val="274BF3BE"/>
    <w:rsid w:val="276805D6"/>
    <w:rsid w:val="2783C71B"/>
    <w:rsid w:val="278C4D61"/>
    <w:rsid w:val="27B1B3B8"/>
    <w:rsid w:val="27B32609"/>
    <w:rsid w:val="28583D62"/>
    <w:rsid w:val="28ACA6D2"/>
    <w:rsid w:val="2903709F"/>
    <w:rsid w:val="290578F7"/>
    <w:rsid w:val="29345530"/>
    <w:rsid w:val="2960827F"/>
    <w:rsid w:val="29940C3C"/>
    <w:rsid w:val="29D6F5F8"/>
    <w:rsid w:val="2A1EA16E"/>
    <w:rsid w:val="2A1EC3ED"/>
    <w:rsid w:val="2A839480"/>
    <w:rsid w:val="2A91311B"/>
    <w:rsid w:val="2AD007C0"/>
    <w:rsid w:val="2AE36299"/>
    <w:rsid w:val="2AED3692"/>
    <w:rsid w:val="2AF4FA7F"/>
    <w:rsid w:val="2AFFA059"/>
    <w:rsid w:val="2B144940"/>
    <w:rsid w:val="2BBA71CF"/>
    <w:rsid w:val="2BD87582"/>
    <w:rsid w:val="2BF84302"/>
    <w:rsid w:val="2C089E29"/>
    <w:rsid w:val="2C1F64E1"/>
    <w:rsid w:val="2C6BD821"/>
    <w:rsid w:val="2CB49917"/>
    <w:rsid w:val="2D41FE93"/>
    <w:rsid w:val="2D4AE8BF"/>
    <w:rsid w:val="2D6C01B5"/>
    <w:rsid w:val="2D939463"/>
    <w:rsid w:val="2DED2750"/>
    <w:rsid w:val="2E19BC6D"/>
    <w:rsid w:val="2E1B035B"/>
    <w:rsid w:val="2E6E4785"/>
    <w:rsid w:val="2E86B47D"/>
    <w:rsid w:val="2EABCC8C"/>
    <w:rsid w:val="2ED4E331"/>
    <w:rsid w:val="2EF23510"/>
    <w:rsid w:val="2FCAD827"/>
    <w:rsid w:val="2FD3117C"/>
    <w:rsid w:val="302284DE"/>
    <w:rsid w:val="3038DA56"/>
    <w:rsid w:val="3055DC78"/>
    <w:rsid w:val="3070A2A9"/>
    <w:rsid w:val="307D6024"/>
    <w:rsid w:val="307EAAF1"/>
    <w:rsid w:val="30874C20"/>
    <w:rsid w:val="309CC4D5"/>
    <w:rsid w:val="30BCCFE7"/>
    <w:rsid w:val="316EE1DD"/>
    <w:rsid w:val="3184797F"/>
    <w:rsid w:val="318FE743"/>
    <w:rsid w:val="319A4BC8"/>
    <w:rsid w:val="321184F1"/>
    <w:rsid w:val="3265995F"/>
    <w:rsid w:val="32670586"/>
    <w:rsid w:val="330AB23E"/>
    <w:rsid w:val="33361C29"/>
    <w:rsid w:val="33DAB2BF"/>
    <w:rsid w:val="33FF27D2"/>
    <w:rsid w:val="340169C0"/>
    <w:rsid w:val="34266FAA"/>
    <w:rsid w:val="347ED78C"/>
    <w:rsid w:val="347FB8C1"/>
    <w:rsid w:val="34AE4F80"/>
    <w:rsid w:val="353E5DDB"/>
    <w:rsid w:val="3550D147"/>
    <w:rsid w:val="359D3A21"/>
    <w:rsid w:val="35B09AFC"/>
    <w:rsid w:val="361AA7ED"/>
    <w:rsid w:val="36425300"/>
    <w:rsid w:val="3656C4A0"/>
    <w:rsid w:val="3689DFA0"/>
    <w:rsid w:val="3700AFD6"/>
    <w:rsid w:val="37390A82"/>
    <w:rsid w:val="3743688D"/>
    <w:rsid w:val="376E711D"/>
    <w:rsid w:val="37ABD715"/>
    <w:rsid w:val="37B75983"/>
    <w:rsid w:val="3828A510"/>
    <w:rsid w:val="390A417E"/>
    <w:rsid w:val="3979F3C2"/>
    <w:rsid w:val="39D8358B"/>
    <w:rsid w:val="39E9F027"/>
    <w:rsid w:val="39EDADF5"/>
    <w:rsid w:val="3A64421E"/>
    <w:rsid w:val="3B85C088"/>
    <w:rsid w:val="3BC012CB"/>
    <w:rsid w:val="3BD420F9"/>
    <w:rsid w:val="3C1917D6"/>
    <w:rsid w:val="3CB7B6BC"/>
    <w:rsid w:val="3D01AABF"/>
    <w:rsid w:val="3D06071E"/>
    <w:rsid w:val="3D0DA69B"/>
    <w:rsid w:val="3D20A1AE"/>
    <w:rsid w:val="3D216390"/>
    <w:rsid w:val="3D2BCFC1"/>
    <w:rsid w:val="3D82F3F3"/>
    <w:rsid w:val="3D8C7BE6"/>
    <w:rsid w:val="3DC564DF"/>
    <w:rsid w:val="3E202A2C"/>
    <w:rsid w:val="3E27453D"/>
    <w:rsid w:val="3E9AC132"/>
    <w:rsid w:val="3F37B341"/>
    <w:rsid w:val="3FACDEBD"/>
    <w:rsid w:val="3FEDD553"/>
    <w:rsid w:val="3FF32C44"/>
    <w:rsid w:val="402DD740"/>
    <w:rsid w:val="403ECBEF"/>
    <w:rsid w:val="40A7921C"/>
    <w:rsid w:val="41134205"/>
    <w:rsid w:val="41F4735C"/>
    <w:rsid w:val="4237AFB9"/>
    <w:rsid w:val="42ADA8C1"/>
    <w:rsid w:val="42F39DD5"/>
    <w:rsid w:val="43110E92"/>
    <w:rsid w:val="431F4EF7"/>
    <w:rsid w:val="4329CA45"/>
    <w:rsid w:val="43AD285B"/>
    <w:rsid w:val="43BD8FCC"/>
    <w:rsid w:val="43C20390"/>
    <w:rsid w:val="43D45D03"/>
    <w:rsid w:val="442F6AE8"/>
    <w:rsid w:val="4443D2BF"/>
    <w:rsid w:val="44C115FB"/>
    <w:rsid w:val="44EDBDB4"/>
    <w:rsid w:val="45015796"/>
    <w:rsid w:val="46418FA7"/>
    <w:rsid w:val="4702C572"/>
    <w:rsid w:val="4742983F"/>
    <w:rsid w:val="47CE8AA4"/>
    <w:rsid w:val="47EDE2D6"/>
    <w:rsid w:val="47F746D9"/>
    <w:rsid w:val="4839DAC8"/>
    <w:rsid w:val="485F411F"/>
    <w:rsid w:val="48C3F890"/>
    <w:rsid w:val="48F2C38F"/>
    <w:rsid w:val="48FAF53E"/>
    <w:rsid w:val="4905CAC9"/>
    <w:rsid w:val="493AA439"/>
    <w:rsid w:val="49B8003A"/>
    <w:rsid w:val="4A3FC941"/>
    <w:rsid w:val="4A4CF34E"/>
    <w:rsid w:val="4AB878D5"/>
    <w:rsid w:val="4AC4232F"/>
    <w:rsid w:val="4B258398"/>
    <w:rsid w:val="4BDC6C3A"/>
    <w:rsid w:val="4C877BE1"/>
    <w:rsid w:val="4D776A03"/>
    <w:rsid w:val="4DA252E4"/>
    <w:rsid w:val="4DADFD88"/>
    <w:rsid w:val="4DB0EEE6"/>
    <w:rsid w:val="4DC774FA"/>
    <w:rsid w:val="4DD368D8"/>
    <w:rsid w:val="4E5DDD3D"/>
    <w:rsid w:val="4EE0F6AD"/>
    <w:rsid w:val="4EE5B172"/>
    <w:rsid w:val="4F133A64"/>
    <w:rsid w:val="4F29D30B"/>
    <w:rsid w:val="4F698D30"/>
    <w:rsid w:val="500B4A0B"/>
    <w:rsid w:val="50170C66"/>
    <w:rsid w:val="506B1BFD"/>
    <w:rsid w:val="50AF0AC5"/>
    <w:rsid w:val="50BC34D2"/>
    <w:rsid w:val="517BBF3E"/>
    <w:rsid w:val="517C0D20"/>
    <w:rsid w:val="5184424E"/>
    <w:rsid w:val="518A0BE2"/>
    <w:rsid w:val="51A93EC6"/>
    <w:rsid w:val="51D20A89"/>
    <w:rsid w:val="5207642B"/>
    <w:rsid w:val="528D6553"/>
    <w:rsid w:val="52A9D588"/>
    <w:rsid w:val="53A1E224"/>
    <w:rsid w:val="53A56BA3"/>
    <w:rsid w:val="53AD9E2D"/>
    <w:rsid w:val="53CAD6D7"/>
    <w:rsid w:val="541F2C8E"/>
    <w:rsid w:val="54425C23"/>
    <w:rsid w:val="544F23DB"/>
    <w:rsid w:val="549195B0"/>
    <w:rsid w:val="5492CCBF"/>
    <w:rsid w:val="54AF2595"/>
    <w:rsid w:val="54B36000"/>
    <w:rsid w:val="5511A597"/>
    <w:rsid w:val="55503488"/>
    <w:rsid w:val="55AD64C9"/>
    <w:rsid w:val="560F7F67"/>
    <w:rsid w:val="561D612E"/>
    <w:rsid w:val="567023C5"/>
    <w:rsid w:val="56AD75F8"/>
    <w:rsid w:val="56DDD3A9"/>
    <w:rsid w:val="5749352A"/>
    <w:rsid w:val="57E6C657"/>
    <w:rsid w:val="58311573"/>
    <w:rsid w:val="58494659"/>
    <w:rsid w:val="586270DC"/>
    <w:rsid w:val="5867ECDA"/>
    <w:rsid w:val="591BD946"/>
    <w:rsid w:val="598017D2"/>
    <w:rsid w:val="599213C4"/>
    <w:rsid w:val="599741B9"/>
    <w:rsid w:val="5A0AD33B"/>
    <w:rsid w:val="5A85C2F2"/>
    <w:rsid w:val="5A88C372"/>
    <w:rsid w:val="5B2DC4CB"/>
    <w:rsid w:val="5B80E235"/>
    <w:rsid w:val="5C2493D3"/>
    <w:rsid w:val="5C813A61"/>
    <w:rsid w:val="5CA58D31"/>
    <w:rsid w:val="5DB43EE6"/>
    <w:rsid w:val="5DB6CDA4"/>
    <w:rsid w:val="5DCEF0F7"/>
    <w:rsid w:val="5DD74B14"/>
    <w:rsid w:val="5E12FEC4"/>
    <w:rsid w:val="5E415D92"/>
    <w:rsid w:val="5E5D6CA3"/>
    <w:rsid w:val="5E837732"/>
    <w:rsid w:val="5F2C9BFC"/>
    <w:rsid w:val="5F34B4B7"/>
    <w:rsid w:val="5F4DEE3C"/>
    <w:rsid w:val="5F731B75"/>
    <w:rsid w:val="5F747806"/>
    <w:rsid w:val="5F819CAE"/>
    <w:rsid w:val="5F88083F"/>
    <w:rsid w:val="5F9A6ECB"/>
    <w:rsid w:val="5FDD2DF3"/>
    <w:rsid w:val="5FFF51A8"/>
    <w:rsid w:val="6007CE0A"/>
    <w:rsid w:val="601BAA1A"/>
    <w:rsid w:val="60BBD161"/>
    <w:rsid w:val="60CD1C15"/>
    <w:rsid w:val="60DB8F20"/>
    <w:rsid w:val="616F27C1"/>
    <w:rsid w:val="61A4B271"/>
    <w:rsid w:val="61B2D66C"/>
    <w:rsid w:val="624E5311"/>
    <w:rsid w:val="625595B3"/>
    <w:rsid w:val="6257A1C2"/>
    <w:rsid w:val="625E6F3A"/>
    <w:rsid w:val="628F920D"/>
    <w:rsid w:val="62C2D5AF"/>
    <w:rsid w:val="62E53D20"/>
    <w:rsid w:val="62E66FE7"/>
    <w:rsid w:val="633FB889"/>
    <w:rsid w:val="6375B04B"/>
    <w:rsid w:val="6411E7C4"/>
    <w:rsid w:val="649B5666"/>
    <w:rsid w:val="64DCF84F"/>
    <w:rsid w:val="654820DC"/>
    <w:rsid w:val="661E10A9"/>
    <w:rsid w:val="66D75453"/>
    <w:rsid w:val="6792B065"/>
    <w:rsid w:val="67B606E6"/>
    <w:rsid w:val="680926F4"/>
    <w:rsid w:val="681329AC"/>
    <w:rsid w:val="68384A80"/>
    <w:rsid w:val="68BA55E5"/>
    <w:rsid w:val="68ECD2E7"/>
    <w:rsid w:val="68EE2E2E"/>
    <w:rsid w:val="69B35830"/>
    <w:rsid w:val="69C1B774"/>
    <w:rsid w:val="69CE3610"/>
    <w:rsid w:val="6A16E736"/>
    <w:rsid w:val="6A2B8AB7"/>
    <w:rsid w:val="6AA1BFC8"/>
    <w:rsid w:val="6BF9A381"/>
    <w:rsid w:val="6C780229"/>
    <w:rsid w:val="6C99465A"/>
    <w:rsid w:val="6D376C81"/>
    <w:rsid w:val="6D4E87F8"/>
    <w:rsid w:val="6DD687FE"/>
    <w:rsid w:val="6E1B4141"/>
    <w:rsid w:val="6E6F65FC"/>
    <w:rsid w:val="6E7BBC77"/>
    <w:rsid w:val="6ECEBDDA"/>
    <w:rsid w:val="6F121531"/>
    <w:rsid w:val="6F604EBB"/>
    <w:rsid w:val="6F72585F"/>
    <w:rsid w:val="701CA707"/>
    <w:rsid w:val="70B8B56D"/>
    <w:rsid w:val="70B8D772"/>
    <w:rsid w:val="70D27176"/>
    <w:rsid w:val="710E28C0"/>
    <w:rsid w:val="712B37FE"/>
    <w:rsid w:val="71709307"/>
    <w:rsid w:val="71B39B17"/>
    <w:rsid w:val="71BFC215"/>
    <w:rsid w:val="727A2D38"/>
    <w:rsid w:val="72A9F921"/>
    <w:rsid w:val="72B2ED5E"/>
    <w:rsid w:val="72CC4C0B"/>
    <w:rsid w:val="73253802"/>
    <w:rsid w:val="732CDAA7"/>
    <w:rsid w:val="73396565"/>
    <w:rsid w:val="735447C9"/>
    <w:rsid w:val="739A86A9"/>
    <w:rsid w:val="73D40719"/>
    <w:rsid w:val="73E16D9B"/>
    <w:rsid w:val="742235CD"/>
    <w:rsid w:val="7482D23D"/>
    <w:rsid w:val="755D2FD5"/>
    <w:rsid w:val="759D61DC"/>
    <w:rsid w:val="75EA8E20"/>
    <w:rsid w:val="75EFD15F"/>
    <w:rsid w:val="76270043"/>
    <w:rsid w:val="76818EDF"/>
    <w:rsid w:val="7727EB5E"/>
    <w:rsid w:val="77865E81"/>
    <w:rsid w:val="77C8892C"/>
    <w:rsid w:val="77DE7D24"/>
    <w:rsid w:val="797A4D85"/>
    <w:rsid w:val="7A63E6BB"/>
    <w:rsid w:val="7AFA7166"/>
    <w:rsid w:val="7BB61EC4"/>
    <w:rsid w:val="7C109EFA"/>
    <w:rsid w:val="7CCE4B1B"/>
    <w:rsid w:val="7D08B710"/>
    <w:rsid w:val="7D28BF09"/>
    <w:rsid w:val="7D2C3423"/>
    <w:rsid w:val="7D33E328"/>
    <w:rsid w:val="7D7E108D"/>
    <w:rsid w:val="7DAC6F5B"/>
    <w:rsid w:val="7DC9072A"/>
    <w:rsid w:val="7DCD4195"/>
    <w:rsid w:val="7DD7592F"/>
    <w:rsid w:val="7DF508BF"/>
    <w:rsid w:val="7E6815B9"/>
    <w:rsid w:val="7E91E041"/>
    <w:rsid w:val="7ED833F7"/>
    <w:rsid w:val="7EE3B120"/>
    <w:rsid w:val="7EF2B049"/>
    <w:rsid w:val="7EF9298A"/>
    <w:rsid w:val="7F409325"/>
    <w:rsid w:val="7F6258A5"/>
    <w:rsid w:val="7F68EF77"/>
    <w:rsid w:val="7F984A64"/>
    <w:rsid w:val="7FE2421E"/>
    <w:rsid w:val="7FFCB8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D410FA"/>
  <w15:chartTrackingRefBased/>
  <w15:docId w15:val="{F009F190-F4D5-446F-BA94-F26BC384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52A9D588"/>
    <w:rPr>
      <w:lang w:val="en-GB"/>
    </w:rPr>
  </w:style>
  <w:style w:type="paragraph" w:styleId="Heading1">
    <w:name w:val="heading 1"/>
    <w:basedOn w:val="Normal"/>
    <w:next w:val="Normal"/>
    <w:link w:val="Heading1Char"/>
    <w:uiPriority w:val="9"/>
    <w:qFormat/>
    <w:rsid w:val="52A9D588"/>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52A9D588"/>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52A9D588"/>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52A9D588"/>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2A9D588"/>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2A9D588"/>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52A9D588"/>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2A9D588"/>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2A9D588"/>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52A9D588"/>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2A9D588"/>
    <w:rPr>
      <w:rFonts w:eastAsiaTheme="minorEastAsia"/>
      <w:color w:val="5A5A5A"/>
    </w:rPr>
  </w:style>
  <w:style w:type="paragraph" w:styleId="Quote">
    <w:name w:val="Quote"/>
    <w:basedOn w:val="Normal"/>
    <w:next w:val="Normal"/>
    <w:link w:val="QuoteChar"/>
    <w:uiPriority w:val="29"/>
    <w:qFormat/>
    <w:rsid w:val="52A9D58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2A9D588"/>
    <w:pPr>
      <w:spacing w:before="360" w:after="360"/>
      <w:ind w:left="864" w:right="864"/>
      <w:jc w:val="center"/>
    </w:pPr>
    <w:rPr>
      <w:i/>
      <w:iCs/>
      <w:color w:val="4472C4" w:themeColor="accent1"/>
    </w:rPr>
  </w:style>
  <w:style w:type="paragraph" w:styleId="ListParagraph">
    <w:name w:val="List Paragraph"/>
    <w:basedOn w:val="Normal"/>
    <w:uiPriority w:val="34"/>
    <w:qFormat/>
    <w:rsid w:val="52A9D588"/>
    <w:pPr>
      <w:ind w:left="720"/>
      <w:contextualSpacing/>
    </w:pPr>
  </w:style>
  <w:style w:type="character" w:customStyle="1" w:styleId="Heading1Char">
    <w:name w:val="Heading 1 Char"/>
    <w:basedOn w:val="DefaultParagraphFont"/>
    <w:link w:val="Heading1"/>
    <w:uiPriority w:val="9"/>
    <w:rsid w:val="52A9D588"/>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52A9D588"/>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52A9D588"/>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52A9D588"/>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52A9D588"/>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52A9D588"/>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52A9D588"/>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52A9D588"/>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2A9D588"/>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2A9D588"/>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2A9D588"/>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52A9D588"/>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52A9D588"/>
    <w:rPr>
      <w:i/>
      <w:iCs/>
      <w:noProof w:val="0"/>
      <w:color w:val="4472C4" w:themeColor="accent1"/>
      <w:lang w:val="en-GB"/>
    </w:rPr>
  </w:style>
  <w:style w:type="paragraph" w:styleId="TOC1">
    <w:name w:val="toc 1"/>
    <w:basedOn w:val="Normal"/>
    <w:next w:val="Normal"/>
    <w:uiPriority w:val="39"/>
    <w:unhideWhenUsed/>
    <w:rsid w:val="52A9D588"/>
    <w:pPr>
      <w:spacing w:after="100"/>
    </w:pPr>
  </w:style>
  <w:style w:type="paragraph" w:styleId="TOC2">
    <w:name w:val="toc 2"/>
    <w:basedOn w:val="Normal"/>
    <w:next w:val="Normal"/>
    <w:uiPriority w:val="39"/>
    <w:unhideWhenUsed/>
    <w:rsid w:val="52A9D588"/>
    <w:pPr>
      <w:spacing w:after="100"/>
      <w:ind w:left="220"/>
    </w:pPr>
  </w:style>
  <w:style w:type="paragraph" w:styleId="TOC3">
    <w:name w:val="toc 3"/>
    <w:basedOn w:val="Normal"/>
    <w:next w:val="Normal"/>
    <w:uiPriority w:val="39"/>
    <w:unhideWhenUsed/>
    <w:rsid w:val="52A9D588"/>
    <w:pPr>
      <w:spacing w:after="100"/>
      <w:ind w:left="440"/>
    </w:pPr>
  </w:style>
  <w:style w:type="paragraph" w:styleId="TOC4">
    <w:name w:val="toc 4"/>
    <w:basedOn w:val="Normal"/>
    <w:next w:val="Normal"/>
    <w:uiPriority w:val="39"/>
    <w:unhideWhenUsed/>
    <w:rsid w:val="52A9D588"/>
    <w:pPr>
      <w:spacing w:after="100"/>
      <w:ind w:left="660"/>
    </w:pPr>
  </w:style>
  <w:style w:type="paragraph" w:styleId="TOC5">
    <w:name w:val="toc 5"/>
    <w:basedOn w:val="Normal"/>
    <w:next w:val="Normal"/>
    <w:uiPriority w:val="39"/>
    <w:unhideWhenUsed/>
    <w:rsid w:val="52A9D588"/>
    <w:pPr>
      <w:spacing w:after="100"/>
      <w:ind w:left="880"/>
    </w:pPr>
  </w:style>
  <w:style w:type="paragraph" w:styleId="TOC6">
    <w:name w:val="toc 6"/>
    <w:basedOn w:val="Normal"/>
    <w:next w:val="Normal"/>
    <w:uiPriority w:val="39"/>
    <w:unhideWhenUsed/>
    <w:rsid w:val="52A9D588"/>
    <w:pPr>
      <w:spacing w:after="100"/>
      <w:ind w:left="1100"/>
    </w:pPr>
  </w:style>
  <w:style w:type="paragraph" w:styleId="TOC7">
    <w:name w:val="toc 7"/>
    <w:basedOn w:val="Normal"/>
    <w:next w:val="Normal"/>
    <w:uiPriority w:val="39"/>
    <w:unhideWhenUsed/>
    <w:rsid w:val="52A9D588"/>
    <w:pPr>
      <w:spacing w:after="100"/>
      <w:ind w:left="1320"/>
    </w:pPr>
  </w:style>
  <w:style w:type="paragraph" w:styleId="TOC8">
    <w:name w:val="toc 8"/>
    <w:basedOn w:val="Normal"/>
    <w:next w:val="Normal"/>
    <w:uiPriority w:val="39"/>
    <w:unhideWhenUsed/>
    <w:rsid w:val="52A9D588"/>
    <w:pPr>
      <w:spacing w:after="100"/>
      <w:ind w:left="1540"/>
    </w:pPr>
  </w:style>
  <w:style w:type="paragraph" w:styleId="TOC9">
    <w:name w:val="toc 9"/>
    <w:basedOn w:val="Normal"/>
    <w:next w:val="Normal"/>
    <w:uiPriority w:val="39"/>
    <w:unhideWhenUsed/>
    <w:rsid w:val="52A9D588"/>
    <w:pPr>
      <w:spacing w:after="100"/>
      <w:ind w:left="1760"/>
    </w:pPr>
  </w:style>
  <w:style w:type="paragraph" w:styleId="EndnoteText">
    <w:name w:val="endnote text"/>
    <w:basedOn w:val="Normal"/>
    <w:link w:val="EndnoteTextChar"/>
    <w:uiPriority w:val="99"/>
    <w:semiHidden/>
    <w:unhideWhenUsed/>
    <w:rsid w:val="52A9D588"/>
    <w:pPr>
      <w:spacing w:after="0"/>
    </w:pPr>
    <w:rPr>
      <w:sz w:val="20"/>
      <w:szCs w:val="20"/>
    </w:rPr>
  </w:style>
  <w:style w:type="character" w:customStyle="1" w:styleId="EndnoteTextChar">
    <w:name w:val="Endnote Text Char"/>
    <w:basedOn w:val="DefaultParagraphFont"/>
    <w:link w:val="EndnoteText"/>
    <w:uiPriority w:val="99"/>
    <w:semiHidden/>
    <w:rsid w:val="52A9D588"/>
    <w:rPr>
      <w:noProof w:val="0"/>
      <w:sz w:val="20"/>
      <w:szCs w:val="20"/>
      <w:lang w:val="en-GB"/>
    </w:rPr>
  </w:style>
  <w:style w:type="paragraph" w:styleId="Footer">
    <w:name w:val="footer"/>
    <w:basedOn w:val="Normal"/>
    <w:link w:val="FooterChar"/>
    <w:uiPriority w:val="99"/>
    <w:unhideWhenUsed/>
    <w:rsid w:val="52A9D588"/>
    <w:pPr>
      <w:tabs>
        <w:tab w:val="center" w:pos="4680"/>
        <w:tab w:val="right" w:pos="9360"/>
      </w:tabs>
      <w:spacing w:after="0"/>
    </w:pPr>
  </w:style>
  <w:style w:type="character" w:customStyle="1" w:styleId="FooterChar">
    <w:name w:val="Footer Char"/>
    <w:basedOn w:val="DefaultParagraphFont"/>
    <w:link w:val="Footer"/>
    <w:uiPriority w:val="99"/>
    <w:rsid w:val="52A9D588"/>
    <w:rPr>
      <w:noProof w:val="0"/>
      <w:lang w:val="en-GB"/>
    </w:rPr>
  </w:style>
  <w:style w:type="paragraph" w:styleId="FootnoteText">
    <w:name w:val="footnote text"/>
    <w:basedOn w:val="Normal"/>
    <w:link w:val="FootnoteTextChar"/>
    <w:uiPriority w:val="99"/>
    <w:semiHidden/>
    <w:unhideWhenUsed/>
    <w:rsid w:val="52A9D588"/>
    <w:pPr>
      <w:spacing w:after="0"/>
    </w:pPr>
    <w:rPr>
      <w:sz w:val="20"/>
      <w:szCs w:val="20"/>
    </w:rPr>
  </w:style>
  <w:style w:type="character" w:customStyle="1" w:styleId="FootnoteTextChar">
    <w:name w:val="Footnote Text Char"/>
    <w:basedOn w:val="DefaultParagraphFont"/>
    <w:link w:val="FootnoteText"/>
    <w:uiPriority w:val="99"/>
    <w:semiHidden/>
    <w:rsid w:val="52A9D588"/>
    <w:rPr>
      <w:noProof w:val="0"/>
      <w:sz w:val="20"/>
      <w:szCs w:val="20"/>
      <w:lang w:val="en-GB"/>
    </w:rPr>
  </w:style>
  <w:style w:type="paragraph" w:styleId="Header">
    <w:name w:val="header"/>
    <w:basedOn w:val="Normal"/>
    <w:link w:val="HeaderChar"/>
    <w:uiPriority w:val="99"/>
    <w:unhideWhenUsed/>
    <w:rsid w:val="52A9D588"/>
    <w:pPr>
      <w:tabs>
        <w:tab w:val="center" w:pos="4680"/>
        <w:tab w:val="right" w:pos="9360"/>
      </w:tabs>
      <w:spacing w:after="0"/>
    </w:pPr>
  </w:style>
  <w:style w:type="character" w:customStyle="1" w:styleId="HeaderChar">
    <w:name w:val="Header Char"/>
    <w:basedOn w:val="DefaultParagraphFont"/>
    <w:link w:val="Header"/>
    <w:uiPriority w:val="99"/>
    <w:rsid w:val="52A9D588"/>
    <w:rPr>
      <w:noProof w:val="0"/>
      <w:lang w:val="en-GB"/>
    </w:rPr>
  </w:style>
  <w:style w:type="character" w:customStyle="1" w:styleId="normaltextrun">
    <w:name w:val="normaltextrun"/>
    <w:basedOn w:val="DefaultParagraphFont"/>
    <w:uiPriority w:val="1"/>
    <w:rsid w:val="52A9D58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er">
    <w:name w:val="Marker"/>
    <w:basedOn w:val="DefaultParagraphFont"/>
    <w:rsid w:val="00F6213C"/>
    <w:rPr>
      <w:color w:val="0000FF"/>
      <w:shd w:val="clear" w:color="auto" w:fill="auto"/>
    </w:rPr>
  </w:style>
  <w:style w:type="paragraph" w:customStyle="1" w:styleId="Pagedecouverture">
    <w:name w:val="Page de couverture"/>
    <w:basedOn w:val="Normal"/>
    <w:next w:val="Normal"/>
    <w:rsid w:val="00F6213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6213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6213C"/>
    <w:rPr>
      <w:rFonts w:ascii="Times New Roman" w:hAnsi="Times New Roman" w:cs="Times New Roman"/>
      <w:sz w:val="24"/>
      <w:lang w:val="en-GB"/>
    </w:rPr>
  </w:style>
  <w:style w:type="paragraph" w:customStyle="1" w:styleId="FooterSensitivity">
    <w:name w:val="Footer Sensitivity"/>
    <w:basedOn w:val="Normal"/>
    <w:link w:val="FooterSensitivityChar"/>
    <w:rsid w:val="00F6213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6213C"/>
    <w:rPr>
      <w:rFonts w:ascii="Times New Roman" w:hAnsi="Times New Roman" w:cs="Times New Roman"/>
      <w:b/>
      <w:sz w:val="32"/>
      <w:lang w:val="en-GB"/>
    </w:rPr>
  </w:style>
  <w:style w:type="paragraph" w:customStyle="1" w:styleId="HeaderCoverPage">
    <w:name w:val="Header Cover Page"/>
    <w:basedOn w:val="Normal"/>
    <w:link w:val="HeaderCoverPageChar"/>
    <w:rsid w:val="00F6213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6213C"/>
    <w:rPr>
      <w:rFonts w:ascii="Times New Roman" w:hAnsi="Times New Roman" w:cs="Times New Roman"/>
      <w:sz w:val="24"/>
      <w:lang w:val="en-GB"/>
    </w:rPr>
  </w:style>
  <w:style w:type="paragraph" w:customStyle="1" w:styleId="HeaderSensitivity">
    <w:name w:val="Header Sensitivity"/>
    <w:basedOn w:val="Normal"/>
    <w:link w:val="HeaderSensitivityChar"/>
    <w:rsid w:val="00F6213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6213C"/>
    <w:rPr>
      <w:rFonts w:ascii="Times New Roman" w:hAnsi="Times New Roman" w:cs="Times New Roman"/>
      <w:b/>
      <w:sz w:val="32"/>
      <w:lang w:val="en-GB"/>
    </w:rPr>
  </w:style>
  <w:style w:type="paragraph" w:customStyle="1" w:styleId="HeaderSensitivityRight">
    <w:name w:val="Header Sensitivity Right"/>
    <w:basedOn w:val="Normal"/>
    <w:link w:val="HeaderSensitivityRightChar"/>
    <w:rsid w:val="00F6213C"/>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6213C"/>
    <w:rPr>
      <w:rFonts w:ascii="Times New Roman" w:hAnsi="Times New Roman"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a7f24e-e0df-4592-b6e0-4a62e251a0e5" xsi:nil="true"/>
    <lcf76f155ced4ddcb4097134ff3c332f xmlns="cce4269c-1bca-4c47-bcbd-0ca0cb14aa6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13" ma:contentTypeDescription="Create a new document." ma:contentTypeScope="" ma:versionID="d35bb5ab2258cf21e3794888219b5ce1">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9a621252dda7057d790d8fd5a94a79ed" ns2:_="" ns3:_="">
    <xsd:import namespace="cce4269c-1bca-4c47-bcbd-0ca0cb14aa6e"/>
    <xsd:import namespace="96a7f24e-e0df-4592-b6e0-4a62e251a0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f2b5cc-d2b8-4379-ade8-6c4e5ec1acf1}" ma:internalName="TaxCatchAll"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C952A-D4F8-453E-B31B-D5976A9ED462}">
  <ds:schemaRefs>
    <ds:schemaRef ds:uri="http://schemas.microsoft.com/office/2006/documentManagement/types"/>
    <ds:schemaRef ds:uri="cce4269c-1bca-4c47-bcbd-0ca0cb14aa6e"/>
    <ds:schemaRef ds:uri="http://purl.org/dc/dcmitype/"/>
    <ds:schemaRef ds:uri="http://purl.org/dc/elements/1.1/"/>
    <ds:schemaRef ds:uri="http://schemas.microsoft.com/office/2006/metadata/properties"/>
    <ds:schemaRef ds:uri="http://purl.org/dc/terms/"/>
    <ds:schemaRef ds:uri="96a7f24e-e0df-4592-b6e0-4a62e251a0e5"/>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B94B23B-1767-4A10-87B1-DCD19D85750E}">
  <ds:schemaRefs>
    <ds:schemaRef ds:uri="http://schemas.microsoft.com/sharepoint/v3/contenttype/forms"/>
  </ds:schemaRefs>
</ds:datastoreItem>
</file>

<file path=customXml/itemProps3.xml><?xml version="1.0" encoding="utf-8"?>
<ds:datastoreItem xmlns:ds="http://schemas.openxmlformats.org/officeDocument/2006/customXml" ds:itemID="{01F7DCCA-4816-413E-AFEC-4FB3FEA05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2175</Words>
  <Characters>12268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dcterms:created xsi:type="dcterms:W3CDTF">2023-03-13T09:44:00Z</dcterms:created>
  <dcterms:modified xsi:type="dcterms:W3CDTF">2023-03-15T23:11:00Z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2022-12-16T18:22:57Z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8d5f9333-9b68-417d-95cf-616d4c5dcad1</vt:lpwstr>
  </property>
  <property fmtid="{D5CDD505-2E9C-101B-9397-08002B2CF9AE}" pid="8" name="MSIP_Label_6bd9ddd1-4d20-43f6-abfa-fc3c07406f94_ContentBits">
    <vt:lpwstr>0</vt:lpwstr>
  </property>
  <property fmtid="{D5CDD505-2E9C-101B-9397-08002B2CF9AE}" pid="9" name="ContentTypeId">
    <vt:lpwstr>0x0101008BA6791DDFFC024DAA4136D92359EB10</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CP-027</vt:lpwstr>
  </property>
  <property fmtid="{D5CDD505-2E9C-101B-9397-08002B2CF9AE}" pid="16" name="Last edited using">
    <vt:lpwstr>LW 8.1, Build 20230124</vt:lpwstr>
  </property>
  <property fmtid="{D5CDD505-2E9C-101B-9397-08002B2CF9AE}" pid="17" name="Created using">
    <vt:lpwstr>LW 8.1, Build 20230124</vt:lpwstr>
  </property>
</Properties>
</file>