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6DF4" w14:textId="0D93C82F" w:rsidR="002B6B94" w:rsidRDefault="00622F85" w:rsidP="00622F85">
      <w:pPr>
        <w:pStyle w:val="Pagedecouverture"/>
        <w:rPr>
          <w:noProof/>
        </w:rPr>
      </w:pPr>
      <w:bookmarkStart w:id="0" w:name="LW_BM_COVERPAGE"/>
      <w:r>
        <w:rPr>
          <w:noProof/>
        </w:rPr>
        <w:pict w14:anchorId="4970B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0E8CFDB-9553-4D75-BF7F-4081B748D004" style="width:455pt;height:448.5pt">
            <v:imagedata r:id="rId8" o:title=""/>
          </v:shape>
        </w:pict>
      </w:r>
    </w:p>
    <w:bookmarkEnd w:id="0"/>
    <w:p w14:paraId="4F06AF49" w14:textId="77777777" w:rsidR="002B6B94" w:rsidRDefault="002B6B94" w:rsidP="00B67A13">
      <w:pPr>
        <w:jc w:val="both"/>
        <w:rPr>
          <w:noProof/>
        </w:rPr>
        <w:sectPr w:rsidR="002B6B94" w:rsidSect="00622F8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A25193C" w14:textId="2E716399" w:rsidR="003F5B9A" w:rsidRPr="00391C91" w:rsidRDefault="005046EA" w:rsidP="00B67A13">
      <w:pPr>
        <w:jc w:val="both"/>
        <w:rPr>
          <w:b/>
          <w:noProof/>
          <w:sz w:val="28"/>
        </w:rPr>
      </w:pPr>
      <w:r w:rsidRPr="00391C91">
        <w:rPr>
          <w:b/>
          <w:noProof/>
          <w:sz w:val="28"/>
        </w:rPr>
        <w:lastRenderedPageBreak/>
        <w:t>Subsidiarity Grid</w:t>
      </w:r>
    </w:p>
    <w:tbl>
      <w:tblPr>
        <w:tblStyle w:val="TableGrid"/>
        <w:tblW w:w="0" w:type="auto"/>
        <w:tblCellMar>
          <w:top w:w="100" w:type="dxa"/>
          <w:bottom w:w="100" w:type="dxa"/>
        </w:tblCellMar>
        <w:tblLook w:val="04A0" w:firstRow="1" w:lastRow="0" w:firstColumn="1" w:lastColumn="0" w:noHBand="0" w:noVBand="1"/>
      </w:tblPr>
      <w:tblGrid>
        <w:gridCol w:w="9288"/>
      </w:tblGrid>
      <w:tr w:rsidR="005046EA" w14:paraId="2E882ED5" w14:textId="77777777" w:rsidTr="005046EA">
        <w:tc>
          <w:tcPr>
            <w:tcW w:w="9288" w:type="dxa"/>
            <w:shd w:val="clear" w:color="auto" w:fill="808080" w:themeFill="background1" w:themeFillShade="80"/>
          </w:tcPr>
          <w:p w14:paraId="090561DE" w14:textId="77777777" w:rsidR="005046EA" w:rsidRPr="005046EA" w:rsidRDefault="005046EA" w:rsidP="00B67A13">
            <w:pPr>
              <w:pStyle w:val="ListParagraph"/>
              <w:numPr>
                <w:ilvl w:val="0"/>
                <w:numId w:val="1"/>
              </w:numPr>
              <w:jc w:val="both"/>
              <w:rPr>
                <w:b/>
                <w:noProof/>
              </w:rPr>
            </w:pPr>
            <w:r w:rsidRPr="005046EA">
              <w:rPr>
                <w:b/>
                <w:noProof/>
                <w:color w:val="FFFFFF" w:themeColor="background1"/>
              </w:rPr>
              <w:t>Can the Union act? What is the legal basis and competence of the Unions’ intended action?</w:t>
            </w:r>
          </w:p>
        </w:tc>
      </w:tr>
      <w:tr w:rsidR="005046EA" w14:paraId="01C42430" w14:textId="77777777" w:rsidTr="005046EA">
        <w:tc>
          <w:tcPr>
            <w:tcW w:w="9288" w:type="dxa"/>
          </w:tcPr>
          <w:p w14:paraId="39796929" w14:textId="77777777" w:rsidR="005046EA" w:rsidRPr="005046EA" w:rsidRDefault="005046EA" w:rsidP="00B67A13">
            <w:pPr>
              <w:jc w:val="both"/>
              <w:rPr>
                <w:b/>
                <w:noProof/>
              </w:rPr>
            </w:pPr>
            <w:r w:rsidRPr="005046EA">
              <w:rPr>
                <w:b/>
                <w:noProof/>
              </w:rPr>
              <w:t>1.1 Which article(s) of the Treaty are used to support the legislative proposal or policy initiative?</w:t>
            </w:r>
          </w:p>
        </w:tc>
      </w:tr>
      <w:tr w:rsidR="005046EA" w14:paraId="7220E2D4" w14:textId="77777777" w:rsidTr="005046EA">
        <w:tc>
          <w:tcPr>
            <w:tcW w:w="9288" w:type="dxa"/>
          </w:tcPr>
          <w:p w14:paraId="06DEBBB2" w14:textId="77777777" w:rsidR="00A44408" w:rsidRPr="002C2937" w:rsidRDefault="00A44408" w:rsidP="00B67A13">
            <w:pPr>
              <w:spacing w:after="120"/>
              <w:jc w:val="both"/>
              <w:rPr>
                <w:noProof/>
                <w:color w:val="4F81BD" w:themeColor="accent1"/>
              </w:rPr>
            </w:pPr>
            <w:r w:rsidRPr="002C2937">
              <w:rPr>
                <w:noProof/>
                <w:color w:val="4F81BD" w:themeColor="accent1"/>
              </w:rPr>
              <w:t xml:space="preserve">Article 153 </w:t>
            </w:r>
            <w:r>
              <w:rPr>
                <w:noProof/>
                <w:color w:val="4F81BD" w:themeColor="accent1"/>
              </w:rPr>
              <w:t>of the Treaty on the Functioning of the European Union (</w:t>
            </w:r>
            <w:r w:rsidRPr="002C2937">
              <w:rPr>
                <w:noProof/>
                <w:color w:val="4F81BD" w:themeColor="accent1"/>
              </w:rPr>
              <w:t>TFEU</w:t>
            </w:r>
            <w:r>
              <w:rPr>
                <w:noProof/>
                <w:color w:val="4F81BD" w:themeColor="accent1"/>
              </w:rPr>
              <w:t>)</w:t>
            </w:r>
            <w:r w:rsidRPr="002C2937">
              <w:rPr>
                <w:noProof/>
                <w:color w:val="4F81BD" w:themeColor="accent1"/>
              </w:rPr>
              <w:t xml:space="preserve">, which empowers the </w:t>
            </w:r>
            <w:r>
              <w:rPr>
                <w:noProof/>
                <w:color w:val="4F81BD" w:themeColor="accent1"/>
              </w:rPr>
              <w:t>European Union</w:t>
            </w:r>
            <w:r w:rsidRPr="002C2937">
              <w:rPr>
                <w:noProof/>
                <w:color w:val="4F81BD" w:themeColor="accent1"/>
              </w:rPr>
              <w:t xml:space="preserve"> to support and complement the activities of the Member States as regards improvements, in particular of the working environment to protect workers' health and safety and to adopt, by means of directives, minimum requirements for gradual implementation, having regard to the conditions and technical rules obtaining in each of the Member States.</w:t>
            </w:r>
          </w:p>
          <w:p w14:paraId="5CACF431" w14:textId="664B17BA" w:rsidR="007D4819" w:rsidRPr="007D4819" w:rsidRDefault="00A44408" w:rsidP="00B67A13">
            <w:pPr>
              <w:spacing w:after="120"/>
              <w:jc w:val="both"/>
              <w:rPr>
                <w:noProof/>
                <w:color w:val="4F81BD" w:themeColor="accent1"/>
              </w:rPr>
            </w:pPr>
            <w:r w:rsidRPr="002C2937">
              <w:rPr>
                <w:noProof/>
                <w:color w:val="4F81BD" w:themeColor="accent1"/>
              </w:rPr>
              <w:t xml:space="preserve">Article 154 </w:t>
            </w:r>
            <w:r>
              <w:rPr>
                <w:noProof/>
                <w:color w:val="4F81BD" w:themeColor="accent1"/>
              </w:rPr>
              <w:t xml:space="preserve">of the </w:t>
            </w:r>
            <w:r w:rsidRPr="002C2937">
              <w:rPr>
                <w:noProof/>
                <w:color w:val="4F81BD" w:themeColor="accent1"/>
              </w:rPr>
              <w:t>TFEU, which requests the Commission to initiate a two-stage consultation of the social partners at the EU level prior to submitting proposals in the social policy field.</w:t>
            </w:r>
          </w:p>
        </w:tc>
      </w:tr>
      <w:tr w:rsidR="005046EA" w14:paraId="1C8DA3C5" w14:textId="77777777" w:rsidTr="005046EA">
        <w:tc>
          <w:tcPr>
            <w:tcW w:w="9288" w:type="dxa"/>
          </w:tcPr>
          <w:p w14:paraId="72AAC67D" w14:textId="661403C1" w:rsidR="005046EA" w:rsidRPr="005046EA" w:rsidRDefault="005046EA" w:rsidP="00B67A13">
            <w:pPr>
              <w:jc w:val="both"/>
              <w:rPr>
                <w:b/>
                <w:noProof/>
              </w:rPr>
            </w:pPr>
            <w:r>
              <w:rPr>
                <w:b/>
                <w:noProof/>
              </w:rPr>
              <w:t>1.2 Is</w:t>
            </w:r>
            <w:r w:rsidR="007E3532">
              <w:rPr>
                <w:b/>
                <w:noProof/>
              </w:rPr>
              <w:t xml:space="preserve"> the Union</w:t>
            </w:r>
            <w:r>
              <w:rPr>
                <w:b/>
                <w:noProof/>
              </w:rPr>
              <w:t xml:space="preserve"> competence represented by this Treaty article exclusive, shared or supporting in nature?</w:t>
            </w:r>
          </w:p>
        </w:tc>
      </w:tr>
      <w:tr w:rsidR="005046EA" w14:paraId="5AF93E8A" w14:textId="77777777" w:rsidTr="005046EA">
        <w:tc>
          <w:tcPr>
            <w:tcW w:w="9288" w:type="dxa"/>
          </w:tcPr>
          <w:p w14:paraId="00D087E0" w14:textId="6D3B9E8D" w:rsidR="007D4819" w:rsidRPr="00412D59" w:rsidRDefault="00A44408" w:rsidP="00B67A13">
            <w:pPr>
              <w:jc w:val="both"/>
              <w:rPr>
                <w:noProof/>
                <w:color w:val="4F81BD" w:themeColor="accent1"/>
              </w:rPr>
            </w:pPr>
            <w:r w:rsidRPr="002C2937">
              <w:rPr>
                <w:noProof/>
                <w:color w:val="4F81BD" w:themeColor="accent1"/>
              </w:rPr>
              <w:t>In the case of social policy, the Union’s competence is shared. Article 153(1)(a) of the TFEU states that the Union shall support and complement the activities of the Member States in the field of “</w:t>
            </w:r>
            <w:r w:rsidRPr="00152E1C">
              <w:rPr>
                <w:i/>
                <w:noProof/>
                <w:color w:val="4F81BD" w:themeColor="accent1"/>
              </w:rPr>
              <w:t>improvement in particular of the working environment to protect workers’ health and safety</w:t>
            </w:r>
            <w:r w:rsidRPr="002C2937">
              <w:rPr>
                <w:noProof/>
                <w:color w:val="4F81BD" w:themeColor="accent1"/>
              </w:rPr>
              <w:t>”.</w:t>
            </w:r>
          </w:p>
        </w:tc>
      </w:tr>
      <w:tr w:rsidR="005046EA" w14:paraId="27A4AFC3" w14:textId="77777777" w:rsidTr="005046EA">
        <w:tc>
          <w:tcPr>
            <w:tcW w:w="9288" w:type="dxa"/>
          </w:tcPr>
          <w:p w14:paraId="26E12DBF" w14:textId="5016B544" w:rsidR="005046EA" w:rsidRPr="005046EA" w:rsidRDefault="005046EA" w:rsidP="00B67A13">
            <w:pPr>
              <w:jc w:val="both"/>
              <w:rPr>
                <w:i/>
                <w:noProof/>
              </w:rPr>
            </w:pPr>
            <w:r w:rsidRPr="005046EA">
              <w:rPr>
                <w:i/>
                <w:noProof/>
              </w:rPr>
              <w:t xml:space="preserve">Subsidiarity does not apply for policy areas where the Union has </w:t>
            </w:r>
            <w:r w:rsidRPr="005046EA">
              <w:rPr>
                <w:b/>
                <w:i/>
                <w:noProof/>
              </w:rPr>
              <w:t>exclusive</w:t>
            </w:r>
            <w:r w:rsidRPr="005046EA">
              <w:rPr>
                <w:i/>
                <w:noProof/>
              </w:rPr>
              <w:t xml:space="preserve"> competence as defined in Article 3 TFEU</w:t>
            </w:r>
            <w:r w:rsidR="0054546C">
              <w:rPr>
                <w:rStyle w:val="FootnoteReference"/>
                <w:i/>
                <w:noProof/>
              </w:rPr>
              <w:footnoteReference w:id="1"/>
            </w:r>
            <w:r w:rsidRPr="005046EA">
              <w:rPr>
                <w:i/>
                <w:noProof/>
              </w:rPr>
              <w:t>. It is the specific legal basis which determines whether the proposal falls under the subsidiarity control mechanism. Article 4 TFEU</w:t>
            </w:r>
            <w:r w:rsidR="0054546C">
              <w:rPr>
                <w:rStyle w:val="FootnoteReference"/>
                <w:i/>
                <w:noProof/>
              </w:rPr>
              <w:footnoteReference w:id="2"/>
            </w:r>
            <w:r w:rsidRPr="005046EA">
              <w:rPr>
                <w:i/>
                <w:noProof/>
              </w:rPr>
              <w:t xml:space="preserve"> sets out the areas where competence is shared between the Union and th</w:t>
            </w:r>
            <w:r>
              <w:rPr>
                <w:i/>
                <w:noProof/>
              </w:rPr>
              <w:t>e Member States. A</w:t>
            </w:r>
            <w:r w:rsidRPr="005046EA">
              <w:rPr>
                <w:i/>
                <w:noProof/>
              </w:rPr>
              <w:t>rticle 6 TFEU</w:t>
            </w:r>
            <w:r w:rsidR="0054546C">
              <w:rPr>
                <w:rStyle w:val="FootnoteReference"/>
                <w:i/>
                <w:noProof/>
              </w:rPr>
              <w:footnoteReference w:id="3"/>
            </w:r>
            <w:r w:rsidRPr="005046EA">
              <w:rPr>
                <w:i/>
                <w:noProof/>
              </w:rPr>
              <w:t xml:space="preserve"> sets out the areas for which the Unions has competence only to support the actions of the Member States.</w:t>
            </w:r>
          </w:p>
        </w:tc>
      </w:tr>
      <w:tr w:rsidR="005046EA" w14:paraId="7A3228B4" w14:textId="77777777" w:rsidTr="0054546C">
        <w:tc>
          <w:tcPr>
            <w:tcW w:w="9288" w:type="dxa"/>
            <w:shd w:val="clear" w:color="auto" w:fill="808080" w:themeFill="background1" w:themeFillShade="80"/>
          </w:tcPr>
          <w:p w14:paraId="73F7883B" w14:textId="77777777" w:rsidR="005046EA" w:rsidRPr="0054546C" w:rsidRDefault="0054546C" w:rsidP="00B67A13">
            <w:pPr>
              <w:pStyle w:val="ListParagraph"/>
              <w:numPr>
                <w:ilvl w:val="0"/>
                <w:numId w:val="1"/>
              </w:numPr>
              <w:jc w:val="both"/>
              <w:rPr>
                <w:b/>
                <w:noProof/>
                <w:color w:val="FFFFFF" w:themeColor="background1"/>
              </w:rPr>
            </w:pPr>
            <w:r w:rsidRPr="0054546C">
              <w:rPr>
                <w:b/>
                <w:noProof/>
                <w:color w:val="FFFFFF" w:themeColor="background1"/>
              </w:rPr>
              <w:t>Subsidiarity Principle: Why should the EU act?</w:t>
            </w:r>
          </w:p>
        </w:tc>
      </w:tr>
      <w:tr w:rsidR="005046EA" w14:paraId="2E2902D3" w14:textId="77777777" w:rsidTr="005046EA">
        <w:tc>
          <w:tcPr>
            <w:tcW w:w="9288" w:type="dxa"/>
          </w:tcPr>
          <w:p w14:paraId="71508988" w14:textId="77777777" w:rsidR="005046EA" w:rsidRPr="0054546C" w:rsidRDefault="0054546C" w:rsidP="00B67A13">
            <w:pPr>
              <w:pStyle w:val="ListParagraph"/>
              <w:numPr>
                <w:ilvl w:val="1"/>
                <w:numId w:val="1"/>
              </w:numPr>
              <w:jc w:val="both"/>
              <w:rPr>
                <w:b/>
                <w:noProof/>
              </w:rPr>
            </w:pPr>
            <w:r w:rsidRPr="0054546C">
              <w:rPr>
                <w:b/>
                <w:noProof/>
              </w:rPr>
              <w:t>Does the proposal fulfil the procedural requirements of Protocol No. 2</w:t>
            </w:r>
            <w:r w:rsidR="00B55E58">
              <w:rPr>
                <w:rStyle w:val="FootnoteReference"/>
                <w:b/>
                <w:noProof/>
              </w:rPr>
              <w:footnoteReference w:id="4"/>
            </w:r>
            <w:r w:rsidRPr="0054546C">
              <w:rPr>
                <w:b/>
                <w:noProof/>
              </w:rPr>
              <w:t>:</w:t>
            </w:r>
          </w:p>
          <w:p w14:paraId="39B92842" w14:textId="77777777" w:rsidR="0054546C" w:rsidRDefault="0054546C" w:rsidP="00B67A13">
            <w:pPr>
              <w:pStyle w:val="ListParagraph"/>
              <w:numPr>
                <w:ilvl w:val="0"/>
                <w:numId w:val="2"/>
              </w:numPr>
              <w:jc w:val="both"/>
              <w:rPr>
                <w:noProof/>
              </w:rPr>
            </w:pPr>
            <w:r>
              <w:rPr>
                <w:noProof/>
              </w:rPr>
              <w:t>Has there been a wide consultation before proposing the act?</w:t>
            </w:r>
          </w:p>
          <w:p w14:paraId="0F4A3D94" w14:textId="77777777" w:rsidR="0054546C" w:rsidRPr="0054546C" w:rsidRDefault="0054546C" w:rsidP="00B67A13">
            <w:pPr>
              <w:pStyle w:val="ListParagraph"/>
              <w:numPr>
                <w:ilvl w:val="0"/>
                <w:numId w:val="2"/>
              </w:numPr>
              <w:jc w:val="both"/>
              <w:rPr>
                <w:noProof/>
              </w:rPr>
            </w:pPr>
            <w:r>
              <w:rPr>
                <w:noProof/>
              </w:rPr>
              <w:t>Is there a detailed statement with qualitative and, where possible, quantitative indicators allowing an appraisal of whether the action can best be achieved at Union level?</w:t>
            </w:r>
          </w:p>
        </w:tc>
      </w:tr>
      <w:tr w:rsidR="0054546C" w14:paraId="79871386" w14:textId="77777777" w:rsidTr="005046EA">
        <w:tc>
          <w:tcPr>
            <w:tcW w:w="9288" w:type="dxa"/>
          </w:tcPr>
          <w:p w14:paraId="5A96B9C7" w14:textId="0FCE64D1" w:rsidR="00A44408" w:rsidRPr="001F4B6A" w:rsidRDefault="00A44408" w:rsidP="00B67A13">
            <w:pPr>
              <w:spacing w:after="120"/>
              <w:jc w:val="both"/>
              <w:rPr>
                <w:noProof/>
                <w:color w:val="4F81BD" w:themeColor="accent1"/>
              </w:rPr>
            </w:pPr>
            <w:r w:rsidRPr="001F4B6A">
              <w:rPr>
                <w:noProof/>
                <w:color w:val="4F81BD" w:themeColor="accent1"/>
              </w:rPr>
              <w:t xml:space="preserve">As requested by the TFEU Article 154, a formal two-stage consultation of the social partners at EU level is required prior to submitting proposals in the social policy field. Such a two-stage consultation </w:t>
            </w:r>
            <w:r w:rsidR="00FF7658">
              <w:rPr>
                <w:noProof/>
                <w:color w:val="4F81BD" w:themeColor="accent1"/>
              </w:rPr>
              <w:t>was</w:t>
            </w:r>
            <w:r w:rsidRPr="001F4B6A">
              <w:rPr>
                <w:noProof/>
                <w:color w:val="4F81BD" w:themeColor="accent1"/>
              </w:rPr>
              <w:t xml:space="preserve"> performed in 2021. The Commission has also consulted the tripartite Advisory Committee on Safety and Health (ACSH) and its Working Party on Chemicals (WPC), both composed of representatives from Member States, representing national governments, workers’ and employers’ organisations. The ACSH has adopted an opinion on 24 November 2021. In addition to that, a call f</w:t>
            </w:r>
            <w:r w:rsidR="00412D59">
              <w:rPr>
                <w:noProof/>
                <w:color w:val="4F81BD" w:themeColor="accent1"/>
              </w:rPr>
              <w:t>or</w:t>
            </w:r>
            <w:r w:rsidRPr="001F4B6A">
              <w:rPr>
                <w:noProof/>
                <w:color w:val="4F81BD" w:themeColor="accent1"/>
              </w:rPr>
              <w:t xml:space="preserve"> evidence was published </w:t>
            </w:r>
            <w:r w:rsidR="00412D59">
              <w:rPr>
                <w:noProof/>
                <w:color w:val="4F81BD" w:themeColor="accent1"/>
              </w:rPr>
              <w:t>o</w:t>
            </w:r>
            <w:r w:rsidRPr="001F4B6A">
              <w:rPr>
                <w:noProof/>
                <w:color w:val="4F81BD" w:themeColor="accent1"/>
              </w:rPr>
              <w:t xml:space="preserve">n the Europa website </w:t>
            </w:r>
            <w:r w:rsidR="004B3C25">
              <w:rPr>
                <w:noProof/>
                <w:color w:val="4F81BD" w:themeColor="accent1"/>
              </w:rPr>
              <w:t>for</w:t>
            </w:r>
            <w:r w:rsidR="004B3C25" w:rsidRPr="001F4B6A">
              <w:rPr>
                <w:noProof/>
                <w:color w:val="4F81BD" w:themeColor="accent1"/>
              </w:rPr>
              <w:t xml:space="preserve"> </w:t>
            </w:r>
            <w:r w:rsidRPr="001F4B6A">
              <w:rPr>
                <w:noProof/>
                <w:color w:val="4F81BD" w:themeColor="accent1"/>
              </w:rPr>
              <w:t xml:space="preserve">feedback in February 2022. </w:t>
            </w:r>
          </w:p>
          <w:p w14:paraId="5F91DAE3" w14:textId="74FD3D16" w:rsidR="0054546C" w:rsidRPr="0054546C" w:rsidRDefault="001F4B6A" w:rsidP="00B67A13">
            <w:pPr>
              <w:spacing w:after="120"/>
              <w:jc w:val="both"/>
              <w:rPr>
                <w:noProof/>
              </w:rPr>
            </w:pPr>
            <w:r w:rsidRPr="001F4B6A">
              <w:rPr>
                <w:noProof/>
                <w:color w:val="4F81BD" w:themeColor="accent1"/>
              </w:rPr>
              <w:t>T</w:t>
            </w:r>
            <w:r w:rsidR="00A44408" w:rsidRPr="001F4B6A">
              <w:rPr>
                <w:noProof/>
                <w:color w:val="4F81BD" w:themeColor="accent1"/>
              </w:rPr>
              <w:t xml:space="preserve">he explanatory memorandum and the impact assessment contain a section on the principle of subsidiarity. More information is available </w:t>
            </w:r>
            <w:r w:rsidR="00084CBE">
              <w:rPr>
                <w:noProof/>
                <w:color w:val="4F81BD" w:themeColor="accent1"/>
              </w:rPr>
              <w:t>in</w:t>
            </w:r>
            <w:r w:rsidR="00A44408" w:rsidRPr="001F4B6A">
              <w:rPr>
                <w:noProof/>
                <w:color w:val="4F81BD" w:themeColor="accent1"/>
              </w:rPr>
              <w:t xml:space="preserve"> question 2.2 below.</w:t>
            </w:r>
          </w:p>
        </w:tc>
      </w:tr>
      <w:tr w:rsidR="0054546C" w14:paraId="2DEFB97E" w14:textId="77777777" w:rsidTr="005046EA">
        <w:tc>
          <w:tcPr>
            <w:tcW w:w="9288" w:type="dxa"/>
          </w:tcPr>
          <w:p w14:paraId="4E04EC72" w14:textId="77777777" w:rsidR="0054546C" w:rsidRPr="0054546C" w:rsidRDefault="0054546C" w:rsidP="00B67A13">
            <w:pPr>
              <w:pStyle w:val="ListParagraph"/>
              <w:numPr>
                <w:ilvl w:val="1"/>
                <w:numId w:val="1"/>
              </w:numPr>
              <w:jc w:val="both"/>
              <w:rPr>
                <w:b/>
                <w:noProof/>
              </w:rPr>
            </w:pPr>
            <w:r>
              <w:rPr>
                <w:b/>
                <w:noProof/>
              </w:rPr>
              <w:t>Does the explanatory memorandum (and any impact assessment) accompanying the Commission’s proposal contain an adequate justification regarding the conformity with the principle of subsidiarity?</w:t>
            </w:r>
          </w:p>
        </w:tc>
      </w:tr>
      <w:tr w:rsidR="0054546C" w14:paraId="3B329723" w14:textId="77777777" w:rsidTr="005046EA">
        <w:tc>
          <w:tcPr>
            <w:tcW w:w="9288" w:type="dxa"/>
          </w:tcPr>
          <w:p w14:paraId="774245BC" w14:textId="77777777" w:rsidR="00C91F2B" w:rsidRDefault="00C91F2B" w:rsidP="00B67A13">
            <w:pPr>
              <w:spacing w:after="120"/>
              <w:jc w:val="both"/>
              <w:rPr>
                <w:noProof/>
                <w:color w:val="4F81BD" w:themeColor="accent1"/>
              </w:rPr>
            </w:pPr>
            <w:r>
              <w:rPr>
                <w:noProof/>
                <w:color w:val="4F81BD" w:themeColor="accent1"/>
              </w:rPr>
              <w:t>Both the explanatory memorandum and the impact assessment accompanying the Commission’s proposal contain an adequate justification regarding the conformity with the principle of subsidiarity.</w:t>
            </w:r>
          </w:p>
          <w:p w14:paraId="21458149" w14:textId="618A571B" w:rsidR="00C91F2B" w:rsidRDefault="00C91F2B" w:rsidP="00B67A13">
            <w:pPr>
              <w:spacing w:after="120"/>
              <w:jc w:val="both"/>
              <w:rPr>
                <w:noProof/>
                <w:color w:val="4F81BD" w:themeColor="accent1"/>
              </w:rPr>
            </w:pPr>
            <w:r w:rsidRPr="005A5351">
              <w:rPr>
                <w:noProof/>
                <w:color w:val="4F81BD" w:themeColor="accent1"/>
              </w:rPr>
              <w:t>As risks to workers’ health and safety a</w:t>
            </w:r>
            <w:r>
              <w:rPr>
                <w:noProof/>
                <w:color w:val="4F81BD" w:themeColor="accent1"/>
              </w:rPr>
              <w:t>re broadly similar across the European Union</w:t>
            </w:r>
            <w:r w:rsidRPr="005A5351">
              <w:rPr>
                <w:noProof/>
                <w:color w:val="4F81BD" w:themeColor="accent1"/>
              </w:rPr>
              <w:t xml:space="preserve">, there is a clear role for the EU in supporting Member States to address such risks. </w:t>
            </w:r>
          </w:p>
          <w:p w14:paraId="6A91B184" w14:textId="77777777" w:rsidR="00564EEA" w:rsidRDefault="007D4819" w:rsidP="00564EEA">
            <w:pPr>
              <w:spacing w:after="120"/>
              <w:jc w:val="both"/>
              <w:rPr>
                <w:noProof/>
                <w:color w:val="4F81BD" w:themeColor="accent1"/>
              </w:rPr>
            </w:pPr>
            <w:r w:rsidRPr="007D4819">
              <w:rPr>
                <w:noProof/>
                <w:color w:val="4F81BD" w:themeColor="accent1"/>
              </w:rPr>
              <w:t>Data gathered in the preparatory work indicate that there are differences in the Member States regarding the setting of limit values</w:t>
            </w:r>
            <w:r w:rsidR="00084CBE">
              <w:rPr>
                <w:noProof/>
                <w:color w:val="4F81BD" w:themeColor="accent1"/>
              </w:rPr>
              <w:t xml:space="preserve"> both</w:t>
            </w:r>
            <w:r w:rsidRPr="007D4819">
              <w:rPr>
                <w:noProof/>
                <w:color w:val="4F81BD" w:themeColor="accent1"/>
              </w:rPr>
              <w:t xml:space="preserve"> for </w:t>
            </w:r>
            <w:r w:rsidR="00084CBE">
              <w:rPr>
                <w:noProof/>
                <w:color w:val="4F81BD" w:themeColor="accent1"/>
              </w:rPr>
              <w:t>lead and for diisocyanates</w:t>
            </w:r>
            <w:r w:rsidRPr="007D4819">
              <w:rPr>
                <w:noProof/>
                <w:color w:val="4F81BD" w:themeColor="accent1"/>
              </w:rPr>
              <w:t>, subjecting workers in the EU to different levels of protection.</w:t>
            </w:r>
            <w:r w:rsidR="00564EEA">
              <w:rPr>
                <w:noProof/>
                <w:color w:val="4F81BD" w:themeColor="accent1"/>
              </w:rPr>
              <w:t xml:space="preserve"> </w:t>
            </w:r>
          </w:p>
          <w:p w14:paraId="35F3EBDB" w14:textId="3975DBB7" w:rsidR="00BD5B24" w:rsidRDefault="000E2B1D" w:rsidP="00564EEA">
            <w:pPr>
              <w:spacing w:after="120"/>
              <w:jc w:val="both"/>
              <w:rPr>
                <w:noProof/>
                <w:color w:val="4F81BD" w:themeColor="accent1"/>
              </w:rPr>
            </w:pPr>
            <w:r w:rsidRPr="000E2B1D">
              <w:rPr>
                <w:noProof/>
                <w:color w:val="4F81BD" w:themeColor="accent1"/>
              </w:rPr>
              <w:t xml:space="preserve">Significant divergences between national limit values </w:t>
            </w:r>
            <w:r w:rsidR="00BD5B24" w:rsidRPr="0000057F">
              <w:rPr>
                <w:noProof/>
                <w:color w:val="4F81BD" w:themeColor="accent1"/>
              </w:rPr>
              <w:t xml:space="preserve">distort competition in the internal market. The costs of complying with lower national levels are generally higher and entail, therefore, a competitive advantage for enterprises operating in markets with no or less stringent national </w:t>
            </w:r>
            <w:r w:rsidR="00CA48CF">
              <w:rPr>
                <w:noProof/>
                <w:color w:val="4F81BD" w:themeColor="accent1"/>
              </w:rPr>
              <w:t>limit values</w:t>
            </w:r>
            <w:r w:rsidR="00BD5B24" w:rsidRPr="0000057F">
              <w:rPr>
                <w:noProof/>
                <w:color w:val="4F81BD" w:themeColor="accent1"/>
              </w:rPr>
              <w:t xml:space="preserve">. </w:t>
            </w:r>
          </w:p>
          <w:p w14:paraId="65B6837F" w14:textId="76EB2FCD" w:rsidR="00564EEA" w:rsidRPr="00564EEA" w:rsidRDefault="00BD5B24" w:rsidP="00564EEA">
            <w:pPr>
              <w:spacing w:after="120"/>
              <w:jc w:val="both"/>
              <w:rPr>
                <w:noProof/>
                <w:color w:val="4F81BD" w:themeColor="accent1"/>
              </w:rPr>
            </w:pPr>
            <w:r w:rsidRPr="0000057F">
              <w:rPr>
                <w:noProof/>
                <w:color w:val="4F81BD" w:themeColor="accent1"/>
              </w:rPr>
              <w:t>For lead, companies based in Bulgaria, Czechia, Denmark, Latvia and Poland need to comply with an O</w:t>
            </w:r>
            <w:r w:rsidR="002D0FF3">
              <w:rPr>
                <w:noProof/>
                <w:color w:val="4F81BD" w:themeColor="accent1"/>
              </w:rPr>
              <w:t xml:space="preserve">ccupational Exposure Limit (OEL) </w:t>
            </w:r>
            <w:r w:rsidRPr="0000057F">
              <w:rPr>
                <w:noProof/>
                <w:color w:val="4F81BD" w:themeColor="accent1"/>
              </w:rPr>
              <w:t>EL 3 times lower than the maximum OEL set at EU level (0.050 g/m</w:t>
            </w:r>
            <w:r w:rsidRPr="005E2C9F">
              <w:rPr>
                <w:noProof/>
                <w:color w:val="4F81BD" w:themeColor="accent1"/>
                <w:vertAlign w:val="superscript"/>
              </w:rPr>
              <w:t>3</w:t>
            </w:r>
            <w:r w:rsidRPr="0000057F">
              <w:rPr>
                <w:noProof/>
                <w:color w:val="4F81BD" w:themeColor="accent1"/>
              </w:rPr>
              <w:t xml:space="preserve"> vs 0.150 g/m</w:t>
            </w:r>
            <w:r w:rsidRPr="005E2C9F">
              <w:rPr>
                <w:noProof/>
                <w:color w:val="4F81BD" w:themeColor="accent1"/>
                <w:vertAlign w:val="superscript"/>
              </w:rPr>
              <w:t>3</w:t>
            </w:r>
            <w:r w:rsidRPr="0000057F">
              <w:rPr>
                <w:noProof/>
                <w:color w:val="4F81BD" w:themeColor="accent1"/>
              </w:rPr>
              <w:t>)</w:t>
            </w:r>
            <w:r>
              <w:rPr>
                <w:noProof/>
                <w:color w:val="4F81BD" w:themeColor="accent1"/>
              </w:rPr>
              <w:t xml:space="preserve">. </w:t>
            </w:r>
            <w:r w:rsidR="00564EEA" w:rsidRPr="00564EEA">
              <w:rPr>
                <w:noProof/>
                <w:color w:val="4F81BD" w:themeColor="accent1"/>
              </w:rPr>
              <w:t xml:space="preserve">15 Member States have a </w:t>
            </w:r>
            <w:r>
              <w:rPr>
                <w:noProof/>
                <w:color w:val="4F81BD" w:themeColor="accent1"/>
              </w:rPr>
              <w:t>Biological Limit Value (</w:t>
            </w:r>
            <w:r w:rsidR="00564EEA" w:rsidRPr="00564EEA">
              <w:rPr>
                <w:noProof/>
                <w:color w:val="4F81BD" w:themeColor="accent1"/>
              </w:rPr>
              <w:t>BLV</w:t>
            </w:r>
            <w:r>
              <w:rPr>
                <w:noProof/>
                <w:color w:val="4F81BD" w:themeColor="accent1"/>
              </w:rPr>
              <w:t>)</w:t>
            </w:r>
            <w:r w:rsidR="00564EEA" w:rsidRPr="00564EEA">
              <w:rPr>
                <w:noProof/>
                <w:color w:val="4F81BD" w:themeColor="accent1"/>
              </w:rPr>
              <w:t xml:space="preserve"> lower than the current EU BLV. Some Member States have a lower limit for women, this is age dependent or stated as women of childbearing age and typically range</w:t>
            </w:r>
            <w:r w:rsidR="00FA3FF5">
              <w:rPr>
                <w:noProof/>
                <w:color w:val="4F81BD" w:themeColor="accent1"/>
              </w:rPr>
              <w:t>s</w:t>
            </w:r>
            <w:r w:rsidR="00564EEA" w:rsidRPr="00564EEA">
              <w:rPr>
                <w:noProof/>
                <w:color w:val="4F81BD" w:themeColor="accent1"/>
              </w:rPr>
              <w:t xml:space="preserve"> between 20-40 µg/100ml blood. The </w:t>
            </w:r>
            <w:r>
              <w:rPr>
                <w:noProof/>
                <w:color w:val="4F81BD" w:themeColor="accent1"/>
              </w:rPr>
              <w:t>(</w:t>
            </w:r>
            <w:r w:rsidR="00564EEA" w:rsidRPr="00564EEA">
              <w:rPr>
                <w:noProof/>
                <w:color w:val="4F81BD" w:themeColor="accent1"/>
              </w:rPr>
              <w:t xml:space="preserve">OEL ranges from 0.050 </w:t>
            </w:r>
            <w:r w:rsidR="00787729">
              <w:rPr>
                <w:noProof/>
                <w:color w:val="4F81BD" w:themeColor="accent1"/>
              </w:rPr>
              <w:t>m</w:t>
            </w:r>
            <w:r w:rsidR="00564EEA" w:rsidRPr="00564EEA">
              <w:rPr>
                <w:noProof/>
                <w:color w:val="4F81BD" w:themeColor="accent1"/>
              </w:rPr>
              <w:t>g/m</w:t>
            </w:r>
            <w:r w:rsidR="00564EEA" w:rsidRPr="00564EEA">
              <w:rPr>
                <w:noProof/>
                <w:color w:val="4F81BD" w:themeColor="accent1"/>
                <w:vertAlign w:val="superscript"/>
              </w:rPr>
              <w:t>3</w:t>
            </w:r>
            <w:r w:rsidR="00564EEA" w:rsidRPr="00564EEA">
              <w:rPr>
                <w:noProof/>
                <w:color w:val="4F81BD" w:themeColor="accent1"/>
              </w:rPr>
              <w:t xml:space="preserve"> to 0.15 </w:t>
            </w:r>
            <w:r w:rsidR="00787729">
              <w:rPr>
                <w:noProof/>
                <w:color w:val="4F81BD" w:themeColor="accent1"/>
              </w:rPr>
              <w:t>m</w:t>
            </w:r>
            <w:r w:rsidR="00564EEA" w:rsidRPr="00564EEA">
              <w:rPr>
                <w:noProof/>
                <w:color w:val="4F81BD" w:themeColor="accent1"/>
              </w:rPr>
              <w:t>g/m</w:t>
            </w:r>
            <w:r w:rsidR="00564EEA" w:rsidRPr="00564EEA">
              <w:rPr>
                <w:noProof/>
                <w:color w:val="4F81BD" w:themeColor="accent1"/>
                <w:vertAlign w:val="superscript"/>
              </w:rPr>
              <w:t>3</w:t>
            </w:r>
            <w:r w:rsidR="00564EEA" w:rsidRPr="00564EEA">
              <w:rPr>
                <w:noProof/>
                <w:color w:val="4F81BD" w:themeColor="accent1"/>
              </w:rPr>
              <w:t xml:space="preserve"> (the current OEL under the </w:t>
            </w:r>
            <w:r>
              <w:rPr>
                <w:noProof/>
                <w:color w:val="4F81BD" w:themeColor="accent1"/>
              </w:rPr>
              <w:t>Carcinogens, Mutagens and Reprotoxic Substances Directive</w:t>
            </w:r>
            <w:r>
              <w:rPr>
                <w:rStyle w:val="FootnoteReference"/>
                <w:noProof/>
                <w:color w:val="4F81BD" w:themeColor="accent1"/>
              </w:rPr>
              <w:footnoteReference w:id="5"/>
            </w:r>
            <w:r>
              <w:rPr>
                <w:noProof/>
                <w:color w:val="4F81BD" w:themeColor="accent1"/>
              </w:rPr>
              <w:t xml:space="preserve"> [</w:t>
            </w:r>
            <w:r w:rsidR="00564EEA" w:rsidRPr="00564EEA">
              <w:rPr>
                <w:noProof/>
                <w:color w:val="4F81BD" w:themeColor="accent1"/>
              </w:rPr>
              <w:t>CMRD</w:t>
            </w:r>
            <w:r>
              <w:rPr>
                <w:noProof/>
                <w:color w:val="4F81BD" w:themeColor="accent1"/>
              </w:rPr>
              <w:t>]</w:t>
            </w:r>
            <w:r w:rsidR="00564EEA" w:rsidRPr="00564EEA">
              <w:rPr>
                <w:noProof/>
                <w:color w:val="4F81BD" w:themeColor="accent1"/>
              </w:rPr>
              <w:t xml:space="preserve">). </w:t>
            </w:r>
          </w:p>
          <w:p w14:paraId="015E5521" w14:textId="2E61F961" w:rsidR="00564EEA" w:rsidRDefault="00564EEA" w:rsidP="00B67A13">
            <w:pPr>
              <w:spacing w:after="120"/>
              <w:jc w:val="both"/>
              <w:rPr>
                <w:noProof/>
                <w:color w:val="4F81BD" w:themeColor="accent1"/>
              </w:rPr>
            </w:pPr>
            <w:r w:rsidRPr="00564EEA">
              <w:rPr>
                <w:noProof/>
                <w:color w:val="4F81BD" w:themeColor="accent1"/>
              </w:rPr>
              <w:t xml:space="preserve">For diisocyanates, </w:t>
            </w:r>
            <w:r w:rsidR="00BD5B24">
              <w:rPr>
                <w:noProof/>
                <w:color w:val="4F81BD" w:themeColor="accent1"/>
              </w:rPr>
              <w:t>as</w:t>
            </w:r>
            <w:r w:rsidR="00BD5B24" w:rsidRPr="00564EEA">
              <w:rPr>
                <w:noProof/>
                <w:color w:val="4F81BD" w:themeColor="accent1"/>
              </w:rPr>
              <w:t xml:space="preserve"> </w:t>
            </w:r>
            <w:r w:rsidRPr="00564EEA">
              <w:rPr>
                <w:noProof/>
                <w:color w:val="4F81BD" w:themeColor="accent1"/>
              </w:rPr>
              <w:t>there is no EU limit value,</w:t>
            </w:r>
            <w:r w:rsidR="0000057F">
              <w:rPr>
                <w:noProof/>
                <w:color w:val="4F81BD" w:themeColor="accent1"/>
              </w:rPr>
              <w:t xml:space="preserve"> differences are even larger.</w:t>
            </w:r>
            <w:r w:rsidRPr="00564EEA">
              <w:rPr>
                <w:noProof/>
                <w:color w:val="4F81BD" w:themeColor="accent1"/>
              </w:rPr>
              <w:t xml:space="preserve"> </w:t>
            </w:r>
            <w:r w:rsidR="0000057F">
              <w:rPr>
                <w:noProof/>
                <w:color w:val="4F81BD" w:themeColor="accent1"/>
              </w:rPr>
              <w:t>T</w:t>
            </w:r>
            <w:r w:rsidRPr="00564EEA">
              <w:rPr>
                <w:noProof/>
                <w:color w:val="4F81BD" w:themeColor="accent1"/>
              </w:rPr>
              <w:t>hree EU Member States have a general OEL and</w:t>
            </w:r>
            <w:r>
              <w:rPr>
                <w:noProof/>
                <w:color w:val="4F81BD" w:themeColor="accent1"/>
              </w:rPr>
              <w:t xml:space="preserve"> </w:t>
            </w:r>
            <w:r w:rsidRPr="00564EEA">
              <w:rPr>
                <w:noProof/>
                <w:color w:val="4F81BD" w:themeColor="accent1"/>
              </w:rPr>
              <w:t xml:space="preserve">18 have different OELs for some, but not all, diisocyanates. As regards the </w:t>
            </w:r>
            <w:r w:rsidR="00BD5B24">
              <w:rPr>
                <w:noProof/>
                <w:color w:val="4F81BD" w:themeColor="accent1"/>
              </w:rPr>
              <w:t>Shor</w:t>
            </w:r>
            <w:r w:rsidR="00CA48CF">
              <w:rPr>
                <w:noProof/>
                <w:color w:val="4F81BD" w:themeColor="accent1"/>
              </w:rPr>
              <w:t>t</w:t>
            </w:r>
            <w:r w:rsidR="00BD5B24">
              <w:rPr>
                <w:noProof/>
                <w:color w:val="4F81BD" w:themeColor="accent1"/>
              </w:rPr>
              <w:t xml:space="preserve"> Term Exposure Level (</w:t>
            </w:r>
            <w:r w:rsidRPr="00564EEA">
              <w:rPr>
                <w:noProof/>
                <w:color w:val="4F81BD" w:themeColor="accent1"/>
              </w:rPr>
              <w:t>STEL</w:t>
            </w:r>
            <w:r w:rsidR="00BD5B24">
              <w:rPr>
                <w:noProof/>
                <w:color w:val="4F81BD" w:themeColor="accent1"/>
              </w:rPr>
              <w:t>)</w:t>
            </w:r>
            <w:r w:rsidRPr="00564EEA">
              <w:rPr>
                <w:noProof/>
                <w:color w:val="4F81BD" w:themeColor="accent1"/>
              </w:rPr>
              <w:t>, 17 Member States have a STEL</w:t>
            </w:r>
            <w:r w:rsidR="00A3315D">
              <w:rPr>
                <w:noProof/>
                <w:color w:val="4F81BD" w:themeColor="accent1"/>
              </w:rPr>
              <w:t>,</w:t>
            </w:r>
            <w:r w:rsidRPr="00564EEA">
              <w:rPr>
                <w:noProof/>
                <w:color w:val="4F81BD" w:themeColor="accent1"/>
              </w:rPr>
              <w:t xml:space="preserve"> of which only 5 have a general </w:t>
            </w:r>
            <w:r w:rsidR="00A3315D">
              <w:rPr>
                <w:noProof/>
                <w:color w:val="4F81BD" w:themeColor="accent1"/>
              </w:rPr>
              <w:t>level</w:t>
            </w:r>
            <w:r w:rsidRPr="00564EEA">
              <w:rPr>
                <w:noProof/>
                <w:color w:val="4F81BD" w:themeColor="accent1"/>
              </w:rPr>
              <w:t>; the others are for specific diisocyanates substances. This makes presenting a general range challenging. However, where they exist, OELs range from 3 µg NCO/m</w:t>
            </w:r>
            <w:r w:rsidRPr="00564EEA">
              <w:rPr>
                <w:noProof/>
                <w:color w:val="4F81BD" w:themeColor="accent1"/>
                <w:vertAlign w:val="superscript"/>
              </w:rPr>
              <w:t>3</w:t>
            </w:r>
            <w:r w:rsidRPr="00564EEA">
              <w:rPr>
                <w:noProof/>
                <w:color w:val="4F81BD" w:themeColor="accent1"/>
              </w:rPr>
              <w:t xml:space="preserve"> to 500 µg NCO/m</w:t>
            </w:r>
            <w:r w:rsidRPr="00564EEA">
              <w:rPr>
                <w:noProof/>
                <w:color w:val="4F81BD" w:themeColor="accent1"/>
                <w:vertAlign w:val="superscript"/>
              </w:rPr>
              <w:t>3</w:t>
            </w:r>
            <w:r w:rsidRPr="00564EEA">
              <w:rPr>
                <w:noProof/>
                <w:color w:val="4F81BD" w:themeColor="accent1"/>
              </w:rPr>
              <w:t xml:space="preserve"> with a median value of 17.4 µg NCO/m</w:t>
            </w:r>
            <w:r w:rsidRPr="00564EEA">
              <w:rPr>
                <w:noProof/>
                <w:color w:val="4F81BD" w:themeColor="accent1"/>
                <w:vertAlign w:val="superscript"/>
              </w:rPr>
              <w:t>3</w:t>
            </w:r>
            <w:r w:rsidRPr="00564EEA">
              <w:rPr>
                <w:noProof/>
                <w:color w:val="4F81BD" w:themeColor="accent1"/>
              </w:rPr>
              <w:t>. For the STEL, the range is from 10</w:t>
            </w:r>
            <w:r>
              <w:rPr>
                <w:noProof/>
                <w:color w:val="4F81BD" w:themeColor="accent1"/>
              </w:rPr>
              <w:t xml:space="preserve"> to </w:t>
            </w:r>
            <w:r w:rsidRPr="00564EEA">
              <w:rPr>
                <w:noProof/>
                <w:color w:val="4F81BD" w:themeColor="accent1"/>
              </w:rPr>
              <w:t>82 µg NCO/m</w:t>
            </w:r>
            <w:r w:rsidRPr="00564EEA">
              <w:rPr>
                <w:noProof/>
                <w:color w:val="4F81BD" w:themeColor="accent1"/>
                <w:vertAlign w:val="superscript"/>
              </w:rPr>
              <w:t>3</w:t>
            </w:r>
            <w:r w:rsidRPr="00564EEA">
              <w:rPr>
                <w:noProof/>
                <w:color w:val="4F81BD" w:themeColor="accent1"/>
              </w:rPr>
              <w:t>.</w:t>
            </w:r>
            <w:r w:rsidR="007D4819" w:rsidRPr="007D4819">
              <w:rPr>
                <w:noProof/>
                <w:color w:val="4F81BD" w:themeColor="accent1"/>
              </w:rPr>
              <w:t xml:space="preserve"> </w:t>
            </w:r>
          </w:p>
          <w:p w14:paraId="6B995F88" w14:textId="61309395" w:rsidR="004B3C25" w:rsidRPr="007D4819" w:rsidRDefault="004B3C25" w:rsidP="00B67A13">
            <w:pPr>
              <w:spacing w:after="120"/>
              <w:jc w:val="both"/>
              <w:rPr>
                <w:noProof/>
                <w:color w:val="4F81BD" w:themeColor="accent1"/>
              </w:rPr>
            </w:pPr>
            <w:r w:rsidRPr="004B3C25">
              <w:rPr>
                <w:noProof/>
                <w:color w:val="4F81BD" w:themeColor="accent1"/>
              </w:rPr>
              <w:t xml:space="preserve">Updating the </w:t>
            </w:r>
            <w:r w:rsidR="00A3315D">
              <w:rPr>
                <w:noProof/>
                <w:color w:val="4F81BD" w:themeColor="accent1"/>
              </w:rPr>
              <w:t>CMRD</w:t>
            </w:r>
            <w:r w:rsidR="00564EEA">
              <w:rPr>
                <w:noProof/>
                <w:color w:val="4F81BD" w:themeColor="accent1"/>
              </w:rPr>
              <w:t xml:space="preserve"> for lead</w:t>
            </w:r>
            <w:r w:rsidR="003F50D8">
              <w:rPr>
                <w:noProof/>
                <w:color w:val="4F81BD" w:themeColor="accent1"/>
              </w:rPr>
              <w:t xml:space="preserve"> and the Chemical Agents Directive</w:t>
            </w:r>
            <w:r w:rsidR="003F50D8">
              <w:rPr>
                <w:rStyle w:val="FootnoteReference"/>
                <w:noProof/>
                <w:color w:val="4F81BD" w:themeColor="accent1"/>
              </w:rPr>
              <w:footnoteReference w:id="6"/>
            </w:r>
            <w:r w:rsidR="003F50D8">
              <w:rPr>
                <w:noProof/>
                <w:color w:val="4F81BD" w:themeColor="accent1"/>
              </w:rPr>
              <w:t xml:space="preserve"> (CAD) for diisocyanates</w:t>
            </w:r>
            <w:r w:rsidRPr="004B3C25">
              <w:rPr>
                <w:noProof/>
                <w:color w:val="4F81BD" w:themeColor="accent1"/>
              </w:rPr>
              <w:t xml:space="preserve"> is an effective way to ensure that preventive measures would be updated accordingly in all Member States, providing a uniform level of minimum requirements designed to guarantee a better standard of health and safety and thus minimising the disparities in health and safety protection levels of workers between Member States.</w:t>
            </w:r>
          </w:p>
          <w:p w14:paraId="2F0D648F" w14:textId="07E690B7" w:rsidR="00EE7831" w:rsidRDefault="004B3C25" w:rsidP="00B67A13">
            <w:pPr>
              <w:spacing w:after="120"/>
              <w:jc w:val="both"/>
              <w:rPr>
                <w:noProof/>
                <w:color w:val="4F81BD" w:themeColor="accent1"/>
              </w:rPr>
            </w:pPr>
            <w:r>
              <w:rPr>
                <w:noProof/>
                <w:color w:val="4F81BD" w:themeColor="accent1"/>
              </w:rPr>
              <w:t xml:space="preserve">Moreover, a revision of </w:t>
            </w:r>
            <w:r w:rsidR="00BD5B24">
              <w:rPr>
                <w:noProof/>
                <w:color w:val="4F81BD" w:themeColor="accent1"/>
              </w:rPr>
              <w:t>those directives</w:t>
            </w:r>
            <w:r>
              <w:rPr>
                <w:noProof/>
                <w:color w:val="4F81BD" w:themeColor="accent1"/>
              </w:rPr>
              <w:t xml:space="preserve"> can only be done by action at EU level. Such revision is necessary in view of </w:t>
            </w:r>
            <w:r w:rsidRPr="007D4819">
              <w:rPr>
                <w:noProof/>
                <w:color w:val="4F81BD" w:themeColor="accent1"/>
              </w:rPr>
              <w:t>the development of scientific knowledge in this area</w:t>
            </w:r>
            <w:r>
              <w:rPr>
                <w:noProof/>
                <w:color w:val="4F81BD" w:themeColor="accent1"/>
              </w:rPr>
              <w:t>. The fact</w:t>
            </w:r>
            <w:r w:rsidR="007D4819" w:rsidRPr="007D4819">
              <w:rPr>
                <w:noProof/>
                <w:color w:val="4F81BD" w:themeColor="accent1"/>
              </w:rPr>
              <w:t xml:space="preserve"> that </w:t>
            </w:r>
            <w:r w:rsidR="0012098E">
              <w:rPr>
                <w:noProof/>
                <w:color w:val="4F81BD" w:themeColor="accent1"/>
              </w:rPr>
              <w:t>15</w:t>
            </w:r>
            <w:r w:rsidR="007D4819" w:rsidRPr="007D4819">
              <w:rPr>
                <w:noProof/>
                <w:color w:val="4F81BD" w:themeColor="accent1"/>
              </w:rPr>
              <w:t xml:space="preserve"> EU Member States have already reduced their exposure limit values for</w:t>
            </w:r>
            <w:r w:rsidR="00564EEA">
              <w:rPr>
                <w:noProof/>
                <w:color w:val="4F81BD" w:themeColor="accent1"/>
              </w:rPr>
              <w:t xml:space="preserve"> lead and </w:t>
            </w:r>
            <w:r w:rsidR="0012098E">
              <w:rPr>
                <w:noProof/>
                <w:color w:val="4F81BD" w:themeColor="accent1"/>
              </w:rPr>
              <w:t xml:space="preserve">that 18 have </w:t>
            </w:r>
            <w:r w:rsidR="00564EEA">
              <w:rPr>
                <w:noProof/>
                <w:color w:val="4F81BD" w:themeColor="accent1"/>
              </w:rPr>
              <w:t>introduced limit values for diisocyanates</w:t>
            </w:r>
            <w:r w:rsidR="007D4819" w:rsidRPr="007D4819">
              <w:rPr>
                <w:noProof/>
                <w:color w:val="4F81BD" w:themeColor="accent1"/>
              </w:rPr>
              <w:t xml:space="preserve"> </w:t>
            </w:r>
            <w:r w:rsidRPr="007D4819">
              <w:rPr>
                <w:noProof/>
                <w:color w:val="4F81BD" w:themeColor="accent1"/>
              </w:rPr>
              <w:t xml:space="preserve">demonstrates </w:t>
            </w:r>
            <w:r>
              <w:rPr>
                <w:noProof/>
                <w:color w:val="4F81BD" w:themeColor="accent1"/>
              </w:rPr>
              <w:t>this need</w:t>
            </w:r>
            <w:r w:rsidR="007D4819" w:rsidRPr="007D4819">
              <w:rPr>
                <w:noProof/>
                <w:color w:val="4F81BD" w:themeColor="accent1"/>
              </w:rPr>
              <w:t>.</w:t>
            </w:r>
            <w:r>
              <w:rPr>
                <w:noProof/>
                <w:color w:val="4F81BD" w:themeColor="accent1"/>
              </w:rPr>
              <w:t xml:space="preserve"> The need for revision has also been recognised by the tripartite ACSH.</w:t>
            </w:r>
          </w:p>
          <w:p w14:paraId="4D1E4CE1" w14:textId="334A60D2" w:rsidR="00C91F2B" w:rsidRDefault="007D4819" w:rsidP="00B67A13">
            <w:pPr>
              <w:spacing w:after="120"/>
              <w:jc w:val="both"/>
              <w:rPr>
                <w:noProof/>
                <w:color w:val="4F81BD" w:themeColor="accent1"/>
              </w:rPr>
            </w:pPr>
            <w:r w:rsidRPr="007D4819">
              <w:rPr>
                <w:noProof/>
                <w:color w:val="4F81BD" w:themeColor="accent1"/>
              </w:rPr>
              <w:t>The revision of the limit value</w:t>
            </w:r>
            <w:r w:rsidR="00564EEA">
              <w:rPr>
                <w:noProof/>
                <w:color w:val="4F81BD" w:themeColor="accent1"/>
              </w:rPr>
              <w:t>s</w:t>
            </w:r>
            <w:r w:rsidRPr="007D4819">
              <w:rPr>
                <w:noProof/>
                <w:color w:val="4F81BD" w:themeColor="accent1"/>
              </w:rPr>
              <w:t xml:space="preserve"> under the </w:t>
            </w:r>
            <w:r w:rsidR="00564EEA">
              <w:rPr>
                <w:noProof/>
                <w:color w:val="4F81BD" w:themeColor="accent1"/>
              </w:rPr>
              <w:t>CMRD</w:t>
            </w:r>
            <w:r w:rsidRPr="007D4819">
              <w:rPr>
                <w:noProof/>
                <w:color w:val="4F81BD" w:themeColor="accent1"/>
              </w:rPr>
              <w:t xml:space="preserve"> </w:t>
            </w:r>
            <w:r w:rsidR="003F50D8">
              <w:rPr>
                <w:noProof/>
                <w:color w:val="4F81BD" w:themeColor="accent1"/>
              </w:rPr>
              <w:t xml:space="preserve">and the CAD </w:t>
            </w:r>
            <w:r w:rsidRPr="007D4819">
              <w:rPr>
                <w:noProof/>
                <w:color w:val="4F81BD" w:themeColor="accent1"/>
              </w:rPr>
              <w:t xml:space="preserve">at the EU level will lead to a greater harmonisation of limit values across the </w:t>
            </w:r>
            <w:r w:rsidR="0012098E">
              <w:rPr>
                <w:noProof/>
                <w:color w:val="4F81BD" w:themeColor="accent1"/>
              </w:rPr>
              <w:t>EU</w:t>
            </w:r>
            <w:r w:rsidRPr="007D4819">
              <w:rPr>
                <w:noProof/>
                <w:color w:val="4F81BD" w:themeColor="accent1"/>
              </w:rPr>
              <w:t>. Companies willing to operate in different EU Member States can further benefit from a streamlining of the applicable limit values, potentially providing for savings as common solutions can be adopted across facilities, as opposed to having to design site-specific solutions to meet different requirements.</w:t>
            </w:r>
            <w:r w:rsidR="00C91F2B" w:rsidRPr="00C91F2B">
              <w:rPr>
                <w:noProof/>
                <w:color w:val="4F81BD" w:themeColor="accent1"/>
              </w:rPr>
              <w:t xml:space="preserve"> </w:t>
            </w:r>
          </w:p>
          <w:p w14:paraId="60ABD5B6" w14:textId="2876D3D5" w:rsidR="007D4819" w:rsidRPr="0054546C" w:rsidRDefault="007D4819" w:rsidP="00B67A13">
            <w:pPr>
              <w:pBdr>
                <w:top w:val="nil"/>
                <w:left w:val="nil"/>
                <w:bottom w:val="nil"/>
                <w:right w:val="nil"/>
                <w:between w:val="nil"/>
                <w:bar w:val="nil"/>
              </w:pBdr>
              <w:spacing w:line="276" w:lineRule="auto"/>
              <w:jc w:val="both"/>
              <w:rPr>
                <w:noProof/>
              </w:rPr>
            </w:pPr>
            <w:r w:rsidRPr="007D4819">
              <w:rPr>
                <w:noProof/>
                <w:color w:val="4F81BD" w:themeColor="accent1"/>
              </w:rPr>
              <w:t xml:space="preserve">Furthermore, the revision of limit values is very complex and requires a high level of scientific expertise. An important advantage of the revision of the </w:t>
            </w:r>
            <w:r w:rsidR="00564EEA">
              <w:rPr>
                <w:noProof/>
                <w:color w:val="4F81BD" w:themeColor="accent1"/>
              </w:rPr>
              <w:t>limit values</w:t>
            </w:r>
            <w:r w:rsidRPr="007D4819">
              <w:rPr>
                <w:noProof/>
                <w:color w:val="4F81BD" w:themeColor="accent1"/>
              </w:rPr>
              <w:t xml:space="preserve"> at EU level is that it eliminates the need for Member States to conduct their own scientific analysis, with likely substantial savings on administrative costs. These resources saved could instead be dedicated to further</w:t>
            </w:r>
            <w:r w:rsidR="00AF4F7E">
              <w:rPr>
                <w:noProof/>
                <w:color w:val="4F81BD" w:themeColor="accent1"/>
              </w:rPr>
              <w:t xml:space="preserve"> </w:t>
            </w:r>
            <w:r w:rsidR="00AF4F7E" w:rsidRPr="007D4819">
              <w:rPr>
                <w:noProof/>
                <w:color w:val="4F81BD" w:themeColor="accent1"/>
              </w:rPr>
              <w:t>improv</w:t>
            </w:r>
            <w:r w:rsidR="0012098E">
              <w:rPr>
                <w:noProof/>
                <w:color w:val="4F81BD" w:themeColor="accent1"/>
              </w:rPr>
              <w:t>ing</w:t>
            </w:r>
            <w:r w:rsidRPr="007D4819">
              <w:rPr>
                <w:noProof/>
                <w:color w:val="4F81BD" w:themeColor="accent1"/>
              </w:rPr>
              <w:t xml:space="preserve"> </w:t>
            </w:r>
            <w:r w:rsidR="004B3C25">
              <w:rPr>
                <w:noProof/>
                <w:color w:val="4F81BD" w:themeColor="accent1"/>
              </w:rPr>
              <w:t xml:space="preserve">occupational </w:t>
            </w:r>
            <w:r w:rsidR="009E4D1B">
              <w:rPr>
                <w:noProof/>
                <w:color w:val="4F81BD" w:themeColor="accent1"/>
              </w:rPr>
              <w:t>safety</w:t>
            </w:r>
            <w:r w:rsidR="009E4D1B" w:rsidRPr="007D4819">
              <w:rPr>
                <w:noProof/>
                <w:color w:val="4F81BD" w:themeColor="accent1"/>
              </w:rPr>
              <w:t xml:space="preserve"> </w:t>
            </w:r>
            <w:r w:rsidR="004B3C25">
              <w:rPr>
                <w:noProof/>
                <w:color w:val="4F81BD" w:themeColor="accent1"/>
              </w:rPr>
              <w:t xml:space="preserve">and </w:t>
            </w:r>
            <w:r w:rsidR="009E4D1B">
              <w:rPr>
                <w:noProof/>
                <w:color w:val="4F81BD" w:themeColor="accent1"/>
              </w:rPr>
              <w:t xml:space="preserve">health (OSH) </w:t>
            </w:r>
            <w:r w:rsidRPr="007D4819">
              <w:rPr>
                <w:noProof/>
                <w:color w:val="4F81BD" w:themeColor="accent1"/>
              </w:rPr>
              <w:t xml:space="preserve">policies in each Member State. </w:t>
            </w:r>
          </w:p>
        </w:tc>
      </w:tr>
      <w:tr w:rsidR="0054546C" w14:paraId="1AE61DE0" w14:textId="77777777" w:rsidTr="005046EA">
        <w:tc>
          <w:tcPr>
            <w:tcW w:w="9288" w:type="dxa"/>
          </w:tcPr>
          <w:p w14:paraId="1EDCE266" w14:textId="7C72301A" w:rsidR="0054546C" w:rsidRPr="0054546C" w:rsidRDefault="0054546C" w:rsidP="00B67A13">
            <w:pPr>
              <w:pStyle w:val="ListParagraph"/>
              <w:numPr>
                <w:ilvl w:val="1"/>
                <w:numId w:val="1"/>
              </w:numPr>
              <w:jc w:val="both"/>
              <w:rPr>
                <w:b/>
                <w:noProof/>
              </w:rPr>
            </w:pPr>
            <w:r>
              <w:rPr>
                <w:b/>
                <w:noProof/>
              </w:rPr>
              <w:t>Based on the answers to the questions below, can the objectives of the proposed action be achieved sufficiently b</w:t>
            </w:r>
            <w:r w:rsidR="003D7918">
              <w:rPr>
                <w:b/>
                <w:noProof/>
              </w:rPr>
              <w:t>y the Member States acting alone</w:t>
            </w:r>
            <w:r>
              <w:rPr>
                <w:b/>
                <w:noProof/>
              </w:rPr>
              <w:t xml:space="preserve"> (necessity for EU action)?</w:t>
            </w:r>
          </w:p>
        </w:tc>
      </w:tr>
      <w:tr w:rsidR="0054546C" w14:paraId="018B2EF2" w14:textId="77777777" w:rsidTr="005046EA">
        <w:tc>
          <w:tcPr>
            <w:tcW w:w="9288" w:type="dxa"/>
          </w:tcPr>
          <w:p w14:paraId="0914E468" w14:textId="458D5276" w:rsidR="0054546C" w:rsidRPr="00F35A70" w:rsidRDefault="001F4B6A" w:rsidP="00B67A13">
            <w:pPr>
              <w:jc w:val="both"/>
              <w:rPr>
                <w:noProof/>
                <w:color w:val="4F81BD" w:themeColor="accent1"/>
              </w:rPr>
            </w:pPr>
            <w:r>
              <w:rPr>
                <w:noProof/>
                <w:color w:val="4F81BD" w:themeColor="accent1"/>
              </w:rPr>
              <w:t>Risks to workers’ health and safety are broadly similar across the European Union. N</w:t>
            </w:r>
            <w:r w:rsidRPr="005A2BC5">
              <w:rPr>
                <w:noProof/>
                <w:color w:val="4F81BD" w:themeColor="accent1"/>
              </w:rPr>
              <w:t xml:space="preserve">ational actions alone lead to </w:t>
            </w:r>
            <w:r>
              <w:rPr>
                <w:noProof/>
                <w:color w:val="4F81BD" w:themeColor="accent1"/>
              </w:rPr>
              <w:t xml:space="preserve">insufficient and divergent levels of protection of workers’ health, </w:t>
            </w:r>
            <w:r w:rsidR="00AF4F7E">
              <w:rPr>
                <w:noProof/>
                <w:color w:val="4F81BD" w:themeColor="accent1"/>
              </w:rPr>
              <w:t>as well as</w:t>
            </w:r>
            <w:r>
              <w:rPr>
                <w:noProof/>
                <w:color w:val="4F81BD" w:themeColor="accent1"/>
              </w:rPr>
              <w:t xml:space="preserve"> </w:t>
            </w:r>
            <w:r w:rsidR="0012098E">
              <w:rPr>
                <w:noProof/>
                <w:color w:val="4F81BD" w:themeColor="accent1"/>
              </w:rPr>
              <w:t xml:space="preserve">to </w:t>
            </w:r>
            <w:r>
              <w:rPr>
                <w:noProof/>
                <w:color w:val="4F81BD" w:themeColor="accent1"/>
              </w:rPr>
              <w:t>an uneven playing field for businesses.</w:t>
            </w:r>
          </w:p>
        </w:tc>
      </w:tr>
      <w:tr w:rsidR="0054546C" w14:paraId="07CFDDE5" w14:textId="77777777" w:rsidTr="005046EA">
        <w:tc>
          <w:tcPr>
            <w:tcW w:w="9288" w:type="dxa"/>
          </w:tcPr>
          <w:p w14:paraId="5394A020" w14:textId="77777777" w:rsidR="0054546C" w:rsidRPr="00F35A70" w:rsidRDefault="0054546C" w:rsidP="00B67A13">
            <w:pPr>
              <w:pStyle w:val="ListParagraph"/>
              <w:numPr>
                <w:ilvl w:val="0"/>
                <w:numId w:val="3"/>
              </w:numPr>
              <w:jc w:val="both"/>
              <w:rPr>
                <w:noProof/>
              </w:rPr>
            </w:pPr>
            <w:r w:rsidRPr="00F35A70">
              <w:rPr>
                <w:noProof/>
              </w:rPr>
              <w:t>Are there significant/appreciable transnational/cross-border aspects to the problems being tackled? Have these been quantified?</w:t>
            </w:r>
          </w:p>
        </w:tc>
      </w:tr>
      <w:tr w:rsidR="00F35A70" w14:paraId="72EB16E0" w14:textId="77777777" w:rsidTr="005046EA">
        <w:tc>
          <w:tcPr>
            <w:tcW w:w="9288" w:type="dxa"/>
          </w:tcPr>
          <w:p w14:paraId="6D623599" w14:textId="7DC19E75" w:rsidR="00765303" w:rsidRDefault="00E65FF1" w:rsidP="00B67A13">
            <w:pPr>
              <w:spacing w:after="120"/>
              <w:jc w:val="both"/>
              <w:rPr>
                <w:noProof/>
                <w:color w:val="4F81BD" w:themeColor="accent1"/>
              </w:rPr>
            </w:pPr>
            <w:r w:rsidRPr="005A5351">
              <w:rPr>
                <w:noProof/>
                <w:color w:val="4F81BD" w:themeColor="accent1"/>
              </w:rPr>
              <w:t xml:space="preserve">As </w:t>
            </w:r>
            <w:r w:rsidR="00854FA7">
              <w:rPr>
                <w:noProof/>
                <w:color w:val="4F81BD" w:themeColor="accent1"/>
              </w:rPr>
              <w:t xml:space="preserve">explained </w:t>
            </w:r>
            <w:r>
              <w:rPr>
                <w:noProof/>
                <w:color w:val="4F81BD" w:themeColor="accent1"/>
              </w:rPr>
              <w:t xml:space="preserve">in point 2.2, </w:t>
            </w:r>
            <w:r w:rsidRPr="005A5351">
              <w:rPr>
                <w:noProof/>
                <w:color w:val="4F81BD" w:themeColor="accent1"/>
              </w:rPr>
              <w:t xml:space="preserve">risks to workers’ health and safety are broadly similar across the </w:t>
            </w:r>
            <w:r>
              <w:rPr>
                <w:noProof/>
                <w:color w:val="4F81BD" w:themeColor="accent1"/>
              </w:rPr>
              <w:t>European Union. However, d</w:t>
            </w:r>
            <w:r w:rsidRPr="005A5351">
              <w:rPr>
                <w:noProof/>
                <w:color w:val="4F81BD" w:themeColor="accent1"/>
              </w:rPr>
              <w:t>ata gathered in the preparatory work indicate</w:t>
            </w:r>
            <w:r w:rsidR="0012098E">
              <w:rPr>
                <w:noProof/>
                <w:color w:val="4F81BD" w:themeColor="accent1"/>
              </w:rPr>
              <w:t>s</w:t>
            </w:r>
            <w:r w:rsidRPr="005A5351">
              <w:rPr>
                <w:noProof/>
                <w:color w:val="4F81BD" w:themeColor="accent1"/>
              </w:rPr>
              <w:t xml:space="preserve"> differences in the Member States regarding the </w:t>
            </w:r>
            <w:r>
              <w:rPr>
                <w:noProof/>
                <w:color w:val="4F81BD" w:themeColor="accent1"/>
              </w:rPr>
              <w:t>OEL</w:t>
            </w:r>
            <w:r w:rsidR="0011138C">
              <w:rPr>
                <w:noProof/>
                <w:color w:val="4F81BD" w:themeColor="accent1"/>
              </w:rPr>
              <w:t xml:space="preserve"> and B</w:t>
            </w:r>
            <w:r w:rsidR="00787729">
              <w:rPr>
                <w:noProof/>
                <w:color w:val="4F81BD" w:themeColor="accent1"/>
              </w:rPr>
              <w:t>L</w:t>
            </w:r>
            <w:r w:rsidR="0011138C">
              <w:rPr>
                <w:noProof/>
                <w:color w:val="4F81BD" w:themeColor="accent1"/>
              </w:rPr>
              <w:t xml:space="preserve">V for lead and </w:t>
            </w:r>
            <w:r w:rsidR="00BC7B37">
              <w:rPr>
                <w:noProof/>
                <w:color w:val="4F81BD" w:themeColor="accent1"/>
              </w:rPr>
              <w:t xml:space="preserve">the </w:t>
            </w:r>
            <w:r w:rsidR="0011138C">
              <w:rPr>
                <w:noProof/>
                <w:color w:val="4F81BD" w:themeColor="accent1"/>
              </w:rPr>
              <w:t>OEL and STEL for diisocyanates</w:t>
            </w:r>
            <w:r>
              <w:rPr>
                <w:noProof/>
                <w:color w:val="4F81BD" w:themeColor="accent1"/>
              </w:rPr>
              <w:t>.</w:t>
            </w:r>
          </w:p>
          <w:p w14:paraId="56EEEAAC" w14:textId="63F2E004" w:rsidR="00034B7D" w:rsidRDefault="00034B7D" w:rsidP="00B67A13">
            <w:pPr>
              <w:spacing w:after="120"/>
              <w:jc w:val="both"/>
              <w:rPr>
                <w:noProof/>
                <w:color w:val="4F81BD" w:themeColor="accent1"/>
              </w:rPr>
            </w:pPr>
            <w:r w:rsidRPr="00034B7D">
              <w:rPr>
                <w:noProof/>
                <w:color w:val="4F81BD" w:themeColor="accent1"/>
              </w:rPr>
              <w:t>It is estimated that currently</w:t>
            </w:r>
            <w:r w:rsidR="00BC7B37">
              <w:rPr>
                <w:noProof/>
                <w:color w:val="4F81BD" w:themeColor="accent1"/>
              </w:rPr>
              <w:t xml:space="preserve"> </w:t>
            </w:r>
            <w:r w:rsidR="00544578">
              <w:rPr>
                <w:noProof/>
                <w:color w:val="4F81BD" w:themeColor="accent1"/>
              </w:rPr>
              <w:t xml:space="preserve">between 50 000 and 150 000 workers are exposed to lead. </w:t>
            </w:r>
            <w:r w:rsidR="00544578" w:rsidRPr="00544578">
              <w:rPr>
                <w:noProof/>
                <w:color w:val="4F81BD" w:themeColor="accent1"/>
              </w:rPr>
              <w:t>Determining a precise number</w:t>
            </w:r>
            <w:r w:rsidR="00544578">
              <w:rPr>
                <w:noProof/>
                <w:color w:val="4F81BD" w:themeColor="accent1"/>
              </w:rPr>
              <w:t xml:space="preserve"> for lead</w:t>
            </w:r>
            <w:r w:rsidR="00544578" w:rsidRPr="00544578">
              <w:rPr>
                <w:noProof/>
                <w:color w:val="4F81BD" w:themeColor="accent1"/>
              </w:rPr>
              <w:t xml:space="preserve"> is difficult because workers in sectors such as demolition, waste management, and those using articles of lead metal may only occasionally be exposed to lead, but sometimes at relatively high levels. </w:t>
            </w:r>
            <w:r w:rsidR="003F50D8">
              <w:rPr>
                <w:noProof/>
                <w:color w:val="4F81BD" w:themeColor="accent1"/>
              </w:rPr>
              <w:t>A</w:t>
            </w:r>
            <w:r w:rsidR="003F50D8" w:rsidRPr="00BC7B37">
              <w:rPr>
                <w:noProof/>
                <w:color w:val="4F81BD" w:themeColor="accent1"/>
              </w:rPr>
              <w:t>pproximately 4.2 million workers are exposed to diisocyanates</w:t>
            </w:r>
            <w:r w:rsidR="003F50D8">
              <w:rPr>
                <w:noProof/>
                <w:color w:val="4F81BD" w:themeColor="accent1"/>
              </w:rPr>
              <w:t>.</w:t>
            </w:r>
          </w:p>
          <w:p w14:paraId="4253CAFF" w14:textId="22AFCA82" w:rsidR="00544578" w:rsidRDefault="00A610BD" w:rsidP="00B67A13">
            <w:pPr>
              <w:spacing w:after="120"/>
              <w:jc w:val="both"/>
              <w:rPr>
                <w:noProof/>
                <w:color w:val="4F81BD" w:themeColor="accent1"/>
              </w:rPr>
            </w:pPr>
            <w:r>
              <w:rPr>
                <w:noProof/>
                <w:color w:val="4F81BD" w:themeColor="accent1"/>
              </w:rPr>
              <w:t>Moreover,</w:t>
            </w:r>
            <w:r w:rsidR="00544578">
              <w:rPr>
                <w:noProof/>
                <w:color w:val="4F81BD" w:themeColor="accent1"/>
              </w:rPr>
              <w:t xml:space="preserve"> diisocyanates are found in insulation materials in construction, and this sector is characterised by a considerable level of cross-border work</w:t>
            </w:r>
            <w:r>
              <w:rPr>
                <w:noProof/>
                <w:color w:val="4F81BD" w:themeColor="accent1"/>
              </w:rPr>
              <w:t>.</w:t>
            </w:r>
          </w:p>
          <w:p w14:paraId="4C805935" w14:textId="5D29C752" w:rsidR="00034B7D" w:rsidRPr="00A610BD" w:rsidRDefault="00A610BD" w:rsidP="00B67A13">
            <w:pPr>
              <w:spacing w:after="120"/>
              <w:jc w:val="both"/>
              <w:rPr>
                <w:noProof/>
                <w:color w:val="4F81BD" w:themeColor="accent1"/>
              </w:rPr>
            </w:pPr>
            <w:r w:rsidRPr="00A610BD">
              <w:rPr>
                <w:noProof/>
                <w:color w:val="4F81BD" w:themeColor="accent1"/>
              </w:rPr>
              <w:t>Therefore, such differences</w:t>
            </w:r>
            <w:r>
              <w:rPr>
                <w:noProof/>
                <w:color w:val="4F81BD" w:themeColor="accent1"/>
              </w:rPr>
              <w:t xml:space="preserve"> in limit values</w:t>
            </w:r>
            <w:r w:rsidRPr="00A610BD">
              <w:rPr>
                <w:noProof/>
                <w:color w:val="4F81BD" w:themeColor="accent1"/>
              </w:rPr>
              <w:t xml:space="preserve"> result in high disparities in the levels of protection of workers’ health </w:t>
            </w:r>
            <w:r w:rsidR="00707ADC">
              <w:rPr>
                <w:noProof/>
                <w:color w:val="4F81BD" w:themeColor="accent1"/>
              </w:rPr>
              <w:t>in</w:t>
            </w:r>
            <w:r w:rsidRPr="00A610BD">
              <w:rPr>
                <w:noProof/>
                <w:color w:val="4F81BD" w:themeColor="accent1"/>
              </w:rPr>
              <w:t xml:space="preserve"> the different Members States.</w:t>
            </w:r>
          </w:p>
        </w:tc>
      </w:tr>
      <w:tr w:rsidR="00F35A70" w14:paraId="1535973E" w14:textId="77777777" w:rsidTr="005046EA">
        <w:tc>
          <w:tcPr>
            <w:tcW w:w="9288" w:type="dxa"/>
          </w:tcPr>
          <w:p w14:paraId="3FD97A4C" w14:textId="77777777" w:rsidR="00F35A70" w:rsidRPr="00F35A70" w:rsidRDefault="00F35A70" w:rsidP="00B67A13">
            <w:pPr>
              <w:pStyle w:val="ListParagraph"/>
              <w:numPr>
                <w:ilvl w:val="0"/>
                <w:numId w:val="3"/>
              </w:numPr>
              <w:jc w:val="both"/>
              <w:rPr>
                <w:noProof/>
              </w:rPr>
            </w:pPr>
            <w:r>
              <w:rPr>
                <w:noProof/>
              </w:rPr>
              <w:t>Would national action or the absence of the EU level action conflict with core objectives of the Treaty</w:t>
            </w:r>
            <w:r>
              <w:rPr>
                <w:rStyle w:val="FootnoteReference"/>
                <w:noProof/>
              </w:rPr>
              <w:footnoteReference w:id="7"/>
            </w:r>
            <w:r>
              <w:rPr>
                <w:noProof/>
              </w:rPr>
              <w:t xml:space="preserve"> or significantly damage the interests of other Member States?</w:t>
            </w:r>
          </w:p>
        </w:tc>
      </w:tr>
      <w:tr w:rsidR="00F35A70" w14:paraId="1A3219CC" w14:textId="77777777" w:rsidTr="005046EA">
        <w:tc>
          <w:tcPr>
            <w:tcW w:w="9288" w:type="dxa"/>
          </w:tcPr>
          <w:p w14:paraId="77B4B80D" w14:textId="2E69E3C0" w:rsidR="001F4B6A" w:rsidRPr="005A2BC5" w:rsidRDefault="00136D70" w:rsidP="00B67A13">
            <w:pPr>
              <w:jc w:val="both"/>
              <w:rPr>
                <w:noProof/>
                <w:color w:val="4F81BD" w:themeColor="accent1"/>
              </w:rPr>
            </w:pPr>
            <w:r>
              <w:rPr>
                <w:noProof/>
                <w:color w:val="4F81BD" w:themeColor="accent1"/>
              </w:rPr>
              <w:t>N</w:t>
            </w:r>
            <w:r w:rsidR="001F4B6A" w:rsidRPr="005A2BC5">
              <w:rPr>
                <w:noProof/>
                <w:color w:val="4F81BD" w:themeColor="accent1"/>
              </w:rPr>
              <w:t xml:space="preserve">ational actions alone lead to high disparities between the existing national </w:t>
            </w:r>
            <w:r w:rsidR="00991900">
              <w:rPr>
                <w:noProof/>
                <w:color w:val="4F81BD" w:themeColor="accent1"/>
              </w:rPr>
              <w:t>limit values</w:t>
            </w:r>
            <w:r w:rsidR="001F4B6A" w:rsidRPr="005A2BC5">
              <w:rPr>
                <w:noProof/>
                <w:color w:val="4F81BD" w:themeColor="accent1"/>
              </w:rPr>
              <w:t xml:space="preserve">, with the consequences in point 2.3 (a) above. EU level action would </w:t>
            </w:r>
            <w:r w:rsidR="001F4B6A">
              <w:rPr>
                <w:noProof/>
                <w:color w:val="4F81BD" w:themeColor="accent1"/>
              </w:rPr>
              <w:t xml:space="preserve">not </w:t>
            </w:r>
            <w:r w:rsidR="001F4B6A" w:rsidRPr="005A2BC5">
              <w:rPr>
                <w:noProof/>
                <w:color w:val="4F81BD" w:themeColor="accent1"/>
              </w:rPr>
              <w:t>conflict with core objectives of the Treaty or significantly damage the interests of other Member States. On the contrary, it would enable among others to</w:t>
            </w:r>
            <w:r w:rsidR="0012098E">
              <w:rPr>
                <w:noProof/>
                <w:color w:val="4F81BD" w:themeColor="accent1"/>
              </w:rPr>
              <w:t>:</w:t>
            </w:r>
          </w:p>
          <w:p w14:paraId="6B05C48E" w14:textId="0BE14DDA" w:rsidR="001F4B6A" w:rsidRPr="005A2BC5" w:rsidRDefault="001F4B6A" w:rsidP="00B67A13">
            <w:pPr>
              <w:pStyle w:val="ListParagraph"/>
              <w:numPr>
                <w:ilvl w:val="0"/>
                <w:numId w:val="8"/>
              </w:numPr>
              <w:jc w:val="both"/>
              <w:rPr>
                <w:noProof/>
                <w:color w:val="4F81BD" w:themeColor="accent1"/>
              </w:rPr>
            </w:pPr>
            <w:r w:rsidRPr="005A2BC5">
              <w:rPr>
                <w:noProof/>
                <w:color w:val="4F81BD" w:themeColor="accent1"/>
              </w:rPr>
              <w:t xml:space="preserve">ensure a similar </w:t>
            </w:r>
            <w:r w:rsidR="008A41B0">
              <w:rPr>
                <w:noProof/>
                <w:color w:val="4F81BD" w:themeColor="accent1"/>
              </w:rPr>
              <w:t xml:space="preserve">and fair </w:t>
            </w:r>
            <w:r w:rsidRPr="005A2BC5">
              <w:rPr>
                <w:noProof/>
                <w:color w:val="4F81BD" w:themeColor="accent1"/>
              </w:rPr>
              <w:t>minimum level of protection across the European Union;</w:t>
            </w:r>
          </w:p>
          <w:p w14:paraId="575262E9" w14:textId="77777777" w:rsidR="001F4B6A" w:rsidRPr="005A2BC5" w:rsidRDefault="001F4B6A" w:rsidP="00B67A13">
            <w:pPr>
              <w:pStyle w:val="ListParagraph"/>
              <w:numPr>
                <w:ilvl w:val="0"/>
                <w:numId w:val="8"/>
              </w:numPr>
              <w:jc w:val="both"/>
              <w:rPr>
                <w:noProof/>
                <w:color w:val="4F81BD" w:themeColor="accent1"/>
              </w:rPr>
            </w:pPr>
            <w:r w:rsidRPr="005A2BC5">
              <w:rPr>
                <w:noProof/>
                <w:color w:val="4F81BD" w:themeColor="accent1"/>
              </w:rPr>
              <w:t>contribute to a level playing field;</w:t>
            </w:r>
          </w:p>
          <w:p w14:paraId="3C411528" w14:textId="393FA899" w:rsidR="00136D70" w:rsidRDefault="001F4B6A" w:rsidP="00B67A13">
            <w:pPr>
              <w:pStyle w:val="ListParagraph"/>
              <w:numPr>
                <w:ilvl w:val="0"/>
                <w:numId w:val="8"/>
              </w:numPr>
              <w:jc w:val="both"/>
              <w:rPr>
                <w:noProof/>
                <w:color w:val="4F81BD" w:themeColor="accent1"/>
              </w:rPr>
            </w:pPr>
            <w:r w:rsidRPr="005A2BC5">
              <w:rPr>
                <w:noProof/>
                <w:color w:val="4F81BD" w:themeColor="accent1"/>
              </w:rPr>
              <w:t>improve clarity and enforcement</w:t>
            </w:r>
            <w:r w:rsidR="00EE7831">
              <w:rPr>
                <w:noProof/>
                <w:color w:val="4F81BD" w:themeColor="accent1"/>
              </w:rPr>
              <w:t xml:space="preserve"> of </w:t>
            </w:r>
            <w:r w:rsidR="00991900">
              <w:rPr>
                <w:noProof/>
                <w:color w:val="4F81BD" w:themeColor="accent1"/>
              </w:rPr>
              <w:t>the CMRD</w:t>
            </w:r>
            <w:r w:rsidR="003F50D8">
              <w:rPr>
                <w:noProof/>
                <w:color w:val="4F81BD" w:themeColor="accent1"/>
              </w:rPr>
              <w:t xml:space="preserve"> and the CAD</w:t>
            </w:r>
            <w:r w:rsidRPr="005A2BC5">
              <w:rPr>
                <w:noProof/>
                <w:color w:val="4F81BD" w:themeColor="accent1"/>
              </w:rPr>
              <w:t>;</w:t>
            </w:r>
          </w:p>
          <w:p w14:paraId="43F7F300" w14:textId="47D94D6D" w:rsidR="00F35A70" w:rsidRPr="00136D70" w:rsidRDefault="00136D70" w:rsidP="00B67A13">
            <w:pPr>
              <w:pStyle w:val="ListParagraph"/>
              <w:numPr>
                <w:ilvl w:val="0"/>
                <w:numId w:val="8"/>
              </w:numPr>
              <w:jc w:val="both"/>
              <w:rPr>
                <w:noProof/>
                <w:color w:val="4F81BD" w:themeColor="accent1"/>
              </w:rPr>
            </w:pPr>
            <w:r>
              <w:rPr>
                <w:noProof/>
                <w:color w:val="4F81BD" w:themeColor="accent1"/>
              </w:rPr>
              <w:t>a</w:t>
            </w:r>
            <w:r w:rsidR="001F4B6A" w:rsidRPr="00136D70">
              <w:rPr>
                <w:noProof/>
                <w:color w:val="4F81BD" w:themeColor="accent1"/>
              </w:rPr>
              <w:t xml:space="preserve">ssume burdens at EU level related to </w:t>
            </w:r>
            <w:r>
              <w:rPr>
                <w:noProof/>
                <w:color w:val="4F81BD" w:themeColor="accent1"/>
              </w:rPr>
              <w:t xml:space="preserve">revision </w:t>
            </w:r>
            <w:r w:rsidR="001F4B6A" w:rsidRPr="00136D70">
              <w:rPr>
                <w:noProof/>
                <w:color w:val="4F81BD" w:themeColor="accent1"/>
              </w:rPr>
              <w:t xml:space="preserve">of </w:t>
            </w:r>
            <w:r>
              <w:rPr>
                <w:noProof/>
                <w:color w:val="4F81BD" w:themeColor="accent1"/>
              </w:rPr>
              <w:t xml:space="preserve">the </w:t>
            </w:r>
            <w:r w:rsidR="00991900">
              <w:rPr>
                <w:noProof/>
                <w:color w:val="4F81BD" w:themeColor="accent1"/>
              </w:rPr>
              <w:t>limit values</w:t>
            </w:r>
            <w:r w:rsidR="001F4B6A" w:rsidRPr="00136D70">
              <w:rPr>
                <w:noProof/>
                <w:color w:val="4F81BD" w:themeColor="accent1"/>
              </w:rPr>
              <w:t xml:space="preserve"> by eliminating the need for Member States to </w:t>
            </w:r>
            <w:r w:rsidR="00854FA7">
              <w:rPr>
                <w:noProof/>
                <w:color w:val="4F81BD" w:themeColor="accent1"/>
              </w:rPr>
              <w:t xml:space="preserve">individually </w:t>
            </w:r>
            <w:r w:rsidR="001F4B6A" w:rsidRPr="00136D70">
              <w:rPr>
                <w:noProof/>
                <w:color w:val="4F81BD" w:themeColor="accent1"/>
              </w:rPr>
              <w:t>conduct their own scientific analys</w:t>
            </w:r>
            <w:r w:rsidR="00991900">
              <w:rPr>
                <w:noProof/>
                <w:color w:val="4F81BD" w:themeColor="accent1"/>
              </w:rPr>
              <w:t>e</w:t>
            </w:r>
            <w:r w:rsidR="001F4B6A" w:rsidRPr="00136D70">
              <w:rPr>
                <w:noProof/>
                <w:color w:val="4F81BD" w:themeColor="accent1"/>
              </w:rPr>
              <w:t>s.</w:t>
            </w:r>
          </w:p>
        </w:tc>
      </w:tr>
      <w:tr w:rsidR="00F35A70" w14:paraId="1EFD2EF6" w14:textId="77777777" w:rsidTr="005046EA">
        <w:tc>
          <w:tcPr>
            <w:tcW w:w="9288" w:type="dxa"/>
          </w:tcPr>
          <w:p w14:paraId="0F1475F0" w14:textId="77777777" w:rsidR="00F35A70" w:rsidRPr="00F35A70" w:rsidRDefault="00F35A70" w:rsidP="00B67A13">
            <w:pPr>
              <w:pStyle w:val="ListParagraph"/>
              <w:numPr>
                <w:ilvl w:val="0"/>
                <w:numId w:val="3"/>
              </w:numPr>
              <w:jc w:val="both"/>
              <w:rPr>
                <w:noProof/>
              </w:rPr>
            </w:pPr>
            <w:r>
              <w:rPr>
                <w:noProof/>
              </w:rPr>
              <w:t>To what extent do Member States have the ability or possibility to enact appropriate measures?</w:t>
            </w:r>
          </w:p>
        </w:tc>
      </w:tr>
      <w:tr w:rsidR="00F35A70" w14:paraId="6DC88A89" w14:textId="77777777" w:rsidTr="005046EA">
        <w:tc>
          <w:tcPr>
            <w:tcW w:w="9288" w:type="dxa"/>
          </w:tcPr>
          <w:p w14:paraId="36164D92" w14:textId="77777777" w:rsidR="003B0BF8" w:rsidRDefault="003F50D8" w:rsidP="003F50D8">
            <w:pPr>
              <w:pStyle w:val="ListParagraph"/>
              <w:ind w:left="0"/>
              <w:jc w:val="both"/>
              <w:rPr>
                <w:noProof/>
                <w:color w:val="4F81BD" w:themeColor="accent1"/>
              </w:rPr>
            </w:pPr>
            <w:r>
              <w:rPr>
                <w:noProof/>
                <w:color w:val="4F81BD" w:themeColor="accent1"/>
              </w:rPr>
              <w:t xml:space="preserve">The CMRD aims to protect workers from the </w:t>
            </w:r>
            <w:r w:rsidRPr="003F50D8">
              <w:rPr>
                <w:noProof/>
                <w:color w:val="4F81BD" w:themeColor="accent1"/>
              </w:rPr>
              <w:t>health and safety risks related to exposure to carcinogens, mutagens or substances toxic to reproduction at work.</w:t>
            </w:r>
            <w:r>
              <w:rPr>
                <w:noProof/>
                <w:color w:val="4F81BD" w:themeColor="accent1"/>
              </w:rPr>
              <w:t xml:space="preserve"> The CAD</w:t>
            </w:r>
            <w:r w:rsidRPr="007C74BD">
              <w:rPr>
                <w:noProof/>
                <w:color w:val="4F81BD" w:themeColor="accent1"/>
              </w:rPr>
              <w:t xml:space="preserve"> aims to</w:t>
            </w:r>
            <w:r>
              <w:rPr>
                <w:noProof/>
                <w:color w:val="4F81BD" w:themeColor="accent1"/>
              </w:rPr>
              <w:t xml:space="preserve"> protect</w:t>
            </w:r>
            <w:r w:rsidRPr="00991900">
              <w:rPr>
                <w:noProof/>
                <w:color w:val="4F81BD" w:themeColor="accent1"/>
              </w:rPr>
              <w:t xml:space="preserve"> workers from risks to their safety and health arising, or likely to arise, from the effects of chemical agents that are present at the workplace</w:t>
            </w:r>
            <w:r w:rsidRPr="007C74BD">
              <w:rPr>
                <w:noProof/>
                <w:color w:val="4F81BD" w:themeColor="accent1"/>
              </w:rPr>
              <w:t>.</w:t>
            </w:r>
            <w:r>
              <w:rPr>
                <w:noProof/>
                <w:color w:val="4F81BD" w:themeColor="accent1"/>
              </w:rPr>
              <w:t xml:space="preserve"> </w:t>
            </w:r>
          </w:p>
          <w:p w14:paraId="7D2E6E27" w14:textId="77777777" w:rsidR="003B0BF8" w:rsidRDefault="003B0BF8" w:rsidP="003F50D8">
            <w:pPr>
              <w:pStyle w:val="ListParagraph"/>
              <w:ind w:left="0"/>
              <w:jc w:val="both"/>
              <w:rPr>
                <w:noProof/>
                <w:color w:val="4F81BD" w:themeColor="accent1"/>
              </w:rPr>
            </w:pPr>
          </w:p>
          <w:p w14:paraId="71FF64BD" w14:textId="144FC108" w:rsidR="003F50D8" w:rsidRPr="003B0BF8" w:rsidRDefault="003F50D8" w:rsidP="00B67A13">
            <w:pPr>
              <w:pStyle w:val="ListParagraph"/>
              <w:ind w:left="0"/>
              <w:jc w:val="both"/>
              <w:rPr>
                <w:noProof/>
                <w:color w:val="4F81BD" w:themeColor="accent1"/>
              </w:rPr>
            </w:pPr>
            <w:r w:rsidRPr="007C74BD">
              <w:rPr>
                <w:noProof/>
                <w:color w:val="4F81BD" w:themeColor="accent1"/>
              </w:rPr>
              <w:t xml:space="preserve">A consistent level of protection from the risks related to </w:t>
            </w:r>
            <w:r w:rsidR="003B0BF8">
              <w:rPr>
                <w:noProof/>
                <w:color w:val="4F81BD" w:themeColor="accent1"/>
              </w:rPr>
              <w:t xml:space="preserve">carcinogens, mutagens and reprotoxic substances, and to chemical agents respectively </w:t>
            </w:r>
            <w:r w:rsidRPr="007C74BD">
              <w:rPr>
                <w:noProof/>
                <w:color w:val="4F81BD" w:themeColor="accent1"/>
              </w:rPr>
              <w:t>is provided for by a framework of general principles to enable Member States to ensure the consistent application of the minimum requirements. The minimum requirements provided for in th</w:t>
            </w:r>
            <w:r>
              <w:rPr>
                <w:noProof/>
                <w:color w:val="4F81BD" w:themeColor="accent1"/>
              </w:rPr>
              <w:t>e</w:t>
            </w:r>
            <w:r w:rsidRPr="007C74BD">
              <w:rPr>
                <w:noProof/>
                <w:color w:val="4F81BD" w:themeColor="accent1"/>
              </w:rPr>
              <w:t xml:space="preserve"> Directive</w:t>
            </w:r>
            <w:r w:rsidR="003B0BF8">
              <w:rPr>
                <w:noProof/>
                <w:color w:val="4F81BD" w:themeColor="accent1"/>
              </w:rPr>
              <w:t>s</w:t>
            </w:r>
            <w:r w:rsidRPr="007C74BD">
              <w:rPr>
                <w:noProof/>
                <w:color w:val="4F81BD" w:themeColor="accent1"/>
              </w:rPr>
              <w:t xml:space="preserve"> aim to protect workers at Union level. More stringent binding </w:t>
            </w:r>
            <w:r w:rsidR="003B0BF8">
              <w:rPr>
                <w:noProof/>
                <w:color w:val="4F81BD" w:themeColor="accent1"/>
              </w:rPr>
              <w:t>limit values</w:t>
            </w:r>
            <w:r w:rsidRPr="007C74BD">
              <w:rPr>
                <w:noProof/>
                <w:color w:val="4F81BD" w:themeColor="accent1"/>
              </w:rPr>
              <w:t xml:space="preserve"> or other protective measures can be set by Member States.</w:t>
            </w:r>
            <w:r>
              <w:rPr>
                <w:noProof/>
                <w:color w:val="4F81BD" w:themeColor="accent1"/>
              </w:rPr>
              <w:t xml:space="preserve"> </w:t>
            </w:r>
          </w:p>
        </w:tc>
      </w:tr>
      <w:tr w:rsidR="00F35A70" w14:paraId="277E3EAC" w14:textId="77777777" w:rsidTr="005046EA">
        <w:tc>
          <w:tcPr>
            <w:tcW w:w="9288" w:type="dxa"/>
          </w:tcPr>
          <w:p w14:paraId="4177AEEB" w14:textId="5A985F2F" w:rsidR="00F35A70" w:rsidRPr="00F35A70" w:rsidRDefault="00F35A70" w:rsidP="00B67A13">
            <w:pPr>
              <w:pStyle w:val="ListParagraph"/>
              <w:numPr>
                <w:ilvl w:val="0"/>
                <w:numId w:val="3"/>
              </w:numPr>
              <w:jc w:val="both"/>
              <w:rPr>
                <w:noProof/>
              </w:rPr>
            </w:pPr>
            <w:r>
              <w:rPr>
                <w:noProof/>
              </w:rPr>
              <w:t>How does the problem and its causes (e.g.</w:t>
            </w:r>
            <w:r w:rsidR="00AF5C1B">
              <w:rPr>
                <w:noProof/>
              </w:rPr>
              <w:t>,</w:t>
            </w:r>
            <w:r>
              <w:rPr>
                <w:noProof/>
              </w:rPr>
              <w:t xml:space="preserve"> negative externalities, spill-over effects) vary across the national, regional and local levels of the EU?</w:t>
            </w:r>
          </w:p>
        </w:tc>
      </w:tr>
      <w:tr w:rsidR="00F35A70" w14:paraId="267C2CBD" w14:textId="77777777" w:rsidTr="005046EA">
        <w:tc>
          <w:tcPr>
            <w:tcW w:w="9288" w:type="dxa"/>
          </w:tcPr>
          <w:p w14:paraId="5AEF9596" w14:textId="77777777" w:rsidR="00C80D75" w:rsidRDefault="00136D70" w:rsidP="00B67A13">
            <w:pPr>
              <w:spacing w:after="120"/>
              <w:jc w:val="both"/>
              <w:rPr>
                <w:noProof/>
                <w:color w:val="4F81BD" w:themeColor="accent1"/>
              </w:rPr>
            </w:pPr>
            <w:r>
              <w:rPr>
                <w:noProof/>
                <w:color w:val="4F81BD" w:themeColor="accent1"/>
              </w:rPr>
              <w:t>R</w:t>
            </w:r>
            <w:r w:rsidRPr="005A5351">
              <w:rPr>
                <w:noProof/>
                <w:color w:val="4F81BD" w:themeColor="accent1"/>
              </w:rPr>
              <w:t>isks to workers’ health and safety a</w:t>
            </w:r>
            <w:r>
              <w:rPr>
                <w:noProof/>
                <w:color w:val="4F81BD" w:themeColor="accent1"/>
              </w:rPr>
              <w:t xml:space="preserve">re broadly similar across the European Union. </w:t>
            </w:r>
          </w:p>
          <w:p w14:paraId="48117664" w14:textId="0E7E80D4" w:rsidR="00AF5C1B" w:rsidRDefault="00136D70" w:rsidP="00B67A13">
            <w:pPr>
              <w:spacing w:after="120"/>
              <w:jc w:val="both"/>
              <w:rPr>
                <w:noProof/>
                <w:color w:val="4F81BD" w:themeColor="accent1"/>
              </w:rPr>
            </w:pPr>
            <w:r>
              <w:rPr>
                <w:noProof/>
                <w:color w:val="4F81BD" w:themeColor="accent1"/>
              </w:rPr>
              <w:t>However, in the absence of EU action, the level of workers</w:t>
            </w:r>
            <w:r w:rsidR="0012098E">
              <w:rPr>
                <w:noProof/>
                <w:color w:val="4F81BD" w:themeColor="accent1"/>
              </w:rPr>
              <w:t>’</w:t>
            </w:r>
            <w:r>
              <w:rPr>
                <w:noProof/>
                <w:color w:val="4F81BD" w:themeColor="accent1"/>
              </w:rPr>
              <w:t xml:space="preserve"> protection from exposure to </w:t>
            </w:r>
            <w:r w:rsidR="00AF5C1B">
              <w:rPr>
                <w:noProof/>
                <w:color w:val="4F81BD" w:themeColor="accent1"/>
              </w:rPr>
              <w:t>lead</w:t>
            </w:r>
            <w:r>
              <w:rPr>
                <w:noProof/>
                <w:color w:val="4F81BD" w:themeColor="accent1"/>
              </w:rPr>
              <w:t xml:space="preserve"> can diverge from a Member State to another depending among others on whether national OEL</w:t>
            </w:r>
            <w:r w:rsidR="00AF5C1B">
              <w:rPr>
                <w:noProof/>
                <w:color w:val="4F81BD" w:themeColor="accent1"/>
              </w:rPr>
              <w:t>s and BLVs</w:t>
            </w:r>
            <w:r>
              <w:rPr>
                <w:noProof/>
                <w:color w:val="4F81BD" w:themeColor="accent1"/>
              </w:rPr>
              <w:t xml:space="preserve"> ha</w:t>
            </w:r>
            <w:r w:rsidR="00AF5C1B">
              <w:rPr>
                <w:noProof/>
                <w:color w:val="4F81BD" w:themeColor="accent1"/>
              </w:rPr>
              <w:t>ve</w:t>
            </w:r>
            <w:r>
              <w:rPr>
                <w:noProof/>
                <w:color w:val="4F81BD" w:themeColor="accent1"/>
              </w:rPr>
              <w:t xml:space="preserve"> already be</w:t>
            </w:r>
            <w:r w:rsidR="00612940">
              <w:rPr>
                <w:noProof/>
                <w:color w:val="4F81BD" w:themeColor="accent1"/>
              </w:rPr>
              <w:t>en</w:t>
            </w:r>
            <w:r>
              <w:rPr>
                <w:noProof/>
                <w:color w:val="4F81BD" w:themeColor="accent1"/>
              </w:rPr>
              <w:t xml:space="preserve"> revised following scientific development.</w:t>
            </w:r>
            <w:r w:rsidR="003F1AEB">
              <w:rPr>
                <w:noProof/>
                <w:color w:val="4F81BD" w:themeColor="accent1"/>
              </w:rPr>
              <w:t xml:space="preserve"> For instance, </w:t>
            </w:r>
            <w:r w:rsidR="00612940">
              <w:rPr>
                <w:noProof/>
                <w:color w:val="4F81BD" w:themeColor="accent1"/>
              </w:rPr>
              <w:t>15 Member States have a BLV lower than the EU level (Bulgaria, Croatia, Czechia, Denmark, Finland, France, Germany, Hungary, Italy, Latvia, the Netherlands, Poland, Slovakia, Slovenia and Sweden). Some Member States also have lower, age-dependant limits for women.</w:t>
            </w:r>
            <w:r w:rsidR="00AF5C1B">
              <w:rPr>
                <w:noProof/>
                <w:color w:val="4F81BD" w:themeColor="accent1"/>
              </w:rPr>
              <w:t xml:space="preserve"> </w:t>
            </w:r>
          </w:p>
          <w:p w14:paraId="31370309" w14:textId="4B791BF1" w:rsidR="00AF5C1B" w:rsidRPr="00AF5C1B" w:rsidRDefault="00612940" w:rsidP="00B67A13">
            <w:pPr>
              <w:spacing w:after="120"/>
              <w:jc w:val="both"/>
              <w:rPr>
                <w:noProof/>
                <w:color w:val="4F81BD" w:themeColor="accent1"/>
              </w:rPr>
            </w:pPr>
            <w:r>
              <w:rPr>
                <w:noProof/>
                <w:color w:val="4F81BD" w:themeColor="accent1"/>
              </w:rPr>
              <w:t xml:space="preserve">As for diisocyanates, despite the lack of EU limit values, </w:t>
            </w:r>
            <w:r w:rsidRPr="00612940">
              <w:rPr>
                <w:noProof/>
                <w:color w:val="4F81BD" w:themeColor="accent1"/>
              </w:rPr>
              <w:t>three EU Member States have a general OEL   and</w:t>
            </w:r>
            <w:r>
              <w:rPr>
                <w:noProof/>
                <w:color w:val="4F81BD" w:themeColor="accent1"/>
              </w:rPr>
              <w:t xml:space="preserve"> </w:t>
            </w:r>
            <w:r w:rsidRPr="00612940">
              <w:rPr>
                <w:noProof/>
                <w:color w:val="4F81BD" w:themeColor="accent1"/>
              </w:rPr>
              <w:t>18 have different OELs and STELS for some, but not all, different diisocyanates</w:t>
            </w:r>
            <w:r>
              <w:rPr>
                <w:noProof/>
                <w:color w:val="4F81BD" w:themeColor="accent1"/>
              </w:rPr>
              <w:t xml:space="preserve">. 17 have a STEL. </w:t>
            </w:r>
          </w:p>
        </w:tc>
      </w:tr>
      <w:tr w:rsidR="00F35A70" w14:paraId="4B3343B8" w14:textId="77777777" w:rsidTr="005046EA">
        <w:tc>
          <w:tcPr>
            <w:tcW w:w="9288" w:type="dxa"/>
          </w:tcPr>
          <w:p w14:paraId="04CD188B" w14:textId="77777777" w:rsidR="00F35A70" w:rsidRPr="00F35A70" w:rsidRDefault="00F35A70" w:rsidP="00B67A13">
            <w:pPr>
              <w:pStyle w:val="ListParagraph"/>
              <w:numPr>
                <w:ilvl w:val="0"/>
                <w:numId w:val="3"/>
              </w:numPr>
              <w:jc w:val="both"/>
              <w:rPr>
                <w:noProof/>
              </w:rPr>
            </w:pPr>
            <w:r>
              <w:rPr>
                <w:noProof/>
              </w:rPr>
              <w:t>Is the problem widespread across the EU or limited to a few Member States?</w:t>
            </w:r>
          </w:p>
        </w:tc>
      </w:tr>
      <w:tr w:rsidR="00F35A70" w14:paraId="58D44AE9" w14:textId="77777777" w:rsidTr="005046EA">
        <w:tc>
          <w:tcPr>
            <w:tcW w:w="9288" w:type="dxa"/>
          </w:tcPr>
          <w:p w14:paraId="1C3C4C69" w14:textId="77777777" w:rsidR="00C17621" w:rsidRDefault="00612940" w:rsidP="00B67A13">
            <w:pPr>
              <w:pStyle w:val="ListParagraph"/>
              <w:ind w:left="0"/>
              <w:jc w:val="both"/>
              <w:rPr>
                <w:noProof/>
                <w:color w:val="4F81BD" w:themeColor="accent1"/>
              </w:rPr>
            </w:pPr>
            <w:r>
              <w:rPr>
                <w:noProof/>
                <w:color w:val="4F81BD" w:themeColor="accent1"/>
              </w:rPr>
              <w:t>Although the current levels of protection diverge considerably, t</w:t>
            </w:r>
            <w:r w:rsidR="003F1AEB" w:rsidRPr="00F31782">
              <w:rPr>
                <w:noProof/>
                <w:color w:val="4F81BD" w:themeColor="accent1"/>
              </w:rPr>
              <w:t>he pro</w:t>
            </w:r>
            <w:r w:rsidR="003F1AEB">
              <w:rPr>
                <w:noProof/>
                <w:color w:val="4F81BD" w:themeColor="accent1"/>
              </w:rPr>
              <w:t>blem is widespread across the European Union</w:t>
            </w:r>
            <w:r w:rsidR="003F1AEB" w:rsidRPr="00F31782">
              <w:rPr>
                <w:noProof/>
                <w:color w:val="4F81BD" w:themeColor="accent1"/>
              </w:rPr>
              <w:t xml:space="preserve"> as risks to workers’ health and safety are broadly similar.</w:t>
            </w:r>
          </w:p>
          <w:p w14:paraId="116F188A" w14:textId="77777777" w:rsidR="00C17621" w:rsidRDefault="00C17621" w:rsidP="00B67A13">
            <w:pPr>
              <w:pStyle w:val="ListParagraph"/>
              <w:ind w:left="0"/>
              <w:jc w:val="both"/>
              <w:rPr>
                <w:noProof/>
                <w:color w:val="4F81BD" w:themeColor="accent1"/>
              </w:rPr>
            </w:pPr>
          </w:p>
          <w:p w14:paraId="08B9BEAB" w14:textId="26D08A6E" w:rsidR="00C17621" w:rsidRPr="00C17621" w:rsidRDefault="00C17621" w:rsidP="00B67A13">
            <w:pPr>
              <w:pStyle w:val="ListParagraph"/>
              <w:ind w:left="0"/>
              <w:jc w:val="both"/>
              <w:rPr>
                <w:noProof/>
                <w:color w:val="4F81BD" w:themeColor="accent1"/>
              </w:rPr>
            </w:pPr>
            <w:r>
              <w:rPr>
                <w:noProof/>
                <w:color w:val="4F81BD" w:themeColor="accent1"/>
              </w:rPr>
              <w:t>A</w:t>
            </w:r>
            <w:r w:rsidRPr="00C17621">
              <w:rPr>
                <w:noProof/>
                <w:color w:val="4F81BD" w:themeColor="accent1"/>
              </w:rPr>
              <w:t xml:space="preserve"> wide variety of sectors</w:t>
            </w:r>
            <w:r>
              <w:rPr>
                <w:noProof/>
                <w:color w:val="4F81BD" w:themeColor="accent1"/>
              </w:rPr>
              <w:t xml:space="preserve"> working with lead</w:t>
            </w:r>
            <w:r w:rsidRPr="00C17621">
              <w:rPr>
                <w:noProof/>
                <w:color w:val="4F81BD" w:themeColor="accent1"/>
              </w:rPr>
              <w:t xml:space="preserve"> are particularly represented in France, Germany, Italy, Poland and Spain, in which the existing limit value is higher than </w:t>
            </w:r>
            <w:r>
              <w:rPr>
                <w:noProof/>
                <w:color w:val="4F81BD" w:themeColor="accent1"/>
              </w:rPr>
              <w:t>the Commission proposal</w:t>
            </w:r>
            <w:r w:rsidRPr="00C17621">
              <w:rPr>
                <w:noProof/>
                <w:color w:val="4F81BD" w:themeColor="accent1"/>
              </w:rPr>
              <w:t xml:space="preserve">. Therefore, these Member States are expected to be more affected </w:t>
            </w:r>
            <w:r>
              <w:rPr>
                <w:noProof/>
                <w:color w:val="4F81BD" w:themeColor="accent1"/>
              </w:rPr>
              <w:t>by a lowering of the limit values</w:t>
            </w:r>
            <w:r w:rsidR="008F2FFA">
              <w:rPr>
                <w:noProof/>
                <w:color w:val="4F81BD" w:themeColor="accent1"/>
              </w:rPr>
              <w:t>, although all will be impacted</w:t>
            </w:r>
            <w:r w:rsidRPr="00C17621">
              <w:rPr>
                <w:noProof/>
                <w:color w:val="4F81BD" w:themeColor="accent1"/>
              </w:rPr>
              <w:t xml:space="preserve">.  </w:t>
            </w:r>
            <w:r>
              <w:rPr>
                <w:noProof/>
                <w:color w:val="4F81BD" w:themeColor="accent1"/>
              </w:rPr>
              <w:t xml:space="preserve">2.4 million companies across </w:t>
            </w:r>
            <w:r w:rsidR="00707ADC">
              <w:rPr>
                <w:noProof/>
                <w:color w:val="4F81BD" w:themeColor="accent1"/>
              </w:rPr>
              <w:t xml:space="preserve">most </w:t>
            </w:r>
            <w:r>
              <w:rPr>
                <w:noProof/>
                <w:color w:val="4F81BD" w:themeColor="accent1"/>
              </w:rPr>
              <w:t>Member States are concerned by the proposal on diisocyanates</w:t>
            </w:r>
            <w:r w:rsidR="008F2FFA">
              <w:rPr>
                <w:noProof/>
                <w:color w:val="4F81BD" w:themeColor="accent1"/>
              </w:rPr>
              <w:t>.</w:t>
            </w:r>
          </w:p>
        </w:tc>
      </w:tr>
      <w:tr w:rsidR="00F35A70" w14:paraId="42F2C86F" w14:textId="77777777" w:rsidTr="005046EA">
        <w:tc>
          <w:tcPr>
            <w:tcW w:w="9288" w:type="dxa"/>
          </w:tcPr>
          <w:p w14:paraId="634AAD9A" w14:textId="77777777" w:rsidR="00F35A70" w:rsidRPr="00F35A70" w:rsidRDefault="00F35A70" w:rsidP="00B67A13">
            <w:pPr>
              <w:pStyle w:val="ListParagraph"/>
              <w:numPr>
                <w:ilvl w:val="0"/>
                <w:numId w:val="3"/>
              </w:numPr>
              <w:jc w:val="both"/>
              <w:rPr>
                <w:noProof/>
              </w:rPr>
            </w:pPr>
            <w:r>
              <w:rPr>
                <w:noProof/>
              </w:rPr>
              <w:t>Are Member States overstretched in achieving the objectives of the planned measure?</w:t>
            </w:r>
          </w:p>
        </w:tc>
      </w:tr>
      <w:tr w:rsidR="003F1AEB" w14:paraId="5A391F49" w14:textId="77777777" w:rsidTr="003F1AEB">
        <w:tc>
          <w:tcPr>
            <w:tcW w:w="9288" w:type="dxa"/>
          </w:tcPr>
          <w:p w14:paraId="77001BD8" w14:textId="295B582F" w:rsidR="003F1AEB" w:rsidRPr="00F35A70" w:rsidRDefault="003F1AEB" w:rsidP="00B67A13">
            <w:pPr>
              <w:pStyle w:val="ListParagraph"/>
              <w:ind w:left="0"/>
              <w:jc w:val="both"/>
              <w:rPr>
                <w:noProof/>
              </w:rPr>
            </w:pPr>
            <w:r w:rsidRPr="003E6268">
              <w:rPr>
                <w:noProof/>
                <w:color w:val="4F81BD" w:themeColor="accent1"/>
              </w:rPr>
              <w:t>The process of establishing limit values is very complex and requires a high level of scientific expertise. This could partly explain why some Member States have no</w:t>
            </w:r>
            <w:r w:rsidR="00C17621">
              <w:rPr>
                <w:noProof/>
                <w:color w:val="4F81BD" w:themeColor="accent1"/>
              </w:rPr>
              <w:t>t</w:t>
            </w:r>
            <w:r w:rsidRPr="003E6268">
              <w:rPr>
                <w:noProof/>
                <w:color w:val="4F81BD" w:themeColor="accent1"/>
              </w:rPr>
              <w:t xml:space="preserve"> </w:t>
            </w:r>
            <w:r w:rsidR="00C17621">
              <w:rPr>
                <w:noProof/>
                <w:color w:val="4F81BD" w:themeColor="accent1"/>
              </w:rPr>
              <w:t xml:space="preserve">yet lowered their OELs and BLVs for </w:t>
            </w:r>
            <w:r w:rsidR="000F55BA">
              <w:rPr>
                <w:noProof/>
                <w:color w:val="4F81BD" w:themeColor="accent1"/>
              </w:rPr>
              <w:t xml:space="preserve">lead </w:t>
            </w:r>
            <w:r w:rsidR="00267F18">
              <w:rPr>
                <w:noProof/>
                <w:color w:val="4F81BD" w:themeColor="accent1"/>
              </w:rPr>
              <w:t xml:space="preserve">(from the values set at EU level in 1982) </w:t>
            </w:r>
            <w:r w:rsidR="000F55BA">
              <w:rPr>
                <w:noProof/>
                <w:color w:val="4F81BD" w:themeColor="accent1"/>
              </w:rPr>
              <w:t>or</w:t>
            </w:r>
            <w:r w:rsidR="00C17621">
              <w:rPr>
                <w:noProof/>
                <w:color w:val="4F81BD" w:themeColor="accent1"/>
              </w:rPr>
              <w:t xml:space="preserve"> have not introduced limit values for diisocyanates</w:t>
            </w:r>
            <w:r w:rsidRPr="003E6268">
              <w:rPr>
                <w:noProof/>
                <w:color w:val="4F81BD" w:themeColor="accent1"/>
              </w:rPr>
              <w:t xml:space="preserve">. An important advantage of setting </w:t>
            </w:r>
            <w:r w:rsidR="00787729">
              <w:rPr>
                <w:noProof/>
                <w:color w:val="4F81BD" w:themeColor="accent1"/>
              </w:rPr>
              <w:t xml:space="preserve">limit values </w:t>
            </w:r>
            <w:r w:rsidRPr="003E6268">
              <w:rPr>
                <w:noProof/>
                <w:color w:val="4F81BD" w:themeColor="accent1"/>
              </w:rPr>
              <w:t>at EU level is that it eliminates the need for Member States to conduct their own scientific analys</w:t>
            </w:r>
            <w:r w:rsidR="00C17621">
              <w:rPr>
                <w:noProof/>
                <w:color w:val="4F81BD" w:themeColor="accent1"/>
              </w:rPr>
              <w:t>e</w:t>
            </w:r>
            <w:r w:rsidRPr="003E6268">
              <w:rPr>
                <w:noProof/>
                <w:color w:val="4F81BD" w:themeColor="accent1"/>
              </w:rPr>
              <w:t>s</w:t>
            </w:r>
            <w:r w:rsidR="00C17621">
              <w:rPr>
                <w:noProof/>
                <w:color w:val="4F81BD" w:themeColor="accent1"/>
              </w:rPr>
              <w:t>,</w:t>
            </w:r>
            <w:r w:rsidRPr="003E6268">
              <w:rPr>
                <w:noProof/>
                <w:color w:val="4F81BD" w:themeColor="accent1"/>
              </w:rPr>
              <w:t xml:space="preserve"> with likely substantial savings on administrative costs. Given the limited resources for OSH at national level, this could release funds to be redirected into other OSH priorities.</w:t>
            </w:r>
          </w:p>
        </w:tc>
      </w:tr>
      <w:tr w:rsidR="003F1AEB" w14:paraId="1DF8D9C9" w14:textId="77777777" w:rsidTr="005046EA">
        <w:tc>
          <w:tcPr>
            <w:tcW w:w="9288" w:type="dxa"/>
          </w:tcPr>
          <w:p w14:paraId="5C720A0F" w14:textId="77777777" w:rsidR="003F1AEB" w:rsidRPr="00F35A70" w:rsidRDefault="003F1AEB" w:rsidP="00B67A13">
            <w:pPr>
              <w:pStyle w:val="ListParagraph"/>
              <w:numPr>
                <w:ilvl w:val="0"/>
                <w:numId w:val="3"/>
              </w:numPr>
              <w:jc w:val="both"/>
              <w:rPr>
                <w:noProof/>
              </w:rPr>
            </w:pPr>
            <w:r>
              <w:rPr>
                <w:noProof/>
              </w:rPr>
              <w:t>How do the views/preferred courses of action of national, regional and local authorities differ across the EU?</w:t>
            </w:r>
          </w:p>
        </w:tc>
      </w:tr>
      <w:tr w:rsidR="003F1AEB" w14:paraId="008D957B" w14:textId="77777777" w:rsidTr="008A41B0">
        <w:tc>
          <w:tcPr>
            <w:tcW w:w="9288" w:type="dxa"/>
          </w:tcPr>
          <w:p w14:paraId="2B7BCB45" w14:textId="3CDB6597" w:rsidR="003F1AEB" w:rsidRPr="00FE6F43" w:rsidRDefault="0077215E" w:rsidP="00B67A13">
            <w:pPr>
              <w:spacing w:after="120"/>
              <w:jc w:val="both"/>
              <w:rPr>
                <w:noProof/>
                <w:color w:val="4F81BD" w:themeColor="accent1"/>
              </w:rPr>
            </w:pPr>
            <w:r w:rsidRPr="00FE6F43">
              <w:rPr>
                <w:noProof/>
                <w:color w:val="4F81BD" w:themeColor="accent1"/>
              </w:rPr>
              <w:t xml:space="preserve">Acknowledging the development of the scientific knowledge, </w:t>
            </w:r>
            <w:r w:rsidR="00472D0B">
              <w:rPr>
                <w:noProof/>
                <w:color w:val="4F81BD" w:themeColor="accent1"/>
              </w:rPr>
              <w:t>15</w:t>
            </w:r>
            <w:r w:rsidRPr="00FE6F43">
              <w:rPr>
                <w:noProof/>
                <w:color w:val="4F81BD" w:themeColor="accent1"/>
              </w:rPr>
              <w:t xml:space="preserve"> EU Member States have already reduced their </w:t>
            </w:r>
            <w:r w:rsidR="00472D0B">
              <w:rPr>
                <w:noProof/>
                <w:color w:val="4F81BD" w:themeColor="accent1"/>
              </w:rPr>
              <w:t>BLV for lead, 21 have introduced an OEL for diisocyanates and 17 a STEL</w:t>
            </w:r>
            <w:r w:rsidRPr="00FE6F43">
              <w:rPr>
                <w:noProof/>
                <w:color w:val="4F81BD" w:themeColor="accent1"/>
              </w:rPr>
              <w:t>.</w:t>
            </w:r>
          </w:p>
          <w:p w14:paraId="6EC7C2EB" w14:textId="3052BBB9" w:rsidR="00C54353" w:rsidRPr="008A41B0" w:rsidRDefault="002C7141" w:rsidP="00D22E0E">
            <w:pPr>
              <w:spacing w:after="120"/>
              <w:jc w:val="both"/>
              <w:rPr>
                <w:noProof/>
                <w:color w:val="4F81BD" w:themeColor="accent1"/>
              </w:rPr>
            </w:pPr>
            <w:r>
              <w:rPr>
                <w:noProof/>
                <w:color w:val="4F81BD" w:themeColor="accent1"/>
              </w:rPr>
              <w:t>T</w:t>
            </w:r>
            <w:r w:rsidRPr="002C7141">
              <w:rPr>
                <w:noProof/>
                <w:color w:val="4F81BD" w:themeColor="accent1"/>
              </w:rPr>
              <w:t>he tripartite ACSH</w:t>
            </w:r>
            <w:r>
              <w:rPr>
                <w:noProof/>
                <w:color w:val="4F81BD" w:themeColor="accent1"/>
              </w:rPr>
              <w:t xml:space="preserve"> (composed </w:t>
            </w:r>
            <w:r w:rsidR="0016100B">
              <w:rPr>
                <w:noProof/>
                <w:color w:val="4F81BD" w:themeColor="accent1"/>
              </w:rPr>
              <w:t xml:space="preserve">of </w:t>
            </w:r>
            <w:r>
              <w:rPr>
                <w:noProof/>
                <w:color w:val="4F81BD" w:themeColor="accent1"/>
              </w:rPr>
              <w:t>representatives</w:t>
            </w:r>
            <w:r w:rsidR="0016100B">
              <w:rPr>
                <w:noProof/>
                <w:color w:val="4F81BD" w:themeColor="accent1"/>
              </w:rPr>
              <w:t xml:space="preserve"> of</w:t>
            </w:r>
            <w:r>
              <w:rPr>
                <w:noProof/>
                <w:color w:val="4F81BD" w:themeColor="accent1"/>
              </w:rPr>
              <w:t xml:space="preserve"> National Authorities, Employer</w:t>
            </w:r>
            <w:r w:rsidR="0016100B">
              <w:rPr>
                <w:noProof/>
                <w:color w:val="4F81BD" w:themeColor="accent1"/>
              </w:rPr>
              <w:t>s</w:t>
            </w:r>
            <w:r>
              <w:rPr>
                <w:noProof/>
                <w:color w:val="4F81BD" w:themeColor="accent1"/>
              </w:rPr>
              <w:t xml:space="preserve"> and Worker</w:t>
            </w:r>
            <w:r w:rsidR="0016100B">
              <w:rPr>
                <w:noProof/>
                <w:color w:val="4F81BD" w:themeColor="accent1"/>
              </w:rPr>
              <w:t>s</w:t>
            </w:r>
            <w:r>
              <w:rPr>
                <w:noProof/>
                <w:color w:val="4F81BD" w:themeColor="accent1"/>
              </w:rPr>
              <w:t xml:space="preserve">´ organisations in each </w:t>
            </w:r>
            <w:r w:rsidR="00D22E0E">
              <w:rPr>
                <w:noProof/>
                <w:color w:val="4F81BD" w:themeColor="accent1"/>
              </w:rPr>
              <w:t>M</w:t>
            </w:r>
            <w:r>
              <w:rPr>
                <w:noProof/>
                <w:color w:val="4F81BD" w:themeColor="accent1"/>
              </w:rPr>
              <w:t xml:space="preserve">ember </w:t>
            </w:r>
            <w:r w:rsidR="00D22E0E">
              <w:rPr>
                <w:noProof/>
                <w:color w:val="4F81BD" w:themeColor="accent1"/>
              </w:rPr>
              <w:t>S</w:t>
            </w:r>
            <w:r>
              <w:rPr>
                <w:noProof/>
                <w:color w:val="4F81BD" w:themeColor="accent1"/>
              </w:rPr>
              <w:t>tate)</w:t>
            </w:r>
            <w:r w:rsidRPr="002C7141">
              <w:rPr>
                <w:noProof/>
                <w:color w:val="4F81BD" w:themeColor="accent1"/>
              </w:rPr>
              <w:t xml:space="preserve">, in November 2021, reached a consensus on the need to substantially revise downwards the existing binding </w:t>
            </w:r>
            <w:r w:rsidR="00787729">
              <w:rPr>
                <w:noProof/>
                <w:color w:val="4F81BD" w:themeColor="accent1"/>
              </w:rPr>
              <w:t xml:space="preserve">OEL and BLV for lead and to introduce an OEL and STEL for diisocyanates </w:t>
            </w:r>
            <w:r w:rsidRPr="002C7141">
              <w:rPr>
                <w:noProof/>
                <w:color w:val="4F81BD" w:themeColor="accent1"/>
              </w:rPr>
              <w:t xml:space="preserve">to better protect workers’ health and safety and thus reduce the probability for </w:t>
            </w:r>
            <w:r w:rsidR="00787729">
              <w:rPr>
                <w:noProof/>
                <w:color w:val="4F81BD" w:themeColor="accent1"/>
              </w:rPr>
              <w:t xml:space="preserve">occupational </w:t>
            </w:r>
            <w:r w:rsidR="00E76178">
              <w:rPr>
                <w:noProof/>
                <w:color w:val="4F81BD" w:themeColor="accent1"/>
              </w:rPr>
              <w:t>diseases</w:t>
            </w:r>
            <w:r w:rsidRPr="002C7141">
              <w:rPr>
                <w:noProof/>
                <w:color w:val="4F81BD" w:themeColor="accent1"/>
              </w:rPr>
              <w:t xml:space="preserve"> to happen.</w:t>
            </w:r>
            <w:r w:rsidR="0016100B">
              <w:rPr>
                <w:rStyle w:val="FootnoteReference"/>
                <w:noProof/>
                <w:color w:val="4F81BD" w:themeColor="accent1"/>
              </w:rPr>
              <w:footnoteReference w:id="8"/>
            </w:r>
          </w:p>
        </w:tc>
      </w:tr>
      <w:tr w:rsidR="003F1AEB" w14:paraId="33B6634C" w14:textId="77777777" w:rsidTr="005046EA">
        <w:tc>
          <w:tcPr>
            <w:tcW w:w="9288" w:type="dxa"/>
          </w:tcPr>
          <w:p w14:paraId="52AC3692" w14:textId="77777777" w:rsidR="003F1AEB" w:rsidRPr="0054546C" w:rsidRDefault="003F1AEB" w:rsidP="00B67A13">
            <w:pPr>
              <w:pStyle w:val="ListParagraph"/>
              <w:numPr>
                <w:ilvl w:val="1"/>
                <w:numId w:val="1"/>
              </w:numPr>
              <w:jc w:val="both"/>
              <w:rPr>
                <w:b/>
                <w:noProof/>
              </w:rPr>
            </w:pPr>
            <w:r>
              <w:rPr>
                <w:b/>
                <w:noProof/>
              </w:rPr>
              <w:t>Based on the answer to the questions below, can the objectives of the proposed action be better achieved at Union level by reason of scale or effects of that action (EU added value)?</w:t>
            </w:r>
          </w:p>
        </w:tc>
      </w:tr>
      <w:tr w:rsidR="003F1AEB" w14:paraId="2670BD8D" w14:textId="77777777" w:rsidTr="005046EA">
        <w:tc>
          <w:tcPr>
            <w:tcW w:w="9288" w:type="dxa"/>
          </w:tcPr>
          <w:p w14:paraId="770C1AE5" w14:textId="61A1DBAB" w:rsidR="003F1AEB" w:rsidRPr="00F35A70" w:rsidRDefault="00C6498F" w:rsidP="00B67A13">
            <w:pPr>
              <w:jc w:val="both"/>
              <w:rPr>
                <w:noProof/>
                <w:color w:val="4F81BD" w:themeColor="accent1"/>
              </w:rPr>
            </w:pPr>
            <w:r>
              <w:rPr>
                <w:noProof/>
                <w:color w:val="4F81BD" w:themeColor="accent1"/>
              </w:rPr>
              <w:t xml:space="preserve">Acting at the EU level would enable among others to ensure a </w:t>
            </w:r>
            <w:r w:rsidR="00D16BC0">
              <w:rPr>
                <w:noProof/>
                <w:color w:val="4F81BD" w:themeColor="accent1"/>
              </w:rPr>
              <w:t xml:space="preserve">fair </w:t>
            </w:r>
            <w:r>
              <w:rPr>
                <w:noProof/>
                <w:color w:val="4F81BD" w:themeColor="accent1"/>
              </w:rPr>
              <w:t xml:space="preserve">similar minimum level of protection across the European Union, contribute to a level playing field and improve clarity and enforcement. </w:t>
            </w:r>
            <w:r w:rsidR="00D16BC0">
              <w:rPr>
                <w:noProof/>
                <w:color w:val="4F81BD" w:themeColor="accent1"/>
              </w:rPr>
              <w:t xml:space="preserve">Revising </w:t>
            </w:r>
            <w:r>
              <w:rPr>
                <w:noProof/>
                <w:color w:val="4F81BD" w:themeColor="accent1"/>
              </w:rPr>
              <w:t xml:space="preserve">the </w:t>
            </w:r>
            <w:r w:rsidR="00472D0B">
              <w:rPr>
                <w:noProof/>
                <w:color w:val="4F81BD" w:themeColor="accent1"/>
              </w:rPr>
              <w:t>limit values</w:t>
            </w:r>
            <w:r>
              <w:rPr>
                <w:noProof/>
                <w:color w:val="4F81BD" w:themeColor="accent1"/>
              </w:rPr>
              <w:t xml:space="preserve"> at the EU level would also enable to eliminate</w:t>
            </w:r>
            <w:r w:rsidRPr="003E6268">
              <w:rPr>
                <w:noProof/>
                <w:color w:val="4F81BD" w:themeColor="accent1"/>
              </w:rPr>
              <w:t xml:space="preserve"> the need for Member States to conduct their own scientific analys</w:t>
            </w:r>
            <w:r w:rsidR="00472D0B">
              <w:rPr>
                <w:noProof/>
                <w:color w:val="4F81BD" w:themeColor="accent1"/>
              </w:rPr>
              <w:t>e</w:t>
            </w:r>
            <w:r w:rsidRPr="003E6268">
              <w:rPr>
                <w:noProof/>
                <w:color w:val="4F81BD" w:themeColor="accent1"/>
              </w:rPr>
              <w:t xml:space="preserve">s with likely substantial savings on administrative costs. </w:t>
            </w:r>
          </w:p>
        </w:tc>
      </w:tr>
      <w:tr w:rsidR="003F1AEB" w14:paraId="6C892492" w14:textId="77777777" w:rsidTr="005046EA">
        <w:tc>
          <w:tcPr>
            <w:tcW w:w="9288" w:type="dxa"/>
          </w:tcPr>
          <w:p w14:paraId="4E249586" w14:textId="64077782" w:rsidR="003F1AEB" w:rsidRPr="009A140A" w:rsidRDefault="003F1AEB" w:rsidP="00B67A13">
            <w:pPr>
              <w:pStyle w:val="ListParagraph"/>
              <w:numPr>
                <w:ilvl w:val="0"/>
                <w:numId w:val="5"/>
              </w:numPr>
              <w:jc w:val="both"/>
              <w:rPr>
                <w:noProof/>
              </w:rPr>
            </w:pPr>
            <w:r>
              <w:rPr>
                <w:noProof/>
              </w:rPr>
              <w:t xml:space="preserve">Are there clear benefits from EU level action? </w:t>
            </w:r>
          </w:p>
        </w:tc>
      </w:tr>
      <w:tr w:rsidR="003F1AEB" w14:paraId="766C28A6" w14:textId="77777777" w:rsidTr="005046EA">
        <w:tc>
          <w:tcPr>
            <w:tcW w:w="9288" w:type="dxa"/>
          </w:tcPr>
          <w:p w14:paraId="3EC13471" w14:textId="4872C0DD" w:rsidR="00D16BC0" w:rsidRPr="009555FF" w:rsidRDefault="00D16BC0" w:rsidP="00B67A13">
            <w:pPr>
              <w:jc w:val="both"/>
              <w:rPr>
                <w:noProof/>
                <w:color w:val="4F81BD" w:themeColor="accent1"/>
              </w:rPr>
            </w:pPr>
            <w:r w:rsidRPr="009555FF">
              <w:rPr>
                <w:noProof/>
                <w:color w:val="4F81BD" w:themeColor="accent1"/>
              </w:rPr>
              <w:t xml:space="preserve">Amending Directive </w:t>
            </w:r>
            <w:r w:rsidR="00472D0B">
              <w:rPr>
                <w:noProof/>
                <w:color w:val="4F81BD" w:themeColor="accent1"/>
              </w:rPr>
              <w:t>98/24</w:t>
            </w:r>
            <w:r w:rsidRPr="009555FF">
              <w:rPr>
                <w:noProof/>
                <w:color w:val="4F81BD" w:themeColor="accent1"/>
              </w:rPr>
              <w:t>/EC</w:t>
            </w:r>
            <w:r w:rsidR="00472D0B">
              <w:rPr>
                <w:noProof/>
                <w:color w:val="4F81BD" w:themeColor="accent1"/>
              </w:rPr>
              <w:t xml:space="preserve"> and 2004/37/EC</w:t>
            </w:r>
            <w:r w:rsidRPr="009555FF">
              <w:rPr>
                <w:noProof/>
                <w:color w:val="4F81BD" w:themeColor="accent1"/>
              </w:rPr>
              <w:t xml:space="preserve"> presents an EU added value in several aspects: </w:t>
            </w:r>
          </w:p>
          <w:p w14:paraId="15B53947" w14:textId="22052190" w:rsidR="00D16BC0" w:rsidRPr="009555FF" w:rsidRDefault="00D16BC0" w:rsidP="00B67A13">
            <w:pPr>
              <w:pStyle w:val="ListParagraph"/>
              <w:numPr>
                <w:ilvl w:val="0"/>
                <w:numId w:val="9"/>
              </w:numPr>
              <w:jc w:val="both"/>
              <w:rPr>
                <w:noProof/>
                <w:color w:val="4F81BD" w:themeColor="accent1"/>
              </w:rPr>
            </w:pPr>
            <w:r w:rsidRPr="009555FF">
              <w:rPr>
                <w:noProof/>
                <w:color w:val="4F81BD" w:themeColor="accent1"/>
              </w:rPr>
              <w:t xml:space="preserve">Ensuring a similar </w:t>
            </w:r>
            <w:r>
              <w:rPr>
                <w:noProof/>
                <w:color w:val="4F81BD" w:themeColor="accent1"/>
              </w:rPr>
              <w:t xml:space="preserve">and fair </w:t>
            </w:r>
            <w:r w:rsidRPr="009555FF">
              <w:rPr>
                <w:noProof/>
                <w:color w:val="4F81BD" w:themeColor="accent1"/>
              </w:rPr>
              <w:t>minimum level of protection across the E</w:t>
            </w:r>
            <w:r>
              <w:rPr>
                <w:noProof/>
                <w:color w:val="4F81BD" w:themeColor="accent1"/>
              </w:rPr>
              <w:t xml:space="preserve">uropean </w:t>
            </w:r>
            <w:r w:rsidRPr="009555FF">
              <w:rPr>
                <w:noProof/>
                <w:color w:val="4F81BD" w:themeColor="accent1"/>
              </w:rPr>
              <w:t>U</w:t>
            </w:r>
            <w:r>
              <w:rPr>
                <w:noProof/>
                <w:color w:val="4F81BD" w:themeColor="accent1"/>
              </w:rPr>
              <w:t>nion</w:t>
            </w:r>
            <w:r w:rsidRPr="009555FF">
              <w:rPr>
                <w:noProof/>
                <w:color w:val="4F81BD" w:themeColor="accent1"/>
              </w:rPr>
              <w:t>;</w:t>
            </w:r>
          </w:p>
          <w:p w14:paraId="6463248B" w14:textId="60B6D4C9" w:rsidR="00D16BC0" w:rsidRDefault="00D16BC0" w:rsidP="00B67A13">
            <w:pPr>
              <w:pStyle w:val="ListParagraph"/>
              <w:numPr>
                <w:ilvl w:val="0"/>
                <w:numId w:val="9"/>
              </w:numPr>
              <w:jc w:val="both"/>
              <w:rPr>
                <w:noProof/>
                <w:color w:val="4F81BD" w:themeColor="accent1"/>
              </w:rPr>
            </w:pPr>
            <w:r w:rsidRPr="009555FF">
              <w:rPr>
                <w:noProof/>
                <w:color w:val="4F81BD" w:themeColor="accent1"/>
              </w:rPr>
              <w:t>Contributing to a level playing field;</w:t>
            </w:r>
          </w:p>
          <w:p w14:paraId="4A7DDAD6" w14:textId="76F94456" w:rsidR="00D16BC0" w:rsidRPr="00B67A13" w:rsidRDefault="00D16BC0" w:rsidP="00B67A13">
            <w:pPr>
              <w:pStyle w:val="ListParagraph"/>
              <w:numPr>
                <w:ilvl w:val="0"/>
                <w:numId w:val="10"/>
              </w:numPr>
              <w:spacing w:after="120"/>
              <w:jc w:val="both"/>
              <w:rPr>
                <w:noProof/>
                <w:color w:val="4F81BD" w:themeColor="accent1"/>
              </w:rPr>
            </w:pPr>
            <w:r w:rsidRPr="00B67A13">
              <w:rPr>
                <w:noProof/>
                <w:color w:val="4F81BD" w:themeColor="accent1"/>
              </w:rPr>
              <w:t>Assuming burdens at EU level related to revision of limit value</w:t>
            </w:r>
            <w:r w:rsidR="00472D0B">
              <w:rPr>
                <w:noProof/>
                <w:color w:val="4F81BD" w:themeColor="accent1"/>
              </w:rPr>
              <w:t>s</w:t>
            </w:r>
            <w:r w:rsidRPr="00B67A13">
              <w:rPr>
                <w:noProof/>
                <w:color w:val="4F81BD" w:themeColor="accent1"/>
              </w:rPr>
              <w:t xml:space="preserve">. </w:t>
            </w:r>
          </w:p>
          <w:p w14:paraId="644CEEA5" w14:textId="3326E2A5" w:rsidR="003F1AEB" w:rsidRDefault="00D16BC0" w:rsidP="00B67A13">
            <w:pPr>
              <w:spacing w:after="120"/>
              <w:jc w:val="both"/>
              <w:rPr>
                <w:noProof/>
              </w:rPr>
            </w:pPr>
            <w:r w:rsidRPr="009555FF">
              <w:rPr>
                <w:noProof/>
                <w:color w:val="4F81BD" w:themeColor="accent1"/>
              </w:rPr>
              <w:t>More information can be found in point 3.2 of the Impact Assessment.</w:t>
            </w:r>
          </w:p>
        </w:tc>
      </w:tr>
      <w:tr w:rsidR="003F1AEB" w14:paraId="416B4E02" w14:textId="77777777" w:rsidTr="005046EA">
        <w:tc>
          <w:tcPr>
            <w:tcW w:w="9288" w:type="dxa"/>
          </w:tcPr>
          <w:p w14:paraId="2E605A0C" w14:textId="77777777" w:rsidR="003F1AEB" w:rsidRDefault="003F1AEB" w:rsidP="00B67A13">
            <w:pPr>
              <w:pStyle w:val="ListParagraph"/>
              <w:numPr>
                <w:ilvl w:val="0"/>
                <w:numId w:val="5"/>
              </w:numPr>
              <w:jc w:val="both"/>
              <w:rPr>
                <w:noProof/>
              </w:rPr>
            </w:pPr>
            <w:r>
              <w:rPr>
                <w:noProof/>
              </w:rPr>
              <w:t>Are there economies of scale? Can the objectives be met more efficiently at EU level (larger benefits per unit cost)? Will the functioning of the internal market be improved?</w:t>
            </w:r>
          </w:p>
        </w:tc>
      </w:tr>
      <w:tr w:rsidR="003F1AEB" w14:paraId="2ADF32CA" w14:textId="77777777" w:rsidTr="005046EA">
        <w:tc>
          <w:tcPr>
            <w:tcW w:w="9288" w:type="dxa"/>
          </w:tcPr>
          <w:p w14:paraId="4C9C7FC9" w14:textId="10BCE3DD" w:rsidR="003F1AEB" w:rsidRDefault="00DB2875" w:rsidP="00B67A13">
            <w:pPr>
              <w:pStyle w:val="ListParagraph"/>
              <w:ind w:left="0"/>
              <w:jc w:val="both"/>
              <w:rPr>
                <w:noProof/>
              </w:rPr>
            </w:pPr>
            <w:r w:rsidRPr="009555FF">
              <w:rPr>
                <w:noProof/>
                <w:color w:val="4F81BD" w:themeColor="accent1"/>
              </w:rPr>
              <w:t>The process of establishing limit values is very complex and requires a high level of scientific expertise. An important advantage of setting OELs at EU level is that it eliminates the need for Member States to conduct their own scientific analys</w:t>
            </w:r>
            <w:r w:rsidR="000E3FA4">
              <w:rPr>
                <w:noProof/>
                <w:color w:val="4F81BD" w:themeColor="accent1"/>
              </w:rPr>
              <w:t>e</w:t>
            </w:r>
            <w:r w:rsidRPr="009555FF">
              <w:rPr>
                <w:noProof/>
                <w:color w:val="4F81BD" w:themeColor="accent1"/>
              </w:rPr>
              <w:t>s. These economies of scale should lead to likely substantial savings on administrative costs. Given the limited resources for OSH at national level, this could release funds to be redirected into other OSH priorities.</w:t>
            </w:r>
          </w:p>
        </w:tc>
      </w:tr>
      <w:tr w:rsidR="003F1AEB" w14:paraId="1BE16B27" w14:textId="77777777" w:rsidTr="005046EA">
        <w:tc>
          <w:tcPr>
            <w:tcW w:w="9288" w:type="dxa"/>
          </w:tcPr>
          <w:p w14:paraId="4FAC3105" w14:textId="28E6E329" w:rsidR="003F1AEB" w:rsidRDefault="003F1AEB" w:rsidP="00B67A13">
            <w:pPr>
              <w:pStyle w:val="ListParagraph"/>
              <w:numPr>
                <w:ilvl w:val="0"/>
                <w:numId w:val="5"/>
              </w:numPr>
              <w:jc w:val="both"/>
              <w:rPr>
                <w:noProof/>
              </w:rPr>
            </w:pPr>
            <w:r>
              <w:rPr>
                <w:noProof/>
              </w:rPr>
              <w:t>What are the benefits in replacing different national policies and rules with a more homogenous policy approach?</w:t>
            </w:r>
          </w:p>
        </w:tc>
      </w:tr>
      <w:tr w:rsidR="003F1AEB" w:rsidRPr="00D16BC0" w14:paraId="5A710038" w14:textId="77777777" w:rsidTr="005046EA">
        <w:tc>
          <w:tcPr>
            <w:tcW w:w="9288" w:type="dxa"/>
          </w:tcPr>
          <w:p w14:paraId="5F31E512" w14:textId="76EAB685" w:rsidR="00DB2875" w:rsidRPr="00BF2AC8" w:rsidRDefault="000E3FA4" w:rsidP="00B67A13">
            <w:pPr>
              <w:spacing w:after="120"/>
              <w:jc w:val="both"/>
              <w:rPr>
                <w:noProof/>
                <w:color w:val="4F81BD" w:themeColor="accent1"/>
              </w:rPr>
            </w:pPr>
            <w:r>
              <w:rPr>
                <w:noProof/>
                <w:color w:val="4F81BD" w:themeColor="accent1"/>
              </w:rPr>
              <w:t>Directives 98/24</w:t>
            </w:r>
            <w:r w:rsidRPr="009555FF">
              <w:rPr>
                <w:noProof/>
                <w:color w:val="4F81BD" w:themeColor="accent1"/>
              </w:rPr>
              <w:t>/EC</w:t>
            </w:r>
            <w:r>
              <w:rPr>
                <w:noProof/>
                <w:color w:val="4F81BD" w:themeColor="accent1"/>
              </w:rPr>
              <w:t xml:space="preserve"> and 2004/37/EC</w:t>
            </w:r>
            <w:r w:rsidRPr="009555FF">
              <w:rPr>
                <w:noProof/>
                <w:color w:val="4F81BD" w:themeColor="accent1"/>
              </w:rPr>
              <w:t xml:space="preserve"> </w:t>
            </w:r>
            <w:r>
              <w:rPr>
                <w:noProof/>
                <w:color w:val="4F81BD" w:themeColor="accent1"/>
              </w:rPr>
              <w:t>do</w:t>
            </w:r>
            <w:r w:rsidR="00DB2875" w:rsidRPr="00BF2AC8">
              <w:rPr>
                <w:noProof/>
                <w:color w:val="4F81BD" w:themeColor="accent1"/>
              </w:rPr>
              <w:t xml:space="preserve"> not aim to replace national policies and rules but rather to set minimum requirements in order to protect workers at </w:t>
            </w:r>
            <w:r w:rsidR="00DB2875">
              <w:rPr>
                <w:noProof/>
                <w:color w:val="4F81BD" w:themeColor="accent1"/>
              </w:rPr>
              <w:t>EU</w:t>
            </w:r>
            <w:r w:rsidR="00DB2875" w:rsidRPr="00BF2AC8">
              <w:rPr>
                <w:noProof/>
                <w:color w:val="4F81BD" w:themeColor="accent1"/>
              </w:rPr>
              <w:t xml:space="preserve"> level. More stringent binding </w:t>
            </w:r>
            <w:r w:rsidR="00DB2875">
              <w:rPr>
                <w:noProof/>
                <w:color w:val="4F81BD" w:themeColor="accent1"/>
              </w:rPr>
              <w:t>OELs</w:t>
            </w:r>
            <w:r w:rsidR="00DB2875" w:rsidRPr="00BF2AC8">
              <w:rPr>
                <w:noProof/>
                <w:color w:val="4F81BD" w:themeColor="accent1"/>
              </w:rPr>
              <w:t xml:space="preserve"> or other protective measures can be set by Member States. </w:t>
            </w:r>
          </w:p>
          <w:p w14:paraId="31D884F2" w14:textId="6AC4844D" w:rsidR="003F1AEB" w:rsidRPr="00D16BC0" w:rsidRDefault="00DB2875" w:rsidP="00B67A13">
            <w:pPr>
              <w:spacing w:after="120"/>
              <w:jc w:val="both"/>
              <w:rPr>
                <w:noProof/>
                <w:lang w:val="en-IE"/>
              </w:rPr>
            </w:pPr>
            <w:r w:rsidRPr="00BF2AC8">
              <w:rPr>
                <w:noProof/>
                <w:color w:val="4F81BD" w:themeColor="accent1"/>
              </w:rPr>
              <w:t>However, the minimum requirements provided for in th</w:t>
            </w:r>
            <w:r w:rsidR="000E3FA4">
              <w:rPr>
                <w:noProof/>
                <w:color w:val="4F81BD" w:themeColor="accent1"/>
              </w:rPr>
              <w:t>e</w:t>
            </w:r>
            <w:r w:rsidRPr="00BF2AC8">
              <w:rPr>
                <w:noProof/>
                <w:color w:val="4F81BD" w:themeColor="accent1"/>
              </w:rPr>
              <w:t xml:space="preserve"> Directive</w:t>
            </w:r>
            <w:r w:rsidR="000E3FA4">
              <w:rPr>
                <w:noProof/>
                <w:color w:val="4F81BD" w:themeColor="accent1"/>
              </w:rPr>
              <w:t>s</w:t>
            </w:r>
            <w:r w:rsidRPr="00BF2AC8">
              <w:rPr>
                <w:noProof/>
                <w:color w:val="4F81BD" w:themeColor="accent1"/>
              </w:rPr>
              <w:t xml:space="preserve"> aim</w:t>
            </w:r>
            <w:r w:rsidR="000E3FA4">
              <w:rPr>
                <w:noProof/>
                <w:color w:val="4F81BD" w:themeColor="accent1"/>
              </w:rPr>
              <w:t>,</w:t>
            </w:r>
            <w:r w:rsidRPr="00BF2AC8">
              <w:rPr>
                <w:noProof/>
                <w:color w:val="4F81BD" w:themeColor="accent1"/>
              </w:rPr>
              <w:t xml:space="preserve"> among others</w:t>
            </w:r>
            <w:r w:rsidR="000E3FA4">
              <w:rPr>
                <w:noProof/>
                <w:color w:val="4F81BD" w:themeColor="accent1"/>
              </w:rPr>
              <w:t>,</w:t>
            </w:r>
            <w:r w:rsidRPr="00BF2AC8">
              <w:rPr>
                <w:noProof/>
                <w:color w:val="4F81BD" w:themeColor="accent1"/>
              </w:rPr>
              <w:t xml:space="preserve"> to ensure a similar minimum level of protection across the E</w:t>
            </w:r>
            <w:r>
              <w:rPr>
                <w:noProof/>
                <w:color w:val="4F81BD" w:themeColor="accent1"/>
              </w:rPr>
              <w:t xml:space="preserve">uropean </w:t>
            </w:r>
            <w:r w:rsidRPr="00BF2AC8">
              <w:rPr>
                <w:noProof/>
                <w:color w:val="4F81BD" w:themeColor="accent1"/>
              </w:rPr>
              <w:t>U</w:t>
            </w:r>
            <w:r>
              <w:rPr>
                <w:noProof/>
                <w:color w:val="4F81BD" w:themeColor="accent1"/>
              </w:rPr>
              <w:t>nion</w:t>
            </w:r>
            <w:r w:rsidRPr="00BF2AC8">
              <w:rPr>
                <w:noProof/>
                <w:color w:val="4F81BD" w:themeColor="accent1"/>
              </w:rPr>
              <w:t xml:space="preserve"> while contributing to a level playing field and a better functioning of the internal market.</w:t>
            </w:r>
          </w:p>
        </w:tc>
      </w:tr>
      <w:tr w:rsidR="003F1AEB" w14:paraId="0A592FFF" w14:textId="77777777" w:rsidTr="005046EA">
        <w:tc>
          <w:tcPr>
            <w:tcW w:w="9288" w:type="dxa"/>
          </w:tcPr>
          <w:p w14:paraId="3C22490C" w14:textId="77777777" w:rsidR="003F1AEB" w:rsidRDefault="003F1AEB" w:rsidP="00B67A13">
            <w:pPr>
              <w:pStyle w:val="ListParagraph"/>
              <w:numPr>
                <w:ilvl w:val="0"/>
                <w:numId w:val="5"/>
              </w:numPr>
              <w:jc w:val="both"/>
              <w:rPr>
                <w:noProof/>
              </w:rPr>
            </w:pPr>
            <w:r>
              <w:rPr>
                <w:noProof/>
              </w:rPr>
              <w:t>Do the benefits of EU-level action outweigh the loss of competence of the Member States and the local and regional authorities (beyond the costs and benefits of acting at national, regional and local levels)?</w:t>
            </w:r>
          </w:p>
        </w:tc>
      </w:tr>
      <w:tr w:rsidR="003F1AEB" w14:paraId="166397EC" w14:textId="77777777" w:rsidTr="005046EA">
        <w:tc>
          <w:tcPr>
            <w:tcW w:w="9288" w:type="dxa"/>
          </w:tcPr>
          <w:p w14:paraId="1FBE3952" w14:textId="3019EBE3" w:rsidR="00C80D75" w:rsidRDefault="00E41C56" w:rsidP="00B67A13">
            <w:pPr>
              <w:spacing w:after="120"/>
              <w:jc w:val="both"/>
              <w:rPr>
                <w:noProof/>
                <w:color w:val="4F81BD" w:themeColor="accent1"/>
              </w:rPr>
            </w:pPr>
            <w:r w:rsidRPr="00E41C56">
              <w:rPr>
                <w:noProof/>
                <w:color w:val="4F81BD" w:themeColor="accent1"/>
              </w:rPr>
              <w:t xml:space="preserve">The fight against occupational </w:t>
            </w:r>
            <w:r w:rsidR="0002696C">
              <w:rPr>
                <w:noProof/>
                <w:color w:val="4F81BD" w:themeColor="accent1"/>
              </w:rPr>
              <w:t>diseases</w:t>
            </w:r>
            <w:r w:rsidRPr="00E41C56">
              <w:rPr>
                <w:noProof/>
                <w:color w:val="4F81BD" w:themeColor="accent1"/>
              </w:rPr>
              <w:t xml:space="preserve"> remains a high priority in the area of OSH</w:t>
            </w:r>
            <w:r w:rsidR="00EE7831">
              <w:rPr>
                <w:noProof/>
                <w:color w:val="4F81BD" w:themeColor="accent1"/>
              </w:rPr>
              <w:t xml:space="preserve"> at EU-level</w:t>
            </w:r>
            <w:r w:rsidRPr="00E41C56">
              <w:rPr>
                <w:noProof/>
                <w:color w:val="4F81BD" w:themeColor="accent1"/>
              </w:rPr>
              <w:t xml:space="preserve">. </w:t>
            </w:r>
          </w:p>
          <w:p w14:paraId="43677408" w14:textId="56FEC1B7" w:rsidR="0002696C" w:rsidRDefault="0002696C" w:rsidP="00B67A13">
            <w:pPr>
              <w:spacing w:after="120"/>
              <w:jc w:val="both"/>
              <w:rPr>
                <w:noProof/>
                <w:color w:val="4F81BD" w:themeColor="accent1"/>
              </w:rPr>
            </w:pPr>
            <w:r w:rsidRPr="0002696C">
              <w:rPr>
                <w:noProof/>
                <w:color w:val="4F81BD" w:themeColor="accent1"/>
              </w:rPr>
              <w:t xml:space="preserve">The Commission announced in the European Pillar of Social Rights Action Plan the intention to ensure a healthy, safe and well adapted work environment, which was confirmed with the adoption of the OSH Strategic Framework for 2021-2027. Also, the 2020 Chemicals Strategy for Sustainability recognises the need to strengthen the protection of workers and identifies lead and diisocyanates among the priority chemicals to act upon. </w:t>
            </w:r>
          </w:p>
          <w:p w14:paraId="1A930CED" w14:textId="4EDD065D" w:rsidR="003F1AEB" w:rsidRDefault="00DB2875" w:rsidP="00623214">
            <w:pPr>
              <w:spacing w:after="120"/>
              <w:jc w:val="both"/>
              <w:rPr>
                <w:noProof/>
              </w:rPr>
            </w:pPr>
            <w:r>
              <w:rPr>
                <w:noProof/>
                <w:color w:val="4F81BD" w:themeColor="accent1"/>
              </w:rPr>
              <w:t xml:space="preserve">Therefore, acting at the EU level will enable to support all the Member States in addressing occupational </w:t>
            </w:r>
            <w:r w:rsidR="0002696C">
              <w:rPr>
                <w:noProof/>
                <w:color w:val="4F81BD" w:themeColor="accent1"/>
              </w:rPr>
              <w:t>diseases arising from exposure to chemicals at work</w:t>
            </w:r>
            <w:r>
              <w:rPr>
                <w:noProof/>
                <w:color w:val="4F81BD" w:themeColor="accent1"/>
              </w:rPr>
              <w:t>. In addition to that, Member States</w:t>
            </w:r>
            <w:r w:rsidR="009073BA">
              <w:rPr>
                <w:noProof/>
                <w:color w:val="4F81BD" w:themeColor="accent1"/>
              </w:rPr>
              <w:t xml:space="preserve"> </w:t>
            </w:r>
            <w:r>
              <w:rPr>
                <w:noProof/>
                <w:color w:val="4F81BD" w:themeColor="accent1"/>
              </w:rPr>
              <w:t>can</w:t>
            </w:r>
            <w:r w:rsidR="009073BA">
              <w:rPr>
                <w:noProof/>
                <w:color w:val="4F81BD" w:themeColor="accent1"/>
              </w:rPr>
              <w:t xml:space="preserve"> continue to</w:t>
            </w:r>
            <w:r>
              <w:rPr>
                <w:noProof/>
                <w:color w:val="4F81BD" w:themeColor="accent1"/>
              </w:rPr>
              <w:t xml:space="preserve"> set additional or more stringent binding OELs, or other protective measures.</w:t>
            </w:r>
          </w:p>
        </w:tc>
      </w:tr>
      <w:tr w:rsidR="003F1AEB" w14:paraId="6397EFF3" w14:textId="77777777" w:rsidTr="005046EA">
        <w:tc>
          <w:tcPr>
            <w:tcW w:w="9288" w:type="dxa"/>
          </w:tcPr>
          <w:p w14:paraId="05C7F894" w14:textId="77777777" w:rsidR="003F1AEB" w:rsidRDefault="003F1AEB" w:rsidP="00B67A13">
            <w:pPr>
              <w:pStyle w:val="ListParagraph"/>
              <w:numPr>
                <w:ilvl w:val="0"/>
                <w:numId w:val="5"/>
              </w:numPr>
              <w:jc w:val="both"/>
              <w:rPr>
                <w:noProof/>
              </w:rPr>
            </w:pPr>
            <w:r>
              <w:rPr>
                <w:noProof/>
              </w:rPr>
              <w:t>Will there be improved legal clarity for those having to implement the legislation?</w:t>
            </w:r>
          </w:p>
        </w:tc>
      </w:tr>
      <w:tr w:rsidR="003F1AEB" w14:paraId="7C50BA1C" w14:textId="77777777" w:rsidTr="005046EA">
        <w:tc>
          <w:tcPr>
            <w:tcW w:w="9288" w:type="dxa"/>
          </w:tcPr>
          <w:p w14:paraId="5D47ABB2" w14:textId="77777777" w:rsidR="0002696C" w:rsidRDefault="001522FB" w:rsidP="00B67A13">
            <w:pPr>
              <w:jc w:val="both"/>
              <w:rPr>
                <w:noProof/>
                <w:color w:val="4F81BD" w:themeColor="accent1"/>
              </w:rPr>
            </w:pPr>
            <w:r w:rsidRPr="001522FB">
              <w:rPr>
                <w:noProof/>
                <w:color w:val="4F81BD" w:themeColor="accent1"/>
              </w:rPr>
              <w:t>The revision of the limit value</w:t>
            </w:r>
            <w:r w:rsidR="00623214">
              <w:rPr>
                <w:noProof/>
                <w:color w:val="4F81BD" w:themeColor="accent1"/>
              </w:rPr>
              <w:t>s</w:t>
            </w:r>
            <w:r w:rsidRPr="001522FB">
              <w:rPr>
                <w:noProof/>
                <w:color w:val="4F81BD" w:themeColor="accent1"/>
              </w:rPr>
              <w:t xml:space="preserve"> under the </w:t>
            </w:r>
            <w:r w:rsidR="00623214">
              <w:rPr>
                <w:noProof/>
                <w:color w:val="4F81BD" w:themeColor="accent1"/>
              </w:rPr>
              <w:t>CMRD and the CAD</w:t>
            </w:r>
            <w:r w:rsidRPr="001522FB">
              <w:rPr>
                <w:noProof/>
                <w:color w:val="4F81BD" w:themeColor="accent1"/>
              </w:rPr>
              <w:t xml:space="preserve"> at the EU level will lead to a greater harmonisation of limit values across Europe, with expected improvements in the level playing field for enterprises, particularly those operating in different Member States.</w:t>
            </w:r>
            <w:r w:rsidR="0002696C">
              <w:rPr>
                <w:noProof/>
                <w:color w:val="4F81BD" w:themeColor="accent1"/>
              </w:rPr>
              <w:t xml:space="preserve"> </w:t>
            </w:r>
          </w:p>
          <w:p w14:paraId="11A7BA41" w14:textId="77777777" w:rsidR="0002696C" w:rsidRDefault="0002696C" w:rsidP="00B67A13">
            <w:pPr>
              <w:jc w:val="both"/>
              <w:rPr>
                <w:noProof/>
                <w:color w:val="4F81BD" w:themeColor="accent1"/>
              </w:rPr>
            </w:pPr>
          </w:p>
          <w:p w14:paraId="56DD213B" w14:textId="54F4D8B9" w:rsidR="0002696C" w:rsidRPr="0002696C" w:rsidRDefault="0002696C" w:rsidP="00B67A13">
            <w:pPr>
              <w:jc w:val="both"/>
              <w:rPr>
                <w:noProof/>
                <w:color w:val="4F81BD" w:themeColor="accent1"/>
              </w:rPr>
            </w:pPr>
            <w:r>
              <w:rPr>
                <w:noProof/>
                <w:color w:val="4F81BD" w:themeColor="accent1"/>
              </w:rPr>
              <w:t xml:space="preserve">The revision of the CAD to remove the reference to lead, and the simultaneous revision of the CMRD to update the OEL and BLV for lead will substantially improve legal clarity, as provisions on lead will only be included in one legal instrument, therefore eliminating the risk of contradictions and discrepancies between the two, and clearly outlining employers’ responsibilities and the protective measures to follow. </w:t>
            </w:r>
          </w:p>
        </w:tc>
      </w:tr>
      <w:tr w:rsidR="003F1AEB" w14:paraId="75866A8E" w14:textId="77777777" w:rsidTr="009A140A">
        <w:tc>
          <w:tcPr>
            <w:tcW w:w="9288" w:type="dxa"/>
            <w:shd w:val="clear" w:color="auto" w:fill="808080" w:themeFill="background1" w:themeFillShade="80"/>
          </w:tcPr>
          <w:p w14:paraId="4000B0AB" w14:textId="77777777" w:rsidR="003F1AEB" w:rsidRPr="009A140A" w:rsidRDefault="003F1AEB" w:rsidP="00B67A13">
            <w:pPr>
              <w:jc w:val="both"/>
              <w:rPr>
                <w:b/>
                <w:noProof/>
                <w:color w:val="FFFFFF" w:themeColor="background1"/>
              </w:rPr>
            </w:pPr>
            <w:r w:rsidRPr="009A140A">
              <w:rPr>
                <w:b/>
                <w:noProof/>
                <w:color w:val="FFFFFF" w:themeColor="background1"/>
              </w:rPr>
              <w:t xml:space="preserve">3.  </w:t>
            </w:r>
            <w:r>
              <w:rPr>
                <w:b/>
                <w:noProof/>
                <w:color w:val="FFFFFF" w:themeColor="background1"/>
              </w:rPr>
              <w:t>Proportionality: How the EU should act</w:t>
            </w:r>
          </w:p>
        </w:tc>
      </w:tr>
      <w:tr w:rsidR="003F1AEB" w14:paraId="2755AC4D" w14:textId="77777777" w:rsidTr="005046EA">
        <w:tc>
          <w:tcPr>
            <w:tcW w:w="9288" w:type="dxa"/>
          </w:tcPr>
          <w:p w14:paraId="40B2D301" w14:textId="77777777" w:rsidR="003F1AEB" w:rsidRPr="009A140A" w:rsidRDefault="003F1AEB" w:rsidP="00B67A13">
            <w:pPr>
              <w:pStyle w:val="ListParagraph"/>
              <w:numPr>
                <w:ilvl w:val="1"/>
                <w:numId w:val="6"/>
              </w:numPr>
              <w:jc w:val="both"/>
              <w:rPr>
                <w:b/>
                <w:noProof/>
              </w:rPr>
            </w:pPr>
            <w:r w:rsidRPr="009A140A">
              <w:rPr>
                <w:b/>
                <w:noProof/>
              </w:rPr>
              <w:t xml:space="preserve"> Does the explanatory memorandum (and any impact assessment) accompanying the Commission’s proposal contain an adequate justification regarding the proportionality of the proposal and a statement allowing appraisal of the compliance of the proposal with the principle of proportionality?</w:t>
            </w:r>
          </w:p>
        </w:tc>
      </w:tr>
      <w:tr w:rsidR="003F1AEB" w14:paraId="03065945" w14:textId="77777777" w:rsidTr="005046EA">
        <w:tc>
          <w:tcPr>
            <w:tcW w:w="9288" w:type="dxa"/>
          </w:tcPr>
          <w:p w14:paraId="1D6E94AB" w14:textId="77777777" w:rsidR="00B1497F" w:rsidRDefault="00B1497F" w:rsidP="00B67A13">
            <w:pPr>
              <w:spacing w:after="120"/>
              <w:jc w:val="both"/>
              <w:rPr>
                <w:noProof/>
                <w:color w:val="4F81BD" w:themeColor="accent1"/>
              </w:rPr>
            </w:pPr>
            <w:r>
              <w:rPr>
                <w:noProof/>
                <w:color w:val="4F81BD" w:themeColor="accent1"/>
              </w:rPr>
              <w:t xml:space="preserve">Both the explanatory memorandum and the impact assessment accompanying the Commission’s proposal contain such a justification. </w:t>
            </w:r>
          </w:p>
          <w:p w14:paraId="53B75768" w14:textId="77777777" w:rsidR="00B1497F" w:rsidRPr="0063422D" w:rsidRDefault="00B1497F" w:rsidP="00B67A13">
            <w:pPr>
              <w:spacing w:after="120"/>
              <w:jc w:val="both"/>
              <w:rPr>
                <w:noProof/>
                <w:color w:val="4F81BD" w:themeColor="accent1"/>
              </w:rPr>
            </w:pPr>
            <w:r w:rsidRPr="0063422D">
              <w:rPr>
                <w:noProof/>
                <w:color w:val="4F81BD" w:themeColor="accent1"/>
              </w:rPr>
              <w:t xml:space="preserve">This proposal makes a step forward to achieve the objectives set to improve living and working conditions of workers. </w:t>
            </w:r>
          </w:p>
          <w:p w14:paraId="2FB91E0D" w14:textId="12EF0CC4" w:rsidR="00B1497F" w:rsidRDefault="00B1497F" w:rsidP="00B67A13">
            <w:pPr>
              <w:spacing w:after="120"/>
              <w:jc w:val="both"/>
              <w:rPr>
                <w:noProof/>
                <w:color w:val="4F81BD" w:themeColor="accent1"/>
              </w:rPr>
            </w:pPr>
            <w:r w:rsidRPr="0063422D">
              <w:rPr>
                <w:noProof/>
                <w:color w:val="4F81BD" w:themeColor="accent1"/>
              </w:rPr>
              <w:t xml:space="preserve">With regard to the </w:t>
            </w:r>
            <w:r>
              <w:rPr>
                <w:noProof/>
                <w:color w:val="4F81BD" w:themeColor="accent1"/>
              </w:rPr>
              <w:t xml:space="preserve">revision of the </w:t>
            </w:r>
            <w:r w:rsidRPr="0063422D">
              <w:rPr>
                <w:noProof/>
                <w:color w:val="4F81BD" w:themeColor="accent1"/>
              </w:rPr>
              <w:t>limit value</w:t>
            </w:r>
            <w:r w:rsidR="002C6949">
              <w:rPr>
                <w:noProof/>
                <w:color w:val="4F81BD" w:themeColor="accent1"/>
              </w:rPr>
              <w:t>s</w:t>
            </w:r>
            <w:r w:rsidRPr="0063422D">
              <w:rPr>
                <w:noProof/>
                <w:color w:val="4F81BD" w:themeColor="accent1"/>
              </w:rPr>
              <w:t xml:space="preserve"> proposed, socio-economic </w:t>
            </w:r>
            <w:r w:rsidR="00787729">
              <w:rPr>
                <w:noProof/>
                <w:color w:val="4F81BD" w:themeColor="accent1"/>
              </w:rPr>
              <w:t xml:space="preserve">and technical </w:t>
            </w:r>
            <w:r w:rsidRPr="0063422D">
              <w:rPr>
                <w:noProof/>
                <w:color w:val="4F81BD" w:themeColor="accent1"/>
              </w:rPr>
              <w:t>feasibility factors have been taken into account after intensive discussions with all stakeholders (representatives of workers’ organisations, representatives of employers’ organisations, and representatives of governments).</w:t>
            </w:r>
          </w:p>
          <w:p w14:paraId="340F911B" w14:textId="18F15DDE" w:rsidR="002C6949" w:rsidRDefault="00707ADC" w:rsidP="00B67A13">
            <w:pPr>
              <w:spacing w:after="120"/>
              <w:jc w:val="both"/>
              <w:rPr>
                <w:noProof/>
                <w:color w:val="4F81BD" w:themeColor="accent1"/>
              </w:rPr>
            </w:pPr>
            <w:r>
              <w:rPr>
                <w:noProof/>
                <w:color w:val="4F81BD" w:themeColor="accent1"/>
              </w:rPr>
              <w:t>The c</w:t>
            </w:r>
            <w:r w:rsidR="00AC1A76" w:rsidRPr="00AC1A76">
              <w:rPr>
                <w:noProof/>
                <w:color w:val="4F81BD" w:themeColor="accent1"/>
              </w:rPr>
              <w:t xml:space="preserve">osts </w:t>
            </w:r>
            <w:r>
              <w:rPr>
                <w:noProof/>
                <w:color w:val="4F81BD" w:themeColor="accent1"/>
              </w:rPr>
              <w:t xml:space="preserve">of the proposed option for lead </w:t>
            </w:r>
            <w:r w:rsidR="00AC1A76" w:rsidRPr="00AC1A76">
              <w:rPr>
                <w:noProof/>
                <w:color w:val="4F81BD" w:themeColor="accent1"/>
              </w:rPr>
              <w:t xml:space="preserve">would amount to </w:t>
            </w:r>
            <w:r w:rsidR="00AC1A76" w:rsidRPr="00AC1A76">
              <w:rPr>
                <w:noProof/>
                <w:color w:val="4F81BD" w:themeColor="accent1"/>
                <w:sz w:val="20"/>
                <w:szCs w:val="20"/>
              </w:rPr>
              <w:t>EUR</w:t>
            </w:r>
            <w:r w:rsidR="00AC1A76">
              <w:rPr>
                <w:noProof/>
                <w:color w:val="4F81BD" w:themeColor="accent1"/>
                <w:sz w:val="20"/>
                <w:szCs w:val="20"/>
              </w:rPr>
              <w:t> </w:t>
            </w:r>
            <w:r w:rsidR="00AC1A76" w:rsidRPr="00AC1A76">
              <w:rPr>
                <w:noProof/>
                <w:color w:val="4F81BD" w:themeColor="accent1"/>
                <w:sz w:val="20"/>
                <w:szCs w:val="20"/>
              </w:rPr>
              <w:t>30</w:t>
            </w:r>
            <w:r w:rsidR="00AC1A76">
              <w:rPr>
                <w:noProof/>
                <w:color w:val="4F81BD" w:themeColor="accent1"/>
                <w:sz w:val="20"/>
                <w:szCs w:val="20"/>
              </w:rPr>
              <w:t> </w:t>
            </w:r>
            <w:r w:rsidR="00AC1A76" w:rsidRPr="00AC1A76">
              <w:rPr>
                <w:noProof/>
                <w:color w:val="4F81BD" w:themeColor="accent1"/>
              </w:rPr>
              <w:t>000 per company over 40 years</w:t>
            </w:r>
            <w:r w:rsidR="00AC1A76">
              <w:rPr>
                <w:noProof/>
                <w:color w:val="4F81BD" w:themeColor="accent1"/>
              </w:rPr>
              <w:t xml:space="preserve">, which represents less than 1% of </w:t>
            </w:r>
            <w:r>
              <w:rPr>
                <w:noProof/>
                <w:color w:val="4F81BD" w:themeColor="accent1"/>
              </w:rPr>
              <w:t xml:space="preserve">companies’ </w:t>
            </w:r>
            <w:r w:rsidR="00AC1A76">
              <w:rPr>
                <w:noProof/>
                <w:color w:val="4F81BD" w:themeColor="accent1"/>
              </w:rPr>
              <w:t xml:space="preserve">turnover. </w:t>
            </w:r>
            <w:r w:rsidR="00AC1A76" w:rsidRPr="00AC1A76">
              <w:rPr>
                <w:noProof/>
                <w:color w:val="4F81BD" w:themeColor="accent1"/>
              </w:rPr>
              <w:t>For diisocyanates, a company would have to spend EUR</w:t>
            </w:r>
            <w:r w:rsidR="00AC1A76">
              <w:rPr>
                <w:noProof/>
                <w:color w:val="4F81BD" w:themeColor="accent1"/>
              </w:rPr>
              <w:t> </w:t>
            </w:r>
            <w:r w:rsidR="00AC1A76" w:rsidRPr="00AC1A76">
              <w:rPr>
                <w:noProof/>
                <w:color w:val="4F81BD" w:themeColor="accent1"/>
              </w:rPr>
              <w:t>6</w:t>
            </w:r>
            <w:r w:rsidR="00AC1A76">
              <w:rPr>
                <w:noProof/>
                <w:color w:val="4F81BD" w:themeColor="accent1"/>
              </w:rPr>
              <w:t> </w:t>
            </w:r>
            <w:r w:rsidR="00AC1A76" w:rsidRPr="00AC1A76">
              <w:rPr>
                <w:noProof/>
                <w:color w:val="4F81BD" w:themeColor="accent1"/>
              </w:rPr>
              <w:t xml:space="preserve">000 over 40 years, which would not represent a significant share of their turnover either. </w:t>
            </w:r>
            <w:r w:rsidR="00AC1A76">
              <w:rPr>
                <w:noProof/>
                <w:color w:val="4F81BD" w:themeColor="accent1"/>
              </w:rPr>
              <w:t xml:space="preserve">Besides, </w:t>
            </w:r>
            <w:r w:rsidR="002C6949">
              <w:rPr>
                <w:noProof/>
                <w:color w:val="4F81BD" w:themeColor="accent1"/>
              </w:rPr>
              <w:t xml:space="preserve">the values are endorsed by employers, meaning that despite the costs, businesses consider it a proportionate option. </w:t>
            </w:r>
          </w:p>
          <w:p w14:paraId="250FE998" w14:textId="77777777" w:rsidR="00B1497F" w:rsidRPr="0063422D" w:rsidRDefault="00B1497F" w:rsidP="00B67A13">
            <w:pPr>
              <w:spacing w:after="120"/>
              <w:jc w:val="both"/>
              <w:rPr>
                <w:noProof/>
                <w:color w:val="4F81BD" w:themeColor="accent1"/>
              </w:rPr>
            </w:pPr>
            <w:r w:rsidRPr="0063422D">
              <w:rPr>
                <w:noProof/>
                <w:color w:val="4F81BD" w:themeColor="accent1"/>
              </w:rPr>
              <w:t xml:space="preserve">In accordance with Article 153(4) of the TFEU, the provisions in this proposal do not prevent any Member State from maintaining or introducing more stringent protective measures compatible with the Treaties, in the form for example of lower limit values. Article 153(3) of the TFEU gives Member States the possibility to entrust management and labour, at their joint request, with the implementation of directives adopted pursuant to Article 153(2) of the TFEU, thus respecting well established national arrangements for regulation in this area. </w:t>
            </w:r>
          </w:p>
          <w:p w14:paraId="1CBFBEC5" w14:textId="36386ADB" w:rsidR="003F1AEB" w:rsidRPr="00B67A13" w:rsidRDefault="00B1497F" w:rsidP="00B67A13">
            <w:pPr>
              <w:spacing w:after="120"/>
              <w:jc w:val="both"/>
              <w:rPr>
                <w:noProof/>
                <w:color w:val="4F81BD" w:themeColor="accent1"/>
              </w:rPr>
            </w:pPr>
            <w:r w:rsidRPr="0063422D">
              <w:rPr>
                <w:noProof/>
                <w:color w:val="4F81BD" w:themeColor="accent1"/>
              </w:rPr>
              <w:t>It follows that in line with the principle of proportionality, as set out in Article 5(4) of the T</w:t>
            </w:r>
            <w:r w:rsidR="001522FB">
              <w:rPr>
                <w:noProof/>
                <w:color w:val="4F81BD" w:themeColor="accent1"/>
              </w:rPr>
              <w:t>F</w:t>
            </w:r>
            <w:r w:rsidRPr="0063422D">
              <w:rPr>
                <w:noProof/>
                <w:color w:val="4F81BD" w:themeColor="accent1"/>
              </w:rPr>
              <w:t xml:space="preserve">EU, this proposal does not go beyond what is necessary in order to achieve </w:t>
            </w:r>
            <w:r w:rsidR="00707ADC">
              <w:rPr>
                <w:noProof/>
                <w:color w:val="4F81BD" w:themeColor="accent1"/>
              </w:rPr>
              <w:t>its</w:t>
            </w:r>
            <w:r w:rsidRPr="0063422D">
              <w:rPr>
                <w:noProof/>
                <w:color w:val="4F81BD" w:themeColor="accent1"/>
              </w:rPr>
              <w:t xml:space="preserve"> objectives</w:t>
            </w:r>
            <w:r w:rsidR="00707ADC">
              <w:rPr>
                <w:noProof/>
                <w:color w:val="4F81BD" w:themeColor="accent1"/>
              </w:rPr>
              <w:t>, namely, the improvement of the health and safety of workers pursuant to Article 153 TFEU</w:t>
            </w:r>
            <w:r w:rsidRPr="0063422D">
              <w:rPr>
                <w:noProof/>
                <w:color w:val="4F81BD" w:themeColor="accent1"/>
              </w:rPr>
              <w:t>.</w:t>
            </w:r>
          </w:p>
        </w:tc>
      </w:tr>
      <w:tr w:rsidR="003F1AEB" w14:paraId="56C0F13E" w14:textId="77777777" w:rsidTr="005046EA">
        <w:tc>
          <w:tcPr>
            <w:tcW w:w="9288" w:type="dxa"/>
          </w:tcPr>
          <w:p w14:paraId="259B6D68" w14:textId="5ED41F54" w:rsidR="003F1AEB" w:rsidRPr="003E628C" w:rsidRDefault="003F1AEB" w:rsidP="00B67A13">
            <w:pPr>
              <w:pStyle w:val="ListParagraph"/>
              <w:numPr>
                <w:ilvl w:val="1"/>
                <w:numId w:val="6"/>
              </w:numPr>
              <w:jc w:val="both"/>
              <w:rPr>
                <w:b/>
                <w:noProof/>
              </w:rPr>
            </w:pPr>
            <w:r w:rsidRPr="003E628C">
              <w:rPr>
                <w:b/>
                <w:noProof/>
              </w:rPr>
              <w:t>Based on the answers to the questions below and information available from any impact assessment, the explanatory memorandum or other sources, is the proposed action an appropriate way to achieve the intended objectives?</w:t>
            </w:r>
          </w:p>
        </w:tc>
      </w:tr>
      <w:tr w:rsidR="003F1AEB" w14:paraId="1E041F20" w14:textId="77777777" w:rsidTr="005046EA">
        <w:tc>
          <w:tcPr>
            <w:tcW w:w="9288" w:type="dxa"/>
          </w:tcPr>
          <w:p w14:paraId="1AFB0D7B" w14:textId="19F9A70B" w:rsidR="00B1497F" w:rsidRDefault="00B1497F" w:rsidP="00B67A13">
            <w:pPr>
              <w:spacing w:after="120"/>
              <w:jc w:val="both"/>
              <w:rPr>
                <w:noProof/>
                <w:color w:val="4F81BD" w:themeColor="accent1"/>
              </w:rPr>
            </w:pPr>
            <w:r w:rsidRPr="00811A01">
              <w:rPr>
                <w:noProof/>
                <w:color w:val="4F81BD" w:themeColor="accent1"/>
              </w:rPr>
              <w:t>The European Pillar of Social Rights</w:t>
            </w:r>
            <w:r w:rsidRPr="00811A01">
              <w:rPr>
                <w:rStyle w:val="FootnoteReference"/>
                <w:noProof/>
                <w:color w:val="4F81BD" w:themeColor="accent1"/>
              </w:rPr>
              <w:footnoteReference w:id="9"/>
            </w:r>
            <w:r w:rsidRPr="00811A01">
              <w:rPr>
                <w:noProof/>
                <w:color w:val="4F81BD" w:themeColor="accent1"/>
              </w:rPr>
              <w:t xml:space="preserve">, jointly proclaimed by the European Parliament, the Council and the Commission at the Social Summit for Fair Jobs and Growth on 17 November 2017, enshrines workers' right to healthy, safe, and well-adapted work environment, including protection from </w:t>
            </w:r>
            <w:r w:rsidR="00E335A1">
              <w:rPr>
                <w:noProof/>
                <w:color w:val="4F81BD" w:themeColor="accent1"/>
              </w:rPr>
              <w:t>harmful substances, which covers lead and diisocyanates</w:t>
            </w:r>
            <w:r w:rsidRPr="00811A01">
              <w:rPr>
                <w:noProof/>
                <w:color w:val="4F81BD" w:themeColor="accent1"/>
              </w:rPr>
              <w:t>.</w:t>
            </w:r>
          </w:p>
          <w:p w14:paraId="06F7C11B" w14:textId="75D37E78" w:rsidR="00CA0B93" w:rsidRDefault="00B1497F" w:rsidP="00B67A13">
            <w:pPr>
              <w:spacing w:after="120"/>
              <w:jc w:val="both"/>
              <w:rPr>
                <w:noProof/>
                <w:color w:val="4F81BD" w:themeColor="accent1"/>
              </w:rPr>
            </w:pPr>
            <w:r>
              <w:rPr>
                <w:noProof/>
                <w:color w:val="4F81BD" w:themeColor="accent1"/>
              </w:rPr>
              <w:t xml:space="preserve">Therefore, it is appropriate to act at the EU level in order to ensure to the workers the right to a high level of protection of their health and safety at work, and to </w:t>
            </w:r>
            <w:r w:rsidRPr="002C2937">
              <w:rPr>
                <w:noProof/>
                <w:color w:val="4F81BD" w:themeColor="accent1"/>
              </w:rPr>
              <w:t>support and complement the activities of the Member States</w:t>
            </w:r>
            <w:r>
              <w:rPr>
                <w:noProof/>
                <w:color w:val="4F81BD" w:themeColor="accent1"/>
              </w:rPr>
              <w:t xml:space="preserve"> in this regard, pursuant </w:t>
            </w:r>
            <w:r w:rsidR="00E335A1">
              <w:rPr>
                <w:noProof/>
                <w:color w:val="4F81BD" w:themeColor="accent1"/>
              </w:rPr>
              <w:t xml:space="preserve">to </w:t>
            </w:r>
            <w:r>
              <w:rPr>
                <w:noProof/>
                <w:color w:val="4F81BD" w:themeColor="accent1"/>
              </w:rPr>
              <w:t>Article 153 of the TFEU.</w:t>
            </w:r>
          </w:p>
          <w:p w14:paraId="42F3CCC9" w14:textId="01F48E45" w:rsidR="003F1AEB" w:rsidRPr="00CA0B93" w:rsidRDefault="00B1497F" w:rsidP="00B67A13">
            <w:pPr>
              <w:spacing w:after="120"/>
              <w:jc w:val="both"/>
              <w:rPr>
                <w:noProof/>
                <w:color w:val="4F81BD" w:themeColor="accent1"/>
              </w:rPr>
            </w:pPr>
            <w:r>
              <w:rPr>
                <w:noProof/>
                <w:color w:val="4F81BD" w:themeColor="accent1"/>
              </w:rPr>
              <w:t xml:space="preserve">It is all the more appropriate </w:t>
            </w:r>
            <w:r w:rsidR="009073BA">
              <w:rPr>
                <w:noProof/>
                <w:color w:val="4F81BD" w:themeColor="accent1"/>
              </w:rPr>
              <w:t xml:space="preserve">as </w:t>
            </w:r>
            <w:r>
              <w:rPr>
                <w:noProof/>
                <w:color w:val="4F81BD" w:themeColor="accent1"/>
              </w:rPr>
              <w:t xml:space="preserve">the </w:t>
            </w:r>
            <w:r w:rsidR="00E335A1">
              <w:rPr>
                <w:noProof/>
                <w:color w:val="4F81BD" w:themeColor="accent1"/>
              </w:rPr>
              <w:t>CMRD and CAD</w:t>
            </w:r>
            <w:r>
              <w:rPr>
                <w:noProof/>
                <w:color w:val="4F81BD" w:themeColor="accent1"/>
              </w:rPr>
              <w:t xml:space="preserve"> </w:t>
            </w:r>
            <w:r w:rsidR="00E335A1">
              <w:rPr>
                <w:noProof/>
                <w:color w:val="4F81BD" w:themeColor="accent1"/>
              </w:rPr>
              <w:t>are already in force</w:t>
            </w:r>
            <w:r w:rsidR="000E2341">
              <w:rPr>
                <w:noProof/>
                <w:color w:val="4F81BD" w:themeColor="accent1"/>
              </w:rPr>
              <w:t>,</w:t>
            </w:r>
            <w:r>
              <w:rPr>
                <w:noProof/>
                <w:color w:val="4F81BD" w:themeColor="accent1"/>
              </w:rPr>
              <w:t xml:space="preserve"> and this </w:t>
            </w:r>
            <w:r w:rsidR="00E335A1">
              <w:rPr>
                <w:noProof/>
                <w:color w:val="4F81BD" w:themeColor="accent1"/>
              </w:rPr>
              <w:t>proposal</w:t>
            </w:r>
            <w:r>
              <w:rPr>
                <w:noProof/>
                <w:color w:val="4F81BD" w:themeColor="accent1"/>
              </w:rPr>
              <w:t xml:space="preserve"> is limited to </w:t>
            </w:r>
            <w:r w:rsidR="00CA0B93">
              <w:rPr>
                <w:noProof/>
                <w:color w:val="4F81BD" w:themeColor="accent1"/>
              </w:rPr>
              <w:t xml:space="preserve">revising the </w:t>
            </w:r>
            <w:r w:rsidR="00E335A1">
              <w:rPr>
                <w:noProof/>
                <w:color w:val="4F81BD" w:themeColor="accent1"/>
              </w:rPr>
              <w:t>limit values</w:t>
            </w:r>
            <w:r>
              <w:rPr>
                <w:noProof/>
                <w:color w:val="4F81BD" w:themeColor="accent1"/>
              </w:rPr>
              <w:t xml:space="preserve"> </w:t>
            </w:r>
            <w:r w:rsidR="000F5085">
              <w:rPr>
                <w:noProof/>
                <w:color w:val="4F81BD" w:themeColor="accent1"/>
              </w:rPr>
              <w:t xml:space="preserve">of two of the substances covered by those directives </w:t>
            </w:r>
            <w:r>
              <w:rPr>
                <w:noProof/>
                <w:color w:val="4F81BD" w:themeColor="accent1"/>
              </w:rPr>
              <w:t>on the basis of</w:t>
            </w:r>
            <w:r w:rsidR="000F5085">
              <w:rPr>
                <w:noProof/>
                <w:color w:val="4F81BD" w:themeColor="accent1"/>
              </w:rPr>
              <w:t xml:space="preserve"> the latest</w:t>
            </w:r>
            <w:r>
              <w:rPr>
                <w:noProof/>
                <w:color w:val="4F81BD" w:themeColor="accent1"/>
              </w:rPr>
              <w:t xml:space="preserve"> scientific and technical data available</w:t>
            </w:r>
            <w:r w:rsidR="00CA0B93">
              <w:rPr>
                <w:noProof/>
                <w:color w:val="4F81BD" w:themeColor="accent1"/>
              </w:rPr>
              <w:t>.</w:t>
            </w:r>
          </w:p>
        </w:tc>
      </w:tr>
      <w:tr w:rsidR="003F1AEB" w14:paraId="4A4204A1" w14:textId="77777777" w:rsidTr="005046EA">
        <w:tc>
          <w:tcPr>
            <w:tcW w:w="9288" w:type="dxa"/>
          </w:tcPr>
          <w:p w14:paraId="1F2ADBE1" w14:textId="77777777" w:rsidR="003F1AEB" w:rsidRPr="00257C8C" w:rsidRDefault="003F1AEB" w:rsidP="00B67A13">
            <w:pPr>
              <w:pStyle w:val="ListParagraph"/>
              <w:numPr>
                <w:ilvl w:val="0"/>
                <w:numId w:val="7"/>
              </w:numPr>
              <w:jc w:val="both"/>
              <w:rPr>
                <w:noProof/>
              </w:rPr>
            </w:pPr>
            <w:r>
              <w:rPr>
                <w:noProof/>
              </w:rPr>
              <w:t>Is the initiative limited to those aspects that Member States cannot achieve satisfactorily on their own, and where the Union can do better?</w:t>
            </w:r>
          </w:p>
        </w:tc>
      </w:tr>
      <w:tr w:rsidR="003F1AEB" w14:paraId="7BA11BDB" w14:textId="77777777" w:rsidTr="005046EA">
        <w:tc>
          <w:tcPr>
            <w:tcW w:w="9288" w:type="dxa"/>
          </w:tcPr>
          <w:p w14:paraId="61B86FAD" w14:textId="43C5F887" w:rsidR="003F1AEB" w:rsidRPr="00257C8C" w:rsidRDefault="005D4D14" w:rsidP="00B67A13">
            <w:pPr>
              <w:spacing w:after="200" w:line="276" w:lineRule="auto"/>
              <w:jc w:val="both"/>
              <w:rPr>
                <w:noProof/>
              </w:rPr>
            </w:pPr>
            <w:r w:rsidRPr="005D4D14">
              <w:rPr>
                <w:noProof/>
                <w:color w:val="4F81BD" w:themeColor="accent1"/>
              </w:rPr>
              <w:t>This initiative aims at ensuring a balanced approach, i.e.</w:t>
            </w:r>
            <w:r w:rsidR="00621EC2">
              <w:rPr>
                <w:noProof/>
                <w:color w:val="4F81BD" w:themeColor="accent1"/>
              </w:rPr>
              <w:t>,</w:t>
            </w:r>
            <w:r w:rsidRPr="005D4D14">
              <w:rPr>
                <w:noProof/>
                <w:color w:val="4F81BD" w:themeColor="accent1"/>
              </w:rPr>
              <w:t xml:space="preserve"> to prevent companies from facing severe economic disadvantages while providing an adequate protection to workers at EU level. It is considered balanced and justified in light of the accrued and longer-term benefits in terms of reducing health risks arising from workers' exposure to asbestos and saving lives, without putting disproportionate burdens on economic operations in the concerned sectors, including on micro, small and medium</w:t>
            </w:r>
            <w:r w:rsidR="00621EC2">
              <w:rPr>
                <w:noProof/>
                <w:color w:val="4F81BD" w:themeColor="accent1"/>
              </w:rPr>
              <w:t>-</w:t>
            </w:r>
            <w:r w:rsidRPr="005D4D14">
              <w:rPr>
                <w:noProof/>
                <w:color w:val="4F81BD" w:themeColor="accent1"/>
              </w:rPr>
              <w:t>size</w:t>
            </w:r>
            <w:r w:rsidR="00621EC2">
              <w:rPr>
                <w:noProof/>
                <w:color w:val="4F81BD" w:themeColor="accent1"/>
              </w:rPr>
              <w:t>d</w:t>
            </w:r>
            <w:r w:rsidRPr="005D4D14">
              <w:rPr>
                <w:noProof/>
                <w:color w:val="4F81BD" w:themeColor="accent1"/>
              </w:rPr>
              <w:t xml:space="preserve"> enterprises.</w:t>
            </w:r>
          </w:p>
        </w:tc>
      </w:tr>
      <w:tr w:rsidR="003F1AEB" w14:paraId="6F92A6F7" w14:textId="77777777" w:rsidTr="005046EA">
        <w:tc>
          <w:tcPr>
            <w:tcW w:w="9288" w:type="dxa"/>
          </w:tcPr>
          <w:p w14:paraId="6EB6A2DB" w14:textId="59250AEB" w:rsidR="003F1AEB" w:rsidRPr="009139CD" w:rsidRDefault="003F1AEB" w:rsidP="00B67A13">
            <w:pPr>
              <w:pStyle w:val="ListParagraph"/>
              <w:numPr>
                <w:ilvl w:val="0"/>
                <w:numId w:val="7"/>
              </w:numPr>
              <w:jc w:val="both"/>
              <w:rPr>
                <w:noProof/>
              </w:rPr>
            </w:pPr>
            <w:r w:rsidRPr="00BB296F">
              <w:rPr>
                <w:noProof/>
              </w:rPr>
              <w:t>Is the form of Union action (choice of instrument) justified, as simple as possible, and coherent with the satisfactory achievement of, and ensuring compliance with the objectives pursued (e.g. choice between regulation, (framework) directive, recommendation, or alternative regulatory methods such as co-legislation, etc.)?</w:t>
            </w:r>
          </w:p>
        </w:tc>
      </w:tr>
      <w:tr w:rsidR="003F1AEB" w14:paraId="1CB1C6ED" w14:textId="77777777" w:rsidTr="005046EA">
        <w:tc>
          <w:tcPr>
            <w:tcW w:w="9288" w:type="dxa"/>
          </w:tcPr>
          <w:p w14:paraId="681C31DD" w14:textId="73096D5F" w:rsidR="003F1AEB" w:rsidRPr="003E628C" w:rsidRDefault="0013430D" w:rsidP="00B67A13">
            <w:pPr>
              <w:jc w:val="both"/>
              <w:rPr>
                <w:noProof/>
                <w:color w:val="4F81BD" w:themeColor="accent1"/>
              </w:rPr>
            </w:pPr>
            <w:r w:rsidRPr="0013430D">
              <w:rPr>
                <w:noProof/>
                <w:color w:val="4F81BD" w:themeColor="accent1"/>
              </w:rPr>
              <w:t xml:space="preserve">Article 153(2)(b) of the TFEU allows minimum requirements in the field of workers’ health and safety protection to be adopted ‘by means of </w:t>
            </w:r>
            <w:r w:rsidR="00BC4262" w:rsidRPr="0013430D">
              <w:rPr>
                <w:noProof/>
                <w:color w:val="4F81BD" w:themeColor="accent1"/>
              </w:rPr>
              <w:t>directives</w:t>
            </w:r>
            <w:r w:rsidR="00BC4262">
              <w:rPr>
                <w:noProof/>
                <w:color w:val="4F81BD" w:themeColor="accent1"/>
              </w:rPr>
              <w:t>’</w:t>
            </w:r>
            <w:r w:rsidRPr="0013430D">
              <w:rPr>
                <w:noProof/>
                <w:color w:val="4F81BD" w:themeColor="accent1"/>
              </w:rPr>
              <w:t xml:space="preserve">. In </w:t>
            </w:r>
            <w:r w:rsidR="00BC4262">
              <w:rPr>
                <w:noProof/>
                <w:color w:val="4F81BD" w:themeColor="accent1"/>
              </w:rPr>
              <w:t>addition</w:t>
            </w:r>
            <w:r w:rsidRPr="0013430D">
              <w:rPr>
                <w:noProof/>
                <w:color w:val="4F81BD" w:themeColor="accent1"/>
              </w:rPr>
              <w:t>, Directive</w:t>
            </w:r>
            <w:r w:rsidR="00BC4262">
              <w:rPr>
                <w:noProof/>
                <w:color w:val="4F81BD" w:themeColor="accent1"/>
              </w:rPr>
              <w:t>s</w:t>
            </w:r>
            <w:r w:rsidRPr="0013430D">
              <w:rPr>
                <w:noProof/>
                <w:color w:val="4F81BD" w:themeColor="accent1"/>
              </w:rPr>
              <w:t xml:space="preserve"> </w:t>
            </w:r>
            <w:r w:rsidR="00BC4262">
              <w:rPr>
                <w:noProof/>
                <w:color w:val="4F81BD" w:themeColor="accent1"/>
              </w:rPr>
              <w:t>98/24</w:t>
            </w:r>
            <w:r w:rsidR="00BC4262" w:rsidRPr="009555FF">
              <w:rPr>
                <w:noProof/>
                <w:color w:val="4F81BD" w:themeColor="accent1"/>
              </w:rPr>
              <w:t>/EC</w:t>
            </w:r>
            <w:r w:rsidR="00BC4262">
              <w:rPr>
                <w:noProof/>
                <w:color w:val="4F81BD" w:themeColor="accent1"/>
              </w:rPr>
              <w:t xml:space="preserve"> and 2004/37/EC are already in force</w:t>
            </w:r>
            <w:r w:rsidRPr="0013430D">
              <w:rPr>
                <w:noProof/>
                <w:color w:val="4F81BD" w:themeColor="accent1"/>
              </w:rPr>
              <w:t xml:space="preserve">, and this </w:t>
            </w:r>
            <w:r w:rsidR="00BC4262">
              <w:rPr>
                <w:noProof/>
                <w:color w:val="4F81BD" w:themeColor="accent1"/>
              </w:rPr>
              <w:t>proposal</w:t>
            </w:r>
            <w:r w:rsidRPr="0013430D">
              <w:rPr>
                <w:noProof/>
                <w:color w:val="4F81BD" w:themeColor="accent1"/>
              </w:rPr>
              <w:t xml:space="preserve"> is limited to </w:t>
            </w:r>
            <w:r>
              <w:rPr>
                <w:noProof/>
                <w:color w:val="4F81BD" w:themeColor="accent1"/>
              </w:rPr>
              <w:t xml:space="preserve">revising the </w:t>
            </w:r>
            <w:r w:rsidR="00BC4262">
              <w:rPr>
                <w:noProof/>
                <w:color w:val="4F81BD" w:themeColor="accent1"/>
              </w:rPr>
              <w:t>limit values</w:t>
            </w:r>
            <w:r w:rsidRPr="0013430D">
              <w:rPr>
                <w:noProof/>
                <w:color w:val="4F81BD" w:themeColor="accent1"/>
              </w:rPr>
              <w:t xml:space="preserve"> </w:t>
            </w:r>
            <w:r w:rsidR="0064601A">
              <w:rPr>
                <w:noProof/>
                <w:color w:val="4F81BD" w:themeColor="accent1"/>
              </w:rPr>
              <w:t xml:space="preserve">of lead and diisocyanates </w:t>
            </w:r>
            <w:r w:rsidRPr="0013430D">
              <w:rPr>
                <w:noProof/>
                <w:color w:val="4F81BD" w:themeColor="accent1"/>
              </w:rPr>
              <w:t xml:space="preserve">on the basis of </w:t>
            </w:r>
            <w:r w:rsidR="00BC4262">
              <w:rPr>
                <w:noProof/>
                <w:color w:val="4F81BD" w:themeColor="accent1"/>
              </w:rPr>
              <w:t xml:space="preserve">the </w:t>
            </w:r>
            <w:r w:rsidRPr="0013430D">
              <w:rPr>
                <w:noProof/>
                <w:color w:val="4F81BD" w:themeColor="accent1"/>
              </w:rPr>
              <w:t>scientific data available</w:t>
            </w:r>
            <w:r>
              <w:rPr>
                <w:noProof/>
                <w:color w:val="4F81BD" w:themeColor="accent1"/>
              </w:rPr>
              <w:t>.</w:t>
            </w:r>
          </w:p>
        </w:tc>
      </w:tr>
      <w:tr w:rsidR="003F1AEB" w14:paraId="32CF6CA2" w14:textId="77777777" w:rsidTr="005046EA">
        <w:tc>
          <w:tcPr>
            <w:tcW w:w="9288" w:type="dxa"/>
          </w:tcPr>
          <w:p w14:paraId="003CAD42" w14:textId="29C7469D" w:rsidR="003F1AEB" w:rsidRPr="00F043F9" w:rsidRDefault="003F1AEB" w:rsidP="00B67A13">
            <w:pPr>
              <w:pStyle w:val="ListParagraph"/>
              <w:numPr>
                <w:ilvl w:val="0"/>
                <w:numId w:val="7"/>
              </w:numPr>
              <w:jc w:val="both"/>
              <w:rPr>
                <w:noProof/>
              </w:rPr>
            </w:pPr>
            <w:r>
              <w:rPr>
                <w:noProof/>
              </w:rPr>
              <w:t>Does the Union action leave as much scope for national decision as possible while achieving satisfactorily the objectives set? (e.g. is it possible to limit the European action to minimum standards or use a less stringent policy instrument o</w:t>
            </w:r>
            <w:r w:rsidR="000E2341">
              <w:rPr>
                <w:noProof/>
              </w:rPr>
              <w:t>f</w:t>
            </w:r>
            <w:r>
              <w:rPr>
                <w:noProof/>
              </w:rPr>
              <w:t xml:space="preserve"> approach?)</w:t>
            </w:r>
          </w:p>
        </w:tc>
      </w:tr>
      <w:tr w:rsidR="003F1AEB" w14:paraId="028BE21D" w14:textId="77777777" w:rsidTr="005046EA">
        <w:tc>
          <w:tcPr>
            <w:tcW w:w="9288" w:type="dxa"/>
          </w:tcPr>
          <w:p w14:paraId="6294D3BD" w14:textId="19EF86EB" w:rsidR="003F1AEB" w:rsidRPr="00F043F9" w:rsidRDefault="0013430D" w:rsidP="00B67A13">
            <w:pPr>
              <w:jc w:val="both"/>
              <w:rPr>
                <w:noProof/>
              </w:rPr>
            </w:pPr>
            <w:r w:rsidRPr="0013430D">
              <w:rPr>
                <w:noProof/>
                <w:color w:val="4F81BD" w:themeColor="accent1"/>
              </w:rPr>
              <w:t>Article 153(2)(b) of the TFEU only allows minimum requirements in the field of workers’ health and safety protection to be adopted ‘by means of directives’. These minimum requirements are proposed by the European Commission after consultation of representatives of workers’ organisations, representatives of employers’ organisations, and representatives of governments. The provisions in this initiative do not prevent any Member State from maintaining or introducing more stringent protective measures compatible with the Treaties.</w:t>
            </w:r>
          </w:p>
        </w:tc>
      </w:tr>
      <w:tr w:rsidR="003F1AEB" w14:paraId="03C66F16" w14:textId="77777777" w:rsidTr="005046EA">
        <w:tc>
          <w:tcPr>
            <w:tcW w:w="9288" w:type="dxa"/>
          </w:tcPr>
          <w:p w14:paraId="1E281BFD" w14:textId="6020940C" w:rsidR="003F1AEB" w:rsidRPr="00F043F9" w:rsidRDefault="003F1AEB" w:rsidP="00B67A13">
            <w:pPr>
              <w:pStyle w:val="ListParagraph"/>
              <w:numPr>
                <w:ilvl w:val="0"/>
                <w:numId w:val="7"/>
              </w:numPr>
              <w:jc w:val="both"/>
              <w:rPr>
                <w:noProof/>
              </w:rPr>
            </w:pPr>
            <w:r w:rsidRPr="007E78B9">
              <w:rPr>
                <w:noProof/>
              </w:rPr>
              <w:t>Does</w:t>
            </w:r>
            <w:r>
              <w:rPr>
                <w:noProof/>
              </w:rPr>
              <w:t xml:space="preserve"> the initiative create financial or administrative cost for the Union, national governments, regional or local authorities, economic operators or citizens? Are these costs commensurate with the objective to be achieved?</w:t>
            </w:r>
          </w:p>
        </w:tc>
      </w:tr>
      <w:tr w:rsidR="003F1AEB" w14:paraId="0601A714" w14:textId="77777777" w:rsidTr="005046EA">
        <w:tc>
          <w:tcPr>
            <w:tcW w:w="9288" w:type="dxa"/>
          </w:tcPr>
          <w:p w14:paraId="2074CF79" w14:textId="5A9C6C52" w:rsidR="00FC511E" w:rsidRDefault="00FC511E" w:rsidP="00B67A13">
            <w:pPr>
              <w:spacing w:after="120"/>
              <w:jc w:val="both"/>
              <w:rPr>
                <w:noProof/>
                <w:color w:val="4F81BD" w:themeColor="accent1"/>
              </w:rPr>
            </w:pPr>
            <w:r w:rsidRPr="00FC511E">
              <w:rPr>
                <w:noProof/>
                <w:color w:val="4F81BD" w:themeColor="accent1"/>
              </w:rPr>
              <w:t>Actions to adjust working practices (risk management measures, health surveillance, monitoring and training) to comply with the new values will result in increased costs for companies. The estimated cost of the preferred options is overall bearable for businesses. For lead, the costs would amount to EUR 30 000 per company over 40 years (less than 1% of their turnover). For diisocyanates, a company would have to spend EUR 6 000 over 40 years, which would not represent a significant share of their turnover either. Since these are sectors with a high degree of competition, impacts on consumers are expected to be limited.</w:t>
            </w:r>
          </w:p>
          <w:p w14:paraId="4FCC051C" w14:textId="2D681CEA" w:rsidR="00FC511E" w:rsidRDefault="00FC511E" w:rsidP="00B67A13">
            <w:pPr>
              <w:spacing w:after="120"/>
              <w:jc w:val="both"/>
              <w:rPr>
                <w:noProof/>
                <w:color w:val="4F81BD" w:themeColor="accent1"/>
              </w:rPr>
            </w:pPr>
            <w:r w:rsidRPr="00FC511E">
              <w:rPr>
                <w:noProof/>
                <w:color w:val="4F81BD" w:themeColor="accent1"/>
              </w:rPr>
              <w:t xml:space="preserve">Additional administrative and enforcement costs that might be incurred by enforcing authorities are not expected to be significant. The reduction of ill-health cases will contribute to mitigating financial losses as burdens to social security and health care systems are reduced. The estimated savings for public authorities </w:t>
            </w:r>
            <w:r w:rsidR="0064601A" w:rsidRPr="00FC511E">
              <w:rPr>
                <w:noProof/>
                <w:color w:val="4F81BD" w:themeColor="accent1"/>
              </w:rPr>
              <w:t xml:space="preserve">for lead </w:t>
            </w:r>
            <w:r w:rsidRPr="00FC511E">
              <w:rPr>
                <w:noProof/>
                <w:color w:val="4F81BD" w:themeColor="accent1"/>
              </w:rPr>
              <w:t xml:space="preserve">are around EUR 100 million over 40 years, which outweighs the </w:t>
            </w:r>
            <w:r w:rsidR="00CA48CF">
              <w:rPr>
                <w:noProof/>
                <w:color w:val="4F81BD" w:themeColor="accent1"/>
              </w:rPr>
              <w:t xml:space="preserve">one-off </w:t>
            </w:r>
            <w:r w:rsidRPr="00FC511E">
              <w:rPr>
                <w:noProof/>
                <w:color w:val="4F81BD" w:themeColor="accent1"/>
              </w:rPr>
              <w:t xml:space="preserve">costs (EUR 500 000). For diisocyanates, public administrations in the EU will have to incur one-off costs of around EUR 970 000, also expected to be balanced by the benefits (EUR 1 750 000).  </w:t>
            </w:r>
          </w:p>
          <w:p w14:paraId="47EA63C0" w14:textId="580E1518" w:rsidR="003F1AEB" w:rsidRPr="00412D59" w:rsidRDefault="0013430D" w:rsidP="00B67A13">
            <w:pPr>
              <w:spacing w:after="120"/>
              <w:jc w:val="both"/>
              <w:rPr>
                <w:noProof/>
                <w:color w:val="4F81BD" w:themeColor="accent1"/>
                <w:highlight w:val="yellow"/>
              </w:rPr>
            </w:pPr>
            <w:r w:rsidRPr="0013430D">
              <w:rPr>
                <w:noProof/>
                <w:color w:val="4F81BD" w:themeColor="accent1"/>
              </w:rPr>
              <w:t>In addition to that, this initiative should result in benefits in terms of avoided</w:t>
            </w:r>
            <w:r w:rsidR="00FC511E">
              <w:rPr>
                <w:noProof/>
                <w:color w:val="4F81BD" w:themeColor="accent1"/>
              </w:rPr>
              <w:t xml:space="preserve"> cases of occupational diseases</w:t>
            </w:r>
            <w:r w:rsidRPr="0013430D">
              <w:rPr>
                <w:noProof/>
                <w:color w:val="4F81BD" w:themeColor="accent1"/>
              </w:rPr>
              <w:t xml:space="preserve"> and related monetised health benefits including intangible costs such as the reduced quality of life, the suffering of the workers and their famil</w:t>
            </w:r>
            <w:r w:rsidR="00FC511E">
              <w:rPr>
                <w:noProof/>
                <w:color w:val="4F81BD" w:themeColor="accent1"/>
              </w:rPr>
              <w:t>ies</w:t>
            </w:r>
            <w:r w:rsidRPr="0013430D">
              <w:rPr>
                <w:noProof/>
                <w:color w:val="4F81BD" w:themeColor="accent1"/>
              </w:rPr>
              <w:t>, etc.</w:t>
            </w:r>
            <w:r w:rsidR="006257BA">
              <w:rPr>
                <w:noProof/>
                <w:color w:val="4F81BD" w:themeColor="accent1"/>
              </w:rPr>
              <w:t xml:space="preserve"> </w:t>
            </w:r>
          </w:p>
        </w:tc>
      </w:tr>
      <w:tr w:rsidR="003F1AEB" w14:paraId="5182BBE0" w14:textId="77777777" w:rsidTr="005046EA">
        <w:tc>
          <w:tcPr>
            <w:tcW w:w="9288" w:type="dxa"/>
          </w:tcPr>
          <w:p w14:paraId="629D8EF8" w14:textId="0A2CA559" w:rsidR="003F1AEB" w:rsidRPr="00F043F9" w:rsidRDefault="003F1AEB" w:rsidP="00B67A13">
            <w:pPr>
              <w:pStyle w:val="ListParagraph"/>
              <w:numPr>
                <w:ilvl w:val="0"/>
                <w:numId w:val="7"/>
              </w:numPr>
              <w:jc w:val="both"/>
              <w:rPr>
                <w:noProof/>
              </w:rPr>
            </w:pPr>
            <w:r>
              <w:rPr>
                <w:noProof/>
              </w:rPr>
              <w:t>While respecting the Union law, have special circumstances applying in individual Member States been taken into account?</w:t>
            </w:r>
          </w:p>
        </w:tc>
      </w:tr>
      <w:tr w:rsidR="003F1AEB" w14:paraId="6C54A8A2" w14:textId="77777777" w:rsidTr="005046EA">
        <w:tc>
          <w:tcPr>
            <w:tcW w:w="9288" w:type="dxa"/>
          </w:tcPr>
          <w:p w14:paraId="16203317" w14:textId="75A1E77F" w:rsidR="003F1AEB" w:rsidRPr="00F043F9" w:rsidRDefault="0013430D" w:rsidP="00B67A13">
            <w:pPr>
              <w:jc w:val="both"/>
              <w:rPr>
                <w:noProof/>
              </w:rPr>
            </w:pPr>
            <w:r w:rsidRPr="0013430D">
              <w:rPr>
                <w:noProof/>
                <w:color w:val="4F81BD" w:themeColor="accent1"/>
              </w:rPr>
              <w:t>As mentioned above, the European Commission consulted the tripartite ACSH, composed of three full members per Member State, representing national governments, trade unions and employers’ organisations.  This broad representation enables to take into account special circumstances applying in individual Member States.</w:t>
            </w:r>
          </w:p>
        </w:tc>
      </w:tr>
    </w:tbl>
    <w:p w14:paraId="6B292B31" w14:textId="77777777" w:rsidR="005046EA" w:rsidRDefault="005046EA" w:rsidP="00B67A13">
      <w:pPr>
        <w:jc w:val="both"/>
        <w:rPr>
          <w:noProof/>
        </w:rPr>
      </w:pPr>
    </w:p>
    <w:sectPr w:rsidR="005046EA" w:rsidSect="002B6B9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A13E" w14:textId="77777777" w:rsidR="00E54CF5" w:rsidRDefault="00E54CF5" w:rsidP="0054546C">
      <w:pPr>
        <w:spacing w:after="0" w:line="240" w:lineRule="auto"/>
      </w:pPr>
      <w:r>
        <w:separator/>
      </w:r>
    </w:p>
  </w:endnote>
  <w:endnote w:type="continuationSeparator" w:id="0">
    <w:p w14:paraId="05B599AD" w14:textId="77777777" w:rsidR="00E54CF5" w:rsidRDefault="00E54CF5" w:rsidP="0054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770" w14:textId="77777777" w:rsidR="00622F85" w:rsidRPr="00622F85" w:rsidRDefault="00622F85" w:rsidP="00622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57EF" w14:textId="0F41A90C" w:rsidR="00622F85" w:rsidRPr="00622F85" w:rsidRDefault="00622F85" w:rsidP="00622F85">
    <w:pPr>
      <w:pStyle w:val="FooterCoverPage"/>
      <w:rPr>
        <w:rFonts w:ascii="Arial" w:hAnsi="Arial" w:cs="Arial"/>
        <w:b/>
        <w:sz w:val="48"/>
      </w:rPr>
    </w:pPr>
    <w:r w:rsidRPr="00622F85">
      <w:rPr>
        <w:rFonts w:ascii="Arial" w:hAnsi="Arial" w:cs="Arial"/>
        <w:b/>
        <w:sz w:val="48"/>
      </w:rPr>
      <w:t>EN</w:t>
    </w:r>
    <w:r w:rsidRPr="00622F85">
      <w:rPr>
        <w:rFonts w:ascii="Arial" w:hAnsi="Arial" w:cs="Arial"/>
        <w:b/>
        <w:sz w:val="48"/>
      </w:rPr>
      <w:tab/>
    </w:r>
    <w:r w:rsidRPr="00622F85">
      <w:rPr>
        <w:rFonts w:ascii="Arial" w:hAnsi="Arial" w:cs="Arial"/>
        <w:b/>
        <w:sz w:val="48"/>
      </w:rPr>
      <w:tab/>
    </w:r>
    <w:r w:rsidRPr="00622F85">
      <w:tab/>
    </w:r>
    <w:proofErr w:type="spellStart"/>
    <w:r w:rsidRPr="00622F85">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BF4C" w14:textId="77777777" w:rsidR="00622F85" w:rsidRPr="00622F85" w:rsidRDefault="00622F85" w:rsidP="00622F8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9E66" w14:textId="77777777" w:rsidR="002B6B94" w:rsidRDefault="002B6B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637664"/>
      <w:docPartObj>
        <w:docPartGallery w:val="Page Numbers (Bottom of Page)"/>
        <w:docPartUnique/>
      </w:docPartObj>
    </w:sdtPr>
    <w:sdtEndPr>
      <w:rPr>
        <w:noProof/>
      </w:rPr>
    </w:sdtEndPr>
    <w:sdtContent>
      <w:p w14:paraId="020D9909" w14:textId="1EA3E37D" w:rsidR="002B6B94" w:rsidRDefault="002B6B94">
        <w:pPr>
          <w:pStyle w:val="Footer"/>
          <w:jc w:val="center"/>
        </w:pPr>
        <w:r>
          <w:fldChar w:fldCharType="begin"/>
        </w:r>
        <w:r>
          <w:instrText xml:space="preserve"> PAGE   \* MERGEFORMAT </w:instrText>
        </w:r>
        <w:r>
          <w:fldChar w:fldCharType="separate"/>
        </w:r>
        <w:r w:rsidR="00F96FED">
          <w:rPr>
            <w:noProof/>
          </w:rPr>
          <w:t>1</w:t>
        </w:r>
        <w:r>
          <w:rPr>
            <w:noProof/>
          </w:rPr>
          <w:fldChar w:fldCharType="end"/>
        </w:r>
      </w:p>
    </w:sdtContent>
  </w:sdt>
  <w:p w14:paraId="5EB4B12E" w14:textId="77777777" w:rsidR="002B6B94" w:rsidRDefault="002B6B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F50" w14:textId="77777777" w:rsidR="002B6B94" w:rsidRDefault="002B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37D0" w14:textId="77777777" w:rsidR="00E54CF5" w:rsidRDefault="00E54CF5" w:rsidP="0054546C">
      <w:pPr>
        <w:spacing w:after="0" w:line="240" w:lineRule="auto"/>
      </w:pPr>
      <w:r>
        <w:separator/>
      </w:r>
    </w:p>
  </w:footnote>
  <w:footnote w:type="continuationSeparator" w:id="0">
    <w:p w14:paraId="6AA4611B" w14:textId="77777777" w:rsidR="00E54CF5" w:rsidRDefault="00E54CF5" w:rsidP="0054546C">
      <w:pPr>
        <w:spacing w:after="0" w:line="240" w:lineRule="auto"/>
      </w:pPr>
      <w:r>
        <w:continuationSeparator/>
      </w:r>
    </w:p>
  </w:footnote>
  <w:footnote w:id="1">
    <w:p w14:paraId="31B94707" w14:textId="77777777" w:rsidR="0054546C" w:rsidRPr="0054546C" w:rsidRDefault="0054546C">
      <w:pPr>
        <w:pStyle w:val="FootnoteText"/>
        <w:rPr>
          <w:lang w:val="en-IE"/>
        </w:rPr>
      </w:pPr>
      <w:r>
        <w:rPr>
          <w:rStyle w:val="FootnoteReference"/>
        </w:rPr>
        <w:footnoteRef/>
      </w:r>
      <w:r>
        <w:t xml:space="preserve"> </w:t>
      </w:r>
      <w:hyperlink r:id="rId1" w:history="1">
        <w:r w:rsidRPr="00033D43">
          <w:rPr>
            <w:rStyle w:val="Hyperlink"/>
          </w:rPr>
          <w:t>https://eur-lex.europa.eu/legal-content/EN/TXT/HTML/?uri=CELEX:12008E003&amp;from=EN</w:t>
        </w:r>
      </w:hyperlink>
      <w:r>
        <w:t xml:space="preserve"> </w:t>
      </w:r>
    </w:p>
  </w:footnote>
  <w:footnote w:id="2">
    <w:p w14:paraId="2BE69D9A" w14:textId="77777777" w:rsidR="0054546C" w:rsidRPr="0054546C" w:rsidRDefault="0054546C">
      <w:pPr>
        <w:pStyle w:val="FootnoteText"/>
        <w:rPr>
          <w:lang w:val="en-IE"/>
        </w:rPr>
      </w:pPr>
      <w:r>
        <w:rPr>
          <w:rStyle w:val="FootnoteReference"/>
        </w:rPr>
        <w:footnoteRef/>
      </w:r>
      <w:r>
        <w:t xml:space="preserve"> </w:t>
      </w:r>
      <w:hyperlink r:id="rId2" w:history="1">
        <w:r w:rsidRPr="00033D43">
          <w:rPr>
            <w:rStyle w:val="Hyperlink"/>
          </w:rPr>
          <w:t>https://eur-lex.europa.eu/legal-content/EN/TXT/HTML/?uri=CELEX:12008E004&amp;from=EN</w:t>
        </w:r>
      </w:hyperlink>
      <w:r>
        <w:t xml:space="preserve"> </w:t>
      </w:r>
    </w:p>
  </w:footnote>
  <w:footnote w:id="3">
    <w:p w14:paraId="4938F06A" w14:textId="77777777" w:rsidR="0054546C" w:rsidRPr="0054546C" w:rsidRDefault="0054546C">
      <w:pPr>
        <w:pStyle w:val="FootnoteText"/>
        <w:rPr>
          <w:lang w:val="en-IE"/>
        </w:rPr>
      </w:pPr>
      <w:r>
        <w:rPr>
          <w:rStyle w:val="FootnoteReference"/>
        </w:rPr>
        <w:footnoteRef/>
      </w:r>
      <w:r>
        <w:t xml:space="preserve"> </w:t>
      </w:r>
      <w:hyperlink r:id="rId3" w:history="1">
        <w:r w:rsidRPr="00033D43">
          <w:rPr>
            <w:rStyle w:val="Hyperlink"/>
          </w:rPr>
          <w:t>https://eur-lex.europa.eu/LexUriServ/LexUriServ.do?uri=CELEX:12008E006:EN:HTML</w:t>
        </w:r>
      </w:hyperlink>
      <w:r>
        <w:t xml:space="preserve"> </w:t>
      </w:r>
    </w:p>
  </w:footnote>
  <w:footnote w:id="4">
    <w:p w14:paraId="286BF9B0" w14:textId="77777777" w:rsidR="00B55E58" w:rsidRPr="00B55E58" w:rsidRDefault="00B55E58">
      <w:pPr>
        <w:pStyle w:val="FootnoteText"/>
        <w:rPr>
          <w:lang w:val="en-IE"/>
        </w:rPr>
      </w:pPr>
      <w:r>
        <w:rPr>
          <w:rStyle w:val="FootnoteReference"/>
        </w:rPr>
        <w:footnoteRef/>
      </w:r>
      <w:r>
        <w:t xml:space="preserve"> </w:t>
      </w:r>
      <w:hyperlink r:id="rId4" w:history="1">
        <w:r w:rsidRPr="00033D43">
          <w:rPr>
            <w:rStyle w:val="Hyperlink"/>
          </w:rPr>
          <w:t>https://eur-lex.europa.eu/legal-content/EN/TXT/HTML/?uri=CELEX:12016E/PRO/02&amp;from=EN</w:t>
        </w:r>
      </w:hyperlink>
      <w:r>
        <w:t xml:space="preserve"> </w:t>
      </w:r>
    </w:p>
  </w:footnote>
  <w:footnote w:id="5">
    <w:p w14:paraId="70388D8E" w14:textId="77777777" w:rsidR="00EA772D" w:rsidRDefault="00EA772D"/>
  </w:footnote>
  <w:footnote w:id="6">
    <w:p w14:paraId="0FCC5B4C" w14:textId="77777777" w:rsidR="003F50D8" w:rsidRPr="005D324D" w:rsidRDefault="003F50D8" w:rsidP="003F50D8">
      <w:pPr>
        <w:pStyle w:val="FootnoteText"/>
        <w:rPr>
          <w:lang w:val="en-IE"/>
        </w:rPr>
      </w:pPr>
      <w:r>
        <w:rPr>
          <w:rStyle w:val="FootnoteReference"/>
        </w:rPr>
        <w:footnoteRef/>
      </w:r>
      <w:r w:rsidRPr="005D324D">
        <w:rPr>
          <w:lang w:val="en-IE"/>
        </w:rPr>
        <w:t xml:space="preserve"> Directive 98/24/EC</w:t>
      </w:r>
    </w:p>
  </w:footnote>
  <w:footnote w:id="7">
    <w:p w14:paraId="51568CFC" w14:textId="77777777" w:rsidR="00F35A70" w:rsidRPr="005D324D" w:rsidRDefault="00F35A70">
      <w:pPr>
        <w:pStyle w:val="FootnoteText"/>
        <w:rPr>
          <w:lang w:val="en-IE"/>
        </w:rPr>
      </w:pPr>
      <w:r>
        <w:rPr>
          <w:rStyle w:val="FootnoteReference"/>
        </w:rPr>
        <w:footnoteRef/>
      </w:r>
      <w:r w:rsidRPr="005D324D">
        <w:rPr>
          <w:lang w:val="en-IE"/>
        </w:rPr>
        <w:t xml:space="preserve"> </w:t>
      </w:r>
      <w:hyperlink r:id="rId5" w:history="1">
        <w:r w:rsidRPr="005D324D">
          <w:rPr>
            <w:rStyle w:val="Hyperlink"/>
            <w:lang w:val="en-IE"/>
          </w:rPr>
          <w:t>https://europa.eu/european-union/about-eu/eu-in-brief_en</w:t>
        </w:r>
      </w:hyperlink>
      <w:r w:rsidRPr="005D324D">
        <w:rPr>
          <w:lang w:val="en-IE"/>
        </w:rPr>
        <w:t xml:space="preserve"> </w:t>
      </w:r>
    </w:p>
  </w:footnote>
  <w:footnote w:id="8">
    <w:p w14:paraId="7FC1B2E1" w14:textId="7156F7B6" w:rsidR="0016100B" w:rsidRPr="0016100B" w:rsidRDefault="0016100B">
      <w:pPr>
        <w:pStyle w:val="FootnoteText"/>
      </w:pPr>
      <w:r>
        <w:rPr>
          <w:rStyle w:val="FootnoteReference"/>
        </w:rPr>
        <w:footnoteRef/>
      </w:r>
      <w:r w:rsidRPr="005E2C9F">
        <w:rPr>
          <w:lang w:val="en-IE"/>
        </w:rPr>
        <w:t xml:space="preserve"> </w:t>
      </w:r>
      <w:hyperlink r:id="rId6" w:anchor=":~:text=21%2DOpinion_asbestos_adopted.docx-,DOC.008%2D21%2DOPINION_ASBESTOS_ADOPTED.DOCX,-(Version%201.0)" w:history="1">
        <w:r w:rsidR="004B24E2" w:rsidRPr="005E2C9F">
          <w:rPr>
            <w:rStyle w:val="Hyperlink"/>
            <w:lang w:val="en-IE"/>
          </w:rPr>
          <w:t xml:space="preserve">DOC.008 21. </w:t>
        </w:r>
        <w:r w:rsidR="004B24E2" w:rsidRPr="0096690C">
          <w:rPr>
            <w:rStyle w:val="Hyperlink"/>
          </w:rPr>
          <w:t>ACSH Opinion on an EU Binding Occupational Exposure Limit Value for Asbestos under the Asbestos at Work Directive 2009/148/EC. Adopted on 24/11/2021</w:t>
        </w:r>
      </w:hyperlink>
    </w:p>
  </w:footnote>
  <w:footnote w:id="9">
    <w:p w14:paraId="4EEDE806" w14:textId="77777777" w:rsidR="00B1497F" w:rsidRPr="00AF3FE7" w:rsidRDefault="00B1497F" w:rsidP="00B1497F">
      <w:pPr>
        <w:pStyle w:val="FootnoteText"/>
        <w:rPr>
          <w:lang w:val="en-IE"/>
        </w:rPr>
      </w:pPr>
      <w:r>
        <w:rPr>
          <w:rStyle w:val="FootnoteReference"/>
        </w:rPr>
        <w:footnoteRef/>
      </w:r>
      <w:r w:rsidRPr="00AF3FE7">
        <w:rPr>
          <w:lang w:val="en-IE"/>
        </w:rPr>
        <w:t xml:space="preserve"> </w:t>
      </w:r>
      <w:r w:rsidRPr="00717C51">
        <w:rPr>
          <w:sz w:val="18"/>
          <w:szCs w:val="18"/>
          <w:lang w:val="en-IE"/>
        </w:rPr>
        <w:t xml:space="preserve">Available at: </w:t>
      </w:r>
      <w:hyperlink r:id="rId7" w:history="1">
        <w:r w:rsidRPr="003F0908">
          <w:rPr>
            <w:rStyle w:val="Hyperlink"/>
            <w:sz w:val="18"/>
            <w:szCs w:val="18"/>
            <w:lang w:val="en-IE"/>
          </w:rPr>
          <w:t>https://ec.europa.eu/commission/priorities/deeper-and-fairer-economic-and-monetary-union/european-pillar-social-rights_en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B781" w14:textId="77777777" w:rsidR="00622F85" w:rsidRPr="00622F85" w:rsidRDefault="00622F85" w:rsidP="0062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FD42" w14:textId="77777777" w:rsidR="00622F85" w:rsidRPr="00622F85" w:rsidRDefault="00622F85" w:rsidP="00622F8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1F2A" w14:textId="77777777" w:rsidR="00622F85" w:rsidRPr="00622F85" w:rsidRDefault="00622F85" w:rsidP="00622F8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86F4" w14:textId="77777777" w:rsidR="002B6B94" w:rsidRDefault="002B6B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262A" w14:textId="77777777" w:rsidR="002B6B94" w:rsidRDefault="002B6B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FA5" w14:textId="77777777" w:rsidR="002B6B94" w:rsidRDefault="002B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0CB6"/>
    <w:multiLevelType w:val="hybridMultilevel"/>
    <w:tmpl w:val="68224F72"/>
    <w:lvl w:ilvl="0" w:tplc="479C9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C3069"/>
    <w:multiLevelType w:val="hybridMultilevel"/>
    <w:tmpl w:val="D3CCF2E4"/>
    <w:lvl w:ilvl="0" w:tplc="08090003">
      <w:numFmt w:val="bullet"/>
      <w:lvlText w:val="-"/>
      <w:lvlJc w:val="left"/>
      <w:pPr>
        <w:ind w:left="720" w:hanging="360"/>
      </w:pPr>
      <w:rPr>
        <w:rFonts w:ascii="Times" w:eastAsia="Times New Roman" w:hAnsi="Time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4E5021"/>
    <w:multiLevelType w:val="multilevel"/>
    <w:tmpl w:val="95882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7256C0"/>
    <w:multiLevelType w:val="hybridMultilevel"/>
    <w:tmpl w:val="526C7502"/>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165BC"/>
    <w:multiLevelType w:val="hybridMultilevel"/>
    <w:tmpl w:val="76D44204"/>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D15CB"/>
    <w:multiLevelType w:val="multilevel"/>
    <w:tmpl w:val="6F58FE10"/>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D590A4C"/>
    <w:multiLevelType w:val="hybridMultilevel"/>
    <w:tmpl w:val="736EE7D0"/>
    <w:lvl w:ilvl="0" w:tplc="EA8CAF2E">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DA3FEE"/>
    <w:multiLevelType w:val="hybridMultilevel"/>
    <w:tmpl w:val="810C10B2"/>
    <w:lvl w:ilvl="0" w:tplc="2E420C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080CDE"/>
    <w:multiLevelType w:val="hybridMultilevel"/>
    <w:tmpl w:val="8F6EE310"/>
    <w:lvl w:ilvl="0" w:tplc="69FAF7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D2183E"/>
    <w:multiLevelType w:val="hybridMultilevel"/>
    <w:tmpl w:val="678CCEBA"/>
    <w:lvl w:ilvl="0" w:tplc="08090003">
      <w:numFmt w:val="bullet"/>
      <w:lvlText w:val="-"/>
      <w:lvlJc w:val="left"/>
      <w:pPr>
        <w:ind w:left="720" w:hanging="360"/>
      </w:pPr>
      <w:rPr>
        <w:rFonts w:ascii="Times" w:eastAsia="Times New Roman" w:hAnsi="Time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75240935">
    <w:abstractNumId w:val="5"/>
  </w:num>
  <w:num w:numId="2" w16cid:durableId="911280754">
    <w:abstractNumId w:val="3"/>
  </w:num>
  <w:num w:numId="3" w16cid:durableId="1284072104">
    <w:abstractNumId w:val="8"/>
  </w:num>
  <w:num w:numId="4" w16cid:durableId="1766727203">
    <w:abstractNumId w:val="4"/>
  </w:num>
  <w:num w:numId="5" w16cid:durableId="1894538856">
    <w:abstractNumId w:val="0"/>
  </w:num>
  <w:num w:numId="6" w16cid:durableId="527959758">
    <w:abstractNumId w:val="2"/>
  </w:num>
  <w:num w:numId="7" w16cid:durableId="30420875">
    <w:abstractNumId w:val="7"/>
  </w:num>
  <w:num w:numId="8" w16cid:durableId="506598040">
    <w:abstractNumId w:val="9"/>
  </w:num>
  <w:num w:numId="9" w16cid:durableId="1416391534">
    <w:abstractNumId w:val="1"/>
  </w:num>
  <w:num w:numId="10" w16cid:durableId="339507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en-GB" w:vendorID="64" w:dllVersion="0" w:nlCheck="1" w:checkStyle="0"/>
  <w:activeWritingStyle w:appName="MSWord" w:lang="pt-PT" w:vendorID="64" w:dllVersion="0" w:nlCheck="1" w:checkStyle="0"/>
  <w:activeWritingStyle w:appName="MSWord" w:lang="en-IE" w:vendorID="64" w:dllVersion="0" w:nlCheck="1" w:checkStyle="0"/>
  <w:activeWritingStyle w:appName="MSWord" w:lang="en-US" w:vendorID="64" w:dllVersion="0" w:nlCheck="1" w:checkStyle="0"/>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ACCOMPAGNANT.CP" w:val="Accompanying the document"/>
    <w:docVar w:name="LW_CORRIGENDUM" w:val="&lt;UNUSED&gt;"/>
    <w:docVar w:name="LW_COVERPAGE_EXISTS" w:val="True"/>
    <w:docVar w:name="LW_COVERPAGE_GUID" w:val="E0E8CFDB-9553-4D75-BF7F-4081B748D004"/>
    <w:docVar w:name="LW_COVERPAGE_TYPE" w:val="1"/>
    <w:docVar w:name="LW_CROSSREFERENCE" w:val="{COM(2023) 71 final} - {SEC(2023) 67 final} - {SWD(2023) 35 final} - {SWD(2023) 36 final}"/>
    <w:docVar w:name="LW_DocType" w:val="NORMAL"/>
    <w:docVar w:name="LW_EMISSION" w:val="13.2.2023"/>
    <w:docVar w:name="LW_EMISSION_ISODATE" w:val="2023-02-13"/>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 "/>
    <w:docVar w:name="LW_PART_NBR" w:val="1"/>
    <w:docVar w:name="LW_PART_NBR_TOTAL" w:val="1"/>
    <w:docVar w:name="LW_REF.INST.NEW" w:val="SWD"/>
    <w:docVar w:name="LW_REF.INST.NEW_ADOPTED" w:val="final"/>
    <w:docVar w:name="LW_REF.INST.NEW_TEXT" w:val="(2023) 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bsidiarity Grid"/>
    <w:docVar w:name="LW_TYPE.DOC.CP" w:val="COMMISSION STAFF WORKING DOCUMENT"/>
    <w:docVar w:name="LW_TYPEACTEPRINCIPAL.CP" w:val="Proposal for a Directive of the European Parliament and of the Council amending Council Directive 98/24/EC and Directive 2004/37/EC of the European Parliament and of the Council as regards the limit values for lead and its inorganic compounds and diisocyanates"/>
    <w:docVar w:name="LwApiVersions" w:val="LW4CoDe 1.23.2.0; LW 8.0, Build 20211117"/>
  </w:docVars>
  <w:rsids>
    <w:rsidRoot w:val="005046EA"/>
    <w:rsid w:val="0000057F"/>
    <w:rsid w:val="000205EB"/>
    <w:rsid w:val="0002696C"/>
    <w:rsid w:val="00034B7D"/>
    <w:rsid w:val="000559A6"/>
    <w:rsid w:val="00084CBE"/>
    <w:rsid w:val="000E2341"/>
    <w:rsid w:val="000E2B1D"/>
    <w:rsid w:val="000E3FA4"/>
    <w:rsid w:val="000F5085"/>
    <w:rsid w:val="000F55BA"/>
    <w:rsid w:val="0011138C"/>
    <w:rsid w:val="0012098E"/>
    <w:rsid w:val="0013430D"/>
    <w:rsid w:val="001361E8"/>
    <w:rsid w:val="00136D70"/>
    <w:rsid w:val="00140994"/>
    <w:rsid w:val="001522FB"/>
    <w:rsid w:val="001523B4"/>
    <w:rsid w:val="0016100B"/>
    <w:rsid w:val="00170387"/>
    <w:rsid w:val="0019536D"/>
    <w:rsid w:val="001D0A3C"/>
    <w:rsid w:val="001F4B6A"/>
    <w:rsid w:val="00223C4B"/>
    <w:rsid w:val="00257C8C"/>
    <w:rsid w:val="00267F18"/>
    <w:rsid w:val="00276EAD"/>
    <w:rsid w:val="002A51B1"/>
    <w:rsid w:val="002A5EDE"/>
    <w:rsid w:val="002B6B94"/>
    <w:rsid w:val="002C6949"/>
    <w:rsid w:val="002C7141"/>
    <w:rsid w:val="002D0FF3"/>
    <w:rsid w:val="00391C91"/>
    <w:rsid w:val="003B0BF8"/>
    <w:rsid w:val="003C30DB"/>
    <w:rsid w:val="003D658D"/>
    <w:rsid w:val="003D7918"/>
    <w:rsid w:val="003E628C"/>
    <w:rsid w:val="003F1AEB"/>
    <w:rsid w:val="003F50D8"/>
    <w:rsid w:val="00412D59"/>
    <w:rsid w:val="00420625"/>
    <w:rsid w:val="00472D0B"/>
    <w:rsid w:val="004B24E2"/>
    <w:rsid w:val="004B3C25"/>
    <w:rsid w:val="004C0ADF"/>
    <w:rsid w:val="004D04B0"/>
    <w:rsid w:val="004D1688"/>
    <w:rsid w:val="005046EA"/>
    <w:rsid w:val="0053671C"/>
    <w:rsid w:val="00544578"/>
    <w:rsid w:val="0054546C"/>
    <w:rsid w:val="00564EEA"/>
    <w:rsid w:val="005D324D"/>
    <w:rsid w:val="005D4D14"/>
    <w:rsid w:val="005D5EC7"/>
    <w:rsid w:val="005D76F4"/>
    <w:rsid w:val="005E2C9F"/>
    <w:rsid w:val="005E3D58"/>
    <w:rsid w:val="005E45BB"/>
    <w:rsid w:val="00612940"/>
    <w:rsid w:val="00621EC2"/>
    <w:rsid w:val="00622F85"/>
    <w:rsid w:val="00623214"/>
    <w:rsid w:val="006257BA"/>
    <w:rsid w:val="0064601A"/>
    <w:rsid w:val="006571F6"/>
    <w:rsid w:val="006E3251"/>
    <w:rsid w:val="00707ADC"/>
    <w:rsid w:val="00734B7E"/>
    <w:rsid w:val="00740D53"/>
    <w:rsid w:val="00765303"/>
    <w:rsid w:val="0077215E"/>
    <w:rsid w:val="00787729"/>
    <w:rsid w:val="007C0EC2"/>
    <w:rsid w:val="007D4819"/>
    <w:rsid w:val="007E3532"/>
    <w:rsid w:val="007E78B9"/>
    <w:rsid w:val="007F4FAC"/>
    <w:rsid w:val="00811991"/>
    <w:rsid w:val="008377E8"/>
    <w:rsid w:val="00854FA7"/>
    <w:rsid w:val="008A41B0"/>
    <w:rsid w:val="008F2FFA"/>
    <w:rsid w:val="008F3748"/>
    <w:rsid w:val="008F430C"/>
    <w:rsid w:val="00903E33"/>
    <w:rsid w:val="009073BA"/>
    <w:rsid w:val="009139CD"/>
    <w:rsid w:val="009417D1"/>
    <w:rsid w:val="0094311F"/>
    <w:rsid w:val="00991900"/>
    <w:rsid w:val="00995938"/>
    <w:rsid w:val="009A0F35"/>
    <w:rsid w:val="009A140A"/>
    <w:rsid w:val="009A7B2B"/>
    <w:rsid w:val="009C6248"/>
    <w:rsid w:val="009E4D1B"/>
    <w:rsid w:val="00A3315D"/>
    <w:rsid w:val="00A44408"/>
    <w:rsid w:val="00A54811"/>
    <w:rsid w:val="00A610BD"/>
    <w:rsid w:val="00A90C8E"/>
    <w:rsid w:val="00AB053E"/>
    <w:rsid w:val="00AB3EF8"/>
    <w:rsid w:val="00AC1A76"/>
    <w:rsid w:val="00AC2F37"/>
    <w:rsid w:val="00AE27EB"/>
    <w:rsid w:val="00AF4F7E"/>
    <w:rsid w:val="00AF5C1B"/>
    <w:rsid w:val="00B1497F"/>
    <w:rsid w:val="00B55E58"/>
    <w:rsid w:val="00B67A13"/>
    <w:rsid w:val="00B74758"/>
    <w:rsid w:val="00B77993"/>
    <w:rsid w:val="00BB296F"/>
    <w:rsid w:val="00BB67BC"/>
    <w:rsid w:val="00BC4262"/>
    <w:rsid w:val="00BC7B37"/>
    <w:rsid w:val="00BD5B24"/>
    <w:rsid w:val="00BF7528"/>
    <w:rsid w:val="00C17621"/>
    <w:rsid w:val="00C54353"/>
    <w:rsid w:val="00C6498F"/>
    <w:rsid w:val="00C80D75"/>
    <w:rsid w:val="00C91F2B"/>
    <w:rsid w:val="00CA0B93"/>
    <w:rsid w:val="00CA48CF"/>
    <w:rsid w:val="00CA6908"/>
    <w:rsid w:val="00CC65C3"/>
    <w:rsid w:val="00D16BC0"/>
    <w:rsid w:val="00D20D85"/>
    <w:rsid w:val="00D22E0E"/>
    <w:rsid w:val="00D411EA"/>
    <w:rsid w:val="00DB2875"/>
    <w:rsid w:val="00E335A1"/>
    <w:rsid w:val="00E41C56"/>
    <w:rsid w:val="00E541EC"/>
    <w:rsid w:val="00E54CF5"/>
    <w:rsid w:val="00E55106"/>
    <w:rsid w:val="00E65FF1"/>
    <w:rsid w:val="00E76178"/>
    <w:rsid w:val="00E864B0"/>
    <w:rsid w:val="00EA772D"/>
    <w:rsid w:val="00EE7831"/>
    <w:rsid w:val="00EF4E14"/>
    <w:rsid w:val="00F043F9"/>
    <w:rsid w:val="00F35A70"/>
    <w:rsid w:val="00F46E12"/>
    <w:rsid w:val="00F50EAD"/>
    <w:rsid w:val="00F54BA7"/>
    <w:rsid w:val="00F80C20"/>
    <w:rsid w:val="00F96FED"/>
    <w:rsid w:val="00FA3FF5"/>
    <w:rsid w:val="00FC00F3"/>
    <w:rsid w:val="00FC511E"/>
    <w:rsid w:val="00FE6F43"/>
    <w:rsid w:val="00FF50D0"/>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1426C5"/>
  <w15:chartTrackingRefBased/>
  <w15:docId w15:val="{11333CD4-3053-433C-805A-E22D6919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6EA"/>
    <w:pPr>
      <w:ind w:left="720"/>
      <w:contextualSpacing/>
    </w:pPr>
  </w:style>
  <w:style w:type="paragraph" w:styleId="BalloonText">
    <w:name w:val="Balloon Text"/>
    <w:basedOn w:val="Normal"/>
    <w:link w:val="BalloonTextChar"/>
    <w:uiPriority w:val="99"/>
    <w:semiHidden/>
    <w:unhideWhenUsed/>
    <w:rsid w:val="0050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6EA"/>
    <w:rPr>
      <w:rFonts w:ascii="Segoe UI" w:hAnsi="Segoe UI" w:cs="Segoe UI"/>
      <w:sz w:val="18"/>
      <w:szCs w:val="18"/>
    </w:rPr>
  </w:style>
  <w:style w:type="paragraph" w:styleId="FootnoteText">
    <w:name w:val="footnote text"/>
    <w:aliases w:val="Footnote Text Char Char,Fußnotentextf,fn,Footnote Text Char1,Schriftart: 9 pt,Schriftart: 10 pt,Schriftart: 8 pt,WB-Fußnotentext,Reference,Fußnote,Footnote Text Char2,Footnote Text Char Char1,Footnote Text CEP,Geneva 9,Font: Geneva 9,ft"/>
    <w:basedOn w:val="Normal"/>
    <w:link w:val="FootnoteTextChar"/>
    <w:uiPriority w:val="99"/>
    <w:unhideWhenUsed/>
    <w:qFormat/>
    <w:rsid w:val="0054546C"/>
    <w:pPr>
      <w:spacing w:after="0" w:line="240" w:lineRule="auto"/>
    </w:pPr>
    <w:rPr>
      <w:sz w:val="20"/>
      <w:szCs w:val="20"/>
    </w:rPr>
  </w:style>
  <w:style w:type="character" w:customStyle="1" w:styleId="FootnoteTextChar">
    <w:name w:val="Footnote Text Char"/>
    <w:aliases w:val="Footnote Text Char Char Char,Fußnotentextf Char,fn Char,Footnote Text Char1 Char,Schriftart: 9 pt Char,Schriftart: 10 pt Char,Schriftart: 8 pt Char,WB-Fußnotentext Char,Reference Char,Fußnote Char,Footnote Text Char2 Char,ft Char"/>
    <w:basedOn w:val="DefaultParagraphFont"/>
    <w:link w:val="FootnoteText"/>
    <w:uiPriority w:val="99"/>
    <w:qFormat/>
    <w:rsid w:val="0054546C"/>
    <w:rPr>
      <w:sz w:val="20"/>
      <w:szCs w:val="20"/>
    </w:rPr>
  </w:style>
  <w:style w:type="character" w:styleId="FootnoteReference">
    <w:name w:val="footnote reference"/>
    <w:aliases w:val="Footnote reference number,Footnote Reference/,Footnote Refernece,BVI fnr,callout,16 Point,Superscript 6 Point,Footnote symbol,Footnote Reference text,Times 10 Point,Exposant 3 Point,EN Footnote Reference,note TESI,f,-E Fußnotenzeichen"/>
    <w:basedOn w:val="DefaultParagraphFont"/>
    <w:link w:val="BVIfnrCharCar1CarChar"/>
    <w:uiPriority w:val="99"/>
    <w:unhideWhenUsed/>
    <w:qFormat/>
    <w:rsid w:val="0054546C"/>
    <w:rPr>
      <w:vertAlign w:val="superscript"/>
    </w:rPr>
  </w:style>
  <w:style w:type="character" w:styleId="Hyperlink">
    <w:name w:val="Hyperlink"/>
    <w:basedOn w:val="DefaultParagraphFont"/>
    <w:uiPriority w:val="99"/>
    <w:unhideWhenUsed/>
    <w:rsid w:val="0054546C"/>
    <w:rPr>
      <w:color w:val="0000FF" w:themeColor="hyperlink"/>
      <w:u w:val="single"/>
    </w:rPr>
  </w:style>
  <w:style w:type="paragraph" w:styleId="Header">
    <w:name w:val="header"/>
    <w:basedOn w:val="Normal"/>
    <w:link w:val="HeaderChar"/>
    <w:uiPriority w:val="99"/>
    <w:unhideWhenUsed/>
    <w:rsid w:val="0039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91"/>
  </w:style>
  <w:style w:type="paragraph" w:styleId="Footer">
    <w:name w:val="footer"/>
    <w:basedOn w:val="Normal"/>
    <w:link w:val="FooterChar"/>
    <w:uiPriority w:val="99"/>
    <w:unhideWhenUsed/>
    <w:rsid w:val="0039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91"/>
  </w:style>
  <w:style w:type="character" w:styleId="CommentReference">
    <w:name w:val="annotation reference"/>
    <w:basedOn w:val="DefaultParagraphFont"/>
    <w:uiPriority w:val="99"/>
    <w:semiHidden/>
    <w:unhideWhenUsed/>
    <w:rsid w:val="00257C8C"/>
    <w:rPr>
      <w:sz w:val="16"/>
      <w:szCs w:val="16"/>
    </w:rPr>
  </w:style>
  <w:style w:type="paragraph" w:styleId="CommentText">
    <w:name w:val="annotation text"/>
    <w:basedOn w:val="Normal"/>
    <w:link w:val="CommentTextChar"/>
    <w:uiPriority w:val="99"/>
    <w:semiHidden/>
    <w:unhideWhenUsed/>
    <w:rsid w:val="00257C8C"/>
    <w:pPr>
      <w:spacing w:line="240" w:lineRule="auto"/>
    </w:pPr>
    <w:rPr>
      <w:sz w:val="20"/>
      <w:szCs w:val="20"/>
    </w:rPr>
  </w:style>
  <w:style w:type="character" w:customStyle="1" w:styleId="CommentTextChar">
    <w:name w:val="Comment Text Char"/>
    <w:basedOn w:val="DefaultParagraphFont"/>
    <w:link w:val="CommentText"/>
    <w:uiPriority w:val="99"/>
    <w:semiHidden/>
    <w:rsid w:val="00257C8C"/>
    <w:rPr>
      <w:sz w:val="20"/>
      <w:szCs w:val="20"/>
    </w:rPr>
  </w:style>
  <w:style w:type="paragraph" w:styleId="CommentSubject">
    <w:name w:val="annotation subject"/>
    <w:basedOn w:val="CommentText"/>
    <w:next w:val="CommentText"/>
    <w:link w:val="CommentSubjectChar"/>
    <w:uiPriority w:val="99"/>
    <w:semiHidden/>
    <w:unhideWhenUsed/>
    <w:rsid w:val="00257C8C"/>
    <w:rPr>
      <w:b/>
      <w:bCs/>
    </w:rPr>
  </w:style>
  <w:style w:type="character" w:customStyle="1" w:styleId="CommentSubjectChar">
    <w:name w:val="Comment Subject Char"/>
    <w:basedOn w:val="CommentTextChar"/>
    <w:link w:val="CommentSubject"/>
    <w:uiPriority w:val="99"/>
    <w:semiHidden/>
    <w:rsid w:val="00257C8C"/>
    <w:rPr>
      <w:b/>
      <w:bCs/>
      <w:sz w:val="20"/>
      <w:szCs w:val="20"/>
    </w:rPr>
  </w:style>
  <w:style w:type="character" w:customStyle="1" w:styleId="Marker">
    <w:name w:val="Marker"/>
    <w:basedOn w:val="DefaultParagraphFont"/>
    <w:rsid w:val="002B6B94"/>
    <w:rPr>
      <w:color w:val="0000FF"/>
      <w:shd w:val="clear" w:color="auto" w:fill="auto"/>
    </w:rPr>
  </w:style>
  <w:style w:type="paragraph" w:customStyle="1" w:styleId="Pagedecouverture">
    <w:name w:val="Page de couverture"/>
    <w:basedOn w:val="Normal"/>
    <w:next w:val="Normal"/>
    <w:rsid w:val="002B6B9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B6B9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B6B94"/>
    <w:rPr>
      <w:rFonts w:ascii="Times New Roman" w:hAnsi="Times New Roman" w:cs="Times New Roman"/>
      <w:sz w:val="24"/>
    </w:rPr>
  </w:style>
  <w:style w:type="paragraph" w:customStyle="1" w:styleId="FooterSensitivity">
    <w:name w:val="Footer Sensitivity"/>
    <w:basedOn w:val="Normal"/>
    <w:link w:val="FooterSensitivityChar"/>
    <w:rsid w:val="002B6B9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B6B94"/>
    <w:rPr>
      <w:rFonts w:ascii="Times New Roman" w:hAnsi="Times New Roman" w:cs="Times New Roman"/>
      <w:b/>
      <w:sz w:val="32"/>
    </w:rPr>
  </w:style>
  <w:style w:type="paragraph" w:customStyle="1" w:styleId="HeaderCoverPage">
    <w:name w:val="Header Cover Page"/>
    <w:basedOn w:val="Normal"/>
    <w:link w:val="HeaderCoverPageChar"/>
    <w:rsid w:val="002B6B9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B6B94"/>
    <w:rPr>
      <w:rFonts w:ascii="Times New Roman" w:hAnsi="Times New Roman" w:cs="Times New Roman"/>
      <w:sz w:val="24"/>
    </w:rPr>
  </w:style>
  <w:style w:type="paragraph" w:customStyle="1" w:styleId="HeaderSensitivity">
    <w:name w:val="Header Sensitivity"/>
    <w:basedOn w:val="Normal"/>
    <w:link w:val="HeaderSensitivityChar"/>
    <w:rsid w:val="002B6B9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B6B94"/>
    <w:rPr>
      <w:rFonts w:ascii="Times New Roman" w:hAnsi="Times New Roman" w:cs="Times New Roman"/>
      <w:b/>
      <w:sz w:val="32"/>
    </w:rPr>
  </w:style>
  <w:style w:type="paragraph" w:customStyle="1" w:styleId="HeaderSensitivityRight">
    <w:name w:val="Header Sensitivity Right"/>
    <w:basedOn w:val="Normal"/>
    <w:link w:val="HeaderSensitivityRightChar"/>
    <w:rsid w:val="002B6B9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B6B94"/>
    <w:rPr>
      <w:rFonts w:ascii="Times New Roman" w:hAnsi="Times New Roman" w:cs="Times New Roman"/>
      <w:sz w:val="28"/>
    </w:rPr>
  </w:style>
  <w:style w:type="paragraph" w:customStyle="1" w:styleId="BVIfnrCharCar1CarChar">
    <w:name w:val="BVI fnr Char Car1 Car Char"/>
    <w:basedOn w:val="Normal"/>
    <w:next w:val="Normal"/>
    <w:link w:val="FootnoteReference"/>
    <w:uiPriority w:val="99"/>
    <w:rsid w:val="00DB2875"/>
    <w:pPr>
      <w:spacing w:after="0" w:line="240" w:lineRule="auto"/>
      <w:jc w:val="both"/>
    </w:pPr>
    <w:rPr>
      <w:vertAlign w:val="superscript"/>
    </w:rPr>
  </w:style>
  <w:style w:type="character" w:styleId="FollowedHyperlink">
    <w:name w:val="FollowedHyperlink"/>
    <w:basedOn w:val="DefaultParagraphFont"/>
    <w:uiPriority w:val="99"/>
    <w:semiHidden/>
    <w:unhideWhenUsed/>
    <w:rsid w:val="00E41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CELEX:12008E006:EN:HTML" TargetMode="External"/><Relationship Id="rId7" Type="http://schemas.openxmlformats.org/officeDocument/2006/relationships/hyperlink" Target="https://ec.europa.eu/commission/priorities/deeper-and-fairer-economic-and-monetary-union/european-pillar-social-rights_en" TargetMode="External"/><Relationship Id="rId2" Type="http://schemas.openxmlformats.org/officeDocument/2006/relationships/hyperlink" Target="https://eur-lex.europa.eu/legal-content/EN/TXT/HTML/?uri=CELEX:12008E004&amp;from=EN" TargetMode="External"/><Relationship Id="rId1" Type="http://schemas.openxmlformats.org/officeDocument/2006/relationships/hyperlink" Target="https://eur-lex.europa.eu/legal-content/EN/TXT/HTML/?uri=CELEX:12008E003&amp;from=EN" TargetMode="External"/><Relationship Id="rId6" Type="http://schemas.openxmlformats.org/officeDocument/2006/relationships/hyperlink" Target="https://circabc.europa.eu/ui/group/cb9293be-4563-4f19-89cf-4c4588bd6541/library/c0639cc6-b295-45ab-9b3b-2f0d927c03b9/details" TargetMode="External"/><Relationship Id="rId5" Type="http://schemas.openxmlformats.org/officeDocument/2006/relationships/hyperlink" Target="https://europa.eu/european-union/about-eu/eu-in-brief_en" TargetMode="External"/><Relationship Id="rId4" Type="http://schemas.openxmlformats.org/officeDocument/2006/relationships/hyperlink" Target="https://eur-lex.europa.eu/legal-content/EN/TXT/HTML/?uri=CELEX:12016E/PRO/0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99F0-1D88-42E4-BB94-BE0D38C0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3889</Words>
  <Characters>20928</Characters>
  <Application>Microsoft Office Word</Application>
  <DocSecurity>0</DocSecurity>
  <Lines>303</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KOUTZIAVASILI Dimitra (SG)</cp:lastModifiedBy>
  <cp:revision>30</cp:revision>
  <cp:lastPrinted>2022-06-17T13:39:00Z</cp:lastPrinted>
  <dcterms:created xsi:type="dcterms:W3CDTF">2023-02-02T10:26:00Z</dcterms:created>
  <dcterms:modified xsi:type="dcterms:W3CDTF">2023-02-07T09:20:00Z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8.1, Build 20220902</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2022-04-20T13:39:04Z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d1ccd18d-0ed6-4e78-9b2c-bd8ee61132ea</vt:lpwstr>
  </property>
  <property fmtid="{D5CDD505-2E9C-101B-9397-08002B2CF9AE}" pid="15" name="MSIP_Label_6bd9ddd1-4d20-43f6-abfa-fc3c07406f94_ContentBits">
    <vt:lpwstr>0</vt:lpwstr>
  </property>
</Properties>
</file>