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3BC613" w14:textId="47FF5680" w:rsidR="00DC0E84" w:rsidRDefault="00C471B9" w:rsidP="00C471B9">
      <w:pPr>
        <w:pStyle w:val="Pagedecouverture"/>
        <w:rPr>
          <w:noProof/>
        </w:rPr>
      </w:pPr>
      <w:bookmarkStart w:id="0" w:name="LW_BM_COVERPAGE"/>
      <w:r>
        <w:rPr>
          <w:noProof/>
        </w:rPr>
        <w:pict w14:anchorId="63E457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9F885397-F68C-4EA3-B127-750EE306433B" style="width:455.25pt;height:351.75pt">
            <v:imagedata r:id="rId11" o:title=""/>
          </v:shape>
        </w:pict>
      </w:r>
    </w:p>
    <w:bookmarkEnd w:id="0"/>
    <w:p w14:paraId="4A2A8445" w14:textId="77777777" w:rsidR="00DC0E84" w:rsidRDefault="00DC0E84" w:rsidP="00DC0E84">
      <w:pPr>
        <w:rPr>
          <w:noProof/>
        </w:rPr>
        <w:sectPr w:rsidR="00DC0E84" w:rsidSect="00C471B9">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5C211BD7" w14:textId="77777777" w:rsidR="009515A5" w:rsidRPr="00B221F1" w:rsidRDefault="009515A5" w:rsidP="00BA6354">
      <w:pPr>
        <w:pStyle w:val="Heading1"/>
        <w:spacing w:afterLines="120" w:after="288"/>
        <w:rPr>
          <w:rStyle w:val="Strong"/>
          <w:b/>
          <w:bCs w:val="0"/>
          <w:noProof/>
        </w:rPr>
      </w:pPr>
      <w:bookmarkStart w:id="1" w:name="_GoBack"/>
      <w:bookmarkEnd w:id="1"/>
      <w:r>
        <w:rPr>
          <w:rStyle w:val="Strong"/>
          <w:b/>
          <w:noProof/>
        </w:rPr>
        <w:lastRenderedPageBreak/>
        <w:t>Въведение</w:t>
      </w:r>
    </w:p>
    <w:p w14:paraId="7D35F09A" w14:textId="314ECDB1" w:rsidR="00757C7C" w:rsidRDefault="002F1328" w:rsidP="00BA6354">
      <w:pPr>
        <w:spacing w:afterLines="120" w:after="288" w:line="240" w:lineRule="auto"/>
        <w:jc w:val="both"/>
        <w:rPr>
          <w:rFonts w:ascii="Times New Roman" w:hAnsi="Times New Roman" w:cs="Times New Roman"/>
          <w:noProof/>
          <w:sz w:val="24"/>
          <w:szCs w:val="24"/>
        </w:rPr>
      </w:pPr>
      <w:r>
        <w:rPr>
          <w:rFonts w:ascii="Times New Roman" w:hAnsi="Times New Roman"/>
          <w:noProof/>
          <w:sz w:val="24"/>
        </w:rPr>
        <w:t xml:space="preserve">Разгръщащата се в момента </w:t>
      </w:r>
      <w:r>
        <w:rPr>
          <w:rFonts w:ascii="Times New Roman" w:hAnsi="Times New Roman"/>
          <w:b/>
          <w:noProof/>
          <w:sz w:val="24"/>
        </w:rPr>
        <w:t>световна криза, обхванала минералните торове</w:t>
      </w:r>
      <w:r>
        <w:rPr>
          <w:rFonts w:ascii="Times New Roman" w:hAnsi="Times New Roman"/>
          <w:noProof/>
          <w:sz w:val="24"/>
        </w:rPr>
        <w:t xml:space="preserve">, е невиждана по своята тежест от 70-те години на миналия век насам. Пандемията от COVID-19 с причинените от нея прекъсвания на веригата на доставките и последвалата я енергийна криза доведоха до рекордно високи цени на торовете. </w:t>
      </w:r>
    </w:p>
    <w:p w14:paraId="195C3A8F" w14:textId="53CBD205" w:rsidR="002F1328" w:rsidRDefault="004C43B0" w:rsidP="00BA6354">
      <w:pPr>
        <w:spacing w:afterLines="120" w:after="288" w:line="240" w:lineRule="auto"/>
        <w:jc w:val="both"/>
        <w:rPr>
          <w:rFonts w:ascii="Times New Roman" w:hAnsi="Times New Roman" w:cs="Times New Roman"/>
          <w:noProof/>
          <w:sz w:val="24"/>
          <w:szCs w:val="24"/>
        </w:rPr>
      </w:pPr>
      <w:r>
        <w:rPr>
          <w:rFonts w:ascii="Times New Roman" w:hAnsi="Times New Roman"/>
          <w:noProof/>
          <w:sz w:val="24"/>
        </w:rPr>
        <w:t xml:space="preserve">Торовете играят </w:t>
      </w:r>
      <w:r>
        <w:rPr>
          <w:rFonts w:ascii="Times New Roman" w:hAnsi="Times New Roman"/>
          <w:b/>
          <w:noProof/>
          <w:sz w:val="24"/>
        </w:rPr>
        <w:t>значителна роля за продоволствената сигурност</w:t>
      </w:r>
      <w:r>
        <w:rPr>
          <w:rStyle w:val="FootnoteReference"/>
          <w:rFonts w:ascii="Times New Roman" w:hAnsi="Times New Roman" w:cs="Times New Roman"/>
          <w:noProof/>
          <w:sz w:val="24"/>
          <w:szCs w:val="24"/>
        </w:rPr>
        <w:footnoteReference w:id="2"/>
      </w:r>
      <w:r>
        <w:rPr>
          <w:rFonts w:ascii="Times New Roman" w:hAnsi="Times New Roman"/>
          <w:noProof/>
          <w:sz w:val="24"/>
        </w:rPr>
        <w:t>.</w:t>
      </w:r>
    </w:p>
    <w:p w14:paraId="2C099E41" w14:textId="03EF510B" w:rsidR="008D63B6" w:rsidRDefault="00757C7C" w:rsidP="00757C7C">
      <w:pPr>
        <w:spacing w:afterLines="120" w:after="288" w:line="240" w:lineRule="auto"/>
        <w:jc w:val="both"/>
        <w:rPr>
          <w:rFonts w:ascii="Times New Roman" w:hAnsi="Times New Roman" w:cs="Times New Roman"/>
          <w:noProof/>
          <w:color w:val="000000" w:themeColor="text1"/>
          <w:sz w:val="24"/>
          <w:szCs w:val="24"/>
        </w:rPr>
      </w:pPr>
      <w:r>
        <w:rPr>
          <w:rFonts w:ascii="Times New Roman" w:hAnsi="Times New Roman"/>
          <w:b/>
          <w:noProof/>
          <w:sz w:val="24"/>
        </w:rPr>
        <w:t>Незаконното и неоправдано нахлуване на Русия в Украйна</w:t>
      </w:r>
      <w:r>
        <w:rPr>
          <w:rFonts w:ascii="Times New Roman" w:hAnsi="Times New Roman"/>
          <w:noProof/>
          <w:sz w:val="24"/>
        </w:rPr>
        <w:t xml:space="preserve"> има значителни отрицателни последици за и без това много свитите световни пазари на торове. В</w:t>
      </w:r>
      <w:r w:rsidR="00163995">
        <w:rPr>
          <w:rFonts w:ascii="Times New Roman" w:hAnsi="Times New Roman"/>
          <w:noProof/>
          <w:sz w:val="24"/>
          <w:lang w:val="fr-CA"/>
        </w:rPr>
        <w:t> </w:t>
      </w:r>
      <w:r>
        <w:rPr>
          <w:rFonts w:ascii="Times New Roman" w:hAnsi="Times New Roman"/>
          <w:noProof/>
          <w:sz w:val="24"/>
        </w:rPr>
        <w:t>резултат излязоха наяве определени слабости, дължащи се на зависимостта на света от неколцина световни доставчици. Русия, на която през 2020 г. се падаха около 15 % от световния износ на торове, наложи ограничения върху собствения си износ на храни и торове, което намали световното предлагане и повиши цените. Недостигът и високите цени на торовете задълбочават кризата с продоволствената сигурност в света</w:t>
      </w:r>
      <w:r>
        <w:rPr>
          <w:rStyle w:val="FootnoteReference"/>
          <w:rFonts w:ascii="Times New Roman" w:hAnsi="Times New Roman" w:cs="Times New Roman"/>
          <w:noProof/>
          <w:sz w:val="24"/>
          <w:szCs w:val="24"/>
        </w:rPr>
        <w:footnoteReference w:id="3"/>
      </w:r>
      <w:r>
        <w:rPr>
          <w:rFonts w:ascii="Times New Roman" w:hAnsi="Times New Roman"/>
          <w:noProof/>
          <w:sz w:val="24"/>
        </w:rPr>
        <w:t xml:space="preserve">, поради което са необходими съвместни усилия за справяне със световната криза с торовете. </w:t>
      </w:r>
      <w:r>
        <w:rPr>
          <w:rFonts w:ascii="Times New Roman" w:hAnsi="Times New Roman"/>
          <w:noProof/>
          <w:color w:val="000000" w:themeColor="text1"/>
          <w:sz w:val="24"/>
        </w:rPr>
        <w:t xml:space="preserve">ЕС увеличи усилията си за справяне с продоволствената несигурност в световен мащаб и за смекчаване на последиците от продоволствената криза в уязвимите държави чрез бърза и всеобхватна ответна реакция на </w:t>
      </w:r>
      <w:r>
        <w:rPr>
          <w:rFonts w:ascii="Times New Roman" w:hAnsi="Times New Roman"/>
          <w:b/>
          <w:noProof/>
          <w:color w:val="000000" w:themeColor="text1"/>
          <w:sz w:val="24"/>
        </w:rPr>
        <w:t>„Екип Европа“ по отношение на световната продоволствена несигурност</w:t>
      </w:r>
      <w:r>
        <w:rPr>
          <w:rFonts w:ascii="Times New Roman" w:hAnsi="Times New Roman"/>
          <w:noProof/>
          <w:color w:val="000000" w:themeColor="text1"/>
          <w:sz w:val="24"/>
        </w:rPr>
        <w:t xml:space="preserve">. </w:t>
      </w:r>
    </w:p>
    <w:p w14:paraId="45E4B50A" w14:textId="40046A28" w:rsidR="0056236C" w:rsidRDefault="0056236C" w:rsidP="00757C7C">
      <w:pPr>
        <w:spacing w:afterLines="120" w:after="288"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Освен това </w:t>
      </w:r>
      <w:r>
        <w:rPr>
          <w:rFonts w:ascii="Times New Roman" w:hAnsi="Times New Roman"/>
          <w:b/>
          <w:noProof/>
          <w:color w:val="000000" w:themeColor="text1"/>
          <w:sz w:val="24"/>
        </w:rPr>
        <w:t>коридорите за солидарност на ЕС</w:t>
      </w:r>
      <w:r>
        <w:rPr>
          <w:rFonts w:ascii="Times New Roman" w:hAnsi="Times New Roman"/>
          <w:noProof/>
          <w:color w:val="000000" w:themeColor="text1"/>
          <w:sz w:val="24"/>
        </w:rPr>
        <w:t xml:space="preserve"> и </w:t>
      </w:r>
      <w:r>
        <w:rPr>
          <w:rFonts w:ascii="Times New Roman" w:hAnsi="Times New Roman"/>
          <w:b/>
          <w:noProof/>
          <w:color w:val="000000" w:themeColor="text1"/>
          <w:sz w:val="24"/>
        </w:rPr>
        <w:t>Черноморската зърнена инициатива</w:t>
      </w:r>
      <w:r>
        <w:rPr>
          <w:rFonts w:ascii="Times New Roman" w:hAnsi="Times New Roman"/>
          <w:noProof/>
          <w:color w:val="000000" w:themeColor="text1"/>
          <w:sz w:val="24"/>
        </w:rPr>
        <w:t xml:space="preserve"> ефикасно облекчиха продоволствената криза, като позволиха на Украйна да продължи да изнася зърното си и допринесоха за стабилизиране на пазарите и за намаляване на цените на храните. </w:t>
      </w:r>
      <w:r>
        <w:rPr>
          <w:rFonts w:ascii="Times New Roman" w:hAnsi="Times New Roman"/>
          <w:b/>
          <w:noProof/>
          <w:color w:val="000000" w:themeColor="text1"/>
          <w:sz w:val="24"/>
        </w:rPr>
        <w:t>Коридорите за солидарност между ЕС и Украйна</w:t>
      </w:r>
      <w:r>
        <w:rPr>
          <w:rFonts w:ascii="Times New Roman" w:hAnsi="Times New Roman"/>
          <w:noProof/>
          <w:color w:val="000000" w:themeColor="text1"/>
          <w:sz w:val="24"/>
        </w:rPr>
        <w:t xml:space="preserve"> се превърнаха в основна търговска връзка между Украйна, ЕС и останалата част от света и досега са улеснили износа на над 14 милиона тона украински селскостопански стоки (зърно, маслодайни семена и свързани с тях продукти, включително торове), като по този начин спомагат за облекчаване на световната продоволствена криза. ЕС подкрепя улесняващата роля на ООН и </w:t>
      </w:r>
      <w:r>
        <w:rPr>
          <w:rStyle w:val="Emphasis"/>
          <w:rFonts w:ascii="Times New Roman" w:hAnsi="Times New Roman"/>
          <w:i w:val="0"/>
          <w:noProof/>
          <w:sz w:val="24"/>
        </w:rPr>
        <w:t>Турция</w:t>
      </w:r>
      <w:r>
        <w:rPr>
          <w:rFonts w:ascii="Times New Roman" w:hAnsi="Times New Roman"/>
          <w:noProof/>
          <w:color w:val="000000" w:themeColor="text1"/>
          <w:sz w:val="24"/>
        </w:rPr>
        <w:t>, като призовава за подновяване на Черноморската зърнена инициатива след 19 ноември. Евентуално прекратяване на схемата би имало тежки последици за продоволствената сигурност в световен мащаб.</w:t>
      </w:r>
    </w:p>
    <w:p w14:paraId="50BE0A93" w14:textId="32808993" w:rsidR="00BB6388" w:rsidRDefault="00160E0D" w:rsidP="00BA6354">
      <w:pPr>
        <w:spacing w:afterLines="120" w:after="288" w:line="240" w:lineRule="auto"/>
        <w:jc w:val="both"/>
        <w:rPr>
          <w:rFonts w:ascii="Times New Roman" w:hAnsi="Times New Roman" w:cs="Times New Roman"/>
          <w:noProof/>
          <w:color w:val="000000" w:themeColor="text1"/>
          <w:sz w:val="24"/>
          <w:szCs w:val="24"/>
        </w:rPr>
      </w:pPr>
      <w:r>
        <w:rPr>
          <w:rFonts w:ascii="Times New Roman" w:hAnsi="Times New Roman"/>
          <w:b/>
          <w:noProof/>
          <w:color w:val="000000" w:themeColor="text1"/>
          <w:sz w:val="24"/>
        </w:rPr>
        <w:t>Държавите с ниски и средни доходи</w:t>
      </w:r>
      <w:r>
        <w:rPr>
          <w:rFonts w:ascii="Times New Roman" w:hAnsi="Times New Roman"/>
          <w:noProof/>
          <w:color w:val="000000" w:themeColor="text1"/>
          <w:sz w:val="24"/>
        </w:rPr>
        <w:t xml:space="preserve"> в частност носят основната тежест на свитите пазари на торове. През 2022 г. рекордно висок брой — </w:t>
      </w:r>
      <w:r>
        <w:rPr>
          <w:rFonts w:ascii="Times New Roman" w:hAnsi="Times New Roman"/>
          <w:b/>
          <w:noProof/>
          <w:color w:val="000000" w:themeColor="text1"/>
          <w:sz w:val="24"/>
        </w:rPr>
        <w:t>222 милиона души в 53 държави — са остро засегнати от продоволствена несигурност</w:t>
      </w:r>
      <w:r>
        <w:rPr>
          <w:rFonts w:ascii="Times New Roman" w:hAnsi="Times New Roman"/>
          <w:noProof/>
          <w:color w:val="000000" w:themeColor="text1"/>
          <w:sz w:val="24"/>
        </w:rPr>
        <w:t xml:space="preserve"> и се нуждаят от спешна помощ. Сред най-засегнатите държави са Сомалия, Афганистан, Етиопия, Нигерия, Южен Судан и Йемен, но също и регионът на Южна Америка.</w:t>
      </w:r>
    </w:p>
    <w:p w14:paraId="25A89048" w14:textId="77777777" w:rsidR="004C43B0" w:rsidRPr="00BB6388" w:rsidRDefault="004C43B0" w:rsidP="00BA6354">
      <w:pPr>
        <w:spacing w:afterLines="120" w:after="288" w:line="240" w:lineRule="auto"/>
        <w:jc w:val="both"/>
        <w:rPr>
          <w:rFonts w:ascii="Times New Roman" w:hAnsi="Times New Roman" w:cs="Times New Roman"/>
          <w:noProof/>
          <w:sz w:val="24"/>
          <w:szCs w:val="24"/>
        </w:rPr>
      </w:pPr>
      <w:r>
        <w:rPr>
          <w:rFonts w:ascii="Times New Roman" w:hAnsi="Times New Roman"/>
          <w:noProof/>
          <w:color w:val="000000" w:themeColor="text1"/>
          <w:sz w:val="24"/>
        </w:rPr>
        <w:t xml:space="preserve">При все че жизнеспособното производство на храни зависи не само от торовете, това, което прави настоящата ситуация особено критична, е </w:t>
      </w:r>
      <w:r>
        <w:rPr>
          <w:rFonts w:ascii="Times New Roman" w:hAnsi="Times New Roman"/>
          <w:b/>
          <w:noProof/>
          <w:color w:val="000000" w:themeColor="text1"/>
          <w:sz w:val="24"/>
        </w:rPr>
        <w:t>краткосрочният ефект, който недостигът на торове може да има върху добивите</w:t>
      </w:r>
      <w:r>
        <w:rPr>
          <w:rFonts w:ascii="Times New Roman" w:hAnsi="Times New Roman"/>
          <w:noProof/>
          <w:color w:val="000000" w:themeColor="text1"/>
          <w:sz w:val="24"/>
        </w:rPr>
        <w:t>. По-ниските добиви означават по-малко храна. ООН предупреди за</w:t>
      </w:r>
      <w:r>
        <w:rPr>
          <w:rFonts w:ascii="Times New Roman" w:hAnsi="Times New Roman"/>
          <w:noProof/>
          <w:sz w:val="24"/>
        </w:rPr>
        <w:t xml:space="preserve"> световна криза с торовете, като посочи, че тя може да застраши производството на храни през следващите години, </w:t>
      </w:r>
      <w:r>
        <w:rPr>
          <w:rFonts w:ascii="Times New Roman" w:hAnsi="Times New Roman"/>
          <w:noProof/>
          <w:color w:val="000000" w:themeColor="text1"/>
          <w:sz w:val="24"/>
        </w:rPr>
        <w:t xml:space="preserve">засягайки държавите, които не разполагат с възможности за маневриране с бюджетни средства за провеждане на програми за подпомагане, за да поддържат финансовата достъпност на торовете. </w:t>
      </w:r>
    </w:p>
    <w:p w14:paraId="4EB3F3B2" w14:textId="11020A3F" w:rsidR="003F465F" w:rsidRPr="00DC3A26" w:rsidRDefault="003F465F" w:rsidP="003F465F">
      <w:pPr>
        <w:keepNext/>
        <w:spacing w:afterLines="120" w:after="288" w:line="240" w:lineRule="auto"/>
        <w:jc w:val="both"/>
        <w:rPr>
          <w:rFonts w:ascii="Times New Roman" w:hAnsi="Times New Roman" w:cs="Times New Roman"/>
          <w:noProof/>
          <w:sz w:val="24"/>
          <w:szCs w:val="24"/>
        </w:rPr>
      </w:pPr>
      <w:r>
        <w:rPr>
          <w:rFonts w:ascii="Times New Roman" w:hAnsi="Times New Roman"/>
          <w:noProof/>
          <w:sz w:val="24"/>
        </w:rPr>
        <w:t>Фигура 1: Нетна търговия с торове, изразена в милиони тонове хранителни вещества</w:t>
      </w:r>
    </w:p>
    <w:p w14:paraId="6898CFD3" w14:textId="3FF391CA" w:rsidR="003F465F" w:rsidRDefault="006C3B3D" w:rsidP="003F465F">
      <w:pPr>
        <w:spacing w:afterLines="120" w:after="288" w:line="240" w:lineRule="auto"/>
        <w:jc w:val="both"/>
        <w:rPr>
          <w:rFonts w:ascii="Times New Roman" w:hAnsi="Times New Roman" w:cs="Times New Roman"/>
          <w:noProof/>
          <w:sz w:val="24"/>
          <w:szCs w:val="24"/>
        </w:rPr>
      </w:pPr>
      <w:r w:rsidRPr="006C3B3D">
        <w:rPr>
          <w:noProof/>
          <w:lang w:val="en-GB" w:eastAsia="en-GB"/>
        </w:rPr>
        <w:drawing>
          <wp:inline distT="0" distB="0" distL="0" distR="0" wp14:anchorId="55BCD12E" wp14:editId="6F75DF77">
            <wp:extent cx="5472430" cy="35716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2430" cy="3571658"/>
                    </a:xfrm>
                    <a:prstGeom prst="rect">
                      <a:avLst/>
                    </a:prstGeom>
                    <a:noFill/>
                    <a:ln>
                      <a:noFill/>
                    </a:ln>
                  </pic:spPr>
                </pic:pic>
              </a:graphicData>
            </a:graphic>
          </wp:inline>
        </w:drawing>
      </w:r>
    </w:p>
    <w:p w14:paraId="11FB5756" w14:textId="77777777" w:rsidR="00A47B3B" w:rsidRDefault="003F465F" w:rsidP="00BA6354">
      <w:pPr>
        <w:spacing w:afterLines="120" w:after="288" w:line="240" w:lineRule="auto"/>
        <w:jc w:val="both"/>
        <w:rPr>
          <w:rFonts w:ascii="Times New Roman" w:hAnsi="Times New Roman" w:cs="Times New Roman"/>
          <w:noProof/>
          <w:sz w:val="24"/>
          <w:szCs w:val="24"/>
        </w:rPr>
      </w:pPr>
      <w:r>
        <w:rPr>
          <w:rFonts w:ascii="Times New Roman" w:hAnsi="Times New Roman"/>
          <w:noProof/>
          <w:sz w:val="16"/>
        </w:rPr>
        <w:t>Източник: FAOSTAT</w:t>
      </w:r>
      <w:r>
        <w:rPr>
          <w:rStyle w:val="FootnoteReference"/>
          <w:rFonts w:ascii="Times New Roman" w:hAnsi="Times New Roman" w:cs="Times New Roman"/>
          <w:noProof/>
          <w:sz w:val="24"/>
          <w:szCs w:val="24"/>
        </w:rPr>
        <w:footnoteReference w:id="4"/>
      </w:r>
      <w:r>
        <w:rPr>
          <w:rFonts w:ascii="Times New Roman" w:hAnsi="Times New Roman"/>
          <w:noProof/>
          <w:sz w:val="16"/>
        </w:rPr>
        <w:t>.</w:t>
      </w:r>
      <w:r>
        <w:rPr>
          <w:rFonts w:ascii="Times New Roman" w:hAnsi="Times New Roman"/>
          <w:noProof/>
          <w:sz w:val="24"/>
        </w:rPr>
        <w:t xml:space="preserve"> </w:t>
      </w:r>
    </w:p>
    <w:p w14:paraId="784BF6C4" w14:textId="5FEA03FB" w:rsidR="002F1328" w:rsidRPr="00544AF7" w:rsidRDefault="002F1328" w:rsidP="00BA6354">
      <w:pPr>
        <w:spacing w:afterLines="120" w:after="288"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hd w:val="clear" w:color="auto" w:fill="FFFFFF"/>
        </w:rPr>
        <w:t>Недостигът на торове в световен мащаб се дължи най-вече на високата цена на природния газ, който е необходим за производството на азотни торове</w:t>
      </w:r>
      <w:r>
        <w:rPr>
          <w:rStyle w:val="FootnoteReference"/>
          <w:rFonts w:ascii="Times New Roman" w:hAnsi="Times New Roman" w:cs="Times New Roman"/>
          <w:noProof/>
          <w:sz w:val="24"/>
          <w:szCs w:val="24"/>
          <w:lang w:eastAsia="fr-BE"/>
        </w:rPr>
        <w:footnoteReference w:id="5"/>
      </w:r>
      <w:r>
        <w:rPr>
          <w:rFonts w:ascii="Times New Roman" w:hAnsi="Times New Roman"/>
          <w:noProof/>
          <w:color w:val="000000"/>
          <w:sz w:val="24"/>
          <w:shd w:val="clear" w:color="auto" w:fill="FFFFFF"/>
        </w:rPr>
        <w:t xml:space="preserve">. </w:t>
      </w:r>
      <w:r>
        <w:rPr>
          <w:rFonts w:ascii="Times New Roman" w:hAnsi="Times New Roman"/>
          <w:b/>
          <w:noProof/>
          <w:color w:val="000000"/>
          <w:sz w:val="24"/>
          <w:shd w:val="clear" w:color="auto" w:fill="FFFFFF"/>
        </w:rPr>
        <w:t>Европа притежава крупна индустрия за производството на торове</w:t>
      </w:r>
      <w:r>
        <w:rPr>
          <w:rFonts w:ascii="Times New Roman" w:hAnsi="Times New Roman"/>
          <w:noProof/>
          <w:color w:val="000000"/>
          <w:sz w:val="24"/>
          <w:shd w:val="clear" w:color="auto" w:fill="FFFFFF"/>
        </w:rPr>
        <w:t>, която обаче е зависима от вноса на природен газ, както и от вноса на фосфати и поташ</w:t>
      </w:r>
      <w:r>
        <w:rPr>
          <w:rStyle w:val="FootnoteReference"/>
          <w:rFonts w:ascii="Times New Roman" w:hAnsi="Times New Roman" w:cs="Times New Roman"/>
          <w:noProof/>
          <w:color w:val="000000"/>
          <w:sz w:val="24"/>
          <w:szCs w:val="24"/>
          <w:shd w:val="clear" w:color="auto" w:fill="FFFFFF"/>
        </w:rPr>
        <w:footnoteReference w:id="6"/>
      </w:r>
      <w:r>
        <w:rPr>
          <w:rFonts w:ascii="Times New Roman" w:hAnsi="Times New Roman"/>
          <w:noProof/>
          <w:sz w:val="24"/>
        </w:rPr>
        <w:t>.</w:t>
      </w:r>
      <w:r>
        <w:rPr>
          <w:rFonts w:ascii="Times New Roman" w:hAnsi="Times New Roman"/>
          <w:noProof/>
          <w:color w:val="000000"/>
          <w:sz w:val="24"/>
          <w:shd w:val="clear" w:color="auto" w:fill="FFFFFF"/>
        </w:rPr>
        <w:t xml:space="preserve"> </w:t>
      </w:r>
      <w:r>
        <w:rPr>
          <w:rFonts w:ascii="Times New Roman" w:hAnsi="Times New Roman"/>
          <w:noProof/>
          <w:sz w:val="24"/>
        </w:rPr>
        <w:t xml:space="preserve">През лятото на 2022 г. газът е съставлявал до 90 % от променливите производствени разходи за производството на амоняк в ЕС (амонякът е междинен продукт за азотните торове). През август 2022 г., когато цените на природния газ достигнаха най-високите си стойности, индустрията затвори 70 % от производствените си мощности, заети с производството на амоняк, тъй като производството беше станало нерентабилно. По разчетни данни в момента капацитетът се използва на 50 %. Ако цените на природния газ продължат да падат, може да се очаква използването да се увеличи още повече. Намаленото производство в ЕС означава и по-малък износ на ЕС за държави извън ЕС. Износът на азотни междинни продукти и торове е спаднал с 9 %, докато вносът се е увеличил с 19 % през първите осем месеца на тази година. </w:t>
      </w:r>
    </w:p>
    <w:p w14:paraId="1546BD69" w14:textId="3643E156" w:rsidR="00544AF7" w:rsidRDefault="002F1328" w:rsidP="00BA6354">
      <w:pPr>
        <w:spacing w:afterLines="120" w:after="288" w:line="240" w:lineRule="auto"/>
        <w:jc w:val="both"/>
        <w:rPr>
          <w:rFonts w:ascii="Times New Roman" w:hAnsi="Times New Roman" w:cs="Times New Roman"/>
          <w:noProof/>
          <w:sz w:val="24"/>
          <w:szCs w:val="24"/>
        </w:rPr>
      </w:pPr>
      <w:r>
        <w:rPr>
          <w:rFonts w:ascii="Times New Roman" w:hAnsi="Times New Roman"/>
          <w:noProof/>
          <w:sz w:val="24"/>
        </w:rPr>
        <w:t xml:space="preserve">Въпреки че торове продължава да има в наличност в ЕС, тяхната финансова достъпност представлява предизвикателство за земеделските стопани (149 % увеличение на цените на азотните торове през септември 2022 г. на годишна база), особено като се има предвид, че цените на другите производствени ресурси (енергията) също са се увеличили значително. Високите цени на торовете влияят върху решенията на земеделските стопани за закупуване и засаждане, а това от своя страна може да се отрази на реколтата през следващия сезон и на приноса на </w:t>
      </w:r>
      <w:r>
        <w:rPr>
          <w:rFonts w:ascii="Times New Roman" w:hAnsi="Times New Roman"/>
          <w:b/>
          <w:noProof/>
          <w:sz w:val="24"/>
        </w:rPr>
        <w:t>ЕС към световната наличност на храни</w:t>
      </w:r>
      <w:r>
        <w:rPr>
          <w:rFonts w:ascii="Times New Roman" w:hAnsi="Times New Roman"/>
          <w:noProof/>
          <w:sz w:val="24"/>
        </w:rPr>
        <w:t xml:space="preserve"> и тяхната финансова достъпност.</w:t>
      </w:r>
    </w:p>
    <w:p w14:paraId="55DD1087" w14:textId="77777777" w:rsidR="00524C35" w:rsidRDefault="00C16EAE" w:rsidP="00BA6354">
      <w:pPr>
        <w:spacing w:afterLines="120" w:after="288" w:line="240" w:lineRule="auto"/>
        <w:jc w:val="both"/>
        <w:rPr>
          <w:rFonts w:ascii="Times New Roman" w:hAnsi="Times New Roman" w:cs="Times New Roman"/>
          <w:noProof/>
          <w:sz w:val="24"/>
          <w:szCs w:val="24"/>
        </w:rPr>
      </w:pPr>
      <w:r>
        <w:rPr>
          <w:rFonts w:ascii="Times New Roman" w:hAnsi="Times New Roman"/>
          <w:noProof/>
          <w:sz w:val="24"/>
        </w:rPr>
        <w:t xml:space="preserve">Мерките, които ЕС предприема за </w:t>
      </w:r>
      <w:r>
        <w:rPr>
          <w:rFonts w:ascii="Times New Roman" w:hAnsi="Times New Roman"/>
          <w:b/>
          <w:noProof/>
          <w:sz w:val="24"/>
        </w:rPr>
        <w:t>смекчаване на високите енергийни цени</w:t>
      </w:r>
      <w:r>
        <w:rPr>
          <w:rFonts w:ascii="Times New Roman" w:hAnsi="Times New Roman"/>
          <w:noProof/>
          <w:sz w:val="24"/>
        </w:rPr>
        <w:t xml:space="preserve">, ще подобрят условията за отрасъла на торовете. Необходими са обаче по-бързи и целенасочени действия. Предложените тук краткосрочни действия следва да смекчат трудностите, с които се сблъскват земеделските стопани и производителите на торове в ЕС, и да допринесат за постигането на стратегическата цел на ЕС за </w:t>
      </w:r>
      <w:r>
        <w:rPr>
          <w:rFonts w:ascii="Times New Roman" w:hAnsi="Times New Roman"/>
          <w:b/>
          <w:noProof/>
          <w:sz w:val="24"/>
        </w:rPr>
        <w:t xml:space="preserve">намаляване на зависимостта от вноса от Русия </w:t>
      </w:r>
      <w:r>
        <w:rPr>
          <w:rFonts w:ascii="Times New Roman" w:hAnsi="Times New Roman"/>
          <w:noProof/>
          <w:sz w:val="24"/>
        </w:rPr>
        <w:t>чрез диверсифициране на производството и осигуряване на надеждни вериги на доставки. Ангажираността на ЕС с борбата с продоволствената несигурност трябва да продължи да се засилва в световен мащаб.</w:t>
      </w:r>
    </w:p>
    <w:p w14:paraId="1CCFEB67" w14:textId="37F2F4FF" w:rsidR="00416E0B" w:rsidRDefault="00416E0B" w:rsidP="00601FFB">
      <w:pPr>
        <w:keepNext/>
        <w:spacing w:afterLines="120" w:after="288" w:line="240" w:lineRule="auto"/>
        <w:jc w:val="both"/>
        <w:rPr>
          <w:rFonts w:ascii="Times New Roman" w:hAnsi="Times New Roman" w:cs="Times New Roman"/>
          <w:noProof/>
          <w:sz w:val="24"/>
          <w:szCs w:val="24"/>
        </w:rPr>
      </w:pPr>
      <w:r>
        <w:rPr>
          <w:rFonts w:ascii="Times New Roman" w:hAnsi="Times New Roman"/>
          <w:noProof/>
          <w:sz w:val="24"/>
        </w:rPr>
        <w:t>Фигура 2: Световен индекс на цените на торовете и хранителните стоки (Индекс 100=2010)</w:t>
      </w:r>
    </w:p>
    <w:p w14:paraId="6F869885" w14:textId="35203588" w:rsidR="00416E0B" w:rsidRDefault="00636EBD" w:rsidP="00BA6354">
      <w:pPr>
        <w:spacing w:afterLines="120" w:after="288" w:line="240" w:lineRule="auto"/>
        <w:jc w:val="both"/>
        <w:rPr>
          <w:rFonts w:ascii="Times New Roman" w:hAnsi="Times New Roman" w:cs="Times New Roman"/>
          <w:noProof/>
          <w:sz w:val="24"/>
          <w:szCs w:val="24"/>
        </w:rPr>
      </w:pPr>
      <w:r w:rsidRPr="00636EBD">
        <w:rPr>
          <w:noProof/>
          <w:lang w:val="en-GB" w:eastAsia="en-GB"/>
        </w:rPr>
        <w:drawing>
          <wp:inline distT="0" distB="0" distL="0" distR="0" wp14:anchorId="57666B84" wp14:editId="1E20C864">
            <wp:extent cx="5472430" cy="339713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72430" cy="3397136"/>
                    </a:xfrm>
                    <a:prstGeom prst="rect">
                      <a:avLst/>
                    </a:prstGeom>
                    <a:noFill/>
                    <a:ln>
                      <a:noFill/>
                    </a:ln>
                  </pic:spPr>
                </pic:pic>
              </a:graphicData>
            </a:graphic>
          </wp:inline>
        </w:drawing>
      </w:r>
    </w:p>
    <w:p w14:paraId="7ABA8455" w14:textId="77777777" w:rsidR="00173CCB" w:rsidRDefault="00416E0B" w:rsidP="00BA6354">
      <w:pPr>
        <w:spacing w:afterLines="120" w:after="288" w:line="240" w:lineRule="auto"/>
        <w:jc w:val="both"/>
        <w:rPr>
          <w:rFonts w:ascii="Times New Roman" w:hAnsi="Times New Roman" w:cs="Times New Roman"/>
          <w:noProof/>
          <w:sz w:val="16"/>
          <w:szCs w:val="16"/>
        </w:rPr>
      </w:pPr>
      <w:r>
        <w:rPr>
          <w:rFonts w:ascii="Times New Roman" w:hAnsi="Times New Roman"/>
          <w:noProof/>
          <w:sz w:val="16"/>
        </w:rPr>
        <w:t>Източник: Световната банка.</w:t>
      </w:r>
    </w:p>
    <w:p w14:paraId="2E4285A8" w14:textId="1916A331" w:rsidR="00E80C04" w:rsidRDefault="002F1328" w:rsidP="00BA6354">
      <w:pPr>
        <w:spacing w:afterLines="120" w:after="288" w:line="240" w:lineRule="auto"/>
        <w:jc w:val="both"/>
        <w:rPr>
          <w:rFonts w:ascii="Times New Roman" w:hAnsi="Times New Roman" w:cs="Times New Roman"/>
          <w:noProof/>
          <w:sz w:val="24"/>
          <w:szCs w:val="24"/>
        </w:rPr>
      </w:pPr>
      <w:r>
        <w:rPr>
          <w:rFonts w:ascii="Times New Roman" w:hAnsi="Times New Roman"/>
          <w:noProof/>
          <w:sz w:val="24"/>
        </w:rPr>
        <w:t xml:space="preserve">Общата стратегическа цел на ЕС продължава да се предопределя от целите, заложени в стратегията </w:t>
      </w:r>
      <w:r>
        <w:rPr>
          <w:rFonts w:ascii="Times New Roman" w:hAnsi="Times New Roman"/>
          <w:b/>
          <w:noProof/>
          <w:sz w:val="24"/>
        </w:rPr>
        <w:t>„От фермата до трапезата“</w:t>
      </w:r>
      <w:r>
        <w:rPr>
          <w:rFonts w:ascii="Times New Roman" w:hAnsi="Times New Roman"/>
          <w:noProof/>
          <w:sz w:val="24"/>
        </w:rPr>
        <w:t xml:space="preserve">. Наличните данни сочат, че торовете не винаги се прилагат правилно. </w:t>
      </w:r>
      <w:r>
        <w:rPr>
          <w:rFonts w:ascii="Times New Roman" w:hAnsi="Times New Roman"/>
          <w:b/>
          <w:noProof/>
          <w:sz w:val="24"/>
        </w:rPr>
        <w:t>Загубите на хранителни вещества</w:t>
      </w:r>
      <w:r>
        <w:rPr>
          <w:rFonts w:ascii="Times New Roman" w:hAnsi="Times New Roman"/>
          <w:noProof/>
          <w:sz w:val="24"/>
        </w:rPr>
        <w:t xml:space="preserve"> съставляват до 50—60 % от приложеното количество върху полските площи в някои региони и са показателни за прекомерното използване на торове на хектар обработваема земя в много части на ЕС, с нищожно очевидно повишаване на добива. Ето защо целта на стратегията „От фермата до трапезата“ за намаляване на загубите на хранителни вещества с 50 % до 2030 г. при едновременно запазване на почвеното плодородие е постижима. </w:t>
      </w:r>
    </w:p>
    <w:p w14:paraId="490E4A4F" w14:textId="5902FB5A" w:rsidR="002F1328" w:rsidRDefault="00B61427" w:rsidP="00BA6354">
      <w:pPr>
        <w:spacing w:afterLines="120" w:after="288" w:line="240" w:lineRule="auto"/>
        <w:jc w:val="both"/>
        <w:rPr>
          <w:rFonts w:ascii="Times New Roman" w:hAnsi="Times New Roman" w:cs="Times New Roman"/>
          <w:noProof/>
          <w:sz w:val="24"/>
          <w:szCs w:val="24"/>
        </w:rPr>
      </w:pPr>
      <w:r>
        <w:rPr>
          <w:rFonts w:ascii="Times New Roman" w:hAnsi="Times New Roman"/>
          <w:noProof/>
          <w:sz w:val="24"/>
        </w:rPr>
        <w:t xml:space="preserve">В краткосрочен план обаче, на фона на очертаващата се геополитическа несигурност, следва да се положат всякакви разумни усилия, за да се избегне компрометирането на трайния </w:t>
      </w:r>
      <w:r>
        <w:rPr>
          <w:rFonts w:ascii="Times New Roman" w:hAnsi="Times New Roman"/>
          <w:b/>
          <w:noProof/>
          <w:sz w:val="24"/>
        </w:rPr>
        <w:t>принос на ЕС към наличността и финансовата достъпност на храните</w:t>
      </w:r>
      <w:r>
        <w:rPr>
          <w:rFonts w:ascii="Times New Roman" w:hAnsi="Times New Roman"/>
          <w:noProof/>
          <w:sz w:val="24"/>
        </w:rPr>
        <w:t>.</w:t>
      </w:r>
      <w:r>
        <w:rPr>
          <w:noProof/>
        </w:rPr>
        <w:t xml:space="preserve"> </w:t>
      </w:r>
      <w:r>
        <w:rPr>
          <w:rFonts w:ascii="Times New Roman" w:hAnsi="Times New Roman"/>
          <w:noProof/>
          <w:sz w:val="24"/>
        </w:rPr>
        <w:t xml:space="preserve">Трябва да гарантираме, че санкциите на ЕС спрямо Русия се прилагат, както е предвидено, което ще позволи транзитното преминаване и потока на торове, които да се използват от земеделските стопани в ЕС и извън него. Ускоряването на прехода към </w:t>
      </w:r>
      <w:r>
        <w:rPr>
          <w:rFonts w:ascii="Times New Roman" w:hAnsi="Times New Roman"/>
          <w:b/>
          <w:noProof/>
          <w:sz w:val="24"/>
        </w:rPr>
        <w:t>устойчиво производство на храни и иновативни технологии</w:t>
      </w:r>
      <w:r>
        <w:rPr>
          <w:rFonts w:ascii="Times New Roman" w:hAnsi="Times New Roman"/>
          <w:noProof/>
          <w:sz w:val="24"/>
        </w:rPr>
        <w:t xml:space="preserve"> представлява структурното решение на Съюза за осигуряване на наличност и финансова достъпност на храните и за опазване на нашата околна среда и планета в добро състояние.</w:t>
      </w:r>
    </w:p>
    <w:p w14:paraId="3E23CB9C" w14:textId="2B89D283" w:rsidR="00BE11B1" w:rsidRDefault="00B2158A">
      <w:pPr>
        <w:rPr>
          <w:rFonts w:ascii="Times New Roman" w:hAnsi="Times New Roman" w:cs="Times New Roman"/>
          <w:noProof/>
          <w:sz w:val="24"/>
          <w:szCs w:val="24"/>
        </w:rPr>
      </w:pPr>
      <w:r>
        <w:rPr>
          <w:rFonts w:ascii="Times New Roman" w:hAnsi="Times New Roman"/>
          <w:noProof/>
          <w:sz w:val="24"/>
          <w:lang w:val="en-GB" w:eastAsia="en-GB"/>
        </w:rPr>
        <mc:AlternateContent>
          <mc:Choice Requires="wps">
            <w:drawing>
              <wp:anchor distT="45720" distB="45720" distL="114300" distR="114300" simplePos="0" relativeHeight="251660288" behindDoc="0" locked="0" layoutInCell="1" allowOverlap="1" wp14:anchorId="56FA979B" wp14:editId="28D2917F">
                <wp:simplePos x="0" y="0"/>
                <wp:positionH relativeFrom="column">
                  <wp:posOffset>-93345</wp:posOffset>
                </wp:positionH>
                <wp:positionV relativeFrom="page">
                  <wp:posOffset>1057275</wp:posOffset>
                </wp:positionV>
                <wp:extent cx="5499735" cy="8343900"/>
                <wp:effectExtent l="0" t="0" r="2476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735" cy="8343900"/>
                        </a:xfrm>
                        <a:prstGeom prst="rect">
                          <a:avLst/>
                        </a:prstGeom>
                        <a:solidFill>
                          <a:srgbClr val="FFFFFF"/>
                        </a:solidFill>
                        <a:ln w="9525">
                          <a:solidFill>
                            <a:srgbClr val="000000"/>
                          </a:solidFill>
                          <a:miter lim="800000"/>
                          <a:headEnd/>
                          <a:tailEnd/>
                        </a:ln>
                      </wps:spPr>
                      <wps:txbx>
                        <w:txbxContent>
                          <w:p w14:paraId="47E2EC11" w14:textId="32E90956" w:rsidR="00AE3FC2" w:rsidRPr="002F1328" w:rsidRDefault="00AE3FC2" w:rsidP="00AE3FC2">
                            <w:pPr>
                              <w:tabs>
                                <w:tab w:val="left" w:pos="0"/>
                              </w:tabs>
                              <w:rPr>
                                <w:rFonts w:ascii="Times New Roman" w:hAnsi="Times New Roman" w:cs="Times New Roman"/>
                                <w:sz w:val="24"/>
                                <w:szCs w:val="24"/>
                              </w:rPr>
                            </w:pPr>
                            <w:r>
                              <w:rPr>
                                <w:rFonts w:ascii="Times New Roman" w:hAnsi="Times New Roman"/>
                                <w:sz w:val="24"/>
                              </w:rPr>
                              <w:t xml:space="preserve">С настоящото съобщение Комисията представя следните </w:t>
                            </w:r>
                            <w:r>
                              <w:rPr>
                                <w:rFonts w:ascii="Times New Roman" w:hAnsi="Times New Roman"/>
                                <w:b/>
                                <w:sz w:val="24"/>
                              </w:rPr>
                              <w:t>вътрешни действия</w:t>
                            </w:r>
                            <w:r>
                              <w:rPr>
                                <w:rFonts w:ascii="Times New Roman" w:hAnsi="Times New Roman"/>
                                <w:sz w:val="24"/>
                              </w:rPr>
                              <w:t>:</w:t>
                            </w:r>
                          </w:p>
                          <w:p w14:paraId="55322B8B" w14:textId="77777777" w:rsidR="00AE3FC2" w:rsidRDefault="00AE3FC2" w:rsidP="007D6F8E">
                            <w:pPr>
                              <w:numPr>
                                <w:ilvl w:val="0"/>
                                <w:numId w:val="7"/>
                              </w:numPr>
                              <w:tabs>
                                <w:tab w:val="left" w:pos="0"/>
                              </w:tabs>
                              <w:spacing w:after="120" w:line="280" w:lineRule="atLeast"/>
                              <w:ind w:left="709"/>
                              <w:jc w:val="both"/>
                              <w:rPr>
                                <w:rFonts w:ascii="Times New Roman" w:eastAsia="Calibri" w:hAnsi="Times New Roman" w:cs="Times New Roman"/>
                                <w:sz w:val="24"/>
                                <w:szCs w:val="24"/>
                              </w:rPr>
                            </w:pPr>
                            <w:r>
                              <w:rPr>
                                <w:rFonts w:ascii="Times New Roman" w:hAnsi="Times New Roman"/>
                                <w:sz w:val="24"/>
                              </w:rPr>
                              <w:t xml:space="preserve">Комисията изтъква, че държавите членки </w:t>
                            </w:r>
                            <w:r>
                              <w:rPr>
                                <w:rFonts w:ascii="Times New Roman" w:hAnsi="Times New Roman"/>
                                <w:sz w:val="24"/>
                                <w:shd w:val="clear" w:color="auto" w:fill="FFFFFF"/>
                              </w:rPr>
                              <w:t>могат да</w:t>
                            </w:r>
                            <w:r>
                              <w:rPr>
                                <w:rFonts w:ascii="Times New Roman" w:hAnsi="Times New Roman"/>
                                <w:sz w:val="24"/>
                              </w:rPr>
                              <w:t xml:space="preserve"> приоритизират </w:t>
                            </w:r>
                            <w:r>
                              <w:rPr>
                                <w:rFonts w:ascii="Times New Roman" w:hAnsi="Times New Roman"/>
                                <w:b/>
                                <w:sz w:val="24"/>
                              </w:rPr>
                              <w:t>постоянния и непрекъснат достъп до природен газ</w:t>
                            </w:r>
                            <w:r>
                              <w:rPr>
                                <w:rFonts w:ascii="Times New Roman" w:hAnsi="Times New Roman"/>
                                <w:sz w:val="24"/>
                              </w:rPr>
                              <w:t xml:space="preserve"> за производителите на торове</w:t>
                            </w:r>
                            <w:r>
                              <w:t xml:space="preserve"> </w:t>
                            </w:r>
                            <w:r>
                              <w:rPr>
                                <w:rFonts w:ascii="Times New Roman" w:hAnsi="Times New Roman"/>
                                <w:sz w:val="24"/>
                              </w:rPr>
                              <w:t xml:space="preserve">в своите национални планове за извънредни ситуации в </w:t>
                            </w:r>
                            <w:r>
                              <w:rPr>
                                <w:rFonts w:ascii="Times New Roman" w:hAnsi="Times New Roman"/>
                                <w:sz w:val="24"/>
                                <w:shd w:val="clear" w:color="auto" w:fill="FFFFFF"/>
                              </w:rPr>
                              <w:t>случай на нормирано разпределение на газа,</w:t>
                            </w:r>
                            <w:r>
                              <w:t xml:space="preserve"> </w:t>
                            </w:r>
                            <w:r>
                              <w:rPr>
                                <w:rFonts w:ascii="Times New Roman" w:hAnsi="Times New Roman"/>
                                <w:sz w:val="24"/>
                                <w:shd w:val="clear" w:color="auto" w:fill="FFFFFF"/>
                              </w:rPr>
                              <w:t>в съответствие със съобщението на Комисията „Да пестим газ за безпроблемна зима“.</w:t>
                            </w:r>
                            <w:r>
                              <w:rPr>
                                <w:rFonts w:ascii="Times New Roman" w:hAnsi="Times New Roman"/>
                                <w:sz w:val="24"/>
                              </w:rPr>
                              <w:t xml:space="preserve"> </w:t>
                            </w:r>
                          </w:p>
                          <w:p w14:paraId="0F5E8A51" w14:textId="0636AA43" w:rsidR="007D6F8E" w:rsidRPr="000F26A2" w:rsidRDefault="007D6F8E" w:rsidP="007D6F8E">
                            <w:pPr>
                              <w:numPr>
                                <w:ilvl w:val="0"/>
                                <w:numId w:val="7"/>
                              </w:numPr>
                              <w:tabs>
                                <w:tab w:val="left" w:pos="0"/>
                              </w:tabs>
                              <w:spacing w:after="120" w:line="280" w:lineRule="atLeast"/>
                              <w:ind w:left="709"/>
                              <w:jc w:val="both"/>
                              <w:rPr>
                                <w:rFonts w:ascii="Times New Roman" w:eastAsia="Calibri" w:hAnsi="Times New Roman" w:cs="Times New Roman"/>
                                <w:sz w:val="24"/>
                                <w:szCs w:val="24"/>
                              </w:rPr>
                            </w:pPr>
                            <w:r>
                              <w:rPr>
                                <w:rFonts w:ascii="Times New Roman" w:hAnsi="Times New Roman"/>
                                <w:sz w:val="24"/>
                              </w:rPr>
                              <w:t xml:space="preserve">Изменената временна </w:t>
                            </w:r>
                            <w:r>
                              <w:rPr>
                                <w:rFonts w:ascii="Times New Roman" w:hAnsi="Times New Roman"/>
                                <w:b/>
                                <w:sz w:val="24"/>
                              </w:rPr>
                              <w:t>рамка за</w:t>
                            </w:r>
                            <w:r>
                              <w:rPr>
                                <w:rFonts w:ascii="Times New Roman" w:hAnsi="Times New Roman"/>
                                <w:sz w:val="24"/>
                              </w:rPr>
                              <w:t xml:space="preserve"> </w:t>
                            </w:r>
                            <w:r>
                              <w:rPr>
                                <w:rFonts w:ascii="Times New Roman" w:hAnsi="Times New Roman"/>
                                <w:b/>
                                <w:sz w:val="24"/>
                              </w:rPr>
                              <w:t>държавна помощ при кризи</w:t>
                            </w:r>
                            <w:r>
                              <w:rPr>
                                <w:rFonts w:ascii="Times New Roman" w:hAnsi="Times New Roman"/>
                                <w:sz w:val="24"/>
                              </w:rPr>
                              <w:t xml:space="preserve"> дава възможност за специално подпомагане на земеделските стопани и производителите на торове. При второто изменение на рамката от 28 октомври 2022 г. Комисията увеличи таваните, определени за ограничените размери на помощта за земеделските стопани, и увеличи гъвкавостта и възможностите за подпомагане на дружествата, засегнати от нарастващите разходи за енергия, като например производителите на торове, при спазване на предпазни мерки. Съществува потенциал за разширяване на тази целева помощ, която да надхвърли сегашния нисък дял на помощта, одобрена за отрасъла. Публичните органи могат например да закупуват торове и да ги предлагат на по-ниски цени на земеделските стопани. </w:t>
                            </w:r>
                          </w:p>
                          <w:p w14:paraId="29CDD0E8" w14:textId="6F5845FB" w:rsidR="00AE3FC2" w:rsidRPr="00D03636" w:rsidRDefault="00AE3FC2" w:rsidP="007D6F8E">
                            <w:pPr>
                              <w:numPr>
                                <w:ilvl w:val="0"/>
                                <w:numId w:val="7"/>
                              </w:numPr>
                              <w:tabs>
                                <w:tab w:val="left" w:pos="0"/>
                              </w:tabs>
                              <w:spacing w:after="120" w:line="280" w:lineRule="atLeast"/>
                              <w:ind w:left="709"/>
                              <w:jc w:val="both"/>
                              <w:rPr>
                                <w:rFonts w:ascii="Times New Roman" w:eastAsia="Calibri" w:hAnsi="Times New Roman" w:cs="Times New Roman"/>
                                <w:sz w:val="24"/>
                                <w:szCs w:val="24"/>
                              </w:rPr>
                            </w:pPr>
                            <w:r>
                              <w:rPr>
                                <w:rFonts w:ascii="Times New Roman" w:hAnsi="Times New Roman"/>
                                <w:sz w:val="24"/>
                              </w:rPr>
                              <w:t xml:space="preserve">Финансовите средства, генерирани от мерки като </w:t>
                            </w:r>
                            <w:r>
                              <w:rPr>
                                <w:rFonts w:ascii="Times New Roman" w:hAnsi="Times New Roman"/>
                                <w:b/>
                                <w:bCs/>
                                <w:sz w:val="24"/>
                              </w:rPr>
                              <w:t>тавана на пазарните приходи</w:t>
                            </w:r>
                            <w:r>
                              <w:rPr>
                                <w:rFonts w:ascii="Times New Roman" w:hAnsi="Times New Roman"/>
                                <w:sz w:val="24"/>
                              </w:rPr>
                              <w:t xml:space="preserve"> на някои производители на електроенергия и </w:t>
                            </w:r>
                            <w:r>
                              <w:rPr>
                                <w:rFonts w:ascii="Times New Roman" w:hAnsi="Times New Roman"/>
                                <w:b/>
                                <w:bCs/>
                                <w:sz w:val="24"/>
                              </w:rPr>
                              <w:t>солидарната вноска</w:t>
                            </w:r>
                            <w:r>
                              <w:rPr>
                                <w:rFonts w:ascii="Times New Roman" w:hAnsi="Times New Roman"/>
                                <w:sz w:val="24"/>
                              </w:rPr>
                              <w:t xml:space="preserve">, предвидени в законодателството на Съюза, също могат да се използват, при спазване на приложимите условия, за целите на националните схеми за подпомагане. </w:t>
                            </w:r>
                          </w:p>
                          <w:p w14:paraId="03E3A053" w14:textId="13F5C91A" w:rsidR="00AE3FC2" w:rsidRPr="00D34C88" w:rsidRDefault="00AE3FC2" w:rsidP="007D6F8E">
                            <w:pPr>
                              <w:numPr>
                                <w:ilvl w:val="0"/>
                                <w:numId w:val="7"/>
                              </w:numPr>
                              <w:tabs>
                                <w:tab w:val="left" w:pos="0"/>
                              </w:tabs>
                              <w:spacing w:after="120" w:line="280" w:lineRule="atLeast"/>
                              <w:ind w:left="709"/>
                              <w:jc w:val="both"/>
                              <w:rPr>
                                <w:rFonts w:ascii="Times New Roman" w:eastAsia="Calibri" w:hAnsi="Times New Roman" w:cs="Times New Roman"/>
                                <w:sz w:val="24"/>
                                <w:szCs w:val="24"/>
                              </w:rPr>
                            </w:pPr>
                            <w:r>
                              <w:rPr>
                                <w:rFonts w:ascii="Times New Roman" w:hAnsi="Times New Roman"/>
                                <w:sz w:val="24"/>
                              </w:rPr>
                              <w:t xml:space="preserve">Заедно с държавите членки Комисията ще проучи доколко е целесъобразно използването на </w:t>
                            </w:r>
                            <w:r>
                              <w:rPr>
                                <w:rFonts w:ascii="Times New Roman" w:hAnsi="Times New Roman"/>
                                <w:b/>
                                <w:sz w:val="24"/>
                              </w:rPr>
                              <w:t>селскостопанския резерв</w:t>
                            </w:r>
                            <w:r>
                              <w:rPr>
                                <w:rFonts w:ascii="Times New Roman" w:hAnsi="Times New Roman"/>
                                <w:sz w:val="24"/>
                              </w:rPr>
                              <w:t xml:space="preserve"> в размер на 450 милиона евро за финансовата 2023 година за земеделските стопани, засегнати от високите разходи за вложени ресурси.</w:t>
                            </w:r>
                          </w:p>
                          <w:p w14:paraId="41D0B261" w14:textId="26EDFF70" w:rsidR="00D34C88" w:rsidRPr="00D34C88" w:rsidRDefault="00D34C88" w:rsidP="00D34C88">
                            <w:pPr>
                              <w:numPr>
                                <w:ilvl w:val="0"/>
                                <w:numId w:val="7"/>
                              </w:numPr>
                              <w:tabs>
                                <w:tab w:val="left" w:pos="0"/>
                              </w:tabs>
                              <w:spacing w:after="120" w:line="280" w:lineRule="atLeast"/>
                              <w:ind w:left="709"/>
                              <w:jc w:val="both"/>
                              <w:rPr>
                                <w:rFonts w:ascii="Times New Roman" w:eastAsia="Calibri" w:hAnsi="Times New Roman" w:cs="Times New Roman"/>
                                <w:sz w:val="24"/>
                                <w:szCs w:val="24"/>
                              </w:rPr>
                            </w:pPr>
                            <w:r>
                              <w:rPr>
                                <w:rFonts w:ascii="Times New Roman" w:hAnsi="Times New Roman"/>
                                <w:sz w:val="24"/>
                              </w:rPr>
                              <w:t xml:space="preserve">Комисията ще проучи и обсъди с държавите членки как най-добре да се използват </w:t>
                            </w:r>
                            <w:r>
                              <w:rPr>
                                <w:rFonts w:ascii="Times New Roman" w:hAnsi="Times New Roman"/>
                                <w:b/>
                                <w:sz w:val="24"/>
                              </w:rPr>
                              <w:t>стратегическите планове по ОСП</w:t>
                            </w:r>
                            <w:r>
                              <w:rPr>
                                <w:rFonts w:ascii="Times New Roman" w:hAnsi="Times New Roman"/>
                                <w:sz w:val="24"/>
                              </w:rPr>
                              <w:t xml:space="preserve"> за справяне със ситуацията с торовете. Мерките за устойчиво наторяване следва да се прилагат ускорено. Комисията насърчава държавите членки да гарантират, че преразглеждането на техните планове — в случаите, когато те не са достатъчно добре разработени към днешна дата — ще помогне на земеделските стопани да използват торовете по-ефективно и устойчиво. Комисията ще приветства и подкрепи подобни изменения и ще гарантира, че тези интервенции намаляват и предотвратяват вредните за околната среда загуби на хранителни вещества.</w:t>
                            </w:r>
                          </w:p>
                          <w:p w14:paraId="1416762E" w14:textId="65D2EC41" w:rsidR="00AE3FC2" w:rsidRDefault="00D34C88" w:rsidP="00BC4DF0">
                            <w:pPr>
                              <w:numPr>
                                <w:ilvl w:val="0"/>
                                <w:numId w:val="7"/>
                              </w:numPr>
                              <w:tabs>
                                <w:tab w:val="left" w:pos="0"/>
                              </w:tabs>
                              <w:spacing w:after="120" w:line="280" w:lineRule="atLeast"/>
                              <w:ind w:left="709"/>
                              <w:jc w:val="both"/>
                            </w:pPr>
                            <w:r w:rsidRPr="00D34C88">
                              <w:rPr>
                                <w:rFonts w:ascii="Times New Roman" w:hAnsi="Times New Roman"/>
                                <w:sz w:val="24"/>
                              </w:rPr>
                              <w:t xml:space="preserve">Комисията ще предприеме стъпки за подобряване на </w:t>
                            </w:r>
                            <w:r w:rsidRPr="00D34C88">
                              <w:rPr>
                                <w:rFonts w:ascii="Times New Roman" w:hAnsi="Times New Roman"/>
                                <w:b/>
                                <w:sz w:val="24"/>
                              </w:rPr>
                              <w:t>пазарната прозрачност</w:t>
                            </w:r>
                            <w:r w:rsidRPr="00D34C88">
                              <w:rPr>
                                <w:rFonts w:ascii="Times New Roman" w:hAnsi="Times New Roman"/>
                                <w:sz w:val="24"/>
                              </w:rPr>
                              <w:t xml:space="preserve"> на пазара на торове в ЕС чрез нова пазарна обсерватория, която ще бъде създадена през 2023 г., и организиране на редовни консултации със заинтересованите страни в рамките на експертната група на Европейския механизъм за готовност и реакция при кризи в областта на продоволствената сигурност (EFSCM).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FA979B" id="_x0000_t202" coordsize="21600,21600" o:spt="202" path="m,l,21600r21600,l21600,xe">
                <v:stroke joinstyle="miter"/>
                <v:path gradientshapeok="t" o:connecttype="rect"/>
              </v:shapetype>
              <v:shape id="_x0000_s1026" type="#_x0000_t202" style="position:absolute;margin-left:-7.35pt;margin-top:83.25pt;width:433.05pt;height:65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">
                <v:textbox>
                  <w:txbxContent>
                    <w:p w14:paraId="47E2EC11" w14:textId="32E90956" w:rsidR="00AE3FC2" w:rsidRPr="002F1328" w:rsidRDefault="00AE3FC2" w:rsidP="00AE3FC2">
                      <w:pPr>
                        <w:tabs>
                          <w:tab w:val="left" w:pos="0"/>
                        </w:tabs>
                        <w:rPr>
                          <w:rFonts w:ascii="Times New Roman" w:hAnsi="Times New Roman" w:cs="Times New Roman"/>
                          <w:sz w:val="24"/>
                          <w:szCs w:val="24"/>
                        </w:rPr>
                      </w:pPr>
                      <w:r>
                        <w:rPr>
                          <w:rFonts w:ascii="Times New Roman" w:hAnsi="Times New Roman"/>
                          <w:sz w:val="24"/>
                        </w:rPr>
                        <w:t xml:space="preserve">С настоящото съобщение Комисията представя следните </w:t>
                      </w:r>
                      <w:r>
                        <w:rPr>
                          <w:rFonts w:ascii="Times New Roman" w:hAnsi="Times New Roman"/>
                          <w:b/>
                          <w:sz w:val="24"/>
                        </w:rPr>
                        <w:t>вътрешни действия</w:t>
                      </w:r>
                      <w:r>
                        <w:rPr>
                          <w:rFonts w:ascii="Times New Roman" w:hAnsi="Times New Roman"/>
                          <w:sz w:val="24"/>
                        </w:rPr>
                        <w:t>:</w:t>
                      </w:r>
                    </w:p>
                    <w:p w14:paraId="55322B8B" w14:textId="77777777" w:rsidR="00AE3FC2" w:rsidRDefault="00AE3FC2" w:rsidP="007D6F8E">
                      <w:pPr>
                        <w:numPr>
                          <w:ilvl w:val="0"/>
                          <w:numId w:val="7"/>
                        </w:numPr>
                        <w:tabs>
                          <w:tab w:val="left" w:pos="0"/>
                        </w:tabs>
                        <w:spacing w:after="120" w:line="280" w:lineRule="atLeast"/>
                        <w:ind w:left="709"/>
                        <w:jc w:val="both"/>
                        <w:rPr>
                          <w:rFonts w:ascii="Times New Roman" w:eastAsia="Calibri" w:hAnsi="Times New Roman" w:cs="Times New Roman"/>
                          <w:sz w:val="24"/>
                          <w:szCs w:val="24"/>
                        </w:rPr>
                      </w:pPr>
                      <w:r>
                        <w:rPr>
                          <w:rFonts w:ascii="Times New Roman" w:hAnsi="Times New Roman"/>
                          <w:sz w:val="24"/>
                        </w:rPr>
                        <w:t xml:space="preserve">Комисията изтъква, че държавите членки </w:t>
                      </w:r>
                      <w:r>
                        <w:rPr>
                          <w:rFonts w:ascii="Times New Roman" w:hAnsi="Times New Roman"/>
                          <w:sz w:val="24"/>
                          <w:shd w:val="clear" w:color="auto" w:fill="FFFFFF"/>
                        </w:rPr>
                        <w:t>могат да</w:t>
                      </w:r>
                      <w:r>
                        <w:rPr>
                          <w:rFonts w:ascii="Times New Roman" w:hAnsi="Times New Roman"/>
                          <w:sz w:val="24"/>
                        </w:rPr>
                        <w:t xml:space="preserve"> приоритизират </w:t>
                      </w:r>
                      <w:r>
                        <w:rPr>
                          <w:rFonts w:ascii="Times New Roman" w:hAnsi="Times New Roman"/>
                          <w:b/>
                          <w:sz w:val="24"/>
                        </w:rPr>
                        <w:t>постоянния и непрекъснат достъп до природен газ</w:t>
                      </w:r>
                      <w:r>
                        <w:rPr>
                          <w:rFonts w:ascii="Times New Roman" w:hAnsi="Times New Roman"/>
                          <w:sz w:val="24"/>
                        </w:rPr>
                        <w:t xml:space="preserve"> за производителите на торове</w:t>
                      </w:r>
                      <w:r>
                        <w:t xml:space="preserve"> </w:t>
                      </w:r>
                      <w:r>
                        <w:rPr>
                          <w:rFonts w:ascii="Times New Roman" w:hAnsi="Times New Roman"/>
                          <w:sz w:val="24"/>
                        </w:rPr>
                        <w:t xml:space="preserve">в своите национални планове за извънредни ситуации в </w:t>
                      </w:r>
                      <w:r>
                        <w:rPr>
                          <w:rFonts w:ascii="Times New Roman" w:hAnsi="Times New Roman"/>
                          <w:sz w:val="24"/>
                          <w:shd w:val="clear" w:color="auto" w:fill="FFFFFF"/>
                        </w:rPr>
                        <w:t>случай на нормирано разпределение на газа,</w:t>
                      </w:r>
                      <w:r>
                        <w:t xml:space="preserve"> </w:t>
                      </w:r>
                      <w:r>
                        <w:rPr>
                          <w:rFonts w:ascii="Times New Roman" w:hAnsi="Times New Roman"/>
                          <w:sz w:val="24"/>
                          <w:shd w:val="clear" w:color="auto" w:fill="FFFFFF"/>
                        </w:rPr>
                        <w:t>в съответствие със съобщението на Комисията „Да пестим газ за безпроблемна зима“.</w:t>
                      </w:r>
                      <w:r>
                        <w:rPr>
                          <w:rFonts w:ascii="Times New Roman" w:hAnsi="Times New Roman"/>
                          <w:sz w:val="24"/>
                        </w:rPr>
                        <w:t xml:space="preserve"> </w:t>
                      </w:r>
                    </w:p>
                    <w:p w14:paraId="0F5E8A51" w14:textId="0636AA43" w:rsidR="007D6F8E" w:rsidRPr="000F26A2" w:rsidRDefault="007D6F8E" w:rsidP="007D6F8E">
                      <w:pPr>
                        <w:numPr>
                          <w:ilvl w:val="0"/>
                          <w:numId w:val="7"/>
                        </w:numPr>
                        <w:tabs>
                          <w:tab w:val="left" w:pos="0"/>
                        </w:tabs>
                        <w:spacing w:after="120" w:line="280" w:lineRule="atLeast"/>
                        <w:ind w:left="709"/>
                        <w:jc w:val="both"/>
                        <w:rPr>
                          <w:rFonts w:ascii="Times New Roman" w:eastAsia="Calibri" w:hAnsi="Times New Roman" w:cs="Times New Roman"/>
                          <w:sz w:val="24"/>
                          <w:szCs w:val="24"/>
                        </w:rPr>
                      </w:pPr>
                      <w:r>
                        <w:rPr>
                          <w:rFonts w:ascii="Times New Roman" w:hAnsi="Times New Roman"/>
                          <w:sz w:val="24"/>
                        </w:rPr>
                        <w:t xml:space="preserve">Изменената временна </w:t>
                      </w:r>
                      <w:r>
                        <w:rPr>
                          <w:rFonts w:ascii="Times New Roman" w:hAnsi="Times New Roman"/>
                          <w:b/>
                          <w:sz w:val="24"/>
                        </w:rPr>
                        <w:t>рамка за</w:t>
                      </w:r>
                      <w:r>
                        <w:rPr>
                          <w:rFonts w:ascii="Times New Roman" w:hAnsi="Times New Roman"/>
                          <w:sz w:val="24"/>
                        </w:rPr>
                        <w:t xml:space="preserve"> </w:t>
                      </w:r>
                      <w:r>
                        <w:rPr>
                          <w:rFonts w:ascii="Times New Roman" w:hAnsi="Times New Roman"/>
                          <w:b/>
                          <w:sz w:val="24"/>
                        </w:rPr>
                        <w:t>държавна помощ при кризи</w:t>
                      </w:r>
                      <w:r>
                        <w:rPr>
                          <w:rFonts w:ascii="Times New Roman" w:hAnsi="Times New Roman"/>
                          <w:sz w:val="24"/>
                        </w:rPr>
                        <w:t xml:space="preserve"> дава възможност за специално подпомагане на земеделските стопани и производителите на торове. При второто изменение на рамката от 28 октомври 2022 г. Комисията увеличи таваните, определени за ограничените размери на помощта за земеделските стопани, и увеличи гъвкавостта и възможностите за подпомагане на дружествата, засегнати от нарастващите разходи за енергия, като например производителите на торове, при спазване на предпазни мерки. Съществува потенциал за разширяване на тази целева помощ, която да надхвърли сегашния нисък дял на помощта, одобрена за отрасъла. Публичните органи могат например да закупуват торове и да ги предлагат на по-ниски цени на земеделските стопани. </w:t>
                      </w:r>
                    </w:p>
                    <w:p w14:paraId="29CDD0E8" w14:textId="6F5845FB" w:rsidR="00AE3FC2" w:rsidRPr="00D03636" w:rsidRDefault="00AE3FC2" w:rsidP="007D6F8E">
                      <w:pPr>
                        <w:numPr>
                          <w:ilvl w:val="0"/>
                          <w:numId w:val="7"/>
                        </w:numPr>
                        <w:tabs>
                          <w:tab w:val="left" w:pos="0"/>
                        </w:tabs>
                        <w:spacing w:after="120" w:line="280" w:lineRule="atLeast"/>
                        <w:ind w:left="709"/>
                        <w:jc w:val="both"/>
                        <w:rPr>
                          <w:rFonts w:ascii="Times New Roman" w:eastAsia="Calibri" w:hAnsi="Times New Roman" w:cs="Times New Roman"/>
                          <w:sz w:val="24"/>
                          <w:szCs w:val="24"/>
                        </w:rPr>
                      </w:pPr>
                      <w:r>
                        <w:rPr>
                          <w:rFonts w:ascii="Times New Roman" w:hAnsi="Times New Roman"/>
                          <w:sz w:val="24"/>
                        </w:rPr>
                        <w:t xml:space="preserve">Финансовите средства, генерирани от мерки като </w:t>
                      </w:r>
                      <w:r>
                        <w:rPr>
                          <w:rFonts w:ascii="Times New Roman" w:hAnsi="Times New Roman"/>
                          <w:b/>
                          <w:bCs/>
                          <w:sz w:val="24"/>
                        </w:rPr>
                        <w:t>тавана на пазарните приходи</w:t>
                      </w:r>
                      <w:r>
                        <w:rPr>
                          <w:rFonts w:ascii="Times New Roman" w:hAnsi="Times New Roman"/>
                          <w:sz w:val="24"/>
                        </w:rPr>
                        <w:t xml:space="preserve"> на някои производители на електроенергия и </w:t>
                      </w:r>
                      <w:r>
                        <w:rPr>
                          <w:rFonts w:ascii="Times New Roman" w:hAnsi="Times New Roman"/>
                          <w:b/>
                          <w:bCs/>
                          <w:sz w:val="24"/>
                        </w:rPr>
                        <w:t>солидарната вноска</w:t>
                      </w:r>
                      <w:r>
                        <w:rPr>
                          <w:rFonts w:ascii="Times New Roman" w:hAnsi="Times New Roman"/>
                          <w:sz w:val="24"/>
                        </w:rPr>
                        <w:t xml:space="preserve">, предвидени в законодателството на Съюза, също могат да се използват, при спазване на приложимите условия, за целите на националните схеми за подпомагане. </w:t>
                      </w:r>
                    </w:p>
                    <w:p w14:paraId="03E3A053" w14:textId="13F5C91A" w:rsidR="00AE3FC2" w:rsidRPr="00D34C88" w:rsidRDefault="00AE3FC2" w:rsidP="007D6F8E">
                      <w:pPr>
                        <w:numPr>
                          <w:ilvl w:val="0"/>
                          <w:numId w:val="7"/>
                        </w:numPr>
                        <w:tabs>
                          <w:tab w:val="left" w:pos="0"/>
                        </w:tabs>
                        <w:spacing w:after="120" w:line="280" w:lineRule="atLeast"/>
                        <w:ind w:left="709"/>
                        <w:jc w:val="both"/>
                        <w:rPr>
                          <w:rFonts w:ascii="Times New Roman" w:eastAsia="Calibri" w:hAnsi="Times New Roman" w:cs="Times New Roman"/>
                          <w:sz w:val="24"/>
                          <w:szCs w:val="24"/>
                        </w:rPr>
                      </w:pPr>
                      <w:r>
                        <w:rPr>
                          <w:rFonts w:ascii="Times New Roman" w:hAnsi="Times New Roman"/>
                          <w:sz w:val="24"/>
                        </w:rPr>
                        <w:t xml:space="preserve">Заедно с държавите членки Комисията ще проучи доколко е целесъобразно използването на </w:t>
                      </w:r>
                      <w:r>
                        <w:rPr>
                          <w:rFonts w:ascii="Times New Roman" w:hAnsi="Times New Roman"/>
                          <w:b/>
                          <w:sz w:val="24"/>
                        </w:rPr>
                        <w:t>селскостопанския резерв</w:t>
                      </w:r>
                      <w:r>
                        <w:rPr>
                          <w:rFonts w:ascii="Times New Roman" w:hAnsi="Times New Roman"/>
                          <w:sz w:val="24"/>
                        </w:rPr>
                        <w:t xml:space="preserve"> в размер на 450 милиона евро за финансовата 2023 година за земеделските стопани, засегнати от високите разходи за вложени ресурси.</w:t>
                      </w:r>
                    </w:p>
                    <w:p w14:paraId="41D0B261" w14:textId="26EDFF70" w:rsidR="00D34C88" w:rsidRPr="00D34C88" w:rsidRDefault="00D34C88" w:rsidP="00D34C88">
                      <w:pPr>
                        <w:numPr>
                          <w:ilvl w:val="0"/>
                          <w:numId w:val="7"/>
                        </w:numPr>
                        <w:tabs>
                          <w:tab w:val="left" w:pos="0"/>
                        </w:tabs>
                        <w:spacing w:after="120" w:line="280" w:lineRule="atLeast"/>
                        <w:ind w:left="709"/>
                        <w:jc w:val="both"/>
                        <w:rPr>
                          <w:rFonts w:ascii="Times New Roman" w:eastAsia="Calibri" w:hAnsi="Times New Roman" w:cs="Times New Roman"/>
                          <w:sz w:val="24"/>
                          <w:szCs w:val="24"/>
                        </w:rPr>
                      </w:pPr>
                      <w:r>
                        <w:rPr>
                          <w:rFonts w:ascii="Times New Roman" w:hAnsi="Times New Roman"/>
                          <w:sz w:val="24"/>
                        </w:rPr>
                        <w:t xml:space="preserve">Комисията ще проучи и обсъди с държавите членки как най-добре да се използват </w:t>
                      </w:r>
                      <w:r>
                        <w:rPr>
                          <w:rFonts w:ascii="Times New Roman" w:hAnsi="Times New Roman"/>
                          <w:b/>
                          <w:sz w:val="24"/>
                        </w:rPr>
                        <w:t>стратегическите планове по ОСП</w:t>
                      </w:r>
                      <w:r>
                        <w:rPr>
                          <w:rFonts w:ascii="Times New Roman" w:hAnsi="Times New Roman"/>
                          <w:sz w:val="24"/>
                        </w:rPr>
                        <w:t xml:space="preserve"> за справяне със ситуацията с торовете. Мерките за устойчиво наторяване следва да се прилагат ускорено. Комисията насърчава държавите членки да гарантират, че преразглеждането на техните планове — в случаите, когато те не са достатъчно добре разработени към днешна дата — ще помогне на земеделските стопани да използват торовете по-ефективно и устойчиво. Комисията ще приветства и подкрепи подобни изменения и ще гарантира, че тези интервенции намаляват и предотвратяват вредните за околната среда загуби на хранителни вещества.</w:t>
                      </w:r>
                    </w:p>
                    <w:p w14:paraId="1416762E" w14:textId="65D2EC41" w:rsidR="00AE3FC2" w:rsidRDefault="00D34C88" w:rsidP="00BC4DF0">
                      <w:pPr>
                        <w:numPr>
                          <w:ilvl w:val="0"/>
                          <w:numId w:val="7"/>
                        </w:numPr>
                        <w:tabs>
                          <w:tab w:val="left" w:pos="0"/>
                        </w:tabs>
                        <w:spacing w:after="120" w:line="280" w:lineRule="atLeast"/>
                        <w:ind w:left="709"/>
                        <w:jc w:val="both"/>
                      </w:pPr>
                      <w:r w:rsidRPr="00D34C88">
                        <w:rPr>
                          <w:rFonts w:ascii="Times New Roman" w:hAnsi="Times New Roman"/>
                          <w:sz w:val="24"/>
                        </w:rPr>
                        <w:t xml:space="preserve">Комисията ще предприеме стъпки за подобряване на </w:t>
                      </w:r>
                      <w:r w:rsidRPr="00D34C88">
                        <w:rPr>
                          <w:rFonts w:ascii="Times New Roman" w:hAnsi="Times New Roman"/>
                          <w:b/>
                          <w:sz w:val="24"/>
                        </w:rPr>
                        <w:t>пазарната прозрачност</w:t>
                      </w:r>
                      <w:r w:rsidRPr="00D34C88">
                        <w:rPr>
                          <w:rFonts w:ascii="Times New Roman" w:hAnsi="Times New Roman"/>
                          <w:sz w:val="24"/>
                        </w:rPr>
                        <w:t xml:space="preserve"> на пазара на торове в ЕС чрез нова пазарна обсерватория, която ще бъде създадена през 2023 г., и организиране на редовни консултации със заинтересованите страни в рамките на експертната група на Европейския механизъм за готовност и реакция при кризи в областта на продоволствената сигурност (EFSCM).</w:t>
                      </w:r>
                    </w:p>
                  </w:txbxContent>
                </v:textbox>
                <w10:wrap type="square" anchory="page"/>
              </v:shape>
            </w:pict>
          </mc:Fallback>
        </mc:AlternateContent>
      </w:r>
      <w:r>
        <w:rPr>
          <w:noProof/>
        </w:rPr>
        <w:br w:type="page"/>
      </w:r>
    </w:p>
    <w:p w14:paraId="3B8F4FC1" w14:textId="73658096" w:rsidR="00FA1A95" w:rsidRDefault="003D650F" w:rsidP="007679B3">
      <w:pPr>
        <w:ind w:left="426" w:right="-596"/>
        <w:rPr>
          <w:rFonts w:ascii="Times New Roman" w:hAnsi="Times New Roman" w:cs="Times New Roman"/>
          <w:noProof/>
          <w:sz w:val="24"/>
          <w:szCs w:val="24"/>
        </w:rPr>
      </w:pPr>
      <w:r>
        <w:rPr>
          <w:rFonts w:ascii="Times New Roman" w:hAnsi="Times New Roman"/>
          <w:noProof/>
          <w:sz w:val="24"/>
          <w:lang w:val="en-GB" w:eastAsia="en-GB"/>
        </w:rPr>
        <mc:AlternateContent>
          <mc:Choice Requires="wps">
            <w:drawing>
              <wp:anchor distT="45720" distB="45720" distL="114300" distR="114300" simplePos="0" relativeHeight="251662336" behindDoc="0" locked="0" layoutInCell="1" allowOverlap="1" wp14:anchorId="1802F78D" wp14:editId="68980D0E">
                <wp:simplePos x="0" y="0"/>
                <wp:positionH relativeFrom="margin">
                  <wp:posOffset>30480</wp:posOffset>
                </wp:positionH>
                <wp:positionV relativeFrom="page">
                  <wp:posOffset>847725</wp:posOffset>
                </wp:positionV>
                <wp:extent cx="5624830" cy="5591175"/>
                <wp:effectExtent l="0" t="0" r="1397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830" cy="5591175"/>
                        </a:xfrm>
                        <a:prstGeom prst="rect">
                          <a:avLst/>
                        </a:prstGeom>
                        <a:solidFill>
                          <a:srgbClr val="FFFFFF"/>
                        </a:solidFill>
                        <a:ln w="9525">
                          <a:solidFill>
                            <a:srgbClr val="000000"/>
                          </a:solidFill>
                          <a:miter lim="800000"/>
                          <a:headEnd/>
                          <a:tailEnd/>
                        </a:ln>
                      </wps:spPr>
                      <wps:txbx>
                        <w:txbxContent>
                          <w:p w14:paraId="3ED017F1" w14:textId="77777777" w:rsidR="003D650F" w:rsidRPr="002F1328" w:rsidRDefault="003D650F" w:rsidP="003D650F">
                            <w:pPr>
                              <w:numPr>
                                <w:ilvl w:val="0"/>
                                <w:numId w:val="7"/>
                              </w:numPr>
                              <w:tabs>
                                <w:tab w:val="left" w:pos="0"/>
                              </w:tabs>
                              <w:spacing w:after="120" w:line="280" w:lineRule="atLeast"/>
                              <w:ind w:left="567" w:hanging="357"/>
                              <w:jc w:val="both"/>
                              <w:rPr>
                                <w:rFonts w:ascii="Times New Roman" w:eastAsia="Calibri" w:hAnsi="Times New Roman" w:cs="Times New Roman"/>
                                <w:sz w:val="24"/>
                                <w:szCs w:val="24"/>
                              </w:rPr>
                            </w:pPr>
                            <w:r>
                              <w:rPr>
                                <w:rFonts w:ascii="Times New Roman" w:hAnsi="Times New Roman"/>
                                <w:sz w:val="24"/>
                              </w:rPr>
                              <w:t xml:space="preserve">В стремежа си да насърчи </w:t>
                            </w:r>
                            <w:r>
                              <w:rPr>
                                <w:rFonts w:ascii="Times New Roman" w:hAnsi="Times New Roman"/>
                                <w:b/>
                                <w:sz w:val="24"/>
                              </w:rPr>
                              <w:t>отворената</w:t>
                            </w:r>
                            <w:r>
                              <w:rPr>
                                <w:rFonts w:ascii="Times New Roman" w:hAnsi="Times New Roman"/>
                                <w:sz w:val="24"/>
                              </w:rPr>
                              <w:t xml:space="preserve"> </w:t>
                            </w:r>
                            <w:r>
                              <w:rPr>
                                <w:rFonts w:ascii="Times New Roman" w:hAnsi="Times New Roman"/>
                                <w:b/>
                                <w:sz w:val="24"/>
                              </w:rPr>
                              <w:t>стратегическа автономност</w:t>
                            </w:r>
                            <w:r>
                              <w:rPr>
                                <w:rFonts w:ascii="Times New Roman" w:hAnsi="Times New Roman"/>
                                <w:sz w:val="24"/>
                              </w:rPr>
                              <w:t xml:space="preserve"> на ЕС като възможност за ЕС да гарантира сигурността на хранителните си доставки и да установи високи стандарти за устойчивост, Комисията ще насърчи следните мерки по отношение на торовете:</w:t>
                            </w:r>
                          </w:p>
                          <w:p w14:paraId="50335157" w14:textId="77777777" w:rsidR="003D650F" w:rsidRPr="002F1328" w:rsidRDefault="003D650F" w:rsidP="003D650F">
                            <w:pPr>
                              <w:numPr>
                                <w:ilvl w:val="1"/>
                                <w:numId w:val="7"/>
                              </w:numPr>
                              <w:tabs>
                                <w:tab w:val="left" w:pos="0"/>
                              </w:tabs>
                              <w:spacing w:after="120" w:line="280" w:lineRule="atLeast"/>
                              <w:ind w:left="851"/>
                              <w:jc w:val="both"/>
                              <w:rPr>
                                <w:rFonts w:ascii="Times New Roman" w:eastAsia="Calibri" w:hAnsi="Times New Roman" w:cs="Times New Roman"/>
                                <w:sz w:val="24"/>
                                <w:szCs w:val="24"/>
                              </w:rPr>
                            </w:pPr>
                            <w:r>
                              <w:rPr>
                                <w:rFonts w:ascii="Times New Roman" w:hAnsi="Times New Roman"/>
                                <w:sz w:val="24"/>
                              </w:rPr>
                              <w:t xml:space="preserve">по-добър достъп до </w:t>
                            </w:r>
                            <w:r>
                              <w:rPr>
                                <w:rFonts w:ascii="Times New Roman" w:hAnsi="Times New Roman"/>
                                <w:b/>
                                <w:sz w:val="24"/>
                              </w:rPr>
                              <w:t>органични торове</w:t>
                            </w:r>
                            <w:r>
                              <w:rPr>
                                <w:rFonts w:ascii="Times New Roman" w:hAnsi="Times New Roman"/>
                                <w:sz w:val="24"/>
                              </w:rPr>
                              <w:t xml:space="preserve"> и хранителни вещества от рециклирани отпадъчни потоци, особено в региони с ниска употреба на органични торове;</w:t>
                            </w:r>
                          </w:p>
                          <w:p w14:paraId="5BC459CF" w14:textId="77777777" w:rsidR="003D650F" w:rsidRDefault="003D650F" w:rsidP="003D650F">
                            <w:pPr>
                              <w:numPr>
                                <w:ilvl w:val="1"/>
                                <w:numId w:val="7"/>
                              </w:numPr>
                              <w:tabs>
                                <w:tab w:val="left" w:pos="0"/>
                              </w:tabs>
                              <w:spacing w:after="120" w:line="280" w:lineRule="atLeast"/>
                              <w:ind w:left="851"/>
                              <w:jc w:val="both"/>
                              <w:rPr>
                                <w:rFonts w:ascii="Times New Roman" w:eastAsia="Calibri" w:hAnsi="Times New Roman" w:cs="Times New Roman"/>
                                <w:sz w:val="24"/>
                                <w:szCs w:val="24"/>
                              </w:rPr>
                            </w:pPr>
                            <w:r>
                              <w:rPr>
                                <w:rFonts w:ascii="Times New Roman" w:hAnsi="Times New Roman"/>
                                <w:sz w:val="24"/>
                              </w:rPr>
                              <w:t xml:space="preserve">подкрепа за превръщането на европейската индустрия за азотни торове в индустрия, основана на </w:t>
                            </w:r>
                            <w:r>
                              <w:rPr>
                                <w:rFonts w:ascii="Times New Roman" w:hAnsi="Times New Roman"/>
                                <w:b/>
                                <w:bCs/>
                                <w:sz w:val="24"/>
                              </w:rPr>
                              <w:t>амоняк, произведен с използване на водород от възобновяеми и неизкопаеми източници</w:t>
                            </w:r>
                            <w:r>
                              <w:rPr>
                                <w:rFonts w:ascii="Times New Roman" w:hAnsi="Times New Roman"/>
                                <w:sz w:val="24"/>
                              </w:rPr>
                              <w:t>;</w:t>
                            </w:r>
                          </w:p>
                          <w:p w14:paraId="16B646EC" w14:textId="77777777" w:rsidR="003D650F" w:rsidRPr="00AE3FC2" w:rsidRDefault="003D650F" w:rsidP="003D650F">
                            <w:pPr>
                              <w:numPr>
                                <w:ilvl w:val="1"/>
                                <w:numId w:val="7"/>
                              </w:numPr>
                              <w:tabs>
                                <w:tab w:val="left" w:pos="0"/>
                              </w:tabs>
                              <w:spacing w:after="120" w:line="280" w:lineRule="atLeast"/>
                              <w:ind w:left="851"/>
                              <w:jc w:val="both"/>
                              <w:rPr>
                                <w:rFonts w:ascii="Times New Roman" w:eastAsia="Calibri" w:hAnsi="Times New Roman" w:cs="Times New Roman"/>
                                <w:sz w:val="24"/>
                                <w:szCs w:val="24"/>
                              </w:rPr>
                            </w:pPr>
                            <w:r>
                              <w:rPr>
                                <w:rFonts w:ascii="Times New Roman" w:hAnsi="Times New Roman"/>
                                <w:sz w:val="24"/>
                              </w:rPr>
                              <w:t xml:space="preserve">гарантиране наличието на стабилна и работеща регулаторна среда, регламентираща производството на </w:t>
                            </w:r>
                            <w:r>
                              <w:rPr>
                                <w:rFonts w:ascii="Times New Roman" w:hAnsi="Times New Roman"/>
                                <w:b/>
                                <w:bCs/>
                                <w:sz w:val="24"/>
                              </w:rPr>
                              <w:t>водород от възобновяеми източници и нисковъглероден водород</w:t>
                            </w:r>
                            <w:r>
                              <w:rPr>
                                <w:rFonts w:ascii="Times New Roman" w:hAnsi="Times New Roman"/>
                                <w:sz w:val="24"/>
                              </w:rPr>
                              <w:t>, като по този начин се гарантира бързото развитие на пазар за торове, произведени на основата на въглерод от възобновяеми източници и нисковъглероден водород;</w:t>
                            </w:r>
                          </w:p>
                          <w:p w14:paraId="69CB94B6" w14:textId="77777777" w:rsidR="003D650F" w:rsidRDefault="003D650F" w:rsidP="003D650F">
                            <w:pPr>
                              <w:numPr>
                                <w:ilvl w:val="1"/>
                                <w:numId w:val="7"/>
                              </w:numPr>
                              <w:tabs>
                                <w:tab w:val="left" w:pos="0"/>
                              </w:tabs>
                              <w:spacing w:after="240" w:line="280" w:lineRule="atLeast"/>
                              <w:ind w:left="851"/>
                              <w:contextualSpacing/>
                              <w:jc w:val="both"/>
                              <w:rPr>
                                <w:rFonts w:ascii="Times New Roman" w:eastAsia="Calibri" w:hAnsi="Times New Roman" w:cs="Times New Roman"/>
                                <w:sz w:val="24"/>
                                <w:szCs w:val="24"/>
                              </w:rPr>
                            </w:pPr>
                            <w:r>
                              <w:rPr>
                                <w:rFonts w:ascii="Times New Roman" w:hAnsi="Times New Roman"/>
                                <w:sz w:val="24"/>
                              </w:rPr>
                              <w:t xml:space="preserve">подкрепа за </w:t>
                            </w:r>
                            <w:r>
                              <w:rPr>
                                <w:rFonts w:ascii="Times New Roman" w:hAnsi="Times New Roman"/>
                                <w:b/>
                                <w:sz w:val="24"/>
                              </w:rPr>
                              <w:t>диверсификация на вноса</w:t>
                            </w:r>
                            <w:r>
                              <w:rPr>
                                <w:rFonts w:ascii="Times New Roman" w:hAnsi="Times New Roman"/>
                                <w:sz w:val="24"/>
                              </w:rPr>
                              <w:t>, за да се намали зависимостта от Русия;</w:t>
                            </w:r>
                          </w:p>
                          <w:p w14:paraId="4215072C" w14:textId="77777777" w:rsidR="003D650F" w:rsidRDefault="003D650F" w:rsidP="003D650F">
                            <w:pPr>
                              <w:tabs>
                                <w:tab w:val="left" w:pos="0"/>
                              </w:tabs>
                              <w:spacing w:after="240" w:line="280" w:lineRule="atLeast"/>
                              <w:ind w:left="851"/>
                              <w:contextualSpacing/>
                              <w:jc w:val="both"/>
                              <w:rPr>
                                <w:rFonts w:ascii="Times New Roman" w:eastAsia="Calibri" w:hAnsi="Times New Roman" w:cs="Times New Roman"/>
                                <w:sz w:val="24"/>
                                <w:szCs w:val="24"/>
                                <w:lang w:eastAsia="en-GB"/>
                              </w:rPr>
                            </w:pPr>
                          </w:p>
                          <w:p w14:paraId="3BC102E5" w14:textId="77777777" w:rsidR="003D650F" w:rsidRPr="002F1328" w:rsidRDefault="003D650F" w:rsidP="003D650F">
                            <w:pPr>
                              <w:numPr>
                                <w:ilvl w:val="1"/>
                                <w:numId w:val="7"/>
                              </w:numPr>
                              <w:tabs>
                                <w:tab w:val="left" w:pos="0"/>
                              </w:tabs>
                              <w:spacing w:after="240" w:line="280" w:lineRule="atLeast"/>
                              <w:ind w:left="851"/>
                              <w:contextualSpacing/>
                              <w:jc w:val="both"/>
                              <w:rPr>
                                <w:rFonts w:ascii="Times New Roman" w:eastAsia="Calibri" w:hAnsi="Times New Roman" w:cs="Times New Roman"/>
                                <w:sz w:val="24"/>
                                <w:szCs w:val="24"/>
                              </w:rPr>
                            </w:pPr>
                            <w:r>
                              <w:rPr>
                                <w:rFonts w:ascii="Times New Roman" w:hAnsi="Times New Roman"/>
                                <w:sz w:val="24"/>
                              </w:rPr>
                              <w:t xml:space="preserve">поставяне на началото през 2023 г. на ново предизвикателство на </w:t>
                            </w:r>
                            <w:r>
                              <w:rPr>
                                <w:rFonts w:ascii="Times New Roman" w:hAnsi="Times New Roman"/>
                                <w:b/>
                                <w:sz w:val="24"/>
                              </w:rPr>
                              <w:t>Европейския съвет по иновациите</w:t>
                            </w:r>
                            <w:r>
                              <w:rPr>
                                <w:rFonts w:ascii="Times New Roman" w:hAnsi="Times New Roman"/>
                                <w:sz w:val="24"/>
                              </w:rPr>
                              <w:t xml:space="preserve"> в областта на устойчивото селско стопанство. </w:t>
                            </w:r>
                          </w:p>
                          <w:p w14:paraId="7698D1D9" w14:textId="77777777" w:rsidR="003D650F" w:rsidRPr="002F1328" w:rsidRDefault="003D650F" w:rsidP="003D650F">
                            <w:pPr>
                              <w:tabs>
                                <w:tab w:val="left" w:pos="0"/>
                              </w:tabs>
                              <w:spacing w:after="240" w:line="280" w:lineRule="atLeast"/>
                              <w:ind w:left="567"/>
                              <w:contextualSpacing/>
                              <w:jc w:val="both"/>
                              <w:rPr>
                                <w:rFonts w:ascii="Times New Roman" w:eastAsia="Calibri" w:hAnsi="Times New Roman" w:cs="Times New Roman"/>
                                <w:sz w:val="24"/>
                                <w:szCs w:val="24"/>
                                <w:lang w:eastAsia="en-GB"/>
                              </w:rPr>
                            </w:pPr>
                          </w:p>
                          <w:p w14:paraId="5FB756AF" w14:textId="77777777" w:rsidR="003D650F" w:rsidRPr="002F1328" w:rsidRDefault="003D650F" w:rsidP="003D650F">
                            <w:pPr>
                              <w:numPr>
                                <w:ilvl w:val="0"/>
                                <w:numId w:val="7"/>
                              </w:numPr>
                              <w:tabs>
                                <w:tab w:val="left" w:pos="0"/>
                              </w:tabs>
                              <w:spacing w:after="120" w:line="280" w:lineRule="atLeast"/>
                              <w:ind w:left="567"/>
                              <w:jc w:val="both"/>
                              <w:rPr>
                                <w:rFonts w:ascii="Times New Roman" w:eastAsia="Calibri" w:hAnsi="Times New Roman" w:cs="Times New Roman"/>
                                <w:sz w:val="24"/>
                                <w:szCs w:val="24"/>
                              </w:rPr>
                            </w:pPr>
                            <w:r>
                              <w:rPr>
                                <w:rFonts w:ascii="Times New Roman" w:hAnsi="Times New Roman"/>
                                <w:sz w:val="24"/>
                              </w:rPr>
                              <w:t xml:space="preserve">През първото тримесечие на 2023 г. Комисията ще приеме </w:t>
                            </w:r>
                            <w:r>
                              <w:rPr>
                                <w:rFonts w:ascii="Times New Roman" w:hAnsi="Times New Roman"/>
                                <w:b/>
                                <w:sz w:val="24"/>
                              </w:rPr>
                              <w:t>план за действие за интегрирано управление на хранителните вещества</w:t>
                            </w:r>
                            <w:r>
                              <w:rPr>
                                <w:rFonts w:ascii="Times New Roman" w:hAnsi="Times New Roman"/>
                                <w:sz w:val="24"/>
                              </w:rPr>
                              <w:t>, който ще има за цел предприемането на действия на равнището на ЕС и на национално равнище за насърчаване на по-ефективно използване на хранителните вещества, с отчитане на изходната ситуация във всяка една държава членка и амбиция за нулево замърсяване.</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02F78D" id="_x0000_s1027" type="#_x0000_t202" style="position:absolute;left:0;text-align:left;margin-left:2.4pt;margin-top:66.75pt;width:442.9pt;height:440.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">
                <v:textbox>
                  <w:txbxContent>
                    <w:p w14:paraId="3ED017F1" w14:textId="77777777" w:rsidR="003D650F" w:rsidRPr="002F1328" w:rsidRDefault="003D650F" w:rsidP="003D650F">
                      <w:pPr>
                        <w:numPr>
                          <w:ilvl w:val="0"/>
                          <w:numId w:val="7"/>
                        </w:numPr>
                        <w:tabs>
                          <w:tab w:val="left" w:pos="0"/>
                        </w:tabs>
                        <w:spacing w:after="120" w:line="280" w:lineRule="atLeast"/>
                        <w:ind w:left="567" w:hanging="357"/>
                        <w:jc w:val="both"/>
                        <w:rPr>
                          <w:rFonts w:ascii="Times New Roman" w:eastAsia="Calibri" w:hAnsi="Times New Roman" w:cs="Times New Roman"/>
                          <w:sz w:val="24"/>
                          <w:szCs w:val="24"/>
                        </w:rPr>
                      </w:pPr>
                      <w:r>
                        <w:rPr>
                          <w:rFonts w:ascii="Times New Roman" w:hAnsi="Times New Roman"/>
                          <w:sz w:val="24"/>
                        </w:rPr>
                        <w:t xml:space="preserve">В стремежа си да насърчи </w:t>
                      </w:r>
                      <w:r>
                        <w:rPr>
                          <w:rFonts w:ascii="Times New Roman" w:hAnsi="Times New Roman"/>
                          <w:b/>
                          <w:sz w:val="24"/>
                        </w:rPr>
                        <w:t>отворената</w:t>
                      </w:r>
                      <w:r>
                        <w:rPr>
                          <w:rFonts w:ascii="Times New Roman" w:hAnsi="Times New Roman"/>
                          <w:sz w:val="24"/>
                        </w:rPr>
                        <w:t xml:space="preserve"> </w:t>
                      </w:r>
                      <w:r>
                        <w:rPr>
                          <w:rFonts w:ascii="Times New Roman" w:hAnsi="Times New Roman"/>
                          <w:b/>
                          <w:sz w:val="24"/>
                        </w:rPr>
                        <w:t>стратегическа автономност</w:t>
                      </w:r>
                      <w:r>
                        <w:rPr>
                          <w:rFonts w:ascii="Times New Roman" w:hAnsi="Times New Roman"/>
                          <w:sz w:val="24"/>
                        </w:rPr>
                        <w:t xml:space="preserve"> на ЕС като възможност за ЕС да гарантира сигурността на хранителните си доставки и да установи високи стандарти за устойчивост, Комисията ще насърчи следните мерки по отношение на торовете:</w:t>
                      </w:r>
                    </w:p>
                    <w:p w14:paraId="50335157" w14:textId="77777777" w:rsidR="003D650F" w:rsidRPr="002F1328" w:rsidRDefault="003D650F" w:rsidP="003D650F">
                      <w:pPr>
                        <w:numPr>
                          <w:ilvl w:val="1"/>
                          <w:numId w:val="7"/>
                        </w:numPr>
                        <w:tabs>
                          <w:tab w:val="left" w:pos="0"/>
                        </w:tabs>
                        <w:spacing w:after="120" w:line="280" w:lineRule="atLeast"/>
                        <w:ind w:left="851"/>
                        <w:jc w:val="both"/>
                        <w:rPr>
                          <w:rFonts w:ascii="Times New Roman" w:eastAsia="Calibri" w:hAnsi="Times New Roman" w:cs="Times New Roman"/>
                          <w:sz w:val="24"/>
                          <w:szCs w:val="24"/>
                        </w:rPr>
                      </w:pPr>
                      <w:r>
                        <w:rPr>
                          <w:rFonts w:ascii="Times New Roman" w:hAnsi="Times New Roman"/>
                          <w:sz w:val="24"/>
                        </w:rPr>
                        <w:t xml:space="preserve">по-добър достъп до </w:t>
                      </w:r>
                      <w:r>
                        <w:rPr>
                          <w:rFonts w:ascii="Times New Roman" w:hAnsi="Times New Roman"/>
                          <w:b/>
                          <w:sz w:val="24"/>
                        </w:rPr>
                        <w:t>органични торове</w:t>
                      </w:r>
                      <w:r>
                        <w:rPr>
                          <w:rFonts w:ascii="Times New Roman" w:hAnsi="Times New Roman"/>
                          <w:sz w:val="24"/>
                        </w:rPr>
                        <w:t xml:space="preserve"> и хранителни вещества от рециклирани отпадъчни потоци, особено в региони с ниска употреба на органични торове;</w:t>
                      </w:r>
                    </w:p>
                    <w:p w14:paraId="5BC459CF" w14:textId="77777777" w:rsidR="003D650F" w:rsidRDefault="003D650F" w:rsidP="003D650F">
                      <w:pPr>
                        <w:numPr>
                          <w:ilvl w:val="1"/>
                          <w:numId w:val="7"/>
                        </w:numPr>
                        <w:tabs>
                          <w:tab w:val="left" w:pos="0"/>
                        </w:tabs>
                        <w:spacing w:after="120" w:line="280" w:lineRule="atLeast"/>
                        <w:ind w:left="851"/>
                        <w:jc w:val="both"/>
                        <w:rPr>
                          <w:rFonts w:ascii="Times New Roman" w:eastAsia="Calibri" w:hAnsi="Times New Roman" w:cs="Times New Roman"/>
                          <w:sz w:val="24"/>
                          <w:szCs w:val="24"/>
                        </w:rPr>
                      </w:pPr>
                      <w:r>
                        <w:rPr>
                          <w:rFonts w:ascii="Times New Roman" w:hAnsi="Times New Roman"/>
                          <w:sz w:val="24"/>
                        </w:rPr>
                        <w:t xml:space="preserve">подкрепа за превръщането на европейската индустрия за азотни торове в индустрия, основана на </w:t>
                      </w:r>
                      <w:r>
                        <w:rPr>
                          <w:rFonts w:ascii="Times New Roman" w:hAnsi="Times New Roman"/>
                          <w:b/>
                          <w:bCs/>
                          <w:sz w:val="24"/>
                        </w:rPr>
                        <w:t>амоняк, произведен с използване на водород от възобновяеми и неизкопаеми източници</w:t>
                      </w:r>
                      <w:r>
                        <w:rPr>
                          <w:rFonts w:ascii="Times New Roman" w:hAnsi="Times New Roman"/>
                          <w:sz w:val="24"/>
                        </w:rPr>
                        <w:t>;</w:t>
                      </w:r>
                    </w:p>
                    <w:p w14:paraId="16B646EC" w14:textId="77777777" w:rsidR="003D650F" w:rsidRPr="00AE3FC2" w:rsidRDefault="003D650F" w:rsidP="003D650F">
                      <w:pPr>
                        <w:numPr>
                          <w:ilvl w:val="1"/>
                          <w:numId w:val="7"/>
                        </w:numPr>
                        <w:tabs>
                          <w:tab w:val="left" w:pos="0"/>
                        </w:tabs>
                        <w:spacing w:after="120" w:line="280" w:lineRule="atLeast"/>
                        <w:ind w:left="851"/>
                        <w:jc w:val="both"/>
                        <w:rPr>
                          <w:rFonts w:ascii="Times New Roman" w:eastAsia="Calibri" w:hAnsi="Times New Roman" w:cs="Times New Roman"/>
                          <w:sz w:val="24"/>
                          <w:szCs w:val="24"/>
                        </w:rPr>
                      </w:pPr>
                      <w:r>
                        <w:rPr>
                          <w:rFonts w:ascii="Times New Roman" w:hAnsi="Times New Roman"/>
                          <w:sz w:val="24"/>
                        </w:rPr>
                        <w:t xml:space="preserve">гарантиране наличието на стабилна и работеща регулаторна среда, регламентираща производството на </w:t>
                      </w:r>
                      <w:r>
                        <w:rPr>
                          <w:rFonts w:ascii="Times New Roman" w:hAnsi="Times New Roman"/>
                          <w:b/>
                          <w:bCs/>
                          <w:sz w:val="24"/>
                        </w:rPr>
                        <w:t>водород от възобновяеми източници и нисковъглероден водород</w:t>
                      </w:r>
                      <w:r>
                        <w:rPr>
                          <w:rFonts w:ascii="Times New Roman" w:hAnsi="Times New Roman"/>
                          <w:sz w:val="24"/>
                        </w:rPr>
                        <w:t>, като по този начин се гарантира бързото развитие на пазар за торове, произведени на основата на въглерод от възобновяеми източници и нисковъглероден водород;</w:t>
                      </w:r>
                    </w:p>
                    <w:p w14:paraId="69CB94B6" w14:textId="77777777" w:rsidR="003D650F" w:rsidRDefault="003D650F" w:rsidP="003D650F">
                      <w:pPr>
                        <w:numPr>
                          <w:ilvl w:val="1"/>
                          <w:numId w:val="7"/>
                        </w:numPr>
                        <w:tabs>
                          <w:tab w:val="left" w:pos="0"/>
                        </w:tabs>
                        <w:spacing w:after="240" w:line="280" w:lineRule="atLeast"/>
                        <w:ind w:left="851"/>
                        <w:contextualSpacing/>
                        <w:jc w:val="both"/>
                        <w:rPr>
                          <w:rFonts w:ascii="Times New Roman" w:eastAsia="Calibri" w:hAnsi="Times New Roman" w:cs="Times New Roman"/>
                          <w:sz w:val="24"/>
                          <w:szCs w:val="24"/>
                        </w:rPr>
                      </w:pPr>
                      <w:r>
                        <w:rPr>
                          <w:rFonts w:ascii="Times New Roman" w:hAnsi="Times New Roman"/>
                          <w:sz w:val="24"/>
                        </w:rPr>
                        <w:t xml:space="preserve">подкрепа за </w:t>
                      </w:r>
                      <w:r>
                        <w:rPr>
                          <w:rFonts w:ascii="Times New Roman" w:hAnsi="Times New Roman"/>
                          <w:b/>
                          <w:sz w:val="24"/>
                        </w:rPr>
                        <w:t>диверсификация на вноса</w:t>
                      </w:r>
                      <w:r>
                        <w:rPr>
                          <w:rFonts w:ascii="Times New Roman" w:hAnsi="Times New Roman"/>
                          <w:sz w:val="24"/>
                        </w:rPr>
                        <w:t>, за да се намали зависимостта от Русия;</w:t>
                      </w:r>
                    </w:p>
                    <w:p w14:paraId="4215072C" w14:textId="77777777" w:rsidR="003D650F" w:rsidRDefault="003D650F" w:rsidP="003D650F">
                      <w:pPr>
                        <w:tabs>
                          <w:tab w:val="left" w:pos="0"/>
                        </w:tabs>
                        <w:spacing w:after="240" w:line="280" w:lineRule="atLeast"/>
                        <w:ind w:left="851"/>
                        <w:contextualSpacing/>
                        <w:jc w:val="both"/>
                        <w:rPr>
                          <w:rFonts w:ascii="Times New Roman" w:eastAsia="Calibri" w:hAnsi="Times New Roman" w:cs="Times New Roman"/>
                          <w:sz w:val="24"/>
                          <w:szCs w:val="24"/>
                          <w:lang w:eastAsia="en-GB"/>
                        </w:rPr>
                      </w:pPr>
                    </w:p>
                    <w:p w14:paraId="3BC102E5" w14:textId="77777777" w:rsidR="003D650F" w:rsidRPr="002F1328" w:rsidRDefault="003D650F" w:rsidP="003D650F">
                      <w:pPr>
                        <w:numPr>
                          <w:ilvl w:val="1"/>
                          <w:numId w:val="7"/>
                        </w:numPr>
                        <w:tabs>
                          <w:tab w:val="left" w:pos="0"/>
                        </w:tabs>
                        <w:spacing w:after="240" w:line="280" w:lineRule="atLeast"/>
                        <w:ind w:left="851"/>
                        <w:contextualSpacing/>
                        <w:jc w:val="both"/>
                        <w:rPr>
                          <w:rFonts w:ascii="Times New Roman" w:eastAsia="Calibri" w:hAnsi="Times New Roman" w:cs="Times New Roman"/>
                          <w:sz w:val="24"/>
                          <w:szCs w:val="24"/>
                        </w:rPr>
                      </w:pPr>
                      <w:r>
                        <w:rPr>
                          <w:rFonts w:ascii="Times New Roman" w:hAnsi="Times New Roman"/>
                          <w:sz w:val="24"/>
                        </w:rPr>
                        <w:t xml:space="preserve">поставяне на началото през 2023 г. на ново предизвикателство на </w:t>
                      </w:r>
                      <w:r>
                        <w:rPr>
                          <w:rFonts w:ascii="Times New Roman" w:hAnsi="Times New Roman"/>
                          <w:b/>
                          <w:sz w:val="24"/>
                        </w:rPr>
                        <w:t>Европейския съвет по иновациите</w:t>
                      </w:r>
                      <w:r>
                        <w:rPr>
                          <w:rFonts w:ascii="Times New Roman" w:hAnsi="Times New Roman"/>
                          <w:sz w:val="24"/>
                        </w:rPr>
                        <w:t xml:space="preserve"> в областта на устойчивото селско стопанство. </w:t>
                      </w:r>
                    </w:p>
                    <w:p w14:paraId="7698D1D9" w14:textId="77777777" w:rsidR="003D650F" w:rsidRPr="002F1328" w:rsidRDefault="003D650F" w:rsidP="003D650F">
                      <w:pPr>
                        <w:tabs>
                          <w:tab w:val="left" w:pos="0"/>
                        </w:tabs>
                        <w:spacing w:after="240" w:line="280" w:lineRule="atLeast"/>
                        <w:ind w:left="567"/>
                        <w:contextualSpacing/>
                        <w:jc w:val="both"/>
                        <w:rPr>
                          <w:rFonts w:ascii="Times New Roman" w:eastAsia="Calibri" w:hAnsi="Times New Roman" w:cs="Times New Roman"/>
                          <w:sz w:val="24"/>
                          <w:szCs w:val="24"/>
                          <w:lang w:eastAsia="en-GB"/>
                        </w:rPr>
                      </w:pPr>
                    </w:p>
                    <w:p w14:paraId="5FB756AF" w14:textId="77777777" w:rsidR="003D650F" w:rsidRPr="002F1328" w:rsidRDefault="003D650F" w:rsidP="003D650F">
                      <w:pPr>
                        <w:numPr>
                          <w:ilvl w:val="0"/>
                          <w:numId w:val="7"/>
                        </w:numPr>
                        <w:tabs>
                          <w:tab w:val="left" w:pos="0"/>
                        </w:tabs>
                        <w:spacing w:after="120" w:line="280" w:lineRule="atLeast"/>
                        <w:ind w:left="567"/>
                        <w:jc w:val="both"/>
                        <w:rPr>
                          <w:rFonts w:ascii="Times New Roman" w:eastAsia="Calibri" w:hAnsi="Times New Roman" w:cs="Times New Roman"/>
                          <w:sz w:val="24"/>
                          <w:szCs w:val="24"/>
                        </w:rPr>
                      </w:pPr>
                      <w:r>
                        <w:rPr>
                          <w:rFonts w:ascii="Times New Roman" w:hAnsi="Times New Roman"/>
                          <w:sz w:val="24"/>
                        </w:rPr>
                        <w:t xml:space="preserve">През първото тримесечие на 2023 г. Комисията ще приеме </w:t>
                      </w:r>
                      <w:r>
                        <w:rPr>
                          <w:rFonts w:ascii="Times New Roman" w:hAnsi="Times New Roman"/>
                          <w:b/>
                          <w:sz w:val="24"/>
                        </w:rPr>
                        <w:t>план за действие за интегрирано управление на хранителните вещества</w:t>
                      </w:r>
                      <w:r>
                        <w:rPr>
                          <w:rFonts w:ascii="Times New Roman" w:hAnsi="Times New Roman"/>
                          <w:sz w:val="24"/>
                        </w:rPr>
                        <w:t>, който ще има за цел предприемането на действия на равнището на ЕС и на национално равнище за насърчаване на по-ефективно използване на хранителните вещества, с отчитане на изходната ситуация във всяка една държава членка и амбиция за нулево замърсяване.</w:t>
                      </w:r>
                    </w:p>
                  </w:txbxContent>
                </v:textbox>
                <w10:wrap type="square" anchorx="margin" anchory="page"/>
              </v:shape>
            </w:pict>
          </mc:Fallback>
        </mc:AlternateContent>
      </w:r>
    </w:p>
    <w:p w14:paraId="03F37642" w14:textId="18A2B8B5" w:rsidR="002F1328" w:rsidRDefault="00AE3FC2" w:rsidP="007679B3">
      <w:pPr>
        <w:ind w:left="426" w:right="-596"/>
        <w:rPr>
          <w:rFonts w:ascii="Times New Roman" w:hAnsi="Times New Roman" w:cs="Times New Roman"/>
          <w:noProof/>
          <w:sz w:val="24"/>
          <w:szCs w:val="24"/>
        </w:rPr>
      </w:pPr>
      <w:r>
        <w:rPr>
          <w:noProof/>
          <w:lang w:val="en-GB" w:eastAsia="en-GB"/>
        </w:rPr>
        <mc:AlternateContent>
          <mc:Choice Requires="wps">
            <w:drawing>
              <wp:inline distT="45720" distB="45720" distL="114300" distR="114300" wp14:anchorId="137D8C4D" wp14:editId="005058E2">
                <wp:extent cx="5397288" cy="8582025"/>
                <wp:effectExtent l="0" t="0" r="13335" b="28575"/>
                <wp:docPr id="12995689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288" cy="8582025"/>
                        </a:xfrm>
                        <a:prstGeom prst="rect">
                          <a:avLst/>
                        </a:prstGeom>
                        <a:solidFill>
                          <a:srgbClr val="FFFFFF"/>
                        </a:solidFill>
                        <a:ln w="9525">
                          <a:solidFill>
                            <a:srgbClr val="000000"/>
                          </a:solidFill>
                          <a:miter lim="800000"/>
                          <a:headEnd/>
                          <a:tailEnd/>
                        </a:ln>
                      </wps:spPr>
                      <wps:txbx>
                        <w:txbxContent>
                          <w:p w14:paraId="2DA1997D" w14:textId="77777777" w:rsidR="00AE3FC2" w:rsidRPr="007D378B" w:rsidRDefault="00AE3FC2" w:rsidP="00D34C88">
                            <w:pPr>
                              <w:spacing w:after="120" w:line="240" w:lineRule="auto"/>
                              <w:rPr>
                                <w:rFonts w:ascii="Times New Roman" w:eastAsia="Calibri" w:hAnsi="Times New Roman" w:cs="Times New Roman"/>
                                <w:sz w:val="24"/>
                                <w:szCs w:val="24"/>
                              </w:rPr>
                            </w:pPr>
                            <w:r>
                              <w:rPr>
                                <w:rFonts w:ascii="Times New Roman" w:hAnsi="Times New Roman"/>
                                <w:b/>
                                <w:sz w:val="24"/>
                              </w:rPr>
                              <w:t>В международен план</w:t>
                            </w:r>
                            <w:r>
                              <w:rPr>
                                <w:rFonts w:ascii="Times New Roman" w:hAnsi="Times New Roman"/>
                                <w:sz w:val="24"/>
                              </w:rPr>
                              <w:t xml:space="preserve"> Комисията:</w:t>
                            </w:r>
                          </w:p>
                          <w:p w14:paraId="2B8A1798" w14:textId="77777777" w:rsidR="00AE3FC2" w:rsidRDefault="00AE3FC2" w:rsidP="00D34C88">
                            <w:pPr>
                              <w:pStyle w:val="ListParagraph"/>
                              <w:numPr>
                                <w:ilvl w:val="0"/>
                                <w:numId w:val="7"/>
                              </w:numPr>
                              <w:spacing w:after="60" w:line="260" w:lineRule="atLeast"/>
                              <w:ind w:left="567" w:hanging="357"/>
                              <w:contextualSpacing w:val="0"/>
                            </w:pPr>
                            <w:r>
                              <w:t xml:space="preserve">ще продължи да работи заедно с държавите членки и с европейските финансови институции в рамките на подхода „Екип Европа“ за принос по четирите направления на </w:t>
                            </w:r>
                            <w:r>
                              <w:rPr>
                                <w:b/>
                                <w:color w:val="000000" w:themeColor="text1"/>
                              </w:rPr>
                              <w:t>ответните мерки по отношение на световната продоволствена несигурност</w:t>
                            </w:r>
                            <w:r>
                              <w:rPr>
                                <w:b/>
                              </w:rPr>
                              <w:t xml:space="preserve"> (солидарност, производство, търговия и многостранно сътрудничество)</w:t>
                            </w:r>
                            <w:r>
                              <w:t>;</w:t>
                            </w:r>
                          </w:p>
                          <w:p w14:paraId="6BB7EB1F" w14:textId="77777777" w:rsidR="00AE3FC2" w:rsidRDefault="00AE3FC2" w:rsidP="00D34C88">
                            <w:pPr>
                              <w:pStyle w:val="ListParagraph"/>
                              <w:numPr>
                                <w:ilvl w:val="0"/>
                                <w:numId w:val="7"/>
                              </w:numPr>
                              <w:spacing w:after="60" w:line="260" w:lineRule="atLeast"/>
                              <w:ind w:left="567" w:hanging="357"/>
                              <w:contextualSpacing w:val="0"/>
                            </w:pPr>
                            <w:r>
                              <w:t>ще продължи да работи заедно с държавите членки, Украйна, Молдова и съответните заинтересовани страни за увеличаване на капацитета на коридорите за солидарност между ЕС и Украйна;</w:t>
                            </w:r>
                          </w:p>
                          <w:p w14:paraId="09C3FA5A" w14:textId="77777777" w:rsidR="00AE3FC2" w:rsidRDefault="00AE3FC2" w:rsidP="00D34C88">
                            <w:pPr>
                              <w:pStyle w:val="ListParagraph"/>
                              <w:numPr>
                                <w:ilvl w:val="0"/>
                                <w:numId w:val="7"/>
                              </w:numPr>
                              <w:spacing w:after="60" w:line="260" w:lineRule="atLeast"/>
                              <w:ind w:left="567" w:hanging="357"/>
                              <w:contextualSpacing w:val="0"/>
                            </w:pPr>
                            <w:r>
                              <w:rPr>
                                <w:b/>
                              </w:rPr>
                              <w:t>ще си сътрудничи с избрани държави партньори на ЕС</w:t>
                            </w:r>
                            <w:r>
                              <w:t>, включително чрез Глобалното предизвикателство за торовете, за намаляване на тяхната зависимост от вносните минерални торове и на съответното тяхно потребление</w:t>
                            </w:r>
                            <w:r>
                              <w:rPr>
                                <w:b/>
                              </w:rPr>
                              <w:t xml:space="preserve"> </w:t>
                            </w:r>
                            <w:r>
                              <w:t xml:space="preserve">посредством </w:t>
                            </w:r>
                            <w:r>
                              <w:rPr>
                                <w:b/>
                              </w:rPr>
                              <w:t>използването на ефективни и устойчиви земеделски практики</w:t>
                            </w:r>
                            <w:r>
                              <w:t xml:space="preserve"> и на алтернативи, основани на устойчиво управление на почвеното плодородие;</w:t>
                            </w:r>
                          </w:p>
                          <w:p w14:paraId="3E680C5D" w14:textId="4C7AFC6A" w:rsidR="00AE3FC2" w:rsidRDefault="00AE3FC2" w:rsidP="00D34C88">
                            <w:pPr>
                              <w:pStyle w:val="ListParagraph"/>
                              <w:numPr>
                                <w:ilvl w:val="0"/>
                                <w:numId w:val="7"/>
                              </w:numPr>
                              <w:spacing w:after="60" w:line="260" w:lineRule="atLeast"/>
                              <w:ind w:left="567" w:hanging="357"/>
                              <w:contextualSpacing w:val="0"/>
                            </w:pPr>
                            <w:r>
                              <w:t>ще подобрява прозрачността на световния пазар на торове чрез принос към съответните международни инициативи, свързани с торовете, по</w:t>
                            </w:r>
                            <w:r w:rsidR="00163995">
                              <w:noBreakHyphen/>
                            </w:r>
                            <w:r>
                              <w:t xml:space="preserve">специално </w:t>
                            </w:r>
                            <w:r>
                              <w:rPr>
                                <w:b/>
                              </w:rPr>
                              <w:t>системата за информация относно селскостопанските пазари (AMIS)</w:t>
                            </w:r>
                            <w:r>
                              <w:t xml:space="preserve"> на Г-20;</w:t>
                            </w:r>
                          </w:p>
                          <w:p w14:paraId="38AF1212" w14:textId="77777777" w:rsidR="00AE3FC2" w:rsidRPr="00BC7C26" w:rsidRDefault="00AE3FC2" w:rsidP="00D34C88">
                            <w:pPr>
                              <w:pStyle w:val="ListParagraph"/>
                              <w:numPr>
                                <w:ilvl w:val="0"/>
                                <w:numId w:val="7"/>
                              </w:numPr>
                              <w:spacing w:after="60" w:line="260" w:lineRule="atLeast"/>
                              <w:ind w:left="567" w:hanging="357"/>
                              <w:contextualSpacing w:val="0"/>
                            </w:pPr>
                            <w:r>
                              <w:t>ще продължи да работи заедно с агенциите на ООН и международните финансови институции, за</w:t>
                            </w:r>
                            <w:r>
                              <w:rPr>
                                <w:b/>
                              </w:rPr>
                              <w:t xml:space="preserve"> </w:t>
                            </w:r>
                            <w:r>
                              <w:t xml:space="preserve">намиране на решение в рамките на </w:t>
                            </w:r>
                            <w:r>
                              <w:rPr>
                                <w:b/>
                              </w:rPr>
                              <w:t>двустранни и многостранни форуми</w:t>
                            </w:r>
                            <w:r>
                              <w:t xml:space="preserve"> на проблемите, свързани с наличието и финансовата достъпност на торовете, и за улесняване вземането на устойчиви многостранни решения;</w:t>
                            </w:r>
                          </w:p>
                          <w:p w14:paraId="2F54FE8D" w14:textId="268116DF" w:rsidR="00AE3FC2" w:rsidRDefault="00AE3FC2" w:rsidP="00D34C88">
                            <w:pPr>
                              <w:pStyle w:val="ListParagraph"/>
                              <w:numPr>
                                <w:ilvl w:val="0"/>
                                <w:numId w:val="7"/>
                              </w:numPr>
                              <w:spacing w:after="60" w:line="260" w:lineRule="atLeast"/>
                              <w:ind w:left="567" w:hanging="357"/>
                              <w:contextualSpacing w:val="0"/>
                            </w:pPr>
                            <w:r>
                              <w:t xml:space="preserve">ще увеличи подкрепата за </w:t>
                            </w:r>
                            <w:r>
                              <w:rPr>
                                <w:b/>
                              </w:rPr>
                              <w:t>удовлетворяване на нуждите на платежния баланс</w:t>
                            </w:r>
                            <w:r>
                              <w:t xml:space="preserve">, включително чрез доверителния фонд на МВФ за намаляване на бедността и подпомагане на растежа, и ще засили сътрудничеството с независими финансови институции в рамките на стратегията Global Gateway за разработване на иновативни и устойчиви инвестиции; </w:t>
                            </w:r>
                          </w:p>
                          <w:p w14:paraId="6AB64209" w14:textId="49621140" w:rsidR="00AE3FC2" w:rsidRDefault="00AE3FC2" w:rsidP="00D34C88">
                            <w:pPr>
                              <w:pStyle w:val="ListParagraph"/>
                              <w:numPr>
                                <w:ilvl w:val="0"/>
                                <w:numId w:val="7"/>
                              </w:numPr>
                              <w:spacing w:after="60" w:line="260" w:lineRule="atLeast"/>
                              <w:ind w:left="567" w:hanging="357"/>
                              <w:contextualSpacing w:val="0"/>
                            </w:pPr>
                            <w:r>
                              <w:t xml:space="preserve">ще даде начало на дискусии за подобряване на прозрачността, включително </w:t>
                            </w:r>
                            <w:r>
                              <w:rPr>
                                <w:b/>
                                <w:bCs/>
                              </w:rPr>
                              <w:t>избягване на ограниченията за износ при търговията с торове</w:t>
                            </w:r>
                            <w:r>
                              <w:t xml:space="preserve"> в рамките на </w:t>
                            </w:r>
                            <w:r>
                              <w:rPr>
                                <w:b/>
                                <w:bCs/>
                              </w:rPr>
                              <w:t>СТО</w:t>
                            </w:r>
                            <w:r>
                              <w:t>, с оглед изпълнение на ангажиментите, поети в рамките на декларацията относно продоволствената несигурност, договорена на последната министерска конференция;</w:t>
                            </w:r>
                          </w:p>
                          <w:p w14:paraId="6D1032CD" w14:textId="77777777" w:rsidR="00AE3FC2" w:rsidRPr="00806379" w:rsidRDefault="00AE3FC2" w:rsidP="00D34C88">
                            <w:pPr>
                              <w:pStyle w:val="ListParagraph"/>
                              <w:numPr>
                                <w:ilvl w:val="0"/>
                                <w:numId w:val="7"/>
                              </w:numPr>
                              <w:spacing w:after="60" w:line="260" w:lineRule="atLeast"/>
                              <w:ind w:left="567" w:hanging="357"/>
                              <w:contextualSpacing w:val="0"/>
                            </w:pPr>
                            <w:r>
                              <w:t xml:space="preserve">ще продължи да работи заедно с държавите членки за гарантиране на гладкото протичане на </w:t>
                            </w:r>
                            <w:r>
                              <w:rPr>
                                <w:b/>
                              </w:rPr>
                              <w:t>световната търговия с агрохранителни продукти, включително с торове</w:t>
                            </w:r>
                            <w:r>
                              <w:t>;</w:t>
                            </w:r>
                          </w:p>
                          <w:p w14:paraId="2179D304" w14:textId="77777777" w:rsidR="00AE3FC2" w:rsidRDefault="00AE3FC2" w:rsidP="00D34C88">
                            <w:pPr>
                              <w:pStyle w:val="ListParagraph"/>
                              <w:numPr>
                                <w:ilvl w:val="0"/>
                                <w:numId w:val="7"/>
                              </w:numPr>
                              <w:spacing w:after="60" w:line="260" w:lineRule="atLeast"/>
                              <w:ind w:left="567" w:hanging="357"/>
                              <w:contextualSpacing w:val="0"/>
                            </w:pPr>
                            <w:r>
                              <w:rPr>
                                <w:b/>
                              </w:rPr>
                              <w:t>ще активизира работата си по отношение на съвместната комуникация и дипломатическите контакти</w:t>
                            </w:r>
                            <w:r>
                              <w:t>, за да подчертае и консолидира ответните мерки</w:t>
                            </w:r>
                            <w:r>
                              <w:rPr>
                                <w:b/>
                              </w:rPr>
                              <w:t xml:space="preserve"> </w:t>
                            </w:r>
                            <w:r>
                              <w:t xml:space="preserve">на „Екип Европа“ по отношение на продоволствената несигурност и за да се противопостави на руската дезинформация. ЕС ще продължи да следи и да противодейства на манипулирането на информация от страна на Русия, включително чрез публичните канали на ЕС, като например EUvsDisinfo, като същевременно ще продължи да работи с партньори съмишленици, по-специално в рамките на Г-7 и НАТО. </w:t>
                            </w:r>
                          </w:p>
                        </w:txbxContent>
                      </wps:txbx>
                      <wps:bodyPr rot="0" vert="horz" wrap="square" lIns="91440" tIns="45720" rIns="91440" bIns="45720" anchor="t" anchorCtr="0">
                        <a:noAutofit/>
                      </wps:bodyPr>
                    </wps:wsp>
                  </a:graphicData>
                </a:graphic>
              </wp:inline>
            </w:drawing>
          </mc:Choice>
          <mc:Fallback>
            <w:pict>
              <v:shape w14:anchorId="137D8C4D" id="Text Box 2" o:spid="_x0000_s1028" type="#_x0000_t202" style="width:425pt;height:67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">
                <v:textbox>
                  <w:txbxContent>
                    <w:p w14:paraId="2DA1997D" w14:textId="77777777" w:rsidR="00AE3FC2" w:rsidRPr="007D378B" w:rsidRDefault="00AE3FC2" w:rsidP="00D34C88">
                      <w:pPr>
                        <w:spacing w:after="120" w:line="240" w:lineRule="auto"/>
                        <w:rPr>
                          <w:rFonts w:ascii="Times New Roman" w:eastAsia="Calibri" w:hAnsi="Times New Roman" w:cs="Times New Roman"/>
                          <w:sz w:val="24"/>
                          <w:szCs w:val="24"/>
                        </w:rPr>
                      </w:pPr>
                      <w:r>
                        <w:rPr>
                          <w:rFonts w:ascii="Times New Roman" w:hAnsi="Times New Roman"/>
                          <w:b/>
                          <w:sz w:val="24"/>
                        </w:rPr>
                        <w:t>В международен план</w:t>
                      </w:r>
                      <w:r>
                        <w:rPr>
                          <w:rFonts w:ascii="Times New Roman" w:hAnsi="Times New Roman"/>
                          <w:sz w:val="24"/>
                        </w:rPr>
                        <w:t xml:space="preserve"> Комисията:</w:t>
                      </w:r>
                    </w:p>
                    <w:p w14:paraId="2B8A1798" w14:textId="77777777" w:rsidR="00AE3FC2" w:rsidRDefault="00AE3FC2" w:rsidP="00D34C88">
                      <w:pPr>
                        <w:pStyle w:val="ListParagraph"/>
                        <w:numPr>
                          <w:ilvl w:val="0"/>
                          <w:numId w:val="7"/>
                        </w:numPr>
                        <w:spacing w:after="60" w:line="260" w:lineRule="atLeast"/>
                        <w:ind w:left="567" w:hanging="357"/>
                        <w:contextualSpacing w:val="0"/>
                      </w:pPr>
                      <w:r>
                        <w:t xml:space="preserve">ще продължи да работи заедно с държавите членки и с европейските финансови институции в рамките на подхода „Екип Европа“ за принос по четирите направления на </w:t>
                      </w:r>
                      <w:r>
                        <w:rPr>
                          <w:b/>
                          <w:color w:val="000000" w:themeColor="text1"/>
                        </w:rPr>
                        <w:t>ответните мерки по отношение на световната продоволствена несигурност</w:t>
                      </w:r>
                      <w:r>
                        <w:rPr>
                          <w:b/>
                        </w:rPr>
                        <w:t xml:space="preserve"> (солидарност, производство, търговия и многостранно сътрудничество)</w:t>
                      </w:r>
                      <w:r>
                        <w:t>;</w:t>
                      </w:r>
                    </w:p>
                    <w:p w14:paraId="6BB7EB1F" w14:textId="77777777" w:rsidR="00AE3FC2" w:rsidRDefault="00AE3FC2" w:rsidP="00D34C88">
                      <w:pPr>
                        <w:pStyle w:val="ListParagraph"/>
                        <w:numPr>
                          <w:ilvl w:val="0"/>
                          <w:numId w:val="7"/>
                        </w:numPr>
                        <w:spacing w:after="60" w:line="260" w:lineRule="atLeast"/>
                        <w:ind w:left="567" w:hanging="357"/>
                        <w:contextualSpacing w:val="0"/>
                      </w:pPr>
                      <w:r>
                        <w:t>ще продължи да работи заедно с държавите членки, Украйна, Молдова и съответните заинтересовани страни за увеличаване на капацитета на коридорите за солидарност между ЕС и Украйна;</w:t>
                      </w:r>
                    </w:p>
                    <w:p w14:paraId="09C3FA5A" w14:textId="77777777" w:rsidR="00AE3FC2" w:rsidRDefault="00AE3FC2" w:rsidP="00D34C88">
                      <w:pPr>
                        <w:pStyle w:val="ListParagraph"/>
                        <w:numPr>
                          <w:ilvl w:val="0"/>
                          <w:numId w:val="7"/>
                        </w:numPr>
                        <w:spacing w:after="60" w:line="260" w:lineRule="atLeast"/>
                        <w:ind w:left="567" w:hanging="357"/>
                        <w:contextualSpacing w:val="0"/>
                      </w:pPr>
                      <w:r>
                        <w:rPr>
                          <w:b/>
                        </w:rPr>
                        <w:t>ще си сътрудничи с избрани държави партньори на ЕС</w:t>
                      </w:r>
                      <w:r>
                        <w:t>, включително чрез Глобалното предизвикателство за торовете, за намаляване на тяхната зависимост от вносните минерални торове и на съответното тяхно потребление</w:t>
                      </w:r>
                      <w:r>
                        <w:rPr>
                          <w:b/>
                        </w:rPr>
                        <w:t xml:space="preserve"> </w:t>
                      </w:r>
                      <w:r>
                        <w:t xml:space="preserve">посредством </w:t>
                      </w:r>
                      <w:r>
                        <w:rPr>
                          <w:b/>
                        </w:rPr>
                        <w:t>използването на ефективни и устойчиви земеделски практики</w:t>
                      </w:r>
                      <w:r>
                        <w:t xml:space="preserve"> и на алтернативи, основани на устойчиво управление на почвеното плодородие;</w:t>
                      </w:r>
                    </w:p>
                    <w:p w14:paraId="3E680C5D" w14:textId="4C7AFC6A" w:rsidR="00AE3FC2" w:rsidRDefault="00AE3FC2" w:rsidP="00D34C88">
                      <w:pPr>
                        <w:pStyle w:val="ListParagraph"/>
                        <w:numPr>
                          <w:ilvl w:val="0"/>
                          <w:numId w:val="7"/>
                        </w:numPr>
                        <w:spacing w:after="60" w:line="260" w:lineRule="atLeast"/>
                        <w:ind w:left="567" w:hanging="357"/>
                        <w:contextualSpacing w:val="0"/>
                      </w:pPr>
                      <w:r>
                        <w:t>ще подобрява прозрачността на световния пазар на торове чрез принос към съответните международни инициативи, свързани с торовете, по</w:t>
                      </w:r>
                      <w:r w:rsidR="00163995">
                        <w:noBreakHyphen/>
                      </w:r>
                      <w:r>
                        <w:t xml:space="preserve">специално </w:t>
                      </w:r>
                      <w:r>
                        <w:rPr>
                          <w:b/>
                        </w:rPr>
                        <w:t>системата за информация относно селскостопанските пазари (AMIS)</w:t>
                      </w:r>
                      <w:r>
                        <w:t xml:space="preserve"> на Г-20;</w:t>
                      </w:r>
                    </w:p>
                    <w:p w14:paraId="38AF1212" w14:textId="77777777" w:rsidR="00AE3FC2" w:rsidRPr="00BC7C26" w:rsidRDefault="00AE3FC2" w:rsidP="00D34C88">
                      <w:pPr>
                        <w:pStyle w:val="ListParagraph"/>
                        <w:numPr>
                          <w:ilvl w:val="0"/>
                          <w:numId w:val="7"/>
                        </w:numPr>
                        <w:spacing w:after="60" w:line="260" w:lineRule="atLeast"/>
                        <w:ind w:left="567" w:hanging="357"/>
                        <w:contextualSpacing w:val="0"/>
                      </w:pPr>
                      <w:r>
                        <w:t>ще продължи да работи заедно с агенциите на ООН и международните финансови институции, за</w:t>
                      </w:r>
                      <w:r>
                        <w:rPr>
                          <w:b/>
                        </w:rPr>
                        <w:t xml:space="preserve"> </w:t>
                      </w:r>
                      <w:r>
                        <w:t xml:space="preserve">намиране на решение в рамките на </w:t>
                      </w:r>
                      <w:r>
                        <w:rPr>
                          <w:b/>
                        </w:rPr>
                        <w:t>двустранни и многостранни форуми</w:t>
                      </w:r>
                      <w:r>
                        <w:t xml:space="preserve"> на проблемите, свързани с наличието и финансовата достъпност на торовете, и за улесняване вземането на устойчиви многостранни решения;</w:t>
                      </w:r>
                    </w:p>
                    <w:p w14:paraId="2F54FE8D" w14:textId="268116DF" w:rsidR="00AE3FC2" w:rsidRDefault="00AE3FC2" w:rsidP="00D34C88">
                      <w:pPr>
                        <w:pStyle w:val="ListParagraph"/>
                        <w:numPr>
                          <w:ilvl w:val="0"/>
                          <w:numId w:val="7"/>
                        </w:numPr>
                        <w:spacing w:after="60" w:line="260" w:lineRule="atLeast"/>
                        <w:ind w:left="567" w:hanging="357"/>
                        <w:contextualSpacing w:val="0"/>
                      </w:pPr>
                      <w:r>
                        <w:t xml:space="preserve">ще увеличи подкрепата за </w:t>
                      </w:r>
                      <w:r>
                        <w:rPr>
                          <w:b/>
                        </w:rPr>
                        <w:t>удовлетворяване на нуждите на платежния баланс</w:t>
                      </w:r>
                      <w:r>
                        <w:t xml:space="preserve">, включително чрез доверителния фонд на МВФ за намаляване на бедността и подпомагане на растежа, и ще засили сътрудничеството с независими финансови институции в рамките на стратегията Global Gateway за разработване на иновативни и устойчиви инвестиции; </w:t>
                      </w:r>
                    </w:p>
                    <w:p w14:paraId="6AB64209" w14:textId="49621140" w:rsidR="00AE3FC2" w:rsidRDefault="00AE3FC2" w:rsidP="00D34C88">
                      <w:pPr>
                        <w:pStyle w:val="ListParagraph"/>
                        <w:numPr>
                          <w:ilvl w:val="0"/>
                          <w:numId w:val="7"/>
                        </w:numPr>
                        <w:spacing w:after="60" w:line="260" w:lineRule="atLeast"/>
                        <w:ind w:left="567" w:hanging="357"/>
                        <w:contextualSpacing w:val="0"/>
                      </w:pPr>
                      <w:r>
                        <w:t xml:space="preserve">ще даде начало на дискусии за подобряване на прозрачността, включително </w:t>
                      </w:r>
                      <w:r>
                        <w:rPr>
                          <w:b/>
                          <w:bCs/>
                        </w:rPr>
                        <w:t>избягване на ограниченията за износ при търговията с торове</w:t>
                      </w:r>
                      <w:r>
                        <w:t xml:space="preserve"> в рамките на </w:t>
                      </w:r>
                      <w:r>
                        <w:rPr>
                          <w:b/>
                          <w:bCs/>
                        </w:rPr>
                        <w:t>СТО</w:t>
                      </w:r>
                      <w:r>
                        <w:t>, с оглед изпълнение на ангажиментите, поети в рамките на декларацията относно продоволствената несигурност, договорена на последната министерска конференция;</w:t>
                      </w:r>
                    </w:p>
                    <w:p w14:paraId="6D1032CD" w14:textId="77777777" w:rsidR="00AE3FC2" w:rsidRPr="00806379" w:rsidRDefault="00AE3FC2" w:rsidP="00D34C88">
                      <w:pPr>
                        <w:pStyle w:val="ListParagraph"/>
                        <w:numPr>
                          <w:ilvl w:val="0"/>
                          <w:numId w:val="7"/>
                        </w:numPr>
                        <w:spacing w:after="60" w:line="260" w:lineRule="atLeast"/>
                        <w:ind w:left="567" w:hanging="357"/>
                        <w:contextualSpacing w:val="0"/>
                      </w:pPr>
                      <w:r>
                        <w:t xml:space="preserve">ще продължи да работи заедно с държавите членки за гарантиране на гладкото протичане на </w:t>
                      </w:r>
                      <w:r>
                        <w:rPr>
                          <w:b/>
                        </w:rPr>
                        <w:t>световната търговия с агрохранителни продукти, включително с торове</w:t>
                      </w:r>
                      <w:r>
                        <w:t>;</w:t>
                      </w:r>
                    </w:p>
                    <w:p w14:paraId="2179D304" w14:textId="77777777" w:rsidR="00AE3FC2" w:rsidRDefault="00AE3FC2" w:rsidP="00D34C88">
                      <w:pPr>
                        <w:pStyle w:val="ListParagraph"/>
                        <w:numPr>
                          <w:ilvl w:val="0"/>
                          <w:numId w:val="7"/>
                        </w:numPr>
                        <w:spacing w:after="60" w:line="260" w:lineRule="atLeast"/>
                        <w:ind w:left="567" w:hanging="357"/>
                        <w:contextualSpacing w:val="0"/>
                      </w:pPr>
                      <w:r>
                        <w:rPr>
                          <w:b/>
                        </w:rPr>
                        <w:t>ще активизира работата си по отношение на съвместната комуникация и дипломатическите контакти</w:t>
                      </w:r>
                      <w:r>
                        <w:t>, за да подчертае и консолидира ответните мерки</w:t>
                      </w:r>
                      <w:r>
                        <w:rPr>
                          <w:b/>
                        </w:rPr>
                        <w:t xml:space="preserve"> </w:t>
                      </w:r>
                      <w:r>
                        <w:t xml:space="preserve">на „Екип Европа“ по отношение на продоволствената несигурност и за да се противопостави на руската дезинформация. ЕС ще продължи да следи и да противодейства на манипулирането на информация от страна на Русия, включително чрез публичните канали на ЕС, като например EUvsDisinfo, като същевременно ще продължи да работи с партньори съмишленици, по-специално в рамките на Г-7 и НАТО. </w:t>
                      </w:r>
                    </w:p>
                  </w:txbxContent>
                </v:textbox>
                <w10:anchorlock/>
              </v:shape>
            </w:pict>
          </mc:Fallback>
        </mc:AlternateContent>
      </w:r>
      <w:r>
        <w:rPr>
          <w:noProof/>
        </w:rPr>
        <w:br w:type="page"/>
      </w:r>
    </w:p>
    <w:p w14:paraId="2E0C7EF8" w14:textId="77777777" w:rsidR="001E5515" w:rsidRDefault="001E5515" w:rsidP="00BA6354">
      <w:pPr>
        <w:spacing w:afterLines="120" w:after="288"/>
        <w:rPr>
          <w:rFonts w:ascii="Times New Roman" w:hAnsi="Times New Roman" w:cs="Times New Roman"/>
          <w:noProof/>
          <w:sz w:val="24"/>
          <w:szCs w:val="24"/>
        </w:rPr>
      </w:pPr>
    </w:p>
    <w:p w14:paraId="306FC464" w14:textId="77777777" w:rsidR="007679B3" w:rsidRPr="00B221F1" w:rsidRDefault="007679B3" w:rsidP="007679B3">
      <w:pPr>
        <w:pStyle w:val="Heading1"/>
        <w:spacing w:afterLines="120" w:after="288"/>
        <w:rPr>
          <w:rStyle w:val="Strong"/>
          <w:b/>
          <w:bCs w:val="0"/>
          <w:noProof/>
        </w:rPr>
      </w:pPr>
      <w:bookmarkStart w:id="2" w:name="_Toc97810956"/>
      <w:bookmarkStart w:id="3" w:name="_Toc97811379"/>
      <w:bookmarkEnd w:id="2"/>
      <w:bookmarkEnd w:id="3"/>
      <w:r>
        <w:rPr>
          <w:rStyle w:val="Strong"/>
          <w:b/>
          <w:noProof/>
        </w:rPr>
        <w:t>Гарантиране на наличността и финансовата достъпност на торовете в ЕС</w:t>
      </w:r>
    </w:p>
    <w:p w14:paraId="4ACDF111" w14:textId="77777777" w:rsidR="005E4C28" w:rsidRPr="007A72F7" w:rsidRDefault="005E4C28" w:rsidP="0082240B">
      <w:pPr>
        <w:pStyle w:val="Heading2"/>
        <w:rPr>
          <w:noProof/>
        </w:rPr>
      </w:pPr>
      <w:r>
        <w:rPr>
          <w:noProof/>
        </w:rPr>
        <w:t>Наблюдение на пазара</w:t>
      </w:r>
    </w:p>
    <w:p w14:paraId="59A5F09E" w14:textId="66AE7F33" w:rsidR="001473B2" w:rsidRDefault="001473B2" w:rsidP="00BA6354">
      <w:pPr>
        <w:spacing w:afterLines="120" w:after="288" w:line="240" w:lineRule="auto"/>
        <w:jc w:val="both"/>
        <w:rPr>
          <w:rFonts w:ascii="Times New Roman" w:hAnsi="Times New Roman" w:cs="Times New Roman"/>
          <w:noProof/>
          <w:sz w:val="24"/>
          <w:szCs w:val="24"/>
        </w:rPr>
      </w:pPr>
      <w:r>
        <w:rPr>
          <w:rFonts w:ascii="Times New Roman" w:hAnsi="Times New Roman"/>
          <w:noProof/>
          <w:sz w:val="24"/>
        </w:rPr>
        <w:t>От повишаването на цените на селскостопанските суровини през 2021 г. насам пазарът на торове е включен в дневния ред на срещите на Комисията със заинтересованите страни и държавите членки, включително в рамките на Европейския механизъм за готовност и реакция при кризи в областта на продоволствената сигурност (EFSCM) и на заседанията на експертните групи по въпросите на продуктите за наторяване.</w:t>
      </w:r>
    </w:p>
    <w:p w14:paraId="4E0CB643" w14:textId="3A544197" w:rsidR="005E4C28" w:rsidRPr="005E4C28" w:rsidRDefault="001473B2" w:rsidP="00BA6354">
      <w:pPr>
        <w:spacing w:afterLines="120" w:after="288" w:line="240" w:lineRule="auto"/>
        <w:jc w:val="both"/>
        <w:rPr>
          <w:rFonts w:ascii="Times New Roman" w:hAnsi="Times New Roman" w:cs="Times New Roman"/>
          <w:noProof/>
          <w:sz w:val="24"/>
          <w:szCs w:val="24"/>
        </w:rPr>
      </w:pPr>
      <w:r>
        <w:rPr>
          <w:rFonts w:ascii="Times New Roman" w:hAnsi="Times New Roman"/>
          <w:noProof/>
          <w:sz w:val="24"/>
        </w:rPr>
        <w:t xml:space="preserve">Липсват данни за запасите, държани в наличност от отрасъла на торовете и/или земеделските производители и техните организации на производители. Комисията ще подобри прозрачността на пазара чрез </w:t>
      </w:r>
      <w:r>
        <w:rPr>
          <w:rFonts w:ascii="Times New Roman" w:hAnsi="Times New Roman"/>
          <w:b/>
          <w:noProof/>
          <w:sz w:val="24"/>
        </w:rPr>
        <w:t>обсерватория за пазарите на торове</w:t>
      </w:r>
      <w:r>
        <w:rPr>
          <w:rFonts w:ascii="Times New Roman" w:hAnsi="Times New Roman"/>
          <w:noProof/>
          <w:sz w:val="24"/>
        </w:rPr>
        <w:t xml:space="preserve"> в ЕС и ще проучи начините за получаване на повече данни в реално време от държавите членки и от заинтересованите страни. </w:t>
      </w:r>
    </w:p>
    <w:p w14:paraId="58B91283" w14:textId="77777777" w:rsidR="005E4C28" w:rsidRPr="005E4C28" w:rsidRDefault="005E4C28" w:rsidP="0082240B">
      <w:pPr>
        <w:pStyle w:val="Heading2"/>
        <w:rPr>
          <w:noProof/>
        </w:rPr>
      </w:pPr>
      <w:r>
        <w:rPr>
          <w:noProof/>
        </w:rPr>
        <w:t>Обща селскостопанска политика (ОСП) и стратегически планове по ОСП на държавите членки</w:t>
      </w:r>
    </w:p>
    <w:p w14:paraId="4F081430" w14:textId="4D650171" w:rsidR="001473B2" w:rsidRDefault="001473B2" w:rsidP="00BA6354">
      <w:pPr>
        <w:spacing w:afterLines="120" w:after="288" w:line="240" w:lineRule="auto"/>
        <w:jc w:val="both"/>
        <w:rPr>
          <w:rFonts w:ascii="Times New Roman" w:hAnsi="Times New Roman" w:cs="Times New Roman"/>
          <w:noProof/>
          <w:sz w:val="24"/>
          <w:szCs w:val="24"/>
        </w:rPr>
      </w:pPr>
      <w:r>
        <w:rPr>
          <w:rFonts w:ascii="Times New Roman" w:hAnsi="Times New Roman"/>
          <w:noProof/>
          <w:sz w:val="24"/>
        </w:rPr>
        <w:t xml:space="preserve">В рамките на новата ОСП земеделските стопани получават широка финансова подкрепа с цел </w:t>
      </w:r>
      <w:r>
        <w:rPr>
          <w:rFonts w:ascii="Times New Roman" w:hAnsi="Times New Roman"/>
          <w:b/>
          <w:noProof/>
          <w:sz w:val="24"/>
        </w:rPr>
        <w:t>оптимизиране на употребата на торове</w:t>
      </w:r>
      <w:r>
        <w:rPr>
          <w:rFonts w:ascii="Times New Roman" w:hAnsi="Times New Roman"/>
          <w:noProof/>
          <w:sz w:val="24"/>
        </w:rPr>
        <w:t>, което им позволява да постигнат ползи за околната среда, климата и икономиката. Най-добрите практики в държавите членки показват, че при по-голяма ефективност на използването на азот употребата на торове може да бъде намалена, като същевременно се запазят или дори увеличат добивите и се окаже положително въздействие върху цялостното почвено плодородие</w:t>
      </w:r>
      <w:r>
        <w:rPr>
          <w:rFonts w:ascii="Times New Roman" w:hAnsi="Times New Roman" w:cs="Times New Roman"/>
          <w:noProof/>
          <w:sz w:val="24"/>
          <w:szCs w:val="24"/>
          <w:vertAlign w:val="superscript"/>
        </w:rPr>
        <w:footnoteReference w:id="7"/>
      </w:r>
      <w:r>
        <w:rPr>
          <w:rFonts w:ascii="Times New Roman" w:hAnsi="Times New Roman"/>
          <w:noProof/>
          <w:sz w:val="24"/>
        </w:rPr>
        <w:t>. В същото време повишената ефективност в ЕС ще намали нуждата от торове, което ще намали напрежението на световния пазар.</w:t>
      </w:r>
    </w:p>
    <w:p w14:paraId="03FB6529" w14:textId="77777777" w:rsidR="001473B2" w:rsidRDefault="001473B2" w:rsidP="00BA6354">
      <w:pPr>
        <w:spacing w:afterLines="120" w:after="288" w:line="240" w:lineRule="auto"/>
        <w:jc w:val="both"/>
        <w:rPr>
          <w:rFonts w:ascii="Times New Roman" w:hAnsi="Times New Roman" w:cs="Times New Roman"/>
          <w:noProof/>
          <w:sz w:val="24"/>
          <w:szCs w:val="24"/>
        </w:rPr>
      </w:pPr>
      <w:r>
        <w:rPr>
          <w:rFonts w:ascii="Times New Roman" w:hAnsi="Times New Roman"/>
          <w:b/>
          <w:noProof/>
          <w:sz w:val="24"/>
        </w:rPr>
        <w:t>Новата екологосъобразна архитектура</w:t>
      </w:r>
      <w:r>
        <w:rPr>
          <w:rFonts w:ascii="Times New Roman" w:hAnsi="Times New Roman"/>
          <w:noProof/>
          <w:sz w:val="24"/>
        </w:rPr>
        <w:t xml:space="preserve"> съчетава засилена обвързаност с условия (ДЗЕС и ЗИУ) за опазване и подобряване на почвеното здраве и плодородие</w:t>
      </w:r>
      <w:r>
        <w:rPr>
          <w:rFonts w:ascii="Times New Roman" w:hAnsi="Times New Roman" w:cs="Times New Roman"/>
          <w:noProof/>
          <w:sz w:val="24"/>
          <w:szCs w:val="24"/>
          <w:vertAlign w:val="superscript"/>
        </w:rPr>
        <w:footnoteReference w:id="8"/>
      </w:r>
      <w:r>
        <w:rPr>
          <w:rFonts w:ascii="Times New Roman" w:hAnsi="Times New Roman"/>
          <w:noProof/>
          <w:sz w:val="24"/>
        </w:rPr>
        <w:t xml:space="preserve"> с доброволни мерки, разработени от държавите членки за подпомагане на земеделските стопани извън минималните изисквания, включително в областта на управлението на хранителните вещества. Доброволните мерки за земеделските стопани включват такива интервенции като </w:t>
      </w:r>
      <w:r>
        <w:rPr>
          <w:rFonts w:ascii="Times New Roman" w:hAnsi="Times New Roman"/>
          <w:b/>
          <w:noProof/>
          <w:sz w:val="24"/>
        </w:rPr>
        <w:t>екосхеми, агроекологични ангажименти и ангажименти за управление на климата</w:t>
      </w:r>
      <w:r>
        <w:rPr>
          <w:rFonts w:ascii="Times New Roman" w:hAnsi="Times New Roman"/>
          <w:noProof/>
          <w:sz w:val="24"/>
        </w:rPr>
        <w:t>. Във всички стратегически планове по ОСП въпросът за ефективността на използването на хранителните вещества се третира посредством различни действия:</w:t>
      </w:r>
    </w:p>
    <w:p w14:paraId="5E6482B3" w14:textId="77777777" w:rsidR="001473B2" w:rsidRDefault="00092160" w:rsidP="00A81A63">
      <w:pPr>
        <w:numPr>
          <w:ilvl w:val="0"/>
          <w:numId w:val="10"/>
        </w:numPr>
        <w:spacing w:afterLines="120" w:after="288" w:line="240" w:lineRule="auto"/>
        <w:ind w:left="567" w:hanging="567"/>
        <w:jc w:val="both"/>
        <w:rPr>
          <w:rFonts w:ascii="Times New Roman" w:eastAsia="Calibri" w:hAnsi="Times New Roman" w:cs="Times New Roman"/>
          <w:noProof/>
          <w:sz w:val="24"/>
          <w:szCs w:val="24"/>
        </w:rPr>
      </w:pPr>
      <w:r>
        <w:rPr>
          <w:rFonts w:ascii="Times New Roman" w:hAnsi="Times New Roman"/>
          <w:noProof/>
          <w:sz w:val="24"/>
        </w:rPr>
        <w:t xml:space="preserve">Интервенциите стимулират </w:t>
      </w:r>
      <w:r>
        <w:rPr>
          <w:rFonts w:ascii="Times New Roman" w:hAnsi="Times New Roman"/>
          <w:b/>
          <w:noProof/>
          <w:sz w:val="24"/>
        </w:rPr>
        <w:t>диверсификацията на културите и засиленото им редуване с включване на протеинови култури</w:t>
      </w:r>
      <w:r>
        <w:rPr>
          <w:rFonts w:ascii="Times New Roman" w:hAnsi="Times New Roman"/>
          <w:noProof/>
          <w:sz w:val="24"/>
        </w:rPr>
        <w:t xml:space="preserve">. Плановете по ОСП също така подкрепят </w:t>
      </w:r>
      <w:r>
        <w:rPr>
          <w:rFonts w:ascii="Times New Roman" w:hAnsi="Times New Roman"/>
          <w:b/>
          <w:noProof/>
          <w:sz w:val="24"/>
        </w:rPr>
        <w:t>„междинните култури“</w:t>
      </w:r>
      <w:r>
        <w:rPr>
          <w:rStyle w:val="FootnoteReference"/>
          <w:rFonts w:ascii="Times New Roman" w:eastAsia="Calibri" w:hAnsi="Times New Roman" w:cs="Times New Roman"/>
          <w:noProof/>
          <w:sz w:val="24"/>
          <w:szCs w:val="24"/>
          <w:lang w:eastAsia="en-GB"/>
        </w:rPr>
        <w:footnoteReference w:id="9"/>
      </w:r>
      <w:r>
        <w:rPr>
          <w:rFonts w:ascii="Times New Roman" w:hAnsi="Times New Roman"/>
          <w:noProof/>
          <w:sz w:val="24"/>
        </w:rPr>
        <w:t xml:space="preserve">, които увеличават „зеленото“ торене и </w:t>
      </w:r>
      <w:r>
        <w:rPr>
          <w:rFonts w:ascii="Times New Roman" w:hAnsi="Times New Roman"/>
          <w:b/>
          <w:noProof/>
          <w:sz w:val="24"/>
        </w:rPr>
        <w:t>органичните вещества в почвата</w:t>
      </w:r>
      <w:r>
        <w:rPr>
          <w:rFonts w:ascii="Times New Roman" w:hAnsi="Times New Roman"/>
          <w:noProof/>
          <w:sz w:val="24"/>
        </w:rPr>
        <w:t>, или ангажиментите за увеличаване на почвената покривка над минималните изисквания.</w:t>
      </w:r>
    </w:p>
    <w:p w14:paraId="50F6FEB1" w14:textId="74CFB81A" w:rsidR="001473B2" w:rsidRDefault="001473B2" w:rsidP="00A81A63">
      <w:pPr>
        <w:numPr>
          <w:ilvl w:val="0"/>
          <w:numId w:val="10"/>
        </w:numPr>
        <w:spacing w:afterLines="120" w:after="288" w:line="240" w:lineRule="auto"/>
        <w:ind w:left="567" w:hanging="567"/>
        <w:jc w:val="both"/>
        <w:rPr>
          <w:rFonts w:ascii="Times New Roman" w:eastAsia="Calibri" w:hAnsi="Times New Roman" w:cs="Times New Roman"/>
          <w:noProof/>
          <w:sz w:val="24"/>
          <w:szCs w:val="24"/>
        </w:rPr>
      </w:pPr>
      <w:r>
        <w:rPr>
          <w:rFonts w:ascii="Times New Roman" w:hAnsi="Times New Roman"/>
          <w:noProof/>
          <w:sz w:val="24"/>
        </w:rPr>
        <w:t xml:space="preserve">Стратегическите планове по ОСП подкрепят по-широкото приемане на </w:t>
      </w:r>
      <w:r>
        <w:rPr>
          <w:rFonts w:ascii="Times New Roman" w:hAnsi="Times New Roman"/>
          <w:b/>
          <w:noProof/>
          <w:sz w:val="24"/>
        </w:rPr>
        <w:t xml:space="preserve">планове за управление на хранителните вещества — </w:t>
      </w:r>
      <w:r>
        <w:rPr>
          <w:rFonts w:ascii="Times New Roman" w:hAnsi="Times New Roman"/>
          <w:noProof/>
          <w:sz w:val="24"/>
        </w:rPr>
        <w:t>отвъд областите, в които те вече са задължителни съгласно Директивата за нитратите, — които повишават ефикасността на използване.</w:t>
      </w:r>
    </w:p>
    <w:p w14:paraId="2E95BB32" w14:textId="77777777" w:rsidR="001473B2" w:rsidRDefault="001473B2" w:rsidP="00A81A63">
      <w:pPr>
        <w:numPr>
          <w:ilvl w:val="0"/>
          <w:numId w:val="10"/>
        </w:numPr>
        <w:spacing w:afterLines="120" w:after="288" w:line="240" w:lineRule="auto"/>
        <w:ind w:left="567" w:hanging="567"/>
        <w:jc w:val="both"/>
        <w:rPr>
          <w:rFonts w:ascii="Times New Roman" w:eastAsia="Calibri" w:hAnsi="Times New Roman" w:cs="Times New Roman"/>
          <w:noProof/>
          <w:sz w:val="24"/>
          <w:szCs w:val="24"/>
        </w:rPr>
      </w:pPr>
      <w:r>
        <w:rPr>
          <w:rFonts w:ascii="Times New Roman" w:hAnsi="Times New Roman"/>
          <w:b/>
          <w:noProof/>
          <w:sz w:val="24"/>
        </w:rPr>
        <w:t>Прецизното земеделие, биологичното земеделие и агроекологията</w:t>
      </w:r>
      <w:r>
        <w:rPr>
          <w:rFonts w:ascii="Times New Roman" w:hAnsi="Times New Roman"/>
          <w:noProof/>
          <w:sz w:val="24"/>
        </w:rPr>
        <w:t xml:space="preserve"> се подкрепят от плановете под формата на ангажименти за управление и инвестиции в нова техника, практики, изискващи по-малко използване на торове, и по-голям достъп до консултации и обучение</w:t>
      </w:r>
      <w:r>
        <w:rPr>
          <w:rStyle w:val="FootnoteReference"/>
          <w:rFonts w:ascii="Times New Roman" w:eastAsia="Calibri" w:hAnsi="Times New Roman" w:cs="Times New Roman"/>
          <w:noProof/>
          <w:sz w:val="24"/>
          <w:szCs w:val="24"/>
          <w:lang w:eastAsia="en-GB"/>
        </w:rPr>
        <w:footnoteReference w:id="10"/>
      </w:r>
      <w:r>
        <w:rPr>
          <w:rFonts w:ascii="Times New Roman" w:hAnsi="Times New Roman"/>
          <w:noProof/>
          <w:sz w:val="24"/>
        </w:rPr>
        <w:t>.</w:t>
      </w:r>
    </w:p>
    <w:p w14:paraId="413B4069" w14:textId="18357F57" w:rsidR="009B1DF7" w:rsidRDefault="001473B2" w:rsidP="00AC2670">
      <w:pPr>
        <w:numPr>
          <w:ilvl w:val="0"/>
          <w:numId w:val="10"/>
        </w:numPr>
        <w:spacing w:afterLines="120" w:after="288" w:line="240" w:lineRule="auto"/>
        <w:ind w:left="567" w:hanging="567"/>
        <w:jc w:val="both"/>
        <w:rPr>
          <w:rFonts w:ascii="Times New Roman" w:eastAsia="Calibri" w:hAnsi="Times New Roman" w:cs="Times New Roman"/>
          <w:noProof/>
          <w:sz w:val="24"/>
          <w:szCs w:val="24"/>
        </w:rPr>
      </w:pPr>
      <w:r>
        <w:rPr>
          <w:rFonts w:ascii="Times New Roman" w:hAnsi="Times New Roman"/>
          <w:noProof/>
          <w:sz w:val="24"/>
        </w:rPr>
        <w:t xml:space="preserve">Стратегическите планове по ОСП подкрепят частичното </w:t>
      </w:r>
      <w:r>
        <w:rPr>
          <w:rFonts w:ascii="Times New Roman" w:hAnsi="Times New Roman"/>
          <w:b/>
          <w:noProof/>
          <w:sz w:val="24"/>
        </w:rPr>
        <w:t>заместване на минерални торове с органични торове</w:t>
      </w:r>
      <w:r>
        <w:rPr>
          <w:rFonts w:ascii="Times New Roman" w:hAnsi="Times New Roman"/>
          <w:noProof/>
          <w:sz w:val="24"/>
        </w:rPr>
        <w:t>, като например оборски тор, утайки от пречистване на отпадни води и биологични отпадъци от процеси на метанизация или биологична и термична обработка, като същевременно се гарантира, че това няма да доведе до по-големи загуби на хранителни вещества.</w:t>
      </w:r>
    </w:p>
    <w:p w14:paraId="6755A347" w14:textId="2A544EDF" w:rsidR="001473B2" w:rsidRDefault="00125359" w:rsidP="00BA6354">
      <w:pPr>
        <w:spacing w:afterLines="120" w:after="288" w:line="240" w:lineRule="auto"/>
        <w:jc w:val="both"/>
        <w:rPr>
          <w:rFonts w:ascii="Times New Roman" w:hAnsi="Times New Roman" w:cs="Times New Roman"/>
          <w:noProof/>
          <w:sz w:val="24"/>
          <w:szCs w:val="24"/>
        </w:rPr>
      </w:pPr>
      <w:r>
        <w:rPr>
          <w:rFonts w:ascii="Times New Roman" w:hAnsi="Times New Roman"/>
          <w:noProof/>
          <w:sz w:val="24"/>
        </w:rPr>
        <w:t xml:space="preserve">По време на преговорите, водещи до приемането на стратегическите планове по ОСП, Комисията призова държавите членки да включат в плановете си мерки във връзка с практиките за оптимизиране на ефикасното използване на торове. След като бъдат приети всички планове </w:t>
      </w:r>
      <w:r>
        <w:rPr>
          <w:rFonts w:ascii="Times New Roman" w:hAnsi="Times New Roman"/>
          <w:b/>
          <w:noProof/>
          <w:sz w:val="24"/>
        </w:rPr>
        <w:t>тя ще гарантира, че планираните интервенции се проследяват и изпълняват.</w:t>
      </w:r>
      <w:r>
        <w:rPr>
          <w:rFonts w:ascii="Times New Roman" w:hAnsi="Times New Roman"/>
          <w:noProof/>
          <w:sz w:val="24"/>
        </w:rPr>
        <w:t xml:space="preserve"> Тя ще поощри държавите членки да насърчават </w:t>
      </w:r>
      <w:r>
        <w:rPr>
          <w:rFonts w:ascii="Times New Roman" w:hAnsi="Times New Roman"/>
          <w:b/>
          <w:noProof/>
          <w:sz w:val="24"/>
        </w:rPr>
        <w:t>по-широкото възприемане на тези мерки</w:t>
      </w:r>
      <w:r>
        <w:rPr>
          <w:rFonts w:ascii="Times New Roman" w:hAnsi="Times New Roman"/>
          <w:noProof/>
          <w:sz w:val="24"/>
        </w:rPr>
        <w:t xml:space="preserve"> от земеделските стопани. Комисията ще прикани държавите членки да обмислят нови приоритети и да увеличат амбициозността на подобни интервенции при </w:t>
      </w:r>
      <w:r>
        <w:rPr>
          <w:rFonts w:ascii="Times New Roman" w:hAnsi="Times New Roman"/>
          <w:b/>
          <w:noProof/>
          <w:sz w:val="24"/>
        </w:rPr>
        <w:t>бъдещите преразглеждания на стратегическите им планове по ОСП</w:t>
      </w:r>
      <w:r>
        <w:rPr>
          <w:rFonts w:ascii="Times New Roman" w:hAnsi="Times New Roman"/>
          <w:noProof/>
          <w:sz w:val="24"/>
        </w:rPr>
        <w:t xml:space="preserve">. По-специално </w:t>
      </w:r>
      <w:r>
        <w:rPr>
          <w:rFonts w:ascii="Times New Roman" w:hAnsi="Times New Roman"/>
          <w:b/>
          <w:noProof/>
          <w:sz w:val="24"/>
        </w:rPr>
        <w:t>Комисията приканва държавите членки да ускорят внедряването на инструмента за устойчивост на земеделските стопанства за хранителните вещества (FaST)</w:t>
      </w:r>
      <w:r>
        <w:rPr>
          <w:rFonts w:ascii="Times New Roman" w:hAnsi="Times New Roman"/>
          <w:noProof/>
          <w:sz w:val="24"/>
        </w:rPr>
        <w:t xml:space="preserve"> и възприемането му от земеделските стопани</w:t>
      </w:r>
      <w:r>
        <w:rPr>
          <w:rStyle w:val="FootnoteReference"/>
          <w:rFonts w:ascii="Times New Roman" w:hAnsi="Times New Roman" w:cs="Times New Roman"/>
          <w:noProof/>
          <w:sz w:val="24"/>
          <w:szCs w:val="24"/>
        </w:rPr>
        <w:footnoteReference w:id="11"/>
      </w:r>
      <w:r>
        <w:rPr>
          <w:rFonts w:ascii="Times New Roman" w:hAnsi="Times New Roman"/>
          <w:noProof/>
          <w:sz w:val="24"/>
        </w:rPr>
        <w:t xml:space="preserve">. </w:t>
      </w:r>
    </w:p>
    <w:p w14:paraId="5B65D4C6" w14:textId="77777777" w:rsidR="005E4C28" w:rsidRPr="005E4C28" w:rsidRDefault="005E4C28" w:rsidP="0082240B">
      <w:pPr>
        <w:pStyle w:val="Heading2"/>
        <w:rPr>
          <w:noProof/>
        </w:rPr>
      </w:pPr>
      <w:r>
        <w:rPr>
          <w:noProof/>
        </w:rPr>
        <w:t>Извънредни мерки и селскостопански резерв</w:t>
      </w:r>
    </w:p>
    <w:p w14:paraId="6CA0A50A" w14:textId="77777777" w:rsidR="00356ADB" w:rsidRDefault="00356ADB" w:rsidP="00BA6354">
      <w:pPr>
        <w:spacing w:afterLines="120" w:after="288" w:line="240" w:lineRule="auto"/>
        <w:jc w:val="both"/>
        <w:rPr>
          <w:rFonts w:ascii="Times New Roman" w:hAnsi="Times New Roman" w:cs="Times New Roman"/>
          <w:noProof/>
          <w:sz w:val="24"/>
          <w:szCs w:val="24"/>
        </w:rPr>
      </w:pPr>
      <w:r>
        <w:rPr>
          <w:rFonts w:ascii="Times New Roman" w:hAnsi="Times New Roman"/>
          <w:noProof/>
          <w:sz w:val="24"/>
        </w:rPr>
        <w:t xml:space="preserve">През март 2022 г. Комисията прие </w:t>
      </w:r>
      <w:r>
        <w:rPr>
          <w:rFonts w:ascii="Times New Roman" w:hAnsi="Times New Roman"/>
          <w:b/>
          <w:noProof/>
          <w:sz w:val="24"/>
        </w:rPr>
        <w:t>извънреден пакет за подпомагане</w:t>
      </w:r>
      <w:r>
        <w:rPr>
          <w:rFonts w:ascii="Times New Roman" w:hAnsi="Times New Roman"/>
          <w:noProof/>
          <w:sz w:val="24"/>
        </w:rPr>
        <w:t xml:space="preserve"> на стойност 500 милиона евро в подкрепа на производителите, които са най-силно засегнати от сериозните последици от войната в Украйна. За тази цел бяха използвани средства от кризисния резерв на ОСП. На тази основа държавите членки предоставиха финансова помощ в размер на 492 милиона евро, като дадоха приоритет на земеделските стопани, които прилагат устойчиви практики и са най-силно засегнати от кризата.</w:t>
      </w:r>
    </w:p>
    <w:p w14:paraId="69E86D29" w14:textId="77777777" w:rsidR="00356ADB" w:rsidRDefault="00356ADB" w:rsidP="00BA6354">
      <w:pPr>
        <w:spacing w:afterLines="120" w:after="288" w:line="240" w:lineRule="auto"/>
        <w:jc w:val="both"/>
        <w:rPr>
          <w:rFonts w:ascii="Times New Roman" w:hAnsi="Times New Roman" w:cs="Times New Roman"/>
          <w:noProof/>
          <w:sz w:val="24"/>
          <w:szCs w:val="24"/>
        </w:rPr>
      </w:pPr>
      <w:r>
        <w:rPr>
          <w:rFonts w:ascii="Times New Roman" w:hAnsi="Times New Roman"/>
          <w:noProof/>
          <w:sz w:val="24"/>
        </w:rPr>
        <w:t xml:space="preserve">В рамките на </w:t>
      </w:r>
      <w:r>
        <w:rPr>
          <w:rFonts w:ascii="Times New Roman" w:hAnsi="Times New Roman"/>
          <w:b/>
          <w:noProof/>
          <w:sz w:val="24"/>
        </w:rPr>
        <w:t>селскостопанския резерв</w:t>
      </w:r>
      <w:r>
        <w:rPr>
          <w:rFonts w:ascii="Times New Roman" w:hAnsi="Times New Roman"/>
          <w:noProof/>
          <w:sz w:val="24"/>
        </w:rPr>
        <w:t xml:space="preserve"> на реформираната ОСП през 2023 г. ще бъдат на разположение 450 милиона евро за мерки за публична интервенция и складиране с цел стабилизиране на селскостопанските пазари или за извънредни мерки в отговор на заплахи от смущения на пазара, рискове за здравето или други извънредни ситуации, както е предвидено в Регламента за общата организация на селскостопанските пазари. Заедно с държавите членки Комисията ще проучи доколко е целесъобразно прилагането на извънредни мерки в рамките на селскостопанския резерв, за да се предотвратят смущенията на пазара, които биха могли да възникнат вследствие въздействието на свития пазар на торове върху производството на земеделските стопани в ЕС.</w:t>
      </w:r>
    </w:p>
    <w:p w14:paraId="14B0B9E7" w14:textId="77777777" w:rsidR="005E4C28" w:rsidRPr="005E4C28" w:rsidRDefault="005E4C28" w:rsidP="00766350">
      <w:pPr>
        <w:pStyle w:val="Heading2"/>
        <w:rPr>
          <w:noProof/>
        </w:rPr>
      </w:pPr>
      <w:r>
        <w:rPr>
          <w:noProof/>
        </w:rPr>
        <w:t>Временната рамка за държавна помощ при кризи като канал за финансова помощ</w:t>
      </w:r>
    </w:p>
    <w:p w14:paraId="5AD89DFF" w14:textId="28A074A6" w:rsidR="00356ADB" w:rsidRDefault="00356ADB" w:rsidP="4D8993BD">
      <w:pPr>
        <w:spacing w:afterLines="120" w:after="288" w:line="240" w:lineRule="auto"/>
        <w:jc w:val="both"/>
        <w:rPr>
          <w:rFonts w:ascii="Times New Roman" w:eastAsiaTheme="minorEastAsia" w:hAnsi="Times New Roman" w:cs="Times New Roman"/>
          <w:noProof/>
          <w:sz w:val="24"/>
          <w:szCs w:val="24"/>
        </w:rPr>
      </w:pPr>
      <w:r>
        <w:rPr>
          <w:rFonts w:ascii="Times New Roman" w:hAnsi="Times New Roman"/>
          <w:b/>
          <w:noProof/>
          <w:sz w:val="24"/>
        </w:rPr>
        <w:t>Временната рамка за държавна помощ при кризи</w:t>
      </w:r>
      <w:r>
        <w:rPr>
          <w:rFonts w:ascii="Times New Roman" w:hAnsi="Times New Roman"/>
          <w:noProof/>
          <w:sz w:val="24"/>
        </w:rPr>
        <w:t xml:space="preserve"> („рамката“) дава възможност на държавите членки да използват гъвкавостта, предвидена в правилата за държавните помощи, и им позволява да подпомагат, наред с другото, първичните селскостопански производители, включително по отношение на закупуването на торове, и производителите на торове. Държавите членки могат да предоставят помощ за покриване на част от неотдавнашното увеличение на разходите за газ и електроенергия за предприятията, включително например за първичното селско стопанство и производителите на торове, при спазване на предпазни мерки. </w:t>
      </w:r>
    </w:p>
    <w:p w14:paraId="433219A0" w14:textId="77777777" w:rsidR="00356ADB" w:rsidRDefault="00356ADB" w:rsidP="00356ADB">
      <w:pPr>
        <w:spacing w:afterLines="120" w:after="288" w:line="240" w:lineRule="auto"/>
        <w:jc w:val="both"/>
        <w:rPr>
          <w:rFonts w:ascii="Times New Roman" w:eastAsia="Times New Roman" w:hAnsi="Times New Roman" w:cs="Times New Roman"/>
          <w:noProof/>
          <w:sz w:val="24"/>
          <w:szCs w:val="24"/>
        </w:rPr>
      </w:pPr>
      <w:r>
        <w:rPr>
          <w:rFonts w:ascii="Times New Roman" w:hAnsi="Times New Roman"/>
          <w:noProof/>
          <w:sz w:val="24"/>
        </w:rPr>
        <w:t>Между март и септември 2022 г. Комисията одобри 18 </w:t>
      </w:r>
      <w:r>
        <w:rPr>
          <w:rFonts w:ascii="Times New Roman" w:hAnsi="Times New Roman"/>
          <w:b/>
          <w:noProof/>
          <w:sz w:val="24"/>
        </w:rPr>
        <w:t>схеми за специфична помощ за селското стопанство</w:t>
      </w:r>
      <w:r>
        <w:rPr>
          <w:rFonts w:ascii="Times New Roman" w:hAnsi="Times New Roman"/>
          <w:noProof/>
          <w:sz w:val="24"/>
        </w:rPr>
        <w:t xml:space="preserve"> с общ бюджет от около 3,5 милиарда евро по рамката. Три от схемите са предназначени за закупуване на торове от земеделските стопани (общ бюджет от 855 милиона евро). Повечето държави членки избраха рамкови схеми, отворени за всички стопански отрасли (455 милиарда евро през септември 2022 г.). Някои държави членки избраха специални схеми за държавна помощ в подкрепа на енергоемки предприятия. </w:t>
      </w:r>
    </w:p>
    <w:p w14:paraId="740DEEBB" w14:textId="2EA7BF0D" w:rsidR="00B802A7" w:rsidRDefault="00B802A7" w:rsidP="00B802A7">
      <w:pPr>
        <w:spacing w:afterLines="120" w:after="288" w:line="240" w:lineRule="auto"/>
        <w:jc w:val="both"/>
        <w:rPr>
          <w:rFonts w:ascii="Times New Roman" w:eastAsiaTheme="minorEastAsia" w:hAnsi="Times New Roman" w:cs="Times New Roman"/>
          <w:noProof/>
          <w:sz w:val="24"/>
          <w:szCs w:val="24"/>
        </w:rPr>
      </w:pPr>
      <w:r>
        <w:rPr>
          <w:rFonts w:ascii="Times New Roman" w:hAnsi="Times New Roman"/>
          <w:noProof/>
          <w:sz w:val="24"/>
        </w:rPr>
        <w:t xml:space="preserve">На 28 октомври 2022 г. </w:t>
      </w:r>
      <w:r>
        <w:rPr>
          <w:rFonts w:ascii="Times New Roman" w:hAnsi="Times New Roman"/>
          <w:b/>
          <w:noProof/>
          <w:sz w:val="24"/>
        </w:rPr>
        <w:t>рамката беше адаптирана</w:t>
      </w:r>
      <w:r>
        <w:rPr>
          <w:rFonts w:ascii="Times New Roman" w:hAnsi="Times New Roman"/>
          <w:noProof/>
          <w:sz w:val="24"/>
        </w:rPr>
        <w:t xml:space="preserve"> към нуждите на държавите членки с цел подпомагане на най-засегнатите от кризата енергоемки предприятия, включително производителите на торове. Производителите на торове като особено засегнат отрасъл, ако отговарят на критериите за допустимост, могат да се възползват от по-висок интензитет на помощта и размер на помощта до 150 милиона евро</w:t>
      </w:r>
      <w:r>
        <w:rPr>
          <w:rStyle w:val="FootnoteReference"/>
          <w:rFonts w:ascii="Times New Roman" w:eastAsiaTheme="minorEastAsia" w:hAnsi="Times New Roman" w:cs="Times New Roman"/>
          <w:noProof/>
          <w:sz w:val="24"/>
          <w:szCs w:val="24"/>
        </w:rPr>
        <w:footnoteReference w:id="12"/>
      </w:r>
      <w:r>
        <w:rPr>
          <w:rFonts w:ascii="Times New Roman" w:hAnsi="Times New Roman"/>
          <w:noProof/>
          <w:sz w:val="24"/>
        </w:rPr>
        <w:t>. За предприятията, получаващи по-големи суми помощ, временната рамка за държавна помощ при кризи предвижда поемането на ангажименти за действия, целящи намаляване на въглеродния отпечатък от потреблението на енергия и въвеждане на мерки за енергийна ефективност. Увеличен е и таванът на максималната помощ за първичното селско стопанство (земеделски стопани), което позволява на държавите членки да подпомагат закупуването на торове от земеделските стопани, ако е необходимо.</w:t>
      </w:r>
    </w:p>
    <w:p w14:paraId="558C7371" w14:textId="656017E7" w:rsidR="003750F9" w:rsidRPr="00356ADB" w:rsidRDefault="003750F9" w:rsidP="00356ADB">
      <w:pPr>
        <w:spacing w:afterLines="120" w:after="288" w:line="240" w:lineRule="auto"/>
        <w:jc w:val="both"/>
        <w:rPr>
          <w:rFonts w:ascii="Times New Roman" w:eastAsia="Times New Roman" w:hAnsi="Times New Roman" w:cs="Times New Roman"/>
          <w:noProof/>
          <w:sz w:val="24"/>
          <w:szCs w:val="24"/>
        </w:rPr>
      </w:pPr>
      <w:r>
        <w:rPr>
          <w:rFonts w:ascii="Times New Roman" w:hAnsi="Times New Roman"/>
          <w:noProof/>
          <w:sz w:val="24"/>
        </w:rPr>
        <w:t>Държавната подкрепа може да приеме различни форми извън мерките за държавна помощ. Възможно е например публичните органи да закупуват торове на по-конкурентни пазарни цени (предвид техните преговорни позиции) и да ги предлагат на земеделските стопани на по-ниски цени (в това би имало елемент на държавна помощ), при спазване на приложимите ограничения на рамката. Държавите членки биха могли също така да гарантират, че торовете се разпределят между земеделските стопани по разумен и недискриминационен начин,</w:t>
      </w:r>
      <w:r>
        <w:rPr>
          <w:noProof/>
        </w:rPr>
        <w:t xml:space="preserve"> </w:t>
      </w:r>
      <w:r>
        <w:rPr>
          <w:rFonts w:ascii="Times New Roman" w:hAnsi="Times New Roman"/>
          <w:noProof/>
          <w:sz w:val="24"/>
        </w:rPr>
        <w:t>по</w:t>
      </w:r>
      <w:r w:rsidR="00A462F1">
        <w:rPr>
          <w:rFonts w:ascii="Times New Roman" w:hAnsi="Times New Roman"/>
          <w:noProof/>
          <w:sz w:val="24"/>
        </w:rPr>
        <w:noBreakHyphen/>
      </w:r>
      <w:r>
        <w:rPr>
          <w:rFonts w:ascii="Times New Roman" w:hAnsi="Times New Roman"/>
          <w:noProof/>
          <w:sz w:val="24"/>
        </w:rPr>
        <w:t>специално в случай на необходимост от нормирано разпределение на газа.</w:t>
      </w:r>
    </w:p>
    <w:p w14:paraId="0835AB78" w14:textId="77777777" w:rsidR="005E4C28" w:rsidRPr="005E4C28" w:rsidRDefault="005E4C28" w:rsidP="0082240B">
      <w:pPr>
        <w:pStyle w:val="Heading2"/>
        <w:rPr>
          <w:noProof/>
        </w:rPr>
      </w:pPr>
      <w:r>
        <w:rPr>
          <w:noProof/>
        </w:rPr>
        <w:t>Друго финансиране от ЕС</w:t>
      </w:r>
    </w:p>
    <w:p w14:paraId="0DFFBFE9" w14:textId="0A0851C3" w:rsidR="003750F9" w:rsidRPr="00A024C8" w:rsidRDefault="003750F9" w:rsidP="003750F9">
      <w:pPr>
        <w:spacing w:afterLines="120" w:after="288" w:line="240" w:lineRule="auto"/>
        <w:jc w:val="both"/>
        <w:rPr>
          <w:rFonts w:ascii="Times New Roman" w:eastAsia="Times New Roman" w:hAnsi="Times New Roman" w:cs="Times New Roman"/>
          <w:noProof/>
          <w:sz w:val="24"/>
          <w:szCs w:val="24"/>
        </w:rPr>
      </w:pPr>
      <w:r>
        <w:rPr>
          <w:rFonts w:ascii="Times New Roman" w:hAnsi="Times New Roman"/>
          <w:noProof/>
          <w:sz w:val="24"/>
        </w:rPr>
        <w:t>По силата на тавана на пазарните приходи на някои производители на електроенергия и на вноската за солидарност</w:t>
      </w:r>
      <w:r>
        <w:rPr>
          <w:rStyle w:val="FootnoteReference"/>
          <w:rFonts w:ascii="Times New Roman" w:eastAsia="Times New Roman" w:hAnsi="Times New Roman" w:cs="Times New Roman"/>
          <w:noProof/>
          <w:sz w:val="24"/>
          <w:szCs w:val="24"/>
        </w:rPr>
        <w:footnoteReference w:id="13"/>
      </w:r>
      <w:r>
        <w:rPr>
          <w:rFonts w:ascii="Times New Roman" w:hAnsi="Times New Roman"/>
          <w:noProof/>
          <w:sz w:val="24"/>
        </w:rPr>
        <w:t xml:space="preserve"> държавите членки могат да разполагат с финансови средства, които </w:t>
      </w:r>
      <w:r>
        <w:rPr>
          <w:rFonts w:ascii="Times New Roman" w:hAnsi="Times New Roman"/>
          <w:b/>
          <w:noProof/>
          <w:sz w:val="24"/>
        </w:rPr>
        <w:t xml:space="preserve">могат, наред с другото, да пренасочат чрез рамката към интензивни потребители на енергия, като например земеделски стопани или производители на торове </w:t>
      </w:r>
      <w:r>
        <w:rPr>
          <w:rFonts w:ascii="Times New Roman" w:hAnsi="Times New Roman"/>
          <w:noProof/>
          <w:sz w:val="24"/>
        </w:rPr>
        <w:t xml:space="preserve">(до приблизително 140 милиарда евро), за да подкрепят предприятия от енергоемки отрасли, при условие че тези средства се използват за инвестиции във възобновяеми енергийни източници, енергийна ефективност или други технологии за декарбонизация. Наскоро предложените целеви и извънредни мерки (SAFE — Supporting Affordable Energy) в рамките на правилата на </w:t>
      </w:r>
      <w:r>
        <w:rPr>
          <w:rFonts w:ascii="Times New Roman" w:hAnsi="Times New Roman"/>
          <w:b/>
          <w:noProof/>
          <w:sz w:val="24"/>
        </w:rPr>
        <w:t>политиката на сближаване</w:t>
      </w:r>
      <w:r>
        <w:rPr>
          <w:rFonts w:ascii="Times New Roman" w:hAnsi="Times New Roman"/>
          <w:noProof/>
          <w:sz w:val="24"/>
        </w:rPr>
        <w:t xml:space="preserve"> за периода </w:t>
      </w:r>
      <w:r w:rsidR="00A462F1">
        <w:rPr>
          <w:rFonts w:ascii="Times New Roman" w:hAnsi="Times New Roman"/>
          <w:noProof/>
          <w:sz w:val="24"/>
        </w:rPr>
        <w:br/>
      </w:r>
      <w:r>
        <w:rPr>
          <w:rFonts w:ascii="Times New Roman" w:hAnsi="Times New Roman"/>
          <w:noProof/>
          <w:sz w:val="24"/>
        </w:rPr>
        <w:t xml:space="preserve">2014—2020 г. ще позволят на националните органи да изберат да пренасочат до 40 милиарда евро в подкрепа на МСП, работниците и уязвимите домакинства, за да се справят с нарастващите енергийни цени. Освен това Комисията насърчава държавите членки да дадат приоритет на мерките, насочени към финансовата достъпност на торовете, и по този начин да засилят продоволствената сигурност. </w:t>
      </w:r>
    </w:p>
    <w:p w14:paraId="277212A8" w14:textId="7F627C0D" w:rsidR="00612B7E" w:rsidRDefault="00612B7E" w:rsidP="00612B7E">
      <w:pPr>
        <w:spacing w:afterLines="120" w:after="288" w:line="240" w:lineRule="auto"/>
        <w:jc w:val="both"/>
        <w:rPr>
          <w:rFonts w:ascii="Times New Roman" w:hAnsi="Times New Roman" w:cs="Times New Roman"/>
          <w:noProof/>
          <w:sz w:val="24"/>
          <w:szCs w:val="24"/>
        </w:rPr>
      </w:pPr>
      <w:r>
        <w:rPr>
          <w:rFonts w:ascii="Times New Roman" w:hAnsi="Times New Roman"/>
          <w:noProof/>
          <w:sz w:val="24"/>
        </w:rPr>
        <w:t>С оглед на настоящата енергийна криза Комисията предложи да се въведат целеви изменения на Регламента за Механизма за възстановяване и устойчивост (МВУ), така че да се включат специални глави за плана REPowerEU, които държавите членки могат да добавят към своите съществуващи планове за възстановяване и устойчивост (ПВУ). Комисията публикува насоки за това как държавите членки да променят и допълнят своите ПВУ със специални глави от плана REPowerEU, които следва да целят икономии на енергия, диверсификация на енергийните доставки и ускорено въвеждане на енергия от възобновяеми източници, които да заменят изкопаемите горива в домакинствата, промишлеността и производството на електроенергия. При преразглеждането на плановете си държавите членки биха могли да включат подкрепа за устойчиво производство на торове като част от тази диверсификация, при пълно спазване на принципа за „ненанасяне на значителни вреди“</w:t>
      </w:r>
      <w:r>
        <w:rPr>
          <w:rStyle w:val="FootnoteReference"/>
          <w:rFonts w:ascii="Times New Roman" w:hAnsi="Times New Roman" w:cs="Times New Roman"/>
          <w:noProof/>
          <w:sz w:val="24"/>
          <w:szCs w:val="24"/>
          <w:lang w:eastAsia="fr-BE"/>
        </w:rPr>
        <w:footnoteReference w:id="14"/>
      </w:r>
      <w:r>
        <w:rPr>
          <w:rFonts w:ascii="Times New Roman" w:hAnsi="Times New Roman"/>
          <w:noProof/>
          <w:sz w:val="24"/>
        </w:rPr>
        <w:t>.</w:t>
      </w:r>
    </w:p>
    <w:p w14:paraId="5E4275AB" w14:textId="2E1EC38E" w:rsidR="00612B7E" w:rsidRPr="006E3DF1" w:rsidRDefault="00612B7E" w:rsidP="00E241AA">
      <w:pPr>
        <w:spacing w:afterLines="120" w:after="288" w:line="240" w:lineRule="auto"/>
        <w:jc w:val="both"/>
        <w:rPr>
          <w:rFonts w:ascii="Times New Roman" w:hAnsi="Times New Roman"/>
          <w:noProof/>
          <w:sz w:val="24"/>
        </w:rPr>
      </w:pPr>
      <w:r>
        <w:rPr>
          <w:rFonts w:ascii="Times New Roman" w:hAnsi="Times New Roman"/>
          <w:noProof/>
          <w:sz w:val="24"/>
        </w:rPr>
        <w:t xml:space="preserve">В рамките на </w:t>
      </w:r>
      <w:r>
        <w:rPr>
          <w:rFonts w:ascii="Times New Roman" w:hAnsi="Times New Roman"/>
          <w:b/>
          <w:noProof/>
          <w:sz w:val="24"/>
        </w:rPr>
        <w:t>„Хоризонт Европа“</w:t>
      </w:r>
      <w:r>
        <w:rPr>
          <w:noProof/>
          <w:vertAlign w:val="superscript"/>
          <w:lang w:val="en-IE"/>
        </w:rPr>
        <w:footnoteReference w:id="15"/>
      </w:r>
      <w:r>
        <w:rPr>
          <w:rFonts w:ascii="Times New Roman" w:hAnsi="Times New Roman"/>
          <w:noProof/>
          <w:sz w:val="24"/>
        </w:rPr>
        <w:t xml:space="preserve"> за периода на настоящата многогодишна финансова рамка 2021—2027 г. са мобилизирани целеви инвестиции в размер на около 9 милиарда евро, предназначени за работните програми, партньорствата и мисиите на клъстер 6, свързани с храните, биоикономиката, природните ресурси, селското стопанство и околната среда. През първите две години на програмата „Хоризонт Европа“ се очаква повече от 35 проекта с бюджет от около 180 милиона евро да бъдат свързани с торовете в селското стопанство, включително проекти за оптимизиране на баланса на хранителните вещества, алтернативни продукти за наторяване и природосъобразни и агроекологични решения за управление на хранителните вещества. Финансиране се отпуска и в рамките на мисията „Пакт за почвите за Европа“. Една от специфичните му цели е намаляване на почвеното замърсяване, като действията са насочени към намаляване на употребата на торове и загубите на хранителни вещества.</w:t>
      </w:r>
    </w:p>
    <w:p w14:paraId="661B816C" w14:textId="69BA9C44" w:rsidR="002E5A54" w:rsidRPr="00E241AA" w:rsidRDefault="00F8462C" w:rsidP="00E241AA">
      <w:pPr>
        <w:spacing w:afterLines="120" w:after="288" w:line="240" w:lineRule="auto"/>
        <w:jc w:val="both"/>
        <w:rPr>
          <w:rFonts w:ascii="Times New Roman" w:hAnsi="Times New Roman" w:cs="Times New Roman"/>
          <w:noProof/>
          <w:sz w:val="24"/>
          <w:szCs w:val="24"/>
        </w:rPr>
      </w:pPr>
      <w:r>
        <w:rPr>
          <w:rFonts w:ascii="Times New Roman" w:hAnsi="Times New Roman"/>
          <w:noProof/>
          <w:sz w:val="24"/>
        </w:rPr>
        <w:t>През 2023 г. Комисията ще постави началото на ново предизвикателство на Европейския съвет по иновациите за устойчиво земеделие с бюджет от 65 милиона евро в подкрепа на стартиращи предприятия в областта на агротехнологиите за бързо разработване на дълбокотехнологични иновации за поддържане и подобряване на реколтата с помощта на екологосъобразни технологии, особено в областта на торенето.</w:t>
      </w:r>
    </w:p>
    <w:p w14:paraId="36A91BA1" w14:textId="6D40E9BD" w:rsidR="003B4D11" w:rsidRPr="006E3DF1" w:rsidRDefault="003B4D11" w:rsidP="00E241AA">
      <w:pPr>
        <w:spacing w:afterLines="120" w:after="288" w:line="240" w:lineRule="auto"/>
        <w:jc w:val="both"/>
        <w:rPr>
          <w:rFonts w:ascii="Times New Roman" w:hAnsi="Times New Roman"/>
          <w:noProof/>
          <w:sz w:val="24"/>
        </w:rPr>
      </w:pPr>
      <w:r>
        <w:rPr>
          <w:rFonts w:ascii="Times New Roman" w:hAnsi="Times New Roman"/>
          <w:b/>
          <w:noProof/>
          <w:sz w:val="24"/>
        </w:rPr>
        <w:t>Фондът за иновации в рамките на схемата за търговия с емисии (СТЕ)</w:t>
      </w:r>
      <w:r>
        <w:rPr>
          <w:rFonts w:ascii="Times New Roman" w:hAnsi="Times New Roman"/>
          <w:noProof/>
          <w:sz w:val="24"/>
        </w:rPr>
        <w:t xml:space="preserve"> също предоставя финансиране за иновативни демонстрационни проекти, които допринасят за постигането на целите на кръговата икономика, свързани с оползотворяването на материали от отпадъци и отпадни води, като например, наред с другото, хранителни вещества.</w:t>
      </w:r>
    </w:p>
    <w:p w14:paraId="1095C8A8" w14:textId="77777777" w:rsidR="005E4C28" w:rsidRPr="005E4C28" w:rsidRDefault="005678E4" w:rsidP="0082240B">
      <w:pPr>
        <w:pStyle w:val="Heading2"/>
        <w:rPr>
          <w:noProof/>
        </w:rPr>
      </w:pPr>
      <w:r>
        <w:rPr>
          <w:noProof/>
        </w:rPr>
        <w:t>Органични торове</w:t>
      </w:r>
    </w:p>
    <w:p w14:paraId="5D3F8E5A" w14:textId="003E0406" w:rsidR="00356ADB" w:rsidRDefault="00356ADB" w:rsidP="00BA6354">
      <w:pPr>
        <w:spacing w:afterLines="120" w:after="288" w:line="240" w:lineRule="auto"/>
        <w:jc w:val="both"/>
        <w:rPr>
          <w:rFonts w:ascii="Times New Roman" w:hAnsi="Times New Roman" w:cs="Times New Roman"/>
          <w:noProof/>
          <w:sz w:val="24"/>
          <w:szCs w:val="24"/>
        </w:rPr>
      </w:pPr>
      <w:r>
        <w:rPr>
          <w:rFonts w:ascii="Times New Roman" w:hAnsi="Times New Roman"/>
          <w:noProof/>
          <w:sz w:val="24"/>
        </w:rPr>
        <w:t xml:space="preserve">Замяната на минералните торове с органични е част от решението за </w:t>
      </w:r>
      <w:r>
        <w:rPr>
          <w:rFonts w:ascii="Times New Roman" w:hAnsi="Times New Roman"/>
          <w:b/>
          <w:noProof/>
          <w:sz w:val="24"/>
        </w:rPr>
        <w:t>намаляване на зависимостта на ЕС от газа</w:t>
      </w:r>
      <w:r>
        <w:rPr>
          <w:rFonts w:ascii="Times New Roman" w:hAnsi="Times New Roman"/>
          <w:noProof/>
          <w:sz w:val="24"/>
        </w:rPr>
        <w:t xml:space="preserve"> и също така се насърчава чрез целта на ЕС за биологично производство (25 % от земеделската земя до 2030 г.</w:t>
      </w:r>
      <w:r>
        <w:rPr>
          <w:rStyle w:val="FootnoteReference"/>
          <w:rFonts w:ascii="Times New Roman" w:hAnsi="Times New Roman" w:cs="Times New Roman"/>
          <w:noProof/>
          <w:sz w:val="24"/>
          <w:szCs w:val="24"/>
          <w:lang w:val="en-IE"/>
        </w:rPr>
        <w:footnoteReference w:id="16"/>
      </w:r>
      <w:r>
        <w:rPr>
          <w:rFonts w:ascii="Times New Roman" w:hAnsi="Times New Roman"/>
          <w:noProof/>
          <w:sz w:val="24"/>
        </w:rPr>
        <w:t>). Това ще спомогне за намаляване на въглеродния отпечатък на торовете.</w:t>
      </w:r>
    </w:p>
    <w:p w14:paraId="6A44EACF" w14:textId="77777777" w:rsidR="00356ADB" w:rsidRPr="00356ADB" w:rsidRDefault="00356ADB" w:rsidP="00356ADB">
      <w:pPr>
        <w:spacing w:afterLines="120" w:after="288" w:line="240" w:lineRule="auto"/>
        <w:jc w:val="both"/>
        <w:rPr>
          <w:rFonts w:ascii="Times New Roman" w:hAnsi="Times New Roman" w:cs="Times New Roman"/>
          <w:noProof/>
          <w:sz w:val="24"/>
          <w:szCs w:val="24"/>
        </w:rPr>
      </w:pPr>
      <w:r>
        <w:rPr>
          <w:rFonts w:ascii="Times New Roman" w:hAnsi="Times New Roman"/>
          <w:noProof/>
          <w:sz w:val="24"/>
        </w:rPr>
        <w:t xml:space="preserve">От юли 2022 г. с </w:t>
      </w:r>
      <w:r>
        <w:rPr>
          <w:rFonts w:ascii="Times New Roman" w:hAnsi="Times New Roman"/>
          <w:b/>
          <w:noProof/>
          <w:sz w:val="24"/>
        </w:rPr>
        <w:t>Регламента относно продуктите за наторяване</w:t>
      </w:r>
      <w:r>
        <w:rPr>
          <w:rStyle w:val="FootnoteReference"/>
          <w:rFonts w:ascii="Times New Roman" w:hAnsi="Times New Roman" w:cs="Times New Roman"/>
          <w:noProof/>
          <w:sz w:val="24"/>
          <w:szCs w:val="24"/>
          <w:lang w:val="en-IE"/>
        </w:rPr>
        <w:footnoteReference w:id="17"/>
      </w:r>
      <w:r>
        <w:rPr>
          <w:rFonts w:ascii="Times New Roman" w:hAnsi="Times New Roman"/>
          <w:noProof/>
          <w:sz w:val="24"/>
        </w:rPr>
        <w:t xml:space="preserve"> (РПН) единният пазар е отворен по-специално за торове, произведени от оползотворени отпадъци и странични продукти, налични в ЕС. С него </w:t>
      </w:r>
      <w:r>
        <w:rPr>
          <w:rFonts w:ascii="Times New Roman" w:hAnsi="Times New Roman"/>
          <w:b/>
          <w:noProof/>
          <w:sz w:val="24"/>
        </w:rPr>
        <w:t>се насърчават зелени и кръгови алтернативи</w:t>
      </w:r>
      <w:r>
        <w:rPr>
          <w:rFonts w:ascii="Times New Roman" w:hAnsi="Times New Roman"/>
          <w:noProof/>
          <w:sz w:val="24"/>
        </w:rPr>
        <w:t xml:space="preserve"> на природния газ и на добиваните в мини суровини за производството на торове. Специализираните продукти за наторяване в ЕС, като инхибирани торове, торове с контролирано освобождаване и растителни биостимулатори, ще повишат ефективността на използване и следователно ще намалят количествата торове, необходими за оптимизиране на добивите. Предстоящото определяне на крайните звена в производствената верига съгласно Регламента за страничните животински продукти, което се явява предварително условие за пазарния достъп, предоставен с РПН, ще представлява важна стъпка напред. </w:t>
      </w:r>
    </w:p>
    <w:p w14:paraId="70F0F86A" w14:textId="23BB2BAE" w:rsidR="0046184E" w:rsidRDefault="00356ADB" w:rsidP="005678E4">
      <w:pPr>
        <w:spacing w:afterLines="120" w:after="288" w:line="240" w:lineRule="auto"/>
        <w:jc w:val="both"/>
        <w:rPr>
          <w:rFonts w:ascii="Times New Roman" w:hAnsi="Times New Roman" w:cs="Times New Roman"/>
          <w:noProof/>
          <w:sz w:val="24"/>
          <w:szCs w:val="24"/>
        </w:rPr>
      </w:pPr>
      <w:r>
        <w:rPr>
          <w:rFonts w:ascii="Times New Roman" w:hAnsi="Times New Roman"/>
          <w:noProof/>
          <w:sz w:val="24"/>
        </w:rPr>
        <w:t xml:space="preserve">Разработването на методи за разширяване на </w:t>
      </w:r>
      <w:r>
        <w:rPr>
          <w:rFonts w:ascii="Times New Roman" w:hAnsi="Times New Roman"/>
          <w:b/>
          <w:noProof/>
          <w:sz w:val="24"/>
        </w:rPr>
        <w:t>ефективното рециклиране на хранителни вещества от органични отпадъци</w:t>
      </w:r>
      <w:r>
        <w:rPr>
          <w:rFonts w:ascii="Times New Roman" w:hAnsi="Times New Roman"/>
          <w:noProof/>
          <w:sz w:val="24"/>
        </w:rPr>
        <w:t xml:space="preserve"> (например животински тор, анаеробно разграждане, утайки и други потоци от органични отпадъци) във възобновяеми биопродукти за наторяване допринася за целите на </w:t>
      </w:r>
      <w:r>
        <w:rPr>
          <w:rFonts w:ascii="Times New Roman" w:hAnsi="Times New Roman"/>
          <w:b/>
          <w:noProof/>
          <w:sz w:val="24"/>
        </w:rPr>
        <w:t>стратегията „От</w:t>
      </w:r>
      <w:r w:rsidR="00A462F1">
        <w:rPr>
          <w:rFonts w:ascii="Times New Roman" w:hAnsi="Times New Roman"/>
          <w:b/>
          <w:noProof/>
          <w:sz w:val="24"/>
        </w:rPr>
        <w:t> </w:t>
      </w:r>
      <w:r>
        <w:rPr>
          <w:rFonts w:ascii="Times New Roman" w:hAnsi="Times New Roman"/>
          <w:b/>
          <w:noProof/>
          <w:sz w:val="24"/>
        </w:rPr>
        <w:t>фермата до трапезата“</w:t>
      </w:r>
      <w:r>
        <w:rPr>
          <w:rFonts w:ascii="Times New Roman" w:hAnsi="Times New Roman"/>
          <w:noProof/>
          <w:sz w:val="24"/>
        </w:rPr>
        <w:t>. Важен елемент в това отношение е разделянето и събирането на биологичните отпадъци. По-доброто използване на органичните отпадъци на местно ниво има не само екологични, но и икономически ползи за животновъдите и земеделските стопани и ще намали зависимостта на европейското селско стопанство от минерални торове от държави извън ЕС. На 26 октомври 2022 г. Комисията прие редакционна промяна на Директивата за пречистването на градските отпадъчни води</w:t>
      </w:r>
      <w:r>
        <w:rPr>
          <w:rFonts w:ascii="Times New Roman" w:hAnsi="Times New Roman" w:cs="Times New Roman"/>
          <w:noProof/>
          <w:sz w:val="24"/>
          <w:szCs w:val="24"/>
          <w:vertAlign w:val="superscript"/>
        </w:rPr>
        <w:footnoteReference w:id="18"/>
      </w:r>
      <w:r>
        <w:rPr>
          <w:rFonts w:ascii="Times New Roman" w:hAnsi="Times New Roman"/>
          <w:noProof/>
          <w:sz w:val="24"/>
        </w:rPr>
        <w:t xml:space="preserve">, включваща по-строги задължения за извличане на хранителните вещества от отпадъчните води, които след това могат да се използват отново в селското стопанство. </w:t>
      </w:r>
    </w:p>
    <w:p w14:paraId="6776E5F4" w14:textId="5064B25E" w:rsidR="005678E4" w:rsidRDefault="005678E4" w:rsidP="005678E4">
      <w:pPr>
        <w:spacing w:afterLines="120" w:after="288" w:line="240" w:lineRule="auto"/>
        <w:jc w:val="both"/>
        <w:rPr>
          <w:rFonts w:ascii="Times New Roman" w:hAnsi="Times New Roman" w:cs="Times New Roman"/>
          <w:noProof/>
          <w:sz w:val="24"/>
          <w:szCs w:val="24"/>
        </w:rPr>
      </w:pPr>
      <w:r>
        <w:rPr>
          <w:rFonts w:ascii="Times New Roman" w:hAnsi="Times New Roman"/>
          <w:b/>
          <w:noProof/>
          <w:sz w:val="24"/>
        </w:rPr>
        <w:t>Използването на оборски тор и преработен оборски тор</w:t>
      </w:r>
      <w:r>
        <w:rPr>
          <w:rFonts w:ascii="Times New Roman" w:hAnsi="Times New Roman" w:cs="Times New Roman"/>
          <w:noProof/>
          <w:sz w:val="24"/>
          <w:szCs w:val="24"/>
          <w:vertAlign w:val="superscript"/>
        </w:rPr>
        <w:footnoteReference w:id="19"/>
      </w:r>
      <w:r>
        <w:rPr>
          <w:rFonts w:ascii="Times New Roman" w:hAnsi="Times New Roman"/>
          <w:noProof/>
          <w:sz w:val="24"/>
        </w:rPr>
        <w:t xml:space="preserve"> в съответствие с Директивата за нитратите може да изиграе роля в подпомагането на земеделските стопани да намалят своята експонираност на нестабилните цени на минералните торове и да затворят циклите на хранителните вещества</w:t>
      </w:r>
      <w:r>
        <w:rPr>
          <w:rStyle w:val="FootnoteReference"/>
          <w:rFonts w:ascii="Times New Roman" w:hAnsi="Times New Roman" w:cs="Times New Roman"/>
          <w:noProof/>
          <w:sz w:val="24"/>
          <w:szCs w:val="24"/>
        </w:rPr>
        <w:footnoteReference w:id="20"/>
      </w:r>
      <w:r>
        <w:rPr>
          <w:rFonts w:ascii="Times New Roman" w:hAnsi="Times New Roman"/>
          <w:noProof/>
          <w:sz w:val="24"/>
        </w:rPr>
        <w:t xml:space="preserve">. Кръговата употреба на биологични отпадъци като тор ще бъде обсъдена в </w:t>
      </w:r>
      <w:r>
        <w:rPr>
          <w:rFonts w:ascii="Times New Roman" w:hAnsi="Times New Roman"/>
          <w:b/>
          <w:noProof/>
          <w:sz w:val="24"/>
        </w:rPr>
        <w:t>плана за действие за интегрирано управление на хранителните вещества</w:t>
      </w:r>
      <w:r>
        <w:rPr>
          <w:rFonts w:ascii="Times New Roman" w:hAnsi="Times New Roman"/>
          <w:noProof/>
          <w:sz w:val="24"/>
        </w:rPr>
        <w:t xml:space="preserve"> на Комисията, който ще бъде приет в началото на 2023 г. В този контекст Комисията ще направи също така оценка на други регулаторни и нерегулаторни стъпки, за да се даде възможност за по-широко използване на извлечените хранителни вещества от животинския тор. </w:t>
      </w:r>
    </w:p>
    <w:p w14:paraId="5760ADC3" w14:textId="77777777" w:rsidR="005E4C28" w:rsidRPr="005E4C28" w:rsidRDefault="005678E4" w:rsidP="006D4125">
      <w:pPr>
        <w:pStyle w:val="Heading2"/>
        <w:rPr>
          <w:noProof/>
        </w:rPr>
      </w:pPr>
      <w:r>
        <w:rPr>
          <w:noProof/>
        </w:rPr>
        <w:t>Алтернативни източници на доставки за внос и суспендиране на вносните мита за амоняк и карбамид</w:t>
      </w:r>
    </w:p>
    <w:p w14:paraId="32F6EFCD" w14:textId="7957561C" w:rsidR="00480CFF" w:rsidRDefault="00480CFF" w:rsidP="00BA6354">
      <w:pPr>
        <w:spacing w:afterLines="120" w:after="288" w:line="240" w:lineRule="auto"/>
        <w:jc w:val="both"/>
        <w:rPr>
          <w:rFonts w:ascii="Times New Roman" w:hAnsi="Times New Roman" w:cs="Times New Roman"/>
          <w:b/>
          <w:noProof/>
          <w:sz w:val="24"/>
          <w:szCs w:val="24"/>
          <w:bdr w:val="none" w:sz="0" w:space="0" w:color="auto" w:frame="1"/>
        </w:rPr>
      </w:pPr>
      <w:r>
        <w:rPr>
          <w:rFonts w:ascii="Times New Roman" w:hAnsi="Times New Roman"/>
          <w:b/>
          <w:noProof/>
          <w:sz w:val="24"/>
          <w:bdr w:val="none" w:sz="0" w:space="0" w:color="auto" w:frame="1"/>
        </w:rPr>
        <w:t>Диверсификацията на източниците на доставка на вносни торове и междинни продукти</w:t>
      </w:r>
      <w:r>
        <w:rPr>
          <w:rFonts w:ascii="Times New Roman" w:hAnsi="Times New Roman"/>
          <w:noProof/>
          <w:sz w:val="24"/>
          <w:bdr w:val="none" w:sz="0" w:space="0" w:color="auto" w:frame="1"/>
        </w:rPr>
        <w:t xml:space="preserve"> за осигуряване на наличност на торове представлява прагматична ответна реакция на производствените затруднения в ЕС, особено в регионите, където съществуват подходящи връзки с пристанищата. В това отношение споразуменията за свободна търговия (ССТ) на ЕС насърчават достъпа до торове от ключови търговски партньори. Това не омаловажава стратегическия интерес на ЕС от жизнеспособен отрасъл за производство на торове в ЕС.</w:t>
      </w:r>
    </w:p>
    <w:p w14:paraId="465A5CC5" w14:textId="77777777" w:rsidR="00480CFF" w:rsidRPr="00480CFF" w:rsidRDefault="00480CFF" w:rsidP="00480CFF">
      <w:pPr>
        <w:spacing w:afterLines="120" w:after="288" w:line="240" w:lineRule="auto"/>
        <w:jc w:val="both"/>
        <w:rPr>
          <w:rFonts w:ascii="Times New Roman" w:hAnsi="Times New Roman" w:cs="Times New Roman"/>
          <w:noProof/>
          <w:sz w:val="24"/>
          <w:szCs w:val="24"/>
          <w:bdr w:val="none" w:sz="0" w:space="0" w:color="auto" w:frame="1"/>
        </w:rPr>
      </w:pPr>
      <w:r>
        <w:rPr>
          <w:rFonts w:ascii="Times New Roman" w:hAnsi="Times New Roman"/>
          <w:noProof/>
          <w:sz w:val="24"/>
          <w:bdr w:val="none" w:sz="0" w:space="0" w:color="auto" w:frame="1"/>
        </w:rPr>
        <w:t xml:space="preserve">Комисията се обърна към </w:t>
      </w:r>
      <w:r>
        <w:rPr>
          <w:rFonts w:ascii="Times New Roman" w:hAnsi="Times New Roman"/>
          <w:b/>
          <w:noProof/>
          <w:sz w:val="24"/>
          <w:bdr w:val="none" w:sz="0" w:space="0" w:color="auto" w:frame="1"/>
        </w:rPr>
        <w:t>алтернативни доставчици на торове</w:t>
      </w:r>
      <w:r>
        <w:rPr>
          <w:rFonts w:ascii="Times New Roman" w:hAnsi="Times New Roman"/>
          <w:noProof/>
          <w:sz w:val="24"/>
          <w:bdr w:val="none" w:sz="0" w:space="0" w:color="auto" w:frame="1"/>
        </w:rPr>
        <w:t xml:space="preserve">, за да компенсира недостига от Русия и Беларус. Оман, Туркменистан и Катар бяха избрани като алтернативни източници на азотни торове. Икономиките на тези държави извън ЕС ще спечелят от този внос благодарение на увеличаването на растежа и на заетостта. Вносът от Египет и Алжир бележи чувствителен ръст (съответно с почти 20 % и 40 %), като има реална перспектива Египет да замени Русия като основен източник на внос за ЕС през 2022 г.  </w:t>
      </w:r>
    </w:p>
    <w:p w14:paraId="13A5CE7B" w14:textId="268F6B0E" w:rsidR="00480CFF" w:rsidRDefault="00480CFF" w:rsidP="00BA6354">
      <w:pPr>
        <w:spacing w:afterLines="120" w:after="288" w:line="240" w:lineRule="auto"/>
        <w:jc w:val="both"/>
        <w:rPr>
          <w:rFonts w:ascii="Times New Roman" w:hAnsi="Times New Roman" w:cs="Times New Roman"/>
          <w:noProof/>
          <w:sz w:val="24"/>
          <w:szCs w:val="24"/>
          <w:bdr w:val="none" w:sz="0" w:space="0" w:color="auto" w:frame="1"/>
        </w:rPr>
      </w:pPr>
      <w:r>
        <w:rPr>
          <w:rFonts w:ascii="Times New Roman" w:hAnsi="Times New Roman"/>
          <w:b/>
          <w:noProof/>
          <w:sz w:val="24"/>
          <w:bdr w:val="none" w:sz="0" w:space="0" w:color="auto" w:frame="1"/>
        </w:rPr>
        <w:t>Митата за най-облагодетелствана нация</w:t>
      </w:r>
      <w:r>
        <w:rPr>
          <w:rFonts w:ascii="Times New Roman" w:hAnsi="Times New Roman"/>
          <w:noProof/>
          <w:sz w:val="24"/>
          <w:bdr w:val="none" w:sz="0" w:space="0" w:color="auto" w:frame="1"/>
        </w:rPr>
        <w:t xml:space="preserve"> от 6,5 % се прилагат за вноса на азотни торове в ЕС</w:t>
      </w:r>
      <w:r>
        <w:rPr>
          <w:rFonts w:ascii="Times New Roman" w:hAnsi="Times New Roman" w:cs="Times New Roman"/>
          <w:noProof/>
          <w:sz w:val="24"/>
          <w:szCs w:val="24"/>
          <w:bdr w:val="none" w:sz="0" w:space="0" w:color="auto" w:frame="1"/>
          <w:vertAlign w:val="superscript"/>
        </w:rPr>
        <w:footnoteReference w:id="21"/>
      </w:r>
      <w:r>
        <w:rPr>
          <w:rFonts w:ascii="Times New Roman" w:hAnsi="Times New Roman"/>
          <w:noProof/>
          <w:sz w:val="24"/>
        </w:rPr>
        <w:t>.</w:t>
      </w:r>
      <w:r>
        <w:rPr>
          <w:rFonts w:ascii="Times New Roman" w:hAnsi="Times New Roman"/>
          <w:noProof/>
          <w:sz w:val="24"/>
          <w:bdr w:val="none" w:sz="0" w:space="0" w:color="auto" w:frame="1"/>
        </w:rPr>
        <w:t xml:space="preserve"> Комисията предложи тези митнически ставки да бъдат суспендирани за два ключови междинни продукта, използвани в производството на азотни торове, а именно амоняк и карбамид, до края на 2024 г.</w:t>
      </w:r>
      <w:r>
        <w:rPr>
          <w:rFonts w:ascii="Times New Roman" w:hAnsi="Times New Roman" w:cs="Times New Roman"/>
          <w:noProof/>
          <w:sz w:val="24"/>
          <w:szCs w:val="24"/>
          <w:bdr w:val="none" w:sz="0" w:space="0" w:color="auto" w:frame="1"/>
          <w:vertAlign w:val="superscript"/>
        </w:rPr>
        <w:footnoteReference w:id="22"/>
      </w:r>
      <w:r>
        <w:rPr>
          <w:rFonts w:ascii="Times New Roman" w:hAnsi="Times New Roman"/>
          <w:noProof/>
          <w:sz w:val="24"/>
          <w:bdr w:val="none" w:sz="0" w:space="0" w:color="auto" w:frame="1"/>
        </w:rPr>
        <w:t xml:space="preserve">. По този начин ще се решат проблемите, свързани с наличността и с финансовата достъпност на доставките на амоняк и карбамид, и ще се насърчи диверсификацията на вноса. Това предложение понастоящем се обсъжда в Съвета. През 2019 г., след разследване относно дъмпинг, причиняващ вреда на промишлеността на ЕС, Комисията наложи </w:t>
      </w:r>
      <w:r>
        <w:rPr>
          <w:rFonts w:ascii="Times New Roman" w:hAnsi="Times New Roman"/>
          <w:b/>
          <w:noProof/>
          <w:sz w:val="24"/>
          <w:bdr w:val="none" w:sz="0" w:space="0" w:color="auto" w:frame="1"/>
        </w:rPr>
        <w:t>антидъмпингови мита</w:t>
      </w:r>
      <w:r>
        <w:rPr>
          <w:rFonts w:ascii="Times New Roman" w:hAnsi="Times New Roman"/>
          <w:noProof/>
          <w:sz w:val="24"/>
          <w:bdr w:val="none" w:sz="0" w:space="0" w:color="auto" w:frame="1"/>
        </w:rPr>
        <w:t xml:space="preserve"> върху вноса на карбамиден амониев нитрат (КАН) от Русия, Тринидад и Тобаго и Съединените щати. На 26 октомври 2022 г. Комисията реши да не ги суспендира</w:t>
      </w:r>
      <w:r>
        <w:rPr>
          <w:rStyle w:val="FootnoteReference"/>
          <w:rFonts w:ascii="Times New Roman" w:hAnsi="Times New Roman" w:cs="Times New Roman"/>
          <w:noProof/>
          <w:sz w:val="24"/>
          <w:szCs w:val="24"/>
          <w:bdr w:val="none" w:sz="0" w:space="0" w:color="auto" w:frame="1"/>
        </w:rPr>
        <w:footnoteReference w:id="23"/>
      </w:r>
      <w:r>
        <w:rPr>
          <w:rFonts w:ascii="Times New Roman" w:hAnsi="Times New Roman"/>
          <w:noProof/>
          <w:sz w:val="24"/>
          <w:bdr w:val="none" w:sz="0" w:space="0" w:color="auto" w:frame="1"/>
        </w:rPr>
        <w:t xml:space="preserve">. </w:t>
      </w:r>
    </w:p>
    <w:p w14:paraId="1E0BFF0D" w14:textId="391B4EBE" w:rsidR="005E4C28" w:rsidRPr="005E4C28" w:rsidRDefault="005E4C28" w:rsidP="0082240B">
      <w:pPr>
        <w:pStyle w:val="Heading2"/>
        <w:rPr>
          <w:noProof/>
        </w:rPr>
      </w:pPr>
      <w:r>
        <w:rPr>
          <w:noProof/>
        </w:rPr>
        <w:t>Мерки за гарантиране на сигурността на доставките и на финансовата достъпност на газа</w:t>
      </w:r>
    </w:p>
    <w:p w14:paraId="4D444CF2" w14:textId="67A8972D" w:rsidR="00480CFF" w:rsidRDefault="00480CFF" w:rsidP="00BA6354">
      <w:pPr>
        <w:spacing w:afterLines="120" w:after="288" w:line="240" w:lineRule="auto"/>
        <w:jc w:val="both"/>
        <w:rPr>
          <w:rFonts w:ascii="Times New Roman" w:hAnsi="Times New Roman" w:cs="Times New Roman"/>
          <w:noProof/>
          <w:sz w:val="24"/>
          <w:szCs w:val="24"/>
        </w:rPr>
      </w:pPr>
      <w:r>
        <w:rPr>
          <w:rFonts w:ascii="Times New Roman" w:hAnsi="Times New Roman"/>
          <w:noProof/>
          <w:sz w:val="24"/>
        </w:rPr>
        <w:t>През изминалата година Комисията предприе решителни стъпки, за да гарантира сигурността на доставките на газ и да стабилизира пазарите на газ. На 13 октомври 2021 г.</w:t>
      </w:r>
      <w:r>
        <w:rPr>
          <w:rFonts w:ascii="Times New Roman" w:hAnsi="Times New Roman"/>
          <w:i/>
          <w:noProof/>
          <w:sz w:val="24"/>
        </w:rPr>
        <w:t xml:space="preserve"> </w:t>
      </w:r>
      <w:r>
        <w:rPr>
          <w:rFonts w:ascii="Times New Roman" w:hAnsi="Times New Roman"/>
          <w:noProof/>
          <w:sz w:val="24"/>
        </w:rPr>
        <w:t>Комисията публикува насоки за държавите членки („</w:t>
      </w:r>
      <w:r>
        <w:rPr>
          <w:rFonts w:ascii="Times New Roman" w:hAnsi="Times New Roman"/>
          <w:b/>
          <w:noProof/>
          <w:sz w:val="24"/>
        </w:rPr>
        <w:t>Инструментариум за цените на енергията</w:t>
      </w:r>
      <w:r>
        <w:rPr>
          <w:rFonts w:ascii="Times New Roman" w:hAnsi="Times New Roman"/>
          <w:noProof/>
          <w:sz w:val="24"/>
        </w:rPr>
        <w:t>“) за справяне с непосредственото въздействие на увеличенията на цените и за по-нататъшно укрепване на устойчивостта срещу бъдещи сътресения</w:t>
      </w:r>
      <w:r>
        <w:rPr>
          <w:rStyle w:val="FootnoteReference"/>
          <w:rFonts w:ascii="Times New Roman" w:hAnsi="Times New Roman" w:cs="Times New Roman"/>
          <w:noProof/>
          <w:sz w:val="24"/>
          <w:szCs w:val="24"/>
        </w:rPr>
        <w:footnoteReference w:id="24"/>
      </w:r>
      <w:r>
        <w:rPr>
          <w:rFonts w:ascii="Times New Roman" w:hAnsi="Times New Roman"/>
          <w:noProof/>
          <w:sz w:val="24"/>
        </w:rPr>
        <w:t xml:space="preserve">. </w:t>
      </w:r>
    </w:p>
    <w:p w14:paraId="5048B4BB" w14:textId="77777777" w:rsidR="00A37159" w:rsidRDefault="00A37159" w:rsidP="00BA6354">
      <w:pPr>
        <w:spacing w:afterLines="120" w:after="288" w:line="240" w:lineRule="auto"/>
        <w:jc w:val="both"/>
        <w:rPr>
          <w:rFonts w:ascii="Times New Roman" w:hAnsi="Times New Roman" w:cs="Times New Roman"/>
          <w:noProof/>
          <w:sz w:val="24"/>
          <w:szCs w:val="24"/>
        </w:rPr>
      </w:pPr>
      <w:r>
        <w:rPr>
          <w:rFonts w:ascii="Times New Roman" w:hAnsi="Times New Roman"/>
          <w:noProof/>
          <w:sz w:val="24"/>
        </w:rPr>
        <w:t xml:space="preserve">С </w:t>
      </w:r>
      <w:r>
        <w:rPr>
          <w:rFonts w:ascii="Times New Roman" w:hAnsi="Times New Roman"/>
          <w:b/>
          <w:noProof/>
          <w:sz w:val="24"/>
        </w:rPr>
        <w:t>плана REPower на ЕС</w:t>
      </w:r>
      <w:r>
        <w:rPr>
          <w:rFonts w:ascii="Times New Roman" w:hAnsi="Times New Roman"/>
          <w:noProof/>
          <w:sz w:val="24"/>
        </w:rPr>
        <w:t xml:space="preserve"> от 18 май 2022 г. бяха въведени мерки за декарбонизация на газовите пазари и насърчаване на използването на газ от възобновяеми източници, както и за икономии на енергия, диверсификация на енергийните доставки и ускорено въвеждане на възобновяемата енергия, за да се ограничи въздействието на прекъсването на доставките и да се овладеят цените на енергията.</w:t>
      </w:r>
    </w:p>
    <w:p w14:paraId="104A5B74" w14:textId="342EF160" w:rsidR="005B02D2" w:rsidRDefault="00DD0EAD" w:rsidP="005B02D2">
      <w:pPr>
        <w:spacing w:afterLines="120" w:after="288" w:line="240" w:lineRule="auto"/>
        <w:jc w:val="both"/>
        <w:rPr>
          <w:rFonts w:ascii="Times New Roman" w:hAnsi="Times New Roman" w:cs="Times New Roman"/>
          <w:noProof/>
          <w:sz w:val="24"/>
          <w:szCs w:val="24"/>
          <w:shd w:val="clear" w:color="auto" w:fill="FFFFFF"/>
        </w:rPr>
      </w:pPr>
      <w:r>
        <w:rPr>
          <w:rFonts w:ascii="Times New Roman" w:hAnsi="Times New Roman"/>
          <w:noProof/>
          <w:sz w:val="24"/>
        </w:rPr>
        <w:t xml:space="preserve">В съобщението си от юли 2022 г. </w:t>
      </w:r>
      <w:r>
        <w:rPr>
          <w:rFonts w:ascii="Times New Roman" w:hAnsi="Times New Roman"/>
          <w:b/>
          <w:noProof/>
          <w:sz w:val="24"/>
        </w:rPr>
        <w:t>„Да пестим газ за безпроблемна зима“</w:t>
      </w:r>
      <w:r>
        <w:rPr>
          <w:rFonts w:ascii="Times New Roman" w:hAnsi="Times New Roman" w:cs="Times New Roman"/>
          <w:noProof/>
          <w:sz w:val="24"/>
          <w:szCs w:val="24"/>
          <w:vertAlign w:val="superscript"/>
          <w:lang w:eastAsia="fr-BE"/>
        </w:rPr>
        <w:footnoteReference w:id="25"/>
      </w:r>
      <w:r>
        <w:rPr>
          <w:rFonts w:ascii="Times New Roman" w:hAnsi="Times New Roman"/>
          <w:noProof/>
          <w:sz w:val="24"/>
        </w:rPr>
        <w:t xml:space="preserve"> Комисията повиши подготвеността на ЕС за тази зима. </w:t>
      </w:r>
      <w:r>
        <w:rPr>
          <w:rFonts w:ascii="Times New Roman" w:hAnsi="Times New Roman"/>
          <w:b/>
          <w:noProof/>
          <w:sz w:val="24"/>
          <w:shd w:val="clear" w:color="auto" w:fill="FFFFFF"/>
        </w:rPr>
        <w:t>Мерките за намаляване на търсенето</w:t>
      </w:r>
      <w:r>
        <w:rPr>
          <w:rFonts w:ascii="Times New Roman" w:hAnsi="Times New Roman"/>
          <w:noProof/>
          <w:sz w:val="24"/>
          <w:shd w:val="clear" w:color="auto" w:fill="FFFFFF"/>
        </w:rPr>
        <w:t>, заедно с усилията, положени в съответствие с Регламента за съхранение на газ, за достигане и дори надхвърляне на целите на Съюза за съхранение на газ, постигнаха своята цел. Цените, въпреки че все още са на исторически много високи равнища, са намалели в сравнение с най-високите си стойности, достигнати през август 2022 г.</w:t>
      </w:r>
      <w:r>
        <w:rPr>
          <w:rFonts w:ascii="Times New Roman" w:hAnsi="Times New Roman"/>
          <w:noProof/>
          <w:sz w:val="24"/>
        </w:rPr>
        <w:t xml:space="preserve"> Комисията предостави насоки на държавите членки относно отраслите, които се считат за критични или стратегически от обществена гледна точка, за целите на приоритизирането. Хранително-вкусовият отрасъл е определен като критичен, а отрасълът на торовете — като снабдяващ </w:t>
      </w:r>
      <w:r>
        <w:rPr>
          <w:rFonts w:ascii="Times New Roman" w:hAnsi="Times New Roman"/>
          <w:b/>
          <w:noProof/>
          <w:sz w:val="24"/>
        </w:rPr>
        <w:t>социално критичния селскостопански отрасъл</w:t>
      </w:r>
      <w:r>
        <w:rPr>
          <w:rFonts w:ascii="Times New Roman" w:hAnsi="Times New Roman"/>
          <w:noProof/>
          <w:sz w:val="24"/>
        </w:rPr>
        <w:t xml:space="preserve"> в целия ЕС. Комисията </w:t>
      </w:r>
      <w:r>
        <w:rPr>
          <w:rFonts w:ascii="Times New Roman" w:hAnsi="Times New Roman"/>
          <w:b/>
          <w:noProof/>
          <w:sz w:val="24"/>
        </w:rPr>
        <w:t>подчертава, че държавите членки могат да дадат приоритет на постоянния и непрекъснат достъп до природен газ</w:t>
      </w:r>
      <w:r>
        <w:rPr>
          <w:rFonts w:ascii="Times New Roman" w:hAnsi="Times New Roman"/>
          <w:noProof/>
          <w:sz w:val="24"/>
        </w:rPr>
        <w:t xml:space="preserve"> за производителите на торове</w:t>
      </w:r>
      <w:r>
        <w:rPr>
          <w:noProof/>
        </w:rPr>
        <w:t xml:space="preserve"> </w:t>
      </w:r>
      <w:r>
        <w:rPr>
          <w:rFonts w:ascii="Times New Roman" w:hAnsi="Times New Roman"/>
          <w:noProof/>
          <w:sz w:val="24"/>
          <w:shd w:val="clear" w:color="auto" w:fill="FFFFFF"/>
        </w:rPr>
        <w:t>в случай на нормирано разпределение на природния газ чрез своите национални планове за извънредни ситуации</w:t>
      </w:r>
      <w:r>
        <w:rPr>
          <w:rFonts w:ascii="Times New Roman" w:hAnsi="Times New Roman"/>
          <w:noProof/>
          <w:sz w:val="24"/>
        </w:rPr>
        <w:t xml:space="preserve">. </w:t>
      </w:r>
    </w:p>
    <w:p w14:paraId="0FA32BBD" w14:textId="6FC8971F" w:rsidR="007D4CDE" w:rsidRDefault="007D4CDE" w:rsidP="007D4CDE">
      <w:pPr>
        <w:spacing w:afterLines="120" w:after="288" w:line="240" w:lineRule="auto"/>
        <w:jc w:val="both"/>
        <w:rPr>
          <w:rFonts w:ascii="Times New Roman" w:hAnsi="Times New Roman" w:cs="Times New Roman"/>
          <w:noProof/>
          <w:sz w:val="24"/>
          <w:szCs w:val="24"/>
        </w:rPr>
      </w:pPr>
      <w:r>
        <w:rPr>
          <w:rFonts w:ascii="Times New Roman" w:hAnsi="Times New Roman"/>
          <w:noProof/>
          <w:sz w:val="24"/>
        </w:rPr>
        <w:t>Неотдавна, на 18 октомври 2022 г., Комисията предложи нов спешен регламент за справяне с високите цени на газа в ЕС и за гарантиране на сигурността на доставките през тази зима</w:t>
      </w:r>
      <w:r>
        <w:rPr>
          <w:rStyle w:val="FootnoteReference"/>
          <w:rFonts w:ascii="Times New Roman" w:hAnsi="Times New Roman" w:cs="Times New Roman"/>
          <w:noProof/>
          <w:sz w:val="24"/>
          <w:szCs w:val="24"/>
          <w:lang w:eastAsia="fr-BE"/>
        </w:rPr>
        <w:footnoteReference w:id="26"/>
      </w:r>
      <w:r>
        <w:rPr>
          <w:rFonts w:ascii="Times New Roman" w:hAnsi="Times New Roman"/>
          <w:noProof/>
          <w:sz w:val="24"/>
        </w:rPr>
        <w:t xml:space="preserve">. Това ще бъде постигнато чрез съвместно закупуване на газ, механизми за ограничаване на цените, нови мерки за прозрачно използване на инфраструктурата и солидарност между държавите членки, както и непрекъснати усилия за намаляване на търсенето на газ. Тези нови мерки ще спомогнат за допълнително </w:t>
      </w:r>
      <w:r>
        <w:rPr>
          <w:rFonts w:ascii="Times New Roman" w:hAnsi="Times New Roman"/>
          <w:b/>
          <w:noProof/>
          <w:sz w:val="24"/>
        </w:rPr>
        <w:t>смекчаване на ценовия натиск, който изпитват европейските граждани и промишленост</w:t>
      </w:r>
      <w:r>
        <w:rPr>
          <w:rFonts w:ascii="Times New Roman" w:hAnsi="Times New Roman"/>
          <w:noProof/>
          <w:sz w:val="24"/>
        </w:rPr>
        <w:t>, като същевременно ще гарантират сигурност на доставките и функциониращ вътрешен пазар.</w:t>
      </w:r>
    </w:p>
    <w:p w14:paraId="01D1A6CA" w14:textId="13FC472F" w:rsidR="005E4C28" w:rsidRPr="005E4C28" w:rsidRDefault="00FD37A1" w:rsidP="0082240B">
      <w:pPr>
        <w:pStyle w:val="Heading2"/>
        <w:rPr>
          <w:noProof/>
        </w:rPr>
      </w:pPr>
      <w:r>
        <w:rPr>
          <w:noProof/>
        </w:rPr>
        <w:t>Насърчаване на производството на „зелен“ амоняк и биометан</w:t>
      </w:r>
    </w:p>
    <w:p w14:paraId="62F83E8A" w14:textId="6A40AE64" w:rsidR="00FD37A1" w:rsidRDefault="00FD37A1" w:rsidP="00BA6354">
      <w:pPr>
        <w:spacing w:afterLines="120" w:after="288" w:line="240" w:lineRule="auto"/>
        <w:jc w:val="both"/>
        <w:rPr>
          <w:rFonts w:ascii="Times New Roman" w:hAnsi="Times New Roman" w:cs="Times New Roman"/>
          <w:noProof/>
          <w:sz w:val="24"/>
          <w:szCs w:val="24"/>
        </w:rPr>
      </w:pPr>
      <w:r>
        <w:rPr>
          <w:rFonts w:ascii="Times New Roman" w:hAnsi="Times New Roman"/>
          <w:noProof/>
          <w:sz w:val="24"/>
        </w:rPr>
        <w:t xml:space="preserve">Що се отнася до азотните торове, </w:t>
      </w:r>
      <w:r>
        <w:rPr>
          <w:rFonts w:ascii="Times New Roman" w:hAnsi="Times New Roman"/>
          <w:b/>
          <w:noProof/>
          <w:sz w:val="24"/>
        </w:rPr>
        <w:t>амонякът</w:t>
      </w:r>
      <w:r>
        <w:rPr>
          <w:rFonts w:ascii="Times New Roman" w:hAnsi="Times New Roman"/>
          <w:noProof/>
          <w:sz w:val="24"/>
        </w:rPr>
        <w:t xml:space="preserve">, </w:t>
      </w:r>
      <w:r>
        <w:rPr>
          <w:rFonts w:ascii="Times New Roman" w:hAnsi="Times New Roman"/>
          <w:b/>
          <w:noProof/>
          <w:sz w:val="24"/>
        </w:rPr>
        <w:t>произвеждан при използване на водород от възобновяеми източници, нисковъглероден водород и водород от неизкопаеми източници</w:t>
      </w:r>
      <w:r>
        <w:rPr>
          <w:rFonts w:ascii="Times New Roman" w:hAnsi="Times New Roman"/>
          <w:noProof/>
          <w:sz w:val="24"/>
        </w:rPr>
        <w:t>, е технология, която обещава значително да намали емисиите на парникови газове при процеса на производство на торове. Очакванията са използването на водород от възобновяеми източници освен това да премахне зависимостта на ЕС от природния газ за производството на торове. При все че в момента са в ход много на брой мащабни проекти, производството на значителни количества торове по тях ще започне едва от 2025 г. нататък.</w:t>
      </w:r>
    </w:p>
    <w:p w14:paraId="688425F3" w14:textId="5284B9E2" w:rsidR="00FD37A1" w:rsidRPr="00FD37A1" w:rsidRDefault="00FD37A1" w:rsidP="00FD37A1">
      <w:pPr>
        <w:spacing w:afterLines="120" w:after="288" w:line="240" w:lineRule="auto"/>
        <w:jc w:val="both"/>
        <w:rPr>
          <w:rFonts w:ascii="Times New Roman" w:hAnsi="Times New Roman" w:cs="Times New Roman"/>
          <w:noProof/>
          <w:sz w:val="24"/>
          <w:szCs w:val="24"/>
        </w:rPr>
      </w:pPr>
      <w:r>
        <w:rPr>
          <w:rFonts w:ascii="Times New Roman" w:hAnsi="Times New Roman"/>
          <w:noProof/>
          <w:sz w:val="24"/>
        </w:rPr>
        <w:t xml:space="preserve">Предизвикателствата пред увеличаването на производството на амоняк на основата на водород от възобновяеми източници остават, включително липсата на инфраструктура, ускоряването на процедурите за издаване на разрешителни и регулаторна рамка, която все още е в процес на разработване. В плана </w:t>
      </w:r>
      <w:r>
        <w:rPr>
          <w:rFonts w:ascii="Times New Roman" w:hAnsi="Times New Roman"/>
          <w:b/>
          <w:noProof/>
          <w:sz w:val="24"/>
        </w:rPr>
        <w:t>REPowerEU</w:t>
      </w:r>
      <w:r>
        <w:rPr>
          <w:rFonts w:ascii="Times New Roman" w:hAnsi="Times New Roman"/>
          <w:noProof/>
          <w:sz w:val="24"/>
        </w:rPr>
        <w:t xml:space="preserve"> са представени определен брой действия за справяне с тези предизвикателства. С</w:t>
      </w:r>
      <w:r w:rsidR="00A462F1">
        <w:rPr>
          <w:rFonts w:ascii="Times New Roman" w:hAnsi="Times New Roman"/>
          <w:noProof/>
          <w:sz w:val="24"/>
        </w:rPr>
        <w:t> </w:t>
      </w:r>
      <w:r>
        <w:rPr>
          <w:rFonts w:ascii="Times New Roman" w:hAnsi="Times New Roman"/>
          <w:noProof/>
          <w:sz w:val="24"/>
        </w:rPr>
        <w:t>поскъпването на цените на природния газ тези проекти стават икономически изгодни в сравнение с амоняка на основата на природен газ, което ускорява внедряването на този план. За да се подпомогне разрастването на икономиката с водород от възобновяеми източници в ЕС, ще бъде създадена нова европейска банка за инвестиции във водород, която ще инвестира 3 милиарда евро в незабавното създаване на пазар на водород в ЕС, включително чрез постигане на съответствие между предлагането и търсенето.</w:t>
      </w:r>
    </w:p>
    <w:p w14:paraId="30B0C8C0" w14:textId="5147F1BB" w:rsidR="00FD37A1" w:rsidRPr="00FD37A1" w:rsidRDefault="00B64E5B" w:rsidP="00FD37A1">
      <w:pPr>
        <w:spacing w:afterLines="120" w:after="288" w:line="240" w:lineRule="auto"/>
        <w:jc w:val="both"/>
        <w:rPr>
          <w:rFonts w:ascii="Times New Roman" w:hAnsi="Times New Roman" w:cs="Times New Roman"/>
          <w:noProof/>
          <w:sz w:val="24"/>
          <w:szCs w:val="24"/>
        </w:rPr>
      </w:pPr>
      <w:r>
        <w:rPr>
          <w:rFonts w:ascii="Times New Roman" w:hAnsi="Times New Roman"/>
          <w:noProof/>
          <w:sz w:val="24"/>
        </w:rPr>
        <w:t xml:space="preserve">Освен временната рамка за държавна помощ при кризи, Комисията наскоро преразгледа и модернизира своя </w:t>
      </w:r>
      <w:r>
        <w:rPr>
          <w:rFonts w:ascii="Times New Roman" w:hAnsi="Times New Roman"/>
          <w:b/>
          <w:noProof/>
          <w:sz w:val="24"/>
        </w:rPr>
        <w:t>инструментариум за държавна помощ</w:t>
      </w:r>
      <w:r>
        <w:rPr>
          <w:rStyle w:val="FootnoteReference"/>
          <w:rFonts w:ascii="Times New Roman" w:hAnsi="Times New Roman" w:cs="Times New Roman"/>
          <w:noProof/>
          <w:sz w:val="24"/>
          <w:szCs w:val="24"/>
        </w:rPr>
        <w:footnoteReference w:id="27"/>
      </w:r>
      <w:r>
        <w:rPr>
          <w:rFonts w:ascii="Times New Roman" w:hAnsi="Times New Roman"/>
          <w:noProof/>
          <w:sz w:val="24"/>
        </w:rPr>
        <w:t xml:space="preserve">, който държавите членки могат да използват, за да подкрепят преминаването на европейския отрасъл за азотни торове към електроенергия, произведена от възобновяеми енергийни източници или водород от възобновяеми източници, в комбинация с местни проекти за кръгово оползотворяване на хранителни вещества, ако са изпълнени съответните условия.  </w:t>
      </w:r>
    </w:p>
    <w:p w14:paraId="09122FB1" w14:textId="08F1BE86" w:rsidR="00FD37A1" w:rsidRPr="00FD37A1" w:rsidRDefault="00FD37A1" w:rsidP="00B64E5B">
      <w:pPr>
        <w:spacing w:afterLines="120" w:after="288" w:line="240" w:lineRule="auto"/>
        <w:jc w:val="both"/>
        <w:rPr>
          <w:rFonts w:ascii="Times New Roman" w:hAnsi="Times New Roman" w:cs="Times New Roman"/>
          <w:noProof/>
          <w:sz w:val="24"/>
          <w:szCs w:val="24"/>
        </w:rPr>
      </w:pPr>
      <w:r>
        <w:rPr>
          <w:rFonts w:ascii="Times New Roman" w:hAnsi="Times New Roman"/>
          <w:noProof/>
          <w:sz w:val="24"/>
        </w:rPr>
        <w:t xml:space="preserve">Комисията ще се стреми да гарантира наличието на стабилна и работеща регулаторна среда, регламентираща производството на водород от възобновяеми източници и нисковъглероден водород, като по този начин се гарантира бързото развитие на пазар за торове, произведени на основата на въглерод от възобновяеми източници и нисковъглероден водород. Комисията скоро ще публикува два делегирани акта съгласно Директива (ЕС) 2018/2001 за създаване на регулаторна рамка за възобновяеми горива от небиологичен произход. </w:t>
      </w:r>
    </w:p>
    <w:p w14:paraId="19BC46C9" w14:textId="1269C11B" w:rsidR="00FD37A1" w:rsidRDefault="00FD37A1" w:rsidP="00FD37A1">
      <w:pPr>
        <w:spacing w:afterLines="120" w:after="288" w:line="240" w:lineRule="auto"/>
        <w:jc w:val="both"/>
        <w:rPr>
          <w:rFonts w:ascii="Times New Roman" w:hAnsi="Times New Roman" w:cs="Times New Roman"/>
          <w:noProof/>
          <w:sz w:val="24"/>
          <w:szCs w:val="24"/>
        </w:rPr>
      </w:pPr>
      <w:r>
        <w:rPr>
          <w:rFonts w:ascii="Times New Roman" w:hAnsi="Times New Roman"/>
          <w:b/>
          <w:noProof/>
          <w:sz w:val="24"/>
        </w:rPr>
        <w:t>Биометанът</w:t>
      </w:r>
      <w:r>
        <w:rPr>
          <w:rFonts w:ascii="Times New Roman" w:hAnsi="Times New Roman"/>
          <w:noProof/>
          <w:sz w:val="24"/>
        </w:rPr>
        <w:t xml:space="preserve"> има обещаващ потенциал за заместване на газа, особено в зоните, в които водородът от възобновяеми източници би бил по-малко би бил по-малко конкурентоспособен. Както е посочено в плана REPowerEU, увеличаването на устойчивото производство на биометан до 35 милиарда кубични метра до 2030 г. е икономически ефективен начин за постигане на амбицията на ЕС за намаляване на вноса на природен газ от Русия. Това не само ще осигури възобновяема енергия и ще увеличи доходите на земеделските стопани, но и ще създаде нов поток от доставки на органични торове. На 28 септември 2022 г. беше поставено началото на </w:t>
      </w:r>
      <w:r>
        <w:rPr>
          <w:rFonts w:ascii="Times New Roman" w:hAnsi="Times New Roman"/>
          <w:b/>
          <w:noProof/>
          <w:sz w:val="24"/>
        </w:rPr>
        <w:t>Европейското промишлено партньорство за биометан</w:t>
      </w:r>
      <w:r>
        <w:rPr>
          <w:rFonts w:ascii="Times New Roman" w:hAnsi="Times New Roman"/>
          <w:noProof/>
          <w:sz w:val="24"/>
        </w:rPr>
        <w:t>, чиято цел e до 2030 г. годишното производство и използване на биометан да достигне 35 милиарда кубични метра.</w:t>
      </w:r>
    </w:p>
    <w:p w14:paraId="66F44A4F" w14:textId="527C6DBB" w:rsidR="005E4C28" w:rsidRPr="005E4C28" w:rsidRDefault="00FD37A1" w:rsidP="00BA6354">
      <w:pPr>
        <w:spacing w:afterLines="120" w:after="288" w:line="240" w:lineRule="auto"/>
        <w:jc w:val="both"/>
        <w:rPr>
          <w:rFonts w:ascii="Times New Roman" w:hAnsi="Times New Roman" w:cs="Times New Roman"/>
          <w:noProof/>
          <w:sz w:val="24"/>
          <w:szCs w:val="24"/>
        </w:rPr>
      </w:pPr>
      <w:r>
        <w:rPr>
          <w:rFonts w:ascii="Times New Roman" w:hAnsi="Times New Roman"/>
          <w:noProof/>
          <w:sz w:val="24"/>
        </w:rPr>
        <w:t xml:space="preserve">Освен това Комисията ще проучи мерките, които могат да спомогнат </w:t>
      </w:r>
      <w:r>
        <w:rPr>
          <w:rFonts w:ascii="Times New Roman" w:hAnsi="Times New Roman"/>
          <w:b/>
          <w:noProof/>
          <w:sz w:val="24"/>
        </w:rPr>
        <w:t>„зелените“ торове да станат конкурентоспособни на пазара</w:t>
      </w:r>
      <w:r>
        <w:rPr>
          <w:rFonts w:ascii="Times New Roman" w:hAnsi="Times New Roman"/>
          <w:noProof/>
          <w:sz w:val="24"/>
        </w:rPr>
        <w:t>, докато тече преходът към напълно декарбонизирана икономика.</w:t>
      </w:r>
    </w:p>
    <w:p w14:paraId="44D3A8DE" w14:textId="77777777" w:rsidR="009515A5" w:rsidRPr="00B221F1" w:rsidRDefault="009515A5" w:rsidP="00BA6354">
      <w:pPr>
        <w:pStyle w:val="Heading1"/>
        <w:spacing w:afterLines="120" w:after="288"/>
        <w:rPr>
          <w:rStyle w:val="Strong"/>
          <w:b/>
          <w:bCs w:val="0"/>
          <w:noProof/>
        </w:rPr>
      </w:pPr>
      <w:bookmarkStart w:id="4" w:name="_Toc97811381"/>
      <w:bookmarkStart w:id="5" w:name="_Hlk97561944"/>
      <w:r>
        <w:rPr>
          <w:rStyle w:val="Strong"/>
          <w:b/>
          <w:noProof/>
        </w:rPr>
        <w:t>Гарантиране на наличността и финансовата достъпност на торовете в света</w:t>
      </w:r>
    </w:p>
    <w:bookmarkEnd w:id="4"/>
    <w:p w14:paraId="07022345" w14:textId="77777777" w:rsidR="00A755E5" w:rsidRPr="0045137E" w:rsidRDefault="00A755E5" w:rsidP="0082240B">
      <w:pPr>
        <w:pStyle w:val="Heading2"/>
        <w:rPr>
          <w:noProof/>
        </w:rPr>
      </w:pPr>
      <w:r>
        <w:rPr>
          <w:noProof/>
        </w:rPr>
        <w:t xml:space="preserve">Подкрепата на ЕС по многостранни и двустранни инициативи </w:t>
      </w:r>
    </w:p>
    <w:p w14:paraId="4F080BBD" w14:textId="276B10DB" w:rsidR="008D63B6" w:rsidRDefault="003A487D" w:rsidP="003A487D">
      <w:pPr>
        <w:spacing w:afterLines="120" w:after="288"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Европейският съюз реагира бързо на системния шок, породен от руската агресия срещу Украйна, в отговор на световната продоволствена несигурност чрез своя „Екип Европа“ в четири направления: 1) солидарност, 2) производство, 3) търговия и 4) многостранно сътрудничество. До 2024 г. се очаква Европейският съюз да предостави общо 7,7 милиарда евро в подкрепа на световната продоволствена сигурност и устойчивите продоволствени системи. ЕС подкрепя, наред с другото, мерки, насочени към подобряване на почвеното здраве, както и към по-оптимално и устойчиво използване на торове. </w:t>
      </w:r>
    </w:p>
    <w:p w14:paraId="0F5E44B9" w14:textId="6E1A6628" w:rsidR="00A755E5" w:rsidRDefault="001319CA" w:rsidP="00BA6354">
      <w:pPr>
        <w:spacing w:afterLines="120" w:after="288" w:line="240" w:lineRule="auto"/>
        <w:jc w:val="both"/>
        <w:rPr>
          <w:rFonts w:ascii="Times New Roman" w:hAnsi="Times New Roman" w:cs="Times New Roman"/>
          <w:iCs/>
          <w:noProof/>
          <w:sz w:val="24"/>
          <w:szCs w:val="24"/>
        </w:rPr>
      </w:pPr>
      <w:r>
        <w:rPr>
          <w:rFonts w:ascii="Times New Roman" w:hAnsi="Times New Roman"/>
          <w:noProof/>
          <w:sz w:val="24"/>
        </w:rPr>
        <w:t>Комисията приветства работата на ръководената от ООН Група за реакция при световна криза в областта на храните, енергетиката и финансите, както и други международни инициативи, като например Световния алианс на Г-7 за продоволствена сигурност, Призива за действие и FARM. Тези инициативи включват мерки за справяне с недостига на торове, по-специално чрез поддържане на отворени пазари и избягване на ограничения върху износа, временно увеличаване на производството на торове, за да се компенсира недостигът, подкрепа за иновациите в областта на торовете и насърчаване на методите за постигане на максимална ефективност на торовете.</w:t>
      </w:r>
    </w:p>
    <w:p w14:paraId="2E7F2B79" w14:textId="05CDF296" w:rsidR="00A755E5" w:rsidRDefault="00A755E5" w:rsidP="00BA6354">
      <w:pPr>
        <w:spacing w:afterLines="120" w:after="288" w:line="240" w:lineRule="auto"/>
        <w:jc w:val="both"/>
        <w:rPr>
          <w:rFonts w:ascii="Times New Roman" w:hAnsi="Times New Roman" w:cs="Times New Roman"/>
          <w:noProof/>
          <w:sz w:val="24"/>
          <w:szCs w:val="24"/>
        </w:rPr>
      </w:pPr>
      <w:r>
        <w:rPr>
          <w:rFonts w:ascii="Times New Roman" w:hAnsi="Times New Roman"/>
          <w:noProof/>
          <w:sz w:val="24"/>
        </w:rPr>
        <w:t xml:space="preserve">Комисията засилва </w:t>
      </w:r>
      <w:r>
        <w:rPr>
          <w:rFonts w:ascii="Times New Roman" w:hAnsi="Times New Roman"/>
          <w:b/>
          <w:noProof/>
          <w:sz w:val="24"/>
        </w:rPr>
        <w:t>многостранния подход</w:t>
      </w:r>
      <w:r>
        <w:rPr>
          <w:rFonts w:ascii="Times New Roman" w:hAnsi="Times New Roman"/>
          <w:noProof/>
          <w:sz w:val="24"/>
        </w:rPr>
        <w:t xml:space="preserve"> в двустранните си разговори със стратегическите партньори. Например чрез Платформата за сътрудничество в областта на селското стопанство, създадена със Съединените щати през ноември 2021 г., се разглеждат ключови въпроси като липсата на надеждна информация за търсенето и предлагането на международните пазари, необходимостта от подобряване на ефективността на производството на култури и използването на хранителни вещества, както и усъвършенстването на производствените практики с помощта на данни и прецизно прилагане. Комисията и Канада ще проведат съвместно мероприятие, посветено на устойчивото използване на торове, с акцент върху оптимизирането на употребата и разработването на нови продукти.</w:t>
      </w:r>
    </w:p>
    <w:p w14:paraId="5FB3989F" w14:textId="2E2BDB11" w:rsidR="0045137E" w:rsidRDefault="00A755E5" w:rsidP="00BA6354">
      <w:pPr>
        <w:spacing w:afterLines="120" w:after="288" w:line="240" w:lineRule="auto"/>
        <w:jc w:val="both"/>
        <w:rPr>
          <w:rFonts w:ascii="Times New Roman" w:eastAsiaTheme="minorEastAsia" w:hAnsi="Times New Roman" w:cs="Times New Roman"/>
          <w:noProof/>
          <w:color w:val="000000" w:themeColor="text1"/>
          <w:sz w:val="24"/>
          <w:szCs w:val="24"/>
        </w:rPr>
      </w:pPr>
      <w:r>
        <w:rPr>
          <w:rFonts w:ascii="Times New Roman" w:hAnsi="Times New Roman"/>
          <w:noProof/>
          <w:color w:val="000000" w:themeColor="text1"/>
          <w:sz w:val="24"/>
        </w:rPr>
        <w:t xml:space="preserve">Комисията ще се присъедини към </w:t>
      </w:r>
      <w:r>
        <w:rPr>
          <w:rFonts w:ascii="Times New Roman" w:hAnsi="Times New Roman"/>
          <w:b/>
          <w:noProof/>
          <w:color w:val="000000" w:themeColor="text1"/>
          <w:sz w:val="24"/>
        </w:rPr>
        <w:t>Глобалното предизвикателство за торовете</w:t>
      </w:r>
      <w:r>
        <w:rPr>
          <w:rFonts w:ascii="Times New Roman" w:hAnsi="Times New Roman"/>
          <w:noProof/>
          <w:color w:val="000000" w:themeColor="text1"/>
          <w:sz w:val="24"/>
        </w:rPr>
        <w:t xml:space="preserve"> (GFC), началото на което бе поставено на Форума на големите икономики през юни 2022 г. Инициативата има за цел да укрепи продоволствената сигурност в световен мащаб и да намали емисиите на парникови газове в селското стопанство, като спомогне за облекчаване на недостига на торове, по-специално чрез </w:t>
      </w:r>
      <w:r>
        <w:rPr>
          <w:rFonts w:ascii="Times New Roman" w:hAnsi="Times New Roman"/>
          <w:b/>
          <w:noProof/>
          <w:color w:val="000000" w:themeColor="text1"/>
          <w:sz w:val="24"/>
        </w:rPr>
        <w:t>по-добро управление на хранителните вещества, повишена ефективност при използването на торове, алтернативни земеделски практики и алтернативи на минералните торове</w:t>
      </w:r>
      <w:r>
        <w:rPr>
          <w:noProof/>
        </w:rPr>
        <w:t xml:space="preserve"> </w:t>
      </w:r>
      <w:r>
        <w:rPr>
          <w:rFonts w:ascii="Times New Roman" w:hAnsi="Times New Roman"/>
          <w:noProof/>
          <w:color w:val="000000" w:themeColor="text1"/>
          <w:sz w:val="24"/>
        </w:rPr>
        <w:t>е в процес на определяне на конкретни действия, които да допринесат за постигане на целите на GFC</w:t>
      </w:r>
      <w:r>
        <w:rPr>
          <w:rFonts w:ascii="Times New Roman" w:hAnsi="Times New Roman"/>
          <w:b/>
          <w:noProof/>
          <w:color w:val="000000" w:themeColor="text1"/>
          <w:sz w:val="24"/>
        </w:rPr>
        <w:t>.</w:t>
      </w:r>
      <w:r>
        <w:rPr>
          <w:rFonts w:ascii="Times New Roman" w:hAnsi="Times New Roman"/>
          <w:noProof/>
          <w:color w:val="000000" w:themeColor="text1"/>
          <w:sz w:val="24"/>
        </w:rPr>
        <w:t xml:space="preserve"> </w:t>
      </w:r>
    </w:p>
    <w:p w14:paraId="07F2F989" w14:textId="3B4CB5A4" w:rsidR="00FB493A" w:rsidRDefault="007A6C83" w:rsidP="00BA6354">
      <w:pPr>
        <w:spacing w:afterLines="120" w:after="288" w:line="240" w:lineRule="auto"/>
        <w:jc w:val="both"/>
        <w:rPr>
          <w:rFonts w:ascii="Times New Roman" w:eastAsiaTheme="minorEastAsia" w:hAnsi="Times New Roman" w:cs="Times New Roman"/>
          <w:noProof/>
          <w:color w:val="000000" w:themeColor="text1"/>
          <w:sz w:val="24"/>
          <w:szCs w:val="24"/>
        </w:rPr>
      </w:pPr>
      <w:r>
        <w:rPr>
          <w:rFonts w:ascii="Times New Roman" w:hAnsi="Times New Roman"/>
          <w:noProof/>
          <w:color w:val="000000" w:themeColor="text1"/>
          <w:sz w:val="24"/>
        </w:rPr>
        <w:t>В допълнение към въздействието на руската инвазия, световните пазари на торове бяха силно засегнати от смущения на пазара. Ключови държави производителки, като Русия и Китай, са наложили ограничения върху износа, които са засегнали 20 % от световната търговия с торове, изразена в хранителни вещества</w:t>
      </w:r>
      <w:r>
        <w:rPr>
          <w:rStyle w:val="FootnoteReference"/>
          <w:rFonts w:ascii="Times New Roman" w:eastAsiaTheme="minorEastAsia" w:hAnsi="Times New Roman" w:cs="Times New Roman"/>
          <w:noProof/>
          <w:color w:val="000000" w:themeColor="text1"/>
          <w:sz w:val="24"/>
          <w:szCs w:val="24"/>
          <w:lang w:val="en-IE"/>
        </w:rPr>
        <w:footnoteReference w:id="28"/>
      </w:r>
      <w:r>
        <w:rPr>
          <w:rFonts w:ascii="Times New Roman" w:hAnsi="Times New Roman"/>
          <w:noProof/>
          <w:color w:val="000000" w:themeColor="text1"/>
          <w:sz w:val="24"/>
        </w:rPr>
        <w:t>. ЕС влага всички свои усилия в сътрудничеството с партньорите си и международните организации, за да избегне подобни ограничения върху търговията.</w:t>
      </w:r>
    </w:p>
    <w:p w14:paraId="0F5BB438" w14:textId="77777777" w:rsidR="0045137E" w:rsidRPr="0045137E" w:rsidRDefault="0045137E" w:rsidP="0082240B">
      <w:pPr>
        <w:pStyle w:val="Heading2"/>
        <w:rPr>
          <w:noProof/>
        </w:rPr>
      </w:pPr>
      <w:r>
        <w:rPr>
          <w:noProof/>
        </w:rPr>
        <w:t>Подкрепа за държавите партньори: устойчиво управление на почвеното плодородие и производствен капацитет на земеделските стопани</w:t>
      </w:r>
    </w:p>
    <w:p w14:paraId="4C1D8BB4" w14:textId="77777777" w:rsidR="00826D57" w:rsidRDefault="00826D57" w:rsidP="00BA6354">
      <w:pPr>
        <w:spacing w:afterLines="120" w:after="288" w:line="240" w:lineRule="auto"/>
        <w:jc w:val="both"/>
        <w:rPr>
          <w:rFonts w:ascii="Times New Roman" w:eastAsiaTheme="minorEastAsia" w:hAnsi="Times New Roman" w:cs="Times New Roman"/>
          <w:noProof/>
          <w:color w:val="000000" w:themeColor="text1"/>
          <w:sz w:val="24"/>
          <w:szCs w:val="24"/>
        </w:rPr>
      </w:pPr>
      <w:r>
        <w:rPr>
          <w:rFonts w:ascii="Times New Roman" w:hAnsi="Times New Roman"/>
          <w:noProof/>
          <w:color w:val="000000" w:themeColor="text1"/>
          <w:sz w:val="24"/>
        </w:rPr>
        <w:t>Световните равнища на потребление на минерални торове на хектар обработваема земя варират в значителна степен</w:t>
      </w:r>
      <w:r>
        <w:rPr>
          <w:rFonts w:ascii="Times New Roman" w:eastAsiaTheme="minorEastAsia" w:hAnsi="Times New Roman" w:cs="Times New Roman"/>
          <w:noProof/>
          <w:color w:val="000000" w:themeColor="text1"/>
          <w:sz w:val="24"/>
          <w:szCs w:val="24"/>
          <w:vertAlign w:val="superscript"/>
        </w:rPr>
        <w:footnoteReference w:id="29"/>
      </w:r>
      <w:r>
        <w:rPr>
          <w:rFonts w:ascii="Times New Roman" w:hAnsi="Times New Roman"/>
          <w:noProof/>
          <w:color w:val="000000" w:themeColor="text1"/>
          <w:sz w:val="24"/>
        </w:rPr>
        <w:t xml:space="preserve">. </w:t>
      </w:r>
      <w:r>
        <w:rPr>
          <w:rFonts w:ascii="Times New Roman" w:hAnsi="Times New Roman"/>
          <w:b/>
          <w:noProof/>
          <w:color w:val="000000" w:themeColor="text1"/>
          <w:sz w:val="24"/>
        </w:rPr>
        <w:t>Диверсифицираните земеделски практики</w:t>
      </w:r>
      <w:r>
        <w:rPr>
          <w:rFonts w:ascii="Times New Roman" w:hAnsi="Times New Roman"/>
          <w:noProof/>
          <w:color w:val="000000" w:themeColor="text1"/>
          <w:sz w:val="24"/>
        </w:rPr>
        <w:t xml:space="preserve">, достъпът до вода, адаптираното обучение и консултантските услуги в селските райони, осигурените права на земевладение, справедливият достъп до качествени семена и достъпът до кредити са сред основните лостове в подкрепа на свързаните с производството и устойчивостта стратегии на земеделските стопани. Тези фактори са от ключово значение, особено в районите, където влошаването на качеството на земите води до слаба реакция на торовете. </w:t>
      </w:r>
    </w:p>
    <w:p w14:paraId="24855D8C" w14:textId="77777777" w:rsidR="00826D57" w:rsidRPr="00826D57" w:rsidRDefault="00826D57" w:rsidP="00826D57">
      <w:pPr>
        <w:spacing w:afterLines="120" w:after="288" w:line="240" w:lineRule="auto"/>
        <w:jc w:val="both"/>
        <w:rPr>
          <w:rFonts w:ascii="Times New Roman" w:eastAsiaTheme="minorEastAsia" w:hAnsi="Times New Roman" w:cs="Times New Roman"/>
          <w:noProof/>
          <w:color w:val="000000" w:themeColor="text1"/>
          <w:sz w:val="24"/>
          <w:szCs w:val="24"/>
        </w:rPr>
      </w:pPr>
      <w:r>
        <w:rPr>
          <w:rFonts w:ascii="Times New Roman" w:hAnsi="Times New Roman"/>
          <w:noProof/>
          <w:color w:val="000000" w:themeColor="text1"/>
          <w:sz w:val="24"/>
        </w:rPr>
        <w:t xml:space="preserve">В този контекст и в съответствие със стратегията си „От фермата до трапезата“ и стратегията си в подкрепа на биологичното разнообразие Комисията пое ангажимент да проправи пътя за </w:t>
      </w:r>
      <w:r>
        <w:rPr>
          <w:rFonts w:ascii="Times New Roman" w:hAnsi="Times New Roman"/>
          <w:b/>
          <w:noProof/>
          <w:color w:val="000000" w:themeColor="text1"/>
          <w:sz w:val="24"/>
        </w:rPr>
        <w:t>иновативни подходи в подкрепа на интегрираното управление на почвеното плодородие</w:t>
      </w:r>
      <w:r>
        <w:rPr>
          <w:rFonts w:ascii="Times New Roman" w:hAnsi="Times New Roman"/>
          <w:noProof/>
          <w:color w:val="000000" w:themeColor="text1"/>
          <w:sz w:val="24"/>
        </w:rPr>
        <w:t>, като прилага разнообразен набор от специфични за конкретното място решения за почвеното плодородие, водещи до устойчиво повишаване на добивите. Разнообразните агроекосистеми, по-високото съдържание на органични вещества в почвата и по-доброто управление на цикъла на хранителните вещества i) увеличават устойчивостта към изменението на климата, ii) допринасят за смекчаване на последиците от изменението на климата чрез увеличаване на съхранението на въглерод в почвата и iii) подобряват опазването на биологичното разнообразие.</w:t>
      </w:r>
    </w:p>
    <w:p w14:paraId="2B627F94" w14:textId="08E11A1E" w:rsidR="00826D57" w:rsidRPr="00826D57" w:rsidRDefault="00687366" w:rsidP="00826D57">
      <w:pPr>
        <w:spacing w:afterLines="120" w:after="288" w:line="240" w:lineRule="auto"/>
        <w:jc w:val="both"/>
        <w:rPr>
          <w:rFonts w:ascii="Times New Roman" w:eastAsiaTheme="minorEastAsia" w:hAnsi="Times New Roman" w:cs="Times New Roman"/>
          <w:noProof/>
          <w:color w:val="000000" w:themeColor="text1"/>
          <w:sz w:val="24"/>
          <w:szCs w:val="24"/>
        </w:rPr>
      </w:pPr>
      <w:r>
        <w:rPr>
          <w:rFonts w:ascii="Times New Roman" w:hAnsi="Times New Roman"/>
          <w:noProof/>
          <w:color w:val="000000" w:themeColor="text1"/>
          <w:sz w:val="24"/>
        </w:rPr>
        <w:t>Въпреки че</w:t>
      </w:r>
      <w:r>
        <w:rPr>
          <w:rFonts w:ascii="Times New Roman" w:hAnsi="Times New Roman"/>
          <w:noProof/>
          <w:sz w:val="24"/>
        </w:rPr>
        <w:t xml:space="preserve"> не всички земеделски стопани са засегнати по един и същ начин и в еднаква степен във всяка държава, </w:t>
      </w:r>
      <w:r>
        <w:rPr>
          <w:rFonts w:ascii="Times New Roman" w:hAnsi="Times New Roman"/>
          <w:noProof/>
          <w:color w:val="000000" w:themeColor="text1"/>
          <w:sz w:val="24"/>
        </w:rPr>
        <w:t xml:space="preserve">ЕС помага на партньорите си да намалят зависимостта си от вносни и от минерални торове, като инвестират в алтернативи, включително органични торове, както и в </w:t>
      </w:r>
      <w:r>
        <w:rPr>
          <w:rFonts w:ascii="Times New Roman" w:hAnsi="Times New Roman"/>
          <w:b/>
          <w:noProof/>
          <w:color w:val="000000" w:themeColor="text1"/>
          <w:sz w:val="24"/>
        </w:rPr>
        <w:t>устойчиво земеделие и управление на почвеното плодородие</w:t>
      </w:r>
      <w:r>
        <w:rPr>
          <w:rFonts w:ascii="Times New Roman" w:hAnsi="Times New Roman"/>
          <w:noProof/>
          <w:color w:val="000000" w:themeColor="text1"/>
          <w:sz w:val="24"/>
        </w:rPr>
        <w:t>. Това е ключов елемент от разгръщането на националните пътища за трансформация на продоволствените системи по държави след срещата на върха на ООН през 2021 г., посветена на продоволствените системи. С оглед на тази цел ще бъдат разработени редица интервенции, финансирани от инструмента ИССРМС</w:t>
      </w:r>
      <w:r>
        <w:rPr>
          <w:rStyle w:val="FootnoteReference"/>
          <w:rFonts w:ascii="Times New Roman" w:eastAsiaTheme="minorEastAsia" w:hAnsi="Times New Roman" w:cs="Times New Roman"/>
          <w:noProof/>
          <w:color w:val="000000" w:themeColor="text1"/>
          <w:sz w:val="24"/>
          <w:szCs w:val="24"/>
        </w:rPr>
        <w:footnoteReference w:id="30"/>
      </w:r>
      <w:r>
        <w:rPr>
          <w:rFonts w:ascii="Times New Roman" w:hAnsi="Times New Roman"/>
          <w:noProof/>
          <w:color w:val="000000" w:themeColor="text1"/>
          <w:sz w:val="24"/>
        </w:rPr>
        <w:t> — Глобална Европа, включително от новия Инструмент за прехрана и устойчивост за държавите от Северна Африка и Близкия изток на стойност 225 милиона евро, както и от пакета за развитие на наскоро обявената подкрепа от 600 милиона евро от резервите на ЕФР за държавите от АКТБ и Инструмента за прехрана и устойчивост. По-специално ЕС:</w:t>
      </w:r>
    </w:p>
    <w:p w14:paraId="7CC521AF" w14:textId="77777777" w:rsidR="00826D57" w:rsidRPr="00826D57" w:rsidRDefault="00826D57" w:rsidP="00826D57">
      <w:pPr>
        <w:numPr>
          <w:ilvl w:val="0"/>
          <w:numId w:val="21"/>
        </w:numPr>
        <w:spacing w:afterLines="120" w:after="288" w:line="240" w:lineRule="auto"/>
        <w:jc w:val="both"/>
        <w:rPr>
          <w:rFonts w:ascii="Times New Roman" w:eastAsiaTheme="minorEastAsia" w:hAnsi="Times New Roman" w:cs="Times New Roman"/>
          <w:noProof/>
          <w:color w:val="000000" w:themeColor="text1"/>
          <w:sz w:val="24"/>
          <w:szCs w:val="24"/>
        </w:rPr>
      </w:pPr>
      <w:r>
        <w:rPr>
          <w:rFonts w:ascii="Times New Roman" w:hAnsi="Times New Roman"/>
          <w:noProof/>
          <w:color w:val="000000" w:themeColor="text1"/>
          <w:sz w:val="24"/>
        </w:rPr>
        <w:t>ще улесни диалога и обмяната на опит, ще подпомогне научноизследователските и иновационните дейности, особено в държави с висока степен на употреба на торове и/или ниска ефективност на използването на хранителни вещества;</w:t>
      </w:r>
    </w:p>
    <w:p w14:paraId="31AA3D5F" w14:textId="77777777" w:rsidR="00826D57" w:rsidRPr="00826D57" w:rsidRDefault="00826D57" w:rsidP="00826D57">
      <w:pPr>
        <w:numPr>
          <w:ilvl w:val="0"/>
          <w:numId w:val="21"/>
        </w:numPr>
        <w:spacing w:afterLines="120" w:after="288" w:line="240" w:lineRule="auto"/>
        <w:jc w:val="both"/>
        <w:rPr>
          <w:rFonts w:ascii="Times New Roman" w:eastAsiaTheme="minorEastAsia" w:hAnsi="Times New Roman" w:cs="Times New Roman"/>
          <w:noProof/>
          <w:color w:val="000000" w:themeColor="text1"/>
          <w:sz w:val="24"/>
          <w:szCs w:val="24"/>
        </w:rPr>
      </w:pPr>
      <w:r>
        <w:rPr>
          <w:rFonts w:ascii="Times New Roman" w:hAnsi="Times New Roman"/>
          <w:noProof/>
          <w:color w:val="000000" w:themeColor="text1"/>
          <w:sz w:val="24"/>
        </w:rPr>
        <w:t>ще работи в тясно сътрудничество с организациите на земеделските производители по конкретни селскостопански вериги за създаване на стойност и ще ги свързва систематично с организациите за научни изследвания в областта на селското стопанство и с частния сектор, като се опира, наред с другото, на портфейлите DeSIRA и GCCA+</w:t>
      </w:r>
      <w:r>
        <w:rPr>
          <w:rStyle w:val="FootnoteReference"/>
          <w:rFonts w:ascii="Times New Roman" w:eastAsiaTheme="minorEastAsia" w:hAnsi="Times New Roman" w:cs="Times New Roman"/>
          <w:noProof/>
          <w:color w:val="000000" w:themeColor="text1"/>
          <w:sz w:val="24"/>
          <w:szCs w:val="24"/>
        </w:rPr>
        <w:footnoteReference w:id="31"/>
      </w:r>
      <w:r>
        <w:rPr>
          <w:rFonts w:ascii="Times New Roman" w:hAnsi="Times New Roman"/>
          <w:noProof/>
          <w:color w:val="000000" w:themeColor="text1"/>
          <w:sz w:val="24"/>
        </w:rPr>
        <w:t>;</w:t>
      </w:r>
    </w:p>
    <w:p w14:paraId="6B0136A8" w14:textId="0A31E585" w:rsidR="00826D57" w:rsidRPr="00826D57" w:rsidRDefault="00826D57" w:rsidP="00826D57">
      <w:pPr>
        <w:numPr>
          <w:ilvl w:val="0"/>
          <w:numId w:val="21"/>
        </w:numPr>
        <w:spacing w:afterLines="120" w:after="288" w:line="240" w:lineRule="auto"/>
        <w:jc w:val="both"/>
        <w:rPr>
          <w:rFonts w:ascii="Times New Roman" w:eastAsiaTheme="minorEastAsia" w:hAnsi="Times New Roman" w:cs="Times New Roman"/>
          <w:noProof/>
          <w:color w:val="000000" w:themeColor="text1"/>
          <w:sz w:val="24"/>
          <w:szCs w:val="24"/>
        </w:rPr>
      </w:pPr>
      <w:r>
        <w:rPr>
          <w:rFonts w:ascii="Times New Roman" w:hAnsi="Times New Roman"/>
          <w:noProof/>
          <w:color w:val="000000" w:themeColor="text1"/>
          <w:sz w:val="24"/>
        </w:rPr>
        <w:t>ще насърчава агроекологични подходи, включително по отношение на конкретни вериги за създаване на стойност и култури, както и на устойчиви земеделски практики, които са от съществено значение за подобряване и поддържане на почвеното плодородие (бобови растения и протеини от растителен произход, защитни култури, агролесовъдство, поликултурно животновъдство и т.н.). Такива действия ще бъдат предприети например в Мароко, Тунис, Египет, Йордания, Ливан и Сирия в рамките на регионалния Инструмент за прехрана и устойчивост на стойност 225 милиона евро;</w:t>
      </w:r>
    </w:p>
    <w:p w14:paraId="289AC05F" w14:textId="77777777" w:rsidR="00826D57" w:rsidRDefault="00D37FDF" w:rsidP="00826D57">
      <w:pPr>
        <w:numPr>
          <w:ilvl w:val="0"/>
          <w:numId w:val="21"/>
        </w:numPr>
        <w:spacing w:afterLines="120" w:after="288" w:line="240" w:lineRule="auto"/>
        <w:jc w:val="both"/>
        <w:rPr>
          <w:rFonts w:ascii="Times New Roman" w:eastAsiaTheme="minorEastAsia" w:hAnsi="Times New Roman" w:cs="Times New Roman"/>
          <w:noProof/>
          <w:color w:val="000000" w:themeColor="text1"/>
          <w:sz w:val="24"/>
          <w:szCs w:val="24"/>
        </w:rPr>
      </w:pPr>
      <w:r>
        <w:rPr>
          <w:rFonts w:ascii="Times New Roman" w:hAnsi="Times New Roman"/>
          <w:noProof/>
          <w:color w:val="000000" w:themeColor="text1"/>
          <w:sz w:val="24"/>
        </w:rPr>
        <w:t xml:space="preserve">ще подобри достъпа на дребните земеделски стопани до торове и ефективното им използване чрез прозрачни и добре насочени инструменти (например електронни ваучери, схеми за доплащане, използване на микродози за по-голяма ефективност), работещи консултантски услуги (изчисляване на баланса на хранителните вещества, мобилизиране на различни източници на хранителни вещества) и усъвършенствани програми за публични субсидии за минерални и органични торове; </w:t>
      </w:r>
    </w:p>
    <w:p w14:paraId="53D2C15F" w14:textId="77777777" w:rsidR="00806379" w:rsidRPr="00601FFB" w:rsidRDefault="00826D57" w:rsidP="00806379">
      <w:pPr>
        <w:numPr>
          <w:ilvl w:val="0"/>
          <w:numId w:val="21"/>
        </w:numPr>
        <w:spacing w:afterLines="120" w:after="288" w:line="240" w:lineRule="auto"/>
        <w:jc w:val="both"/>
        <w:rPr>
          <w:rFonts w:ascii="Times New Roman" w:eastAsiaTheme="minorEastAsia" w:hAnsi="Times New Roman" w:cs="Times New Roman"/>
          <w:noProof/>
          <w:color w:val="000000" w:themeColor="text1"/>
          <w:sz w:val="24"/>
          <w:szCs w:val="24"/>
        </w:rPr>
      </w:pPr>
      <w:r>
        <w:rPr>
          <w:rFonts w:ascii="Times New Roman" w:hAnsi="Times New Roman"/>
          <w:noProof/>
          <w:color w:val="000000" w:themeColor="text1"/>
          <w:sz w:val="24"/>
        </w:rPr>
        <w:t>ще насърчи текущите стратегически партньорства, особено със CGIAR</w:t>
      </w:r>
      <w:r>
        <w:rPr>
          <w:rStyle w:val="FootnoteReference"/>
          <w:rFonts w:ascii="Times New Roman" w:eastAsiaTheme="minorEastAsia" w:hAnsi="Times New Roman" w:cs="Times New Roman"/>
          <w:noProof/>
          <w:color w:val="000000" w:themeColor="text1"/>
          <w:sz w:val="24"/>
          <w:szCs w:val="24"/>
        </w:rPr>
        <w:footnoteReference w:id="32"/>
      </w:r>
      <w:r>
        <w:rPr>
          <w:rFonts w:ascii="Times New Roman" w:hAnsi="Times New Roman"/>
          <w:noProof/>
          <w:color w:val="000000" w:themeColor="text1"/>
          <w:sz w:val="24"/>
        </w:rPr>
        <w:t xml:space="preserve">, </w:t>
      </w:r>
      <w:r>
        <w:rPr>
          <w:rFonts w:ascii="Times New Roman" w:hAnsi="Times New Roman"/>
          <w:noProof/>
          <w:sz w:val="24"/>
        </w:rPr>
        <w:t>Международния фонд за селскостопанско развитие (</w:t>
      </w:r>
      <w:r>
        <w:rPr>
          <w:rFonts w:ascii="Times New Roman" w:hAnsi="Times New Roman"/>
          <w:noProof/>
          <w:color w:val="000000" w:themeColor="text1"/>
          <w:sz w:val="24"/>
        </w:rPr>
        <w:t>ИФАД) и ФАО, за укрепване на устойчивото управление на почвеното плодородие и улесняване на агроекологичните подходи.</w:t>
      </w:r>
      <w:r>
        <w:rPr>
          <w:rFonts w:ascii="Times New Roman" w:hAnsi="Times New Roman"/>
          <w:noProof/>
          <w:sz w:val="24"/>
        </w:rPr>
        <w:t xml:space="preserve"> </w:t>
      </w:r>
    </w:p>
    <w:p w14:paraId="57513094" w14:textId="5D238593" w:rsidR="00806379" w:rsidRPr="00826D57" w:rsidRDefault="00806379" w:rsidP="00806379">
      <w:pPr>
        <w:spacing w:afterLines="120" w:after="288" w:line="240" w:lineRule="auto"/>
        <w:jc w:val="both"/>
        <w:rPr>
          <w:rFonts w:ascii="Times New Roman" w:eastAsiaTheme="minorEastAsia" w:hAnsi="Times New Roman" w:cs="Times New Roman"/>
          <w:noProof/>
          <w:color w:val="000000" w:themeColor="text1"/>
          <w:sz w:val="24"/>
          <w:szCs w:val="24"/>
        </w:rPr>
      </w:pPr>
      <w:r>
        <w:rPr>
          <w:rFonts w:ascii="Times New Roman" w:hAnsi="Times New Roman"/>
          <w:noProof/>
          <w:sz w:val="24"/>
        </w:rPr>
        <w:t xml:space="preserve">Успоредно с това ЕС се стреми да засили допълнително </w:t>
      </w:r>
      <w:r>
        <w:rPr>
          <w:rFonts w:ascii="Times New Roman" w:hAnsi="Times New Roman"/>
          <w:b/>
          <w:bCs/>
          <w:noProof/>
          <w:sz w:val="24"/>
        </w:rPr>
        <w:t>хуманитарната си хранителна помощ</w:t>
      </w:r>
      <w:r>
        <w:rPr>
          <w:rFonts w:ascii="Times New Roman" w:hAnsi="Times New Roman"/>
          <w:noProof/>
          <w:sz w:val="24"/>
        </w:rPr>
        <w:t>, която вече възлиза на над 900 милиона евро до момента през 2022 г. Този размер е с около 55 % повече от миналата година и с почти 80 % повече от 2020 г. Средствата ще бъдат използвани за укрепване на продоволствената сигурност и хранителния статус на уязвимите групи от населението чрез различни методи в зависимост от държавата и регионалния контекст (пряка хранителна помощ в натура/пари в брой, включително многоцелеви парични преводи, изхранване).</w:t>
      </w:r>
    </w:p>
    <w:p w14:paraId="60C17A27" w14:textId="77777777" w:rsidR="0045137E" w:rsidRPr="0045137E" w:rsidRDefault="0045137E" w:rsidP="0082240B">
      <w:pPr>
        <w:pStyle w:val="Heading2"/>
        <w:rPr>
          <w:noProof/>
        </w:rPr>
      </w:pPr>
      <w:r>
        <w:rPr>
          <w:noProof/>
        </w:rPr>
        <w:t>Прозрачност на пазара и система за информация относно селскостопанските пазари (AMIS) на Г-20</w:t>
      </w:r>
    </w:p>
    <w:p w14:paraId="79780295" w14:textId="18555EC4" w:rsidR="00826D57" w:rsidRDefault="00826D57" w:rsidP="00BA6354">
      <w:pPr>
        <w:spacing w:afterLines="120" w:after="288" w:line="240" w:lineRule="auto"/>
        <w:jc w:val="both"/>
        <w:rPr>
          <w:rFonts w:ascii="Times New Roman" w:hAnsi="Times New Roman" w:cs="Times New Roman"/>
          <w:noProof/>
          <w:sz w:val="24"/>
          <w:szCs w:val="24"/>
        </w:rPr>
      </w:pPr>
      <w:r>
        <w:rPr>
          <w:rFonts w:ascii="Times New Roman" w:hAnsi="Times New Roman"/>
          <w:noProof/>
          <w:sz w:val="24"/>
        </w:rPr>
        <w:t xml:space="preserve">ЕС ще продължи да </w:t>
      </w:r>
      <w:r>
        <w:rPr>
          <w:rFonts w:ascii="Times New Roman" w:hAnsi="Times New Roman"/>
          <w:b/>
          <w:noProof/>
          <w:sz w:val="24"/>
        </w:rPr>
        <w:t>подпомага прозрачността на пазара, за да се гарантира стабилността на пазарите</w:t>
      </w:r>
      <w:r>
        <w:rPr>
          <w:rFonts w:ascii="Times New Roman" w:hAnsi="Times New Roman"/>
          <w:noProof/>
          <w:sz w:val="24"/>
        </w:rPr>
        <w:t xml:space="preserve"> и да се избегнат смущения на пазара и скокове на цените. Комисията приветства разширяването на обхвата на AMIS на Г-20 с включването на пазара на торове и се ангажира да предостави всички необходими данни и подкрепа на секретариата на AMIS. В тази връзка Комисията проучва съвместно с държавите членки възможностите за увеличаване на финансирането на AMIS.</w:t>
      </w:r>
    </w:p>
    <w:p w14:paraId="48438A5C" w14:textId="36C84679" w:rsidR="00155BC4" w:rsidRDefault="00155BC4" w:rsidP="004A04AA">
      <w:pPr>
        <w:pStyle w:val="Heading2"/>
        <w:rPr>
          <w:noProof/>
        </w:rPr>
      </w:pPr>
      <w:r>
        <w:rPr>
          <w:noProof/>
        </w:rPr>
        <w:t>Улесняване на световната търговия с торове</w:t>
      </w:r>
    </w:p>
    <w:p w14:paraId="0AEC66F3" w14:textId="5765CFBB" w:rsidR="00180230" w:rsidRPr="0033678E" w:rsidRDefault="00180230" w:rsidP="004A04AA">
      <w:pPr>
        <w:spacing w:afterLines="120" w:after="288" w:line="240" w:lineRule="auto"/>
        <w:jc w:val="both"/>
        <w:rPr>
          <w:rFonts w:ascii="Times New Roman" w:hAnsi="Times New Roman" w:cs="Times New Roman"/>
          <w:noProof/>
          <w:sz w:val="24"/>
          <w:szCs w:val="24"/>
        </w:rPr>
      </w:pPr>
      <w:r>
        <w:rPr>
          <w:rFonts w:ascii="Times New Roman" w:hAnsi="Times New Roman"/>
          <w:noProof/>
          <w:sz w:val="24"/>
        </w:rPr>
        <w:t xml:space="preserve">ЕС ще продължи да се противопоставя на мерките за ограничаване или забрана на износа на торове, както се посочва в съобщението на Комисията от 23 март т.г. ЕС ще продължи да работи в тясно сътрудничество с други държави на международни форуми (по-специално в рамките на СТО, Г-7, ФАО) срещу търговските ограничения или забраните за износ на торове и ще гарантира открита, прозрачна и предвидима търговска среда. В този смисъл ЕС ще насърчава действия за повишаване на прозрачността по отношение на ограниченията на износа, включително на торовете, като средство за изпълнение на ангажиментите, поети в рамките на декларацията относно продоволствената несигурност, договорена на последната министерска среща на СТО.  </w:t>
      </w:r>
    </w:p>
    <w:p w14:paraId="4E71D4EA" w14:textId="77DF0AD4" w:rsidR="0056236C" w:rsidRPr="0056236C" w:rsidRDefault="00AB0D0E" w:rsidP="00180230">
      <w:pPr>
        <w:spacing w:afterLines="120" w:after="288" w:line="240" w:lineRule="auto"/>
        <w:jc w:val="both"/>
        <w:rPr>
          <w:rFonts w:ascii="Times New Roman" w:hAnsi="Times New Roman" w:cs="Times New Roman"/>
          <w:noProof/>
          <w:sz w:val="24"/>
          <w:szCs w:val="24"/>
        </w:rPr>
      </w:pPr>
      <w:r>
        <w:rPr>
          <w:rFonts w:ascii="Times New Roman" w:hAnsi="Times New Roman"/>
          <w:noProof/>
          <w:sz w:val="24"/>
        </w:rPr>
        <w:t xml:space="preserve">Новите и разширени логистични маршрути, създадени чрез </w:t>
      </w:r>
      <w:r>
        <w:rPr>
          <w:rFonts w:ascii="Times New Roman" w:hAnsi="Times New Roman"/>
          <w:b/>
          <w:bCs/>
          <w:noProof/>
          <w:sz w:val="24"/>
        </w:rPr>
        <w:t>коридорите за солидарност между ЕС и Украйна</w:t>
      </w:r>
      <w:r>
        <w:rPr>
          <w:rFonts w:ascii="Times New Roman" w:hAnsi="Times New Roman"/>
          <w:noProof/>
          <w:sz w:val="24"/>
        </w:rPr>
        <w:t xml:space="preserve">, се превърнаха в основни коридори за износа на Украйна както в селскостопанския, така и в други отрасли. От август насам </w:t>
      </w:r>
      <w:r>
        <w:rPr>
          <w:rFonts w:ascii="Times New Roman" w:hAnsi="Times New Roman"/>
          <w:b/>
          <w:bCs/>
          <w:noProof/>
          <w:sz w:val="24"/>
        </w:rPr>
        <w:t>Черноморската зърнена инициатива</w:t>
      </w:r>
      <w:r>
        <w:rPr>
          <w:rFonts w:ascii="Times New Roman" w:hAnsi="Times New Roman"/>
          <w:noProof/>
          <w:sz w:val="24"/>
        </w:rPr>
        <w:t xml:space="preserve"> с посредничеството на ООН спомогна за възобновяване на доставките на зърно от украинските черноморски пристанища. Заедно двете инициативи позволиха износа на над 22 милиона тона украинско зърно, маслодайни семена и свързани с тях продукти в интервала от месец май до октомври. Значителна част от тези селскостопански стоки достигат до нуждаещите се държави партньори.</w:t>
      </w:r>
    </w:p>
    <w:p w14:paraId="68BBC833" w14:textId="48A3F581" w:rsidR="00155BC4" w:rsidRPr="001821E2" w:rsidRDefault="007A2FED" w:rsidP="00155BC4">
      <w:pPr>
        <w:spacing w:afterLines="120" w:after="288" w:line="240" w:lineRule="auto"/>
        <w:jc w:val="both"/>
        <w:rPr>
          <w:rFonts w:ascii="Times New Roman" w:hAnsi="Times New Roman" w:cs="Times New Roman"/>
          <w:noProof/>
          <w:sz w:val="24"/>
          <w:szCs w:val="24"/>
        </w:rPr>
      </w:pPr>
      <w:r>
        <w:rPr>
          <w:rFonts w:ascii="Times New Roman" w:hAnsi="Times New Roman"/>
          <w:noProof/>
          <w:sz w:val="24"/>
        </w:rPr>
        <w:t xml:space="preserve">Същевременно ЕС </w:t>
      </w:r>
      <w:r>
        <w:rPr>
          <w:rFonts w:ascii="Times New Roman" w:hAnsi="Times New Roman"/>
          <w:b/>
          <w:noProof/>
          <w:sz w:val="24"/>
        </w:rPr>
        <w:t>по същество освободи агрохранителната промишленост и торовете от ограничителните си мерки срещу Русия</w:t>
      </w:r>
      <w:r>
        <w:rPr>
          <w:rStyle w:val="FootnoteReference"/>
          <w:rFonts w:ascii="Times New Roman" w:hAnsi="Times New Roman" w:cs="Times New Roman"/>
          <w:noProof/>
          <w:sz w:val="24"/>
          <w:szCs w:val="24"/>
        </w:rPr>
        <w:footnoteReference w:id="33"/>
      </w:r>
      <w:r>
        <w:rPr>
          <w:rFonts w:ascii="Times New Roman" w:hAnsi="Times New Roman"/>
          <w:noProof/>
          <w:sz w:val="24"/>
        </w:rPr>
        <w:t>. Тъй като тези санкции не са извънтериториални, те не се прилагат за дружества или физически лица извън ЕС, които извършват стопанска дейност изцяло извън ЕС. Освен това те позволяват прехвърлянето на калиеви торове, произхождащи или изнасяни от Русия за държави извън ЕС, да се извършва от оператори от ЕС или през територията на ЕС</w:t>
      </w:r>
      <w:r>
        <w:rPr>
          <w:rStyle w:val="FootnoteReference"/>
          <w:rFonts w:ascii="Times New Roman" w:hAnsi="Times New Roman" w:cs="Times New Roman"/>
          <w:noProof/>
          <w:sz w:val="24"/>
          <w:szCs w:val="24"/>
        </w:rPr>
        <w:footnoteReference w:id="34"/>
      </w:r>
      <w:r>
        <w:rPr>
          <w:rFonts w:ascii="Times New Roman" w:hAnsi="Times New Roman"/>
          <w:noProof/>
          <w:sz w:val="24"/>
        </w:rPr>
        <w:t>. Финансирането или финансовата помощ, свързани с такива прехвърляния, са разрешени, както и предоставянето на застраховки. Освен това санкциите на ЕС съдържат и специални разпоредби, за да се гарантира, че сделките с руски селскостопански продукти, включително торове, могат да се осъществяват безпроблемно. Комисията публикува насоки за тази цел, за да подпомогне държавите членки в ефективното и еднакво прилагане на санкциите на ЕС, което е от първостепенно значение за агрохранителната промишленост. Освен това Комисията продължава да работи в тясно сътрудничество с държавите членки и международните организации, за да гарантира, че насоките и прилагането от страна на компетентните органи са прозрачни и последователни, което дава възможност на отрасъла да поддържа работещи вериги на доставки в пълно съответствие със санкциите на ЕС и допринася за наличието на торове за земеделските стопани. Санкциите на ЕС имат ясна цел: възпиране и реагиране на руската агресивна война в Украйна. Поради тази причина санкциите на ЕС налагат ограничения на някои ключови сектори на икономиката, за да се предотврати финансирането на руската военна машина със значителни приходи и да се замразят активите на лицата и субектите, които подкрепят войната. Противно на руската пропаганда обаче тези цели не са несъвместими с продоволствената сигурност.</w:t>
      </w:r>
    </w:p>
    <w:p w14:paraId="0C07F4DC" w14:textId="77777777" w:rsidR="00826D57" w:rsidRPr="00826D57" w:rsidRDefault="006E63DC" w:rsidP="0082240B">
      <w:pPr>
        <w:pStyle w:val="Heading2"/>
        <w:rPr>
          <w:noProof/>
        </w:rPr>
      </w:pPr>
      <w:r>
        <w:rPr>
          <w:noProof/>
        </w:rPr>
        <w:t>Решаване на проблема с финансовата достъпност чрез увеличаване на фискалното пространство</w:t>
      </w:r>
    </w:p>
    <w:p w14:paraId="28495099" w14:textId="1E36EB65" w:rsidR="00826D57" w:rsidRDefault="00826D57" w:rsidP="00826D57">
      <w:pPr>
        <w:spacing w:afterLines="120" w:after="288" w:line="240" w:lineRule="auto"/>
        <w:jc w:val="both"/>
        <w:rPr>
          <w:rFonts w:ascii="Times New Roman" w:hAnsi="Times New Roman" w:cs="Times New Roman"/>
          <w:bCs/>
          <w:noProof/>
          <w:sz w:val="24"/>
          <w:szCs w:val="24"/>
        </w:rPr>
      </w:pPr>
      <w:r>
        <w:rPr>
          <w:rFonts w:ascii="Times New Roman" w:hAnsi="Times New Roman"/>
          <w:noProof/>
          <w:sz w:val="24"/>
        </w:rPr>
        <w:t xml:space="preserve">По-високите вносни цени на храните и торовете и прекъсванията във веригите на доставките за вносителите на храни, както и загубата на приходи за някои износители на храни, допринасят за спешните </w:t>
      </w:r>
      <w:r>
        <w:rPr>
          <w:rFonts w:ascii="Times New Roman" w:hAnsi="Times New Roman"/>
          <w:b/>
          <w:bCs/>
          <w:noProof/>
          <w:sz w:val="24"/>
        </w:rPr>
        <w:t>нужди</w:t>
      </w:r>
      <w:r>
        <w:rPr>
          <w:rFonts w:ascii="Times New Roman" w:hAnsi="Times New Roman"/>
          <w:noProof/>
          <w:sz w:val="24"/>
        </w:rPr>
        <w:t xml:space="preserve"> на някои държави извън ЕС, свързани с </w:t>
      </w:r>
      <w:r>
        <w:rPr>
          <w:rFonts w:ascii="Times New Roman" w:hAnsi="Times New Roman"/>
          <w:b/>
          <w:noProof/>
          <w:sz w:val="24"/>
        </w:rPr>
        <w:t>платежния баланс</w:t>
      </w:r>
      <w:r>
        <w:rPr>
          <w:rFonts w:ascii="Times New Roman" w:hAnsi="Times New Roman"/>
          <w:noProof/>
          <w:sz w:val="24"/>
        </w:rPr>
        <w:t>. Приносът на ЕС в размер на 100 милиона евро към доверителния фонд на МВФ за намаляване на бедността и подпомагане на растежа (PRGT) и неговият ефект на лоста ще подпомогнат уязвимите държави, чиито сметки за внос са се увеличили. Наскоро МВФ постави началото на</w:t>
      </w:r>
      <w:r>
        <w:rPr>
          <w:rFonts w:ascii="Times New Roman" w:hAnsi="Times New Roman"/>
          <w:b/>
          <w:noProof/>
          <w:sz w:val="24"/>
        </w:rPr>
        <w:t xml:space="preserve"> </w:t>
      </w:r>
      <w:r>
        <w:rPr>
          <w:rFonts w:ascii="Times New Roman" w:hAnsi="Times New Roman"/>
          <w:noProof/>
          <w:sz w:val="24"/>
        </w:rPr>
        <w:t>нов инструмент за спешно финансиране при продоволствен шок (т.нар. „прозорец за продоволствен шок“). ЕС подкрепя този нов инструмент чрез приноса си към PRGT, тъй като той помага на държавите от АКТБ (предимно държавите с ниски доходи) да получат достъп до заеми при преференциални условия за смекчаване на последиците от продоволствената криза.</w:t>
      </w:r>
      <w:r>
        <w:rPr>
          <w:noProof/>
        </w:rPr>
        <w:t xml:space="preserve"> </w:t>
      </w:r>
      <w:r>
        <w:rPr>
          <w:rFonts w:ascii="Times New Roman" w:hAnsi="Times New Roman"/>
          <w:noProof/>
          <w:sz w:val="24"/>
        </w:rPr>
        <w:t>Освен това чрез новия инструмент за продоволствена сигурност и устойчивост на стойност 225 милиона евро ЕС ще подкрепи, наред с другото, стабилизирането на платежния баланс в южните съседни държави, като тази подкрепа следва да бъде удължена през 2023 г.</w:t>
      </w:r>
    </w:p>
    <w:p w14:paraId="1FA5CBA9" w14:textId="77777777" w:rsidR="00826D57" w:rsidRPr="00826D57" w:rsidRDefault="00826D57" w:rsidP="0082240B">
      <w:pPr>
        <w:pStyle w:val="Heading2"/>
        <w:rPr>
          <w:noProof/>
        </w:rPr>
      </w:pPr>
      <w:r>
        <w:rPr>
          <w:noProof/>
        </w:rPr>
        <w:t>Укрепване на партньорствата с международните финансови институции</w:t>
      </w:r>
    </w:p>
    <w:p w14:paraId="3682D036" w14:textId="5DE5CB37" w:rsidR="00826D57" w:rsidRDefault="00826D57" w:rsidP="00826D57">
      <w:pPr>
        <w:spacing w:afterLines="120" w:after="288" w:line="240" w:lineRule="auto"/>
        <w:jc w:val="both"/>
        <w:rPr>
          <w:rFonts w:ascii="Times New Roman" w:hAnsi="Times New Roman" w:cs="Times New Roman"/>
          <w:noProof/>
          <w:sz w:val="24"/>
          <w:szCs w:val="24"/>
        </w:rPr>
      </w:pPr>
      <w:r>
        <w:rPr>
          <w:rFonts w:ascii="Times New Roman" w:hAnsi="Times New Roman"/>
          <w:noProof/>
          <w:sz w:val="24"/>
        </w:rPr>
        <w:t xml:space="preserve">ЕС ще търси начини за укрепване на партньорствата и разработване на </w:t>
      </w:r>
      <w:r>
        <w:rPr>
          <w:rFonts w:ascii="Times New Roman" w:hAnsi="Times New Roman"/>
          <w:b/>
          <w:noProof/>
          <w:sz w:val="24"/>
        </w:rPr>
        <w:t>иновативни и устойчиви инвестиции в селското стопанство</w:t>
      </w:r>
      <w:r>
        <w:rPr>
          <w:rFonts w:ascii="Times New Roman" w:hAnsi="Times New Roman"/>
          <w:noProof/>
          <w:sz w:val="24"/>
        </w:rPr>
        <w:t xml:space="preserve"> чрез засилване на сътрудничеството с международните финансови институции в рамките на стратегията Global Gateway като част от всеобхватния отговор на „Екип Европа“, включително чрез прозореца за инвестиции в селското стопанство „Отворена архитектура“ на Европейския фонд за устойчиво развитие (ЕФУР+). ЕФУР+ подкрепя интелигентни по отношение на климата селскостопански</w:t>
      </w:r>
      <w:r>
        <w:rPr>
          <w:rFonts w:ascii="Times New Roman" w:hAnsi="Times New Roman"/>
          <w:i/>
          <w:noProof/>
          <w:sz w:val="24"/>
        </w:rPr>
        <w:t xml:space="preserve"> </w:t>
      </w:r>
      <w:r>
        <w:rPr>
          <w:rFonts w:ascii="Times New Roman" w:hAnsi="Times New Roman"/>
          <w:noProof/>
          <w:sz w:val="24"/>
        </w:rPr>
        <w:t>системи и вериги за създаване на стойност. Портфейлът на ЕБВР вече включва значителни инвестиции в частния сектор на агробизнеса. Европейската инвестиционна банка ще предостави на Международния фонд за развитие на селското стопанство (ИФАД) преференциален заем в размер на 500 милиона евро за финансиране на инвестиции, които стимулират устойчивото селскостопанско производство и създават устойчивост.</w:t>
      </w:r>
    </w:p>
    <w:p w14:paraId="537A7BD6" w14:textId="53B1E19C" w:rsidR="00826D57" w:rsidRPr="00826D57" w:rsidRDefault="00826D57" w:rsidP="0082240B">
      <w:pPr>
        <w:pStyle w:val="Heading2"/>
        <w:rPr>
          <w:noProof/>
        </w:rPr>
      </w:pPr>
      <w:r>
        <w:rPr>
          <w:noProof/>
        </w:rPr>
        <w:t>Стратегическа комуникация и борба с дезинформацията</w:t>
      </w:r>
    </w:p>
    <w:p w14:paraId="1CEDA0E1" w14:textId="77777777" w:rsidR="00826D57" w:rsidRDefault="00826D57" w:rsidP="00826D57">
      <w:pPr>
        <w:spacing w:afterLines="120" w:after="288" w:line="240" w:lineRule="auto"/>
        <w:jc w:val="both"/>
        <w:rPr>
          <w:rFonts w:ascii="Times New Roman" w:hAnsi="Times New Roman" w:cs="Times New Roman"/>
          <w:bCs/>
          <w:noProof/>
          <w:sz w:val="24"/>
          <w:szCs w:val="24"/>
        </w:rPr>
      </w:pPr>
      <w:r>
        <w:rPr>
          <w:rFonts w:ascii="Times New Roman" w:hAnsi="Times New Roman"/>
          <w:noProof/>
          <w:sz w:val="24"/>
        </w:rPr>
        <w:t>Комисията ще засили съвместната комуникация относно усилията си в областта на торовете на многостранно, регионално и национално равнище, включително чрез делегациите на Съюза, за да отговори на възприятията и опасенията в държавите партньори. Успоредно с това, ЕС ще продължи да следи и да противодейства на дейностите на Русия за манипулиране на информацията и за намеса, насочени към отклоняване на отговорността за кризата с продоволствената сигурност от нейната агресивна война срещу Украйна, включително чрез обществените канали на ЕС, като EUvsDisinfo, и с партньори съмишленици като Г-7 и НАТО.</w:t>
      </w:r>
    </w:p>
    <w:p w14:paraId="63418CEF" w14:textId="13B8DE3B" w:rsidR="009515A5" w:rsidRDefault="009515A5" w:rsidP="00BA6354">
      <w:pPr>
        <w:pStyle w:val="Heading1"/>
        <w:spacing w:before="0" w:afterLines="120" w:after="288"/>
        <w:rPr>
          <w:noProof/>
        </w:rPr>
      </w:pPr>
      <w:bookmarkStart w:id="6" w:name="_Toc1339584508"/>
      <w:bookmarkStart w:id="7" w:name="_Toc1076767797"/>
      <w:bookmarkStart w:id="8" w:name="_Toc1979169824"/>
      <w:bookmarkStart w:id="9" w:name="_Toc617652357"/>
      <w:bookmarkStart w:id="10" w:name="_Toc1437844666"/>
      <w:bookmarkStart w:id="11" w:name="_Toc52962447"/>
      <w:bookmarkStart w:id="12" w:name="_Toc9032860"/>
      <w:bookmarkStart w:id="13" w:name="_Toc123819021"/>
      <w:bookmarkStart w:id="14" w:name="_Toc2057630816"/>
      <w:bookmarkStart w:id="15" w:name="_Toc907404370"/>
      <w:bookmarkStart w:id="16" w:name="_Toc1234157050"/>
      <w:bookmarkStart w:id="17" w:name="_Toc401970024"/>
      <w:bookmarkStart w:id="18" w:name="_Toc1202860919"/>
      <w:bookmarkStart w:id="19" w:name="_Toc1106897486"/>
      <w:bookmarkStart w:id="20" w:name="_Toc922555665"/>
      <w:bookmarkStart w:id="21" w:name="_Toc1698179253"/>
      <w:bookmarkStart w:id="22" w:name="_Toc441743690"/>
      <w:bookmarkStart w:id="23" w:name="_Toc466341556"/>
      <w:bookmarkStart w:id="24" w:name="_Toc1920453207"/>
      <w:bookmarkStart w:id="25" w:name="_Toc100862254"/>
      <w:bookmarkStart w:id="26" w:name="_Toc1016252085"/>
      <w:bookmarkStart w:id="27" w:name="_Toc679240824"/>
      <w:bookmarkStart w:id="28" w:name="_Toc25176464"/>
      <w:bookmarkStart w:id="29" w:name="_Toc97811385"/>
      <w:bookmarkEnd w:id="5"/>
      <w:r>
        <w:rPr>
          <w:noProof/>
        </w:rPr>
        <w:t>Заключение</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64C8ABAD" w14:textId="0907856F" w:rsidR="00826D57" w:rsidRDefault="00826D57" w:rsidP="00703EBA">
      <w:pPr>
        <w:pStyle w:val="Text1"/>
        <w:spacing w:afterLines="120" w:after="288"/>
        <w:ind w:left="0"/>
        <w:rPr>
          <w:rFonts w:eastAsiaTheme="minorHAnsi"/>
          <w:noProof/>
          <w:szCs w:val="24"/>
        </w:rPr>
      </w:pPr>
      <w:r>
        <w:rPr>
          <w:noProof/>
        </w:rPr>
        <w:t>Торовете имат важно значение за осигуряването на непрекъснато производство на храни и фуражи в ЕС и в световен мащаб. Високите цени на газа и агресивната война на Русия срещу Украйна, в допълнение към зависимостта от ограничен брой доставчици, в т.ч. Русия, застрашиха наличността и финансовата достъпност на торовете, като по този начин изложиха на риск продоволствената сигурност, особено в най-уязвимите държави в света.</w:t>
      </w:r>
    </w:p>
    <w:p w14:paraId="29D135F3" w14:textId="2CF67F59" w:rsidR="00016862" w:rsidRDefault="00E074EB" w:rsidP="006A20FE">
      <w:pPr>
        <w:pStyle w:val="Text1"/>
        <w:spacing w:afterLines="120" w:after="288"/>
        <w:ind w:left="0"/>
        <w:rPr>
          <w:noProof/>
          <w:szCs w:val="24"/>
        </w:rPr>
      </w:pPr>
      <w:r>
        <w:rPr>
          <w:noProof/>
        </w:rPr>
        <w:t>В този контекст са необходими краткосрочни действия в подкрепа на земеделските стопани и производителите на торове. Те се състоят в подобрена прозрачност на пазара, мерки за подпомагане на производителите на торове и земеделските стопани посредством държавни помощи и финансиране от Съюза, като например стратегическите планове по ОСП и пазарните мерки в рамките на селскостопанския резерв, диверсификацията на източниците на внос на торове и мерки за осигуряване на газ и ограничаване на цените на газа, като същевременно се подкрепят устойчивите земеделски практики за по-добро използване на торовете и по-малка зависимост от тях. Важно е тези действия да продължат да бъдат в</w:t>
      </w:r>
      <w:r w:rsidR="00A462F1">
        <w:rPr>
          <w:noProof/>
        </w:rPr>
        <w:t> </w:t>
      </w:r>
      <w:r>
        <w:rPr>
          <w:noProof/>
        </w:rPr>
        <w:t xml:space="preserve">съответствие с дългосрочните цели на Европейския зелен пакт и свързаните с него стратегии. </w:t>
      </w:r>
    </w:p>
    <w:p w14:paraId="016EF98C" w14:textId="36D1CDCE" w:rsidR="006A20FE" w:rsidRPr="00A37159" w:rsidRDefault="006A20FE" w:rsidP="006A20FE">
      <w:pPr>
        <w:pStyle w:val="Text1"/>
        <w:spacing w:afterLines="120" w:after="288"/>
        <w:ind w:left="0"/>
        <w:rPr>
          <w:noProof/>
          <w:szCs w:val="24"/>
        </w:rPr>
      </w:pPr>
      <w:r>
        <w:rPr>
          <w:noProof/>
        </w:rPr>
        <w:t xml:space="preserve">ЕС ще продължи да работи съвместно с държавите членки, европейските банки за развитие, международните организации, държавите партньори и други ключови участници за смекчаване на въздействието на влошената финансова достъпност на торовете върху световната продоволствена сигурност и за подобряване на ефективното им използване. ЕС се присъедини към нови международни инициативи, като например Глобалното предизвикателство за торовете, засилва партньорството си с международните финансови институции и ще продължи да насърчава мерки за осигуряване на прозрачност на световния пазар и избягване на ограниченията върху износа. </w:t>
      </w:r>
    </w:p>
    <w:p w14:paraId="578BCCE8" w14:textId="742155FC" w:rsidR="00251D0E" w:rsidRDefault="00826D57" w:rsidP="00703EBA">
      <w:pPr>
        <w:pStyle w:val="Text1"/>
        <w:spacing w:afterLines="120" w:after="288"/>
        <w:ind w:left="0"/>
        <w:rPr>
          <w:noProof/>
          <w:szCs w:val="24"/>
        </w:rPr>
      </w:pPr>
      <w:r>
        <w:rPr>
          <w:noProof/>
        </w:rPr>
        <w:t>В средносрочен и дългосрочен план важна част от решението с оглед на предизвикателствата, свързани с доставките на тор</w:t>
      </w:r>
      <w:r w:rsidR="00A462F1">
        <w:rPr>
          <w:noProof/>
        </w:rPr>
        <w:t xml:space="preserve">ове, както и с околната среда и </w:t>
      </w:r>
      <w:r>
        <w:rPr>
          <w:noProof/>
        </w:rPr>
        <w:t>климата, се състои в подкрепа за прехода към устойчиво използване на торове и</w:t>
      </w:r>
      <w:r w:rsidR="00A462F1">
        <w:rPr>
          <w:noProof/>
        </w:rPr>
        <w:t> </w:t>
      </w:r>
      <w:r>
        <w:rPr>
          <w:noProof/>
        </w:rPr>
        <w:t>внедряване на устойчиви алтернативи на минералните торове. Подкрепата за рециклирането на хранителни вещества от отпадъчните потоци и увеличаването на производството на „зелен“ амоняк ще бъдат ключови съпътстващи мерки.</w:t>
      </w:r>
      <w:r>
        <w:rPr>
          <w:rFonts w:asciiTheme="minorHAnsi" w:hAnsiTheme="minorHAnsi"/>
          <w:noProof/>
          <w:color w:val="000000"/>
          <w:sz w:val="22"/>
          <w:shd w:val="clear" w:color="auto" w:fill="FFFFFF"/>
        </w:rPr>
        <w:t xml:space="preserve"> </w:t>
      </w:r>
      <w:r>
        <w:rPr>
          <w:noProof/>
        </w:rPr>
        <w:t>Това ще донесе ползи за земеделските стопани, околната среда и климата и в същото време ще намали зависимостта на ЕС от торове, произведени от изкопаеми горива. Това следва да бъде съпроводено от продължаване на действията, насочени към подобряване на прозрачността на пазара, а също от диверсификация на източниците на внос, предотвратяване на пазарните ограничения и действия, насочени към осигуряване на финансово достъпни и сигурни енергийни доставки.</w:t>
      </w:r>
    </w:p>
    <w:p w14:paraId="19682057" w14:textId="2C6C1F69" w:rsidR="00A37159" w:rsidRDefault="00826D57" w:rsidP="00703EBA">
      <w:pPr>
        <w:pStyle w:val="Text1"/>
        <w:spacing w:afterLines="120" w:after="288"/>
        <w:ind w:left="0"/>
        <w:rPr>
          <w:noProof/>
          <w:szCs w:val="24"/>
        </w:rPr>
      </w:pPr>
      <w:r>
        <w:rPr>
          <w:noProof/>
        </w:rPr>
        <w:t xml:space="preserve">Този подход разкрива нови възможности и пред държавите партньори на ЕС. </w:t>
      </w:r>
      <w:r w:rsidR="00A462F1">
        <w:rPr>
          <w:noProof/>
        </w:rPr>
        <w:br/>
      </w:r>
      <w:r>
        <w:rPr>
          <w:noProof/>
        </w:rPr>
        <w:t>ЕС ще ги подкрепи в насърчаването на алтернативи на минералните торове, основани на устойчиво управление на почвеното плодородие.</w:t>
      </w:r>
    </w:p>
    <w:p w14:paraId="4AAD7117" w14:textId="1FD0E6E9" w:rsidR="003932CB" w:rsidRPr="00C51D3A" w:rsidRDefault="00826D57" w:rsidP="00703EBA">
      <w:pPr>
        <w:pStyle w:val="Text1"/>
        <w:spacing w:afterLines="120" w:after="288"/>
        <w:ind w:left="0"/>
        <w:rPr>
          <w:noProof/>
          <w:szCs w:val="24"/>
        </w:rPr>
      </w:pPr>
      <w:r>
        <w:rPr>
          <w:noProof/>
        </w:rPr>
        <w:t>Настоящата криза е повод за ускоряване на прехода към устойчиво земеделие и устойчива продоволствена система, за да се преодолее прекомерната зависимост от синтетични торове, като същевременно бъде гарантирано адекватно и финансово достъпно снабдяване с торове на земеделските стопани в ЕС и по света.</w:t>
      </w:r>
    </w:p>
    <w:sectPr w:rsidR="003932CB" w:rsidRPr="00C51D3A" w:rsidSect="00371E18">
      <w:headerReference w:type="even" r:id="rId20"/>
      <w:headerReference w:type="default" r:id="rId21"/>
      <w:footerReference w:type="even" r:id="rId22"/>
      <w:footerReference w:type="default" r:id="rId23"/>
      <w:headerReference w:type="first" r:id="rId24"/>
      <w:footerReference w:type="first" r:id="rId25"/>
      <w:endnotePr>
        <w:numFmt w:val="decimal"/>
      </w:endnotePr>
      <w:pgSz w:w="11906" w:h="16838"/>
      <w:pgMar w:top="709" w:right="1701" w:bottom="851" w:left="1587" w:header="601" w:footer="107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0D3C43" w14:textId="77777777" w:rsidR="004B357D" w:rsidRDefault="004B357D" w:rsidP="00DC0E84">
      <w:pPr>
        <w:spacing w:after="0" w:line="240" w:lineRule="auto"/>
      </w:pPr>
      <w:r>
        <w:separator/>
      </w:r>
    </w:p>
    <w:p w14:paraId="13CD9BCD" w14:textId="77777777" w:rsidR="004B357D" w:rsidRDefault="004B357D"/>
  </w:endnote>
  <w:endnote w:type="continuationSeparator" w:id="0">
    <w:p w14:paraId="6AE754BA" w14:textId="77777777" w:rsidR="004B357D" w:rsidRDefault="004B357D" w:rsidP="00DC0E84">
      <w:pPr>
        <w:spacing w:after="0" w:line="240" w:lineRule="auto"/>
      </w:pPr>
      <w:r>
        <w:continuationSeparator/>
      </w:r>
    </w:p>
    <w:p w14:paraId="47AA6559" w14:textId="77777777" w:rsidR="004B357D" w:rsidRDefault="004B357D"/>
  </w:endnote>
  <w:endnote w:type="continuationNotice" w:id="1">
    <w:p w14:paraId="40C6C10A" w14:textId="77777777" w:rsidR="004B357D" w:rsidRDefault="004B357D">
      <w:pPr>
        <w:spacing w:after="0" w:line="240" w:lineRule="auto"/>
      </w:pPr>
    </w:p>
    <w:p w14:paraId="23E872E1" w14:textId="77777777" w:rsidR="004B357D" w:rsidRDefault="004B35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94A31" w14:textId="77777777" w:rsidR="00C471B9" w:rsidRPr="00C471B9" w:rsidRDefault="00C471B9" w:rsidP="00C471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8847C" w14:textId="7292FE1F" w:rsidR="00163995" w:rsidRPr="00C471B9" w:rsidRDefault="00C471B9" w:rsidP="00C471B9">
    <w:pPr>
      <w:pStyle w:val="FooterCoverPage"/>
      <w:rPr>
        <w:rFonts w:ascii="Arial" w:hAnsi="Arial" w:cs="Arial"/>
        <w:b/>
        <w:sz w:val="48"/>
      </w:rPr>
    </w:pPr>
    <w:r w:rsidRPr="00C471B9">
      <w:rPr>
        <w:rFonts w:ascii="Arial" w:hAnsi="Arial" w:cs="Arial"/>
        <w:b/>
        <w:sz w:val="48"/>
      </w:rPr>
      <w:t>BG</w:t>
    </w:r>
    <w:r w:rsidRPr="00C471B9">
      <w:rPr>
        <w:rFonts w:ascii="Arial" w:hAnsi="Arial" w:cs="Arial"/>
        <w:b/>
        <w:sz w:val="48"/>
      </w:rPr>
      <w:tab/>
    </w:r>
    <w:r w:rsidRPr="00C471B9">
      <w:rPr>
        <w:rFonts w:ascii="Arial" w:hAnsi="Arial" w:cs="Arial"/>
        <w:b/>
        <w:sz w:val="48"/>
      </w:rPr>
      <w:tab/>
    </w:r>
    <w:r w:rsidRPr="00C471B9">
      <w:tab/>
    </w:r>
    <w:r w:rsidRPr="00C471B9">
      <w:rPr>
        <w:rFonts w:ascii="Arial" w:hAnsi="Arial" w:cs="Arial"/>
        <w:b/>
        <w:sz w:val="48"/>
      </w:rPr>
      <w:t>BG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A40F0" w14:textId="77777777" w:rsidR="00C471B9" w:rsidRPr="00C471B9" w:rsidRDefault="00C471B9" w:rsidP="00C471B9">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3C923" w14:textId="2C373EEE" w:rsidR="00820078" w:rsidRPr="00A47B3B" w:rsidRDefault="00820078" w:rsidP="00B2425F">
    <w:pPr>
      <w:pStyle w:val="Footer"/>
    </w:pPr>
  </w:p>
  <w:p w14:paraId="212EAB8D" w14:textId="77777777" w:rsidR="00693759" w:rsidRDefault="00693759"/>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259609479"/>
      <w:docPartObj>
        <w:docPartGallery w:val="Page Numbers (Bottom of Page)"/>
        <w:docPartUnique/>
      </w:docPartObj>
    </w:sdtPr>
    <w:sdtEndPr>
      <w:rPr>
        <w:rFonts w:ascii="Times New Roman" w:hAnsi="Times New Roman" w:cs="Times New Roman"/>
        <w:noProof/>
      </w:rPr>
    </w:sdtEndPr>
    <w:sdtContent>
      <w:p w14:paraId="2C1FC88A" w14:textId="4BBE27E3" w:rsidR="00820078" w:rsidRPr="006E3DF1" w:rsidRDefault="00820078" w:rsidP="006E3DF1">
        <w:pPr>
          <w:pStyle w:val="Footer"/>
          <w:jc w:val="center"/>
          <w:rPr>
            <w:rFonts w:ascii="Times New Roman" w:hAnsi="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sidR="00C471B9">
          <w:rPr>
            <w:rFonts w:ascii="Times New Roman" w:hAnsi="Times New Roman" w:cs="Times New Roman"/>
            <w:noProof/>
            <w:sz w:val="24"/>
          </w:rPr>
          <w:t>2</w:t>
        </w:r>
        <w:r>
          <w:rPr>
            <w:rFonts w:ascii="Times New Roman" w:hAnsi="Times New Roman" w:cs="Times New Roman"/>
            <w:sz w:val="24"/>
          </w:rPr>
          <w:fldChar w:fldCharType="end"/>
        </w:r>
      </w:p>
    </w:sdtContent>
  </w:sdt>
  <w:p w14:paraId="6D4F8312" w14:textId="77777777" w:rsidR="00693759" w:rsidRDefault="00693759"/>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CE1B1" w14:textId="0DDF3460" w:rsidR="00820078" w:rsidRPr="0078002D" w:rsidRDefault="00820078">
    <w:pPr>
      <w:pStyle w:val="Footer"/>
      <w:jc w:val="center"/>
      <w:rPr>
        <w:rFonts w:ascii="Times New Roman" w:hAnsi="Times New Roman" w:cs="Times New Roman"/>
        <w:sz w:val="24"/>
        <w:szCs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sidR="00C471B9">
      <w:rPr>
        <w:rFonts w:ascii="Times New Roman" w:hAnsi="Times New Roman" w:cs="Times New Roman"/>
        <w:noProof/>
        <w:sz w:val="24"/>
      </w:rPr>
      <w:t>1</w:t>
    </w:r>
    <w:r>
      <w:rPr>
        <w:rFonts w:ascii="Times New Roman" w:hAnsi="Times New Roman" w:cs="Times New Roman"/>
        <w:sz w:val="24"/>
      </w:rPr>
      <w:fldChar w:fldCharType="end"/>
    </w:r>
  </w:p>
  <w:p w14:paraId="5F391D64" w14:textId="77777777" w:rsidR="00820078" w:rsidRPr="006E3DF1" w:rsidRDefault="00820078" w:rsidP="00A47B3B">
    <w:pPr>
      <w:pStyle w:val="Footer"/>
      <w:rPr>
        <w:sz w:val="24"/>
      </w:rPr>
    </w:pPr>
  </w:p>
  <w:p w14:paraId="1EABE0C3" w14:textId="77777777" w:rsidR="00693759" w:rsidRDefault="0069375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1C11B" w14:textId="77777777" w:rsidR="004B357D" w:rsidRDefault="004B357D" w:rsidP="00DC0E84">
      <w:pPr>
        <w:spacing w:after="0" w:line="240" w:lineRule="auto"/>
      </w:pPr>
      <w:r>
        <w:separator/>
      </w:r>
    </w:p>
    <w:p w14:paraId="3CFA0160" w14:textId="77777777" w:rsidR="004B357D" w:rsidRDefault="004B357D"/>
  </w:footnote>
  <w:footnote w:type="continuationSeparator" w:id="0">
    <w:p w14:paraId="2F422712" w14:textId="77777777" w:rsidR="004B357D" w:rsidRDefault="004B357D" w:rsidP="00DC0E84">
      <w:pPr>
        <w:spacing w:after="0" w:line="240" w:lineRule="auto"/>
      </w:pPr>
      <w:r>
        <w:continuationSeparator/>
      </w:r>
    </w:p>
    <w:p w14:paraId="17E1A566" w14:textId="77777777" w:rsidR="004B357D" w:rsidRDefault="004B357D"/>
  </w:footnote>
  <w:footnote w:type="continuationNotice" w:id="1">
    <w:p w14:paraId="0ECBDF47" w14:textId="77777777" w:rsidR="004B357D" w:rsidRDefault="004B357D">
      <w:pPr>
        <w:spacing w:after="0" w:line="240" w:lineRule="auto"/>
      </w:pPr>
    </w:p>
    <w:p w14:paraId="3E4167D5" w14:textId="77777777" w:rsidR="004B357D" w:rsidRDefault="004B357D"/>
  </w:footnote>
  <w:footnote w:id="2">
    <w:p w14:paraId="2226A64B" w14:textId="2A7C805E" w:rsidR="00820078" w:rsidRPr="009025AA" w:rsidRDefault="00820078">
      <w:pPr>
        <w:pStyle w:val="FootnoteText"/>
      </w:pPr>
      <w:r>
        <w:rPr>
          <w:rStyle w:val="FootnoteReference"/>
        </w:rPr>
        <w:footnoteRef/>
      </w:r>
      <w:r>
        <w:t> </w:t>
      </w:r>
      <w:r w:rsidR="00163995">
        <w:tab/>
      </w:r>
      <w:r>
        <w:t>Вж. </w:t>
      </w:r>
      <w:r>
        <w:rPr>
          <w:u w:val="single"/>
        </w:rPr>
        <w:t>приложение 1</w:t>
      </w:r>
      <w:r>
        <w:t xml:space="preserve"> към настоящото съобщение за кратко обяснение на биологичните и химичните процеси, които са в основата на действието и въздействието на торовете.</w:t>
      </w:r>
    </w:p>
  </w:footnote>
  <w:footnote w:id="3">
    <w:p w14:paraId="3FC64A43" w14:textId="23FAD540" w:rsidR="00820078" w:rsidRPr="009025AA" w:rsidRDefault="00820078" w:rsidP="00757C7C">
      <w:pPr>
        <w:pStyle w:val="FootnoteText"/>
      </w:pPr>
      <w:r>
        <w:rPr>
          <w:rStyle w:val="FootnoteReference"/>
        </w:rPr>
        <w:footnoteRef/>
      </w:r>
      <w:r>
        <w:t xml:space="preserve"> </w:t>
      </w:r>
      <w:r>
        <w:tab/>
        <w:t>Вж. Съобщение на Комисията „Гарантиране на продоволствената сигурност и повишаване на гъвкавостта на продоволствените системи“ от 23 март 2022 г., COM(2022) 133 final.</w:t>
      </w:r>
    </w:p>
  </w:footnote>
  <w:footnote w:id="4">
    <w:p w14:paraId="351BBCF7" w14:textId="77777777" w:rsidR="00820078" w:rsidRPr="003F465F" w:rsidRDefault="00820078" w:rsidP="003F465F">
      <w:pPr>
        <w:pStyle w:val="FootnoteText"/>
      </w:pPr>
      <w:r>
        <w:rPr>
          <w:rStyle w:val="FootnoteReference"/>
        </w:rPr>
        <w:footnoteRef/>
      </w:r>
      <w:r>
        <w:t xml:space="preserve"> </w:t>
      </w:r>
      <w:r>
        <w:tab/>
        <w:t>Географските агрегати са тези или конструираните от агрегатите на FAOSTAT.</w:t>
      </w:r>
    </w:p>
  </w:footnote>
  <w:footnote w:id="5">
    <w:p w14:paraId="042D144B" w14:textId="68D3B863" w:rsidR="00820078" w:rsidRPr="009025AA" w:rsidRDefault="00820078" w:rsidP="0077058A">
      <w:pPr>
        <w:pStyle w:val="FootnoteText"/>
      </w:pPr>
      <w:r>
        <w:rPr>
          <w:rStyle w:val="FootnoteReference"/>
        </w:rPr>
        <w:footnoteRef/>
      </w:r>
      <w:r>
        <w:t xml:space="preserve"> </w:t>
      </w:r>
      <w:r>
        <w:tab/>
        <w:t xml:space="preserve">Състоянието и механизмите на пазара на торове в ЕС и в света са обяснени накратко в </w:t>
      </w:r>
      <w:r>
        <w:rPr>
          <w:u w:val="single"/>
        </w:rPr>
        <w:t>приложение 2</w:t>
      </w:r>
      <w:r>
        <w:t xml:space="preserve"> към настоящото съобщение.</w:t>
      </w:r>
    </w:p>
  </w:footnote>
  <w:footnote w:id="6">
    <w:p w14:paraId="50703C70" w14:textId="77777777" w:rsidR="00820078" w:rsidRPr="009025AA" w:rsidRDefault="00820078">
      <w:pPr>
        <w:pStyle w:val="FootnoteText"/>
      </w:pPr>
      <w:r>
        <w:rPr>
          <w:rStyle w:val="FootnoteReference"/>
        </w:rPr>
        <w:footnoteRef/>
      </w:r>
      <w:r>
        <w:t xml:space="preserve"> </w:t>
      </w:r>
      <w:r>
        <w:tab/>
        <w:t>Най-важните основни хранителни вещества, използвани при производството на торове, са азот, фосфор и калий.</w:t>
      </w:r>
    </w:p>
  </w:footnote>
  <w:footnote w:id="7">
    <w:p w14:paraId="7CCB818E" w14:textId="77777777" w:rsidR="00820078" w:rsidRPr="009025AA" w:rsidRDefault="00820078" w:rsidP="001473B2">
      <w:pPr>
        <w:pStyle w:val="FootnoteText"/>
      </w:pPr>
      <w:r>
        <w:rPr>
          <w:rStyle w:val="FootnoteReference"/>
        </w:rPr>
        <w:footnoteRef/>
      </w:r>
      <w:r>
        <w:t xml:space="preserve"> </w:t>
      </w:r>
      <w:r>
        <w:tab/>
        <w:t>В този контекст предложението за законодателен акт за почвеното здраве през 2023 г. ще предостави допълнителни целенасочени средносрочни/дългосрочни отговори на въпроса за приноса на плодородната почва за продоволствената сигурност в ЕС.</w:t>
      </w:r>
    </w:p>
  </w:footnote>
  <w:footnote w:id="8">
    <w:p w14:paraId="263621DE" w14:textId="77777777" w:rsidR="00820078" w:rsidRPr="009025AA" w:rsidRDefault="00820078" w:rsidP="001473B2">
      <w:pPr>
        <w:pStyle w:val="FootnoteText"/>
      </w:pPr>
      <w:r>
        <w:rPr>
          <w:rStyle w:val="FootnoteReference"/>
        </w:rPr>
        <w:footnoteRef/>
      </w:r>
      <w:r>
        <w:t xml:space="preserve"> </w:t>
      </w:r>
      <w:r>
        <w:tab/>
        <w:t xml:space="preserve">Доброто земеделско и екологично състояние (ДЗЕС) и законоустановените изисквания за управление (ЗИУ), приложими в областта на хранителните вещества, са съобразени със задълженията, произтичащи от Директивата за нитратите (ЗИУ 2), създаването на буферни зони покрай водните течения (ДЗЕС 4), мерките за избягване на почвената ерозия и осигуряване на минимално почвено покритие (ДЗЕС 5 и 6) и сеитбооборот (ДЗЕС 7). </w:t>
      </w:r>
    </w:p>
  </w:footnote>
  <w:footnote w:id="9">
    <w:p w14:paraId="05BE101A" w14:textId="77777777" w:rsidR="00820078" w:rsidRPr="009025AA" w:rsidRDefault="00820078">
      <w:pPr>
        <w:pStyle w:val="FootnoteText"/>
      </w:pPr>
      <w:r>
        <w:rPr>
          <w:rStyle w:val="FootnoteReference"/>
        </w:rPr>
        <w:footnoteRef/>
      </w:r>
      <w:r>
        <w:t xml:space="preserve"> </w:t>
      </w:r>
      <w:r>
        <w:tab/>
        <w:t>Междинните култури поемат излишния азот, останал от торенето на предишната култура, като предотвратяват загубата му чрез излугване.</w:t>
      </w:r>
    </w:p>
  </w:footnote>
  <w:footnote w:id="10">
    <w:p w14:paraId="677C6FBD" w14:textId="77777777" w:rsidR="00820078" w:rsidRPr="009025AA" w:rsidDel="005968D6" w:rsidRDefault="00820078" w:rsidP="001473B2">
      <w:pPr>
        <w:pStyle w:val="FootnoteText"/>
      </w:pPr>
      <w:r>
        <w:rPr>
          <w:rStyle w:val="FootnoteReference"/>
        </w:rPr>
        <w:footnoteRef/>
      </w:r>
      <w:r>
        <w:t xml:space="preserve"> </w:t>
      </w:r>
      <w:r>
        <w:tab/>
        <w:t>Инвестициите във връзка с прецизното земеделие са изрично включени в 24 проектоплана.</w:t>
      </w:r>
    </w:p>
  </w:footnote>
  <w:footnote w:id="11">
    <w:p w14:paraId="2BD78BA4" w14:textId="18D4171B" w:rsidR="00820078" w:rsidRPr="003F465F" w:rsidRDefault="00820078">
      <w:pPr>
        <w:pStyle w:val="FootnoteText"/>
      </w:pPr>
      <w:r>
        <w:rPr>
          <w:rStyle w:val="FootnoteReference"/>
        </w:rPr>
        <w:footnoteRef/>
      </w:r>
      <w:r>
        <w:t xml:space="preserve"> </w:t>
      </w:r>
      <w:r>
        <w:tab/>
        <w:t>Инструментът за устойчивост на земеделските стопанства за хранителните вещества дава възможност на земеделските стопани да оптимизират използването на торове по отношение на времето, количествата и разположението им.</w:t>
      </w:r>
    </w:p>
  </w:footnote>
  <w:footnote w:id="12">
    <w:p w14:paraId="0714CE3A" w14:textId="78109B6F" w:rsidR="00820078" w:rsidRPr="000E547A" w:rsidRDefault="00820078" w:rsidP="00B802A7">
      <w:pPr>
        <w:pStyle w:val="FootnoteText"/>
      </w:pPr>
      <w:r>
        <w:rPr>
          <w:rStyle w:val="FootnoteReference"/>
        </w:rPr>
        <w:footnoteRef/>
      </w:r>
      <w:r>
        <w:t xml:space="preserve"> </w:t>
      </w:r>
      <w:r>
        <w:tab/>
        <w:t>Съобщение на Комисията „Временна рамка за мерки за държавна помощ при кризи в подкрепа на икономиката след агресията на Русия срещу Украйна“, C(2022) 7945 final.</w:t>
      </w:r>
    </w:p>
  </w:footnote>
  <w:footnote w:id="13">
    <w:p w14:paraId="44382AA9" w14:textId="77777777" w:rsidR="00820078" w:rsidRPr="009025AA" w:rsidRDefault="00820078" w:rsidP="00B802A7">
      <w:pPr>
        <w:pStyle w:val="FootnoteText"/>
      </w:pPr>
      <w:r>
        <w:rPr>
          <w:rStyle w:val="FootnoteReference"/>
        </w:rPr>
        <w:footnoteRef/>
      </w:r>
      <w:r>
        <w:t xml:space="preserve"> </w:t>
      </w:r>
      <w:r>
        <w:tab/>
        <w:t>Регламент (ЕС) 2022/1854 на Съвета от 6 октомври 2022 г. относно спешна интервенция за справяне с високите цени на енергията.</w:t>
      </w:r>
    </w:p>
  </w:footnote>
  <w:footnote w:id="14">
    <w:p w14:paraId="39C979F3" w14:textId="195F9343" w:rsidR="00820078" w:rsidRPr="009025AA" w:rsidRDefault="00820078" w:rsidP="00612B7E">
      <w:pPr>
        <w:pStyle w:val="FootnoteText"/>
      </w:pPr>
      <w:r>
        <w:rPr>
          <w:rStyle w:val="FootnoteReference"/>
        </w:rPr>
        <w:footnoteRef/>
      </w:r>
      <w:r>
        <w:t xml:space="preserve"> </w:t>
      </w:r>
      <w:r>
        <w:tab/>
        <w:t>Известие на Комисията „Технически насоки за прилагането на принципа за „ненанасяне на значителни вреди“ от 12 февруари 2021 г. (2021/C58/01).</w:t>
      </w:r>
    </w:p>
  </w:footnote>
  <w:footnote w:id="15">
    <w:p w14:paraId="6655DC5E" w14:textId="06986109" w:rsidR="00820078" w:rsidRDefault="00820078" w:rsidP="00E241AA">
      <w:pPr>
        <w:pStyle w:val="FootnoteText"/>
      </w:pPr>
      <w:r>
        <w:rPr>
          <w:rStyle w:val="FootnoteReference"/>
        </w:rPr>
        <w:footnoteRef/>
      </w:r>
      <w:r>
        <w:t> </w:t>
      </w:r>
      <w:r w:rsidR="00A462F1">
        <w:tab/>
      </w:r>
      <w:r>
        <w:t>Регламент (ЕС) № 2021/695 на Европейския парламент и на Съвета от 28 април 2021 г. за създаване на Рамковата програма за научни изследвания и иновации „Хоризонт Европа“, за определяне на нейните правила за участие и разпространение на резултатите и за отмяна на регламенти (ЕС) № 1290/2013 и (ЕС) № 1291/2013.</w:t>
      </w:r>
    </w:p>
  </w:footnote>
  <w:footnote w:id="16">
    <w:p w14:paraId="01582FFB" w14:textId="7CF121DE" w:rsidR="00820078" w:rsidRPr="00DC3A26" w:rsidRDefault="00820078">
      <w:pPr>
        <w:pStyle w:val="FootnoteText"/>
      </w:pPr>
      <w:r>
        <w:rPr>
          <w:rStyle w:val="FootnoteReference"/>
        </w:rPr>
        <w:footnoteRef/>
      </w:r>
      <w:r>
        <w:t xml:space="preserve"> </w:t>
      </w:r>
      <w:r>
        <w:tab/>
        <w:t>Биологичното земеделие не разрешава използването на синтетични торове.</w:t>
      </w:r>
    </w:p>
  </w:footnote>
  <w:footnote w:id="17">
    <w:p w14:paraId="2F355559" w14:textId="77777777" w:rsidR="00820078" w:rsidRPr="007248A2" w:rsidRDefault="00820078">
      <w:pPr>
        <w:pStyle w:val="FootnoteText"/>
      </w:pPr>
      <w:r>
        <w:rPr>
          <w:rStyle w:val="FootnoteReference"/>
        </w:rPr>
        <w:footnoteRef/>
      </w:r>
      <w:r>
        <w:t xml:space="preserve"> </w:t>
      </w:r>
      <w:r>
        <w:tab/>
        <w:t>Регламент (ЕС) 2019/1009 на Европейския парламент и на Съвета от 5 юни 2019 г. за определяне на правила за предоставянето на пазара на продукти за наторяване в ЕС.</w:t>
      </w:r>
    </w:p>
  </w:footnote>
  <w:footnote w:id="18">
    <w:p w14:paraId="2C1814C5" w14:textId="77777777" w:rsidR="00820078" w:rsidRPr="00DC3A26" w:rsidRDefault="00820078" w:rsidP="005678E4">
      <w:pPr>
        <w:pStyle w:val="FootnoteText"/>
      </w:pPr>
      <w:r>
        <w:rPr>
          <w:rStyle w:val="FootnoteReference"/>
        </w:rPr>
        <w:footnoteRef/>
      </w:r>
      <w:r>
        <w:t xml:space="preserve"> </w:t>
      </w:r>
      <w:r>
        <w:tab/>
        <w:t>Директива 91/271/EИО на Съвета от 21 май 1991 г. за пречистването на градските отпадъчни води.</w:t>
      </w:r>
    </w:p>
  </w:footnote>
  <w:footnote w:id="19">
    <w:p w14:paraId="32E19BF4" w14:textId="37D08F22" w:rsidR="00820078" w:rsidRPr="009025AA" w:rsidRDefault="00820078" w:rsidP="005678E4">
      <w:pPr>
        <w:pStyle w:val="FootnoteText"/>
      </w:pPr>
      <w:r>
        <w:rPr>
          <w:rStyle w:val="FootnoteReference"/>
        </w:rPr>
        <w:footnoteRef/>
      </w:r>
      <w:r>
        <w:t xml:space="preserve"> </w:t>
      </w:r>
      <w:r>
        <w:tab/>
        <w:t>JRC (2020 г.) „REcovered Nitrogen from manURE“(„Възстановен азот от оборски тор“) — технически предложения за безопасно използване на преработен оборски тор над прага, установен за нитратно уязвимите зони от Директивата за нитратите. В доклада на JRC от 2020 г. (наречен „RENURE“) се заключава, че е постигнат значителен напредък по отношение на разработването на технологии, които намаляват излугването на преработен оборски тор. Наличните технологии обаче вероятно ще доведат до добиването на продукти с по-високи емисии на амоняк в сравнение с някои минерални торове, като например калциев амониев нитрат (CAN) и амониев нитрат (AN), въпреки че те са по-добри от оборския тор и са със сходно или по-ниско качество от карбамида. Поради това използването на продуктите RENURE ще трябва да бъде подчинено на строги изисквания, свързани с практиките на прилагане, напълно съответстващи на критериите на Директивата за нитратите.</w:t>
      </w:r>
    </w:p>
  </w:footnote>
  <w:footnote w:id="20">
    <w:p w14:paraId="14289B53" w14:textId="77777777" w:rsidR="00820078" w:rsidRPr="009025AA" w:rsidRDefault="00820078" w:rsidP="00657E6D">
      <w:pPr>
        <w:pStyle w:val="FootnoteText"/>
      </w:pPr>
      <w:r>
        <w:rPr>
          <w:rStyle w:val="FootnoteReference"/>
        </w:rPr>
        <w:footnoteRef/>
      </w:r>
      <w:r>
        <w:t xml:space="preserve"> </w:t>
      </w:r>
      <w:r>
        <w:tab/>
        <w:t>Директива на Съвета от 12 декември 1991 г. за опазване на водите от замърсяване с нитрати от селскостопански източници. В нитратно уязвимите зони оборският тор, също както и преработеният оборски тор, могат да се използват за заместване на минерални торове само в рамките на пределните количества, определени от Директивата за нитратите (170 kg/ha/година), за да се избегне допълнително замърсяване.</w:t>
      </w:r>
    </w:p>
  </w:footnote>
  <w:footnote w:id="21">
    <w:p w14:paraId="74DB7968" w14:textId="77777777" w:rsidR="00820078" w:rsidRPr="009025AA" w:rsidRDefault="00820078" w:rsidP="00480CFF">
      <w:pPr>
        <w:pStyle w:val="FootnoteText"/>
      </w:pPr>
      <w:r>
        <w:rPr>
          <w:rStyle w:val="FootnoteReference"/>
        </w:rPr>
        <w:footnoteRef/>
      </w:r>
      <w:r>
        <w:t xml:space="preserve"> </w:t>
      </w:r>
      <w:r>
        <w:tab/>
        <w:t>Определен брой държави износителки на торове, като Мароко, Египет, Алжир, Тунис, Тринидад и Тобаго, се ползват от безмитен достъп до ЕС по силата на споразумения за свободна търговия.</w:t>
      </w:r>
    </w:p>
  </w:footnote>
  <w:footnote w:id="22">
    <w:p w14:paraId="22CD8075" w14:textId="4DB287D7" w:rsidR="00820078" w:rsidRPr="009025AA" w:rsidRDefault="00820078" w:rsidP="00480CFF">
      <w:pPr>
        <w:pStyle w:val="FootnoteText"/>
      </w:pPr>
      <w:r>
        <w:rPr>
          <w:rStyle w:val="FootnoteReference"/>
        </w:rPr>
        <w:footnoteRef/>
      </w:r>
      <w:r>
        <w:t xml:space="preserve"> </w:t>
      </w:r>
      <w:r>
        <w:tab/>
        <w:t>Предложение за Регламент на Съвета за изменение на приложение I към Регламент (ЕИО) № 2658/87 относно тарифната и статистическа номенклатура и Общата митническа тарифа от 19 юли 2022 г., COM(2022) 359.</w:t>
      </w:r>
    </w:p>
  </w:footnote>
  <w:footnote w:id="23">
    <w:p w14:paraId="40C5D980" w14:textId="77777777" w:rsidR="00820078" w:rsidRPr="00DC3A26" w:rsidRDefault="00820078">
      <w:pPr>
        <w:pStyle w:val="FootnoteText"/>
      </w:pPr>
      <w:r>
        <w:rPr>
          <w:rStyle w:val="FootnoteReference"/>
        </w:rPr>
        <w:footnoteRef/>
      </w:r>
      <w:r>
        <w:t xml:space="preserve"> </w:t>
      </w:r>
      <w:r>
        <w:tab/>
        <w:t>Решение за изпълнение (ЕС) 2022/2070 на Комисията от 26 октомври 2022 г., C/2022/7826.</w:t>
      </w:r>
    </w:p>
  </w:footnote>
  <w:footnote w:id="24">
    <w:p w14:paraId="5C3A6F64" w14:textId="623072E9" w:rsidR="00820078" w:rsidRPr="003F465F" w:rsidRDefault="00820078">
      <w:pPr>
        <w:pStyle w:val="FootnoteText"/>
      </w:pPr>
      <w:r>
        <w:rPr>
          <w:rStyle w:val="FootnoteReference"/>
        </w:rPr>
        <w:footnoteRef/>
      </w:r>
      <w:r>
        <w:t xml:space="preserve"> </w:t>
      </w:r>
      <w:r>
        <w:tab/>
        <w:t>Съобщение на Комисията „Справяне с нарастващите цени на енергията: набор от мерки за действие и подкрепа“ от 13 октомври 2021 г., COM(2021) 660 final.</w:t>
      </w:r>
    </w:p>
  </w:footnote>
  <w:footnote w:id="25">
    <w:p w14:paraId="48D04680" w14:textId="6744900E" w:rsidR="00820078" w:rsidRPr="009025AA" w:rsidRDefault="00820078" w:rsidP="00AA15E4">
      <w:pPr>
        <w:pStyle w:val="FootnoteText"/>
      </w:pPr>
      <w:r>
        <w:rPr>
          <w:vertAlign w:val="superscript"/>
        </w:rPr>
        <w:footnoteRef/>
      </w:r>
      <w:r>
        <w:t xml:space="preserve"> </w:t>
      </w:r>
      <w:r>
        <w:tab/>
        <w:t>Съобщение на Комисията „Да пестим газ за безпроблемна зима“ от 17 юли 2022 г., COM(2022) 360 final.</w:t>
      </w:r>
    </w:p>
  </w:footnote>
  <w:footnote w:id="26">
    <w:p w14:paraId="792D85B2" w14:textId="507D785F" w:rsidR="00820078" w:rsidRPr="00E85E8E" w:rsidRDefault="00820078">
      <w:pPr>
        <w:pStyle w:val="FootnoteText"/>
      </w:pPr>
      <w:r>
        <w:rPr>
          <w:vertAlign w:val="superscript"/>
        </w:rPr>
        <w:footnoteRef/>
      </w:r>
      <w:r>
        <w:t xml:space="preserve"> </w:t>
      </w:r>
      <w:r>
        <w:tab/>
        <w:t>Предложение за Регламент на Съвета за укрепване на солидарността чрез по-добра координация на покупките на газ, трансграничния обмен на газ и надеждни референтни показатели за цените, COM(2022) 549 final.</w:t>
      </w:r>
    </w:p>
  </w:footnote>
  <w:footnote w:id="27">
    <w:p w14:paraId="626EFEC4" w14:textId="5A6D01DC" w:rsidR="00820078" w:rsidRPr="009025AA" w:rsidRDefault="00820078" w:rsidP="00B64E5B">
      <w:pPr>
        <w:pStyle w:val="FootnoteText"/>
      </w:pPr>
      <w:r>
        <w:rPr>
          <w:rStyle w:val="FootnoteReference"/>
        </w:rPr>
        <w:footnoteRef/>
      </w:r>
      <w:r>
        <w:t xml:space="preserve"> </w:t>
      </w:r>
      <w:r>
        <w:tab/>
        <w:t>„Насоки относно държавната помощ в областта на климата, опазването на околната среда и енергетиката“ от 18 февруари 2022 г., C/2022/481; „Рамка за държавна помощ за научни изследвания, развитие и иновации“ от 19 октомври 2022 г., C(2022) 7388 final.</w:t>
      </w:r>
    </w:p>
  </w:footnote>
  <w:footnote w:id="28">
    <w:p w14:paraId="57307DD8" w14:textId="22ED3EF3" w:rsidR="00820078" w:rsidRPr="00F16B25" w:rsidRDefault="00820078" w:rsidP="007A6C83">
      <w:pPr>
        <w:pStyle w:val="FootnoteText"/>
      </w:pPr>
      <w:r>
        <w:rPr>
          <w:rStyle w:val="FootnoteReference"/>
        </w:rPr>
        <w:footnoteRef/>
      </w:r>
      <w:r>
        <w:t xml:space="preserve"> </w:t>
      </w:r>
      <w:r>
        <w:tab/>
        <w:t>Проследяване на търговската политика в областта на храните от Международния научноизследователски институт за политика в областта на храните (IFPRI), https://www.ifpri.org/project/covid-19-food-trade-policy-tracker</w:t>
      </w:r>
    </w:p>
  </w:footnote>
  <w:footnote w:id="29">
    <w:p w14:paraId="7A589CBC" w14:textId="77777777" w:rsidR="00820078" w:rsidRPr="009025AA" w:rsidRDefault="00820078" w:rsidP="00826D57">
      <w:pPr>
        <w:pStyle w:val="FootnoteText"/>
      </w:pPr>
      <w:r>
        <w:rPr>
          <w:rStyle w:val="FootnoteReference"/>
        </w:rPr>
        <w:footnoteRef/>
      </w:r>
      <w:r>
        <w:t xml:space="preserve"> </w:t>
      </w:r>
      <w:r>
        <w:tab/>
        <w:t>От 20 kg/ha в Субсахарска Африка до 77 kg/ha в Северна Африка, 125 kg/ha в Северна Америка, 155 kg/ha в Европа, 171 kg/ha в Латинска Америка и 294 kg/ha в Източна Азия (по данни на Световната банка, 2018 г.).</w:t>
      </w:r>
    </w:p>
  </w:footnote>
  <w:footnote w:id="30">
    <w:p w14:paraId="7A51EE5E" w14:textId="78BA3A3B" w:rsidR="00AB0D0E" w:rsidRPr="00B2425F" w:rsidRDefault="00AB0D0E">
      <w:pPr>
        <w:pStyle w:val="FootnoteText"/>
      </w:pPr>
      <w:r>
        <w:rPr>
          <w:rStyle w:val="FootnoteReference"/>
        </w:rPr>
        <w:footnoteRef/>
      </w:r>
      <w:r>
        <w:t xml:space="preserve"> </w:t>
      </w:r>
      <w:r>
        <w:tab/>
        <w:t>Инструмент за съседство, развитие и международно сътрудничество.</w:t>
      </w:r>
    </w:p>
  </w:footnote>
  <w:footnote w:id="31">
    <w:p w14:paraId="3481CD43" w14:textId="77777777" w:rsidR="00820078" w:rsidRPr="009025AA" w:rsidRDefault="00820078">
      <w:pPr>
        <w:pStyle w:val="FootnoteText"/>
      </w:pPr>
      <w:r>
        <w:rPr>
          <w:rStyle w:val="FootnoteReference"/>
        </w:rPr>
        <w:footnoteRef/>
      </w:r>
      <w:r>
        <w:t xml:space="preserve"> </w:t>
      </w:r>
      <w:r>
        <w:tab/>
        <w:t>DeSIRA: Инициатива за иновации за интелигентно развитие чрез научни изследвания в селското стопанство. GCCA+: Световен алианс за борба с изменението на климата +.</w:t>
      </w:r>
    </w:p>
  </w:footnote>
  <w:footnote w:id="32">
    <w:p w14:paraId="72AC4BA5" w14:textId="77777777" w:rsidR="00820078" w:rsidRPr="009025AA" w:rsidRDefault="00820078">
      <w:pPr>
        <w:pStyle w:val="FootnoteText"/>
      </w:pPr>
      <w:r>
        <w:rPr>
          <w:rStyle w:val="FootnoteReference"/>
        </w:rPr>
        <w:footnoteRef/>
      </w:r>
      <w:r>
        <w:t xml:space="preserve"> </w:t>
      </w:r>
      <w:r>
        <w:tab/>
        <w:t>Консултативна група за международни научни изследвания в селското стопанство (Consultative Group on International Agricultural Research).</w:t>
      </w:r>
    </w:p>
  </w:footnote>
  <w:footnote w:id="33">
    <w:p w14:paraId="3E4C9671" w14:textId="37D77463" w:rsidR="00820078" w:rsidRPr="009025AA" w:rsidRDefault="00820078" w:rsidP="00155BC4">
      <w:pPr>
        <w:pStyle w:val="FootnoteText"/>
      </w:pPr>
      <w:r>
        <w:rPr>
          <w:rStyle w:val="FootnoteReference"/>
        </w:rPr>
        <w:footnoteRef/>
      </w:r>
      <w:r>
        <w:t xml:space="preserve"> </w:t>
      </w:r>
      <w:r>
        <w:tab/>
        <w:t>Единственото ограничение, което понастоящем е в сила за Русия, се отнася до вноса в ЕС на някои калиеви торове, за които обаче има действаща голяма квота въз основа на потреблението в миналото. Санкциите, отнасящи се до поименно посочени лица, също са от значение.</w:t>
      </w:r>
    </w:p>
  </w:footnote>
  <w:footnote w:id="34">
    <w:p w14:paraId="1B3443D2" w14:textId="2A0FD5D0" w:rsidR="00820078" w:rsidRPr="009025AA" w:rsidRDefault="00820078" w:rsidP="00155BC4">
      <w:pPr>
        <w:pStyle w:val="FootnoteText"/>
      </w:pPr>
      <w:r>
        <w:rPr>
          <w:rStyle w:val="FootnoteReference"/>
        </w:rPr>
        <w:footnoteRef/>
      </w:r>
      <w:r>
        <w:t xml:space="preserve"> </w:t>
      </w:r>
      <w:r>
        <w:tab/>
        <w:t>Това не засяга способността на държавите членки да предприемат необходимите мерки за защита на интересите на националната си сигурност.</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E4A4F" w14:textId="77777777" w:rsidR="00C471B9" w:rsidRPr="00C471B9" w:rsidRDefault="00C471B9" w:rsidP="00C471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311C2" w14:textId="77777777" w:rsidR="00C471B9" w:rsidRPr="00C471B9" w:rsidRDefault="00C471B9" w:rsidP="00C471B9">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9C77B" w14:textId="77777777" w:rsidR="00C471B9" w:rsidRPr="00C471B9" w:rsidRDefault="00C471B9" w:rsidP="00C471B9">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BA756" w14:textId="77777777" w:rsidR="00820078" w:rsidRPr="00E4344F" w:rsidRDefault="00820078" w:rsidP="00371E18">
    <w:pPr>
      <w:pStyle w:val="Header"/>
    </w:pPr>
  </w:p>
  <w:p w14:paraId="6F15DED2" w14:textId="77777777" w:rsidR="00693759" w:rsidRDefault="00693759"/>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A558C" w14:textId="77777777" w:rsidR="00820078" w:rsidRDefault="00820078">
    <w:pPr>
      <w:pStyle w:val="Header"/>
    </w:pPr>
  </w:p>
  <w:p w14:paraId="5EC50984" w14:textId="77777777" w:rsidR="00693759" w:rsidRDefault="00693759"/>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A035B" w14:textId="77777777" w:rsidR="00820078" w:rsidRPr="00E4344F" w:rsidRDefault="00820078" w:rsidP="00371E18">
    <w:pPr>
      <w:pStyle w:val="Header"/>
    </w:pPr>
  </w:p>
  <w:p w14:paraId="61941A6C" w14:textId="77777777" w:rsidR="00693759" w:rsidRDefault="0069375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2FE5"/>
    <w:multiLevelType w:val="hybridMultilevel"/>
    <w:tmpl w:val="4DB23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085B80"/>
    <w:multiLevelType w:val="hybridMultilevel"/>
    <w:tmpl w:val="501E0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A033EC"/>
    <w:multiLevelType w:val="hybridMultilevel"/>
    <w:tmpl w:val="82D460F2"/>
    <w:lvl w:ilvl="0" w:tplc="EB0CD8B0">
      <w:start w:val="10"/>
      <w:numFmt w:val="bullet"/>
      <w:lvlText w:val="-"/>
      <w:lvlJc w:val="left"/>
      <w:pPr>
        <w:ind w:left="720" w:hanging="360"/>
      </w:pPr>
      <w:rPr>
        <w:rFonts w:ascii="Times New Roman" w:eastAsiaTheme="minorHAnsi"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AEA2A9F"/>
    <w:multiLevelType w:val="hybridMultilevel"/>
    <w:tmpl w:val="82CEB3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3CF7A2D"/>
    <w:multiLevelType w:val="hybridMultilevel"/>
    <w:tmpl w:val="B3123AF4"/>
    <w:lvl w:ilvl="0" w:tplc="08090001">
      <w:start w:val="1"/>
      <w:numFmt w:val="bullet"/>
      <w:lvlText w:val=""/>
      <w:lvlJc w:val="left"/>
      <w:pPr>
        <w:ind w:left="360" w:hanging="360"/>
      </w:pPr>
      <w:rPr>
        <w:rFonts w:ascii="Symbol" w:hAnsi="Symbol" w:hint="default"/>
      </w:rPr>
    </w:lvl>
    <w:lvl w:ilvl="1" w:tplc="F7A4E092">
      <w:numFmt w:val="bullet"/>
      <w:lvlText w:val="-"/>
      <w:lvlJc w:val="left"/>
      <w:pPr>
        <w:ind w:left="1080" w:hanging="360"/>
      </w:pPr>
      <w:rPr>
        <w:rFonts w:ascii="Times New Roman" w:eastAsia="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8C3575"/>
    <w:multiLevelType w:val="hybridMultilevel"/>
    <w:tmpl w:val="9CAC1FD0"/>
    <w:lvl w:ilvl="0" w:tplc="10640F9E">
      <w:start w:val="3"/>
      <w:numFmt w:val="bullet"/>
      <w:lvlText w:val="-"/>
      <w:lvlJc w:val="left"/>
      <w:pPr>
        <w:ind w:left="720" w:hanging="360"/>
      </w:pPr>
      <w:rPr>
        <w:rFonts w:ascii="Times New Roman" w:eastAsiaTheme="minorEastAsia"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82D4A4B"/>
    <w:multiLevelType w:val="multilevel"/>
    <w:tmpl w:val="FD82F7D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4125"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4BD32E34"/>
    <w:multiLevelType w:val="hybridMultilevel"/>
    <w:tmpl w:val="8EE6BA72"/>
    <w:lvl w:ilvl="0" w:tplc="E45E7678">
      <w:numFmt w:val="bullet"/>
      <w:lvlText w:val=""/>
      <w:lvlJc w:val="left"/>
      <w:pPr>
        <w:ind w:left="1080" w:hanging="72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955DFF"/>
    <w:multiLevelType w:val="hybridMultilevel"/>
    <w:tmpl w:val="B5C4C8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4175F91"/>
    <w:multiLevelType w:val="hybridMultilevel"/>
    <w:tmpl w:val="25AEC7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B9C5682"/>
    <w:multiLevelType w:val="hybridMultilevel"/>
    <w:tmpl w:val="3EFA579A"/>
    <w:lvl w:ilvl="0" w:tplc="0C427AA2">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65145E"/>
    <w:multiLevelType w:val="multilevel"/>
    <w:tmpl w:val="91DA040E"/>
    <w:lvl w:ilvl="0">
      <w:start w:val="1"/>
      <w:numFmt w:val="decimal"/>
      <w:pStyle w:val="Heading1"/>
      <w:lvlText w:val="%1."/>
      <w:lvlJc w:val="left"/>
      <w:pPr>
        <w:tabs>
          <w:tab w:val="num" w:pos="482"/>
        </w:tabs>
        <w:ind w:left="482" w:hanging="482"/>
      </w:pPr>
      <w:rPr>
        <w:rFonts w:ascii="Times New Roman" w:hAnsi="Times New Roman" w:cs="Times New Roman" w:hint="default"/>
        <w:b/>
        <w:lang w:val="en-GB"/>
      </w:rPr>
    </w:lvl>
    <w:lvl w:ilvl="1">
      <w:start w:val="1"/>
      <w:numFmt w:val="decimal"/>
      <w:pStyle w:val="Heading2"/>
      <w:lvlText w:val="%1.%2."/>
      <w:lvlJc w:val="left"/>
      <w:pPr>
        <w:tabs>
          <w:tab w:val="num" w:pos="2564"/>
        </w:tabs>
        <w:ind w:left="2564" w:hanging="72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2562"/>
        </w:tabs>
        <w:ind w:left="2562" w:hanging="720"/>
      </w:pPr>
      <w:rPr>
        <w:i/>
      </w:rPr>
    </w:lvl>
    <w:lvl w:ilvl="3">
      <w:start w:val="1"/>
      <w:numFmt w:val="decimal"/>
      <w:pStyle w:val="Heading4"/>
      <w:lvlText w:val="%1.%2.%3.%4."/>
      <w:lvlJc w:val="left"/>
      <w:pPr>
        <w:tabs>
          <w:tab w:val="num" w:pos="1922"/>
        </w:tabs>
        <w:ind w:left="1922" w:hanging="720"/>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num w:numId="1">
    <w:abstractNumId w:val="12"/>
  </w:num>
  <w:num w:numId="2">
    <w:abstractNumId w:val="3"/>
  </w:num>
  <w:num w:numId="3">
    <w:abstractNumId w:val="0"/>
  </w:num>
  <w:num w:numId="4">
    <w:abstractNumId w:val="1"/>
  </w:num>
  <w:num w:numId="5">
    <w:abstractNumId w:val="4"/>
  </w:num>
  <w:num w:numId="6">
    <w:abstractNumId w:val="9"/>
  </w:num>
  <w:num w:numId="7">
    <w:abstractNumId w:val="2"/>
  </w:num>
  <w:num w:numId="8">
    <w:abstractNumId w:val="6"/>
  </w:num>
  <w:num w:numId="9">
    <w:abstractNumId w:val="7"/>
  </w:num>
  <w:num w:numId="10">
    <w:abstractNumId w:val="8"/>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2"/>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11"/>
  </w:num>
  <w:num w:numId="22">
    <w:abstractNumId w:val="12"/>
  </w:num>
  <w:num w:numId="23">
    <w:abstractNumId w:val="12"/>
  </w:num>
  <w:num w:numId="24">
    <w:abstractNumId w:val="12"/>
  </w:num>
  <w:num w:numId="25">
    <w:abstractNumId w:val="5"/>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12"/>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de-AT" w:vendorID="64" w:dllVersion="6" w:nlCheck="1" w:checkStyle="0"/>
  <w:activeWritingStyle w:appName="MSWord" w:lang="en-GB" w:vendorID="64" w:dllVersion="6" w:nlCheck="1" w:checkStyle="1"/>
  <w:activeWritingStyle w:appName="MSWord" w:lang="en-IE" w:vendorID="64" w:dllVersion="6" w:nlCheck="1" w:checkStyle="1"/>
  <w:activeWritingStyle w:appName="MSWord" w:lang="fr-BE" w:vendorID="64" w:dllVersion="6" w:nlCheck="1" w:checkStyle="0"/>
  <w:activeWritingStyle w:appName="MSWord" w:lang="en-US"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de-AT" w:vendorID="64" w:dllVersion="0"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revisionView w:markup="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9F885397-F68C-4EA3-B127-750EE306433B"/>
    <w:docVar w:name="LW_COVERPAGE_TYPE" w:val="1"/>
    <w:docVar w:name="LW_CROSSREFERENCE" w:val="&lt;UNUSED&gt;"/>
    <w:docVar w:name="LW_DocType" w:val="NORMAL"/>
    <w:docVar w:name="LW_EMISSION" w:val="9.11.2022"/>
    <w:docVar w:name="LW_EMISSION_ISODATE" w:val="2022-11-09"/>
    <w:docVar w:name="LW_EMISSION_LOCATION" w:val="BRX"/>
    <w:docVar w:name="LW_EMISSION_PREFIX" w:val="\u1041?\u1088?\u1102?\u1082?\u1089?\u1077?\u1083?, "/>
    <w:docVar w:name="LW_EMISSION_SUFFIX" w:val=" \u1075?."/>
    <w:docVar w:name="LW_ID_DOCTYPE_NONLW" w:val="CP-014"/>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22) 59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Гарантиране на наличността и финансовата достъпност на торовете_x000d__x000d__x000d__x000d__x000d__x000d__x000b__x000d__x000d__x000d__x000d__x000d__x000d__x000b_"/>
    <w:docVar w:name="LW_TYPE.DOC.CP" w:val="СЪОБЩЕНИЕ НА КОМИСИЯТА ДО ЕВРОПЕЙСКИЯ ПАРЛАМЕНТ, СЪВЕТА, ЕВРОПЕЙСКИЯ ИКОНОМИЧЕСКИ И СОЦИАЛЕН КОМИТЕТ И КОМИТЕТА НА РЕГИОНИТЕ"/>
    <w:docVar w:name="LW_TYPE.DOC.CP.USERTEXT" w:val="&lt;EMPTY&gt;"/>
    <w:docVar w:name="LwApiVersions" w:val="LW4CoDe 1.23.2.0; LW 8.0, Build 20211117"/>
  </w:docVars>
  <w:rsids>
    <w:rsidRoot w:val="00DC0E84"/>
    <w:rsid w:val="0000140E"/>
    <w:rsid w:val="00005FF6"/>
    <w:rsid w:val="00016862"/>
    <w:rsid w:val="000178C4"/>
    <w:rsid w:val="00017F1A"/>
    <w:rsid w:val="0002487B"/>
    <w:rsid w:val="000335CC"/>
    <w:rsid w:val="000421DD"/>
    <w:rsid w:val="000504DA"/>
    <w:rsid w:val="000541D6"/>
    <w:rsid w:val="0006760F"/>
    <w:rsid w:val="00070E08"/>
    <w:rsid w:val="00085D18"/>
    <w:rsid w:val="00087E5E"/>
    <w:rsid w:val="00092160"/>
    <w:rsid w:val="0009526A"/>
    <w:rsid w:val="00096A32"/>
    <w:rsid w:val="000A623C"/>
    <w:rsid w:val="000A650B"/>
    <w:rsid w:val="000B0580"/>
    <w:rsid w:val="000B0F52"/>
    <w:rsid w:val="000B6F05"/>
    <w:rsid w:val="000C1EDF"/>
    <w:rsid w:val="000E547A"/>
    <w:rsid w:val="000E62D5"/>
    <w:rsid w:val="000E7CCC"/>
    <w:rsid w:val="000F26A2"/>
    <w:rsid w:val="000F7107"/>
    <w:rsid w:val="00100978"/>
    <w:rsid w:val="0010188D"/>
    <w:rsid w:val="0010280D"/>
    <w:rsid w:val="00103FDF"/>
    <w:rsid w:val="001044C3"/>
    <w:rsid w:val="00106F92"/>
    <w:rsid w:val="00117771"/>
    <w:rsid w:val="00125359"/>
    <w:rsid w:val="00126212"/>
    <w:rsid w:val="001319CA"/>
    <w:rsid w:val="001332F1"/>
    <w:rsid w:val="00136AE8"/>
    <w:rsid w:val="001431F2"/>
    <w:rsid w:val="00145420"/>
    <w:rsid w:val="001473B2"/>
    <w:rsid w:val="00151492"/>
    <w:rsid w:val="00153DC1"/>
    <w:rsid w:val="00155BC4"/>
    <w:rsid w:val="00160E0D"/>
    <w:rsid w:val="00162DDE"/>
    <w:rsid w:val="00163995"/>
    <w:rsid w:val="00167787"/>
    <w:rsid w:val="001724F9"/>
    <w:rsid w:val="00173C26"/>
    <w:rsid w:val="00173CCB"/>
    <w:rsid w:val="0017616F"/>
    <w:rsid w:val="00180230"/>
    <w:rsid w:val="00181569"/>
    <w:rsid w:val="001821E2"/>
    <w:rsid w:val="001824DF"/>
    <w:rsid w:val="00184554"/>
    <w:rsid w:val="001910C7"/>
    <w:rsid w:val="00191C52"/>
    <w:rsid w:val="001954E0"/>
    <w:rsid w:val="00197B76"/>
    <w:rsid w:val="00197BA7"/>
    <w:rsid w:val="001A5D9C"/>
    <w:rsid w:val="001B1B3F"/>
    <w:rsid w:val="001B37C8"/>
    <w:rsid w:val="001B4BE8"/>
    <w:rsid w:val="001D1B41"/>
    <w:rsid w:val="001D5D48"/>
    <w:rsid w:val="001E0AF4"/>
    <w:rsid w:val="001E319C"/>
    <w:rsid w:val="001E35D3"/>
    <w:rsid w:val="001E527B"/>
    <w:rsid w:val="001E5515"/>
    <w:rsid w:val="001E5C91"/>
    <w:rsid w:val="001F0CAA"/>
    <w:rsid w:val="001F3EAC"/>
    <w:rsid w:val="001F5D25"/>
    <w:rsid w:val="001F6E20"/>
    <w:rsid w:val="002054CC"/>
    <w:rsid w:val="0021331D"/>
    <w:rsid w:val="002145FE"/>
    <w:rsid w:val="00226B05"/>
    <w:rsid w:val="0023354F"/>
    <w:rsid w:val="00241F25"/>
    <w:rsid w:val="00242B4D"/>
    <w:rsid w:val="00243ECA"/>
    <w:rsid w:val="0024413E"/>
    <w:rsid w:val="002467C8"/>
    <w:rsid w:val="0025063C"/>
    <w:rsid w:val="00251D0E"/>
    <w:rsid w:val="00256C1D"/>
    <w:rsid w:val="00256C2C"/>
    <w:rsid w:val="00257840"/>
    <w:rsid w:val="00264508"/>
    <w:rsid w:val="00267FD6"/>
    <w:rsid w:val="00270C31"/>
    <w:rsid w:val="00271389"/>
    <w:rsid w:val="0027414F"/>
    <w:rsid w:val="00277AC0"/>
    <w:rsid w:val="002819DE"/>
    <w:rsid w:val="002A05FE"/>
    <w:rsid w:val="002A2728"/>
    <w:rsid w:val="002C3720"/>
    <w:rsid w:val="002C6D93"/>
    <w:rsid w:val="002E0ADE"/>
    <w:rsid w:val="002E0CC3"/>
    <w:rsid w:val="002E1D35"/>
    <w:rsid w:val="002E3644"/>
    <w:rsid w:val="002E3897"/>
    <w:rsid w:val="002E5A54"/>
    <w:rsid w:val="002E7370"/>
    <w:rsid w:val="002F1328"/>
    <w:rsid w:val="002F1708"/>
    <w:rsid w:val="002F377F"/>
    <w:rsid w:val="002F3A02"/>
    <w:rsid w:val="002F598C"/>
    <w:rsid w:val="00302D6C"/>
    <w:rsid w:val="00305044"/>
    <w:rsid w:val="00314D9D"/>
    <w:rsid w:val="0031605A"/>
    <w:rsid w:val="00320331"/>
    <w:rsid w:val="003205D6"/>
    <w:rsid w:val="00322B90"/>
    <w:rsid w:val="0033678E"/>
    <w:rsid w:val="00340B47"/>
    <w:rsid w:val="00341A67"/>
    <w:rsid w:val="00342F09"/>
    <w:rsid w:val="00345DC8"/>
    <w:rsid w:val="00346E78"/>
    <w:rsid w:val="00352627"/>
    <w:rsid w:val="00356224"/>
    <w:rsid w:val="00356483"/>
    <w:rsid w:val="00356ADB"/>
    <w:rsid w:val="00356F89"/>
    <w:rsid w:val="00365460"/>
    <w:rsid w:val="00370C5F"/>
    <w:rsid w:val="00371698"/>
    <w:rsid w:val="00371E18"/>
    <w:rsid w:val="003750F9"/>
    <w:rsid w:val="00377212"/>
    <w:rsid w:val="00382061"/>
    <w:rsid w:val="00382E2F"/>
    <w:rsid w:val="003932CB"/>
    <w:rsid w:val="00396492"/>
    <w:rsid w:val="003A0900"/>
    <w:rsid w:val="003A1635"/>
    <w:rsid w:val="003A1F14"/>
    <w:rsid w:val="003A45C6"/>
    <w:rsid w:val="003A487D"/>
    <w:rsid w:val="003A50E5"/>
    <w:rsid w:val="003B3914"/>
    <w:rsid w:val="003B4D11"/>
    <w:rsid w:val="003B5E9D"/>
    <w:rsid w:val="003B7395"/>
    <w:rsid w:val="003B73BC"/>
    <w:rsid w:val="003C1B78"/>
    <w:rsid w:val="003C1CA0"/>
    <w:rsid w:val="003C2769"/>
    <w:rsid w:val="003C5902"/>
    <w:rsid w:val="003C5BC3"/>
    <w:rsid w:val="003D16B1"/>
    <w:rsid w:val="003D41A7"/>
    <w:rsid w:val="003D51CF"/>
    <w:rsid w:val="003D650F"/>
    <w:rsid w:val="003E122D"/>
    <w:rsid w:val="003E1E8E"/>
    <w:rsid w:val="003E4314"/>
    <w:rsid w:val="003F465F"/>
    <w:rsid w:val="003F7662"/>
    <w:rsid w:val="004018C0"/>
    <w:rsid w:val="0040295F"/>
    <w:rsid w:val="00404E00"/>
    <w:rsid w:val="0041259B"/>
    <w:rsid w:val="00415BA6"/>
    <w:rsid w:val="00416E0B"/>
    <w:rsid w:val="00423336"/>
    <w:rsid w:val="00425C6F"/>
    <w:rsid w:val="00426B79"/>
    <w:rsid w:val="00433C5A"/>
    <w:rsid w:val="004414A3"/>
    <w:rsid w:val="0045137E"/>
    <w:rsid w:val="00452514"/>
    <w:rsid w:val="00453B1F"/>
    <w:rsid w:val="00456656"/>
    <w:rsid w:val="00460B5F"/>
    <w:rsid w:val="0046184E"/>
    <w:rsid w:val="00464B9C"/>
    <w:rsid w:val="00474BCA"/>
    <w:rsid w:val="004758AD"/>
    <w:rsid w:val="00475A02"/>
    <w:rsid w:val="00475EB5"/>
    <w:rsid w:val="00480CFF"/>
    <w:rsid w:val="00481627"/>
    <w:rsid w:val="004877DB"/>
    <w:rsid w:val="00490A8E"/>
    <w:rsid w:val="004946CE"/>
    <w:rsid w:val="00496C10"/>
    <w:rsid w:val="004A04AA"/>
    <w:rsid w:val="004A3EB8"/>
    <w:rsid w:val="004A69E4"/>
    <w:rsid w:val="004B02E9"/>
    <w:rsid w:val="004B0364"/>
    <w:rsid w:val="004B357D"/>
    <w:rsid w:val="004B7D57"/>
    <w:rsid w:val="004C43B0"/>
    <w:rsid w:val="004C7D92"/>
    <w:rsid w:val="004D10B9"/>
    <w:rsid w:val="004D22E8"/>
    <w:rsid w:val="004D2B6D"/>
    <w:rsid w:val="004D5B4B"/>
    <w:rsid w:val="004D6947"/>
    <w:rsid w:val="004D7A39"/>
    <w:rsid w:val="004E0903"/>
    <w:rsid w:val="004E4CB1"/>
    <w:rsid w:val="004E68E2"/>
    <w:rsid w:val="004F1C74"/>
    <w:rsid w:val="004F2985"/>
    <w:rsid w:val="004F513D"/>
    <w:rsid w:val="004F7510"/>
    <w:rsid w:val="00503ADD"/>
    <w:rsid w:val="005052E6"/>
    <w:rsid w:val="00511841"/>
    <w:rsid w:val="00515A3F"/>
    <w:rsid w:val="00520CC6"/>
    <w:rsid w:val="005234F0"/>
    <w:rsid w:val="00524515"/>
    <w:rsid w:val="00524C35"/>
    <w:rsid w:val="005259D6"/>
    <w:rsid w:val="00526A18"/>
    <w:rsid w:val="00533B82"/>
    <w:rsid w:val="00535584"/>
    <w:rsid w:val="00536380"/>
    <w:rsid w:val="00540AAE"/>
    <w:rsid w:val="00541113"/>
    <w:rsid w:val="00544AF7"/>
    <w:rsid w:val="00546B6C"/>
    <w:rsid w:val="00556025"/>
    <w:rsid w:val="00556783"/>
    <w:rsid w:val="005621FF"/>
    <w:rsid w:val="0056236C"/>
    <w:rsid w:val="00564741"/>
    <w:rsid w:val="005677E7"/>
    <w:rsid w:val="005678E4"/>
    <w:rsid w:val="00572356"/>
    <w:rsid w:val="005819F2"/>
    <w:rsid w:val="00582DA2"/>
    <w:rsid w:val="00584936"/>
    <w:rsid w:val="00586E11"/>
    <w:rsid w:val="00593A1C"/>
    <w:rsid w:val="0059450B"/>
    <w:rsid w:val="005968D6"/>
    <w:rsid w:val="005A0BFB"/>
    <w:rsid w:val="005A1545"/>
    <w:rsid w:val="005A2072"/>
    <w:rsid w:val="005A3DF4"/>
    <w:rsid w:val="005B02D2"/>
    <w:rsid w:val="005B068A"/>
    <w:rsid w:val="005B281E"/>
    <w:rsid w:val="005B36E6"/>
    <w:rsid w:val="005B6C89"/>
    <w:rsid w:val="005B7247"/>
    <w:rsid w:val="005C0F6F"/>
    <w:rsid w:val="005C67CF"/>
    <w:rsid w:val="005D5019"/>
    <w:rsid w:val="005E1C30"/>
    <w:rsid w:val="005E3703"/>
    <w:rsid w:val="005E4C28"/>
    <w:rsid w:val="005E4F25"/>
    <w:rsid w:val="005E75E1"/>
    <w:rsid w:val="005F0A4F"/>
    <w:rsid w:val="005F4296"/>
    <w:rsid w:val="00601FFB"/>
    <w:rsid w:val="00606F00"/>
    <w:rsid w:val="00607652"/>
    <w:rsid w:val="00612B7E"/>
    <w:rsid w:val="00615A06"/>
    <w:rsid w:val="00617B7F"/>
    <w:rsid w:val="00620DAE"/>
    <w:rsid w:val="00630898"/>
    <w:rsid w:val="00636EBD"/>
    <w:rsid w:val="00652192"/>
    <w:rsid w:val="00655C5A"/>
    <w:rsid w:val="006575FB"/>
    <w:rsid w:val="00657E6D"/>
    <w:rsid w:val="00667C9E"/>
    <w:rsid w:val="00672946"/>
    <w:rsid w:val="00676D3D"/>
    <w:rsid w:val="00681A16"/>
    <w:rsid w:val="0068248A"/>
    <w:rsid w:val="00687366"/>
    <w:rsid w:val="00693759"/>
    <w:rsid w:val="006939ED"/>
    <w:rsid w:val="006A20FE"/>
    <w:rsid w:val="006B45D0"/>
    <w:rsid w:val="006B479E"/>
    <w:rsid w:val="006C3B3D"/>
    <w:rsid w:val="006C687C"/>
    <w:rsid w:val="006D0E1C"/>
    <w:rsid w:val="006D142B"/>
    <w:rsid w:val="006D4125"/>
    <w:rsid w:val="006D608E"/>
    <w:rsid w:val="006D67D8"/>
    <w:rsid w:val="006E3DF1"/>
    <w:rsid w:val="006E3EA6"/>
    <w:rsid w:val="006E63DC"/>
    <w:rsid w:val="006F619A"/>
    <w:rsid w:val="006F6318"/>
    <w:rsid w:val="00703EBA"/>
    <w:rsid w:val="0070547F"/>
    <w:rsid w:val="007072D8"/>
    <w:rsid w:val="007124ED"/>
    <w:rsid w:val="00717D6D"/>
    <w:rsid w:val="007211A5"/>
    <w:rsid w:val="00722844"/>
    <w:rsid w:val="007248A2"/>
    <w:rsid w:val="00730C6C"/>
    <w:rsid w:val="00730EEE"/>
    <w:rsid w:val="00731C6F"/>
    <w:rsid w:val="00735148"/>
    <w:rsid w:val="007402DA"/>
    <w:rsid w:val="00743087"/>
    <w:rsid w:val="007437A6"/>
    <w:rsid w:val="00757C7C"/>
    <w:rsid w:val="007658D5"/>
    <w:rsid w:val="00766350"/>
    <w:rsid w:val="007679B3"/>
    <w:rsid w:val="0077058A"/>
    <w:rsid w:val="00773C7D"/>
    <w:rsid w:val="0078002D"/>
    <w:rsid w:val="00781402"/>
    <w:rsid w:val="0079497B"/>
    <w:rsid w:val="0079599F"/>
    <w:rsid w:val="0079781F"/>
    <w:rsid w:val="007A1F18"/>
    <w:rsid w:val="007A2FED"/>
    <w:rsid w:val="007A36AF"/>
    <w:rsid w:val="007A6C83"/>
    <w:rsid w:val="007A7049"/>
    <w:rsid w:val="007B176F"/>
    <w:rsid w:val="007B565A"/>
    <w:rsid w:val="007B66C8"/>
    <w:rsid w:val="007B6AEF"/>
    <w:rsid w:val="007C4E09"/>
    <w:rsid w:val="007C6408"/>
    <w:rsid w:val="007C7813"/>
    <w:rsid w:val="007D0249"/>
    <w:rsid w:val="007D2D18"/>
    <w:rsid w:val="007D378B"/>
    <w:rsid w:val="007D4CDE"/>
    <w:rsid w:val="007D665D"/>
    <w:rsid w:val="007D6F8E"/>
    <w:rsid w:val="007E0776"/>
    <w:rsid w:val="007E1A28"/>
    <w:rsid w:val="007E4106"/>
    <w:rsid w:val="007E662E"/>
    <w:rsid w:val="007F033B"/>
    <w:rsid w:val="007F59CF"/>
    <w:rsid w:val="007F7FCE"/>
    <w:rsid w:val="00801D76"/>
    <w:rsid w:val="0080376C"/>
    <w:rsid w:val="008041E8"/>
    <w:rsid w:val="00806379"/>
    <w:rsid w:val="00807E10"/>
    <w:rsid w:val="0081099E"/>
    <w:rsid w:val="00820078"/>
    <w:rsid w:val="00820915"/>
    <w:rsid w:val="008220A4"/>
    <w:rsid w:val="0082240B"/>
    <w:rsid w:val="00823439"/>
    <w:rsid w:val="00826D57"/>
    <w:rsid w:val="00840C0E"/>
    <w:rsid w:val="0084292E"/>
    <w:rsid w:val="00842CD7"/>
    <w:rsid w:val="008479A5"/>
    <w:rsid w:val="0085221D"/>
    <w:rsid w:val="008563CA"/>
    <w:rsid w:val="00857AE0"/>
    <w:rsid w:val="0086044F"/>
    <w:rsid w:val="0086372F"/>
    <w:rsid w:val="008645C0"/>
    <w:rsid w:val="0086707E"/>
    <w:rsid w:val="00875AA3"/>
    <w:rsid w:val="00875F3F"/>
    <w:rsid w:val="008765C5"/>
    <w:rsid w:val="00876B5C"/>
    <w:rsid w:val="008830D4"/>
    <w:rsid w:val="00884846"/>
    <w:rsid w:val="00885F48"/>
    <w:rsid w:val="0088701E"/>
    <w:rsid w:val="00887A6E"/>
    <w:rsid w:val="008909DB"/>
    <w:rsid w:val="00892EA8"/>
    <w:rsid w:val="008A1CC4"/>
    <w:rsid w:val="008A2498"/>
    <w:rsid w:val="008A42E3"/>
    <w:rsid w:val="008B1B00"/>
    <w:rsid w:val="008C0DF0"/>
    <w:rsid w:val="008C11ED"/>
    <w:rsid w:val="008C13D5"/>
    <w:rsid w:val="008C2DF5"/>
    <w:rsid w:val="008C3EC2"/>
    <w:rsid w:val="008C7728"/>
    <w:rsid w:val="008D08EC"/>
    <w:rsid w:val="008D35EC"/>
    <w:rsid w:val="008D4028"/>
    <w:rsid w:val="008D4F2E"/>
    <w:rsid w:val="008D63B6"/>
    <w:rsid w:val="008E3D89"/>
    <w:rsid w:val="008E5283"/>
    <w:rsid w:val="008F27C0"/>
    <w:rsid w:val="008F3AA0"/>
    <w:rsid w:val="008F5F85"/>
    <w:rsid w:val="008F6202"/>
    <w:rsid w:val="0090055E"/>
    <w:rsid w:val="009018A3"/>
    <w:rsid w:val="009025AA"/>
    <w:rsid w:val="009100B8"/>
    <w:rsid w:val="00910CF9"/>
    <w:rsid w:val="009138BC"/>
    <w:rsid w:val="009138D1"/>
    <w:rsid w:val="00916400"/>
    <w:rsid w:val="009257E9"/>
    <w:rsid w:val="009258F9"/>
    <w:rsid w:val="0092690C"/>
    <w:rsid w:val="00931715"/>
    <w:rsid w:val="0093276C"/>
    <w:rsid w:val="00937B84"/>
    <w:rsid w:val="00940B31"/>
    <w:rsid w:val="009410B3"/>
    <w:rsid w:val="00946799"/>
    <w:rsid w:val="009515A5"/>
    <w:rsid w:val="00953821"/>
    <w:rsid w:val="00953939"/>
    <w:rsid w:val="00965CB8"/>
    <w:rsid w:val="00965E79"/>
    <w:rsid w:val="0098467F"/>
    <w:rsid w:val="009848C3"/>
    <w:rsid w:val="009908E6"/>
    <w:rsid w:val="00990F46"/>
    <w:rsid w:val="00994885"/>
    <w:rsid w:val="009A2040"/>
    <w:rsid w:val="009A62D4"/>
    <w:rsid w:val="009B1C5A"/>
    <w:rsid w:val="009B1DF7"/>
    <w:rsid w:val="009B433D"/>
    <w:rsid w:val="009B48D3"/>
    <w:rsid w:val="009B50A3"/>
    <w:rsid w:val="009D4210"/>
    <w:rsid w:val="009D54B4"/>
    <w:rsid w:val="009D61D8"/>
    <w:rsid w:val="009D6C16"/>
    <w:rsid w:val="009E2133"/>
    <w:rsid w:val="009F14C3"/>
    <w:rsid w:val="009F1C71"/>
    <w:rsid w:val="009F36C9"/>
    <w:rsid w:val="009F77FA"/>
    <w:rsid w:val="00A00B7F"/>
    <w:rsid w:val="00A00C71"/>
    <w:rsid w:val="00A024C8"/>
    <w:rsid w:val="00A04EE1"/>
    <w:rsid w:val="00A05F1C"/>
    <w:rsid w:val="00A14050"/>
    <w:rsid w:val="00A14641"/>
    <w:rsid w:val="00A22600"/>
    <w:rsid w:val="00A237AD"/>
    <w:rsid w:val="00A342B2"/>
    <w:rsid w:val="00A37159"/>
    <w:rsid w:val="00A462F1"/>
    <w:rsid w:val="00A47B3B"/>
    <w:rsid w:val="00A47BA5"/>
    <w:rsid w:val="00A52867"/>
    <w:rsid w:val="00A53548"/>
    <w:rsid w:val="00A538B9"/>
    <w:rsid w:val="00A553BE"/>
    <w:rsid w:val="00A62886"/>
    <w:rsid w:val="00A64866"/>
    <w:rsid w:val="00A66117"/>
    <w:rsid w:val="00A70592"/>
    <w:rsid w:val="00A71B08"/>
    <w:rsid w:val="00A755E5"/>
    <w:rsid w:val="00A80E28"/>
    <w:rsid w:val="00A81A63"/>
    <w:rsid w:val="00A91B0F"/>
    <w:rsid w:val="00A97CFB"/>
    <w:rsid w:val="00AA15E4"/>
    <w:rsid w:val="00AA1B4F"/>
    <w:rsid w:val="00AA1F9D"/>
    <w:rsid w:val="00AA379C"/>
    <w:rsid w:val="00AA5293"/>
    <w:rsid w:val="00AB0D0E"/>
    <w:rsid w:val="00AB7B84"/>
    <w:rsid w:val="00AC1A79"/>
    <w:rsid w:val="00AC2670"/>
    <w:rsid w:val="00AC2F01"/>
    <w:rsid w:val="00AC6526"/>
    <w:rsid w:val="00AC695D"/>
    <w:rsid w:val="00AC75BA"/>
    <w:rsid w:val="00AD06B9"/>
    <w:rsid w:val="00AD0B16"/>
    <w:rsid w:val="00AD2AA2"/>
    <w:rsid w:val="00AD490B"/>
    <w:rsid w:val="00AD4DCB"/>
    <w:rsid w:val="00AD5B10"/>
    <w:rsid w:val="00AE3ECE"/>
    <w:rsid w:val="00AE3FC2"/>
    <w:rsid w:val="00AE45A7"/>
    <w:rsid w:val="00AE57A6"/>
    <w:rsid w:val="00AE78FD"/>
    <w:rsid w:val="00AF3940"/>
    <w:rsid w:val="00AF4F2A"/>
    <w:rsid w:val="00AF6371"/>
    <w:rsid w:val="00B01B35"/>
    <w:rsid w:val="00B067B7"/>
    <w:rsid w:val="00B13410"/>
    <w:rsid w:val="00B13C81"/>
    <w:rsid w:val="00B1450E"/>
    <w:rsid w:val="00B1630F"/>
    <w:rsid w:val="00B166FB"/>
    <w:rsid w:val="00B2158A"/>
    <w:rsid w:val="00B221F1"/>
    <w:rsid w:val="00B2425F"/>
    <w:rsid w:val="00B24B4E"/>
    <w:rsid w:val="00B267C6"/>
    <w:rsid w:val="00B3438A"/>
    <w:rsid w:val="00B35520"/>
    <w:rsid w:val="00B36C59"/>
    <w:rsid w:val="00B40F55"/>
    <w:rsid w:val="00B41293"/>
    <w:rsid w:val="00B55439"/>
    <w:rsid w:val="00B55462"/>
    <w:rsid w:val="00B5702C"/>
    <w:rsid w:val="00B57B01"/>
    <w:rsid w:val="00B606BB"/>
    <w:rsid w:val="00B61427"/>
    <w:rsid w:val="00B62D58"/>
    <w:rsid w:val="00B645B1"/>
    <w:rsid w:val="00B64E5B"/>
    <w:rsid w:val="00B72E93"/>
    <w:rsid w:val="00B7359A"/>
    <w:rsid w:val="00B757DA"/>
    <w:rsid w:val="00B802A7"/>
    <w:rsid w:val="00B808CC"/>
    <w:rsid w:val="00B873EA"/>
    <w:rsid w:val="00B8783F"/>
    <w:rsid w:val="00B91088"/>
    <w:rsid w:val="00B92780"/>
    <w:rsid w:val="00B97824"/>
    <w:rsid w:val="00BA3288"/>
    <w:rsid w:val="00BA4EC9"/>
    <w:rsid w:val="00BA6354"/>
    <w:rsid w:val="00BA790E"/>
    <w:rsid w:val="00BB34A6"/>
    <w:rsid w:val="00BB3BED"/>
    <w:rsid w:val="00BB3F7E"/>
    <w:rsid w:val="00BB6388"/>
    <w:rsid w:val="00BB677A"/>
    <w:rsid w:val="00BB77FE"/>
    <w:rsid w:val="00BC1685"/>
    <w:rsid w:val="00BC3F87"/>
    <w:rsid w:val="00BC3FA1"/>
    <w:rsid w:val="00BC5277"/>
    <w:rsid w:val="00BC7C26"/>
    <w:rsid w:val="00BD6623"/>
    <w:rsid w:val="00BE0631"/>
    <w:rsid w:val="00BE11B1"/>
    <w:rsid w:val="00BE60C6"/>
    <w:rsid w:val="00BE75B7"/>
    <w:rsid w:val="00BF0276"/>
    <w:rsid w:val="00BF3456"/>
    <w:rsid w:val="00BF6473"/>
    <w:rsid w:val="00BF69CA"/>
    <w:rsid w:val="00BF6A6E"/>
    <w:rsid w:val="00C06D70"/>
    <w:rsid w:val="00C141B0"/>
    <w:rsid w:val="00C16EAE"/>
    <w:rsid w:val="00C2544B"/>
    <w:rsid w:val="00C26B24"/>
    <w:rsid w:val="00C30392"/>
    <w:rsid w:val="00C309E1"/>
    <w:rsid w:val="00C34D51"/>
    <w:rsid w:val="00C354C5"/>
    <w:rsid w:val="00C40085"/>
    <w:rsid w:val="00C40C8E"/>
    <w:rsid w:val="00C41448"/>
    <w:rsid w:val="00C471B9"/>
    <w:rsid w:val="00C47D22"/>
    <w:rsid w:val="00C5075D"/>
    <w:rsid w:val="00C51D3A"/>
    <w:rsid w:val="00C53982"/>
    <w:rsid w:val="00C54463"/>
    <w:rsid w:val="00C56B6F"/>
    <w:rsid w:val="00C5733B"/>
    <w:rsid w:val="00C6072C"/>
    <w:rsid w:val="00C61BA9"/>
    <w:rsid w:val="00C6442B"/>
    <w:rsid w:val="00C65925"/>
    <w:rsid w:val="00C66080"/>
    <w:rsid w:val="00C7221A"/>
    <w:rsid w:val="00C72638"/>
    <w:rsid w:val="00C73850"/>
    <w:rsid w:val="00C74FE5"/>
    <w:rsid w:val="00C752F2"/>
    <w:rsid w:val="00C84370"/>
    <w:rsid w:val="00C84783"/>
    <w:rsid w:val="00C854E2"/>
    <w:rsid w:val="00C858E0"/>
    <w:rsid w:val="00C9144A"/>
    <w:rsid w:val="00C9294C"/>
    <w:rsid w:val="00C9398E"/>
    <w:rsid w:val="00C94820"/>
    <w:rsid w:val="00C96F11"/>
    <w:rsid w:val="00C97638"/>
    <w:rsid w:val="00CB0B88"/>
    <w:rsid w:val="00CB266F"/>
    <w:rsid w:val="00CB2E7C"/>
    <w:rsid w:val="00CC25A9"/>
    <w:rsid w:val="00CD0069"/>
    <w:rsid w:val="00CE12CB"/>
    <w:rsid w:val="00CE5E96"/>
    <w:rsid w:val="00CF4764"/>
    <w:rsid w:val="00CF5622"/>
    <w:rsid w:val="00D002B0"/>
    <w:rsid w:val="00D0326F"/>
    <w:rsid w:val="00D0347E"/>
    <w:rsid w:val="00D03636"/>
    <w:rsid w:val="00D113F5"/>
    <w:rsid w:val="00D157EA"/>
    <w:rsid w:val="00D16FB1"/>
    <w:rsid w:val="00D207DF"/>
    <w:rsid w:val="00D20CE3"/>
    <w:rsid w:val="00D24EF9"/>
    <w:rsid w:val="00D315AA"/>
    <w:rsid w:val="00D32493"/>
    <w:rsid w:val="00D34C88"/>
    <w:rsid w:val="00D37FDF"/>
    <w:rsid w:val="00D40B7B"/>
    <w:rsid w:val="00D41799"/>
    <w:rsid w:val="00D4320D"/>
    <w:rsid w:val="00D44866"/>
    <w:rsid w:val="00D520E8"/>
    <w:rsid w:val="00D527FB"/>
    <w:rsid w:val="00D55274"/>
    <w:rsid w:val="00D55694"/>
    <w:rsid w:val="00D557E3"/>
    <w:rsid w:val="00D670CC"/>
    <w:rsid w:val="00D71F02"/>
    <w:rsid w:val="00D83B99"/>
    <w:rsid w:val="00D84F10"/>
    <w:rsid w:val="00D86114"/>
    <w:rsid w:val="00D90A83"/>
    <w:rsid w:val="00D9365D"/>
    <w:rsid w:val="00DA36D2"/>
    <w:rsid w:val="00DA5E82"/>
    <w:rsid w:val="00DB2023"/>
    <w:rsid w:val="00DB2049"/>
    <w:rsid w:val="00DB4511"/>
    <w:rsid w:val="00DC01B0"/>
    <w:rsid w:val="00DC0E84"/>
    <w:rsid w:val="00DC3A26"/>
    <w:rsid w:val="00DC4B61"/>
    <w:rsid w:val="00DC7E27"/>
    <w:rsid w:val="00DD077C"/>
    <w:rsid w:val="00DD0EAD"/>
    <w:rsid w:val="00DD31F4"/>
    <w:rsid w:val="00DD359E"/>
    <w:rsid w:val="00DD5808"/>
    <w:rsid w:val="00DD6397"/>
    <w:rsid w:val="00DD781E"/>
    <w:rsid w:val="00DE45D1"/>
    <w:rsid w:val="00DF0394"/>
    <w:rsid w:val="00DF4B08"/>
    <w:rsid w:val="00DF60A6"/>
    <w:rsid w:val="00DF74F1"/>
    <w:rsid w:val="00E02F46"/>
    <w:rsid w:val="00E0369B"/>
    <w:rsid w:val="00E06389"/>
    <w:rsid w:val="00E074EB"/>
    <w:rsid w:val="00E1078D"/>
    <w:rsid w:val="00E10E30"/>
    <w:rsid w:val="00E14A47"/>
    <w:rsid w:val="00E20C41"/>
    <w:rsid w:val="00E241AA"/>
    <w:rsid w:val="00E2459F"/>
    <w:rsid w:val="00E24739"/>
    <w:rsid w:val="00E25C56"/>
    <w:rsid w:val="00E25FEB"/>
    <w:rsid w:val="00E26992"/>
    <w:rsid w:val="00E34D6C"/>
    <w:rsid w:val="00E44606"/>
    <w:rsid w:val="00E474D0"/>
    <w:rsid w:val="00E53A1E"/>
    <w:rsid w:val="00E549FB"/>
    <w:rsid w:val="00E6423A"/>
    <w:rsid w:val="00E6678D"/>
    <w:rsid w:val="00E72FC5"/>
    <w:rsid w:val="00E80C04"/>
    <w:rsid w:val="00E85E8E"/>
    <w:rsid w:val="00E9433A"/>
    <w:rsid w:val="00E9573A"/>
    <w:rsid w:val="00E9625C"/>
    <w:rsid w:val="00E97B08"/>
    <w:rsid w:val="00EA3F3E"/>
    <w:rsid w:val="00EA4347"/>
    <w:rsid w:val="00EA4773"/>
    <w:rsid w:val="00EA51DB"/>
    <w:rsid w:val="00EA534D"/>
    <w:rsid w:val="00EA72F4"/>
    <w:rsid w:val="00EA7C4C"/>
    <w:rsid w:val="00EB1367"/>
    <w:rsid w:val="00EB4B95"/>
    <w:rsid w:val="00EB71C6"/>
    <w:rsid w:val="00EC324A"/>
    <w:rsid w:val="00EC44B9"/>
    <w:rsid w:val="00EC4F2E"/>
    <w:rsid w:val="00ED1161"/>
    <w:rsid w:val="00ED7A5E"/>
    <w:rsid w:val="00EE0769"/>
    <w:rsid w:val="00EE27FD"/>
    <w:rsid w:val="00EF4DB3"/>
    <w:rsid w:val="00EF6EFC"/>
    <w:rsid w:val="00EF6FB9"/>
    <w:rsid w:val="00F00EC2"/>
    <w:rsid w:val="00F07BE0"/>
    <w:rsid w:val="00F14EF1"/>
    <w:rsid w:val="00F175DB"/>
    <w:rsid w:val="00F2357A"/>
    <w:rsid w:val="00F24F3C"/>
    <w:rsid w:val="00F254C5"/>
    <w:rsid w:val="00F275FE"/>
    <w:rsid w:val="00F31359"/>
    <w:rsid w:val="00F3160F"/>
    <w:rsid w:val="00F33EFD"/>
    <w:rsid w:val="00F3428D"/>
    <w:rsid w:val="00F375DB"/>
    <w:rsid w:val="00F37CC8"/>
    <w:rsid w:val="00F4291E"/>
    <w:rsid w:val="00F42CCD"/>
    <w:rsid w:val="00F432AA"/>
    <w:rsid w:val="00F435BE"/>
    <w:rsid w:val="00F50BB6"/>
    <w:rsid w:val="00F52BF0"/>
    <w:rsid w:val="00F530FB"/>
    <w:rsid w:val="00F56987"/>
    <w:rsid w:val="00F56CD6"/>
    <w:rsid w:val="00F576ED"/>
    <w:rsid w:val="00F63BA8"/>
    <w:rsid w:val="00F717F8"/>
    <w:rsid w:val="00F72716"/>
    <w:rsid w:val="00F72CA0"/>
    <w:rsid w:val="00F7395A"/>
    <w:rsid w:val="00F73BF6"/>
    <w:rsid w:val="00F7452B"/>
    <w:rsid w:val="00F74E82"/>
    <w:rsid w:val="00F74FCA"/>
    <w:rsid w:val="00F75890"/>
    <w:rsid w:val="00F7795E"/>
    <w:rsid w:val="00F8462C"/>
    <w:rsid w:val="00F84887"/>
    <w:rsid w:val="00F857A6"/>
    <w:rsid w:val="00F85BBC"/>
    <w:rsid w:val="00F93FB1"/>
    <w:rsid w:val="00FA1A85"/>
    <w:rsid w:val="00FA1A95"/>
    <w:rsid w:val="00FB2913"/>
    <w:rsid w:val="00FB3B34"/>
    <w:rsid w:val="00FB493A"/>
    <w:rsid w:val="00FB5293"/>
    <w:rsid w:val="00FB7E3A"/>
    <w:rsid w:val="00FC12E8"/>
    <w:rsid w:val="00FC7305"/>
    <w:rsid w:val="00FD313C"/>
    <w:rsid w:val="00FD37A1"/>
    <w:rsid w:val="00FD4899"/>
    <w:rsid w:val="00FD6D60"/>
    <w:rsid w:val="00FF4E5E"/>
    <w:rsid w:val="01F762D1"/>
    <w:rsid w:val="024AD210"/>
    <w:rsid w:val="029967BE"/>
    <w:rsid w:val="03B48583"/>
    <w:rsid w:val="0491DDCF"/>
    <w:rsid w:val="04EAA95F"/>
    <w:rsid w:val="06AC8632"/>
    <w:rsid w:val="06EC2645"/>
    <w:rsid w:val="07D60374"/>
    <w:rsid w:val="0887F6A6"/>
    <w:rsid w:val="09401B8E"/>
    <w:rsid w:val="09413EEB"/>
    <w:rsid w:val="09907956"/>
    <w:rsid w:val="0A2BF0FB"/>
    <w:rsid w:val="0BAE5C91"/>
    <w:rsid w:val="0BC7C15C"/>
    <w:rsid w:val="0CE59A25"/>
    <w:rsid w:val="0E14B00E"/>
    <w:rsid w:val="0EFF621E"/>
    <w:rsid w:val="1136EA6E"/>
    <w:rsid w:val="114C50D0"/>
    <w:rsid w:val="149C9F1D"/>
    <w:rsid w:val="158F2112"/>
    <w:rsid w:val="161674A2"/>
    <w:rsid w:val="19AE489A"/>
    <w:rsid w:val="1B0BE0A1"/>
    <w:rsid w:val="1BCF7E9F"/>
    <w:rsid w:val="1C0D4235"/>
    <w:rsid w:val="1C4EC133"/>
    <w:rsid w:val="1C8FAE0C"/>
    <w:rsid w:val="1CA7B102"/>
    <w:rsid w:val="1D81A30D"/>
    <w:rsid w:val="1D9A32F7"/>
    <w:rsid w:val="21D551D0"/>
    <w:rsid w:val="22551430"/>
    <w:rsid w:val="22D117A8"/>
    <w:rsid w:val="24A41DFE"/>
    <w:rsid w:val="258CB4F2"/>
    <w:rsid w:val="25A1B3E6"/>
    <w:rsid w:val="25FA34CC"/>
    <w:rsid w:val="266D2951"/>
    <w:rsid w:val="29757405"/>
    <w:rsid w:val="2996C656"/>
    <w:rsid w:val="29A503AA"/>
    <w:rsid w:val="29E7425C"/>
    <w:rsid w:val="2A58388F"/>
    <w:rsid w:val="2A602615"/>
    <w:rsid w:val="2AA63762"/>
    <w:rsid w:val="2AF81C09"/>
    <w:rsid w:val="2B00098F"/>
    <w:rsid w:val="2B114466"/>
    <w:rsid w:val="2CAD14C7"/>
    <w:rsid w:val="302EA419"/>
    <w:rsid w:val="30F78C1E"/>
    <w:rsid w:val="32AA2471"/>
    <w:rsid w:val="32FD291E"/>
    <w:rsid w:val="33B45818"/>
    <w:rsid w:val="33DC88CF"/>
    <w:rsid w:val="33F6F0E1"/>
    <w:rsid w:val="34A7ECE5"/>
    <w:rsid w:val="34F523B3"/>
    <w:rsid w:val="35919DE5"/>
    <w:rsid w:val="35D9BDC3"/>
    <w:rsid w:val="373B1877"/>
    <w:rsid w:val="37F9E943"/>
    <w:rsid w:val="3802EB0D"/>
    <w:rsid w:val="390C2E71"/>
    <w:rsid w:val="39944C5D"/>
    <w:rsid w:val="39C892AD"/>
    <w:rsid w:val="3A663265"/>
    <w:rsid w:val="3FCCA99A"/>
    <w:rsid w:val="40181DFA"/>
    <w:rsid w:val="40BB1204"/>
    <w:rsid w:val="41A1FAF6"/>
    <w:rsid w:val="421BAFAD"/>
    <w:rsid w:val="42327345"/>
    <w:rsid w:val="425A0301"/>
    <w:rsid w:val="4282044F"/>
    <w:rsid w:val="44E3CEC6"/>
    <w:rsid w:val="45C8E7AA"/>
    <w:rsid w:val="4744B56D"/>
    <w:rsid w:val="474A988A"/>
    <w:rsid w:val="47A15CCD"/>
    <w:rsid w:val="4A5999CD"/>
    <w:rsid w:val="4B3D1128"/>
    <w:rsid w:val="4B4DA374"/>
    <w:rsid w:val="4D8993BD"/>
    <w:rsid w:val="50EB1CE1"/>
    <w:rsid w:val="5286ED42"/>
    <w:rsid w:val="542B6269"/>
    <w:rsid w:val="56874B2A"/>
    <w:rsid w:val="5760E4DA"/>
    <w:rsid w:val="5A04FE15"/>
    <w:rsid w:val="5B7D2C09"/>
    <w:rsid w:val="5C312991"/>
    <w:rsid w:val="5CA0FA04"/>
    <w:rsid w:val="5D18FC6A"/>
    <w:rsid w:val="5DD244AF"/>
    <w:rsid w:val="5E309138"/>
    <w:rsid w:val="5EB723D2"/>
    <w:rsid w:val="5EF8F2B1"/>
    <w:rsid w:val="6090093B"/>
    <w:rsid w:val="61665063"/>
    <w:rsid w:val="61EA5B33"/>
    <w:rsid w:val="6226B377"/>
    <w:rsid w:val="623B3C7D"/>
    <w:rsid w:val="63306C9E"/>
    <w:rsid w:val="63883DEE"/>
    <w:rsid w:val="63D7A8CB"/>
    <w:rsid w:val="65137C03"/>
    <w:rsid w:val="65E5441A"/>
    <w:rsid w:val="6609AC46"/>
    <w:rsid w:val="674C9C76"/>
    <w:rsid w:val="6781147B"/>
    <w:rsid w:val="67D25B71"/>
    <w:rsid w:val="67F7F6D8"/>
    <w:rsid w:val="6873FBA2"/>
    <w:rsid w:val="69F2D6A7"/>
    <w:rsid w:val="6B50FAA8"/>
    <w:rsid w:val="6C5CAF92"/>
    <w:rsid w:val="6C86A28C"/>
    <w:rsid w:val="6CD8C2C1"/>
    <w:rsid w:val="6F7AEB89"/>
    <w:rsid w:val="72740885"/>
    <w:rsid w:val="74BA43F1"/>
    <w:rsid w:val="772A7FE6"/>
    <w:rsid w:val="79496793"/>
    <w:rsid w:val="7AC6EB81"/>
    <w:rsid w:val="7B5FA484"/>
    <w:rsid w:val="7BD0EA48"/>
    <w:rsid w:val="7C1F19B5"/>
    <w:rsid w:val="7C51810B"/>
    <w:rsid w:val="7D173CD3"/>
    <w:rsid w:val="7D3C9F38"/>
    <w:rsid w:val="7DD6A636"/>
    <w:rsid w:val="7E3E4D9B"/>
    <w:rsid w:val="7FDC54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D68A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BC4"/>
  </w:style>
  <w:style w:type="paragraph" w:styleId="Heading1">
    <w:name w:val="heading 1"/>
    <w:basedOn w:val="Normal"/>
    <w:next w:val="Text1"/>
    <w:link w:val="Heading1Char"/>
    <w:uiPriority w:val="1"/>
    <w:qFormat/>
    <w:rsid w:val="009515A5"/>
    <w:pPr>
      <w:keepNext/>
      <w:numPr>
        <w:numId w:val="1"/>
      </w:numPr>
      <w:spacing w:before="240" w:after="240" w:line="240" w:lineRule="auto"/>
      <w:jc w:val="both"/>
      <w:outlineLvl w:val="0"/>
    </w:pPr>
    <w:rPr>
      <w:rFonts w:ascii="Times New Roman" w:eastAsia="Times New Roman" w:hAnsi="Times New Roman" w:cs="Times New Roman"/>
      <w:b/>
      <w:smallCaps/>
      <w:sz w:val="24"/>
      <w:szCs w:val="20"/>
      <w:lang w:eastAsia="fr-BE"/>
    </w:rPr>
  </w:style>
  <w:style w:type="paragraph" w:styleId="Heading2">
    <w:name w:val="heading 2"/>
    <w:basedOn w:val="Normal"/>
    <w:next w:val="Normal"/>
    <w:link w:val="Heading2Char"/>
    <w:uiPriority w:val="1"/>
    <w:qFormat/>
    <w:rsid w:val="0082240B"/>
    <w:pPr>
      <w:keepNext/>
      <w:numPr>
        <w:ilvl w:val="1"/>
        <w:numId w:val="1"/>
      </w:numPr>
      <w:tabs>
        <w:tab w:val="clear" w:pos="2564"/>
      </w:tabs>
      <w:spacing w:after="240" w:line="240" w:lineRule="auto"/>
      <w:ind w:left="993" w:hanging="709"/>
      <w:jc w:val="both"/>
      <w:outlineLvl w:val="1"/>
    </w:pPr>
    <w:rPr>
      <w:rFonts w:ascii="Times New Roman" w:eastAsia="Times New Roman" w:hAnsi="Times New Roman" w:cs="Times New Roman"/>
      <w:b/>
      <w:sz w:val="24"/>
      <w:szCs w:val="20"/>
      <w:lang w:eastAsia="fr-BE"/>
    </w:rPr>
  </w:style>
  <w:style w:type="paragraph" w:styleId="Heading3">
    <w:name w:val="heading 3"/>
    <w:basedOn w:val="Normal"/>
    <w:next w:val="Normal"/>
    <w:link w:val="Heading3Char"/>
    <w:uiPriority w:val="1"/>
    <w:qFormat/>
    <w:rsid w:val="009515A5"/>
    <w:pPr>
      <w:keepNext/>
      <w:numPr>
        <w:ilvl w:val="2"/>
        <w:numId w:val="1"/>
      </w:numPr>
      <w:spacing w:after="240" w:line="240" w:lineRule="auto"/>
      <w:jc w:val="both"/>
      <w:outlineLvl w:val="2"/>
    </w:pPr>
    <w:rPr>
      <w:rFonts w:ascii="Times New Roman" w:eastAsia="Times New Roman" w:hAnsi="Times New Roman" w:cs="Times New Roman"/>
      <w:i/>
      <w:sz w:val="24"/>
      <w:szCs w:val="20"/>
      <w:lang w:eastAsia="fr-BE"/>
    </w:rPr>
  </w:style>
  <w:style w:type="paragraph" w:styleId="Heading4">
    <w:name w:val="heading 4"/>
    <w:basedOn w:val="Normal"/>
    <w:next w:val="Normal"/>
    <w:link w:val="Heading4Char"/>
    <w:uiPriority w:val="1"/>
    <w:qFormat/>
    <w:rsid w:val="009515A5"/>
    <w:pPr>
      <w:keepNext/>
      <w:numPr>
        <w:ilvl w:val="3"/>
        <w:numId w:val="1"/>
      </w:numPr>
      <w:spacing w:after="240" w:line="240" w:lineRule="auto"/>
      <w:jc w:val="both"/>
      <w:outlineLvl w:val="3"/>
    </w:pPr>
    <w:rPr>
      <w:rFonts w:ascii="Times New Roman" w:eastAsia="Times New Roman" w:hAnsi="Times New Roman" w:cs="Times New Roman"/>
      <w:sz w:val="24"/>
      <w:szCs w:val="20"/>
      <w:lang w:eastAsia="fr-BE"/>
    </w:rPr>
  </w:style>
  <w:style w:type="paragraph" w:styleId="Heading5">
    <w:name w:val="heading 5"/>
    <w:basedOn w:val="Normal"/>
    <w:next w:val="Normal"/>
    <w:link w:val="Heading5Char"/>
    <w:semiHidden/>
    <w:qFormat/>
    <w:rsid w:val="009515A5"/>
    <w:pPr>
      <w:keepNext/>
      <w:numPr>
        <w:ilvl w:val="4"/>
        <w:numId w:val="1"/>
      </w:numPr>
      <w:spacing w:after="240" w:line="240" w:lineRule="auto"/>
      <w:jc w:val="both"/>
      <w:outlineLvl w:val="4"/>
    </w:pPr>
    <w:rPr>
      <w:rFonts w:ascii="Times New Roman" w:eastAsia="Times New Roman" w:hAnsi="Times New Roman" w:cs="Times New Roman"/>
      <w:sz w:val="24"/>
      <w:szCs w:val="20"/>
      <w:lang w:eastAsia="fr-BE"/>
    </w:rPr>
  </w:style>
  <w:style w:type="paragraph" w:styleId="Heading6">
    <w:name w:val="heading 6"/>
    <w:basedOn w:val="Normal"/>
    <w:next w:val="Normal"/>
    <w:link w:val="Heading6Char"/>
    <w:semiHidden/>
    <w:qFormat/>
    <w:rsid w:val="009515A5"/>
    <w:pPr>
      <w:keepNext/>
      <w:numPr>
        <w:ilvl w:val="5"/>
        <w:numId w:val="1"/>
      </w:numPr>
      <w:spacing w:after="240" w:line="240" w:lineRule="auto"/>
      <w:jc w:val="both"/>
      <w:outlineLvl w:val="5"/>
    </w:pPr>
    <w:rPr>
      <w:rFonts w:ascii="Times New Roman" w:eastAsia="Times New Roman" w:hAnsi="Times New Roman" w:cs="Times New Roman"/>
      <w:sz w:val="24"/>
      <w:szCs w:val="20"/>
      <w:lang w:eastAsia="fr-BE"/>
    </w:rPr>
  </w:style>
  <w:style w:type="paragraph" w:styleId="Heading7">
    <w:name w:val="heading 7"/>
    <w:basedOn w:val="Normal"/>
    <w:next w:val="Normal"/>
    <w:link w:val="Heading7Char"/>
    <w:semiHidden/>
    <w:qFormat/>
    <w:rsid w:val="009515A5"/>
    <w:pPr>
      <w:keepNext/>
      <w:numPr>
        <w:ilvl w:val="6"/>
        <w:numId w:val="1"/>
      </w:numPr>
      <w:spacing w:after="240" w:line="240" w:lineRule="auto"/>
      <w:jc w:val="both"/>
      <w:outlineLvl w:val="6"/>
    </w:pPr>
    <w:rPr>
      <w:rFonts w:ascii="Times New Roman" w:eastAsia="Times New Roman" w:hAnsi="Times New Roman" w:cs="Times New Roman"/>
      <w:sz w:val="24"/>
      <w:szCs w:val="20"/>
      <w:lang w:eastAsia="fr-BE"/>
    </w:rPr>
  </w:style>
  <w:style w:type="paragraph" w:styleId="Heading8">
    <w:name w:val="heading 8"/>
    <w:basedOn w:val="Normal"/>
    <w:next w:val="Normal"/>
    <w:link w:val="Heading8Char"/>
    <w:semiHidden/>
    <w:qFormat/>
    <w:rsid w:val="009515A5"/>
    <w:pPr>
      <w:keepNext/>
      <w:numPr>
        <w:ilvl w:val="7"/>
        <w:numId w:val="1"/>
      </w:numPr>
      <w:spacing w:after="240" w:line="240" w:lineRule="auto"/>
      <w:jc w:val="both"/>
      <w:outlineLvl w:val="7"/>
    </w:pPr>
    <w:rPr>
      <w:rFonts w:ascii="Times New Roman" w:eastAsia="Times New Roman" w:hAnsi="Times New Roman" w:cs="Times New Roman"/>
      <w:sz w:val="24"/>
      <w:szCs w:val="20"/>
      <w:lang w:eastAsia="fr-BE"/>
    </w:rPr>
  </w:style>
  <w:style w:type="paragraph" w:styleId="Heading9">
    <w:name w:val="heading 9"/>
    <w:basedOn w:val="Normal"/>
    <w:next w:val="Normal"/>
    <w:link w:val="Heading9Char"/>
    <w:semiHidden/>
    <w:qFormat/>
    <w:rsid w:val="009515A5"/>
    <w:pPr>
      <w:keepNext/>
      <w:numPr>
        <w:ilvl w:val="8"/>
        <w:numId w:val="1"/>
      </w:numPr>
      <w:spacing w:after="240" w:line="240" w:lineRule="auto"/>
      <w:jc w:val="both"/>
      <w:outlineLvl w:val="8"/>
    </w:pPr>
    <w:rPr>
      <w:rFonts w:ascii="Times New Roman" w:eastAsia="Times New Roman" w:hAnsi="Times New Roman" w:cs="Times New Roman"/>
      <w:sz w:val="24"/>
      <w:szCs w:val="20"/>
      <w:lang w:eastAsia="fr-B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DC0E84"/>
    <w:rPr>
      <w:color w:val="0000FF"/>
      <w:shd w:val="clear" w:color="auto" w:fill="auto"/>
    </w:rPr>
  </w:style>
  <w:style w:type="paragraph" w:styleId="Header">
    <w:name w:val="header"/>
    <w:basedOn w:val="Normal"/>
    <w:link w:val="HeaderChar"/>
    <w:uiPriority w:val="99"/>
    <w:unhideWhenUsed/>
    <w:rsid w:val="00DC0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0E84"/>
  </w:style>
  <w:style w:type="paragraph" w:styleId="Footer">
    <w:name w:val="footer"/>
    <w:basedOn w:val="Normal"/>
    <w:link w:val="FooterChar"/>
    <w:uiPriority w:val="99"/>
    <w:unhideWhenUsed/>
    <w:rsid w:val="00DC0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0E84"/>
  </w:style>
  <w:style w:type="paragraph" w:customStyle="1" w:styleId="Pagedecouverture">
    <w:name w:val="Page de couverture"/>
    <w:basedOn w:val="Normal"/>
    <w:next w:val="Normal"/>
    <w:rsid w:val="00DC0E84"/>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DC0E84"/>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DC0E84"/>
    <w:rPr>
      <w:rFonts w:ascii="Times New Roman" w:hAnsi="Times New Roman" w:cs="Times New Roman"/>
      <w:sz w:val="24"/>
    </w:rPr>
  </w:style>
  <w:style w:type="paragraph" w:customStyle="1" w:styleId="FooterSensitivity">
    <w:name w:val="Footer Sensitivity"/>
    <w:basedOn w:val="Normal"/>
    <w:link w:val="FooterSensitivityChar"/>
    <w:rsid w:val="00DC0E84"/>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DC0E84"/>
    <w:rPr>
      <w:rFonts w:ascii="Times New Roman" w:hAnsi="Times New Roman" w:cs="Times New Roman"/>
      <w:b/>
      <w:sz w:val="32"/>
    </w:rPr>
  </w:style>
  <w:style w:type="paragraph" w:customStyle="1" w:styleId="HeaderCoverPage">
    <w:name w:val="Header Cover Page"/>
    <w:basedOn w:val="Normal"/>
    <w:link w:val="HeaderCoverPageChar"/>
    <w:rsid w:val="00DC0E84"/>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DC0E84"/>
    <w:rPr>
      <w:rFonts w:ascii="Times New Roman" w:hAnsi="Times New Roman" w:cs="Times New Roman"/>
      <w:sz w:val="24"/>
    </w:rPr>
  </w:style>
  <w:style w:type="paragraph" w:customStyle="1" w:styleId="HeaderSensitivity">
    <w:name w:val="Header Sensitivity"/>
    <w:basedOn w:val="Normal"/>
    <w:link w:val="HeaderSensitivityChar"/>
    <w:rsid w:val="00DC0E84"/>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DC0E84"/>
    <w:rPr>
      <w:rFonts w:ascii="Times New Roman" w:hAnsi="Times New Roman" w:cs="Times New Roman"/>
      <w:b/>
      <w:sz w:val="32"/>
    </w:rPr>
  </w:style>
  <w:style w:type="paragraph" w:customStyle="1" w:styleId="HeaderSensitivityRight">
    <w:name w:val="Header Sensitivity Right"/>
    <w:basedOn w:val="Normal"/>
    <w:link w:val="HeaderSensitivityRightChar"/>
    <w:rsid w:val="00DC0E84"/>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DC0E84"/>
    <w:rPr>
      <w:rFonts w:ascii="Times New Roman" w:hAnsi="Times New Roman" w:cs="Times New Roman"/>
      <w:sz w:val="28"/>
    </w:rPr>
  </w:style>
  <w:style w:type="character" w:customStyle="1" w:styleId="Heading1Char">
    <w:name w:val="Heading 1 Char"/>
    <w:basedOn w:val="DefaultParagraphFont"/>
    <w:link w:val="Heading1"/>
    <w:uiPriority w:val="1"/>
    <w:rsid w:val="009515A5"/>
    <w:rPr>
      <w:rFonts w:ascii="Times New Roman" w:eastAsia="Times New Roman" w:hAnsi="Times New Roman" w:cs="Times New Roman"/>
      <w:b/>
      <w:smallCaps/>
      <w:sz w:val="24"/>
      <w:szCs w:val="20"/>
      <w:lang w:eastAsia="fr-BE"/>
    </w:rPr>
  </w:style>
  <w:style w:type="character" w:customStyle="1" w:styleId="Heading2Char">
    <w:name w:val="Heading 2 Char"/>
    <w:basedOn w:val="DefaultParagraphFont"/>
    <w:link w:val="Heading2"/>
    <w:uiPriority w:val="1"/>
    <w:rsid w:val="0082240B"/>
    <w:rPr>
      <w:rFonts w:ascii="Times New Roman" w:eastAsia="Times New Roman" w:hAnsi="Times New Roman" w:cs="Times New Roman"/>
      <w:b/>
      <w:sz w:val="24"/>
      <w:szCs w:val="20"/>
      <w:lang w:val="bg-BG" w:eastAsia="fr-BE"/>
    </w:rPr>
  </w:style>
  <w:style w:type="character" w:customStyle="1" w:styleId="Heading3Char">
    <w:name w:val="Heading 3 Char"/>
    <w:basedOn w:val="DefaultParagraphFont"/>
    <w:link w:val="Heading3"/>
    <w:uiPriority w:val="1"/>
    <w:rsid w:val="009515A5"/>
    <w:rPr>
      <w:rFonts w:ascii="Times New Roman" w:eastAsia="Times New Roman" w:hAnsi="Times New Roman" w:cs="Times New Roman"/>
      <w:i/>
      <w:sz w:val="24"/>
      <w:szCs w:val="20"/>
      <w:lang w:eastAsia="fr-BE"/>
    </w:rPr>
  </w:style>
  <w:style w:type="character" w:customStyle="1" w:styleId="Heading4Char">
    <w:name w:val="Heading 4 Char"/>
    <w:basedOn w:val="DefaultParagraphFont"/>
    <w:link w:val="Heading4"/>
    <w:uiPriority w:val="1"/>
    <w:rsid w:val="009515A5"/>
    <w:rPr>
      <w:rFonts w:ascii="Times New Roman" w:eastAsia="Times New Roman" w:hAnsi="Times New Roman" w:cs="Times New Roman"/>
      <w:sz w:val="24"/>
      <w:szCs w:val="20"/>
      <w:lang w:eastAsia="fr-BE"/>
    </w:rPr>
  </w:style>
  <w:style w:type="character" w:customStyle="1" w:styleId="Heading5Char">
    <w:name w:val="Heading 5 Char"/>
    <w:basedOn w:val="DefaultParagraphFont"/>
    <w:link w:val="Heading5"/>
    <w:semiHidden/>
    <w:rsid w:val="009515A5"/>
    <w:rPr>
      <w:rFonts w:ascii="Times New Roman" w:eastAsia="Times New Roman" w:hAnsi="Times New Roman" w:cs="Times New Roman"/>
      <w:sz w:val="24"/>
      <w:szCs w:val="20"/>
      <w:lang w:eastAsia="fr-BE"/>
    </w:rPr>
  </w:style>
  <w:style w:type="character" w:customStyle="1" w:styleId="Heading6Char">
    <w:name w:val="Heading 6 Char"/>
    <w:basedOn w:val="DefaultParagraphFont"/>
    <w:link w:val="Heading6"/>
    <w:semiHidden/>
    <w:rsid w:val="009515A5"/>
    <w:rPr>
      <w:rFonts w:ascii="Times New Roman" w:eastAsia="Times New Roman" w:hAnsi="Times New Roman" w:cs="Times New Roman"/>
      <w:sz w:val="24"/>
      <w:szCs w:val="20"/>
      <w:lang w:eastAsia="fr-BE"/>
    </w:rPr>
  </w:style>
  <w:style w:type="character" w:customStyle="1" w:styleId="Heading7Char">
    <w:name w:val="Heading 7 Char"/>
    <w:basedOn w:val="DefaultParagraphFont"/>
    <w:link w:val="Heading7"/>
    <w:semiHidden/>
    <w:rsid w:val="009515A5"/>
    <w:rPr>
      <w:rFonts w:ascii="Times New Roman" w:eastAsia="Times New Roman" w:hAnsi="Times New Roman" w:cs="Times New Roman"/>
      <w:sz w:val="24"/>
      <w:szCs w:val="20"/>
      <w:lang w:eastAsia="fr-BE"/>
    </w:rPr>
  </w:style>
  <w:style w:type="character" w:customStyle="1" w:styleId="Heading8Char">
    <w:name w:val="Heading 8 Char"/>
    <w:basedOn w:val="DefaultParagraphFont"/>
    <w:link w:val="Heading8"/>
    <w:semiHidden/>
    <w:rsid w:val="009515A5"/>
    <w:rPr>
      <w:rFonts w:ascii="Times New Roman" w:eastAsia="Times New Roman" w:hAnsi="Times New Roman" w:cs="Times New Roman"/>
      <w:sz w:val="24"/>
      <w:szCs w:val="20"/>
      <w:lang w:eastAsia="fr-BE"/>
    </w:rPr>
  </w:style>
  <w:style w:type="character" w:customStyle="1" w:styleId="Heading9Char">
    <w:name w:val="Heading 9 Char"/>
    <w:basedOn w:val="DefaultParagraphFont"/>
    <w:link w:val="Heading9"/>
    <w:semiHidden/>
    <w:rsid w:val="009515A5"/>
    <w:rPr>
      <w:rFonts w:ascii="Times New Roman" w:eastAsia="Times New Roman" w:hAnsi="Times New Roman" w:cs="Times New Roman"/>
      <w:sz w:val="24"/>
      <w:szCs w:val="20"/>
      <w:lang w:eastAsia="fr-BE"/>
    </w:rPr>
  </w:style>
  <w:style w:type="character" w:styleId="Strong">
    <w:name w:val="Strong"/>
    <w:qFormat/>
    <w:rsid w:val="009515A5"/>
    <w:rPr>
      <w:b/>
      <w:bCs/>
    </w:rPr>
  </w:style>
  <w:style w:type="paragraph" w:styleId="ListParagraph">
    <w:name w:val="List Paragraph"/>
    <w:aliases w:val="Task Body,Viñetas (Inicio Parrafo),Paragrafo elenco,3 Txt tabla,Zerrenda-paragrafoa,Fiche List Paragraph,Dot pt,F5 List Paragraph,List Paragraph1,No Spacing1,List Paragraph Char Char Char,Indicator Text,Numbered Para 1,Bullet Points,L,3"/>
    <w:basedOn w:val="Normal"/>
    <w:link w:val="ListParagraphChar"/>
    <w:qFormat/>
    <w:rsid w:val="009515A5"/>
    <w:pPr>
      <w:spacing w:after="240" w:line="280" w:lineRule="atLeast"/>
      <w:ind w:left="720"/>
      <w:contextualSpacing/>
      <w:jc w:val="both"/>
    </w:pPr>
    <w:rPr>
      <w:rFonts w:ascii="Times New Roman" w:eastAsia="Calibri" w:hAnsi="Times New Roman" w:cs="Times New Roman"/>
      <w:sz w:val="24"/>
      <w:szCs w:val="24"/>
      <w:lang w:eastAsia="en-GB"/>
    </w:rPr>
  </w:style>
  <w:style w:type="character" w:styleId="Hyperlink">
    <w:name w:val="Hyperlink"/>
    <w:uiPriority w:val="99"/>
    <w:rsid w:val="009515A5"/>
    <w:rPr>
      <w:color w:val="0000FF"/>
      <w:u w:val="single"/>
    </w:rPr>
  </w:style>
  <w:style w:type="character" w:styleId="FootnoteReference">
    <w:name w:val="footnote reference"/>
    <w:aliases w:val="~FootnoteRef,-E Fußnotenzeichen,(Diplomarbeit FZ),(Diplomarbeit FZ)1,(Diplomarbeit FZ)2,(Diplomarbeit FZ)3,(Diplomarbeit FZ)4,(Diplomarbeit FZ)5,(Diplomarbeit FZ)6,(Diplomarbeit FZ)7,(Diplomarbeit FZ)8,(Diplomarbeit FZ)9,number,fr,FR"/>
    <w:link w:val="CharCharChar"/>
    <w:qFormat/>
    <w:rsid w:val="009515A5"/>
    <w:rPr>
      <w:vertAlign w:val="superscript"/>
    </w:rPr>
  </w:style>
  <w:style w:type="paragraph" w:customStyle="1" w:styleId="CharCharChar">
    <w:name w:val="Char Char Char"/>
    <w:basedOn w:val="Normal"/>
    <w:link w:val="FootnoteReference"/>
    <w:qFormat/>
    <w:rsid w:val="009515A5"/>
    <w:pPr>
      <w:spacing w:after="160" w:line="240" w:lineRule="exact"/>
    </w:pPr>
    <w:rPr>
      <w:vertAlign w:val="superscript"/>
    </w:rPr>
  </w:style>
  <w:style w:type="paragraph" w:customStyle="1" w:styleId="FooterLine">
    <w:name w:val="Footer Line"/>
    <w:basedOn w:val="Footer"/>
    <w:next w:val="Footer"/>
    <w:uiPriority w:val="2"/>
    <w:rsid w:val="009515A5"/>
    <w:pPr>
      <w:tabs>
        <w:tab w:val="clear" w:pos="4680"/>
        <w:tab w:val="clear" w:pos="9360"/>
        <w:tab w:val="right" w:pos="8646"/>
      </w:tabs>
      <w:spacing w:before="120" w:line="264" w:lineRule="auto"/>
      <w:jc w:val="both"/>
    </w:pPr>
    <w:rPr>
      <w:rFonts w:ascii="Times New Roman" w:eastAsia="Times New Roman" w:hAnsi="Times New Roman" w:cs="Times New Roman"/>
      <w:sz w:val="16"/>
      <w:szCs w:val="20"/>
      <w:lang w:eastAsia="fr-BE"/>
    </w:rPr>
  </w:style>
  <w:style w:type="paragraph" w:customStyle="1" w:styleId="Text1">
    <w:name w:val="Text 1"/>
    <w:basedOn w:val="Normal"/>
    <w:uiPriority w:val="1"/>
    <w:qFormat/>
    <w:rsid w:val="009515A5"/>
    <w:pPr>
      <w:spacing w:after="240" w:line="240" w:lineRule="auto"/>
      <w:ind w:left="482"/>
      <w:jc w:val="both"/>
    </w:pPr>
    <w:rPr>
      <w:rFonts w:ascii="Times New Roman" w:eastAsia="Times New Roman" w:hAnsi="Times New Roman" w:cs="Times New Roman"/>
      <w:sz w:val="24"/>
      <w:szCs w:val="20"/>
      <w:lang w:eastAsia="fr-BE"/>
    </w:rPr>
  </w:style>
  <w:style w:type="paragraph" w:styleId="EndnoteText">
    <w:name w:val="endnote text"/>
    <w:basedOn w:val="Normal"/>
    <w:link w:val="EndnoteTextChar"/>
    <w:uiPriority w:val="99"/>
    <w:unhideWhenUsed/>
    <w:rsid w:val="009515A5"/>
    <w:pPr>
      <w:spacing w:after="240" w:line="240" w:lineRule="auto"/>
      <w:jc w:val="both"/>
    </w:pPr>
    <w:rPr>
      <w:rFonts w:ascii="Times New Roman" w:eastAsia="Times New Roman" w:hAnsi="Times New Roman" w:cs="Times New Roman"/>
      <w:sz w:val="20"/>
      <w:szCs w:val="20"/>
      <w:lang w:eastAsia="fr-BE"/>
    </w:rPr>
  </w:style>
  <w:style w:type="character" w:customStyle="1" w:styleId="EndnoteTextChar">
    <w:name w:val="Endnote Text Char"/>
    <w:basedOn w:val="DefaultParagraphFont"/>
    <w:link w:val="EndnoteText"/>
    <w:uiPriority w:val="99"/>
    <w:rsid w:val="009515A5"/>
    <w:rPr>
      <w:rFonts w:ascii="Times New Roman" w:eastAsia="Times New Roman" w:hAnsi="Times New Roman" w:cs="Times New Roman"/>
      <w:sz w:val="20"/>
      <w:szCs w:val="20"/>
      <w:lang w:eastAsia="fr-BE"/>
    </w:rPr>
  </w:style>
  <w:style w:type="paragraph" w:styleId="FootnoteText">
    <w:name w:val="footnote text"/>
    <w:aliases w:val="~FootnoteText,Fußnotentext Char,Fußnotentext Char2 Char,Fußnotentext Char1 Char Char,Fußnotentext Char Char Char Char,Fußnotentext Char Char1 Char,Fußnotentext Char2,Fußnotentext Char1 Char,Fußnotentext Char Char Char,WB-Fußnotentext,Char"/>
    <w:basedOn w:val="Normal"/>
    <w:link w:val="FootnoteTextChar"/>
    <w:unhideWhenUsed/>
    <w:qFormat/>
    <w:rsid w:val="009515A5"/>
    <w:pPr>
      <w:spacing w:after="120" w:line="240" w:lineRule="auto"/>
      <w:ind w:left="357" w:hanging="357"/>
      <w:jc w:val="both"/>
    </w:pPr>
    <w:rPr>
      <w:rFonts w:ascii="Times New Roman" w:eastAsia="Times New Roman" w:hAnsi="Times New Roman" w:cs="Times New Roman"/>
      <w:sz w:val="20"/>
      <w:szCs w:val="20"/>
      <w:lang w:eastAsia="fr-BE"/>
    </w:rPr>
  </w:style>
  <w:style w:type="character" w:customStyle="1" w:styleId="FootnoteTextChar">
    <w:name w:val="Footnote Text Char"/>
    <w:aliases w:val="~FootnoteText Char,Fußnotentext Char Char,Fußnotentext Char2 Char Char,Fußnotentext Char1 Char Char Char,Fußnotentext Char Char Char Char Char,Fußnotentext Char Char1 Char Char,Fußnotentext Char2 Char1,Fußnotentext Char1 Char Char1"/>
    <w:basedOn w:val="DefaultParagraphFont"/>
    <w:link w:val="FootnoteText"/>
    <w:rsid w:val="009515A5"/>
    <w:rPr>
      <w:rFonts w:ascii="Times New Roman" w:eastAsia="Times New Roman" w:hAnsi="Times New Roman" w:cs="Times New Roman"/>
      <w:sz w:val="20"/>
      <w:szCs w:val="20"/>
      <w:lang w:eastAsia="fr-BE"/>
    </w:rPr>
  </w:style>
  <w:style w:type="character" w:styleId="CommentReference">
    <w:name w:val="annotation reference"/>
    <w:basedOn w:val="DefaultParagraphFont"/>
    <w:uiPriority w:val="99"/>
    <w:semiHidden/>
    <w:rsid w:val="009515A5"/>
    <w:rPr>
      <w:sz w:val="16"/>
      <w:szCs w:val="16"/>
    </w:rPr>
  </w:style>
  <w:style w:type="paragraph" w:styleId="CommentText">
    <w:name w:val="annotation text"/>
    <w:basedOn w:val="Normal"/>
    <w:link w:val="CommentTextChar"/>
    <w:uiPriority w:val="99"/>
    <w:semiHidden/>
    <w:rsid w:val="009515A5"/>
    <w:pPr>
      <w:spacing w:after="240" w:line="240" w:lineRule="auto"/>
      <w:jc w:val="both"/>
    </w:pPr>
    <w:rPr>
      <w:rFonts w:ascii="Times New Roman" w:eastAsia="Times New Roman" w:hAnsi="Times New Roman" w:cs="Times New Roman"/>
      <w:sz w:val="20"/>
      <w:szCs w:val="20"/>
      <w:lang w:eastAsia="fr-BE"/>
    </w:rPr>
  </w:style>
  <w:style w:type="character" w:customStyle="1" w:styleId="CommentTextChar">
    <w:name w:val="Comment Text Char"/>
    <w:basedOn w:val="DefaultParagraphFont"/>
    <w:link w:val="CommentText"/>
    <w:uiPriority w:val="99"/>
    <w:semiHidden/>
    <w:rsid w:val="009515A5"/>
    <w:rPr>
      <w:rFonts w:ascii="Times New Roman" w:eastAsia="Times New Roman" w:hAnsi="Times New Roman" w:cs="Times New Roman"/>
      <w:sz w:val="20"/>
      <w:szCs w:val="20"/>
      <w:lang w:eastAsia="fr-BE"/>
    </w:rPr>
  </w:style>
  <w:style w:type="character" w:customStyle="1" w:styleId="ListParagraphChar">
    <w:name w:val="List Paragraph Char"/>
    <w:aliases w:val="Task Body Char,Viñetas (Inicio Parrafo) Char,Paragrafo elenco Char,3 Txt tabla Char,Zerrenda-paragrafoa Char,Fiche List Paragraph Char,Dot pt Char,F5 List Paragraph Char,List Paragraph1 Char,No Spacing1 Char,Indicator Text Char"/>
    <w:link w:val="ListParagraph"/>
    <w:qFormat/>
    <w:locked/>
    <w:rsid w:val="009515A5"/>
    <w:rPr>
      <w:rFonts w:ascii="Times New Roman" w:eastAsia="Calibri" w:hAnsi="Times New Roman" w:cs="Times New Roman"/>
      <w:sz w:val="24"/>
      <w:szCs w:val="24"/>
      <w:lang w:eastAsia="en-GB"/>
    </w:rPr>
  </w:style>
  <w:style w:type="paragraph" w:styleId="BalloonText">
    <w:name w:val="Balloon Text"/>
    <w:basedOn w:val="Normal"/>
    <w:link w:val="BalloonTextChar"/>
    <w:uiPriority w:val="99"/>
    <w:semiHidden/>
    <w:unhideWhenUsed/>
    <w:rsid w:val="00951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5A5"/>
    <w:rPr>
      <w:rFonts w:ascii="Segoe UI" w:hAnsi="Segoe UI" w:cs="Segoe UI"/>
      <w:sz w:val="18"/>
      <w:szCs w:val="18"/>
    </w:rPr>
  </w:style>
  <w:style w:type="character" w:customStyle="1" w:styleId="normaltextrun">
    <w:name w:val="normaltextrun"/>
    <w:basedOn w:val="DefaultParagraphFont"/>
    <w:rsid w:val="001E5515"/>
    <w:rPr>
      <w:b/>
      <w:bCs/>
    </w:rPr>
  </w:style>
  <w:style w:type="paragraph" w:customStyle="1" w:styleId="LegalNumPar">
    <w:name w:val="LegalNumPar"/>
    <w:basedOn w:val="Normal"/>
    <w:rsid w:val="005E4C28"/>
    <w:pPr>
      <w:numPr>
        <w:numId w:val="8"/>
      </w:numPr>
      <w:spacing w:line="360" w:lineRule="auto"/>
      <w:jc w:val="both"/>
    </w:pPr>
    <w:rPr>
      <w:rFonts w:ascii="Times New Roman" w:hAnsi="Times New Roman" w:cs="Times New Roman"/>
      <w:sz w:val="24"/>
      <w:szCs w:val="24"/>
    </w:rPr>
  </w:style>
  <w:style w:type="paragraph" w:customStyle="1" w:styleId="LegalNumPar2">
    <w:name w:val="LegalNumPar2"/>
    <w:basedOn w:val="Normal"/>
    <w:rsid w:val="005E4C28"/>
    <w:pPr>
      <w:numPr>
        <w:ilvl w:val="1"/>
        <w:numId w:val="8"/>
      </w:numPr>
      <w:spacing w:line="360" w:lineRule="auto"/>
      <w:jc w:val="both"/>
    </w:pPr>
    <w:rPr>
      <w:rFonts w:ascii="Times New Roman" w:hAnsi="Times New Roman" w:cs="Times New Roman"/>
      <w:sz w:val="24"/>
      <w:szCs w:val="24"/>
    </w:rPr>
  </w:style>
  <w:style w:type="paragraph" w:customStyle="1" w:styleId="LegalNumPar3">
    <w:name w:val="LegalNumPar3"/>
    <w:basedOn w:val="Normal"/>
    <w:rsid w:val="005E4C28"/>
    <w:pPr>
      <w:numPr>
        <w:ilvl w:val="2"/>
        <w:numId w:val="8"/>
      </w:numPr>
      <w:spacing w:line="360" w:lineRule="auto"/>
      <w:jc w:val="both"/>
    </w:pPr>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40085"/>
    <w:pPr>
      <w:spacing w:after="20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C40085"/>
    <w:rPr>
      <w:rFonts w:ascii="Times New Roman" w:eastAsia="Times New Roman" w:hAnsi="Times New Roman" w:cs="Times New Roman"/>
      <w:b/>
      <w:bCs/>
      <w:sz w:val="20"/>
      <w:szCs w:val="20"/>
      <w:lang w:eastAsia="fr-BE"/>
    </w:rPr>
  </w:style>
  <w:style w:type="paragraph" w:styleId="Revision">
    <w:name w:val="Revision"/>
    <w:hidden/>
    <w:uiPriority w:val="99"/>
    <w:semiHidden/>
    <w:rsid w:val="00F52BF0"/>
    <w:pPr>
      <w:spacing w:after="0" w:line="240" w:lineRule="auto"/>
    </w:pPr>
  </w:style>
  <w:style w:type="character" w:styleId="FollowedHyperlink">
    <w:name w:val="FollowedHyperlink"/>
    <w:basedOn w:val="DefaultParagraphFont"/>
    <w:uiPriority w:val="99"/>
    <w:semiHidden/>
    <w:unhideWhenUsed/>
    <w:rsid w:val="00F52BF0"/>
    <w:rPr>
      <w:color w:val="800080" w:themeColor="followedHyperlink"/>
      <w:u w:val="single"/>
    </w:rPr>
  </w:style>
  <w:style w:type="character" w:customStyle="1" w:styleId="superscript">
    <w:name w:val="superscript"/>
    <w:basedOn w:val="DefaultParagraphFont"/>
    <w:rsid w:val="007D4CDE"/>
  </w:style>
  <w:style w:type="character" w:customStyle="1" w:styleId="eop">
    <w:name w:val="eop"/>
    <w:basedOn w:val="DefaultParagraphFont"/>
    <w:rsid w:val="007D4CDE"/>
  </w:style>
  <w:style w:type="paragraph" w:customStyle="1" w:styleId="Default">
    <w:name w:val="Default"/>
    <w:rsid w:val="00AA15E4"/>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5623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16060">
      <w:bodyDiv w:val="1"/>
      <w:marLeft w:val="0"/>
      <w:marRight w:val="0"/>
      <w:marTop w:val="0"/>
      <w:marBottom w:val="0"/>
      <w:divBdr>
        <w:top w:val="none" w:sz="0" w:space="0" w:color="auto"/>
        <w:left w:val="none" w:sz="0" w:space="0" w:color="auto"/>
        <w:bottom w:val="none" w:sz="0" w:space="0" w:color="auto"/>
        <w:right w:val="none" w:sz="0" w:space="0" w:color="auto"/>
      </w:divBdr>
    </w:div>
    <w:div w:id="768353124">
      <w:bodyDiv w:val="1"/>
      <w:marLeft w:val="0"/>
      <w:marRight w:val="0"/>
      <w:marTop w:val="0"/>
      <w:marBottom w:val="0"/>
      <w:divBdr>
        <w:top w:val="none" w:sz="0" w:space="0" w:color="auto"/>
        <w:left w:val="none" w:sz="0" w:space="0" w:color="auto"/>
        <w:bottom w:val="none" w:sz="0" w:space="0" w:color="auto"/>
        <w:right w:val="none" w:sz="0" w:space="0" w:color="auto"/>
      </w:divBdr>
    </w:div>
    <w:div w:id="788665992">
      <w:bodyDiv w:val="1"/>
      <w:marLeft w:val="0"/>
      <w:marRight w:val="0"/>
      <w:marTop w:val="0"/>
      <w:marBottom w:val="0"/>
      <w:divBdr>
        <w:top w:val="none" w:sz="0" w:space="0" w:color="auto"/>
        <w:left w:val="none" w:sz="0" w:space="0" w:color="auto"/>
        <w:bottom w:val="none" w:sz="0" w:space="0" w:color="auto"/>
        <w:right w:val="none" w:sz="0" w:space="0" w:color="auto"/>
      </w:divBdr>
    </w:div>
    <w:div w:id="1084113446">
      <w:bodyDiv w:val="1"/>
      <w:marLeft w:val="0"/>
      <w:marRight w:val="0"/>
      <w:marTop w:val="0"/>
      <w:marBottom w:val="0"/>
      <w:divBdr>
        <w:top w:val="none" w:sz="0" w:space="0" w:color="auto"/>
        <w:left w:val="none" w:sz="0" w:space="0" w:color="auto"/>
        <w:bottom w:val="none" w:sz="0" w:space="0" w:color="auto"/>
        <w:right w:val="none" w:sz="0" w:space="0" w:color="auto"/>
      </w:divBdr>
    </w:div>
    <w:div w:id="1503860206">
      <w:bodyDiv w:val="1"/>
      <w:marLeft w:val="0"/>
      <w:marRight w:val="0"/>
      <w:marTop w:val="0"/>
      <w:marBottom w:val="0"/>
      <w:divBdr>
        <w:top w:val="none" w:sz="0" w:space="0" w:color="auto"/>
        <w:left w:val="none" w:sz="0" w:space="0" w:color="auto"/>
        <w:bottom w:val="none" w:sz="0" w:space="0" w:color="auto"/>
        <w:right w:val="none" w:sz="0" w:space="0" w:color="auto"/>
      </w:divBdr>
    </w:div>
    <w:div w:id="1763531311">
      <w:bodyDiv w:val="1"/>
      <w:marLeft w:val="0"/>
      <w:marRight w:val="0"/>
      <w:marTop w:val="0"/>
      <w:marBottom w:val="0"/>
      <w:divBdr>
        <w:top w:val="none" w:sz="0" w:space="0" w:color="auto"/>
        <w:left w:val="none" w:sz="0" w:space="0" w:color="auto"/>
        <w:bottom w:val="none" w:sz="0" w:space="0" w:color="auto"/>
        <w:right w:val="none" w:sz="0" w:space="0" w:color="auto"/>
      </w:divBdr>
    </w:div>
    <w:div w:id="201773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4DCC0AC9070440AC8F58F2A787C016" ma:contentTypeVersion="4" ma:contentTypeDescription="Create a new document." ma:contentTypeScope="" ma:versionID="6b6c4d6dcf57ec963e5782d0f234ebca">
  <xsd:schema xmlns:xsd="http://www.w3.org/2001/XMLSchema" xmlns:xs="http://www.w3.org/2001/XMLSchema" xmlns:p="http://schemas.microsoft.com/office/2006/metadata/properties" xmlns:ns2="a1ae7e3d-ea02-4f8b-a6ae-4ba92f54bfa6" xmlns:ns3="39579b5d-f307-4cba-adf0-92bbc0d34603" targetNamespace="http://schemas.microsoft.com/office/2006/metadata/properties" ma:root="true" ma:fieldsID="c3fc4101192be32eca7d01dca346a804" ns2:_="" ns3:_="">
    <xsd:import namespace="a1ae7e3d-ea02-4f8b-a6ae-4ba92f54bfa6"/>
    <xsd:import namespace="39579b5d-f307-4cba-adf0-92bbc0d346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e7e3d-ea02-4f8b-a6ae-4ba92f54bf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579b5d-f307-4cba-adf0-92bbc0d3460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89A81-77A1-4369-AF6A-8D8CCE8FF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e7e3d-ea02-4f8b-a6ae-4ba92f54bfa6"/>
    <ds:schemaRef ds:uri="39579b5d-f307-4cba-adf0-92bbc0d346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1FF3A2-131E-4280-BAD2-2EA0D1811705}">
  <ds:schemaRefs>
    <ds:schemaRef ds:uri="http://schemas.microsoft.com/sharepoint/v3/contenttype/forms"/>
  </ds:schemaRefs>
</ds:datastoreItem>
</file>

<file path=customXml/itemProps3.xml><?xml version="1.0" encoding="utf-8"?>
<ds:datastoreItem xmlns:ds="http://schemas.openxmlformats.org/officeDocument/2006/customXml" ds:itemID="{428FCB41-1EE2-4096-9EEC-88FB01A30E3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3805760-68EE-41C5-8388-4502DC5BF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6821</Words>
  <Characters>40317</Characters>
  <Application>Microsoft Office Word</Application>
  <DocSecurity>0</DocSecurity>
  <Lines>695</Lines>
  <Paragraphs>115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2022-11-11T11:26:00Z</dcterms:created>
  <dcterms:modified xsi:type="dcterms:W3CDTF">2022-11-21T07:26:00Z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ast edited using">
    <vt:lpwstr>LW 8.1, Build 20220902</vt:lpwstr>
  </property>
  <property fmtid="{D5CDD505-2E9C-101B-9397-08002B2CF9AE}" pid="4" name="ContentTypeId">
    <vt:lpwstr>0x0101008B4DCC0AC9070440AC8F58F2A787C016</vt:lpwstr>
  </property>
  <property fmtid="{D5CDD505-2E9C-101B-9397-08002B2CF9AE}" pid="5" name="Level of sensitivity">
    <vt:lpwstr>Standard treatment</vt:lpwstr>
  </property>
  <property fmtid="{D5CDD505-2E9C-101B-9397-08002B2CF9AE}" pid="6" name="Part">
    <vt:lpwstr>1</vt:lpwstr>
  </property>
  <property fmtid="{D5CDD505-2E9C-101B-9397-08002B2CF9AE}" pid="7" name="Total parts">
    <vt:lpwstr>1</vt:lpwstr>
  </property>
  <property fmtid="{D5CDD505-2E9C-101B-9397-08002B2CF9AE}" pid="8" name="CPTemplateID">
    <vt:lpwstr>CP-014</vt:lpwstr>
  </property>
  <property fmtid="{D5CDD505-2E9C-101B-9397-08002B2CF9AE}" pid="9" name="MSIP_Label_6bd9ddd1-4d20-43f6-abfa-fc3c07406f94_Enabled">
    <vt:lpwstr>true</vt:lpwstr>
  </property>
  <property fmtid="{D5CDD505-2E9C-101B-9397-08002B2CF9AE}" pid="10" name="MSIP_Label_6bd9ddd1-4d20-43f6-abfa-fc3c07406f94_SetDate">
    <vt:lpwstr>2022-11-08T09:44:16Z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6686139b-5260-4d50-a4f9-47de383f333a</vt:lpwstr>
  </property>
  <property fmtid="{D5CDD505-2E9C-101B-9397-08002B2CF9AE}" pid="15" name="MSIP_Label_6bd9ddd1-4d20-43f6-abfa-fc3c07406f94_ContentBits">
    <vt:lpwstr>0</vt:lpwstr>
  </property>
</Properties>
</file>