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8339" w14:textId="28AA83FF" w:rsidR="006B087E" w:rsidRDefault="00A8526C" w:rsidP="00A8526C">
      <w:pPr>
        <w:pStyle w:val="Pagedecouverture"/>
        <w:rPr>
          <w:noProof/>
        </w:rPr>
      </w:pPr>
      <w:bookmarkStart w:id="0" w:name="LW_BM_COVERPAGE"/>
      <w:r>
        <w:rPr>
          <w:noProof/>
        </w:rPr>
        <w:pict w14:anchorId="4AC10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97EEB33-21A5-4735-A47C-CCA22D4BB701" style="width:455.25pt;height:426.75pt">
            <v:imagedata r:id="rId11" o:title=""/>
          </v:shape>
        </w:pict>
      </w:r>
    </w:p>
    <w:bookmarkEnd w:id="0"/>
    <w:p w14:paraId="0041D077" w14:textId="77777777" w:rsidR="006B087E" w:rsidRPr="006B087E" w:rsidRDefault="006B087E" w:rsidP="006B087E">
      <w:pPr>
        <w:pStyle w:val="TOCHeading"/>
        <w:rPr>
          <w:noProof/>
        </w:rPr>
        <w:sectPr w:rsidR="006B087E" w:rsidRPr="006B087E" w:rsidSect="00A8526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77E725E4" w14:textId="77777777" w:rsidR="006B087E" w:rsidRPr="00AF77BE" w:rsidRDefault="006B087E" w:rsidP="006B087E">
      <w:pPr>
        <w:pStyle w:val="TOCHeading"/>
        <w:rPr>
          <w:noProof/>
          <w:sz w:val="28"/>
          <w:szCs w:val="28"/>
        </w:rPr>
      </w:pPr>
      <w:bookmarkStart w:id="1" w:name="_GoBack"/>
      <w:bookmarkEnd w:id="1"/>
      <w:r w:rsidRPr="00AF77BE">
        <w:rPr>
          <w:noProof/>
          <w:sz w:val="28"/>
          <w:szCs w:val="28"/>
        </w:rPr>
        <w:lastRenderedPageBreak/>
        <w:t>Table of contents</w:t>
      </w:r>
    </w:p>
    <w:p w14:paraId="7D2983EA" w14:textId="5667BC63" w:rsidR="00B41980" w:rsidRDefault="006B087E">
      <w:pPr>
        <w:pStyle w:val="TOC1"/>
        <w:rPr>
          <w:rFonts w:asciiTheme="minorHAnsi" w:eastAsiaTheme="minorEastAsia" w:hAnsiTheme="minorHAnsi" w:cstheme="minorBidi"/>
          <w:caps w:val="0"/>
          <w:noProof/>
          <w:sz w:val="22"/>
          <w:szCs w:val="22"/>
          <w:lang w:val="en-IE" w:eastAsia="en-IE"/>
        </w:rPr>
      </w:pPr>
      <w:r>
        <w:rPr>
          <w:noProof/>
        </w:rPr>
        <w:fldChar w:fldCharType="begin"/>
      </w:r>
      <w:r>
        <w:rPr>
          <w:noProof/>
        </w:rPr>
        <w:instrText xml:space="preserve"> TOC \o "1-1" \h \z \t "Heading 2;2;Heading 3;3;Annex Title;1" </w:instrText>
      </w:r>
      <w:r>
        <w:rPr>
          <w:noProof/>
        </w:rPr>
        <w:fldChar w:fldCharType="separate"/>
      </w:r>
      <w:hyperlink w:anchor="_Toc107430056" w:history="1">
        <w:r w:rsidR="00B41980" w:rsidRPr="004751A8">
          <w:rPr>
            <w:rStyle w:val="Hyperlink"/>
            <w:noProof/>
          </w:rPr>
          <w:t>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Introduction</w:t>
        </w:r>
        <w:r w:rsidR="00B41980">
          <w:rPr>
            <w:noProof/>
            <w:webHidden/>
          </w:rPr>
          <w:tab/>
        </w:r>
        <w:r w:rsidR="00B41980">
          <w:rPr>
            <w:noProof/>
            <w:webHidden/>
          </w:rPr>
          <w:fldChar w:fldCharType="begin"/>
        </w:r>
        <w:r w:rsidR="00B41980">
          <w:rPr>
            <w:noProof/>
            <w:webHidden/>
          </w:rPr>
          <w:instrText xml:space="preserve"> PAGEREF _Toc107430056 \h </w:instrText>
        </w:r>
        <w:r w:rsidR="00B41980">
          <w:rPr>
            <w:noProof/>
            <w:webHidden/>
          </w:rPr>
        </w:r>
        <w:r w:rsidR="00B41980">
          <w:rPr>
            <w:noProof/>
            <w:webHidden/>
          </w:rPr>
          <w:fldChar w:fldCharType="separate"/>
        </w:r>
        <w:r w:rsidR="00BC2C3A">
          <w:rPr>
            <w:noProof/>
            <w:webHidden/>
          </w:rPr>
          <w:t>4</w:t>
        </w:r>
        <w:r w:rsidR="00B41980">
          <w:rPr>
            <w:noProof/>
            <w:webHidden/>
          </w:rPr>
          <w:fldChar w:fldCharType="end"/>
        </w:r>
      </w:hyperlink>
    </w:p>
    <w:p w14:paraId="3CB6A31E" w14:textId="4FA79B11"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57" w:history="1">
        <w:r w:rsidR="00B41980" w:rsidRPr="004751A8">
          <w:rPr>
            <w:rStyle w:val="Hyperlink"/>
            <w:noProof/>
          </w:rPr>
          <w:t>1.1.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Political context</w:t>
        </w:r>
        <w:r w:rsidR="00B41980">
          <w:rPr>
            <w:noProof/>
            <w:webHidden/>
          </w:rPr>
          <w:tab/>
        </w:r>
        <w:r w:rsidR="00B41980">
          <w:rPr>
            <w:noProof/>
            <w:webHidden/>
          </w:rPr>
          <w:fldChar w:fldCharType="begin"/>
        </w:r>
        <w:r w:rsidR="00B41980">
          <w:rPr>
            <w:noProof/>
            <w:webHidden/>
          </w:rPr>
          <w:instrText xml:space="preserve"> PAGEREF _Toc107430057 \h </w:instrText>
        </w:r>
        <w:r w:rsidR="00B41980">
          <w:rPr>
            <w:noProof/>
            <w:webHidden/>
          </w:rPr>
        </w:r>
        <w:r w:rsidR="00B41980">
          <w:rPr>
            <w:noProof/>
            <w:webHidden/>
          </w:rPr>
          <w:fldChar w:fldCharType="separate"/>
        </w:r>
        <w:r w:rsidR="00BC2C3A">
          <w:rPr>
            <w:noProof/>
            <w:webHidden/>
          </w:rPr>
          <w:t>4</w:t>
        </w:r>
        <w:r w:rsidR="00B41980">
          <w:rPr>
            <w:noProof/>
            <w:webHidden/>
          </w:rPr>
          <w:fldChar w:fldCharType="end"/>
        </w:r>
      </w:hyperlink>
    </w:p>
    <w:p w14:paraId="459C7A28" w14:textId="27C8357F"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58" w:history="1">
        <w:r w:rsidR="00B41980" w:rsidRPr="004751A8">
          <w:rPr>
            <w:rStyle w:val="Hyperlink"/>
            <w:noProof/>
          </w:rPr>
          <w:t>1.2.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Legal context (see annex 7 for more details)</w:t>
        </w:r>
        <w:r w:rsidR="00B41980">
          <w:rPr>
            <w:noProof/>
            <w:webHidden/>
          </w:rPr>
          <w:tab/>
        </w:r>
        <w:r w:rsidR="00B41980">
          <w:rPr>
            <w:noProof/>
            <w:webHidden/>
          </w:rPr>
          <w:fldChar w:fldCharType="begin"/>
        </w:r>
        <w:r w:rsidR="00B41980">
          <w:rPr>
            <w:noProof/>
            <w:webHidden/>
          </w:rPr>
          <w:instrText xml:space="preserve"> PAGEREF _Toc107430058 \h </w:instrText>
        </w:r>
        <w:r w:rsidR="00B41980">
          <w:rPr>
            <w:noProof/>
            <w:webHidden/>
          </w:rPr>
        </w:r>
        <w:r w:rsidR="00B41980">
          <w:rPr>
            <w:noProof/>
            <w:webHidden/>
          </w:rPr>
          <w:fldChar w:fldCharType="separate"/>
        </w:r>
        <w:r w:rsidR="00BC2C3A">
          <w:rPr>
            <w:noProof/>
            <w:webHidden/>
          </w:rPr>
          <w:t>5</w:t>
        </w:r>
        <w:r w:rsidR="00B41980">
          <w:rPr>
            <w:noProof/>
            <w:webHidden/>
          </w:rPr>
          <w:fldChar w:fldCharType="end"/>
        </w:r>
      </w:hyperlink>
    </w:p>
    <w:p w14:paraId="1F073C95" w14:textId="42D99809"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59" w:history="1">
        <w:r w:rsidR="00B41980" w:rsidRPr="004751A8">
          <w:rPr>
            <w:rStyle w:val="Hyperlink"/>
            <w:noProof/>
            <w:lang w:val="en-IE"/>
          </w:rPr>
          <w:t>1.2.1.</w:t>
        </w:r>
        <w:r w:rsidR="00B41980">
          <w:rPr>
            <w:rFonts w:asciiTheme="minorHAnsi" w:eastAsiaTheme="minorEastAsia" w:hAnsiTheme="minorHAnsi"/>
            <w:noProof/>
            <w:lang w:val="en-IE" w:eastAsia="en-IE"/>
          </w:rPr>
          <w:tab/>
        </w:r>
        <w:r w:rsidR="00B41980" w:rsidRPr="004751A8">
          <w:rPr>
            <w:rStyle w:val="Hyperlink"/>
            <w:noProof/>
            <w:lang w:val="en-IE"/>
          </w:rPr>
          <w:t>Main features of the PLD</w:t>
        </w:r>
        <w:r w:rsidR="00B41980">
          <w:rPr>
            <w:noProof/>
            <w:webHidden/>
          </w:rPr>
          <w:tab/>
        </w:r>
        <w:r w:rsidR="00B41980">
          <w:rPr>
            <w:noProof/>
            <w:webHidden/>
          </w:rPr>
          <w:fldChar w:fldCharType="begin"/>
        </w:r>
        <w:r w:rsidR="00B41980">
          <w:rPr>
            <w:noProof/>
            <w:webHidden/>
          </w:rPr>
          <w:instrText xml:space="preserve"> PAGEREF _Toc107430059 \h </w:instrText>
        </w:r>
        <w:r w:rsidR="00B41980">
          <w:rPr>
            <w:noProof/>
            <w:webHidden/>
          </w:rPr>
        </w:r>
        <w:r w:rsidR="00B41980">
          <w:rPr>
            <w:noProof/>
            <w:webHidden/>
          </w:rPr>
          <w:fldChar w:fldCharType="separate"/>
        </w:r>
        <w:r w:rsidR="00BC2C3A">
          <w:rPr>
            <w:noProof/>
            <w:webHidden/>
          </w:rPr>
          <w:t>5</w:t>
        </w:r>
        <w:r w:rsidR="00B41980">
          <w:rPr>
            <w:noProof/>
            <w:webHidden/>
          </w:rPr>
          <w:fldChar w:fldCharType="end"/>
        </w:r>
      </w:hyperlink>
    </w:p>
    <w:p w14:paraId="73ABD0C1" w14:textId="11C2868A"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60" w:history="1">
        <w:r w:rsidR="00B41980" w:rsidRPr="004751A8">
          <w:rPr>
            <w:rStyle w:val="Hyperlink"/>
            <w:noProof/>
            <w:lang w:val="en-IE"/>
          </w:rPr>
          <w:t>1.2.2.</w:t>
        </w:r>
        <w:r w:rsidR="00B41980">
          <w:rPr>
            <w:rFonts w:asciiTheme="minorHAnsi" w:eastAsiaTheme="minorEastAsia" w:hAnsiTheme="minorHAnsi"/>
            <w:noProof/>
            <w:lang w:val="en-IE" w:eastAsia="en-IE"/>
          </w:rPr>
          <w:tab/>
        </w:r>
        <w:r w:rsidR="00B41980" w:rsidRPr="004751A8">
          <w:rPr>
            <w:rStyle w:val="Hyperlink"/>
            <w:noProof/>
            <w:lang w:val="en-IE"/>
          </w:rPr>
          <w:t>Interplay of PLD with other liability regimes</w:t>
        </w:r>
        <w:r w:rsidR="00B41980">
          <w:rPr>
            <w:noProof/>
            <w:webHidden/>
          </w:rPr>
          <w:tab/>
        </w:r>
        <w:r w:rsidR="00B41980">
          <w:rPr>
            <w:noProof/>
            <w:webHidden/>
          </w:rPr>
          <w:fldChar w:fldCharType="begin"/>
        </w:r>
        <w:r w:rsidR="00B41980">
          <w:rPr>
            <w:noProof/>
            <w:webHidden/>
          </w:rPr>
          <w:instrText xml:space="preserve"> PAGEREF _Toc107430060 \h </w:instrText>
        </w:r>
        <w:r w:rsidR="00B41980">
          <w:rPr>
            <w:noProof/>
            <w:webHidden/>
          </w:rPr>
        </w:r>
        <w:r w:rsidR="00B41980">
          <w:rPr>
            <w:noProof/>
            <w:webHidden/>
          </w:rPr>
          <w:fldChar w:fldCharType="separate"/>
        </w:r>
        <w:r w:rsidR="00BC2C3A">
          <w:rPr>
            <w:noProof/>
            <w:webHidden/>
          </w:rPr>
          <w:t>6</w:t>
        </w:r>
        <w:r w:rsidR="00B41980">
          <w:rPr>
            <w:noProof/>
            <w:webHidden/>
          </w:rPr>
          <w:fldChar w:fldCharType="end"/>
        </w:r>
      </w:hyperlink>
    </w:p>
    <w:p w14:paraId="217477E6" w14:textId="76FCBB2E"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61" w:history="1">
        <w:r w:rsidR="00B41980" w:rsidRPr="004751A8">
          <w:rPr>
            <w:rStyle w:val="Hyperlink"/>
            <w:noProof/>
            <w:lang w:val="en-IE"/>
          </w:rPr>
          <w:t>1.2.3.</w:t>
        </w:r>
        <w:r w:rsidR="00B41980">
          <w:rPr>
            <w:rFonts w:asciiTheme="minorHAnsi" w:eastAsiaTheme="minorEastAsia" w:hAnsiTheme="minorHAnsi"/>
            <w:noProof/>
            <w:lang w:val="en-IE" w:eastAsia="en-IE"/>
          </w:rPr>
          <w:tab/>
        </w:r>
        <w:r w:rsidR="00B41980" w:rsidRPr="004751A8">
          <w:rPr>
            <w:rStyle w:val="Hyperlink"/>
            <w:noProof/>
            <w:lang w:val="en-IE"/>
          </w:rPr>
          <w:t>Interplay of PLD with other EU legislation</w:t>
        </w:r>
        <w:r w:rsidR="00B41980">
          <w:rPr>
            <w:noProof/>
            <w:webHidden/>
          </w:rPr>
          <w:tab/>
        </w:r>
        <w:r w:rsidR="00B41980">
          <w:rPr>
            <w:noProof/>
            <w:webHidden/>
          </w:rPr>
          <w:fldChar w:fldCharType="begin"/>
        </w:r>
        <w:r w:rsidR="00B41980">
          <w:rPr>
            <w:noProof/>
            <w:webHidden/>
          </w:rPr>
          <w:instrText xml:space="preserve"> PAGEREF _Toc107430061 \h </w:instrText>
        </w:r>
        <w:r w:rsidR="00B41980">
          <w:rPr>
            <w:noProof/>
            <w:webHidden/>
          </w:rPr>
        </w:r>
        <w:r w:rsidR="00B41980">
          <w:rPr>
            <w:noProof/>
            <w:webHidden/>
          </w:rPr>
          <w:fldChar w:fldCharType="separate"/>
        </w:r>
        <w:r w:rsidR="00BC2C3A">
          <w:rPr>
            <w:noProof/>
            <w:webHidden/>
          </w:rPr>
          <w:t>7</w:t>
        </w:r>
        <w:r w:rsidR="00B41980">
          <w:rPr>
            <w:noProof/>
            <w:webHidden/>
          </w:rPr>
          <w:fldChar w:fldCharType="end"/>
        </w:r>
      </w:hyperlink>
    </w:p>
    <w:p w14:paraId="0C2868BB" w14:textId="6C918BD2"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62" w:history="1">
        <w:r w:rsidR="00B41980" w:rsidRPr="004751A8">
          <w:rPr>
            <w:rStyle w:val="Hyperlink"/>
            <w:noProof/>
            <w:lang w:val="en-IE"/>
          </w:rPr>
          <w:t>1.2.4.</w:t>
        </w:r>
        <w:r w:rsidR="00B41980">
          <w:rPr>
            <w:rFonts w:asciiTheme="minorHAnsi" w:eastAsiaTheme="minorEastAsia" w:hAnsiTheme="minorHAnsi"/>
            <w:noProof/>
            <w:lang w:val="en-IE" w:eastAsia="en-IE"/>
          </w:rPr>
          <w:tab/>
        </w:r>
        <w:r w:rsidR="00B41980" w:rsidRPr="004751A8">
          <w:rPr>
            <w:rStyle w:val="Hyperlink"/>
            <w:noProof/>
            <w:lang w:val="en-IE"/>
          </w:rPr>
          <w:t>Interplay with ongoing initiatives</w:t>
        </w:r>
        <w:r w:rsidR="00B41980">
          <w:rPr>
            <w:noProof/>
            <w:webHidden/>
          </w:rPr>
          <w:tab/>
        </w:r>
        <w:r w:rsidR="00B41980">
          <w:rPr>
            <w:noProof/>
            <w:webHidden/>
          </w:rPr>
          <w:fldChar w:fldCharType="begin"/>
        </w:r>
        <w:r w:rsidR="00B41980">
          <w:rPr>
            <w:noProof/>
            <w:webHidden/>
          </w:rPr>
          <w:instrText xml:space="preserve"> PAGEREF _Toc107430062 \h </w:instrText>
        </w:r>
        <w:r w:rsidR="00B41980">
          <w:rPr>
            <w:noProof/>
            <w:webHidden/>
          </w:rPr>
        </w:r>
        <w:r w:rsidR="00B41980">
          <w:rPr>
            <w:noProof/>
            <w:webHidden/>
          </w:rPr>
          <w:fldChar w:fldCharType="separate"/>
        </w:r>
        <w:r w:rsidR="00BC2C3A">
          <w:rPr>
            <w:noProof/>
            <w:webHidden/>
          </w:rPr>
          <w:t>8</w:t>
        </w:r>
        <w:r w:rsidR="00B41980">
          <w:rPr>
            <w:noProof/>
            <w:webHidden/>
          </w:rPr>
          <w:fldChar w:fldCharType="end"/>
        </w:r>
      </w:hyperlink>
    </w:p>
    <w:p w14:paraId="05468DED" w14:textId="7A5895F7"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63" w:history="1">
        <w:r w:rsidR="00B41980" w:rsidRPr="004751A8">
          <w:rPr>
            <w:rStyle w:val="Hyperlink"/>
            <w:noProof/>
            <w:lang w:val="en-IE"/>
          </w:rPr>
          <w:t>1.2.5.</w:t>
        </w:r>
        <w:r w:rsidR="00B41980">
          <w:rPr>
            <w:rFonts w:asciiTheme="minorHAnsi" w:eastAsiaTheme="minorEastAsia" w:hAnsiTheme="minorHAnsi"/>
            <w:noProof/>
            <w:lang w:val="en-IE" w:eastAsia="en-IE"/>
          </w:rPr>
          <w:tab/>
        </w:r>
        <w:r w:rsidR="00B41980" w:rsidRPr="004751A8">
          <w:rPr>
            <w:rStyle w:val="Hyperlink"/>
            <w:noProof/>
            <w:lang w:val="en-IE"/>
          </w:rPr>
          <w:t>Specific interplay with the Artificial Intelligence Act and the impact assessment on AI liability</w:t>
        </w:r>
        <w:r w:rsidR="00B41980">
          <w:rPr>
            <w:noProof/>
            <w:webHidden/>
          </w:rPr>
          <w:tab/>
        </w:r>
        <w:r w:rsidR="00B41980">
          <w:rPr>
            <w:noProof/>
            <w:webHidden/>
          </w:rPr>
          <w:fldChar w:fldCharType="begin"/>
        </w:r>
        <w:r w:rsidR="00B41980">
          <w:rPr>
            <w:noProof/>
            <w:webHidden/>
          </w:rPr>
          <w:instrText xml:space="preserve"> PAGEREF _Toc107430063 \h </w:instrText>
        </w:r>
        <w:r w:rsidR="00B41980">
          <w:rPr>
            <w:noProof/>
            <w:webHidden/>
          </w:rPr>
        </w:r>
        <w:r w:rsidR="00B41980">
          <w:rPr>
            <w:noProof/>
            <w:webHidden/>
          </w:rPr>
          <w:fldChar w:fldCharType="separate"/>
        </w:r>
        <w:r w:rsidR="00BC2C3A">
          <w:rPr>
            <w:noProof/>
            <w:webHidden/>
          </w:rPr>
          <w:t>9</w:t>
        </w:r>
        <w:r w:rsidR="00B41980">
          <w:rPr>
            <w:noProof/>
            <w:webHidden/>
          </w:rPr>
          <w:fldChar w:fldCharType="end"/>
        </w:r>
      </w:hyperlink>
    </w:p>
    <w:p w14:paraId="7EBF7537" w14:textId="06567970" w:rsidR="00B41980" w:rsidRDefault="00A8526C">
      <w:pPr>
        <w:pStyle w:val="TOC1"/>
        <w:rPr>
          <w:rFonts w:asciiTheme="minorHAnsi" w:eastAsiaTheme="minorEastAsia" w:hAnsiTheme="minorHAnsi" w:cstheme="minorBidi"/>
          <w:caps w:val="0"/>
          <w:noProof/>
          <w:sz w:val="22"/>
          <w:szCs w:val="22"/>
          <w:lang w:val="en-IE" w:eastAsia="en-IE"/>
        </w:rPr>
      </w:pPr>
      <w:hyperlink w:anchor="_Toc107430064" w:history="1">
        <w:r w:rsidR="00B41980" w:rsidRPr="004751A8">
          <w:rPr>
            <w:rStyle w:val="Hyperlink"/>
            <w:noProof/>
          </w:rPr>
          <w:t>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Problem definition</w:t>
        </w:r>
        <w:r w:rsidR="00B41980">
          <w:rPr>
            <w:noProof/>
            <w:webHidden/>
          </w:rPr>
          <w:tab/>
        </w:r>
        <w:r w:rsidR="00B41980">
          <w:rPr>
            <w:noProof/>
            <w:webHidden/>
          </w:rPr>
          <w:fldChar w:fldCharType="begin"/>
        </w:r>
        <w:r w:rsidR="00B41980">
          <w:rPr>
            <w:noProof/>
            <w:webHidden/>
          </w:rPr>
          <w:instrText xml:space="preserve"> PAGEREF _Toc107430064 \h </w:instrText>
        </w:r>
        <w:r w:rsidR="00B41980">
          <w:rPr>
            <w:noProof/>
            <w:webHidden/>
          </w:rPr>
        </w:r>
        <w:r w:rsidR="00B41980">
          <w:rPr>
            <w:noProof/>
            <w:webHidden/>
          </w:rPr>
          <w:fldChar w:fldCharType="separate"/>
        </w:r>
        <w:r w:rsidR="00BC2C3A">
          <w:rPr>
            <w:noProof/>
            <w:webHidden/>
          </w:rPr>
          <w:t>10</w:t>
        </w:r>
        <w:r w:rsidR="00B41980">
          <w:rPr>
            <w:noProof/>
            <w:webHidden/>
          </w:rPr>
          <w:fldChar w:fldCharType="end"/>
        </w:r>
      </w:hyperlink>
    </w:p>
    <w:p w14:paraId="1200C10F" w14:textId="6ED83981"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65" w:history="1">
        <w:r w:rsidR="00B41980" w:rsidRPr="004751A8">
          <w:rPr>
            <w:rStyle w:val="Hyperlink"/>
            <w:noProof/>
          </w:rPr>
          <w:t>2.1.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What are the problems?</w:t>
        </w:r>
        <w:r w:rsidR="00B41980">
          <w:rPr>
            <w:noProof/>
            <w:webHidden/>
          </w:rPr>
          <w:tab/>
        </w:r>
        <w:r w:rsidR="00B41980">
          <w:rPr>
            <w:noProof/>
            <w:webHidden/>
          </w:rPr>
          <w:fldChar w:fldCharType="begin"/>
        </w:r>
        <w:r w:rsidR="00B41980">
          <w:rPr>
            <w:noProof/>
            <w:webHidden/>
          </w:rPr>
          <w:instrText xml:space="preserve"> PAGEREF _Toc107430065 \h </w:instrText>
        </w:r>
        <w:r w:rsidR="00B41980">
          <w:rPr>
            <w:noProof/>
            <w:webHidden/>
          </w:rPr>
        </w:r>
        <w:r w:rsidR="00B41980">
          <w:rPr>
            <w:noProof/>
            <w:webHidden/>
          </w:rPr>
          <w:fldChar w:fldCharType="separate"/>
        </w:r>
        <w:r w:rsidR="00BC2C3A">
          <w:rPr>
            <w:noProof/>
            <w:webHidden/>
          </w:rPr>
          <w:t>10</w:t>
        </w:r>
        <w:r w:rsidR="00B41980">
          <w:rPr>
            <w:noProof/>
            <w:webHidden/>
          </w:rPr>
          <w:fldChar w:fldCharType="end"/>
        </w:r>
      </w:hyperlink>
    </w:p>
    <w:p w14:paraId="41FB1C83" w14:textId="6F830B2B"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66" w:history="1">
        <w:r w:rsidR="00B41980" w:rsidRPr="004751A8">
          <w:rPr>
            <w:rStyle w:val="Hyperlink"/>
            <w:noProof/>
          </w:rPr>
          <w:t>2.2.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What are the problem drivers?</w:t>
        </w:r>
        <w:r w:rsidR="00B41980">
          <w:rPr>
            <w:noProof/>
            <w:webHidden/>
          </w:rPr>
          <w:tab/>
        </w:r>
        <w:r w:rsidR="00B41980">
          <w:rPr>
            <w:noProof/>
            <w:webHidden/>
          </w:rPr>
          <w:fldChar w:fldCharType="begin"/>
        </w:r>
        <w:r w:rsidR="00B41980">
          <w:rPr>
            <w:noProof/>
            <w:webHidden/>
          </w:rPr>
          <w:instrText xml:space="preserve"> PAGEREF _Toc107430066 \h </w:instrText>
        </w:r>
        <w:r w:rsidR="00B41980">
          <w:rPr>
            <w:noProof/>
            <w:webHidden/>
          </w:rPr>
        </w:r>
        <w:r w:rsidR="00B41980">
          <w:rPr>
            <w:noProof/>
            <w:webHidden/>
          </w:rPr>
          <w:fldChar w:fldCharType="separate"/>
        </w:r>
        <w:r w:rsidR="00BC2C3A">
          <w:rPr>
            <w:noProof/>
            <w:webHidden/>
          </w:rPr>
          <w:t>13</w:t>
        </w:r>
        <w:r w:rsidR="00B41980">
          <w:rPr>
            <w:noProof/>
            <w:webHidden/>
          </w:rPr>
          <w:fldChar w:fldCharType="end"/>
        </w:r>
      </w:hyperlink>
    </w:p>
    <w:p w14:paraId="5981B30B" w14:textId="55E2A1F3"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67" w:history="1">
        <w:r w:rsidR="00B41980" w:rsidRPr="004751A8">
          <w:rPr>
            <w:rStyle w:val="Hyperlink"/>
            <w:noProof/>
          </w:rPr>
          <w:t>2.2.1.</w:t>
        </w:r>
        <w:r w:rsidR="00B41980">
          <w:rPr>
            <w:rFonts w:asciiTheme="minorHAnsi" w:eastAsiaTheme="minorEastAsia" w:hAnsiTheme="minorHAnsi"/>
            <w:noProof/>
            <w:lang w:val="en-IE" w:eastAsia="en-IE"/>
          </w:rPr>
          <w:tab/>
        </w:r>
        <w:r w:rsidR="00B41980" w:rsidRPr="004751A8">
          <w:rPr>
            <w:rStyle w:val="Hyperlink"/>
            <w:noProof/>
          </w:rPr>
          <w:t>Problem 1: Certain products, economic actors and damage in the digital and circular economy escape no-fault liability</w:t>
        </w:r>
        <w:r w:rsidR="00B41980">
          <w:rPr>
            <w:noProof/>
            <w:webHidden/>
          </w:rPr>
          <w:tab/>
        </w:r>
        <w:r w:rsidR="00B41980">
          <w:rPr>
            <w:noProof/>
            <w:webHidden/>
          </w:rPr>
          <w:fldChar w:fldCharType="begin"/>
        </w:r>
        <w:r w:rsidR="00B41980">
          <w:rPr>
            <w:noProof/>
            <w:webHidden/>
          </w:rPr>
          <w:instrText xml:space="preserve"> PAGEREF _Toc107430067 \h </w:instrText>
        </w:r>
        <w:r w:rsidR="00B41980">
          <w:rPr>
            <w:noProof/>
            <w:webHidden/>
          </w:rPr>
        </w:r>
        <w:r w:rsidR="00B41980">
          <w:rPr>
            <w:noProof/>
            <w:webHidden/>
          </w:rPr>
          <w:fldChar w:fldCharType="separate"/>
        </w:r>
        <w:r w:rsidR="00BC2C3A">
          <w:rPr>
            <w:noProof/>
            <w:webHidden/>
          </w:rPr>
          <w:t>13</w:t>
        </w:r>
        <w:r w:rsidR="00B41980">
          <w:rPr>
            <w:noProof/>
            <w:webHidden/>
          </w:rPr>
          <w:fldChar w:fldCharType="end"/>
        </w:r>
      </w:hyperlink>
    </w:p>
    <w:p w14:paraId="5FBE8496" w14:textId="2D7FEF2E"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68" w:history="1">
        <w:r w:rsidR="00B41980" w:rsidRPr="004751A8">
          <w:rPr>
            <w:rStyle w:val="Hyperlink"/>
            <w:noProof/>
          </w:rPr>
          <w:t>2.2.2.</w:t>
        </w:r>
        <w:r w:rsidR="00B41980">
          <w:rPr>
            <w:rFonts w:asciiTheme="minorHAnsi" w:eastAsiaTheme="minorEastAsia" w:hAnsiTheme="minorHAnsi"/>
            <w:noProof/>
            <w:lang w:val="en-IE" w:eastAsia="en-IE"/>
          </w:rPr>
          <w:tab/>
        </w:r>
        <w:r w:rsidR="00B41980" w:rsidRPr="004751A8">
          <w:rPr>
            <w:rStyle w:val="Hyperlink"/>
            <w:noProof/>
          </w:rPr>
          <w:t>Problem 2: Consumers face obstacles to getting compensation</w:t>
        </w:r>
        <w:r w:rsidR="00B41980">
          <w:rPr>
            <w:noProof/>
            <w:webHidden/>
          </w:rPr>
          <w:tab/>
        </w:r>
        <w:r w:rsidR="00B41980">
          <w:rPr>
            <w:noProof/>
            <w:webHidden/>
          </w:rPr>
          <w:fldChar w:fldCharType="begin"/>
        </w:r>
        <w:r w:rsidR="00B41980">
          <w:rPr>
            <w:noProof/>
            <w:webHidden/>
          </w:rPr>
          <w:instrText xml:space="preserve"> PAGEREF _Toc107430068 \h </w:instrText>
        </w:r>
        <w:r w:rsidR="00B41980">
          <w:rPr>
            <w:noProof/>
            <w:webHidden/>
          </w:rPr>
        </w:r>
        <w:r w:rsidR="00B41980">
          <w:rPr>
            <w:noProof/>
            <w:webHidden/>
          </w:rPr>
          <w:fldChar w:fldCharType="separate"/>
        </w:r>
        <w:r w:rsidR="00BC2C3A">
          <w:rPr>
            <w:noProof/>
            <w:webHidden/>
          </w:rPr>
          <w:t>20</w:t>
        </w:r>
        <w:r w:rsidR="00B41980">
          <w:rPr>
            <w:noProof/>
            <w:webHidden/>
          </w:rPr>
          <w:fldChar w:fldCharType="end"/>
        </w:r>
      </w:hyperlink>
    </w:p>
    <w:p w14:paraId="2AF1554C" w14:textId="5BF1F0B5"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69" w:history="1">
        <w:r w:rsidR="00B41980" w:rsidRPr="004751A8">
          <w:rPr>
            <w:rStyle w:val="Hyperlink"/>
            <w:noProof/>
          </w:rPr>
          <w:t>2.3.</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How will the problems evolve?</w:t>
        </w:r>
        <w:r w:rsidR="00B41980">
          <w:rPr>
            <w:noProof/>
            <w:webHidden/>
          </w:rPr>
          <w:tab/>
        </w:r>
        <w:r w:rsidR="00B41980">
          <w:rPr>
            <w:noProof/>
            <w:webHidden/>
          </w:rPr>
          <w:fldChar w:fldCharType="begin"/>
        </w:r>
        <w:r w:rsidR="00B41980">
          <w:rPr>
            <w:noProof/>
            <w:webHidden/>
          </w:rPr>
          <w:instrText xml:space="preserve"> PAGEREF _Toc107430069 \h </w:instrText>
        </w:r>
        <w:r w:rsidR="00B41980">
          <w:rPr>
            <w:noProof/>
            <w:webHidden/>
          </w:rPr>
        </w:r>
        <w:r w:rsidR="00B41980">
          <w:rPr>
            <w:noProof/>
            <w:webHidden/>
          </w:rPr>
          <w:fldChar w:fldCharType="separate"/>
        </w:r>
        <w:r w:rsidR="00BC2C3A">
          <w:rPr>
            <w:noProof/>
            <w:webHidden/>
          </w:rPr>
          <w:t>24</w:t>
        </w:r>
        <w:r w:rsidR="00B41980">
          <w:rPr>
            <w:noProof/>
            <w:webHidden/>
          </w:rPr>
          <w:fldChar w:fldCharType="end"/>
        </w:r>
      </w:hyperlink>
    </w:p>
    <w:p w14:paraId="0762002E" w14:textId="467F80FF" w:rsidR="00B41980" w:rsidRDefault="00A8526C">
      <w:pPr>
        <w:pStyle w:val="TOC1"/>
        <w:rPr>
          <w:rFonts w:asciiTheme="minorHAnsi" w:eastAsiaTheme="minorEastAsia" w:hAnsiTheme="minorHAnsi" w:cstheme="minorBidi"/>
          <w:caps w:val="0"/>
          <w:noProof/>
          <w:sz w:val="22"/>
          <w:szCs w:val="22"/>
          <w:lang w:val="en-IE" w:eastAsia="en-IE"/>
        </w:rPr>
      </w:pPr>
      <w:hyperlink w:anchor="_Toc107430070" w:history="1">
        <w:r w:rsidR="00B41980" w:rsidRPr="004751A8">
          <w:rPr>
            <w:rStyle w:val="Hyperlink"/>
            <w:noProof/>
          </w:rPr>
          <w:t>3.</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Why should the EU act?</w:t>
        </w:r>
        <w:r w:rsidR="00B41980">
          <w:rPr>
            <w:noProof/>
            <w:webHidden/>
          </w:rPr>
          <w:tab/>
        </w:r>
        <w:r w:rsidR="00B41980">
          <w:rPr>
            <w:noProof/>
            <w:webHidden/>
          </w:rPr>
          <w:fldChar w:fldCharType="begin"/>
        </w:r>
        <w:r w:rsidR="00B41980">
          <w:rPr>
            <w:noProof/>
            <w:webHidden/>
          </w:rPr>
          <w:instrText xml:space="preserve"> PAGEREF _Toc107430070 \h </w:instrText>
        </w:r>
        <w:r w:rsidR="00B41980">
          <w:rPr>
            <w:noProof/>
            <w:webHidden/>
          </w:rPr>
        </w:r>
        <w:r w:rsidR="00B41980">
          <w:rPr>
            <w:noProof/>
            <w:webHidden/>
          </w:rPr>
          <w:fldChar w:fldCharType="separate"/>
        </w:r>
        <w:r w:rsidR="00BC2C3A">
          <w:rPr>
            <w:noProof/>
            <w:webHidden/>
          </w:rPr>
          <w:t>25</w:t>
        </w:r>
        <w:r w:rsidR="00B41980">
          <w:rPr>
            <w:noProof/>
            <w:webHidden/>
          </w:rPr>
          <w:fldChar w:fldCharType="end"/>
        </w:r>
      </w:hyperlink>
    </w:p>
    <w:p w14:paraId="55ADA7B2" w14:textId="0A2F0673"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71" w:history="1">
        <w:r w:rsidR="00B41980" w:rsidRPr="004751A8">
          <w:rPr>
            <w:rStyle w:val="Hyperlink"/>
            <w:noProof/>
          </w:rPr>
          <w:t>3.1.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Legal basis</w:t>
        </w:r>
        <w:r w:rsidR="00B41980">
          <w:rPr>
            <w:noProof/>
            <w:webHidden/>
          </w:rPr>
          <w:tab/>
        </w:r>
        <w:r w:rsidR="00B41980">
          <w:rPr>
            <w:noProof/>
            <w:webHidden/>
          </w:rPr>
          <w:fldChar w:fldCharType="begin"/>
        </w:r>
        <w:r w:rsidR="00B41980">
          <w:rPr>
            <w:noProof/>
            <w:webHidden/>
          </w:rPr>
          <w:instrText xml:space="preserve"> PAGEREF _Toc107430071 \h </w:instrText>
        </w:r>
        <w:r w:rsidR="00B41980">
          <w:rPr>
            <w:noProof/>
            <w:webHidden/>
          </w:rPr>
        </w:r>
        <w:r w:rsidR="00B41980">
          <w:rPr>
            <w:noProof/>
            <w:webHidden/>
          </w:rPr>
          <w:fldChar w:fldCharType="separate"/>
        </w:r>
        <w:r w:rsidR="00BC2C3A">
          <w:rPr>
            <w:noProof/>
            <w:webHidden/>
          </w:rPr>
          <w:t>25</w:t>
        </w:r>
        <w:r w:rsidR="00B41980">
          <w:rPr>
            <w:noProof/>
            <w:webHidden/>
          </w:rPr>
          <w:fldChar w:fldCharType="end"/>
        </w:r>
      </w:hyperlink>
    </w:p>
    <w:p w14:paraId="02074058" w14:textId="149C7161"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72" w:history="1">
        <w:r w:rsidR="00B41980" w:rsidRPr="004751A8">
          <w:rPr>
            <w:rStyle w:val="Hyperlink"/>
            <w:noProof/>
          </w:rPr>
          <w:t>3.2.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Subsidiarity: Necessity of EU action</w:t>
        </w:r>
        <w:r w:rsidR="00B41980">
          <w:rPr>
            <w:noProof/>
            <w:webHidden/>
          </w:rPr>
          <w:tab/>
        </w:r>
        <w:r w:rsidR="00B41980">
          <w:rPr>
            <w:noProof/>
            <w:webHidden/>
          </w:rPr>
          <w:fldChar w:fldCharType="begin"/>
        </w:r>
        <w:r w:rsidR="00B41980">
          <w:rPr>
            <w:noProof/>
            <w:webHidden/>
          </w:rPr>
          <w:instrText xml:space="preserve"> PAGEREF _Toc107430072 \h </w:instrText>
        </w:r>
        <w:r w:rsidR="00B41980">
          <w:rPr>
            <w:noProof/>
            <w:webHidden/>
          </w:rPr>
        </w:r>
        <w:r w:rsidR="00B41980">
          <w:rPr>
            <w:noProof/>
            <w:webHidden/>
          </w:rPr>
          <w:fldChar w:fldCharType="separate"/>
        </w:r>
        <w:r w:rsidR="00BC2C3A">
          <w:rPr>
            <w:noProof/>
            <w:webHidden/>
          </w:rPr>
          <w:t>25</w:t>
        </w:r>
        <w:r w:rsidR="00B41980">
          <w:rPr>
            <w:noProof/>
            <w:webHidden/>
          </w:rPr>
          <w:fldChar w:fldCharType="end"/>
        </w:r>
      </w:hyperlink>
    </w:p>
    <w:p w14:paraId="6B3C19ED" w14:textId="7B39CE88"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73" w:history="1">
        <w:r w:rsidR="00B41980" w:rsidRPr="004751A8">
          <w:rPr>
            <w:rStyle w:val="Hyperlink"/>
            <w:noProof/>
          </w:rPr>
          <w:t>3.3.</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Subsidiarity: Added value of EU action</w:t>
        </w:r>
        <w:r w:rsidR="00B41980">
          <w:rPr>
            <w:noProof/>
            <w:webHidden/>
          </w:rPr>
          <w:tab/>
        </w:r>
        <w:r w:rsidR="00B41980">
          <w:rPr>
            <w:noProof/>
            <w:webHidden/>
          </w:rPr>
          <w:fldChar w:fldCharType="begin"/>
        </w:r>
        <w:r w:rsidR="00B41980">
          <w:rPr>
            <w:noProof/>
            <w:webHidden/>
          </w:rPr>
          <w:instrText xml:space="preserve"> PAGEREF _Toc107430073 \h </w:instrText>
        </w:r>
        <w:r w:rsidR="00B41980">
          <w:rPr>
            <w:noProof/>
            <w:webHidden/>
          </w:rPr>
        </w:r>
        <w:r w:rsidR="00B41980">
          <w:rPr>
            <w:noProof/>
            <w:webHidden/>
          </w:rPr>
          <w:fldChar w:fldCharType="separate"/>
        </w:r>
        <w:r w:rsidR="00BC2C3A">
          <w:rPr>
            <w:noProof/>
            <w:webHidden/>
          </w:rPr>
          <w:t>26</w:t>
        </w:r>
        <w:r w:rsidR="00B41980">
          <w:rPr>
            <w:noProof/>
            <w:webHidden/>
          </w:rPr>
          <w:fldChar w:fldCharType="end"/>
        </w:r>
      </w:hyperlink>
    </w:p>
    <w:p w14:paraId="7BBB8E82" w14:textId="06ED1269" w:rsidR="00B41980" w:rsidRDefault="00A8526C">
      <w:pPr>
        <w:pStyle w:val="TOC1"/>
        <w:rPr>
          <w:rFonts w:asciiTheme="minorHAnsi" w:eastAsiaTheme="minorEastAsia" w:hAnsiTheme="minorHAnsi" w:cstheme="minorBidi"/>
          <w:caps w:val="0"/>
          <w:noProof/>
          <w:sz w:val="22"/>
          <w:szCs w:val="22"/>
          <w:lang w:val="en-IE" w:eastAsia="en-IE"/>
        </w:rPr>
      </w:pPr>
      <w:hyperlink w:anchor="_Toc107430074" w:history="1">
        <w:r w:rsidR="00B41980" w:rsidRPr="004751A8">
          <w:rPr>
            <w:rStyle w:val="Hyperlink"/>
            <w:noProof/>
          </w:rPr>
          <w:t>4.</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Objectives: What is to be achieved?</w:t>
        </w:r>
        <w:r w:rsidR="00B41980">
          <w:rPr>
            <w:noProof/>
            <w:webHidden/>
          </w:rPr>
          <w:tab/>
        </w:r>
        <w:r w:rsidR="00B41980">
          <w:rPr>
            <w:noProof/>
            <w:webHidden/>
          </w:rPr>
          <w:fldChar w:fldCharType="begin"/>
        </w:r>
        <w:r w:rsidR="00B41980">
          <w:rPr>
            <w:noProof/>
            <w:webHidden/>
          </w:rPr>
          <w:instrText xml:space="preserve"> PAGEREF _Toc107430074 \h </w:instrText>
        </w:r>
        <w:r w:rsidR="00B41980">
          <w:rPr>
            <w:noProof/>
            <w:webHidden/>
          </w:rPr>
        </w:r>
        <w:r w:rsidR="00B41980">
          <w:rPr>
            <w:noProof/>
            <w:webHidden/>
          </w:rPr>
          <w:fldChar w:fldCharType="separate"/>
        </w:r>
        <w:r w:rsidR="00BC2C3A">
          <w:rPr>
            <w:noProof/>
            <w:webHidden/>
          </w:rPr>
          <w:t>26</w:t>
        </w:r>
        <w:r w:rsidR="00B41980">
          <w:rPr>
            <w:noProof/>
            <w:webHidden/>
          </w:rPr>
          <w:fldChar w:fldCharType="end"/>
        </w:r>
      </w:hyperlink>
    </w:p>
    <w:p w14:paraId="65571A45" w14:textId="10C4E16C"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75" w:history="1">
        <w:r w:rsidR="00B41980" w:rsidRPr="004751A8">
          <w:rPr>
            <w:rStyle w:val="Hyperlink"/>
            <w:noProof/>
          </w:rPr>
          <w:t>4.1.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General objectives</w:t>
        </w:r>
        <w:r w:rsidR="00B41980">
          <w:rPr>
            <w:noProof/>
            <w:webHidden/>
          </w:rPr>
          <w:tab/>
        </w:r>
        <w:r w:rsidR="00B41980">
          <w:rPr>
            <w:noProof/>
            <w:webHidden/>
          </w:rPr>
          <w:fldChar w:fldCharType="begin"/>
        </w:r>
        <w:r w:rsidR="00B41980">
          <w:rPr>
            <w:noProof/>
            <w:webHidden/>
          </w:rPr>
          <w:instrText xml:space="preserve"> PAGEREF _Toc107430075 \h </w:instrText>
        </w:r>
        <w:r w:rsidR="00B41980">
          <w:rPr>
            <w:noProof/>
            <w:webHidden/>
          </w:rPr>
        </w:r>
        <w:r w:rsidR="00B41980">
          <w:rPr>
            <w:noProof/>
            <w:webHidden/>
          </w:rPr>
          <w:fldChar w:fldCharType="separate"/>
        </w:r>
        <w:r w:rsidR="00BC2C3A">
          <w:rPr>
            <w:noProof/>
            <w:webHidden/>
          </w:rPr>
          <w:t>26</w:t>
        </w:r>
        <w:r w:rsidR="00B41980">
          <w:rPr>
            <w:noProof/>
            <w:webHidden/>
          </w:rPr>
          <w:fldChar w:fldCharType="end"/>
        </w:r>
      </w:hyperlink>
    </w:p>
    <w:p w14:paraId="5997AB72" w14:textId="20AD68C2"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76" w:history="1">
        <w:r w:rsidR="00B41980" w:rsidRPr="004751A8">
          <w:rPr>
            <w:rStyle w:val="Hyperlink"/>
            <w:noProof/>
          </w:rPr>
          <w:t>4.2.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Specific objectives</w:t>
        </w:r>
        <w:r w:rsidR="00B41980">
          <w:rPr>
            <w:noProof/>
            <w:webHidden/>
          </w:rPr>
          <w:tab/>
        </w:r>
        <w:r w:rsidR="00B41980">
          <w:rPr>
            <w:noProof/>
            <w:webHidden/>
          </w:rPr>
          <w:fldChar w:fldCharType="begin"/>
        </w:r>
        <w:r w:rsidR="00B41980">
          <w:rPr>
            <w:noProof/>
            <w:webHidden/>
          </w:rPr>
          <w:instrText xml:space="preserve"> PAGEREF _Toc107430076 \h </w:instrText>
        </w:r>
        <w:r w:rsidR="00B41980">
          <w:rPr>
            <w:noProof/>
            <w:webHidden/>
          </w:rPr>
        </w:r>
        <w:r w:rsidR="00B41980">
          <w:rPr>
            <w:noProof/>
            <w:webHidden/>
          </w:rPr>
          <w:fldChar w:fldCharType="separate"/>
        </w:r>
        <w:r w:rsidR="00BC2C3A">
          <w:rPr>
            <w:noProof/>
            <w:webHidden/>
          </w:rPr>
          <w:t>26</w:t>
        </w:r>
        <w:r w:rsidR="00B41980">
          <w:rPr>
            <w:noProof/>
            <w:webHidden/>
          </w:rPr>
          <w:fldChar w:fldCharType="end"/>
        </w:r>
      </w:hyperlink>
    </w:p>
    <w:p w14:paraId="2A992136" w14:textId="75F473FF" w:rsidR="00B41980" w:rsidRDefault="00A8526C">
      <w:pPr>
        <w:pStyle w:val="TOC3"/>
        <w:tabs>
          <w:tab w:val="right" w:leader="dot" w:pos="8608"/>
        </w:tabs>
        <w:rPr>
          <w:rFonts w:asciiTheme="minorHAnsi" w:eastAsiaTheme="minorEastAsia" w:hAnsiTheme="minorHAnsi"/>
          <w:noProof/>
          <w:lang w:val="en-IE" w:eastAsia="en-IE"/>
        </w:rPr>
      </w:pPr>
      <w:hyperlink w:anchor="_Toc107430077" w:history="1">
        <w:r w:rsidR="00B41980" w:rsidRPr="004751A8">
          <w:rPr>
            <w:rStyle w:val="Hyperlink"/>
            <w:noProof/>
          </w:rPr>
          <w:t>In order to adapt</w:t>
        </w:r>
        <w:r w:rsidR="00B41980" w:rsidRPr="004751A8">
          <w:rPr>
            <w:rStyle w:val="Hyperlink"/>
            <w:noProof/>
            <w:lang w:val="en-IE"/>
          </w:rPr>
          <w:t xml:space="preserve"> product liability rules to the digital age and circular economy:</w:t>
        </w:r>
        <w:r w:rsidR="00B41980">
          <w:rPr>
            <w:noProof/>
            <w:webHidden/>
          </w:rPr>
          <w:tab/>
        </w:r>
        <w:r w:rsidR="00B41980">
          <w:rPr>
            <w:noProof/>
            <w:webHidden/>
          </w:rPr>
          <w:fldChar w:fldCharType="begin"/>
        </w:r>
        <w:r w:rsidR="00B41980">
          <w:rPr>
            <w:noProof/>
            <w:webHidden/>
          </w:rPr>
          <w:instrText xml:space="preserve"> PAGEREF _Toc107430077 \h </w:instrText>
        </w:r>
        <w:r w:rsidR="00B41980">
          <w:rPr>
            <w:noProof/>
            <w:webHidden/>
          </w:rPr>
        </w:r>
        <w:r w:rsidR="00B41980">
          <w:rPr>
            <w:noProof/>
            <w:webHidden/>
          </w:rPr>
          <w:fldChar w:fldCharType="separate"/>
        </w:r>
        <w:r w:rsidR="00BC2C3A">
          <w:rPr>
            <w:noProof/>
            <w:webHidden/>
          </w:rPr>
          <w:t>26</w:t>
        </w:r>
        <w:r w:rsidR="00B41980">
          <w:rPr>
            <w:noProof/>
            <w:webHidden/>
          </w:rPr>
          <w:fldChar w:fldCharType="end"/>
        </w:r>
      </w:hyperlink>
    </w:p>
    <w:p w14:paraId="4F9BE491" w14:textId="75C9DF14" w:rsidR="00B41980" w:rsidRDefault="00A8526C">
      <w:pPr>
        <w:pStyle w:val="TOC3"/>
        <w:tabs>
          <w:tab w:val="right" w:leader="dot" w:pos="8608"/>
        </w:tabs>
        <w:rPr>
          <w:rFonts w:asciiTheme="minorHAnsi" w:eastAsiaTheme="minorEastAsia" w:hAnsiTheme="minorHAnsi"/>
          <w:noProof/>
          <w:lang w:val="en-IE" w:eastAsia="en-IE"/>
        </w:rPr>
      </w:pPr>
      <w:hyperlink w:anchor="_Toc107430078" w:history="1">
        <w:r w:rsidR="00B41980" w:rsidRPr="004751A8">
          <w:rPr>
            <w:rStyle w:val="Hyperlink"/>
            <w:noProof/>
            <w:lang w:val="en-IE"/>
          </w:rPr>
          <w:t>In order to reduce disproportionate obstacles to getting compensation:</w:t>
        </w:r>
        <w:r w:rsidR="00B41980">
          <w:rPr>
            <w:noProof/>
            <w:webHidden/>
          </w:rPr>
          <w:tab/>
        </w:r>
        <w:r w:rsidR="00B41980">
          <w:rPr>
            <w:noProof/>
            <w:webHidden/>
          </w:rPr>
          <w:fldChar w:fldCharType="begin"/>
        </w:r>
        <w:r w:rsidR="00B41980">
          <w:rPr>
            <w:noProof/>
            <w:webHidden/>
          </w:rPr>
          <w:instrText xml:space="preserve"> PAGEREF _Toc107430078 \h </w:instrText>
        </w:r>
        <w:r w:rsidR="00B41980">
          <w:rPr>
            <w:noProof/>
            <w:webHidden/>
          </w:rPr>
        </w:r>
        <w:r w:rsidR="00B41980">
          <w:rPr>
            <w:noProof/>
            <w:webHidden/>
          </w:rPr>
          <w:fldChar w:fldCharType="separate"/>
        </w:r>
        <w:r w:rsidR="00BC2C3A">
          <w:rPr>
            <w:noProof/>
            <w:webHidden/>
          </w:rPr>
          <w:t>27</w:t>
        </w:r>
        <w:r w:rsidR="00B41980">
          <w:rPr>
            <w:noProof/>
            <w:webHidden/>
          </w:rPr>
          <w:fldChar w:fldCharType="end"/>
        </w:r>
      </w:hyperlink>
    </w:p>
    <w:p w14:paraId="2A9C6140" w14:textId="35646D58" w:rsidR="00B41980" w:rsidRDefault="00A8526C">
      <w:pPr>
        <w:pStyle w:val="TOC1"/>
        <w:rPr>
          <w:rFonts w:asciiTheme="minorHAnsi" w:eastAsiaTheme="minorEastAsia" w:hAnsiTheme="minorHAnsi" w:cstheme="minorBidi"/>
          <w:caps w:val="0"/>
          <w:noProof/>
          <w:sz w:val="22"/>
          <w:szCs w:val="22"/>
          <w:lang w:val="en-IE" w:eastAsia="en-IE"/>
        </w:rPr>
      </w:pPr>
      <w:hyperlink w:anchor="_Toc107430079" w:history="1">
        <w:r w:rsidR="00B41980" w:rsidRPr="004751A8">
          <w:rPr>
            <w:rStyle w:val="Hyperlink"/>
            <w:noProof/>
          </w:rPr>
          <w:t>5.</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What are the available policy options?</w:t>
        </w:r>
        <w:r w:rsidR="00B41980">
          <w:rPr>
            <w:noProof/>
            <w:webHidden/>
          </w:rPr>
          <w:tab/>
        </w:r>
        <w:r w:rsidR="00B41980">
          <w:rPr>
            <w:noProof/>
            <w:webHidden/>
          </w:rPr>
          <w:fldChar w:fldCharType="begin"/>
        </w:r>
        <w:r w:rsidR="00B41980">
          <w:rPr>
            <w:noProof/>
            <w:webHidden/>
          </w:rPr>
          <w:instrText xml:space="preserve"> PAGEREF _Toc107430079 \h </w:instrText>
        </w:r>
        <w:r w:rsidR="00B41980">
          <w:rPr>
            <w:noProof/>
            <w:webHidden/>
          </w:rPr>
        </w:r>
        <w:r w:rsidR="00B41980">
          <w:rPr>
            <w:noProof/>
            <w:webHidden/>
          </w:rPr>
          <w:fldChar w:fldCharType="separate"/>
        </w:r>
        <w:r w:rsidR="00BC2C3A">
          <w:rPr>
            <w:noProof/>
            <w:webHidden/>
          </w:rPr>
          <w:t>29</w:t>
        </w:r>
        <w:r w:rsidR="00B41980">
          <w:rPr>
            <w:noProof/>
            <w:webHidden/>
          </w:rPr>
          <w:fldChar w:fldCharType="end"/>
        </w:r>
      </w:hyperlink>
    </w:p>
    <w:p w14:paraId="4C4B8E2B" w14:textId="34804E6A"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0" w:history="1">
        <w:r w:rsidR="00B41980" w:rsidRPr="004751A8">
          <w:rPr>
            <w:rStyle w:val="Hyperlink"/>
            <w:noProof/>
          </w:rPr>
          <w:t>5.1.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What is the baseline from which options are assessed?</w:t>
        </w:r>
        <w:r w:rsidR="00B41980">
          <w:rPr>
            <w:noProof/>
            <w:webHidden/>
          </w:rPr>
          <w:tab/>
        </w:r>
        <w:r w:rsidR="00B41980">
          <w:rPr>
            <w:noProof/>
            <w:webHidden/>
          </w:rPr>
          <w:fldChar w:fldCharType="begin"/>
        </w:r>
        <w:r w:rsidR="00B41980">
          <w:rPr>
            <w:noProof/>
            <w:webHidden/>
          </w:rPr>
          <w:instrText xml:space="preserve"> PAGEREF _Toc107430080 \h </w:instrText>
        </w:r>
        <w:r w:rsidR="00B41980">
          <w:rPr>
            <w:noProof/>
            <w:webHidden/>
          </w:rPr>
        </w:r>
        <w:r w:rsidR="00B41980">
          <w:rPr>
            <w:noProof/>
            <w:webHidden/>
          </w:rPr>
          <w:fldChar w:fldCharType="separate"/>
        </w:r>
        <w:r w:rsidR="00BC2C3A">
          <w:rPr>
            <w:noProof/>
            <w:webHidden/>
          </w:rPr>
          <w:t>29</w:t>
        </w:r>
        <w:r w:rsidR="00B41980">
          <w:rPr>
            <w:noProof/>
            <w:webHidden/>
          </w:rPr>
          <w:fldChar w:fldCharType="end"/>
        </w:r>
      </w:hyperlink>
    </w:p>
    <w:p w14:paraId="0999F120" w14:textId="5C78157F"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1" w:history="1">
        <w:r w:rsidR="00B41980" w:rsidRPr="004751A8">
          <w:rPr>
            <w:rStyle w:val="Hyperlink"/>
            <w:noProof/>
          </w:rPr>
          <w:t>5.2.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Description of the policy options</w:t>
        </w:r>
        <w:r w:rsidR="00B41980">
          <w:rPr>
            <w:noProof/>
            <w:webHidden/>
          </w:rPr>
          <w:tab/>
        </w:r>
        <w:r w:rsidR="00B41980">
          <w:rPr>
            <w:noProof/>
            <w:webHidden/>
          </w:rPr>
          <w:fldChar w:fldCharType="begin"/>
        </w:r>
        <w:r w:rsidR="00B41980">
          <w:rPr>
            <w:noProof/>
            <w:webHidden/>
          </w:rPr>
          <w:instrText xml:space="preserve"> PAGEREF _Toc107430081 \h </w:instrText>
        </w:r>
        <w:r w:rsidR="00B41980">
          <w:rPr>
            <w:noProof/>
            <w:webHidden/>
          </w:rPr>
        </w:r>
        <w:r w:rsidR="00B41980">
          <w:rPr>
            <w:noProof/>
            <w:webHidden/>
          </w:rPr>
          <w:fldChar w:fldCharType="separate"/>
        </w:r>
        <w:r w:rsidR="00BC2C3A">
          <w:rPr>
            <w:noProof/>
            <w:webHidden/>
          </w:rPr>
          <w:t>30</w:t>
        </w:r>
        <w:r w:rsidR="00B41980">
          <w:rPr>
            <w:noProof/>
            <w:webHidden/>
          </w:rPr>
          <w:fldChar w:fldCharType="end"/>
        </w:r>
      </w:hyperlink>
    </w:p>
    <w:p w14:paraId="71C40282" w14:textId="1D52A9DE"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82" w:history="1">
        <w:r w:rsidR="00B41980" w:rsidRPr="004751A8">
          <w:rPr>
            <w:rStyle w:val="Hyperlink"/>
            <w:noProof/>
          </w:rPr>
          <w:t>5.2.1.</w:t>
        </w:r>
        <w:r w:rsidR="00B41980">
          <w:rPr>
            <w:rFonts w:asciiTheme="minorHAnsi" w:eastAsiaTheme="minorEastAsia" w:hAnsiTheme="minorHAnsi"/>
            <w:noProof/>
            <w:lang w:val="en-IE" w:eastAsia="en-IE"/>
          </w:rPr>
          <w:tab/>
        </w:r>
        <w:r w:rsidR="00B41980" w:rsidRPr="004751A8">
          <w:rPr>
            <w:rStyle w:val="Hyperlink"/>
            <w:noProof/>
          </w:rPr>
          <w:t>Policy options to adapt liability rules to the digital age and circular economy</w:t>
        </w:r>
        <w:r w:rsidR="00B41980">
          <w:rPr>
            <w:noProof/>
            <w:webHidden/>
          </w:rPr>
          <w:tab/>
        </w:r>
        <w:r w:rsidR="00B41980">
          <w:rPr>
            <w:noProof/>
            <w:webHidden/>
          </w:rPr>
          <w:fldChar w:fldCharType="begin"/>
        </w:r>
        <w:r w:rsidR="00B41980">
          <w:rPr>
            <w:noProof/>
            <w:webHidden/>
          </w:rPr>
          <w:instrText xml:space="preserve"> PAGEREF _Toc107430082 \h </w:instrText>
        </w:r>
        <w:r w:rsidR="00B41980">
          <w:rPr>
            <w:noProof/>
            <w:webHidden/>
          </w:rPr>
        </w:r>
        <w:r w:rsidR="00B41980">
          <w:rPr>
            <w:noProof/>
            <w:webHidden/>
          </w:rPr>
          <w:fldChar w:fldCharType="separate"/>
        </w:r>
        <w:r w:rsidR="00BC2C3A">
          <w:rPr>
            <w:noProof/>
            <w:webHidden/>
          </w:rPr>
          <w:t>31</w:t>
        </w:r>
        <w:r w:rsidR="00B41980">
          <w:rPr>
            <w:noProof/>
            <w:webHidden/>
          </w:rPr>
          <w:fldChar w:fldCharType="end"/>
        </w:r>
      </w:hyperlink>
    </w:p>
    <w:p w14:paraId="07A123AD" w14:textId="71E43EEC"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083" w:history="1">
        <w:r w:rsidR="00B41980" w:rsidRPr="004751A8">
          <w:rPr>
            <w:rStyle w:val="Hyperlink"/>
            <w:noProof/>
          </w:rPr>
          <w:t>5.2.2.</w:t>
        </w:r>
        <w:r w:rsidR="00B41980">
          <w:rPr>
            <w:rFonts w:asciiTheme="minorHAnsi" w:eastAsiaTheme="minorEastAsia" w:hAnsiTheme="minorHAnsi"/>
            <w:noProof/>
            <w:lang w:val="en-IE" w:eastAsia="en-IE"/>
          </w:rPr>
          <w:tab/>
        </w:r>
        <w:r w:rsidR="00B41980" w:rsidRPr="004751A8">
          <w:rPr>
            <w:rStyle w:val="Hyperlink"/>
            <w:noProof/>
          </w:rPr>
          <w:t>Policy options to reduce disproportionate obstacles to getting compensation</w:t>
        </w:r>
        <w:r w:rsidR="00B41980">
          <w:rPr>
            <w:noProof/>
            <w:webHidden/>
          </w:rPr>
          <w:tab/>
        </w:r>
        <w:r w:rsidR="00B41980">
          <w:rPr>
            <w:noProof/>
            <w:webHidden/>
          </w:rPr>
          <w:fldChar w:fldCharType="begin"/>
        </w:r>
        <w:r w:rsidR="00B41980">
          <w:rPr>
            <w:noProof/>
            <w:webHidden/>
          </w:rPr>
          <w:instrText xml:space="preserve"> PAGEREF _Toc107430083 \h </w:instrText>
        </w:r>
        <w:r w:rsidR="00B41980">
          <w:rPr>
            <w:noProof/>
            <w:webHidden/>
          </w:rPr>
        </w:r>
        <w:r w:rsidR="00B41980">
          <w:rPr>
            <w:noProof/>
            <w:webHidden/>
          </w:rPr>
          <w:fldChar w:fldCharType="separate"/>
        </w:r>
        <w:r w:rsidR="00BC2C3A">
          <w:rPr>
            <w:noProof/>
            <w:webHidden/>
          </w:rPr>
          <w:t>33</w:t>
        </w:r>
        <w:r w:rsidR="00B41980">
          <w:rPr>
            <w:noProof/>
            <w:webHidden/>
          </w:rPr>
          <w:fldChar w:fldCharType="end"/>
        </w:r>
      </w:hyperlink>
    </w:p>
    <w:p w14:paraId="4BE24D6F" w14:textId="58C4E8EE"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4" w:history="1">
        <w:r w:rsidR="00B41980" w:rsidRPr="004751A8">
          <w:rPr>
            <w:rStyle w:val="Hyperlink"/>
            <w:noProof/>
          </w:rPr>
          <w:t>5.3.</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Options discarded at an early stage</w:t>
        </w:r>
        <w:r w:rsidR="00B41980">
          <w:rPr>
            <w:noProof/>
            <w:webHidden/>
          </w:rPr>
          <w:tab/>
        </w:r>
        <w:r w:rsidR="00B41980">
          <w:rPr>
            <w:noProof/>
            <w:webHidden/>
          </w:rPr>
          <w:fldChar w:fldCharType="begin"/>
        </w:r>
        <w:r w:rsidR="00B41980">
          <w:rPr>
            <w:noProof/>
            <w:webHidden/>
          </w:rPr>
          <w:instrText xml:space="preserve"> PAGEREF _Toc107430084 \h </w:instrText>
        </w:r>
        <w:r w:rsidR="00B41980">
          <w:rPr>
            <w:noProof/>
            <w:webHidden/>
          </w:rPr>
        </w:r>
        <w:r w:rsidR="00B41980">
          <w:rPr>
            <w:noProof/>
            <w:webHidden/>
          </w:rPr>
          <w:fldChar w:fldCharType="separate"/>
        </w:r>
        <w:r w:rsidR="00BC2C3A">
          <w:rPr>
            <w:noProof/>
            <w:webHidden/>
          </w:rPr>
          <w:t>34</w:t>
        </w:r>
        <w:r w:rsidR="00B41980">
          <w:rPr>
            <w:noProof/>
            <w:webHidden/>
          </w:rPr>
          <w:fldChar w:fldCharType="end"/>
        </w:r>
      </w:hyperlink>
    </w:p>
    <w:p w14:paraId="43C16DE5" w14:textId="5D966514" w:rsidR="00B41980" w:rsidRDefault="00A8526C">
      <w:pPr>
        <w:pStyle w:val="TOC1"/>
        <w:rPr>
          <w:rFonts w:asciiTheme="minorHAnsi" w:eastAsiaTheme="minorEastAsia" w:hAnsiTheme="minorHAnsi" w:cstheme="minorBidi"/>
          <w:caps w:val="0"/>
          <w:noProof/>
          <w:sz w:val="22"/>
          <w:szCs w:val="22"/>
          <w:lang w:val="en-IE" w:eastAsia="en-IE"/>
        </w:rPr>
      </w:pPr>
      <w:hyperlink w:anchor="_Toc107430085" w:history="1">
        <w:r w:rsidR="00B41980" w:rsidRPr="004751A8">
          <w:rPr>
            <w:rStyle w:val="Hyperlink"/>
            <w:noProof/>
          </w:rPr>
          <w:t>6.</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What are the impacts of the policy options?</w:t>
        </w:r>
        <w:r w:rsidR="00B41980">
          <w:rPr>
            <w:noProof/>
            <w:webHidden/>
          </w:rPr>
          <w:tab/>
        </w:r>
        <w:r w:rsidR="00B41980">
          <w:rPr>
            <w:noProof/>
            <w:webHidden/>
          </w:rPr>
          <w:fldChar w:fldCharType="begin"/>
        </w:r>
        <w:r w:rsidR="00B41980">
          <w:rPr>
            <w:noProof/>
            <w:webHidden/>
          </w:rPr>
          <w:instrText xml:space="preserve"> PAGEREF _Toc107430085 \h </w:instrText>
        </w:r>
        <w:r w:rsidR="00B41980">
          <w:rPr>
            <w:noProof/>
            <w:webHidden/>
          </w:rPr>
        </w:r>
        <w:r w:rsidR="00B41980">
          <w:rPr>
            <w:noProof/>
            <w:webHidden/>
          </w:rPr>
          <w:fldChar w:fldCharType="separate"/>
        </w:r>
        <w:r w:rsidR="00BC2C3A">
          <w:rPr>
            <w:noProof/>
            <w:webHidden/>
          </w:rPr>
          <w:t>36</w:t>
        </w:r>
        <w:r w:rsidR="00B41980">
          <w:rPr>
            <w:noProof/>
            <w:webHidden/>
          </w:rPr>
          <w:fldChar w:fldCharType="end"/>
        </w:r>
      </w:hyperlink>
    </w:p>
    <w:p w14:paraId="6EA1CA79" w14:textId="289AE063"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6" w:history="1">
        <w:r w:rsidR="00B41980" w:rsidRPr="004751A8">
          <w:rPr>
            <w:rStyle w:val="Hyperlink"/>
            <w:noProof/>
          </w:rPr>
          <w:t>6.1.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Policy option 1a – Adaptations for products with digital elements and circular economy</w:t>
        </w:r>
        <w:r w:rsidR="00B41980">
          <w:rPr>
            <w:noProof/>
            <w:webHidden/>
          </w:rPr>
          <w:tab/>
        </w:r>
        <w:r w:rsidR="00B41980">
          <w:rPr>
            <w:noProof/>
            <w:webHidden/>
          </w:rPr>
          <w:fldChar w:fldCharType="begin"/>
        </w:r>
        <w:r w:rsidR="00B41980">
          <w:rPr>
            <w:noProof/>
            <w:webHidden/>
          </w:rPr>
          <w:instrText xml:space="preserve"> PAGEREF _Toc107430086 \h </w:instrText>
        </w:r>
        <w:r w:rsidR="00B41980">
          <w:rPr>
            <w:noProof/>
            <w:webHidden/>
          </w:rPr>
        </w:r>
        <w:r w:rsidR="00B41980">
          <w:rPr>
            <w:noProof/>
            <w:webHidden/>
          </w:rPr>
          <w:fldChar w:fldCharType="separate"/>
        </w:r>
        <w:r w:rsidR="00BC2C3A">
          <w:rPr>
            <w:noProof/>
            <w:webHidden/>
          </w:rPr>
          <w:t>37</w:t>
        </w:r>
        <w:r w:rsidR="00B41980">
          <w:rPr>
            <w:noProof/>
            <w:webHidden/>
          </w:rPr>
          <w:fldChar w:fldCharType="end"/>
        </w:r>
      </w:hyperlink>
    </w:p>
    <w:p w14:paraId="4FE16D75" w14:textId="67B2B494"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7" w:history="1">
        <w:r w:rsidR="00B41980" w:rsidRPr="004751A8">
          <w:rPr>
            <w:rStyle w:val="Hyperlink"/>
            <w:noProof/>
          </w:rPr>
          <w:t>6.2.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Policy option 1b – Inclusion of safety-relevant software in its own right and adaptations for circular economy</w:t>
        </w:r>
        <w:r w:rsidR="00B41980">
          <w:rPr>
            <w:noProof/>
            <w:webHidden/>
          </w:rPr>
          <w:tab/>
        </w:r>
        <w:r w:rsidR="00B41980">
          <w:rPr>
            <w:noProof/>
            <w:webHidden/>
          </w:rPr>
          <w:fldChar w:fldCharType="begin"/>
        </w:r>
        <w:r w:rsidR="00B41980">
          <w:rPr>
            <w:noProof/>
            <w:webHidden/>
          </w:rPr>
          <w:instrText xml:space="preserve"> PAGEREF _Toc107430087 \h </w:instrText>
        </w:r>
        <w:r w:rsidR="00B41980">
          <w:rPr>
            <w:noProof/>
            <w:webHidden/>
          </w:rPr>
        </w:r>
        <w:r w:rsidR="00B41980">
          <w:rPr>
            <w:noProof/>
            <w:webHidden/>
          </w:rPr>
          <w:fldChar w:fldCharType="separate"/>
        </w:r>
        <w:r w:rsidR="00BC2C3A">
          <w:rPr>
            <w:noProof/>
            <w:webHidden/>
          </w:rPr>
          <w:t>41</w:t>
        </w:r>
        <w:r w:rsidR="00B41980">
          <w:rPr>
            <w:noProof/>
            <w:webHidden/>
          </w:rPr>
          <w:fldChar w:fldCharType="end"/>
        </w:r>
      </w:hyperlink>
    </w:p>
    <w:p w14:paraId="1630F1C1" w14:textId="51121FDC"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8" w:history="1">
        <w:r w:rsidR="00B41980" w:rsidRPr="004751A8">
          <w:rPr>
            <w:rStyle w:val="Hyperlink"/>
            <w:noProof/>
          </w:rPr>
          <w:t>6.3.</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Policy option 1c – Inclusion of software in its own right, new types of damage and adaptations for circular economy</w:t>
        </w:r>
        <w:r w:rsidR="00B41980">
          <w:rPr>
            <w:noProof/>
            <w:webHidden/>
          </w:rPr>
          <w:tab/>
        </w:r>
        <w:r w:rsidR="00B41980">
          <w:rPr>
            <w:noProof/>
            <w:webHidden/>
          </w:rPr>
          <w:fldChar w:fldCharType="begin"/>
        </w:r>
        <w:r w:rsidR="00B41980">
          <w:rPr>
            <w:noProof/>
            <w:webHidden/>
          </w:rPr>
          <w:instrText xml:space="preserve"> PAGEREF _Toc107430088 \h </w:instrText>
        </w:r>
        <w:r w:rsidR="00B41980">
          <w:rPr>
            <w:noProof/>
            <w:webHidden/>
          </w:rPr>
        </w:r>
        <w:r w:rsidR="00B41980">
          <w:rPr>
            <w:noProof/>
            <w:webHidden/>
          </w:rPr>
          <w:fldChar w:fldCharType="separate"/>
        </w:r>
        <w:r w:rsidR="00BC2C3A">
          <w:rPr>
            <w:noProof/>
            <w:webHidden/>
          </w:rPr>
          <w:t>44</w:t>
        </w:r>
        <w:r w:rsidR="00B41980">
          <w:rPr>
            <w:noProof/>
            <w:webHidden/>
          </w:rPr>
          <w:fldChar w:fldCharType="end"/>
        </w:r>
      </w:hyperlink>
    </w:p>
    <w:p w14:paraId="6EB74131" w14:textId="6F825F10"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89" w:history="1">
        <w:r w:rsidR="00B41980" w:rsidRPr="004751A8">
          <w:rPr>
            <w:rStyle w:val="Hyperlink"/>
            <w:noProof/>
          </w:rPr>
          <w:t>6.4.</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Policy option 2.a – Easing the burden of proof and reducing disproportionate restrictions to make claims</w:t>
        </w:r>
        <w:r w:rsidR="00B41980">
          <w:rPr>
            <w:noProof/>
            <w:webHidden/>
          </w:rPr>
          <w:tab/>
        </w:r>
        <w:r w:rsidR="00B41980">
          <w:rPr>
            <w:noProof/>
            <w:webHidden/>
          </w:rPr>
          <w:fldChar w:fldCharType="begin"/>
        </w:r>
        <w:r w:rsidR="00B41980">
          <w:rPr>
            <w:noProof/>
            <w:webHidden/>
          </w:rPr>
          <w:instrText xml:space="preserve"> PAGEREF _Toc107430089 \h </w:instrText>
        </w:r>
        <w:r w:rsidR="00B41980">
          <w:rPr>
            <w:noProof/>
            <w:webHidden/>
          </w:rPr>
        </w:r>
        <w:r w:rsidR="00B41980">
          <w:rPr>
            <w:noProof/>
            <w:webHidden/>
          </w:rPr>
          <w:fldChar w:fldCharType="separate"/>
        </w:r>
        <w:r w:rsidR="00BC2C3A">
          <w:rPr>
            <w:noProof/>
            <w:webHidden/>
          </w:rPr>
          <w:t>47</w:t>
        </w:r>
        <w:r w:rsidR="00B41980">
          <w:rPr>
            <w:noProof/>
            <w:webHidden/>
          </w:rPr>
          <w:fldChar w:fldCharType="end"/>
        </w:r>
      </w:hyperlink>
    </w:p>
    <w:p w14:paraId="074CEAF7" w14:textId="65C7E187"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90" w:history="1">
        <w:r w:rsidR="00B41980" w:rsidRPr="004751A8">
          <w:rPr>
            <w:rStyle w:val="Hyperlink"/>
            <w:noProof/>
          </w:rPr>
          <w:t>6.5.</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Policy option 2b – Reversing the burden of proof</w:t>
        </w:r>
        <w:r w:rsidR="00B41980">
          <w:rPr>
            <w:noProof/>
            <w:webHidden/>
          </w:rPr>
          <w:tab/>
        </w:r>
        <w:r w:rsidR="00B41980">
          <w:rPr>
            <w:noProof/>
            <w:webHidden/>
          </w:rPr>
          <w:fldChar w:fldCharType="begin"/>
        </w:r>
        <w:r w:rsidR="00B41980">
          <w:rPr>
            <w:noProof/>
            <w:webHidden/>
          </w:rPr>
          <w:instrText xml:space="preserve"> PAGEREF _Toc107430090 \h </w:instrText>
        </w:r>
        <w:r w:rsidR="00B41980">
          <w:rPr>
            <w:noProof/>
            <w:webHidden/>
          </w:rPr>
        </w:r>
        <w:r w:rsidR="00B41980">
          <w:rPr>
            <w:noProof/>
            <w:webHidden/>
          </w:rPr>
          <w:fldChar w:fldCharType="separate"/>
        </w:r>
        <w:r w:rsidR="00BC2C3A">
          <w:rPr>
            <w:noProof/>
            <w:webHidden/>
          </w:rPr>
          <w:t>50</w:t>
        </w:r>
        <w:r w:rsidR="00B41980">
          <w:rPr>
            <w:noProof/>
            <w:webHidden/>
          </w:rPr>
          <w:fldChar w:fldCharType="end"/>
        </w:r>
      </w:hyperlink>
    </w:p>
    <w:p w14:paraId="2CDECA71" w14:textId="3C793745" w:rsidR="00B41980" w:rsidRDefault="00A8526C">
      <w:pPr>
        <w:pStyle w:val="TOC1"/>
        <w:rPr>
          <w:rFonts w:asciiTheme="minorHAnsi" w:eastAsiaTheme="minorEastAsia" w:hAnsiTheme="minorHAnsi" w:cstheme="minorBidi"/>
          <w:caps w:val="0"/>
          <w:noProof/>
          <w:sz w:val="22"/>
          <w:szCs w:val="22"/>
          <w:lang w:val="en-IE" w:eastAsia="en-IE"/>
        </w:rPr>
      </w:pPr>
      <w:hyperlink w:anchor="_Toc107430091" w:history="1">
        <w:r w:rsidR="00B41980" w:rsidRPr="004751A8">
          <w:rPr>
            <w:rStyle w:val="Hyperlink"/>
            <w:noProof/>
          </w:rPr>
          <w:t>7.</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How do the options compare?</w:t>
        </w:r>
        <w:r w:rsidR="00B41980">
          <w:rPr>
            <w:noProof/>
            <w:webHidden/>
          </w:rPr>
          <w:tab/>
        </w:r>
        <w:r w:rsidR="00B41980">
          <w:rPr>
            <w:noProof/>
            <w:webHidden/>
          </w:rPr>
          <w:fldChar w:fldCharType="begin"/>
        </w:r>
        <w:r w:rsidR="00B41980">
          <w:rPr>
            <w:noProof/>
            <w:webHidden/>
          </w:rPr>
          <w:instrText xml:space="preserve"> PAGEREF _Toc107430091 \h </w:instrText>
        </w:r>
        <w:r w:rsidR="00B41980">
          <w:rPr>
            <w:noProof/>
            <w:webHidden/>
          </w:rPr>
        </w:r>
        <w:r w:rsidR="00B41980">
          <w:rPr>
            <w:noProof/>
            <w:webHidden/>
          </w:rPr>
          <w:fldChar w:fldCharType="separate"/>
        </w:r>
        <w:r w:rsidR="00BC2C3A">
          <w:rPr>
            <w:noProof/>
            <w:webHidden/>
          </w:rPr>
          <w:t>52</w:t>
        </w:r>
        <w:r w:rsidR="00B41980">
          <w:rPr>
            <w:noProof/>
            <w:webHidden/>
          </w:rPr>
          <w:fldChar w:fldCharType="end"/>
        </w:r>
      </w:hyperlink>
    </w:p>
    <w:p w14:paraId="7A091A2D" w14:textId="6491BFD1"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92" w:history="1">
        <w:r w:rsidR="00B41980" w:rsidRPr="004751A8">
          <w:rPr>
            <w:rStyle w:val="Hyperlink"/>
            <w:noProof/>
          </w:rPr>
          <w:t>7.1.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Effectiveness of the proposed policy options</w:t>
        </w:r>
        <w:r w:rsidR="00B41980">
          <w:rPr>
            <w:noProof/>
            <w:webHidden/>
          </w:rPr>
          <w:tab/>
        </w:r>
        <w:r w:rsidR="00B41980">
          <w:rPr>
            <w:noProof/>
            <w:webHidden/>
          </w:rPr>
          <w:fldChar w:fldCharType="begin"/>
        </w:r>
        <w:r w:rsidR="00B41980">
          <w:rPr>
            <w:noProof/>
            <w:webHidden/>
          </w:rPr>
          <w:instrText xml:space="preserve"> PAGEREF _Toc107430092 \h </w:instrText>
        </w:r>
        <w:r w:rsidR="00B41980">
          <w:rPr>
            <w:noProof/>
            <w:webHidden/>
          </w:rPr>
        </w:r>
        <w:r w:rsidR="00B41980">
          <w:rPr>
            <w:noProof/>
            <w:webHidden/>
          </w:rPr>
          <w:fldChar w:fldCharType="separate"/>
        </w:r>
        <w:r w:rsidR="00BC2C3A">
          <w:rPr>
            <w:noProof/>
            <w:webHidden/>
          </w:rPr>
          <w:t>52</w:t>
        </w:r>
        <w:r w:rsidR="00B41980">
          <w:rPr>
            <w:noProof/>
            <w:webHidden/>
          </w:rPr>
          <w:fldChar w:fldCharType="end"/>
        </w:r>
      </w:hyperlink>
    </w:p>
    <w:p w14:paraId="4A3E3B57" w14:textId="1A1B061A"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93" w:history="1">
        <w:r w:rsidR="00B41980" w:rsidRPr="004751A8">
          <w:rPr>
            <w:rStyle w:val="Hyperlink"/>
            <w:noProof/>
          </w:rPr>
          <w:t>7.2.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Impacts of policy options</w:t>
        </w:r>
        <w:r w:rsidR="00B41980">
          <w:rPr>
            <w:noProof/>
            <w:webHidden/>
          </w:rPr>
          <w:tab/>
        </w:r>
        <w:r w:rsidR="00B41980">
          <w:rPr>
            <w:noProof/>
            <w:webHidden/>
          </w:rPr>
          <w:fldChar w:fldCharType="begin"/>
        </w:r>
        <w:r w:rsidR="00B41980">
          <w:rPr>
            <w:noProof/>
            <w:webHidden/>
          </w:rPr>
          <w:instrText xml:space="preserve"> PAGEREF _Toc107430093 \h </w:instrText>
        </w:r>
        <w:r w:rsidR="00B41980">
          <w:rPr>
            <w:noProof/>
            <w:webHidden/>
          </w:rPr>
        </w:r>
        <w:r w:rsidR="00B41980">
          <w:rPr>
            <w:noProof/>
            <w:webHidden/>
          </w:rPr>
          <w:fldChar w:fldCharType="separate"/>
        </w:r>
        <w:r w:rsidR="00BC2C3A">
          <w:rPr>
            <w:noProof/>
            <w:webHidden/>
          </w:rPr>
          <w:t>53</w:t>
        </w:r>
        <w:r w:rsidR="00B41980">
          <w:rPr>
            <w:noProof/>
            <w:webHidden/>
          </w:rPr>
          <w:fldChar w:fldCharType="end"/>
        </w:r>
      </w:hyperlink>
    </w:p>
    <w:p w14:paraId="50775059" w14:textId="556706A5"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94" w:history="1">
        <w:r w:rsidR="00B41980" w:rsidRPr="004751A8">
          <w:rPr>
            <w:rStyle w:val="Hyperlink"/>
            <w:noProof/>
          </w:rPr>
          <w:t>7.3.</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Summary of policy options assessment</w:t>
        </w:r>
        <w:r w:rsidR="00B41980">
          <w:rPr>
            <w:noProof/>
            <w:webHidden/>
          </w:rPr>
          <w:tab/>
        </w:r>
        <w:r w:rsidR="00B41980">
          <w:rPr>
            <w:noProof/>
            <w:webHidden/>
          </w:rPr>
          <w:fldChar w:fldCharType="begin"/>
        </w:r>
        <w:r w:rsidR="00B41980">
          <w:rPr>
            <w:noProof/>
            <w:webHidden/>
          </w:rPr>
          <w:instrText xml:space="preserve"> PAGEREF _Toc107430094 \h </w:instrText>
        </w:r>
        <w:r w:rsidR="00B41980">
          <w:rPr>
            <w:noProof/>
            <w:webHidden/>
          </w:rPr>
        </w:r>
        <w:r w:rsidR="00B41980">
          <w:rPr>
            <w:noProof/>
            <w:webHidden/>
          </w:rPr>
          <w:fldChar w:fldCharType="separate"/>
        </w:r>
        <w:r w:rsidR="00BC2C3A">
          <w:rPr>
            <w:noProof/>
            <w:webHidden/>
          </w:rPr>
          <w:t>55</w:t>
        </w:r>
        <w:r w:rsidR="00B41980">
          <w:rPr>
            <w:noProof/>
            <w:webHidden/>
          </w:rPr>
          <w:fldChar w:fldCharType="end"/>
        </w:r>
      </w:hyperlink>
    </w:p>
    <w:p w14:paraId="0C5234B6" w14:textId="236DA1E6" w:rsidR="00B41980" w:rsidRDefault="00A8526C">
      <w:pPr>
        <w:pStyle w:val="TOC1"/>
        <w:rPr>
          <w:rFonts w:asciiTheme="minorHAnsi" w:eastAsiaTheme="minorEastAsia" w:hAnsiTheme="minorHAnsi" w:cstheme="minorBidi"/>
          <w:caps w:val="0"/>
          <w:noProof/>
          <w:sz w:val="22"/>
          <w:szCs w:val="22"/>
          <w:lang w:val="en-IE" w:eastAsia="en-IE"/>
        </w:rPr>
      </w:pPr>
      <w:hyperlink w:anchor="_Toc107430095" w:history="1">
        <w:r w:rsidR="00B41980" w:rsidRPr="004751A8">
          <w:rPr>
            <w:rStyle w:val="Hyperlink"/>
            <w:noProof/>
          </w:rPr>
          <w:t>8.</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Preferred option</w:t>
        </w:r>
        <w:r w:rsidR="00B41980">
          <w:rPr>
            <w:noProof/>
            <w:webHidden/>
          </w:rPr>
          <w:tab/>
        </w:r>
        <w:r w:rsidR="00B41980">
          <w:rPr>
            <w:noProof/>
            <w:webHidden/>
          </w:rPr>
          <w:fldChar w:fldCharType="begin"/>
        </w:r>
        <w:r w:rsidR="00B41980">
          <w:rPr>
            <w:noProof/>
            <w:webHidden/>
          </w:rPr>
          <w:instrText xml:space="preserve"> PAGEREF _Toc107430095 \h </w:instrText>
        </w:r>
        <w:r w:rsidR="00B41980">
          <w:rPr>
            <w:noProof/>
            <w:webHidden/>
          </w:rPr>
        </w:r>
        <w:r w:rsidR="00B41980">
          <w:rPr>
            <w:noProof/>
            <w:webHidden/>
          </w:rPr>
          <w:fldChar w:fldCharType="separate"/>
        </w:r>
        <w:r w:rsidR="00BC2C3A">
          <w:rPr>
            <w:noProof/>
            <w:webHidden/>
          </w:rPr>
          <w:t>55</w:t>
        </w:r>
        <w:r w:rsidR="00B41980">
          <w:rPr>
            <w:noProof/>
            <w:webHidden/>
          </w:rPr>
          <w:fldChar w:fldCharType="end"/>
        </w:r>
      </w:hyperlink>
    </w:p>
    <w:p w14:paraId="48BCDD71" w14:textId="5E406D05"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096" w:history="1">
        <w:r w:rsidR="00B41980" w:rsidRPr="004751A8">
          <w:rPr>
            <w:rStyle w:val="Hyperlink"/>
            <w:noProof/>
          </w:rPr>
          <w:t>8.1.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REFIT (simplification and improved efficiency)</w:t>
        </w:r>
        <w:r w:rsidR="00B41980">
          <w:rPr>
            <w:noProof/>
            <w:webHidden/>
          </w:rPr>
          <w:tab/>
        </w:r>
        <w:r w:rsidR="00B41980">
          <w:rPr>
            <w:noProof/>
            <w:webHidden/>
          </w:rPr>
          <w:fldChar w:fldCharType="begin"/>
        </w:r>
        <w:r w:rsidR="00B41980">
          <w:rPr>
            <w:noProof/>
            <w:webHidden/>
          </w:rPr>
          <w:instrText xml:space="preserve"> PAGEREF _Toc107430096 \h </w:instrText>
        </w:r>
        <w:r w:rsidR="00B41980">
          <w:rPr>
            <w:noProof/>
            <w:webHidden/>
          </w:rPr>
        </w:r>
        <w:r w:rsidR="00B41980">
          <w:rPr>
            <w:noProof/>
            <w:webHidden/>
          </w:rPr>
          <w:fldChar w:fldCharType="separate"/>
        </w:r>
        <w:r w:rsidR="00BC2C3A">
          <w:rPr>
            <w:noProof/>
            <w:webHidden/>
          </w:rPr>
          <w:t>57</w:t>
        </w:r>
        <w:r w:rsidR="00B41980">
          <w:rPr>
            <w:noProof/>
            <w:webHidden/>
          </w:rPr>
          <w:fldChar w:fldCharType="end"/>
        </w:r>
      </w:hyperlink>
    </w:p>
    <w:p w14:paraId="10882227" w14:textId="5C53353B" w:rsidR="00B41980" w:rsidRDefault="00A8526C">
      <w:pPr>
        <w:pStyle w:val="TOC1"/>
        <w:rPr>
          <w:rFonts w:asciiTheme="minorHAnsi" w:eastAsiaTheme="minorEastAsia" w:hAnsiTheme="minorHAnsi" w:cstheme="minorBidi"/>
          <w:caps w:val="0"/>
          <w:noProof/>
          <w:sz w:val="22"/>
          <w:szCs w:val="22"/>
          <w:lang w:val="en-IE" w:eastAsia="en-IE"/>
        </w:rPr>
      </w:pPr>
      <w:hyperlink w:anchor="_Toc107430097" w:history="1">
        <w:r w:rsidR="00B41980" w:rsidRPr="004751A8">
          <w:rPr>
            <w:rStyle w:val="Hyperlink"/>
            <w:noProof/>
          </w:rPr>
          <w:t>9.</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How will actual impacts be monitored and evaluated?</w:t>
        </w:r>
        <w:r w:rsidR="00B41980">
          <w:rPr>
            <w:noProof/>
            <w:webHidden/>
          </w:rPr>
          <w:tab/>
        </w:r>
        <w:r w:rsidR="00B41980">
          <w:rPr>
            <w:noProof/>
            <w:webHidden/>
          </w:rPr>
          <w:fldChar w:fldCharType="begin"/>
        </w:r>
        <w:r w:rsidR="00B41980">
          <w:rPr>
            <w:noProof/>
            <w:webHidden/>
          </w:rPr>
          <w:instrText xml:space="preserve"> PAGEREF _Toc107430097 \h </w:instrText>
        </w:r>
        <w:r w:rsidR="00B41980">
          <w:rPr>
            <w:noProof/>
            <w:webHidden/>
          </w:rPr>
        </w:r>
        <w:r w:rsidR="00B41980">
          <w:rPr>
            <w:noProof/>
            <w:webHidden/>
          </w:rPr>
          <w:fldChar w:fldCharType="separate"/>
        </w:r>
        <w:r w:rsidR="00BC2C3A">
          <w:rPr>
            <w:noProof/>
            <w:webHidden/>
          </w:rPr>
          <w:t>57</w:t>
        </w:r>
        <w:r w:rsidR="00B41980">
          <w:rPr>
            <w:noProof/>
            <w:webHidden/>
          </w:rPr>
          <w:fldChar w:fldCharType="end"/>
        </w:r>
      </w:hyperlink>
    </w:p>
    <w:p w14:paraId="5192ED6F" w14:textId="220D2996" w:rsidR="00B41980" w:rsidRDefault="00A8526C">
      <w:pPr>
        <w:pStyle w:val="TOC1"/>
        <w:rPr>
          <w:rFonts w:asciiTheme="minorHAnsi" w:eastAsiaTheme="minorEastAsia" w:hAnsiTheme="minorHAnsi" w:cstheme="minorBidi"/>
          <w:caps w:val="0"/>
          <w:noProof/>
          <w:sz w:val="22"/>
          <w:szCs w:val="22"/>
          <w:lang w:val="en-IE" w:eastAsia="en-IE"/>
        </w:rPr>
      </w:pPr>
      <w:hyperlink w:anchor="_Toc107430098" w:history="1">
        <w:r w:rsidR="00B41980" w:rsidRPr="004751A8">
          <w:rPr>
            <w:rStyle w:val="Hyperlink"/>
            <w:noProof/>
          </w:rPr>
          <w:t>Annex 1: Procedural information</w:t>
        </w:r>
        <w:r w:rsidR="00B41980">
          <w:rPr>
            <w:noProof/>
            <w:webHidden/>
          </w:rPr>
          <w:tab/>
        </w:r>
        <w:r w:rsidR="00B41980">
          <w:rPr>
            <w:noProof/>
            <w:webHidden/>
          </w:rPr>
          <w:fldChar w:fldCharType="begin"/>
        </w:r>
        <w:r w:rsidR="00B41980">
          <w:rPr>
            <w:noProof/>
            <w:webHidden/>
          </w:rPr>
          <w:instrText xml:space="preserve"> PAGEREF _Toc107430098 \h </w:instrText>
        </w:r>
        <w:r w:rsidR="00B41980">
          <w:rPr>
            <w:noProof/>
            <w:webHidden/>
          </w:rPr>
        </w:r>
        <w:r w:rsidR="00B41980">
          <w:rPr>
            <w:noProof/>
            <w:webHidden/>
          </w:rPr>
          <w:fldChar w:fldCharType="separate"/>
        </w:r>
        <w:r w:rsidR="00BC2C3A">
          <w:rPr>
            <w:noProof/>
            <w:webHidden/>
          </w:rPr>
          <w:t>59</w:t>
        </w:r>
        <w:r w:rsidR="00B41980">
          <w:rPr>
            <w:noProof/>
            <w:webHidden/>
          </w:rPr>
          <w:fldChar w:fldCharType="end"/>
        </w:r>
      </w:hyperlink>
    </w:p>
    <w:p w14:paraId="0CABAF2B" w14:textId="3AD6FF0B" w:rsidR="00B41980" w:rsidRDefault="00A8526C">
      <w:pPr>
        <w:pStyle w:val="TOC1"/>
        <w:rPr>
          <w:rFonts w:asciiTheme="minorHAnsi" w:eastAsiaTheme="minorEastAsia" w:hAnsiTheme="minorHAnsi" w:cstheme="minorBidi"/>
          <w:caps w:val="0"/>
          <w:noProof/>
          <w:sz w:val="22"/>
          <w:szCs w:val="22"/>
          <w:lang w:val="en-IE" w:eastAsia="en-IE"/>
        </w:rPr>
      </w:pPr>
      <w:hyperlink w:anchor="_Toc107430099" w:history="1">
        <w:r w:rsidR="00B41980" w:rsidRPr="004751A8">
          <w:rPr>
            <w:rStyle w:val="Hyperlink"/>
            <w:noProof/>
          </w:rPr>
          <w:t>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Lead DG, D</w:t>
        </w:r>
        <w:r w:rsidR="00B41980" w:rsidRPr="004751A8">
          <w:rPr>
            <w:rStyle w:val="Hyperlink"/>
            <w:i/>
            <w:noProof/>
          </w:rPr>
          <w:t>e</w:t>
        </w:r>
        <w:r w:rsidR="00B41980" w:rsidRPr="004751A8">
          <w:rPr>
            <w:rStyle w:val="Hyperlink"/>
            <w:noProof/>
          </w:rPr>
          <w:t>cide Planning/CWP references</w:t>
        </w:r>
        <w:r w:rsidR="00B41980">
          <w:rPr>
            <w:noProof/>
            <w:webHidden/>
          </w:rPr>
          <w:tab/>
        </w:r>
        <w:r w:rsidR="00B41980">
          <w:rPr>
            <w:noProof/>
            <w:webHidden/>
          </w:rPr>
          <w:fldChar w:fldCharType="begin"/>
        </w:r>
        <w:r w:rsidR="00B41980">
          <w:rPr>
            <w:noProof/>
            <w:webHidden/>
          </w:rPr>
          <w:instrText xml:space="preserve"> PAGEREF _Toc107430099 \h </w:instrText>
        </w:r>
        <w:r w:rsidR="00B41980">
          <w:rPr>
            <w:noProof/>
            <w:webHidden/>
          </w:rPr>
        </w:r>
        <w:r w:rsidR="00B41980">
          <w:rPr>
            <w:noProof/>
            <w:webHidden/>
          </w:rPr>
          <w:fldChar w:fldCharType="separate"/>
        </w:r>
        <w:r w:rsidR="00BC2C3A">
          <w:rPr>
            <w:noProof/>
            <w:webHidden/>
          </w:rPr>
          <w:t>59</w:t>
        </w:r>
        <w:r w:rsidR="00B41980">
          <w:rPr>
            <w:noProof/>
            <w:webHidden/>
          </w:rPr>
          <w:fldChar w:fldCharType="end"/>
        </w:r>
      </w:hyperlink>
    </w:p>
    <w:p w14:paraId="316BB10E" w14:textId="40F264BB" w:rsidR="00B41980" w:rsidRDefault="00A8526C">
      <w:pPr>
        <w:pStyle w:val="TOC1"/>
        <w:rPr>
          <w:rFonts w:asciiTheme="minorHAnsi" w:eastAsiaTheme="minorEastAsia" w:hAnsiTheme="minorHAnsi" w:cstheme="minorBidi"/>
          <w:caps w:val="0"/>
          <w:noProof/>
          <w:sz w:val="22"/>
          <w:szCs w:val="22"/>
          <w:lang w:val="en-IE" w:eastAsia="en-IE"/>
        </w:rPr>
      </w:pPr>
      <w:hyperlink w:anchor="_Toc107430100" w:history="1">
        <w:r w:rsidR="00B41980" w:rsidRPr="004751A8">
          <w:rPr>
            <w:rStyle w:val="Hyperlink"/>
            <w:noProof/>
          </w:rPr>
          <w:t>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Organisation and timing</w:t>
        </w:r>
        <w:r w:rsidR="00B41980">
          <w:rPr>
            <w:noProof/>
            <w:webHidden/>
          </w:rPr>
          <w:tab/>
        </w:r>
        <w:r w:rsidR="00B41980">
          <w:rPr>
            <w:noProof/>
            <w:webHidden/>
          </w:rPr>
          <w:fldChar w:fldCharType="begin"/>
        </w:r>
        <w:r w:rsidR="00B41980">
          <w:rPr>
            <w:noProof/>
            <w:webHidden/>
          </w:rPr>
          <w:instrText xml:space="preserve"> PAGEREF _Toc107430100 \h </w:instrText>
        </w:r>
        <w:r w:rsidR="00B41980">
          <w:rPr>
            <w:noProof/>
            <w:webHidden/>
          </w:rPr>
        </w:r>
        <w:r w:rsidR="00B41980">
          <w:rPr>
            <w:noProof/>
            <w:webHidden/>
          </w:rPr>
          <w:fldChar w:fldCharType="separate"/>
        </w:r>
        <w:r w:rsidR="00BC2C3A">
          <w:rPr>
            <w:noProof/>
            <w:webHidden/>
          </w:rPr>
          <w:t>59</w:t>
        </w:r>
        <w:r w:rsidR="00B41980">
          <w:rPr>
            <w:noProof/>
            <w:webHidden/>
          </w:rPr>
          <w:fldChar w:fldCharType="end"/>
        </w:r>
      </w:hyperlink>
    </w:p>
    <w:p w14:paraId="0B7434EA" w14:textId="1636DC24" w:rsidR="00B41980" w:rsidRDefault="00A8526C">
      <w:pPr>
        <w:pStyle w:val="TOC1"/>
        <w:rPr>
          <w:rFonts w:asciiTheme="minorHAnsi" w:eastAsiaTheme="minorEastAsia" w:hAnsiTheme="minorHAnsi" w:cstheme="minorBidi"/>
          <w:caps w:val="0"/>
          <w:noProof/>
          <w:sz w:val="22"/>
          <w:szCs w:val="22"/>
          <w:lang w:val="en-IE" w:eastAsia="en-IE"/>
        </w:rPr>
      </w:pPr>
      <w:hyperlink w:anchor="_Toc107430101" w:history="1">
        <w:r w:rsidR="00B41980" w:rsidRPr="004751A8">
          <w:rPr>
            <w:rStyle w:val="Hyperlink"/>
            <w:noProof/>
          </w:rPr>
          <w:t>3.</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Consultation of the RSB</w:t>
        </w:r>
        <w:r w:rsidR="00B41980">
          <w:rPr>
            <w:noProof/>
            <w:webHidden/>
          </w:rPr>
          <w:tab/>
        </w:r>
        <w:r w:rsidR="00B41980">
          <w:rPr>
            <w:noProof/>
            <w:webHidden/>
          </w:rPr>
          <w:fldChar w:fldCharType="begin"/>
        </w:r>
        <w:r w:rsidR="00B41980">
          <w:rPr>
            <w:noProof/>
            <w:webHidden/>
          </w:rPr>
          <w:instrText xml:space="preserve"> PAGEREF _Toc107430101 \h </w:instrText>
        </w:r>
        <w:r w:rsidR="00B41980">
          <w:rPr>
            <w:noProof/>
            <w:webHidden/>
          </w:rPr>
        </w:r>
        <w:r w:rsidR="00B41980">
          <w:rPr>
            <w:noProof/>
            <w:webHidden/>
          </w:rPr>
          <w:fldChar w:fldCharType="separate"/>
        </w:r>
        <w:r w:rsidR="00BC2C3A">
          <w:rPr>
            <w:noProof/>
            <w:webHidden/>
          </w:rPr>
          <w:t>59</w:t>
        </w:r>
        <w:r w:rsidR="00B41980">
          <w:rPr>
            <w:noProof/>
            <w:webHidden/>
          </w:rPr>
          <w:fldChar w:fldCharType="end"/>
        </w:r>
      </w:hyperlink>
    </w:p>
    <w:p w14:paraId="041EABC9" w14:textId="38DCE991" w:rsidR="00B41980" w:rsidRDefault="00A8526C">
      <w:pPr>
        <w:pStyle w:val="TOC1"/>
        <w:rPr>
          <w:rFonts w:asciiTheme="minorHAnsi" w:eastAsiaTheme="minorEastAsia" w:hAnsiTheme="minorHAnsi" w:cstheme="minorBidi"/>
          <w:caps w:val="0"/>
          <w:noProof/>
          <w:sz w:val="22"/>
          <w:szCs w:val="22"/>
          <w:lang w:val="en-IE" w:eastAsia="en-IE"/>
        </w:rPr>
      </w:pPr>
      <w:hyperlink w:anchor="_Toc107430102" w:history="1">
        <w:r w:rsidR="00B41980" w:rsidRPr="004751A8">
          <w:rPr>
            <w:rStyle w:val="Hyperlink"/>
            <w:noProof/>
          </w:rPr>
          <w:t>4.</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Evidence, sources and quality</w:t>
        </w:r>
        <w:r w:rsidR="00B41980">
          <w:rPr>
            <w:noProof/>
            <w:webHidden/>
          </w:rPr>
          <w:tab/>
        </w:r>
        <w:r w:rsidR="00B41980">
          <w:rPr>
            <w:noProof/>
            <w:webHidden/>
          </w:rPr>
          <w:fldChar w:fldCharType="begin"/>
        </w:r>
        <w:r w:rsidR="00B41980">
          <w:rPr>
            <w:noProof/>
            <w:webHidden/>
          </w:rPr>
          <w:instrText xml:space="preserve"> PAGEREF _Toc107430102 \h </w:instrText>
        </w:r>
        <w:r w:rsidR="00B41980">
          <w:rPr>
            <w:noProof/>
            <w:webHidden/>
          </w:rPr>
        </w:r>
        <w:r w:rsidR="00B41980">
          <w:rPr>
            <w:noProof/>
            <w:webHidden/>
          </w:rPr>
          <w:fldChar w:fldCharType="separate"/>
        </w:r>
        <w:r w:rsidR="00BC2C3A">
          <w:rPr>
            <w:noProof/>
            <w:webHidden/>
          </w:rPr>
          <w:t>61</w:t>
        </w:r>
        <w:r w:rsidR="00B41980">
          <w:rPr>
            <w:noProof/>
            <w:webHidden/>
          </w:rPr>
          <w:fldChar w:fldCharType="end"/>
        </w:r>
      </w:hyperlink>
    </w:p>
    <w:p w14:paraId="27B0E908" w14:textId="2954BA57" w:rsidR="00B41980" w:rsidRDefault="00A8526C">
      <w:pPr>
        <w:pStyle w:val="TOC1"/>
        <w:rPr>
          <w:rFonts w:asciiTheme="minorHAnsi" w:eastAsiaTheme="minorEastAsia" w:hAnsiTheme="minorHAnsi" w:cstheme="minorBidi"/>
          <w:caps w:val="0"/>
          <w:noProof/>
          <w:sz w:val="22"/>
          <w:szCs w:val="22"/>
          <w:lang w:val="en-IE" w:eastAsia="en-IE"/>
        </w:rPr>
      </w:pPr>
      <w:hyperlink w:anchor="_Toc107430103" w:history="1">
        <w:r w:rsidR="00B41980" w:rsidRPr="004751A8">
          <w:rPr>
            <w:rStyle w:val="Hyperlink"/>
            <w:noProof/>
          </w:rPr>
          <w:t>Annex 2: Stakeholder consultation</w:t>
        </w:r>
        <w:r w:rsidR="00B41980">
          <w:rPr>
            <w:noProof/>
            <w:webHidden/>
          </w:rPr>
          <w:tab/>
        </w:r>
        <w:r w:rsidR="00B41980">
          <w:rPr>
            <w:noProof/>
            <w:webHidden/>
          </w:rPr>
          <w:fldChar w:fldCharType="begin"/>
        </w:r>
        <w:r w:rsidR="00B41980">
          <w:rPr>
            <w:noProof/>
            <w:webHidden/>
          </w:rPr>
          <w:instrText xml:space="preserve"> PAGEREF _Toc107430103 \h </w:instrText>
        </w:r>
        <w:r w:rsidR="00B41980">
          <w:rPr>
            <w:noProof/>
            <w:webHidden/>
          </w:rPr>
        </w:r>
        <w:r w:rsidR="00B41980">
          <w:rPr>
            <w:noProof/>
            <w:webHidden/>
          </w:rPr>
          <w:fldChar w:fldCharType="separate"/>
        </w:r>
        <w:r w:rsidR="00BC2C3A">
          <w:rPr>
            <w:noProof/>
            <w:webHidden/>
          </w:rPr>
          <w:t>63</w:t>
        </w:r>
        <w:r w:rsidR="00B41980">
          <w:rPr>
            <w:noProof/>
            <w:webHidden/>
          </w:rPr>
          <w:fldChar w:fldCharType="end"/>
        </w:r>
      </w:hyperlink>
    </w:p>
    <w:p w14:paraId="48E8956C" w14:textId="0E0496A6" w:rsidR="00B41980" w:rsidRDefault="00A8526C">
      <w:pPr>
        <w:pStyle w:val="TOC1"/>
        <w:rPr>
          <w:rFonts w:asciiTheme="minorHAnsi" w:eastAsiaTheme="minorEastAsia" w:hAnsiTheme="minorHAnsi" w:cstheme="minorBidi"/>
          <w:caps w:val="0"/>
          <w:noProof/>
          <w:sz w:val="22"/>
          <w:szCs w:val="22"/>
          <w:lang w:val="en-IE" w:eastAsia="en-IE"/>
        </w:rPr>
      </w:pPr>
      <w:hyperlink w:anchor="_Toc107430104" w:history="1">
        <w:r w:rsidR="00B41980" w:rsidRPr="004751A8">
          <w:rPr>
            <w:rStyle w:val="Hyperlink"/>
            <w:noProof/>
          </w:rPr>
          <w:t>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Consultation strategy</w:t>
        </w:r>
        <w:r w:rsidR="00B41980">
          <w:rPr>
            <w:noProof/>
            <w:webHidden/>
          </w:rPr>
          <w:tab/>
        </w:r>
        <w:r w:rsidR="00B41980">
          <w:rPr>
            <w:noProof/>
            <w:webHidden/>
          </w:rPr>
          <w:fldChar w:fldCharType="begin"/>
        </w:r>
        <w:r w:rsidR="00B41980">
          <w:rPr>
            <w:noProof/>
            <w:webHidden/>
          </w:rPr>
          <w:instrText xml:space="preserve"> PAGEREF _Toc107430104 \h </w:instrText>
        </w:r>
        <w:r w:rsidR="00B41980">
          <w:rPr>
            <w:noProof/>
            <w:webHidden/>
          </w:rPr>
        </w:r>
        <w:r w:rsidR="00B41980">
          <w:rPr>
            <w:noProof/>
            <w:webHidden/>
          </w:rPr>
          <w:fldChar w:fldCharType="separate"/>
        </w:r>
        <w:r w:rsidR="00BC2C3A">
          <w:rPr>
            <w:noProof/>
            <w:webHidden/>
          </w:rPr>
          <w:t>63</w:t>
        </w:r>
        <w:r w:rsidR="00B41980">
          <w:rPr>
            <w:noProof/>
            <w:webHidden/>
          </w:rPr>
          <w:fldChar w:fldCharType="end"/>
        </w:r>
      </w:hyperlink>
    </w:p>
    <w:p w14:paraId="1DB92EF2" w14:textId="5806CDD4" w:rsidR="00B41980" w:rsidRDefault="00A8526C">
      <w:pPr>
        <w:pStyle w:val="TOC1"/>
        <w:rPr>
          <w:rFonts w:asciiTheme="minorHAnsi" w:eastAsiaTheme="minorEastAsia" w:hAnsiTheme="minorHAnsi" w:cstheme="minorBidi"/>
          <w:caps w:val="0"/>
          <w:noProof/>
          <w:sz w:val="22"/>
          <w:szCs w:val="22"/>
          <w:lang w:val="en-IE" w:eastAsia="en-IE"/>
        </w:rPr>
      </w:pPr>
      <w:hyperlink w:anchor="_Toc107430105" w:history="1">
        <w:r w:rsidR="00B41980" w:rsidRPr="004751A8">
          <w:rPr>
            <w:rStyle w:val="Hyperlink"/>
            <w:noProof/>
          </w:rPr>
          <w:t>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Inception Impact Assessment (IIA)</w:t>
        </w:r>
        <w:r w:rsidR="00B41980">
          <w:rPr>
            <w:noProof/>
            <w:webHidden/>
          </w:rPr>
          <w:tab/>
        </w:r>
        <w:r w:rsidR="00B41980">
          <w:rPr>
            <w:noProof/>
            <w:webHidden/>
          </w:rPr>
          <w:fldChar w:fldCharType="begin"/>
        </w:r>
        <w:r w:rsidR="00B41980">
          <w:rPr>
            <w:noProof/>
            <w:webHidden/>
          </w:rPr>
          <w:instrText xml:space="preserve"> PAGEREF _Toc107430105 \h </w:instrText>
        </w:r>
        <w:r w:rsidR="00B41980">
          <w:rPr>
            <w:noProof/>
            <w:webHidden/>
          </w:rPr>
        </w:r>
        <w:r w:rsidR="00B41980">
          <w:rPr>
            <w:noProof/>
            <w:webHidden/>
          </w:rPr>
          <w:fldChar w:fldCharType="separate"/>
        </w:r>
        <w:r w:rsidR="00BC2C3A">
          <w:rPr>
            <w:noProof/>
            <w:webHidden/>
          </w:rPr>
          <w:t>63</w:t>
        </w:r>
        <w:r w:rsidR="00B41980">
          <w:rPr>
            <w:noProof/>
            <w:webHidden/>
          </w:rPr>
          <w:fldChar w:fldCharType="end"/>
        </w:r>
      </w:hyperlink>
    </w:p>
    <w:p w14:paraId="644AC42B" w14:textId="336F513A" w:rsidR="00B41980" w:rsidRDefault="00A8526C">
      <w:pPr>
        <w:pStyle w:val="TOC1"/>
        <w:rPr>
          <w:rFonts w:asciiTheme="minorHAnsi" w:eastAsiaTheme="minorEastAsia" w:hAnsiTheme="minorHAnsi" w:cstheme="minorBidi"/>
          <w:caps w:val="0"/>
          <w:noProof/>
          <w:sz w:val="22"/>
          <w:szCs w:val="22"/>
          <w:lang w:val="en-IE" w:eastAsia="en-IE"/>
        </w:rPr>
      </w:pPr>
      <w:hyperlink w:anchor="_Toc107430106" w:history="1">
        <w:r w:rsidR="00B41980" w:rsidRPr="004751A8">
          <w:rPr>
            <w:rStyle w:val="Hyperlink"/>
            <w:noProof/>
          </w:rPr>
          <w:t>3.</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Stakeholder Workshops</w:t>
        </w:r>
        <w:r w:rsidR="00B41980">
          <w:rPr>
            <w:noProof/>
            <w:webHidden/>
          </w:rPr>
          <w:tab/>
        </w:r>
        <w:r w:rsidR="00B41980">
          <w:rPr>
            <w:noProof/>
            <w:webHidden/>
          </w:rPr>
          <w:fldChar w:fldCharType="begin"/>
        </w:r>
        <w:r w:rsidR="00B41980">
          <w:rPr>
            <w:noProof/>
            <w:webHidden/>
          </w:rPr>
          <w:instrText xml:space="preserve"> PAGEREF _Toc107430106 \h </w:instrText>
        </w:r>
        <w:r w:rsidR="00B41980">
          <w:rPr>
            <w:noProof/>
            <w:webHidden/>
          </w:rPr>
        </w:r>
        <w:r w:rsidR="00B41980">
          <w:rPr>
            <w:noProof/>
            <w:webHidden/>
          </w:rPr>
          <w:fldChar w:fldCharType="separate"/>
        </w:r>
        <w:r w:rsidR="00BC2C3A">
          <w:rPr>
            <w:noProof/>
            <w:webHidden/>
          </w:rPr>
          <w:t>63</w:t>
        </w:r>
        <w:r w:rsidR="00B41980">
          <w:rPr>
            <w:noProof/>
            <w:webHidden/>
          </w:rPr>
          <w:fldChar w:fldCharType="end"/>
        </w:r>
      </w:hyperlink>
    </w:p>
    <w:p w14:paraId="23547FB0" w14:textId="226DD171" w:rsidR="00B41980" w:rsidRDefault="00A8526C">
      <w:pPr>
        <w:pStyle w:val="TOC1"/>
        <w:rPr>
          <w:rFonts w:asciiTheme="minorHAnsi" w:eastAsiaTheme="minorEastAsia" w:hAnsiTheme="minorHAnsi" w:cstheme="minorBidi"/>
          <w:caps w:val="0"/>
          <w:noProof/>
          <w:sz w:val="22"/>
          <w:szCs w:val="22"/>
          <w:lang w:val="en-IE" w:eastAsia="en-IE"/>
        </w:rPr>
      </w:pPr>
      <w:hyperlink w:anchor="_Toc107430107" w:history="1">
        <w:r w:rsidR="00B41980" w:rsidRPr="004751A8">
          <w:rPr>
            <w:rStyle w:val="Hyperlink"/>
            <w:noProof/>
          </w:rPr>
          <w:t>4.</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Public Consultation</w:t>
        </w:r>
        <w:r w:rsidR="00B41980">
          <w:rPr>
            <w:noProof/>
            <w:webHidden/>
          </w:rPr>
          <w:tab/>
        </w:r>
        <w:r w:rsidR="00B41980">
          <w:rPr>
            <w:noProof/>
            <w:webHidden/>
          </w:rPr>
          <w:fldChar w:fldCharType="begin"/>
        </w:r>
        <w:r w:rsidR="00B41980">
          <w:rPr>
            <w:noProof/>
            <w:webHidden/>
          </w:rPr>
          <w:instrText xml:space="preserve"> PAGEREF _Toc107430107 \h </w:instrText>
        </w:r>
        <w:r w:rsidR="00B41980">
          <w:rPr>
            <w:noProof/>
            <w:webHidden/>
          </w:rPr>
        </w:r>
        <w:r w:rsidR="00B41980">
          <w:rPr>
            <w:noProof/>
            <w:webHidden/>
          </w:rPr>
          <w:fldChar w:fldCharType="separate"/>
        </w:r>
        <w:r w:rsidR="00BC2C3A">
          <w:rPr>
            <w:noProof/>
            <w:webHidden/>
          </w:rPr>
          <w:t>64</w:t>
        </w:r>
        <w:r w:rsidR="00B41980">
          <w:rPr>
            <w:noProof/>
            <w:webHidden/>
          </w:rPr>
          <w:fldChar w:fldCharType="end"/>
        </w:r>
      </w:hyperlink>
    </w:p>
    <w:p w14:paraId="7BB34326" w14:textId="696AD231"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108" w:history="1">
        <w:r w:rsidR="00B41980" w:rsidRPr="004751A8">
          <w:rPr>
            <w:rStyle w:val="Hyperlink"/>
            <w:noProof/>
          </w:rPr>
          <w:t>4.1.</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Respondents by Stakeholder category</w:t>
        </w:r>
        <w:r w:rsidR="00B41980">
          <w:rPr>
            <w:noProof/>
            <w:webHidden/>
          </w:rPr>
          <w:tab/>
        </w:r>
        <w:r w:rsidR="00B41980">
          <w:rPr>
            <w:noProof/>
            <w:webHidden/>
          </w:rPr>
          <w:fldChar w:fldCharType="begin"/>
        </w:r>
        <w:r w:rsidR="00B41980">
          <w:rPr>
            <w:noProof/>
            <w:webHidden/>
          </w:rPr>
          <w:instrText xml:space="preserve"> PAGEREF _Toc107430108 \h </w:instrText>
        </w:r>
        <w:r w:rsidR="00B41980">
          <w:rPr>
            <w:noProof/>
            <w:webHidden/>
          </w:rPr>
        </w:r>
        <w:r w:rsidR="00B41980">
          <w:rPr>
            <w:noProof/>
            <w:webHidden/>
          </w:rPr>
          <w:fldChar w:fldCharType="separate"/>
        </w:r>
        <w:r w:rsidR="00BC2C3A">
          <w:rPr>
            <w:noProof/>
            <w:webHidden/>
          </w:rPr>
          <w:t>64</w:t>
        </w:r>
        <w:r w:rsidR="00B41980">
          <w:rPr>
            <w:noProof/>
            <w:webHidden/>
          </w:rPr>
          <w:fldChar w:fldCharType="end"/>
        </w:r>
      </w:hyperlink>
    </w:p>
    <w:p w14:paraId="2723FC32" w14:textId="41ACC89C"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109" w:history="1">
        <w:r w:rsidR="00B41980" w:rsidRPr="004751A8">
          <w:rPr>
            <w:rStyle w:val="Hyperlink"/>
            <w:noProof/>
          </w:rPr>
          <w:t>4.2.</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Respondents by country of origin</w:t>
        </w:r>
        <w:r w:rsidR="00B41980">
          <w:rPr>
            <w:noProof/>
            <w:webHidden/>
          </w:rPr>
          <w:tab/>
        </w:r>
        <w:r w:rsidR="00B41980">
          <w:rPr>
            <w:noProof/>
            <w:webHidden/>
          </w:rPr>
          <w:fldChar w:fldCharType="begin"/>
        </w:r>
        <w:r w:rsidR="00B41980">
          <w:rPr>
            <w:noProof/>
            <w:webHidden/>
          </w:rPr>
          <w:instrText xml:space="preserve"> PAGEREF _Toc107430109 \h </w:instrText>
        </w:r>
        <w:r w:rsidR="00B41980">
          <w:rPr>
            <w:noProof/>
            <w:webHidden/>
          </w:rPr>
        </w:r>
        <w:r w:rsidR="00B41980">
          <w:rPr>
            <w:noProof/>
            <w:webHidden/>
          </w:rPr>
          <w:fldChar w:fldCharType="separate"/>
        </w:r>
        <w:r w:rsidR="00BC2C3A">
          <w:rPr>
            <w:noProof/>
            <w:webHidden/>
          </w:rPr>
          <w:t>65</w:t>
        </w:r>
        <w:r w:rsidR="00B41980">
          <w:rPr>
            <w:noProof/>
            <w:webHidden/>
          </w:rPr>
          <w:fldChar w:fldCharType="end"/>
        </w:r>
      </w:hyperlink>
    </w:p>
    <w:p w14:paraId="2A8ED984" w14:textId="320DF80E"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110" w:history="1">
        <w:r w:rsidR="00B41980" w:rsidRPr="004751A8">
          <w:rPr>
            <w:rStyle w:val="Hyperlink"/>
            <w:noProof/>
          </w:rPr>
          <w:t>4.3.</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The Directive and the problems this initiative aims to address</w:t>
        </w:r>
        <w:r w:rsidR="00B41980">
          <w:rPr>
            <w:noProof/>
            <w:webHidden/>
          </w:rPr>
          <w:tab/>
        </w:r>
        <w:r w:rsidR="00B41980">
          <w:rPr>
            <w:noProof/>
            <w:webHidden/>
          </w:rPr>
          <w:fldChar w:fldCharType="begin"/>
        </w:r>
        <w:r w:rsidR="00B41980">
          <w:rPr>
            <w:noProof/>
            <w:webHidden/>
          </w:rPr>
          <w:instrText xml:space="preserve"> PAGEREF _Toc107430110 \h </w:instrText>
        </w:r>
        <w:r w:rsidR="00B41980">
          <w:rPr>
            <w:noProof/>
            <w:webHidden/>
          </w:rPr>
        </w:r>
        <w:r w:rsidR="00B41980">
          <w:rPr>
            <w:noProof/>
            <w:webHidden/>
          </w:rPr>
          <w:fldChar w:fldCharType="separate"/>
        </w:r>
        <w:r w:rsidR="00BC2C3A">
          <w:rPr>
            <w:noProof/>
            <w:webHidden/>
          </w:rPr>
          <w:t>66</w:t>
        </w:r>
        <w:r w:rsidR="00B41980">
          <w:rPr>
            <w:noProof/>
            <w:webHidden/>
          </w:rPr>
          <w:fldChar w:fldCharType="end"/>
        </w:r>
      </w:hyperlink>
    </w:p>
    <w:p w14:paraId="453B5E24" w14:textId="48FC616A"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111" w:history="1">
        <w:r w:rsidR="00B41980" w:rsidRPr="004751A8">
          <w:rPr>
            <w:rStyle w:val="Hyperlink"/>
            <w:noProof/>
          </w:rPr>
          <w:t>4.4.</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Adapting the Directive to the digital age and circular economy</w:t>
        </w:r>
        <w:r w:rsidR="00B41980">
          <w:rPr>
            <w:noProof/>
            <w:webHidden/>
          </w:rPr>
          <w:tab/>
        </w:r>
        <w:r w:rsidR="00B41980">
          <w:rPr>
            <w:noProof/>
            <w:webHidden/>
          </w:rPr>
          <w:fldChar w:fldCharType="begin"/>
        </w:r>
        <w:r w:rsidR="00B41980">
          <w:rPr>
            <w:noProof/>
            <w:webHidden/>
          </w:rPr>
          <w:instrText xml:space="preserve"> PAGEREF _Toc107430111 \h </w:instrText>
        </w:r>
        <w:r w:rsidR="00B41980">
          <w:rPr>
            <w:noProof/>
            <w:webHidden/>
          </w:rPr>
        </w:r>
        <w:r w:rsidR="00B41980">
          <w:rPr>
            <w:noProof/>
            <w:webHidden/>
          </w:rPr>
          <w:fldChar w:fldCharType="separate"/>
        </w:r>
        <w:r w:rsidR="00BC2C3A">
          <w:rPr>
            <w:noProof/>
            <w:webHidden/>
          </w:rPr>
          <w:t>66</w:t>
        </w:r>
        <w:r w:rsidR="00B41980">
          <w:rPr>
            <w:noProof/>
            <w:webHidden/>
          </w:rPr>
          <w:fldChar w:fldCharType="end"/>
        </w:r>
      </w:hyperlink>
    </w:p>
    <w:p w14:paraId="119765F8" w14:textId="36CAB8F0" w:rsidR="00B41980" w:rsidRDefault="00A8526C">
      <w:pPr>
        <w:pStyle w:val="TOC2"/>
        <w:tabs>
          <w:tab w:val="left" w:pos="1077"/>
        </w:tabs>
        <w:rPr>
          <w:rFonts w:asciiTheme="minorHAnsi" w:eastAsiaTheme="minorEastAsia" w:hAnsiTheme="minorHAnsi" w:cstheme="minorBidi"/>
          <w:noProof/>
          <w:sz w:val="22"/>
          <w:szCs w:val="22"/>
          <w:lang w:val="en-IE" w:eastAsia="en-IE"/>
        </w:rPr>
      </w:pPr>
      <w:hyperlink w:anchor="_Toc107430112" w:history="1">
        <w:r w:rsidR="00B41980" w:rsidRPr="004751A8">
          <w:rPr>
            <w:rStyle w:val="Hyperlink"/>
            <w:noProof/>
          </w:rPr>
          <w:t>4.5.</w:t>
        </w:r>
        <w:r w:rsidR="00B41980">
          <w:rPr>
            <w:rFonts w:asciiTheme="minorHAnsi" w:eastAsiaTheme="minorEastAsia" w:hAnsiTheme="minorHAnsi" w:cstheme="minorBidi"/>
            <w:noProof/>
            <w:sz w:val="22"/>
            <w:szCs w:val="22"/>
            <w:lang w:val="en-IE" w:eastAsia="en-IE"/>
          </w:rPr>
          <w:tab/>
        </w:r>
        <w:r w:rsidR="00B41980" w:rsidRPr="004751A8">
          <w:rPr>
            <w:rStyle w:val="Hyperlink"/>
            <w:noProof/>
          </w:rPr>
          <w:t>Reducing obstacles to making claims and getting compensation</w:t>
        </w:r>
        <w:r w:rsidR="00B41980">
          <w:rPr>
            <w:noProof/>
            <w:webHidden/>
          </w:rPr>
          <w:tab/>
        </w:r>
        <w:r w:rsidR="00B41980">
          <w:rPr>
            <w:noProof/>
            <w:webHidden/>
          </w:rPr>
          <w:fldChar w:fldCharType="begin"/>
        </w:r>
        <w:r w:rsidR="00B41980">
          <w:rPr>
            <w:noProof/>
            <w:webHidden/>
          </w:rPr>
          <w:instrText xml:space="preserve"> PAGEREF _Toc107430112 \h </w:instrText>
        </w:r>
        <w:r w:rsidR="00B41980">
          <w:rPr>
            <w:noProof/>
            <w:webHidden/>
          </w:rPr>
        </w:r>
        <w:r w:rsidR="00B41980">
          <w:rPr>
            <w:noProof/>
            <w:webHidden/>
          </w:rPr>
          <w:fldChar w:fldCharType="separate"/>
        </w:r>
        <w:r w:rsidR="00BC2C3A">
          <w:rPr>
            <w:noProof/>
            <w:webHidden/>
          </w:rPr>
          <w:t>71</w:t>
        </w:r>
        <w:r w:rsidR="00B41980">
          <w:rPr>
            <w:noProof/>
            <w:webHidden/>
          </w:rPr>
          <w:fldChar w:fldCharType="end"/>
        </w:r>
      </w:hyperlink>
    </w:p>
    <w:p w14:paraId="782F9B3B" w14:textId="32EBF68B" w:rsidR="00B41980" w:rsidRDefault="00A8526C">
      <w:pPr>
        <w:pStyle w:val="TOC1"/>
        <w:rPr>
          <w:rFonts w:asciiTheme="minorHAnsi" w:eastAsiaTheme="minorEastAsia" w:hAnsiTheme="minorHAnsi" w:cstheme="minorBidi"/>
          <w:caps w:val="0"/>
          <w:noProof/>
          <w:sz w:val="22"/>
          <w:szCs w:val="22"/>
          <w:lang w:val="en-IE" w:eastAsia="en-IE"/>
        </w:rPr>
      </w:pPr>
      <w:hyperlink w:anchor="_Toc107430113" w:history="1">
        <w:r w:rsidR="00B41980" w:rsidRPr="004751A8">
          <w:rPr>
            <w:rStyle w:val="Hyperlink"/>
            <w:noProof/>
          </w:rPr>
          <w:t>5.</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Targeted Consultation</w:t>
        </w:r>
        <w:r w:rsidR="00B41980">
          <w:rPr>
            <w:noProof/>
            <w:webHidden/>
          </w:rPr>
          <w:tab/>
        </w:r>
        <w:r w:rsidR="00B41980">
          <w:rPr>
            <w:noProof/>
            <w:webHidden/>
          </w:rPr>
          <w:fldChar w:fldCharType="begin"/>
        </w:r>
        <w:r w:rsidR="00B41980">
          <w:rPr>
            <w:noProof/>
            <w:webHidden/>
          </w:rPr>
          <w:instrText xml:space="preserve"> PAGEREF _Toc107430113 \h </w:instrText>
        </w:r>
        <w:r w:rsidR="00B41980">
          <w:rPr>
            <w:noProof/>
            <w:webHidden/>
          </w:rPr>
        </w:r>
        <w:r w:rsidR="00B41980">
          <w:rPr>
            <w:noProof/>
            <w:webHidden/>
          </w:rPr>
          <w:fldChar w:fldCharType="separate"/>
        </w:r>
        <w:r w:rsidR="00BC2C3A">
          <w:rPr>
            <w:noProof/>
            <w:webHidden/>
          </w:rPr>
          <w:t>74</w:t>
        </w:r>
        <w:r w:rsidR="00B41980">
          <w:rPr>
            <w:noProof/>
            <w:webHidden/>
          </w:rPr>
          <w:fldChar w:fldCharType="end"/>
        </w:r>
      </w:hyperlink>
    </w:p>
    <w:p w14:paraId="556312DB" w14:textId="2CF2B49C" w:rsidR="00B41980" w:rsidRDefault="00A8526C">
      <w:pPr>
        <w:pStyle w:val="TOC1"/>
        <w:rPr>
          <w:rFonts w:asciiTheme="minorHAnsi" w:eastAsiaTheme="minorEastAsia" w:hAnsiTheme="minorHAnsi" w:cstheme="minorBidi"/>
          <w:caps w:val="0"/>
          <w:noProof/>
          <w:sz w:val="22"/>
          <w:szCs w:val="22"/>
          <w:lang w:val="en-IE" w:eastAsia="en-IE"/>
        </w:rPr>
      </w:pPr>
      <w:hyperlink w:anchor="_Toc107430114" w:history="1">
        <w:r w:rsidR="00B41980" w:rsidRPr="004751A8">
          <w:rPr>
            <w:rStyle w:val="Hyperlink"/>
            <w:noProof/>
          </w:rPr>
          <w:t>6.</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Interviews conducted by external contractor</w:t>
        </w:r>
        <w:r w:rsidR="00B41980">
          <w:rPr>
            <w:noProof/>
            <w:webHidden/>
          </w:rPr>
          <w:tab/>
        </w:r>
        <w:r w:rsidR="00B41980">
          <w:rPr>
            <w:noProof/>
            <w:webHidden/>
          </w:rPr>
          <w:fldChar w:fldCharType="begin"/>
        </w:r>
        <w:r w:rsidR="00B41980">
          <w:rPr>
            <w:noProof/>
            <w:webHidden/>
          </w:rPr>
          <w:instrText xml:space="preserve"> PAGEREF _Toc107430114 \h </w:instrText>
        </w:r>
        <w:r w:rsidR="00B41980">
          <w:rPr>
            <w:noProof/>
            <w:webHidden/>
          </w:rPr>
        </w:r>
        <w:r w:rsidR="00B41980">
          <w:rPr>
            <w:noProof/>
            <w:webHidden/>
          </w:rPr>
          <w:fldChar w:fldCharType="separate"/>
        </w:r>
        <w:r w:rsidR="00BC2C3A">
          <w:rPr>
            <w:noProof/>
            <w:webHidden/>
          </w:rPr>
          <w:t>75</w:t>
        </w:r>
        <w:r w:rsidR="00B41980">
          <w:rPr>
            <w:noProof/>
            <w:webHidden/>
          </w:rPr>
          <w:fldChar w:fldCharType="end"/>
        </w:r>
      </w:hyperlink>
    </w:p>
    <w:p w14:paraId="54D72F1A" w14:textId="1B423152" w:rsidR="00B41980" w:rsidRDefault="00A8526C">
      <w:pPr>
        <w:pStyle w:val="TOC1"/>
        <w:rPr>
          <w:rFonts w:asciiTheme="minorHAnsi" w:eastAsiaTheme="minorEastAsia" w:hAnsiTheme="minorHAnsi" w:cstheme="minorBidi"/>
          <w:caps w:val="0"/>
          <w:noProof/>
          <w:sz w:val="22"/>
          <w:szCs w:val="22"/>
          <w:lang w:val="en-IE" w:eastAsia="en-IE"/>
        </w:rPr>
      </w:pPr>
      <w:hyperlink w:anchor="_Toc107430115" w:history="1">
        <w:r w:rsidR="00B41980" w:rsidRPr="004751A8">
          <w:rPr>
            <w:rStyle w:val="Hyperlink"/>
            <w:noProof/>
          </w:rPr>
          <w:t>Annex 3: Who is affected and how?</w:t>
        </w:r>
        <w:r w:rsidR="00B41980">
          <w:rPr>
            <w:noProof/>
            <w:webHidden/>
          </w:rPr>
          <w:tab/>
        </w:r>
        <w:r w:rsidR="00B41980">
          <w:rPr>
            <w:noProof/>
            <w:webHidden/>
          </w:rPr>
          <w:fldChar w:fldCharType="begin"/>
        </w:r>
        <w:r w:rsidR="00B41980">
          <w:rPr>
            <w:noProof/>
            <w:webHidden/>
          </w:rPr>
          <w:instrText xml:space="preserve"> PAGEREF _Toc107430115 \h </w:instrText>
        </w:r>
        <w:r w:rsidR="00B41980">
          <w:rPr>
            <w:noProof/>
            <w:webHidden/>
          </w:rPr>
        </w:r>
        <w:r w:rsidR="00B41980">
          <w:rPr>
            <w:noProof/>
            <w:webHidden/>
          </w:rPr>
          <w:fldChar w:fldCharType="separate"/>
        </w:r>
        <w:r w:rsidR="00BC2C3A">
          <w:rPr>
            <w:noProof/>
            <w:webHidden/>
          </w:rPr>
          <w:t>76</w:t>
        </w:r>
        <w:r w:rsidR="00B41980">
          <w:rPr>
            <w:noProof/>
            <w:webHidden/>
          </w:rPr>
          <w:fldChar w:fldCharType="end"/>
        </w:r>
      </w:hyperlink>
    </w:p>
    <w:p w14:paraId="5E36E697" w14:textId="7CB06671" w:rsidR="00B41980" w:rsidRDefault="00A8526C">
      <w:pPr>
        <w:pStyle w:val="TOC1"/>
        <w:rPr>
          <w:rFonts w:asciiTheme="minorHAnsi" w:eastAsiaTheme="minorEastAsia" w:hAnsiTheme="minorHAnsi" w:cstheme="minorBidi"/>
          <w:caps w:val="0"/>
          <w:noProof/>
          <w:sz w:val="22"/>
          <w:szCs w:val="22"/>
          <w:lang w:val="en-IE" w:eastAsia="en-IE"/>
        </w:rPr>
      </w:pPr>
      <w:hyperlink w:anchor="_Toc107430116" w:history="1">
        <w:r w:rsidR="00B41980" w:rsidRPr="004751A8">
          <w:rPr>
            <w:rStyle w:val="Hyperlink"/>
            <w:noProof/>
          </w:rPr>
          <w:t>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Practical implications of the initiative</w:t>
        </w:r>
        <w:r w:rsidR="00B41980">
          <w:rPr>
            <w:noProof/>
            <w:webHidden/>
          </w:rPr>
          <w:tab/>
        </w:r>
        <w:r w:rsidR="00B41980">
          <w:rPr>
            <w:noProof/>
            <w:webHidden/>
          </w:rPr>
          <w:fldChar w:fldCharType="begin"/>
        </w:r>
        <w:r w:rsidR="00B41980">
          <w:rPr>
            <w:noProof/>
            <w:webHidden/>
          </w:rPr>
          <w:instrText xml:space="preserve"> PAGEREF _Toc107430116 \h </w:instrText>
        </w:r>
        <w:r w:rsidR="00B41980">
          <w:rPr>
            <w:noProof/>
            <w:webHidden/>
          </w:rPr>
        </w:r>
        <w:r w:rsidR="00B41980">
          <w:rPr>
            <w:noProof/>
            <w:webHidden/>
          </w:rPr>
          <w:fldChar w:fldCharType="separate"/>
        </w:r>
        <w:r w:rsidR="00BC2C3A">
          <w:rPr>
            <w:noProof/>
            <w:webHidden/>
          </w:rPr>
          <w:t>76</w:t>
        </w:r>
        <w:r w:rsidR="00B41980">
          <w:rPr>
            <w:noProof/>
            <w:webHidden/>
          </w:rPr>
          <w:fldChar w:fldCharType="end"/>
        </w:r>
      </w:hyperlink>
    </w:p>
    <w:p w14:paraId="7B390924" w14:textId="208F4BC3" w:rsidR="00B41980" w:rsidRDefault="00A8526C">
      <w:pPr>
        <w:pStyle w:val="TOC1"/>
        <w:rPr>
          <w:rFonts w:asciiTheme="minorHAnsi" w:eastAsiaTheme="minorEastAsia" w:hAnsiTheme="minorHAnsi" w:cstheme="minorBidi"/>
          <w:caps w:val="0"/>
          <w:noProof/>
          <w:sz w:val="22"/>
          <w:szCs w:val="22"/>
          <w:lang w:val="en-IE" w:eastAsia="en-IE"/>
        </w:rPr>
      </w:pPr>
      <w:hyperlink w:anchor="_Toc107430117" w:history="1">
        <w:r w:rsidR="00B41980" w:rsidRPr="004751A8">
          <w:rPr>
            <w:rStyle w:val="Hyperlink"/>
            <w:noProof/>
          </w:rPr>
          <w:t>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Summary of costs and benefits</w:t>
        </w:r>
        <w:r w:rsidR="00B41980">
          <w:rPr>
            <w:noProof/>
            <w:webHidden/>
          </w:rPr>
          <w:tab/>
        </w:r>
        <w:r w:rsidR="00B41980">
          <w:rPr>
            <w:noProof/>
            <w:webHidden/>
          </w:rPr>
          <w:fldChar w:fldCharType="begin"/>
        </w:r>
        <w:r w:rsidR="00B41980">
          <w:rPr>
            <w:noProof/>
            <w:webHidden/>
          </w:rPr>
          <w:instrText xml:space="preserve"> PAGEREF _Toc107430117 \h </w:instrText>
        </w:r>
        <w:r w:rsidR="00B41980">
          <w:rPr>
            <w:noProof/>
            <w:webHidden/>
          </w:rPr>
        </w:r>
        <w:r w:rsidR="00B41980">
          <w:rPr>
            <w:noProof/>
            <w:webHidden/>
          </w:rPr>
          <w:fldChar w:fldCharType="separate"/>
        </w:r>
        <w:r w:rsidR="00BC2C3A">
          <w:rPr>
            <w:noProof/>
            <w:webHidden/>
          </w:rPr>
          <w:t>77</w:t>
        </w:r>
        <w:r w:rsidR="00B41980">
          <w:rPr>
            <w:noProof/>
            <w:webHidden/>
          </w:rPr>
          <w:fldChar w:fldCharType="end"/>
        </w:r>
      </w:hyperlink>
    </w:p>
    <w:p w14:paraId="5620A58F" w14:textId="03DD6159" w:rsidR="00B41980" w:rsidRDefault="00A8526C">
      <w:pPr>
        <w:pStyle w:val="TOC1"/>
        <w:rPr>
          <w:rFonts w:asciiTheme="minorHAnsi" w:eastAsiaTheme="minorEastAsia" w:hAnsiTheme="minorHAnsi" w:cstheme="minorBidi"/>
          <w:caps w:val="0"/>
          <w:noProof/>
          <w:sz w:val="22"/>
          <w:szCs w:val="22"/>
          <w:lang w:val="en-IE" w:eastAsia="en-IE"/>
        </w:rPr>
      </w:pPr>
      <w:hyperlink w:anchor="_Toc107430118" w:history="1">
        <w:r w:rsidR="00B41980" w:rsidRPr="004751A8">
          <w:rPr>
            <w:rStyle w:val="Hyperlink"/>
            <w:noProof/>
          </w:rPr>
          <w:t>3.</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Relevant sustainable development goals</w:t>
        </w:r>
        <w:r w:rsidR="00B41980">
          <w:rPr>
            <w:noProof/>
            <w:webHidden/>
          </w:rPr>
          <w:tab/>
        </w:r>
        <w:r w:rsidR="00B41980">
          <w:rPr>
            <w:noProof/>
            <w:webHidden/>
          </w:rPr>
          <w:fldChar w:fldCharType="begin"/>
        </w:r>
        <w:r w:rsidR="00B41980">
          <w:rPr>
            <w:noProof/>
            <w:webHidden/>
          </w:rPr>
          <w:instrText xml:space="preserve"> PAGEREF _Toc107430118 \h </w:instrText>
        </w:r>
        <w:r w:rsidR="00B41980">
          <w:rPr>
            <w:noProof/>
            <w:webHidden/>
          </w:rPr>
        </w:r>
        <w:r w:rsidR="00B41980">
          <w:rPr>
            <w:noProof/>
            <w:webHidden/>
          </w:rPr>
          <w:fldChar w:fldCharType="separate"/>
        </w:r>
        <w:r w:rsidR="00BC2C3A">
          <w:rPr>
            <w:noProof/>
            <w:webHidden/>
          </w:rPr>
          <w:t>79</w:t>
        </w:r>
        <w:r w:rsidR="00B41980">
          <w:rPr>
            <w:noProof/>
            <w:webHidden/>
          </w:rPr>
          <w:fldChar w:fldCharType="end"/>
        </w:r>
      </w:hyperlink>
    </w:p>
    <w:p w14:paraId="3D7C45FA" w14:textId="2BC3C996" w:rsidR="00B41980" w:rsidRDefault="00A8526C">
      <w:pPr>
        <w:pStyle w:val="TOC1"/>
        <w:rPr>
          <w:rFonts w:asciiTheme="minorHAnsi" w:eastAsiaTheme="minorEastAsia" w:hAnsiTheme="minorHAnsi" w:cstheme="minorBidi"/>
          <w:caps w:val="0"/>
          <w:noProof/>
          <w:sz w:val="22"/>
          <w:szCs w:val="22"/>
          <w:lang w:val="en-IE" w:eastAsia="en-IE"/>
        </w:rPr>
      </w:pPr>
      <w:hyperlink w:anchor="_Toc107430119" w:history="1">
        <w:r w:rsidR="00B41980" w:rsidRPr="004751A8">
          <w:rPr>
            <w:rStyle w:val="Hyperlink"/>
            <w:noProof/>
          </w:rPr>
          <w:t>Annex 4: Analytical methods</w:t>
        </w:r>
        <w:r w:rsidR="00B41980">
          <w:rPr>
            <w:noProof/>
            <w:webHidden/>
          </w:rPr>
          <w:tab/>
        </w:r>
        <w:r w:rsidR="00B41980">
          <w:rPr>
            <w:noProof/>
            <w:webHidden/>
          </w:rPr>
          <w:fldChar w:fldCharType="begin"/>
        </w:r>
        <w:r w:rsidR="00B41980">
          <w:rPr>
            <w:noProof/>
            <w:webHidden/>
          </w:rPr>
          <w:instrText xml:space="preserve"> PAGEREF _Toc107430119 \h </w:instrText>
        </w:r>
        <w:r w:rsidR="00B41980">
          <w:rPr>
            <w:noProof/>
            <w:webHidden/>
          </w:rPr>
        </w:r>
        <w:r w:rsidR="00B41980">
          <w:rPr>
            <w:noProof/>
            <w:webHidden/>
          </w:rPr>
          <w:fldChar w:fldCharType="separate"/>
        </w:r>
        <w:r w:rsidR="00BC2C3A">
          <w:rPr>
            <w:noProof/>
            <w:webHidden/>
          </w:rPr>
          <w:t>80</w:t>
        </w:r>
        <w:r w:rsidR="00B41980">
          <w:rPr>
            <w:noProof/>
            <w:webHidden/>
          </w:rPr>
          <w:fldChar w:fldCharType="end"/>
        </w:r>
      </w:hyperlink>
    </w:p>
    <w:p w14:paraId="6395584B" w14:textId="109F706E" w:rsidR="00B41980" w:rsidRDefault="00A8526C">
      <w:pPr>
        <w:pStyle w:val="TOC1"/>
        <w:rPr>
          <w:rFonts w:asciiTheme="minorHAnsi" w:eastAsiaTheme="minorEastAsia" w:hAnsiTheme="minorHAnsi" w:cstheme="minorBidi"/>
          <w:caps w:val="0"/>
          <w:noProof/>
          <w:sz w:val="22"/>
          <w:szCs w:val="22"/>
          <w:lang w:val="en-IE" w:eastAsia="en-IE"/>
        </w:rPr>
      </w:pPr>
      <w:hyperlink w:anchor="_Toc107430120" w:history="1">
        <w:r w:rsidR="00B41980" w:rsidRPr="004751A8">
          <w:rPr>
            <w:rStyle w:val="Hyperlink"/>
            <w:noProof/>
          </w:rPr>
          <w:t>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Data gaps and limitations</w:t>
        </w:r>
        <w:r w:rsidR="00B41980">
          <w:rPr>
            <w:noProof/>
            <w:webHidden/>
          </w:rPr>
          <w:tab/>
        </w:r>
        <w:r w:rsidR="00B41980">
          <w:rPr>
            <w:noProof/>
            <w:webHidden/>
          </w:rPr>
          <w:fldChar w:fldCharType="begin"/>
        </w:r>
        <w:r w:rsidR="00B41980">
          <w:rPr>
            <w:noProof/>
            <w:webHidden/>
          </w:rPr>
          <w:instrText xml:space="preserve"> PAGEREF _Toc107430120 \h </w:instrText>
        </w:r>
        <w:r w:rsidR="00B41980">
          <w:rPr>
            <w:noProof/>
            <w:webHidden/>
          </w:rPr>
        </w:r>
        <w:r w:rsidR="00B41980">
          <w:rPr>
            <w:noProof/>
            <w:webHidden/>
          </w:rPr>
          <w:fldChar w:fldCharType="separate"/>
        </w:r>
        <w:r w:rsidR="00BC2C3A">
          <w:rPr>
            <w:noProof/>
            <w:webHidden/>
          </w:rPr>
          <w:t>80</w:t>
        </w:r>
        <w:r w:rsidR="00B41980">
          <w:rPr>
            <w:noProof/>
            <w:webHidden/>
          </w:rPr>
          <w:fldChar w:fldCharType="end"/>
        </w:r>
      </w:hyperlink>
    </w:p>
    <w:p w14:paraId="7369123B" w14:textId="1E14ABE7" w:rsidR="00B41980" w:rsidRDefault="00A8526C">
      <w:pPr>
        <w:pStyle w:val="TOC1"/>
        <w:rPr>
          <w:rFonts w:asciiTheme="minorHAnsi" w:eastAsiaTheme="minorEastAsia" w:hAnsiTheme="minorHAnsi" w:cstheme="minorBidi"/>
          <w:caps w:val="0"/>
          <w:noProof/>
          <w:sz w:val="22"/>
          <w:szCs w:val="22"/>
          <w:lang w:val="en-IE" w:eastAsia="en-IE"/>
        </w:rPr>
      </w:pPr>
      <w:hyperlink w:anchor="_Toc107430121" w:history="1">
        <w:r w:rsidR="00B41980" w:rsidRPr="004751A8">
          <w:rPr>
            <w:rStyle w:val="Hyperlink"/>
            <w:noProof/>
          </w:rPr>
          <w:t>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Gross value added of industries under the scope of the PLD</w:t>
        </w:r>
        <w:r w:rsidR="00B41980">
          <w:rPr>
            <w:noProof/>
            <w:webHidden/>
          </w:rPr>
          <w:tab/>
        </w:r>
        <w:r w:rsidR="00B41980">
          <w:rPr>
            <w:noProof/>
            <w:webHidden/>
          </w:rPr>
          <w:fldChar w:fldCharType="begin"/>
        </w:r>
        <w:r w:rsidR="00B41980">
          <w:rPr>
            <w:noProof/>
            <w:webHidden/>
          </w:rPr>
          <w:instrText xml:space="preserve"> PAGEREF _Toc107430121 \h </w:instrText>
        </w:r>
        <w:r w:rsidR="00B41980">
          <w:rPr>
            <w:noProof/>
            <w:webHidden/>
          </w:rPr>
        </w:r>
        <w:r w:rsidR="00B41980">
          <w:rPr>
            <w:noProof/>
            <w:webHidden/>
          </w:rPr>
          <w:fldChar w:fldCharType="separate"/>
        </w:r>
        <w:r w:rsidR="00BC2C3A">
          <w:rPr>
            <w:noProof/>
            <w:webHidden/>
          </w:rPr>
          <w:t>82</w:t>
        </w:r>
        <w:r w:rsidR="00B41980">
          <w:rPr>
            <w:noProof/>
            <w:webHidden/>
          </w:rPr>
          <w:fldChar w:fldCharType="end"/>
        </w:r>
      </w:hyperlink>
    </w:p>
    <w:p w14:paraId="20ED4B3C" w14:textId="79976428" w:rsidR="00B41980" w:rsidRDefault="00A8526C">
      <w:pPr>
        <w:pStyle w:val="TOC1"/>
        <w:rPr>
          <w:rFonts w:asciiTheme="minorHAnsi" w:eastAsiaTheme="minorEastAsia" w:hAnsiTheme="minorHAnsi" w:cstheme="minorBidi"/>
          <w:caps w:val="0"/>
          <w:noProof/>
          <w:sz w:val="22"/>
          <w:szCs w:val="22"/>
          <w:lang w:val="en-IE" w:eastAsia="en-IE"/>
        </w:rPr>
      </w:pPr>
      <w:hyperlink w:anchor="_Toc107430122" w:history="1">
        <w:r w:rsidR="00B41980" w:rsidRPr="004751A8">
          <w:rPr>
            <w:rStyle w:val="Hyperlink"/>
            <w:rFonts w:eastAsia="Calibri"/>
            <w:noProof/>
          </w:rPr>
          <w:t>3.</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 xml:space="preserve">Number of legal cases and compensation claims </w:t>
        </w:r>
        <w:r w:rsidR="00B41980">
          <w:rPr>
            <w:noProof/>
            <w:webHidden/>
          </w:rPr>
          <w:tab/>
        </w:r>
        <w:r w:rsidR="00B41980">
          <w:rPr>
            <w:noProof/>
            <w:webHidden/>
          </w:rPr>
          <w:fldChar w:fldCharType="begin"/>
        </w:r>
        <w:r w:rsidR="00B41980">
          <w:rPr>
            <w:noProof/>
            <w:webHidden/>
          </w:rPr>
          <w:instrText xml:space="preserve"> PAGEREF _Toc107430122 \h </w:instrText>
        </w:r>
        <w:r w:rsidR="00B41980">
          <w:rPr>
            <w:noProof/>
            <w:webHidden/>
          </w:rPr>
        </w:r>
        <w:r w:rsidR="00B41980">
          <w:rPr>
            <w:noProof/>
            <w:webHidden/>
          </w:rPr>
          <w:fldChar w:fldCharType="separate"/>
        </w:r>
        <w:r w:rsidR="00BC2C3A">
          <w:rPr>
            <w:noProof/>
            <w:webHidden/>
          </w:rPr>
          <w:t>82</w:t>
        </w:r>
        <w:r w:rsidR="00B41980">
          <w:rPr>
            <w:noProof/>
            <w:webHidden/>
          </w:rPr>
          <w:fldChar w:fldCharType="end"/>
        </w:r>
      </w:hyperlink>
    </w:p>
    <w:p w14:paraId="4A6C028E" w14:textId="1CD65837" w:rsidR="00B41980" w:rsidRDefault="00A8526C">
      <w:pPr>
        <w:pStyle w:val="TOC1"/>
        <w:rPr>
          <w:rFonts w:asciiTheme="minorHAnsi" w:eastAsiaTheme="minorEastAsia" w:hAnsiTheme="minorHAnsi" w:cstheme="minorBidi"/>
          <w:caps w:val="0"/>
          <w:noProof/>
          <w:sz w:val="22"/>
          <w:szCs w:val="22"/>
          <w:lang w:val="en-IE" w:eastAsia="en-IE"/>
        </w:rPr>
      </w:pPr>
      <w:hyperlink w:anchor="_Toc107430123" w:history="1">
        <w:r w:rsidR="00B41980" w:rsidRPr="004751A8">
          <w:rPr>
            <w:rStyle w:val="Hyperlink"/>
            <w:noProof/>
          </w:rPr>
          <w:t>4.</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Cost and Benefit Analysis</w:t>
        </w:r>
        <w:r w:rsidR="00B41980">
          <w:rPr>
            <w:noProof/>
            <w:webHidden/>
          </w:rPr>
          <w:tab/>
        </w:r>
        <w:r w:rsidR="00B41980">
          <w:rPr>
            <w:noProof/>
            <w:webHidden/>
          </w:rPr>
          <w:fldChar w:fldCharType="begin"/>
        </w:r>
        <w:r w:rsidR="00B41980">
          <w:rPr>
            <w:noProof/>
            <w:webHidden/>
          </w:rPr>
          <w:instrText xml:space="preserve"> PAGEREF _Toc107430123 \h </w:instrText>
        </w:r>
        <w:r w:rsidR="00B41980">
          <w:rPr>
            <w:noProof/>
            <w:webHidden/>
          </w:rPr>
        </w:r>
        <w:r w:rsidR="00B41980">
          <w:rPr>
            <w:noProof/>
            <w:webHidden/>
          </w:rPr>
          <w:fldChar w:fldCharType="separate"/>
        </w:r>
        <w:r w:rsidR="00BC2C3A">
          <w:rPr>
            <w:noProof/>
            <w:webHidden/>
          </w:rPr>
          <w:t>84</w:t>
        </w:r>
        <w:r w:rsidR="00B41980">
          <w:rPr>
            <w:noProof/>
            <w:webHidden/>
          </w:rPr>
          <w:fldChar w:fldCharType="end"/>
        </w:r>
      </w:hyperlink>
    </w:p>
    <w:p w14:paraId="2CAADF8C" w14:textId="198F15FF" w:rsidR="00B41980" w:rsidRDefault="00A8526C">
      <w:pPr>
        <w:pStyle w:val="TOC1"/>
        <w:rPr>
          <w:rFonts w:asciiTheme="minorHAnsi" w:eastAsiaTheme="minorEastAsia" w:hAnsiTheme="minorHAnsi" w:cstheme="minorBidi"/>
          <w:caps w:val="0"/>
          <w:noProof/>
          <w:sz w:val="22"/>
          <w:szCs w:val="22"/>
          <w:lang w:val="en-IE" w:eastAsia="en-IE"/>
        </w:rPr>
      </w:pPr>
      <w:hyperlink w:anchor="_Toc107430124" w:history="1">
        <w:r w:rsidR="00B41980" w:rsidRPr="004751A8">
          <w:rPr>
            <w:rStyle w:val="Hyperlink"/>
            <w:noProof/>
          </w:rPr>
          <w:t>4.1.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Assessment of the Benefits attributable to strict liability under the PLD</w:t>
        </w:r>
        <w:r w:rsidR="00B41980">
          <w:rPr>
            <w:noProof/>
            <w:webHidden/>
          </w:rPr>
          <w:tab/>
        </w:r>
        <w:r w:rsidR="00B41980">
          <w:rPr>
            <w:noProof/>
            <w:webHidden/>
          </w:rPr>
          <w:fldChar w:fldCharType="begin"/>
        </w:r>
        <w:r w:rsidR="00B41980">
          <w:rPr>
            <w:noProof/>
            <w:webHidden/>
          </w:rPr>
          <w:instrText xml:space="preserve"> PAGEREF _Toc107430124 \h </w:instrText>
        </w:r>
        <w:r w:rsidR="00B41980">
          <w:rPr>
            <w:noProof/>
            <w:webHidden/>
          </w:rPr>
        </w:r>
        <w:r w:rsidR="00B41980">
          <w:rPr>
            <w:noProof/>
            <w:webHidden/>
          </w:rPr>
          <w:fldChar w:fldCharType="separate"/>
        </w:r>
        <w:r w:rsidR="00BC2C3A">
          <w:rPr>
            <w:noProof/>
            <w:webHidden/>
          </w:rPr>
          <w:t>85</w:t>
        </w:r>
        <w:r w:rsidR="00B41980">
          <w:rPr>
            <w:noProof/>
            <w:webHidden/>
          </w:rPr>
          <w:fldChar w:fldCharType="end"/>
        </w:r>
      </w:hyperlink>
    </w:p>
    <w:p w14:paraId="324ECF28" w14:textId="6C387148" w:rsidR="00B41980" w:rsidRDefault="00A8526C">
      <w:pPr>
        <w:pStyle w:val="TOC1"/>
        <w:rPr>
          <w:rFonts w:asciiTheme="minorHAnsi" w:eastAsiaTheme="minorEastAsia" w:hAnsiTheme="minorHAnsi" w:cstheme="minorBidi"/>
          <w:caps w:val="0"/>
          <w:noProof/>
          <w:sz w:val="22"/>
          <w:szCs w:val="22"/>
          <w:lang w:val="en-IE" w:eastAsia="en-IE"/>
        </w:rPr>
      </w:pPr>
      <w:hyperlink w:anchor="_Toc107430125" w:history="1">
        <w:r w:rsidR="00B41980" w:rsidRPr="004751A8">
          <w:rPr>
            <w:rStyle w:val="Hyperlink"/>
            <w:noProof/>
          </w:rPr>
          <w:t>4.2.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Assessment of the costs attributable to strict liability under the PLD</w:t>
        </w:r>
        <w:r w:rsidR="00B41980">
          <w:rPr>
            <w:noProof/>
            <w:webHidden/>
          </w:rPr>
          <w:tab/>
        </w:r>
        <w:r w:rsidR="00B41980">
          <w:rPr>
            <w:noProof/>
            <w:webHidden/>
          </w:rPr>
          <w:fldChar w:fldCharType="begin"/>
        </w:r>
        <w:r w:rsidR="00B41980">
          <w:rPr>
            <w:noProof/>
            <w:webHidden/>
          </w:rPr>
          <w:instrText xml:space="preserve"> PAGEREF _Toc107430125 \h </w:instrText>
        </w:r>
        <w:r w:rsidR="00B41980">
          <w:rPr>
            <w:noProof/>
            <w:webHidden/>
          </w:rPr>
        </w:r>
        <w:r w:rsidR="00B41980">
          <w:rPr>
            <w:noProof/>
            <w:webHidden/>
          </w:rPr>
          <w:fldChar w:fldCharType="separate"/>
        </w:r>
        <w:r w:rsidR="00BC2C3A">
          <w:rPr>
            <w:noProof/>
            <w:webHidden/>
          </w:rPr>
          <w:t>88</w:t>
        </w:r>
        <w:r w:rsidR="00B41980">
          <w:rPr>
            <w:noProof/>
            <w:webHidden/>
          </w:rPr>
          <w:fldChar w:fldCharType="end"/>
        </w:r>
      </w:hyperlink>
    </w:p>
    <w:p w14:paraId="146E0E72" w14:textId="686290D3" w:rsidR="00B41980" w:rsidRDefault="00A8526C">
      <w:pPr>
        <w:pStyle w:val="TOC1"/>
        <w:rPr>
          <w:rFonts w:asciiTheme="minorHAnsi" w:eastAsiaTheme="minorEastAsia" w:hAnsiTheme="minorHAnsi" w:cstheme="minorBidi"/>
          <w:caps w:val="0"/>
          <w:noProof/>
          <w:sz w:val="22"/>
          <w:szCs w:val="22"/>
          <w:lang w:val="en-IE" w:eastAsia="en-IE"/>
        </w:rPr>
      </w:pPr>
      <w:hyperlink w:anchor="_Toc107430126" w:history="1">
        <w:r w:rsidR="00B41980" w:rsidRPr="004751A8">
          <w:rPr>
            <w:rStyle w:val="Hyperlink"/>
            <w:noProof/>
          </w:rPr>
          <w:t>4.2.1.</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Product liability insurance costs</w:t>
        </w:r>
        <w:r w:rsidR="00B41980">
          <w:rPr>
            <w:noProof/>
            <w:webHidden/>
          </w:rPr>
          <w:tab/>
        </w:r>
        <w:r w:rsidR="00B41980">
          <w:rPr>
            <w:noProof/>
            <w:webHidden/>
          </w:rPr>
          <w:fldChar w:fldCharType="begin"/>
        </w:r>
        <w:r w:rsidR="00B41980">
          <w:rPr>
            <w:noProof/>
            <w:webHidden/>
          </w:rPr>
          <w:instrText xml:space="preserve"> PAGEREF _Toc107430126 \h </w:instrText>
        </w:r>
        <w:r w:rsidR="00B41980">
          <w:rPr>
            <w:noProof/>
            <w:webHidden/>
          </w:rPr>
        </w:r>
        <w:r w:rsidR="00B41980">
          <w:rPr>
            <w:noProof/>
            <w:webHidden/>
          </w:rPr>
          <w:fldChar w:fldCharType="separate"/>
        </w:r>
        <w:r w:rsidR="00BC2C3A">
          <w:rPr>
            <w:noProof/>
            <w:webHidden/>
          </w:rPr>
          <w:t>88</w:t>
        </w:r>
        <w:r w:rsidR="00B41980">
          <w:rPr>
            <w:noProof/>
            <w:webHidden/>
          </w:rPr>
          <w:fldChar w:fldCharType="end"/>
        </w:r>
      </w:hyperlink>
    </w:p>
    <w:p w14:paraId="5D2CE7E1" w14:textId="439E3853" w:rsidR="00B41980" w:rsidRDefault="00A8526C">
      <w:pPr>
        <w:pStyle w:val="TOC1"/>
        <w:rPr>
          <w:rFonts w:asciiTheme="minorHAnsi" w:eastAsiaTheme="minorEastAsia" w:hAnsiTheme="minorHAnsi" w:cstheme="minorBidi"/>
          <w:caps w:val="0"/>
          <w:noProof/>
          <w:sz w:val="22"/>
          <w:szCs w:val="22"/>
          <w:lang w:val="en-IE" w:eastAsia="en-IE"/>
        </w:rPr>
      </w:pPr>
      <w:hyperlink w:anchor="_Toc107430127" w:history="1">
        <w:r w:rsidR="00B41980" w:rsidRPr="004751A8">
          <w:rPr>
            <w:rStyle w:val="Hyperlink"/>
            <w:noProof/>
          </w:rPr>
          <w:t>4.2.2.</w:t>
        </w:r>
        <w:r w:rsidR="00B41980">
          <w:rPr>
            <w:rFonts w:asciiTheme="minorHAnsi" w:eastAsiaTheme="minorEastAsia" w:hAnsiTheme="minorHAnsi" w:cstheme="minorBidi"/>
            <w:caps w:val="0"/>
            <w:noProof/>
            <w:sz w:val="22"/>
            <w:szCs w:val="22"/>
            <w:lang w:val="en-IE" w:eastAsia="en-IE"/>
          </w:rPr>
          <w:tab/>
        </w:r>
        <w:r w:rsidR="00B41980" w:rsidRPr="004751A8">
          <w:rPr>
            <w:rStyle w:val="Hyperlink"/>
            <w:noProof/>
          </w:rPr>
          <w:t>legal costs</w:t>
        </w:r>
        <w:r w:rsidR="00B41980">
          <w:rPr>
            <w:noProof/>
            <w:webHidden/>
          </w:rPr>
          <w:tab/>
        </w:r>
        <w:r w:rsidR="00B41980">
          <w:rPr>
            <w:noProof/>
            <w:webHidden/>
          </w:rPr>
          <w:fldChar w:fldCharType="begin"/>
        </w:r>
        <w:r w:rsidR="00B41980">
          <w:rPr>
            <w:noProof/>
            <w:webHidden/>
          </w:rPr>
          <w:instrText xml:space="preserve"> PAGEREF _Toc107430127 \h </w:instrText>
        </w:r>
        <w:r w:rsidR="00B41980">
          <w:rPr>
            <w:noProof/>
            <w:webHidden/>
          </w:rPr>
        </w:r>
        <w:r w:rsidR="00B41980">
          <w:rPr>
            <w:noProof/>
            <w:webHidden/>
          </w:rPr>
          <w:fldChar w:fldCharType="separate"/>
        </w:r>
        <w:r w:rsidR="00BC2C3A">
          <w:rPr>
            <w:noProof/>
            <w:webHidden/>
          </w:rPr>
          <w:t>90</w:t>
        </w:r>
        <w:r w:rsidR="00B41980">
          <w:rPr>
            <w:noProof/>
            <w:webHidden/>
          </w:rPr>
          <w:fldChar w:fldCharType="end"/>
        </w:r>
      </w:hyperlink>
    </w:p>
    <w:p w14:paraId="1EC892FC" w14:textId="64262F4C" w:rsidR="00B41980" w:rsidRDefault="00A8526C">
      <w:pPr>
        <w:pStyle w:val="TOC1"/>
        <w:rPr>
          <w:rFonts w:asciiTheme="minorHAnsi" w:eastAsiaTheme="minorEastAsia" w:hAnsiTheme="minorHAnsi" w:cstheme="minorBidi"/>
          <w:caps w:val="0"/>
          <w:noProof/>
          <w:sz w:val="22"/>
          <w:szCs w:val="22"/>
          <w:lang w:val="en-IE" w:eastAsia="en-IE"/>
        </w:rPr>
      </w:pPr>
      <w:hyperlink w:anchor="_Toc107430128" w:history="1">
        <w:r w:rsidR="00B41980" w:rsidRPr="004751A8">
          <w:rPr>
            <w:rStyle w:val="Hyperlink"/>
            <w:noProof/>
          </w:rPr>
          <w:t>Annex 5 – Matters to be clarified in the context of revising the Product Liability Directive</w:t>
        </w:r>
        <w:r w:rsidR="00B41980">
          <w:rPr>
            <w:noProof/>
            <w:webHidden/>
          </w:rPr>
          <w:tab/>
        </w:r>
        <w:r w:rsidR="00B41980">
          <w:rPr>
            <w:noProof/>
            <w:webHidden/>
          </w:rPr>
          <w:fldChar w:fldCharType="begin"/>
        </w:r>
        <w:r w:rsidR="00B41980">
          <w:rPr>
            <w:noProof/>
            <w:webHidden/>
          </w:rPr>
          <w:instrText xml:space="preserve"> PAGEREF _Toc107430128 \h </w:instrText>
        </w:r>
        <w:r w:rsidR="00B41980">
          <w:rPr>
            <w:noProof/>
            <w:webHidden/>
          </w:rPr>
        </w:r>
        <w:r w:rsidR="00B41980">
          <w:rPr>
            <w:noProof/>
            <w:webHidden/>
          </w:rPr>
          <w:fldChar w:fldCharType="separate"/>
        </w:r>
        <w:r w:rsidR="00BC2C3A">
          <w:rPr>
            <w:noProof/>
            <w:webHidden/>
          </w:rPr>
          <w:t>94</w:t>
        </w:r>
        <w:r w:rsidR="00B41980">
          <w:rPr>
            <w:noProof/>
            <w:webHidden/>
          </w:rPr>
          <w:fldChar w:fldCharType="end"/>
        </w:r>
      </w:hyperlink>
    </w:p>
    <w:p w14:paraId="0FBB84C6" w14:textId="6F99BE18" w:rsidR="00B41980" w:rsidRDefault="00A8526C">
      <w:pPr>
        <w:pStyle w:val="TOC1"/>
        <w:rPr>
          <w:rFonts w:asciiTheme="minorHAnsi" w:eastAsiaTheme="minorEastAsia" w:hAnsiTheme="minorHAnsi" w:cstheme="minorBidi"/>
          <w:caps w:val="0"/>
          <w:noProof/>
          <w:sz w:val="22"/>
          <w:szCs w:val="22"/>
          <w:lang w:val="en-IE" w:eastAsia="en-IE"/>
        </w:rPr>
      </w:pPr>
      <w:hyperlink w:anchor="_Toc107430129" w:history="1">
        <w:r w:rsidR="00B41980" w:rsidRPr="004751A8">
          <w:rPr>
            <w:rStyle w:val="Hyperlink"/>
            <w:noProof/>
          </w:rPr>
          <w:t>Annex 6: Viability of non-binding guidance</w:t>
        </w:r>
        <w:r w:rsidR="00B41980">
          <w:rPr>
            <w:noProof/>
            <w:webHidden/>
          </w:rPr>
          <w:tab/>
        </w:r>
        <w:r w:rsidR="00B41980">
          <w:rPr>
            <w:noProof/>
            <w:webHidden/>
          </w:rPr>
          <w:fldChar w:fldCharType="begin"/>
        </w:r>
        <w:r w:rsidR="00B41980">
          <w:rPr>
            <w:noProof/>
            <w:webHidden/>
          </w:rPr>
          <w:instrText xml:space="preserve"> PAGEREF _Toc107430129 \h </w:instrText>
        </w:r>
        <w:r w:rsidR="00B41980">
          <w:rPr>
            <w:noProof/>
            <w:webHidden/>
          </w:rPr>
        </w:r>
        <w:r w:rsidR="00B41980">
          <w:rPr>
            <w:noProof/>
            <w:webHidden/>
          </w:rPr>
          <w:fldChar w:fldCharType="separate"/>
        </w:r>
        <w:r w:rsidR="00BC2C3A">
          <w:rPr>
            <w:noProof/>
            <w:webHidden/>
          </w:rPr>
          <w:t>96</w:t>
        </w:r>
        <w:r w:rsidR="00B41980">
          <w:rPr>
            <w:noProof/>
            <w:webHidden/>
          </w:rPr>
          <w:fldChar w:fldCharType="end"/>
        </w:r>
      </w:hyperlink>
    </w:p>
    <w:p w14:paraId="27E14E63" w14:textId="470914D5" w:rsidR="00B41980" w:rsidRDefault="00A8526C">
      <w:pPr>
        <w:pStyle w:val="TOC1"/>
        <w:rPr>
          <w:rFonts w:asciiTheme="minorHAnsi" w:eastAsiaTheme="minorEastAsia" w:hAnsiTheme="minorHAnsi" w:cstheme="minorBidi"/>
          <w:caps w:val="0"/>
          <w:noProof/>
          <w:sz w:val="22"/>
          <w:szCs w:val="22"/>
          <w:lang w:val="en-IE" w:eastAsia="en-IE"/>
        </w:rPr>
      </w:pPr>
      <w:hyperlink w:anchor="_Toc107430130" w:history="1">
        <w:r w:rsidR="00B41980" w:rsidRPr="004751A8">
          <w:rPr>
            <w:rStyle w:val="Hyperlink"/>
            <w:noProof/>
          </w:rPr>
          <w:t>Annex 7: Further details of legal context</w:t>
        </w:r>
        <w:r w:rsidR="00B41980">
          <w:rPr>
            <w:noProof/>
            <w:webHidden/>
          </w:rPr>
          <w:tab/>
        </w:r>
        <w:r w:rsidR="00B41980">
          <w:rPr>
            <w:noProof/>
            <w:webHidden/>
          </w:rPr>
          <w:fldChar w:fldCharType="begin"/>
        </w:r>
        <w:r w:rsidR="00B41980">
          <w:rPr>
            <w:noProof/>
            <w:webHidden/>
          </w:rPr>
          <w:instrText xml:space="preserve"> PAGEREF _Toc107430130 \h </w:instrText>
        </w:r>
        <w:r w:rsidR="00B41980">
          <w:rPr>
            <w:noProof/>
            <w:webHidden/>
          </w:rPr>
        </w:r>
        <w:r w:rsidR="00B41980">
          <w:rPr>
            <w:noProof/>
            <w:webHidden/>
          </w:rPr>
          <w:fldChar w:fldCharType="separate"/>
        </w:r>
        <w:r w:rsidR="00BC2C3A">
          <w:rPr>
            <w:noProof/>
            <w:webHidden/>
          </w:rPr>
          <w:t>98</w:t>
        </w:r>
        <w:r w:rsidR="00B41980">
          <w:rPr>
            <w:noProof/>
            <w:webHidden/>
          </w:rPr>
          <w:fldChar w:fldCharType="end"/>
        </w:r>
      </w:hyperlink>
    </w:p>
    <w:p w14:paraId="0988F71F" w14:textId="060574D0" w:rsidR="00B41980" w:rsidRDefault="00A8526C">
      <w:pPr>
        <w:pStyle w:val="TOC3"/>
        <w:tabs>
          <w:tab w:val="right" w:leader="dot" w:pos="8608"/>
        </w:tabs>
        <w:rPr>
          <w:rFonts w:asciiTheme="minorHAnsi" w:eastAsiaTheme="minorEastAsia" w:hAnsiTheme="minorHAnsi"/>
          <w:noProof/>
          <w:lang w:val="en-IE" w:eastAsia="en-IE"/>
        </w:rPr>
      </w:pPr>
      <w:hyperlink w:anchor="_Toc107430131" w:history="1">
        <w:r w:rsidR="00B41980" w:rsidRPr="004751A8">
          <w:rPr>
            <w:rStyle w:val="Hyperlink"/>
            <w:noProof/>
            <w:lang w:val="en-IE"/>
          </w:rPr>
          <w:t>Interplay of PLD with other liability regimes</w:t>
        </w:r>
        <w:r w:rsidR="00B41980">
          <w:rPr>
            <w:noProof/>
            <w:webHidden/>
          </w:rPr>
          <w:tab/>
        </w:r>
        <w:r w:rsidR="00B41980">
          <w:rPr>
            <w:noProof/>
            <w:webHidden/>
          </w:rPr>
          <w:fldChar w:fldCharType="begin"/>
        </w:r>
        <w:r w:rsidR="00B41980">
          <w:rPr>
            <w:noProof/>
            <w:webHidden/>
          </w:rPr>
          <w:instrText xml:space="preserve"> PAGEREF _Toc107430131 \h </w:instrText>
        </w:r>
        <w:r w:rsidR="00B41980">
          <w:rPr>
            <w:noProof/>
            <w:webHidden/>
          </w:rPr>
        </w:r>
        <w:r w:rsidR="00B41980">
          <w:rPr>
            <w:noProof/>
            <w:webHidden/>
          </w:rPr>
          <w:fldChar w:fldCharType="separate"/>
        </w:r>
        <w:r w:rsidR="00BC2C3A">
          <w:rPr>
            <w:noProof/>
            <w:webHidden/>
          </w:rPr>
          <w:t>98</w:t>
        </w:r>
        <w:r w:rsidR="00B41980">
          <w:rPr>
            <w:noProof/>
            <w:webHidden/>
          </w:rPr>
          <w:fldChar w:fldCharType="end"/>
        </w:r>
      </w:hyperlink>
    </w:p>
    <w:p w14:paraId="667D1ADB" w14:textId="490D336D"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132" w:history="1">
        <w:r w:rsidR="00B41980" w:rsidRPr="004751A8">
          <w:rPr>
            <w:rStyle w:val="Hyperlink"/>
            <w:noProof/>
            <w:lang w:val="en-IE"/>
          </w:rPr>
          <w:t>1.1.1.</w:t>
        </w:r>
        <w:r w:rsidR="00B41980">
          <w:rPr>
            <w:rFonts w:asciiTheme="minorHAnsi" w:eastAsiaTheme="minorEastAsia" w:hAnsiTheme="minorHAnsi"/>
            <w:noProof/>
            <w:lang w:val="en-IE" w:eastAsia="en-IE"/>
          </w:rPr>
          <w:tab/>
        </w:r>
        <w:r w:rsidR="00B41980" w:rsidRPr="004751A8">
          <w:rPr>
            <w:rStyle w:val="Hyperlink"/>
            <w:noProof/>
            <w:lang w:val="en-IE"/>
          </w:rPr>
          <w:t>Interplay of PLD with other EU legislation</w:t>
        </w:r>
        <w:r w:rsidR="00B41980">
          <w:rPr>
            <w:noProof/>
            <w:webHidden/>
          </w:rPr>
          <w:tab/>
        </w:r>
        <w:r w:rsidR="00B41980">
          <w:rPr>
            <w:noProof/>
            <w:webHidden/>
          </w:rPr>
          <w:fldChar w:fldCharType="begin"/>
        </w:r>
        <w:r w:rsidR="00B41980">
          <w:rPr>
            <w:noProof/>
            <w:webHidden/>
          </w:rPr>
          <w:instrText xml:space="preserve"> PAGEREF _Toc107430132 \h </w:instrText>
        </w:r>
        <w:r w:rsidR="00B41980">
          <w:rPr>
            <w:noProof/>
            <w:webHidden/>
          </w:rPr>
        </w:r>
        <w:r w:rsidR="00B41980">
          <w:rPr>
            <w:noProof/>
            <w:webHidden/>
          </w:rPr>
          <w:fldChar w:fldCharType="separate"/>
        </w:r>
        <w:r w:rsidR="00BC2C3A">
          <w:rPr>
            <w:noProof/>
            <w:webHidden/>
          </w:rPr>
          <w:t>98</w:t>
        </w:r>
        <w:r w:rsidR="00B41980">
          <w:rPr>
            <w:noProof/>
            <w:webHidden/>
          </w:rPr>
          <w:fldChar w:fldCharType="end"/>
        </w:r>
      </w:hyperlink>
    </w:p>
    <w:p w14:paraId="687C1F0B" w14:textId="7203295B" w:rsidR="00B41980" w:rsidRDefault="00A8526C">
      <w:pPr>
        <w:pStyle w:val="TOC3"/>
        <w:tabs>
          <w:tab w:val="left" w:pos="1320"/>
          <w:tab w:val="right" w:leader="dot" w:pos="8608"/>
        </w:tabs>
        <w:rPr>
          <w:rFonts w:asciiTheme="minorHAnsi" w:eastAsiaTheme="minorEastAsia" w:hAnsiTheme="minorHAnsi"/>
          <w:noProof/>
          <w:lang w:val="en-IE" w:eastAsia="en-IE"/>
        </w:rPr>
      </w:pPr>
      <w:hyperlink w:anchor="_Toc107430133" w:history="1">
        <w:r w:rsidR="00B41980" w:rsidRPr="004751A8">
          <w:rPr>
            <w:rStyle w:val="Hyperlink"/>
            <w:noProof/>
            <w:lang w:val="en-IE"/>
          </w:rPr>
          <w:t>1.1.2.</w:t>
        </w:r>
        <w:r w:rsidR="00B41980">
          <w:rPr>
            <w:rFonts w:asciiTheme="minorHAnsi" w:eastAsiaTheme="minorEastAsia" w:hAnsiTheme="minorHAnsi"/>
            <w:noProof/>
            <w:lang w:val="en-IE" w:eastAsia="en-IE"/>
          </w:rPr>
          <w:tab/>
        </w:r>
        <w:r w:rsidR="00B41980" w:rsidRPr="004751A8">
          <w:rPr>
            <w:rStyle w:val="Hyperlink"/>
            <w:noProof/>
            <w:lang w:val="en-IE"/>
          </w:rPr>
          <w:t>Interplay with ongoing initiatives</w:t>
        </w:r>
        <w:r w:rsidR="00B41980">
          <w:rPr>
            <w:noProof/>
            <w:webHidden/>
          </w:rPr>
          <w:tab/>
        </w:r>
        <w:r w:rsidR="00B41980">
          <w:rPr>
            <w:noProof/>
            <w:webHidden/>
          </w:rPr>
          <w:fldChar w:fldCharType="begin"/>
        </w:r>
        <w:r w:rsidR="00B41980">
          <w:rPr>
            <w:noProof/>
            <w:webHidden/>
          </w:rPr>
          <w:instrText xml:space="preserve"> PAGEREF _Toc107430133 \h </w:instrText>
        </w:r>
        <w:r w:rsidR="00B41980">
          <w:rPr>
            <w:noProof/>
            <w:webHidden/>
          </w:rPr>
        </w:r>
        <w:r w:rsidR="00B41980">
          <w:rPr>
            <w:noProof/>
            <w:webHidden/>
          </w:rPr>
          <w:fldChar w:fldCharType="separate"/>
        </w:r>
        <w:r w:rsidR="00BC2C3A">
          <w:rPr>
            <w:noProof/>
            <w:webHidden/>
          </w:rPr>
          <w:t>100</w:t>
        </w:r>
        <w:r w:rsidR="00B41980">
          <w:rPr>
            <w:noProof/>
            <w:webHidden/>
          </w:rPr>
          <w:fldChar w:fldCharType="end"/>
        </w:r>
      </w:hyperlink>
    </w:p>
    <w:p w14:paraId="7CBFE0E1" w14:textId="55FEA362" w:rsidR="00B41980" w:rsidRDefault="00A8526C">
      <w:pPr>
        <w:pStyle w:val="TOC1"/>
        <w:rPr>
          <w:rFonts w:asciiTheme="minorHAnsi" w:eastAsiaTheme="minorEastAsia" w:hAnsiTheme="minorHAnsi" w:cstheme="minorBidi"/>
          <w:caps w:val="0"/>
          <w:noProof/>
          <w:sz w:val="22"/>
          <w:szCs w:val="22"/>
          <w:lang w:val="en-IE" w:eastAsia="en-IE"/>
        </w:rPr>
      </w:pPr>
      <w:hyperlink w:anchor="_Toc107430134" w:history="1">
        <w:r w:rsidR="00B41980" w:rsidRPr="004751A8">
          <w:rPr>
            <w:rStyle w:val="Hyperlink"/>
            <w:noProof/>
          </w:rPr>
          <w:t>Annex 8: Products that may carry risks but are not defective</w:t>
        </w:r>
        <w:r w:rsidR="00B41980">
          <w:rPr>
            <w:noProof/>
            <w:webHidden/>
          </w:rPr>
          <w:tab/>
        </w:r>
        <w:r w:rsidR="00B41980">
          <w:rPr>
            <w:noProof/>
            <w:webHidden/>
          </w:rPr>
          <w:fldChar w:fldCharType="begin"/>
        </w:r>
        <w:r w:rsidR="00B41980">
          <w:rPr>
            <w:noProof/>
            <w:webHidden/>
          </w:rPr>
          <w:instrText xml:space="preserve"> PAGEREF _Toc107430134 \h </w:instrText>
        </w:r>
        <w:r w:rsidR="00B41980">
          <w:rPr>
            <w:noProof/>
            <w:webHidden/>
          </w:rPr>
        </w:r>
        <w:r w:rsidR="00B41980">
          <w:rPr>
            <w:noProof/>
            <w:webHidden/>
          </w:rPr>
          <w:fldChar w:fldCharType="separate"/>
        </w:r>
        <w:r w:rsidR="00BC2C3A">
          <w:rPr>
            <w:noProof/>
            <w:webHidden/>
          </w:rPr>
          <w:t>101</w:t>
        </w:r>
        <w:r w:rsidR="00B41980">
          <w:rPr>
            <w:noProof/>
            <w:webHidden/>
          </w:rPr>
          <w:fldChar w:fldCharType="end"/>
        </w:r>
      </w:hyperlink>
    </w:p>
    <w:p w14:paraId="6823098D" w14:textId="2BB0B59A" w:rsidR="00B41980" w:rsidRDefault="00A8526C">
      <w:pPr>
        <w:pStyle w:val="TOC1"/>
        <w:rPr>
          <w:rFonts w:asciiTheme="minorHAnsi" w:eastAsiaTheme="minorEastAsia" w:hAnsiTheme="minorHAnsi" w:cstheme="minorBidi"/>
          <w:caps w:val="0"/>
          <w:noProof/>
          <w:sz w:val="22"/>
          <w:szCs w:val="22"/>
          <w:lang w:val="en-IE" w:eastAsia="en-IE"/>
        </w:rPr>
      </w:pPr>
      <w:hyperlink w:anchor="_Toc107430135" w:history="1">
        <w:r w:rsidR="00B41980" w:rsidRPr="004751A8">
          <w:rPr>
            <w:rStyle w:val="Hyperlink"/>
            <w:noProof/>
          </w:rPr>
          <w:t>Annex 9 – Indicators for monitoring impacts of preferred option</w:t>
        </w:r>
        <w:r w:rsidR="00B41980">
          <w:rPr>
            <w:noProof/>
            <w:webHidden/>
          </w:rPr>
          <w:tab/>
        </w:r>
        <w:r w:rsidR="00B41980">
          <w:rPr>
            <w:noProof/>
            <w:webHidden/>
          </w:rPr>
          <w:fldChar w:fldCharType="begin"/>
        </w:r>
        <w:r w:rsidR="00B41980">
          <w:rPr>
            <w:noProof/>
            <w:webHidden/>
          </w:rPr>
          <w:instrText xml:space="preserve"> PAGEREF _Toc107430135 \h </w:instrText>
        </w:r>
        <w:r w:rsidR="00B41980">
          <w:rPr>
            <w:noProof/>
            <w:webHidden/>
          </w:rPr>
        </w:r>
        <w:r w:rsidR="00B41980">
          <w:rPr>
            <w:noProof/>
            <w:webHidden/>
          </w:rPr>
          <w:fldChar w:fldCharType="separate"/>
        </w:r>
        <w:r w:rsidR="00BC2C3A">
          <w:rPr>
            <w:noProof/>
            <w:webHidden/>
          </w:rPr>
          <w:t>103</w:t>
        </w:r>
        <w:r w:rsidR="00B41980">
          <w:rPr>
            <w:noProof/>
            <w:webHidden/>
          </w:rPr>
          <w:fldChar w:fldCharType="end"/>
        </w:r>
      </w:hyperlink>
    </w:p>
    <w:p w14:paraId="23326321" w14:textId="1955373F" w:rsidR="00B41980" w:rsidRDefault="00A8526C">
      <w:pPr>
        <w:pStyle w:val="TOC1"/>
        <w:rPr>
          <w:rFonts w:asciiTheme="minorHAnsi" w:eastAsiaTheme="minorEastAsia" w:hAnsiTheme="minorHAnsi" w:cstheme="minorBidi"/>
          <w:caps w:val="0"/>
          <w:noProof/>
          <w:sz w:val="22"/>
          <w:szCs w:val="22"/>
          <w:lang w:val="en-IE" w:eastAsia="en-IE"/>
        </w:rPr>
      </w:pPr>
      <w:hyperlink w:anchor="_Toc107430136" w:history="1">
        <w:r w:rsidR="00B41980" w:rsidRPr="004751A8">
          <w:rPr>
            <w:rStyle w:val="Hyperlink"/>
            <w:noProof/>
          </w:rPr>
          <w:t>Annex 10 – SME Test – summary of results</w:t>
        </w:r>
        <w:r w:rsidR="00B41980">
          <w:rPr>
            <w:noProof/>
            <w:webHidden/>
          </w:rPr>
          <w:tab/>
        </w:r>
        <w:r w:rsidR="00B41980">
          <w:rPr>
            <w:noProof/>
            <w:webHidden/>
          </w:rPr>
          <w:fldChar w:fldCharType="begin"/>
        </w:r>
        <w:r w:rsidR="00B41980">
          <w:rPr>
            <w:noProof/>
            <w:webHidden/>
          </w:rPr>
          <w:instrText xml:space="preserve"> PAGEREF _Toc107430136 \h </w:instrText>
        </w:r>
        <w:r w:rsidR="00B41980">
          <w:rPr>
            <w:noProof/>
            <w:webHidden/>
          </w:rPr>
        </w:r>
        <w:r w:rsidR="00B41980">
          <w:rPr>
            <w:noProof/>
            <w:webHidden/>
          </w:rPr>
          <w:fldChar w:fldCharType="separate"/>
        </w:r>
        <w:r w:rsidR="00BC2C3A">
          <w:rPr>
            <w:noProof/>
            <w:webHidden/>
          </w:rPr>
          <w:t>104</w:t>
        </w:r>
        <w:r w:rsidR="00B41980">
          <w:rPr>
            <w:noProof/>
            <w:webHidden/>
          </w:rPr>
          <w:fldChar w:fldCharType="end"/>
        </w:r>
      </w:hyperlink>
    </w:p>
    <w:p w14:paraId="2CCD031E" w14:textId="3D8D9F6A" w:rsidR="006B087E" w:rsidRDefault="006B087E" w:rsidP="006B087E">
      <w:pPr>
        <w:rPr>
          <w:noProof/>
        </w:rPr>
      </w:pPr>
      <w:r>
        <w:rPr>
          <w:noProof/>
        </w:rPr>
        <w:fldChar w:fldCharType="end"/>
      </w:r>
    </w:p>
    <w:p w14:paraId="4FFD63C0" w14:textId="77777777" w:rsidR="006B087E" w:rsidRPr="001548C7" w:rsidRDefault="006B087E" w:rsidP="006B087E">
      <w:pPr>
        <w:jc w:val="center"/>
        <w:rPr>
          <w:b/>
          <w:noProof/>
          <w:sz w:val="28"/>
          <w:szCs w:val="28"/>
        </w:rPr>
      </w:pPr>
      <w:r w:rsidRPr="001548C7">
        <w:rPr>
          <w:b/>
          <w:noProof/>
          <w:sz w:val="28"/>
          <w:szCs w:val="28"/>
        </w:rPr>
        <w:t>Glossary</w:t>
      </w:r>
    </w:p>
    <w:tbl>
      <w:tblPr>
        <w:tblStyle w:val="TableGrid"/>
        <w:tblW w:w="0" w:type="auto"/>
        <w:tblLook w:val="04A0" w:firstRow="1" w:lastRow="0" w:firstColumn="1" w:lastColumn="0" w:noHBand="0" w:noVBand="1"/>
      </w:tblPr>
      <w:tblGrid>
        <w:gridCol w:w="3227"/>
        <w:gridCol w:w="5607"/>
      </w:tblGrid>
      <w:tr w:rsidR="006B087E" w14:paraId="4A80F1D9" w14:textId="77777777" w:rsidTr="006C5B89">
        <w:tc>
          <w:tcPr>
            <w:tcW w:w="3227" w:type="dxa"/>
            <w:tcBorders>
              <w:bottom w:val="double" w:sz="4" w:space="0" w:color="auto"/>
            </w:tcBorders>
            <w:shd w:val="clear" w:color="auto" w:fill="F2F2F2" w:themeFill="background1" w:themeFillShade="F2"/>
          </w:tcPr>
          <w:p w14:paraId="46E88C06" w14:textId="77777777" w:rsidR="006B087E" w:rsidRPr="001548C7" w:rsidRDefault="006B087E" w:rsidP="006C5B89">
            <w:pPr>
              <w:spacing w:before="120" w:after="120"/>
              <w:jc w:val="center"/>
              <w:rPr>
                <w:b/>
                <w:i/>
                <w:noProof/>
              </w:rPr>
            </w:pPr>
            <w:r w:rsidRPr="001548C7">
              <w:rPr>
                <w:b/>
                <w:i/>
                <w:noProof/>
              </w:rPr>
              <w:t>Term or acronym</w:t>
            </w:r>
          </w:p>
        </w:tc>
        <w:tc>
          <w:tcPr>
            <w:tcW w:w="5607" w:type="dxa"/>
            <w:tcBorders>
              <w:bottom w:val="double" w:sz="4" w:space="0" w:color="auto"/>
            </w:tcBorders>
            <w:shd w:val="clear" w:color="auto" w:fill="F2F2F2" w:themeFill="background1" w:themeFillShade="F2"/>
          </w:tcPr>
          <w:p w14:paraId="6250A2C3" w14:textId="77777777" w:rsidR="006B087E" w:rsidRPr="001548C7" w:rsidRDefault="006B087E" w:rsidP="006C5B89">
            <w:pPr>
              <w:spacing w:before="120" w:after="120"/>
              <w:jc w:val="center"/>
              <w:rPr>
                <w:b/>
                <w:i/>
                <w:noProof/>
              </w:rPr>
            </w:pPr>
            <w:r w:rsidRPr="001548C7">
              <w:rPr>
                <w:b/>
                <w:i/>
                <w:noProof/>
              </w:rPr>
              <w:t>Meaning or definition</w:t>
            </w:r>
          </w:p>
        </w:tc>
      </w:tr>
      <w:tr w:rsidR="006B087E" w14:paraId="229568FE" w14:textId="77777777" w:rsidTr="00F71495">
        <w:tc>
          <w:tcPr>
            <w:tcW w:w="3227" w:type="dxa"/>
            <w:tcBorders>
              <w:top w:val="double" w:sz="4" w:space="0" w:color="auto"/>
            </w:tcBorders>
            <w:tcMar>
              <w:top w:w="85" w:type="dxa"/>
              <w:left w:w="57" w:type="dxa"/>
              <w:bottom w:w="85" w:type="dxa"/>
              <w:right w:w="57" w:type="dxa"/>
            </w:tcMar>
            <w:vAlign w:val="center"/>
          </w:tcPr>
          <w:p w14:paraId="4FCAF7F5" w14:textId="3BE60A9A" w:rsidR="006B087E" w:rsidRDefault="00F71495" w:rsidP="006C5B89">
            <w:pPr>
              <w:rPr>
                <w:noProof/>
              </w:rPr>
            </w:pPr>
            <w:r w:rsidRPr="00FF5955">
              <w:rPr>
                <w:rFonts w:cstheme="minorHAnsi"/>
                <w:noProof/>
              </w:rPr>
              <w:t>ADR</w:t>
            </w:r>
          </w:p>
        </w:tc>
        <w:tc>
          <w:tcPr>
            <w:tcW w:w="5607" w:type="dxa"/>
            <w:tcBorders>
              <w:top w:val="double" w:sz="4" w:space="0" w:color="auto"/>
            </w:tcBorders>
            <w:tcMar>
              <w:top w:w="85" w:type="dxa"/>
              <w:left w:w="57" w:type="dxa"/>
              <w:bottom w:w="85" w:type="dxa"/>
              <w:right w:w="57" w:type="dxa"/>
            </w:tcMar>
            <w:vAlign w:val="center"/>
          </w:tcPr>
          <w:p w14:paraId="389761F3" w14:textId="03318C91" w:rsidR="006B087E" w:rsidRDefault="00F71495" w:rsidP="006C5B89">
            <w:pPr>
              <w:rPr>
                <w:noProof/>
              </w:rPr>
            </w:pPr>
            <w:r w:rsidRPr="00FF5955">
              <w:rPr>
                <w:rFonts w:cstheme="minorHAnsi"/>
                <w:noProof/>
              </w:rPr>
              <w:t>Alternative dispute resolution</w:t>
            </w:r>
          </w:p>
        </w:tc>
      </w:tr>
      <w:tr w:rsidR="006B087E" w14:paraId="7DB54FE4" w14:textId="77777777" w:rsidTr="00F71495">
        <w:tc>
          <w:tcPr>
            <w:tcW w:w="3227" w:type="dxa"/>
            <w:tcMar>
              <w:top w:w="85" w:type="dxa"/>
              <w:left w:w="57" w:type="dxa"/>
              <w:bottom w:w="85" w:type="dxa"/>
              <w:right w:w="57" w:type="dxa"/>
            </w:tcMar>
            <w:vAlign w:val="center"/>
          </w:tcPr>
          <w:p w14:paraId="58E99736" w14:textId="1EEA4941" w:rsidR="006B087E" w:rsidRDefault="00F71495" w:rsidP="006C5B89">
            <w:pPr>
              <w:rPr>
                <w:noProof/>
              </w:rPr>
            </w:pPr>
            <w:r w:rsidRPr="00FF5955">
              <w:rPr>
                <w:rFonts w:cstheme="minorHAnsi"/>
                <w:noProof/>
              </w:rPr>
              <w:t>AI</w:t>
            </w:r>
          </w:p>
        </w:tc>
        <w:tc>
          <w:tcPr>
            <w:tcW w:w="5607" w:type="dxa"/>
            <w:tcMar>
              <w:top w:w="85" w:type="dxa"/>
              <w:left w:w="57" w:type="dxa"/>
              <w:bottom w:w="85" w:type="dxa"/>
              <w:right w:w="57" w:type="dxa"/>
            </w:tcMar>
            <w:vAlign w:val="center"/>
          </w:tcPr>
          <w:p w14:paraId="145AE2A3" w14:textId="1D090D66" w:rsidR="006B087E" w:rsidRDefault="00F71495" w:rsidP="006C5B89">
            <w:pPr>
              <w:rPr>
                <w:noProof/>
              </w:rPr>
            </w:pPr>
            <w:r w:rsidRPr="00FF5955">
              <w:rPr>
                <w:rFonts w:cstheme="minorHAnsi"/>
                <w:noProof/>
              </w:rPr>
              <w:t>Artificial intelligence</w:t>
            </w:r>
          </w:p>
        </w:tc>
      </w:tr>
      <w:tr w:rsidR="00700450" w14:paraId="7601766C" w14:textId="77777777" w:rsidTr="00F71495">
        <w:tc>
          <w:tcPr>
            <w:tcW w:w="3227" w:type="dxa"/>
            <w:tcMar>
              <w:top w:w="85" w:type="dxa"/>
              <w:left w:w="57" w:type="dxa"/>
              <w:bottom w:w="85" w:type="dxa"/>
              <w:right w:w="57" w:type="dxa"/>
            </w:tcMar>
            <w:vAlign w:val="center"/>
          </w:tcPr>
          <w:p w14:paraId="725AB072" w14:textId="28036D05" w:rsidR="00700450" w:rsidRPr="00FF5955" w:rsidRDefault="00700450" w:rsidP="006C5B89">
            <w:pPr>
              <w:rPr>
                <w:rFonts w:cstheme="minorHAnsi"/>
                <w:noProof/>
              </w:rPr>
            </w:pPr>
            <w:r>
              <w:rPr>
                <w:rFonts w:cstheme="minorHAnsi"/>
                <w:noProof/>
              </w:rPr>
              <w:t>AI Act</w:t>
            </w:r>
          </w:p>
        </w:tc>
        <w:tc>
          <w:tcPr>
            <w:tcW w:w="5607" w:type="dxa"/>
            <w:tcMar>
              <w:top w:w="85" w:type="dxa"/>
              <w:left w:w="57" w:type="dxa"/>
              <w:bottom w:w="85" w:type="dxa"/>
              <w:right w:w="57" w:type="dxa"/>
            </w:tcMar>
            <w:vAlign w:val="center"/>
          </w:tcPr>
          <w:p w14:paraId="1C2FEF71" w14:textId="7D7EBAF1" w:rsidR="00700450" w:rsidRPr="00FF5955" w:rsidRDefault="00700450" w:rsidP="006C5B89">
            <w:pPr>
              <w:rPr>
                <w:rFonts w:cstheme="minorHAnsi"/>
                <w:noProof/>
              </w:rPr>
            </w:pPr>
            <w:r>
              <w:rPr>
                <w:rFonts w:cstheme="minorHAnsi"/>
                <w:noProof/>
              </w:rPr>
              <w:t>Proposal for an AI Act (</w:t>
            </w:r>
            <w:r w:rsidRPr="006045F3">
              <w:rPr>
                <w:noProof/>
                <w:sz w:val="18"/>
                <w:szCs w:val="18"/>
                <w:lang w:val="en-IE"/>
              </w:rPr>
              <w:t>COM(2021)206</w:t>
            </w:r>
            <w:r>
              <w:rPr>
                <w:noProof/>
                <w:sz w:val="18"/>
                <w:szCs w:val="18"/>
                <w:lang w:val="en-IE"/>
              </w:rPr>
              <w:t>)</w:t>
            </w:r>
          </w:p>
        </w:tc>
      </w:tr>
      <w:tr w:rsidR="006B087E" w14:paraId="31D43250" w14:textId="77777777" w:rsidTr="00F71495">
        <w:tc>
          <w:tcPr>
            <w:tcW w:w="3227" w:type="dxa"/>
            <w:tcMar>
              <w:top w:w="85" w:type="dxa"/>
              <w:left w:w="57" w:type="dxa"/>
              <w:bottom w:w="85" w:type="dxa"/>
              <w:right w:w="57" w:type="dxa"/>
            </w:tcMar>
            <w:vAlign w:val="center"/>
          </w:tcPr>
          <w:p w14:paraId="2FC6E560" w14:textId="7F53B0CE" w:rsidR="006B087E" w:rsidRDefault="00F71495" w:rsidP="006C5B89">
            <w:pPr>
              <w:rPr>
                <w:noProof/>
              </w:rPr>
            </w:pPr>
            <w:r w:rsidRPr="00FF5955">
              <w:rPr>
                <w:rFonts w:cstheme="minorHAnsi"/>
                <w:noProof/>
              </w:rPr>
              <w:t>BaU</w:t>
            </w:r>
          </w:p>
        </w:tc>
        <w:tc>
          <w:tcPr>
            <w:tcW w:w="5607" w:type="dxa"/>
            <w:tcMar>
              <w:top w:w="85" w:type="dxa"/>
              <w:left w:w="57" w:type="dxa"/>
              <w:bottom w:w="85" w:type="dxa"/>
              <w:right w:w="57" w:type="dxa"/>
            </w:tcMar>
            <w:vAlign w:val="center"/>
          </w:tcPr>
          <w:p w14:paraId="7C5A5DFA" w14:textId="690C53CF" w:rsidR="006B087E" w:rsidRDefault="00F71495" w:rsidP="006C5B89">
            <w:pPr>
              <w:rPr>
                <w:noProof/>
              </w:rPr>
            </w:pPr>
            <w:r w:rsidRPr="00FF5955">
              <w:rPr>
                <w:rFonts w:cstheme="minorHAnsi"/>
                <w:noProof/>
              </w:rPr>
              <w:t xml:space="preserve">Business as Usual costs (costs that </w:t>
            </w:r>
            <w:r w:rsidR="00853797">
              <w:rPr>
                <w:rFonts w:cstheme="minorHAnsi"/>
                <w:noProof/>
              </w:rPr>
              <w:t>w</w:t>
            </w:r>
            <w:r w:rsidRPr="00FF5955">
              <w:rPr>
                <w:rFonts w:cstheme="minorHAnsi"/>
                <w:noProof/>
              </w:rPr>
              <w:t xml:space="preserve">ould be incurred anyway by business regardless </w:t>
            </w:r>
            <w:r w:rsidR="00853797">
              <w:rPr>
                <w:rFonts w:cstheme="minorHAnsi"/>
                <w:noProof/>
              </w:rPr>
              <w:t xml:space="preserve">of </w:t>
            </w:r>
            <w:r w:rsidRPr="00FF5955">
              <w:rPr>
                <w:rFonts w:cstheme="minorHAnsi"/>
                <w:noProof/>
              </w:rPr>
              <w:t>whether there is new legislation).</w:t>
            </w:r>
          </w:p>
        </w:tc>
      </w:tr>
      <w:tr w:rsidR="006B087E" w14:paraId="5EE278A6" w14:textId="77777777" w:rsidTr="006C5B89">
        <w:tc>
          <w:tcPr>
            <w:tcW w:w="3227" w:type="dxa"/>
            <w:tcMar>
              <w:top w:w="85" w:type="dxa"/>
              <w:left w:w="57" w:type="dxa"/>
              <w:bottom w:w="85" w:type="dxa"/>
              <w:right w:w="57" w:type="dxa"/>
            </w:tcMar>
          </w:tcPr>
          <w:p w14:paraId="72187B30" w14:textId="4D3798CC" w:rsidR="006B087E" w:rsidRDefault="00F71495" w:rsidP="006C5B89">
            <w:pPr>
              <w:rPr>
                <w:noProof/>
              </w:rPr>
            </w:pPr>
            <w:r w:rsidRPr="00FF5955">
              <w:rPr>
                <w:rFonts w:cstheme="minorHAnsi"/>
                <w:noProof/>
              </w:rPr>
              <w:t>DSA</w:t>
            </w:r>
          </w:p>
        </w:tc>
        <w:tc>
          <w:tcPr>
            <w:tcW w:w="5607" w:type="dxa"/>
            <w:tcMar>
              <w:top w:w="85" w:type="dxa"/>
              <w:left w:w="57" w:type="dxa"/>
              <w:bottom w:w="85" w:type="dxa"/>
              <w:right w:w="57" w:type="dxa"/>
            </w:tcMar>
          </w:tcPr>
          <w:p w14:paraId="303AE7FC" w14:textId="5A6ACD32" w:rsidR="006B087E" w:rsidRDefault="00700450" w:rsidP="006C5B89">
            <w:pPr>
              <w:rPr>
                <w:noProof/>
              </w:rPr>
            </w:pPr>
            <w:r>
              <w:rPr>
                <w:rFonts w:cstheme="minorHAnsi"/>
                <w:noProof/>
              </w:rPr>
              <w:t xml:space="preserve">Proposal for a </w:t>
            </w:r>
            <w:r w:rsidR="00F71495" w:rsidRPr="00FF5955">
              <w:rPr>
                <w:rFonts w:cstheme="minorHAnsi"/>
                <w:noProof/>
              </w:rPr>
              <w:t>Digital Services Act</w:t>
            </w:r>
            <w:r>
              <w:rPr>
                <w:rFonts w:cstheme="minorHAnsi"/>
                <w:noProof/>
              </w:rPr>
              <w:t xml:space="preserve"> (</w:t>
            </w:r>
            <w:r w:rsidRPr="006045F3">
              <w:rPr>
                <w:noProof/>
                <w:sz w:val="18"/>
                <w:szCs w:val="18"/>
                <w:lang w:val="en-IE"/>
              </w:rPr>
              <w:t>COM(2020) 825</w:t>
            </w:r>
            <w:r>
              <w:rPr>
                <w:noProof/>
                <w:sz w:val="18"/>
                <w:szCs w:val="18"/>
                <w:lang w:val="en-IE"/>
              </w:rPr>
              <w:t>)</w:t>
            </w:r>
          </w:p>
        </w:tc>
      </w:tr>
      <w:tr w:rsidR="006B087E" w14:paraId="18F7476D" w14:textId="77777777" w:rsidTr="006C5B89">
        <w:tc>
          <w:tcPr>
            <w:tcW w:w="3227" w:type="dxa"/>
            <w:tcMar>
              <w:top w:w="85" w:type="dxa"/>
              <w:left w:w="57" w:type="dxa"/>
              <w:bottom w:w="85" w:type="dxa"/>
              <w:right w:w="57" w:type="dxa"/>
            </w:tcMar>
          </w:tcPr>
          <w:p w14:paraId="0F7D5EF2" w14:textId="768AA5AF" w:rsidR="006B087E" w:rsidRDefault="00F71495" w:rsidP="006C5B89">
            <w:pPr>
              <w:rPr>
                <w:noProof/>
              </w:rPr>
            </w:pPr>
            <w:r w:rsidRPr="00FF5955">
              <w:rPr>
                <w:rFonts w:cstheme="minorHAnsi"/>
                <w:noProof/>
              </w:rPr>
              <w:t>EU AR</w:t>
            </w:r>
          </w:p>
        </w:tc>
        <w:tc>
          <w:tcPr>
            <w:tcW w:w="5607" w:type="dxa"/>
            <w:tcMar>
              <w:top w:w="85" w:type="dxa"/>
              <w:left w:w="57" w:type="dxa"/>
              <w:bottom w:w="85" w:type="dxa"/>
              <w:right w:w="57" w:type="dxa"/>
            </w:tcMar>
          </w:tcPr>
          <w:p w14:paraId="57B013DF" w14:textId="40032B27" w:rsidR="006B087E" w:rsidRDefault="00F71495" w:rsidP="006C5B89">
            <w:pPr>
              <w:rPr>
                <w:noProof/>
              </w:rPr>
            </w:pPr>
            <w:r w:rsidRPr="00FF5955">
              <w:rPr>
                <w:rFonts w:cstheme="minorHAnsi"/>
                <w:noProof/>
              </w:rPr>
              <w:t xml:space="preserve">Authorised Representative serving as a legally-authorised person within the EU </w:t>
            </w:r>
          </w:p>
        </w:tc>
      </w:tr>
      <w:tr w:rsidR="00F71495" w14:paraId="07AFF329" w14:textId="77777777" w:rsidTr="006C5B89">
        <w:tc>
          <w:tcPr>
            <w:tcW w:w="3227" w:type="dxa"/>
            <w:tcMar>
              <w:top w:w="85" w:type="dxa"/>
              <w:left w:w="57" w:type="dxa"/>
              <w:bottom w:w="85" w:type="dxa"/>
              <w:right w:w="57" w:type="dxa"/>
            </w:tcMar>
          </w:tcPr>
          <w:p w14:paraId="0F86B87C" w14:textId="02D4B7A2" w:rsidR="00F71495" w:rsidRDefault="00F71495" w:rsidP="00F71495">
            <w:pPr>
              <w:rPr>
                <w:rFonts w:cstheme="minorHAnsi"/>
                <w:noProof/>
              </w:rPr>
            </w:pPr>
            <w:r>
              <w:rPr>
                <w:rFonts w:cstheme="minorHAnsi"/>
                <w:noProof/>
              </w:rPr>
              <w:t>FSP</w:t>
            </w:r>
          </w:p>
        </w:tc>
        <w:tc>
          <w:tcPr>
            <w:tcW w:w="5607" w:type="dxa"/>
            <w:tcMar>
              <w:top w:w="85" w:type="dxa"/>
              <w:left w:w="57" w:type="dxa"/>
              <w:bottom w:w="85" w:type="dxa"/>
              <w:right w:w="57" w:type="dxa"/>
            </w:tcMar>
          </w:tcPr>
          <w:p w14:paraId="3E60191B" w14:textId="00959284" w:rsidR="00F71495" w:rsidRPr="00FF5955" w:rsidRDefault="00F71495" w:rsidP="00F71495">
            <w:pPr>
              <w:rPr>
                <w:rFonts w:cstheme="minorHAnsi"/>
                <w:noProof/>
              </w:rPr>
            </w:pPr>
            <w:r>
              <w:rPr>
                <w:rFonts w:cstheme="minorHAnsi"/>
                <w:noProof/>
              </w:rPr>
              <w:t>Fulfilment service provider</w:t>
            </w:r>
          </w:p>
        </w:tc>
      </w:tr>
      <w:tr w:rsidR="006B087E" w14:paraId="07A4B17B" w14:textId="77777777" w:rsidTr="006C5B89">
        <w:tc>
          <w:tcPr>
            <w:tcW w:w="3227" w:type="dxa"/>
            <w:tcMar>
              <w:top w:w="85" w:type="dxa"/>
              <w:left w:w="57" w:type="dxa"/>
              <w:bottom w:w="85" w:type="dxa"/>
              <w:right w:w="57" w:type="dxa"/>
            </w:tcMar>
          </w:tcPr>
          <w:p w14:paraId="617BEC46" w14:textId="549B4551" w:rsidR="006B087E" w:rsidRDefault="00F71495" w:rsidP="006C5B89">
            <w:pPr>
              <w:rPr>
                <w:noProof/>
              </w:rPr>
            </w:pPr>
            <w:r w:rsidRPr="00FF5955">
              <w:rPr>
                <w:rFonts w:cstheme="minorHAnsi"/>
                <w:noProof/>
              </w:rPr>
              <w:t>GDPR</w:t>
            </w:r>
          </w:p>
        </w:tc>
        <w:tc>
          <w:tcPr>
            <w:tcW w:w="5607" w:type="dxa"/>
            <w:tcMar>
              <w:top w:w="85" w:type="dxa"/>
              <w:left w:w="57" w:type="dxa"/>
              <w:bottom w:w="85" w:type="dxa"/>
              <w:right w:w="57" w:type="dxa"/>
            </w:tcMar>
          </w:tcPr>
          <w:p w14:paraId="6A2424CD" w14:textId="418E17E2" w:rsidR="006B087E" w:rsidRDefault="00F71495" w:rsidP="006C5B89">
            <w:pPr>
              <w:rPr>
                <w:noProof/>
              </w:rPr>
            </w:pPr>
            <w:r w:rsidRPr="00FF5955">
              <w:rPr>
                <w:rFonts w:cstheme="minorHAnsi"/>
                <w:noProof/>
              </w:rPr>
              <w:t xml:space="preserve">General Data Protection Regulation (EU) 2016/679 </w:t>
            </w:r>
          </w:p>
        </w:tc>
      </w:tr>
      <w:tr w:rsidR="006B087E" w14:paraId="5DADA960" w14:textId="77777777" w:rsidTr="006C5B89">
        <w:tc>
          <w:tcPr>
            <w:tcW w:w="3227" w:type="dxa"/>
            <w:tcMar>
              <w:top w:w="85" w:type="dxa"/>
              <w:left w:w="57" w:type="dxa"/>
              <w:bottom w:w="85" w:type="dxa"/>
              <w:right w:w="57" w:type="dxa"/>
            </w:tcMar>
          </w:tcPr>
          <w:p w14:paraId="54396977" w14:textId="362B1A80" w:rsidR="006B087E" w:rsidRDefault="00F71495" w:rsidP="006C5B89">
            <w:pPr>
              <w:rPr>
                <w:noProof/>
              </w:rPr>
            </w:pPr>
            <w:r w:rsidRPr="00FF5955">
              <w:rPr>
                <w:rFonts w:cstheme="minorHAnsi"/>
                <w:noProof/>
              </w:rPr>
              <w:t>GPSD</w:t>
            </w:r>
          </w:p>
        </w:tc>
        <w:tc>
          <w:tcPr>
            <w:tcW w:w="5607" w:type="dxa"/>
            <w:tcMar>
              <w:top w:w="85" w:type="dxa"/>
              <w:left w:w="57" w:type="dxa"/>
              <w:bottom w:w="85" w:type="dxa"/>
              <w:right w:w="57" w:type="dxa"/>
            </w:tcMar>
          </w:tcPr>
          <w:p w14:paraId="398FD365" w14:textId="1EC3B472" w:rsidR="006B087E" w:rsidRPr="00227E25" w:rsidRDefault="00F71495" w:rsidP="00227E25">
            <w:pPr>
              <w:spacing w:after="60"/>
              <w:rPr>
                <w:rFonts w:cstheme="minorHAnsi"/>
                <w:noProof/>
              </w:rPr>
            </w:pPr>
            <w:r w:rsidRPr="00FF5955">
              <w:rPr>
                <w:rFonts w:cstheme="minorHAnsi"/>
                <w:noProof/>
              </w:rPr>
              <w:t xml:space="preserve">General Product Safety Directive (Directive 2001/95/EC) </w:t>
            </w:r>
          </w:p>
        </w:tc>
      </w:tr>
      <w:tr w:rsidR="006B087E" w14:paraId="7CAC1D12" w14:textId="77777777" w:rsidTr="006C5B89">
        <w:tc>
          <w:tcPr>
            <w:tcW w:w="3227" w:type="dxa"/>
            <w:tcMar>
              <w:top w:w="85" w:type="dxa"/>
              <w:left w:w="57" w:type="dxa"/>
              <w:bottom w:w="85" w:type="dxa"/>
              <w:right w:w="57" w:type="dxa"/>
            </w:tcMar>
          </w:tcPr>
          <w:p w14:paraId="6A479FFD" w14:textId="77F601C4" w:rsidR="006B087E" w:rsidRDefault="00F71495" w:rsidP="006C5B89">
            <w:pPr>
              <w:rPr>
                <w:noProof/>
              </w:rPr>
            </w:pPr>
            <w:r w:rsidRPr="00FF5955">
              <w:rPr>
                <w:rFonts w:cstheme="minorHAnsi"/>
                <w:noProof/>
              </w:rPr>
              <w:t>GPSR</w:t>
            </w:r>
          </w:p>
        </w:tc>
        <w:tc>
          <w:tcPr>
            <w:tcW w:w="5607" w:type="dxa"/>
            <w:tcMar>
              <w:top w:w="85" w:type="dxa"/>
              <w:left w:w="57" w:type="dxa"/>
              <w:bottom w:w="85" w:type="dxa"/>
              <w:right w:w="57" w:type="dxa"/>
            </w:tcMar>
          </w:tcPr>
          <w:p w14:paraId="58D19E20" w14:textId="186CDD23" w:rsidR="006B087E" w:rsidRDefault="00F71495" w:rsidP="006C5B89">
            <w:pPr>
              <w:rPr>
                <w:noProof/>
              </w:rPr>
            </w:pPr>
            <w:r w:rsidRPr="00FF5955">
              <w:rPr>
                <w:rFonts w:cstheme="minorHAnsi"/>
                <w:noProof/>
              </w:rPr>
              <w:t>Proposal for a General Product Safety Regulation (COM</w:t>
            </w:r>
            <w:r>
              <w:rPr>
                <w:rFonts w:cstheme="minorHAnsi"/>
                <w:noProof/>
              </w:rPr>
              <w:t>(</w:t>
            </w:r>
            <w:r w:rsidRPr="00FF5955">
              <w:rPr>
                <w:rFonts w:cstheme="minorHAnsi"/>
                <w:noProof/>
              </w:rPr>
              <w:t>2021</w:t>
            </w:r>
            <w:r>
              <w:rPr>
                <w:rFonts w:cstheme="minorHAnsi"/>
                <w:noProof/>
              </w:rPr>
              <w:t>)</w:t>
            </w:r>
            <w:r w:rsidRPr="00FF5955">
              <w:rPr>
                <w:rFonts w:cstheme="minorHAnsi"/>
                <w:noProof/>
              </w:rPr>
              <w:t>346)</w:t>
            </w:r>
          </w:p>
        </w:tc>
      </w:tr>
      <w:tr w:rsidR="006B087E" w14:paraId="70BD62CF" w14:textId="77777777" w:rsidTr="006C5B89">
        <w:tc>
          <w:tcPr>
            <w:tcW w:w="3227" w:type="dxa"/>
            <w:tcMar>
              <w:top w:w="85" w:type="dxa"/>
              <w:left w:w="57" w:type="dxa"/>
              <w:bottom w:w="85" w:type="dxa"/>
              <w:right w:w="57" w:type="dxa"/>
            </w:tcMar>
          </w:tcPr>
          <w:p w14:paraId="77B58953" w14:textId="1BB53201" w:rsidR="006B087E" w:rsidRDefault="00F71495" w:rsidP="006C5B89">
            <w:pPr>
              <w:rPr>
                <w:noProof/>
              </w:rPr>
            </w:pPr>
            <w:r w:rsidRPr="00FF5955">
              <w:rPr>
                <w:rFonts w:cstheme="minorHAnsi"/>
                <w:noProof/>
              </w:rPr>
              <w:t>IA</w:t>
            </w:r>
          </w:p>
        </w:tc>
        <w:tc>
          <w:tcPr>
            <w:tcW w:w="5607" w:type="dxa"/>
            <w:tcMar>
              <w:top w:w="85" w:type="dxa"/>
              <w:left w:w="57" w:type="dxa"/>
              <w:bottom w:w="85" w:type="dxa"/>
              <w:right w:w="57" w:type="dxa"/>
            </w:tcMar>
          </w:tcPr>
          <w:p w14:paraId="0A621B49" w14:textId="114C18E6" w:rsidR="006B087E" w:rsidRDefault="00F71495" w:rsidP="006C5B89">
            <w:pPr>
              <w:rPr>
                <w:noProof/>
              </w:rPr>
            </w:pPr>
            <w:r w:rsidRPr="00FF5955">
              <w:rPr>
                <w:rFonts w:cstheme="minorHAnsi"/>
                <w:noProof/>
              </w:rPr>
              <w:t>Impact Assessment</w:t>
            </w:r>
          </w:p>
        </w:tc>
      </w:tr>
      <w:tr w:rsidR="006B087E" w14:paraId="7F86C685" w14:textId="77777777" w:rsidTr="006C5B89">
        <w:tc>
          <w:tcPr>
            <w:tcW w:w="3227" w:type="dxa"/>
            <w:tcMar>
              <w:top w:w="85" w:type="dxa"/>
              <w:left w:w="57" w:type="dxa"/>
              <w:bottom w:w="85" w:type="dxa"/>
              <w:right w:w="57" w:type="dxa"/>
            </w:tcMar>
          </w:tcPr>
          <w:p w14:paraId="2C848E3F" w14:textId="2F63DC70" w:rsidR="006B087E" w:rsidRDefault="00F71495" w:rsidP="006C5B89">
            <w:pPr>
              <w:rPr>
                <w:noProof/>
              </w:rPr>
            </w:pPr>
            <w:r w:rsidRPr="00FF5955">
              <w:rPr>
                <w:rFonts w:cstheme="minorHAnsi"/>
                <w:noProof/>
              </w:rPr>
              <w:t>IIA</w:t>
            </w:r>
          </w:p>
        </w:tc>
        <w:tc>
          <w:tcPr>
            <w:tcW w:w="5607" w:type="dxa"/>
            <w:tcMar>
              <w:top w:w="85" w:type="dxa"/>
              <w:left w:w="57" w:type="dxa"/>
              <w:bottom w:w="85" w:type="dxa"/>
              <w:right w:w="57" w:type="dxa"/>
            </w:tcMar>
          </w:tcPr>
          <w:p w14:paraId="7451C1DA" w14:textId="250C86F6" w:rsidR="006B087E" w:rsidRDefault="00F71495" w:rsidP="006C5B89">
            <w:pPr>
              <w:rPr>
                <w:noProof/>
              </w:rPr>
            </w:pPr>
            <w:r w:rsidRPr="00FF5955">
              <w:rPr>
                <w:rFonts w:cstheme="minorHAnsi"/>
                <w:noProof/>
              </w:rPr>
              <w:t>Inception Impact Assessment</w:t>
            </w:r>
          </w:p>
        </w:tc>
      </w:tr>
      <w:tr w:rsidR="006B087E" w14:paraId="1D8063BB" w14:textId="77777777" w:rsidTr="006C5B89">
        <w:tc>
          <w:tcPr>
            <w:tcW w:w="3227" w:type="dxa"/>
            <w:tcMar>
              <w:top w:w="85" w:type="dxa"/>
              <w:left w:w="57" w:type="dxa"/>
              <w:bottom w:w="85" w:type="dxa"/>
              <w:right w:w="57" w:type="dxa"/>
            </w:tcMar>
          </w:tcPr>
          <w:p w14:paraId="16EBD5EB" w14:textId="5EEED7C2" w:rsidR="006B087E" w:rsidRDefault="00F71495" w:rsidP="006C5B89">
            <w:pPr>
              <w:rPr>
                <w:noProof/>
              </w:rPr>
            </w:pPr>
            <w:r w:rsidRPr="00FF5955">
              <w:rPr>
                <w:rFonts w:cstheme="minorHAnsi"/>
                <w:noProof/>
              </w:rPr>
              <w:t xml:space="preserve">IoT </w:t>
            </w:r>
          </w:p>
        </w:tc>
        <w:tc>
          <w:tcPr>
            <w:tcW w:w="5607" w:type="dxa"/>
            <w:tcMar>
              <w:top w:w="85" w:type="dxa"/>
              <w:left w:w="57" w:type="dxa"/>
              <w:bottom w:w="85" w:type="dxa"/>
              <w:right w:w="57" w:type="dxa"/>
            </w:tcMar>
          </w:tcPr>
          <w:p w14:paraId="707A439A" w14:textId="791636E7" w:rsidR="006B087E" w:rsidRDefault="00F71495" w:rsidP="006C5B89">
            <w:pPr>
              <w:rPr>
                <w:noProof/>
              </w:rPr>
            </w:pPr>
            <w:r w:rsidRPr="00FF5955">
              <w:rPr>
                <w:rFonts w:cstheme="minorHAnsi"/>
                <w:noProof/>
              </w:rPr>
              <w:t>Internet of Things</w:t>
            </w:r>
          </w:p>
        </w:tc>
      </w:tr>
      <w:tr w:rsidR="00F71495" w14:paraId="6D84CBC2" w14:textId="77777777" w:rsidTr="006C5B89">
        <w:tc>
          <w:tcPr>
            <w:tcW w:w="3227" w:type="dxa"/>
            <w:tcMar>
              <w:top w:w="85" w:type="dxa"/>
              <w:left w:w="57" w:type="dxa"/>
              <w:bottom w:w="85" w:type="dxa"/>
              <w:right w:w="57" w:type="dxa"/>
            </w:tcMar>
          </w:tcPr>
          <w:p w14:paraId="2A7F0F21" w14:textId="4E305F65" w:rsidR="00F71495" w:rsidRDefault="00F71495" w:rsidP="00F71495">
            <w:pPr>
              <w:rPr>
                <w:rFonts w:cstheme="minorHAnsi"/>
                <w:noProof/>
              </w:rPr>
            </w:pPr>
            <w:r w:rsidRPr="00FF5955">
              <w:rPr>
                <w:rFonts w:cstheme="minorHAnsi"/>
                <w:noProof/>
              </w:rPr>
              <w:t>PLD</w:t>
            </w:r>
          </w:p>
        </w:tc>
        <w:tc>
          <w:tcPr>
            <w:tcW w:w="5607" w:type="dxa"/>
            <w:tcMar>
              <w:top w:w="85" w:type="dxa"/>
              <w:left w:w="57" w:type="dxa"/>
              <w:bottom w:w="85" w:type="dxa"/>
              <w:right w:w="57" w:type="dxa"/>
            </w:tcMar>
          </w:tcPr>
          <w:p w14:paraId="6774238D" w14:textId="49228ECC" w:rsidR="00F71495" w:rsidRPr="00FF5955" w:rsidRDefault="00F71495" w:rsidP="00227E25">
            <w:pPr>
              <w:rPr>
                <w:rFonts w:cstheme="minorHAnsi"/>
                <w:noProof/>
              </w:rPr>
            </w:pPr>
            <w:r w:rsidRPr="00FF5955">
              <w:rPr>
                <w:rFonts w:cstheme="minorHAnsi"/>
                <w:noProof/>
              </w:rPr>
              <w:t>Product Liability Directive</w:t>
            </w:r>
            <w:r w:rsidR="00227E25">
              <w:rPr>
                <w:rFonts w:cstheme="minorHAnsi"/>
                <w:noProof/>
              </w:rPr>
              <w:t>: Council Directive 85/374/EEC</w:t>
            </w:r>
            <w:r w:rsidRPr="00FF5955">
              <w:rPr>
                <w:rFonts w:cstheme="minorHAnsi"/>
                <w:noProof/>
              </w:rPr>
              <w:t xml:space="preserve"> </w:t>
            </w:r>
          </w:p>
        </w:tc>
      </w:tr>
      <w:tr w:rsidR="00F71495" w14:paraId="6033B827" w14:textId="77777777" w:rsidTr="006C5B89">
        <w:tc>
          <w:tcPr>
            <w:tcW w:w="3227" w:type="dxa"/>
            <w:tcMar>
              <w:top w:w="85" w:type="dxa"/>
              <w:left w:w="57" w:type="dxa"/>
              <w:bottom w:w="85" w:type="dxa"/>
              <w:right w:w="57" w:type="dxa"/>
            </w:tcMar>
          </w:tcPr>
          <w:p w14:paraId="07151738" w14:textId="456B6BFB" w:rsidR="00F71495" w:rsidRDefault="00F71495" w:rsidP="00F71495">
            <w:pPr>
              <w:rPr>
                <w:rFonts w:cstheme="minorHAnsi"/>
                <w:noProof/>
              </w:rPr>
            </w:pPr>
            <w:r w:rsidRPr="00FF5955">
              <w:rPr>
                <w:rFonts w:cstheme="minorHAnsi"/>
                <w:noProof/>
              </w:rPr>
              <w:t>PO</w:t>
            </w:r>
          </w:p>
        </w:tc>
        <w:tc>
          <w:tcPr>
            <w:tcW w:w="5607" w:type="dxa"/>
            <w:tcMar>
              <w:top w:w="85" w:type="dxa"/>
              <w:left w:w="57" w:type="dxa"/>
              <w:bottom w:w="85" w:type="dxa"/>
              <w:right w:w="57" w:type="dxa"/>
            </w:tcMar>
          </w:tcPr>
          <w:p w14:paraId="4F2882EE" w14:textId="1FC0E059" w:rsidR="00F71495" w:rsidRPr="00FF5955" w:rsidRDefault="00F71495" w:rsidP="00F71495">
            <w:pPr>
              <w:rPr>
                <w:rFonts w:cstheme="minorHAnsi"/>
                <w:noProof/>
              </w:rPr>
            </w:pPr>
            <w:r w:rsidRPr="00FF5955">
              <w:rPr>
                <w:rFonts w:cstheme="minorHAnsi"/>
                <w:noProof/>
              </w:rPr>
              <w:t>Policy option(s)</w:t>
            </w:r>
          </w:p>
        </w:tc>
      </w:tr>
    </w:tbl>
    <w:p w14:paraId="617ECF47" w14:textId="77777777" w:rsidR="006B087E" w:rsidRDefault="006B087E" w:rsidP="006B087E">
      <w:pPr>
        <w:rPr>
          <w:noProof/>
        </w:rPr>
      </w:pPr>
    </w:p>
    <w:p w14:paraId="58E2C888" w14:textId="77777777" w:rsidR="006B087E" w:rsidRDefault="006B087E" w:rsidP="006B087E">
      <w:pPr>
        <w:rPr>
          <w:noProof/>
        </w:rPr>
      </w:pPr>
      <w:r>
        <w:rPr>
          <w:noProof/>
        </w:rPr>
        <w:br w:type="page"/>
      </w:r>
    </w:p>
    <w:p w14:paraId="40CC751A" w14:textId="1AEA3C63" w:rsidR="00066952" w:rsidRDefault="002E7937" w:rsidP="002E7937">
      <w:pPr>
        <w:pStyle w:val="Heading1"/>
        <w:rPr>
          <w:noProof/>
        </w:rPr>
      </w:pPr>
      <w:bookmarkStart w:id="2" w:name="_Toc94005516"/>
      <w:bookmarkStart w:id="3" w:name="_Toc95379843"/>
      <w:bookmarkStart w:id="4" w:name="_Toc95391335"/>
      <w:bookmarkStart w:id="5" w:name="_Toc95396404"/>
      <w:bookmarkStart w:id="6" w:name="_Toc95421502"/>
      <w:bookmarkStart w:id="7" w:name="_Toc95481951"/>
      <w:bookmarkStart w:id="8" w:name="_Toc96337744"/>
      <w:bookmarkStart w:id="9" w:name="_Toc96446223"/>
      <w:bookmarkStart w:id="10" w:name="_Toc96447996"/>
      <w:bookmarkStart w:id="11" w:name="_Toc96593945"/>
      <w:bookmarkStart w:id="12" w:name="_Toc96597236"/>
      <w:bookmarkStart w:id="13" w:name="_Toc96609171"/>
      <w:bookmarkStart w:id="14" w:name="_Toc97149200"/>
      <w:bookmarkStart w:id="15" w:name="_Toc97191246"/>
      <w:bookmarkStart w:id="16" w:name="_Toc107430056"/>
      <w:bookmarkStart w:id="17" w:name="_Toc93401428"/>
      <w:r w:rsidRPr="002E7937">
        <w:t>1.</w:t>
      </w:r>
      <w:r w:rsidRPr="002E7937">
        <w:tab/>
      </w:r>
      <w:r w:rsidR="006B087E">
        <w:rPr>
          <w:noProof/>
        </w:rPr>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F33FF46" w14:textId="529AE258" w:rsidR="006B087E" w:rsidRDefault="002E7937" w:rsidP="002E7937">
      <w:pPr>
        <w:pStyle w:val="Heading2"/>
        <w:rPr>
          <w:noProof/>
        </w:rPr>
      </w:pPr>
      <w:bookmarkStart w:id="18" w:name="_Toc94005517"/>
      <w:bookmarkStart w:id="19" w:name="_Toc95379844"/>
      <w:bookmarkStart w:id="20" w:name="_Toc95391336"/>
      <w:bookmarkStart w:id="21" w:name="_Toc95396405"/>
      <w:bookmarkStart w:id="22" w:name="_Toc95421503"/>
      <w:bookmarkStart w:id="23" w:name="_Toc95481952"/>
      <w:bookmarkStart w:id="24" w:name="_Toc96337745"/>
      <w:bookmarkStart w:id="25" w:name="_Toc96446224"/>
      <w:bookmarkStart w:id="26" w:name="_Toc96447997"/>
      <w:bookmarkStart w:id="27" w:name="_Toc96593946"/>
      <w:bookmarkStart w:id="28" w:name="_Toc96597237"/>
      <w:bookmarkStart w:id="29" w:name="_Toc96609172"/>
      <w:bookmarkStart w:id="30" w:name="_Toc97149201"/>
      <w:bookmarkStart w:id="31" w:name="_Toc97191247"/>
      <w:bookmarkStart w:id="32" w:name="_Toc107430057"/>
      <w:r w:rsidRPr="002E7937">
        <w:t>1.1.</w:t>
      </w:r>
      <w:r w:rsidRPr="002E7937">
        <w:tab/>
      </w:r>
      <w:r w:rsidR="006B087E">
        <w:rPr>
          <w:noProof/>
        </w:rPr>
        <w:t>Political context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C0C83EC" w14:textId="2F923145" w:rsidR="00EE5BDF" w:rsidRPr="004F3A2A" w:rsidRDefault="00633A1D" w:rsidP="004F3A2A">
      <w:pPr>
        <w:spacing w:after="240" w:line="240" w:lineRule="auto"/>
        <w:jc w:val="both"/>
        <w:rPr>
          <w:noProof/>
          <w:sz w:val="24"/>
        </w:rPr>
      </w:pPr>
      <w:r w:rsidRPr="004F3A2A">
        <w:rPr>
          <w:noProof/>
          <w:sz w:val="24"/>
        </w:rPr>
        <w:t>T</w:t>
      </w:r>
      <w:r w:rsidR="00EE5BDF" w:rsidRPr="004F3A2A">
        <w:rPr>
          <w:noProof/>
          <w:sz w:val="24"/>
        </w:rPr>
        <w:t>he Product Liability Directive</w:t>
      </w:r>
      <w:r w:rsidR="00066952" w:rsidRPr="004F3A2A">
        <w:rPr>
          <w:rStyle w:val="FootnoteReference"/>
          <w:noProof/>
          <w:sz w:val="24"/>
        </w:rPr>
        <w:footnoteReference w:id="2"/>
      </w:r>
      <w:r w:rsidR="00C17112" w:rsidRPr="004F3A2A">
        <w:rPr>
          <w:noProof/>
          <w:sz w:val="24"/>
        </w:rPr>
        <w:t xml:space="preserve"> (PLD)</w:t>
      </w:r>
      <w:r w:rsidR="00EE5BDF" w:rsidRPr="004F3A2A">
        <w:rPr>
          <w:noProof/>
          <w:sz w:val="24"/>
        </w:rPr>
        <w:t xml:space="preserve"> </w:t>
      </w:r>
      <w:r w:rsidRPr="004F3A2A">
        <w:rPr>
          <w:noProof/>
          <w:sz w:val="24"/>
        </w:rPr>
        <w:t>provides</w:t>
      </w:r>
      <w:r w:rsidR="00EE5BDF" w:rsidRPr="004F3A2A">
        <w:rPr>
          <w:noProof/>
          <w:sz w:val="24"/>
        </w:rPr>
        <w:t xml:space="preserve"> a system at European level for compensating people who suffer physical injury or damage to consumer property due to defective products.</w:t>
      </w:r>
      <w:r w:rsidRPr="004F3A2A">
        <w:rPr>
          <w:noProof/>
          <w:sz w:val="24"/>
        </w:rPr>
        <w:t xml:space="preserve"> Since the adoption of the Directive in 1985, there have been significant changes in the way products are produced, distributed and operated, and key transformations to Europe’s economy are underway.</w:t>
      </w:r>
    </w:p>
    <w:p w14:paraId="7E1AB3DE" w14:textId="4EC247CC" w:rsidR="00CB0766" w:rsidRPr="004F3A2A" w:rsidRDefault="00EE5BDF" w:rsidP="004F3A2A">
      <w:pPr>
        <w:spacing w:after="240" w:line="240" w:lineRule="auto"/>
        <w:jc w:val="both"/>
        <w:rPr>
          <w:noProof/>
          <w:sz w:val="24"/>
        </w:rPr>
      </w:pPr>
      <w:r w:rsidRPr="004F3A2A">
        <w:rPr>
          <w:noProof/>
          <w:sz w:val="24"/>
        </w:rPr>
        <w:t>The President of the Commission stressed in her political guidelines</w:t>
      </w:r>
      <w:r w:rsidR="00633A1D" w:rsidRPr="004F3A2A">
        <w:rPr>
          <w:rStyle w:val="FootnoteReference"/>
          <w:noProof/>
          <w:sz w:val="24"/>
        </w:rPr>
        <w:footnoteReference w:id="3"/>
      </w:r>
      <w:r w:rsidRPr="004F3A2A">
        <w:rPr>
          <w:noProof/>
          <w:sz w:val="24"/>
        </w:rPr>
        <w:t xml:space="preserve"> </w:t>
      </w:r>
      <w:r w:rsidR="00633A1D" w:rsidRPr="004F3A2A">
        <w:rPr>
          <w:noProof/>
          <w:sz w:val="24"/>
        </w:rPr>
        <w:t xml:space="preserve">the need for </w:t>
      </w:r>
      <w:r w:rsidRPr="004F3A2A">
        <w:rPr>
          <w:noProof/>
          <w:sz w:val="24"/>
        </w:rPr>
        <w:t>Europe to lead the transition to a healthy planet and a new digital world. This twin challenge of a green and digital transformation must go hand</w:t>
      </w:r>
      <w:r w:rsidR="00633A1D" w:rsidRPr="004F3A2A">
        <w:rPr>
          <w:noProof/>
          <w:sz w:val="24"/>
        </w:rPr>
        <w:t xml:space="preserve"> </w:t>
      </w:r>
      <w:r w:rsidRPr="004F3A2A">
        <w:rPr>
          <w:noProof/>
          <w:sz w:val="24"/>
        </w:rPr>
        <w:t>in</w:t>
      </w:r>
      <w:r w:rsidR="00633A1D" w:rsidRPr="004F3A2A">
        <w:rPr>
          <w:noProof/>
          <w:sz w:val="24"/>
        </w:rPr>
        <w:t xml:space="preserve"> </w:t>
      </w:r>
      <w:r w:rsidRPr="004F3A2A">
        <w:rPr>
          <w:noProof/>
          <w:sz w:val="24"/>
        </w:rPr>
        <w:t>hand</w:t>
      </w:r>
      <w:r w:rsidR="004B1935" w:rsidRPr="004F3A2A">
        <w:rPr>
          <w:noProof/>
          <w:sz w:val="24"/>
        </w:rPr>
        <w:t xml:space="preserve">. It requires, as set out in the European Green Deal, more sustainable solutions </w:t>
      </w:r>
      <w:r w:rsidR="0054383A" w:rsidRPr="004F3A2A">
        <w:rPr>
          <w:noProof/>
          <w:sz w:val="24"/>
        </w:rPr>
        <w:t>that</w:t>
      </w:r>
      <w:r w:rsidR="004B1935" w:rsidRPr="004F3A2A">
        <w:rPr>
          <w:noProof/>
          <w:sz w:val="24"/>
        </w:rPr>
        <w:t xml:space="preserve"> are resource-efficient, circular and climate-neutral</w:t>
      </w:r>
      <w:r w:rsidR="00CB0766" w:rsidRPr="004F3A2A">
        <w:rPr>
          <w:noProof/>
          <w:sz w:val="24"/>
        </w:rPr>
        <w:t>, such as extending the life of materials and the possibility to upgrade and repair products and components. It also requires</w:t>
      </w:r>
      <w:r w:rsidR="004B1935" w:rsidRPr="004F3A2A">
        <w:rPr>
          <w:noProof/>
          <w:sz w:val="24"/>
        </w:rPr>
        <w:t xml:space="preserve">, as set out in the </w:t>
      </w:r>
      <w:r w:rsidR="00CB0766" w:rsidRPr="004F3A2A">
        <w:rPr>
          <w:noProof/>
          <w:sz w:val="24"/>
        </w:rPr>
        <w:t xml:space="preserve">Communication on </w:t>
      </w:r>
      <w:r w:rsidR="004B1935" w:rsidRPr="004F3A2A">
        <w:rPr>
          <w:noProof/>
          <w:sz w:val="24"/>
        </w:rPr>
        <w:t>Shaping Europe’s Digital Future</w:t>
      </w:r>
      <w:r w:rsidR="004B1935" w:rsidRPr="004F3A2A">
        <w:rPr>
          <w:rStyle w:val="FootnoteReference"/>
          <w:noProof/>
          <w:sz w:val="24"/>
        </w:rPr>
        <w:footnoteReference w:id="4"/>
      </w:r>
      <w:r w:rsidR="004B1935" w:rsidRPr="004F3A2A">
        <w:rPr>
          <w:noProof/>
          <w:sz w:val="24"/>
        </w:rPr>
        <w:t>, that everyone ha</w:t>
      </w:r>
      <w:r w:rsidR="0054383A" w:rsidRPr="004F3A2A">
        <w:rPr>
          <w:noProof/>
          <w:sz w:val="24"/>
        </w:rPr>
        <w:t>ve</w:t>
      </w:r>
      <w:r w:rsidR="004B1935" w:rsidRPr="004F3A2A">
        <w:rPr>
          <w:noProof/>
          <w:sz w:val="24"/>
        </w:rPr>
        <w:t xml:space="preserve"> a fair chance to reap the benefits of our increasingly digitised society</w:t>
      </w:r>
      <w:r w:rsidR="00CB0766" w:rsidRPr="004F3A2A">
        <w:rPr>
          <w:noProof/>
          <w:sz w:val="24"/>
        </w:rPr>
        <w:t>, such as</w:t>
      </w:r>
      <w:r w:rsidR="004B1935" w:rsidRPr="004F3A2A">
        <w:rPr>
          <w:noProof/>
          <w:sz w:val="24"/>
        </w:rPr>
        <w:t xml:space="preserve"> </w:t>
      </w:r>
      <w:r w:rsidR="0054383A" w:rsidRPr="004F3A2A">
        <w:rPr>
          <w:noProof/>
          <w:sz w:val="24"/>
        </w:rPr>
        <w:t xml:space="preserve">those offered by </w:t>
      </w:r>
      <w:r w:rsidR="00CB0766" w:rsidRPr="004F3A2A">
        <w:rPr>
          <w:noProof/>
          <w:sz w:val="24"/>
        </w:rPr>
        <w:t xml:space="preserve">innovative products using </w:t>
      </w:r>
      <w:r w:rsidR="004B1935" w:rsidRPr="004F3A2A">
        <w:rPr>
          <w:noProof/>
          <w:sz w:val="24"/>
        </w:rPr>
        <w:t>artificial intelligence and the internet of things</w:t>
      </w:r>
      <w:r w:rsidR="00CB0766" w:rsidRPr="004F3A2A">
        <w:rPr>
          <w:noProof/>
          <w:sz w:val="24"/>
        </w:rPr>
        <w:t>.</w:t>
      </w:r>
    </w:p>
    <w:p w14:paraId="679E82C6" w14:textId="77777777" w:rsidR="005B3809" w:rsidRPr="004F3A2A" w:rsidRDefault="004B1935" w:rsidP="004F3A2A">
      <w:pPr>
        <w:spacing w:after="240" w:line="240" w:lineRule="auto"/>
        <w:jc w:val="both"/>
        <w:rPr>
          <w:noProof/>
          <w:sz w:val="24"/>
          <w:szCs w:val="24"/>
        </w:rPr>
      </w:pPr>
      <w:r w:rsidRPr="004F3A2A">
        <w:rPr>
          <w:noProof/>
          <w:sz w:val="24"/>
          <w:szCs w:val="24"/>
        </w:rPr>
        <w:t>But the</w:t>
      </w:r>
      <w:r w:rsidR="0054383A" w:rsidRPr="004F3A2A">
        <w:rPr>
          <w:noProof/>
          <w:sz w:val="24"/>
          <w:szCs w:val="24"/>
        </w:rPr>
        <w:t>se</w:t>
      </w:r>
      <w:r w:rsidRPr="004F3A2A">
        <w:rPr>
          <w:noProof/>
          <w:sz w:val="24"/>
          <w:szCs w:val="24"/>
        </w:rPr>
        <w:t xml:space="preserve"> benefits do not come entirely without risks</w:t>
      </w:r>
      <w:r w:rsidR="00C57FA3" w:rsidRPr="004F3A2A">
        <w:rPr>
          <w:noProof/>
          <w:sz w:val="24"/>
          <w:szCs w:val="24"/>
        </w:rPr>
        <w:t xml:space="preserve">. </w:t>
      </w:r>
    </w:p>
    <w:p w14:paraId="6FA881AA" w14:textId="67453B60" w:rsidR="00F1510F" w:rsidRPr="004F3A2A" w:rsidRDefault="00560380" w:rsidP="004F3A2A">
      <w:pPr>
        <w:spacing w:after="240" w:line="240" w:lineRule="auto"/>
        <w:jc w:val="both"/>
        <w:rPr>
          <w:noProof/>
          <w:sz w:val="24"/>
          <w:szCs w:val="24"/>
        </w:rPr>
      </w:pPr>
      <w:r w:rsidRPr="004F3A2A">
        <w:rPr>
          <w:noProof/>
          <w:sz w:val="24"/>
          <w:szCs w:val="24"/>
        </w:rPr>
        <w:t>When it comes to digital technologies, i</w:t>
      </w:r>
      <w:r w:rsidR="00C57FA3" w:rsidRPr="004F3A2A">
        <w:rPr>
          <w:noProof/>
          <w:sz w:val="24"/>
          <w:szCs w:val="24"/>
        </w:rPr>
        <w:t xml:space="preserve">n order to minimise these risks and improve the safety of products that are placed on the market, </w:t>
      </w:r>
      <w:r w:rsidR="00F1510F" w:rsidRPr="004F3A2A">
        <w:rPr>
          <w:noProof/>
          <w:sz w:val="24"/>
          <w:szCs w:val="24"/>
        </w:rPr>
        <w:t>the EU is in the process of modernising rules on machinery, radio equipment</w:t>
      </w:r>
      <w:r w:rsidR="004D31F1">
        <w:rPr>
          <w:noProof/>
          <w:sz w:val="24"/>
          <w:szCs w:val="24"/>
        </w:rPr>
        <w:t xml:space="preserve"> and</w:t>
      </w:r>
      <w:r w:rsidR="00F1510F" w:rsidRPr="004F3A2A">
        <w:rPr>
          <w:noProof/>
          <w:sz w:val="24"/>
          <w:szCs w:val="24"/>
        </w:rPr>
        <w:t xml:space="preserve"> general product safety, as well </w:t>
      </w:r>
      <w:r w:rsidR="00D51374" w:rsidRPr="004F3A2A">
        <w:rPr>
          <w:noProof/>
          <w:sz w:val="24"/>
          <w:szCs w:val="24"/>
        </w:rPr>
        <w:t xml:space="preserve">as </w:t>
      </w:r>
      <w:r w:rsidR="00F1510F" w:rsidRPr="004F3A2A">
        <w:rPr>
          <w:noProof/>
          <w:sz w:val="24"/>
          <w:szCs w:val="24"/>
        </w:rPr>
        <w:t>creating new rules on safe and trustworthy artificial intelligence systems</w:t>
      </w:r>
      <w:r w:rsidR="002D5666" w:rsidRPr="004F3A2A">
        <w:rPr>
          <w:rStyle w:val="FootnoteReference"/>
          <w:noProof/>
          <w:sz w:val="24"/>
          <w:szCs w:val="24"/>
        </w:rPr>
        <w:footnoteReference w:id="5"/>
      </w:r>
      <w:r w:rsidR="00F1510F" w:rsidRPr="004F3A2A">
        <w:rPr>
          <w:noProof/>
          <w:sz w:val="24"/>
          <w:szCs w:val="24"/>
        </w:rPr>
        <w:t xml:space="preserve">. </w:t>
      </w:r>
      <w:r w:rsidR="00D51374" w:rsidRPr="004F3A2A">
        <w:rPr>
          <w:noProof/>
          <w:sz w:val="24"/>
          <w:szCs w:val="24"/>
        </w:rPr>
        <w:t>This initiative complements this modernisation drive by ensuring that when products do cause harm, consumers can be confident that their right to compensation will be respected and</w:t>
      </w:r>
      <w:r w:rsidR="00117DDF" w:rsidRPr="004F3A2A">
        <w:rPr>
          <w:noProof/>
          <w:sz w:val="24"/>
          <w:szCs w:val="24"/>
        </w:rPr>
        <w:t xml:space="preserve"> that businesses</w:t>
      </w:r>
      <w:r w:rsidR="00D51374" w:rsidRPr="004F3A2A">
        <w:rPr>
          <w:noProof/>
          <w:sz w:val="24"/>
          <w:szCs w:val="24"/>
        </w:rPr>
        <w:t xml:space="preserve"> have legal certainty about the liability risks they face</w:t>
      </w:r>
      <w:r w:rsidR="007A61F7" w:rsidRPr="004F3A2A">
        <w:rPr>
          <w:noProof/>
          <w:sz w:val="24"/>
          <w:szCs w:val="24"/>
        </w:rPr>
        <w:t xml:space="preserve"> in the course of doing business</w:t>
      </w:r>
      <w:r w:rsidR="00D51374" w:rsidRPr="004F3A2A">
        <w:rPr>
          <w:noProof/>
          <w:sz w:val="24"/>
          <w:szCs w:val="24"/>
        </w:rPr>
        <w:t>.</w:t>
      </w:r>
      <w:r w:rsidR="00117DDF" w:rsidRPr="004F3A2A">
        <w:rPr>
          <w:noProof/>
          <w:sz w:val="24"/>
          <w:szCs w:val="24"/>
        </w:rPr>
        <w:t xml:space="preserve"> Taken together, these modernisation efforts should better enable Europe to pursue its own path towards a digital transformation that works for the benefit of people. They should contribute to a fair and competitive economy and a frictionless single market, where companies of all sizes and in any sector can compete on equal terms, and can develop, market and use digital technologies, products and services at a scale that boosts their productivity and global competitiveness.</w:t>
      </w:r>
    </w:p>
    <w:p w14:paraId="45809C1B" w14:textId="652BAFB3" w:rsidR="0054383A" w:rsidRPr="004F3A2A" w:rsidRDefault="0054383A" w:rsidP="004F3A2A">
      <w:pPr>
        <w:spacing w:after="240" w:line="240" w:lineRule="auto"/>
        <w:jc w:val="both"/>
        <w:rPr>
          <w:noProof/>
          <w:sz w:val="24"/>
          <w:szCs w:val="24"/>
        </w:rPr>
      </w:pPr>
      <w:r w:rsidRPr="004F3A2A">
        <w:rPr>
          <w:noProof/>
          <w:sz w:val="24"/>
          <w:szCs w:val="24"/>
        </w:rPr>
        <w:t xml:space="preserve">The European Parliament </w:t>
      </w:r>
      <w:r w:rsidR="00117DDF" w:rsidRPr="004F3A2A">
        <w:rPr>
          <w:noProof/>
          <w:sz w:val="24"/>
          <w:szCs w:val="24"/>
        </w:rPr>
        <w:t xml:space="preserve">has </w:t>
      </w:r>
      <w:r w:rsidR="004D31F1">
        <w:rPr>
          <w:noProof/>
          <w:sz w:val="24"/>
          <w:szCs w:val="24"/>
        </w:rPr>
        <w:t xml:space="preserve">also </w:t>
      </w:r>
      <w:r w:rsidR="00774F71" w:rsidRPr="004F3A2A">
        <w:rPr>
          <w:noProof/>
          <w:sz w:val="24"/>
          <w:szCs w:val="24"/>
        </w:rPr>
        <w:t>highlighted the need to ensure</w:t>
      </w:r>
      <w:r w:rsidRPr="004F3A2A">
        <w:rPr>
          <w:noProof/>
          <w:sz w:val="24"/>
          <w:szCs w:val="24"/>
        </w:rPr>
        <w:t xml:space="preserve"> </w:t>
      </w:r>
      <w:r w:rsidR="00774F71" w:rsidRPr="004F3A2A">
        <w:rPr>
          <w:noProof/>
          <w:sz w:val="24"/>
          <w:szCs w:val="24"/>
        </w:rPr>
        <w:t xml:space="preserve">that </w:t>
      </w:r>
      <w:r w:rsidR="00922602" w:rsidRPr="004F3A2A">
        <w:rPr>
          <w:noProof/>
          <w:sz w:val="24"/>
          <w:szCs w:val="24"/>
        </w:rPr>
        <w:t>liability rules</w:t>
      </w:r>
      <w:r w:rsidR="00774F71" w:rsidRPr="004F3A2A">
        <w:rPr>
          <w:noProof/>
          <w:sz w:val="24"/>
          <w:szCs w:val="24"/>
        </w:rPr>
        <w:t xml:space="preserve"> are</w:t>
      </w:r>
      <w:r w:rsidRPr="004F3A2A">
        <w:rPr>
          <w:noProof/>
          <w:sz w:val="24"/>
          <w:szCs w:val="24"/>
        </w:rPr>
        <w:t xml:space="preserve"> adapt</w:t>
      </w:r>
      <w:r w:rsidR="00774F71" w:rsidRPr="004F3A2A">
        <w:rPr>
          <w:noProof/>
          <w:sz w:val="24"/>
          <w:szCs w:val="24"/>
        </w:rPr>
        <w:t>ed</w:t>
      </w:r>
      <w:r w:rsidRPr="004F3A2A">
        <w:rPr>
          <w:noProof/>
          <w:sz w:val="24"/>
          <w:szCs w:val="24"/>
        </w:rPr>
        <w:t xml:space="preserve"> to the digital world</w:t>
      </w:r>
      <w:r w:rsidR="00774F71" w:rsidRPr="004F3A2A">
        <w:rPr>
          <w:noProof/>
          <w:sz w:val="24"/>
          <w:szCs w:val="24"/>
        </w:rPr>
        <w:t>, in order to ensure a high level of effective consumer protection, and a level playing field with legal certainty for all businesses, while avoiding high costs and risks for SMEs and start-ups</w:t>
      </w:r>
      <w:r w:rsidR="00774F71" w:rsidRPr="004F3A2A">
        <w:rPr>
          <w:rStyle w:val="FootnoteReference"/>
          <w:noProof/>
          <w:sz w:val="24"/>
          <w:szCs w:val="24"/>
        </w:rPr>
        <w:t xml:space="preserve"> </w:t>
      </w:r>
      <w:r w:rsidR="00D22404" w:rsidRPr="004F3A2A">
        <w:rPr>
          <w:rStyle w:val="FootnoteReference"/>
          <w:noProof/>
          <w:sz w:val="24"/>
          <w:szCs w:val="24"/>
        </w:rPr>
        <w:footnoteReference w:id="6"/>
      </w:r>
      <w:r w:rsidRPr="004F3A2A">
        <w:rPr>
          <w:noProof/>
          <w:sz w:val="24"/>
          <w:szCs w:val="24"/>
        </w:rPr>
        <w:t xml:space="preserve">. </w:t>
      </w:r>
    </w:p>
    <w:p w14:paraId="27E61FA4" w14:textId="12AD70B6" w:rsidR="008F452E" w:rsidRPr="004F3A2A" w:rsidRDefault="00560380" w:rsidP="004F3A2A">
      <w:pPr>
        <w:spacing w:after="240" w:line="240" w:lineRule="auto"/>
        <w:jc w:val="both"/>
        <w:rPr>
          <w:noProof/>
          <w:sz w:val="24"/>
          <w:szCs w:val="24"/>
        </w:rPr>
      </w:pPr>
      <w:r w:rsidRPr="004F3A2A">
        <w:rPr>
          <w:noProof/>
          <w:sz w:val="24"/>
          <w:szCs w:val="24"/>
        </w:rPr>
        <w:t xml:space="preserve">When it comes to the circular economy, </w:t>
      </w:r>
      <w:r w:rsidR="008F452E" w:rsidRPr="004F3A2A">
        <w:rPr>
          <w:noProof/>
          <w:sz w:val="24"/>
          <w:szCs w:val="24"/>
          <w:lang w:val="en-IE"/>
        </w:rPr>
        <w:t xml:space="preserve">business models in which products are </w:t>
      </w:r>
      <w:r w:rsidR="008F452E" w:rsidRPr="004F3A2A">
        <w:rPr>
          <w:noProof/>
          <w:sz w:val="24"/>
          <w:szCs w:val="24"/>
        </w:rPr>
        <w:t>repaired, refurbished or upgraded are increasingly common and central to the EU’s efforts to achieve sustainability and waste-reduction goals.</w:t>
      </w:r>
      <w:r w:rsidR="00AF54CE" w:rsidRPr="004F3A2A">
        <w:rPr>
          <w:noProof/>
          <w:sz w:val="24"/>
          <w:szCs w:val="24"/>
        </w:rPr>
        <w:t xml:space="preserve"> This initiative aim</w:t>
      </w:r>
      <w:r w:rsidR="002D576B" w:rsidRPr="004F3A2A">
        <w:rPr>
          <w:noProof/>
          <w:sz w:val="24"/>
          <w:szCs w:val="24"/>
        </w:rPr>
        <w:t>s</w:t>
      </w:r>
      <w:r w:rsidR="00AF54CE" w:rsidRPr="004F3A2A">
        <w:rPr>
          <w:noProof/>
          <w:sz w:val="24"/>
          <w:szCs w:val="24"/>
        </w:rPr>
        <w:t xml:space="preserve"> to </w:t>
      </w:r>
      <w:r w:rsidR="002D576B" w:rsidRPr="004F3A2A">
        <w:rPr>
          <w:noProof/>
          <w:sz w:val="24"/>
          <w:szCs w:val="24"/>
        </w:rPr>
        <w:t xml:space="preserve">reinforce </w:t>
      </w:r>
      <w:r w:rsidR="001B2D3C" w:rsidRPr="004F3A2A">
        <w:rPr>
          <w:noProof/>
          <w:sz w:val="24"/>
          <w:szCs w:val="24"/>
        </w:rPr>
        <w:t>such efforts as the Sustainable Products Initiative</w:t>
      </w:r>
      <w:r w:rsidR="007716CF">
        <w:rPr>
          <w:rStyle w:val="FootnoteReference"/>
          <w:noProof/>
          <w:sz w:val="24"/>
          <w:szCs w:val="24"/>
        </w:rPr>
        <w:footnoteReference w:id="7"/>
      </w:r>
      <w:r w:rsidR="001B2D3C" w:rsidRPr="004F3A2A">
        <w:rPr>
          <w:noProof/>
          <w:sz w:val="24"/>
          <w:szCs w:val="24"/>
        </w:rPr>
        <w:t xml:space="preserve"> </w:t>
      </w:r>
      <w:r w:rsidR="002D576B" w:rsidRPr="004F3A2A">
        <w:rPr>
          <w:noProof/>
          <w:sz w:val="24"/>
          <w:szCs w:val="24"/>
        </w:rPr>
        <w:t>by ensuring</w:t>
      </w:r>
      <w:r w:rsidR="00AF54CE" w:rsidRPr="004F3A2A">
        <w:rPr>
          <w:noProof/>
          <w:sz w:val="24"/>
          <w:szCs w:val="24"/>
        </w:rPr>
        <w:t xml:space="preserve"> </w:t>
      </w:r>
      <w:r w:rsidR="002D576B" w:rsidRPr="004F3A2A">
        <w:rPr>
          <w:noProof/>
          <w:sz w:val="24"/>
          <w:szCs w:val="24"/>
        </w:rPr>
        <w:t xml:space="preserve">consumers have just as clear rights to compensation for harm caused by defective refurbished products as they do for entirely new products and creating the legal clarity about liability risks </w:t>
      </w:r>
      <w:r w:rsidR="00AF54CE" w:rsidRPr="004F3A2A">
        <w:rPr>
          <w:noProof/>
          <w:sz w:val="24"/>
          <w:szCs w:val="24"/>
        </w:rPr>
        <w:t xml:space="preserve">that </w:t>
      </w:r>
      <w:r w:rsidR="002D576B" w:rsidRPr="004F3A2A">
        <w:rPr>
          <w:noProof/>
          <w:sz w:val="24"/>
          <w:szCs w:val="24"/>
        </w:rPr>
        <w:t>industry needs to embrace circular business models</w:t>
      </w:r>
      <w:r w:rsidR="008F452E" w:rsidRPr="004F3A2A">
        <w:rPr>
          <w:noProof/>
          <w:sz w:val="24"/>
          <w:szCs w:val="24"/>
        </w:rPr>
        <w:t>.</w:t>
      </w:r>
    </w:p>
    <w:p w14:paraId="40F5536C" w14:textId="60D04464" w:rsidR="001B2D3C" w:rsidRPr="004F3A2A" w:rsidRDefault="001B2D3C" w:rsidP="004F3A2A">
      <w:pPr>
        <w:spacing w:after="240" w:line="240" w:lineRule="auto"/>
        <w:jc w:val="both"/>
        <w:rPr>
          <w:noProof/>
          <w:sz w:val="24"/>
          <w:szCs w:val="24"/>
          <w:lang w:val="en-IE"/>
        </w:rPr>
      </w:pPr>
      <w:r w:rsidRPr="004F3A2A">
        <w:rPr>
          <w:noProof/>
          <w:sz w:val="24"/>
          <w:szCs w:val="24"/>
          <w:lang w:val="en-IE"/>
        </w:rPr>
        <w:t xml:space="preserve">Due to the PLD’s very broad scope, covering potentially thousands of product types, it </w:t>
      </w:r>
      <w:r w:rsidR="007E5AE2" w:rsidRPr="004F3A2A">
        <w:rPr>
          <w:noProof/>
          <w:sz w:val="24"/>
          <w:szCs w:val="24"/>
          <w:lang w:val="en-IE"/>
        </w:rPr>
        <w:t>has relevance beyond</w:t>
      </w:r>
      <w:r w:rsidRPr="004F3A2A">
        <w:rPr>
          <w:noProof/>
          <w:sz w:val="24"/>
          <w:szCs w:val="24"/>
          <w:lang w:val="en-IE"/>
        </w:rPr>
        <w:t xml:space="preserve"> the Digital Age and Green Deal</w:t>
      </w:r>
      <w:r w:rsidR="007E5AE2" w:rsidRPr="004F3A2A">
        <w:rPr>
          <w:noProof/>
          <w:sz w:val="24"/>
          <w:szCs w:val="24"/>
          <w:lang w:val="en-IE"/>
        </w:rPr>
        <w:t>. Pharmaceuticals are a product type that has generated considerable case law, and this initiative takes into account the objectives of the Commission’s Pharmaceutical Strategy and the upcoming evaluation of Union pharmaceutical legislation</w:t>
      </w:r>
      <w:r w:rsidR="000A7756">
        <w:rPr>
          <w:rStyle w:val="FootnoteReference"/>
          <w:noProof/>
          <w:sz w:val="24"/>
          <w:szCs w:val="24"/>
          <w:lang w:val="en-IE"/>
        </w:rPr>
        <w:footnoteReference w:id="8"/>
      </w:r>
      <w:r w:rsidRPr="004F3A2A">
        <w:rPr>
          <w:noProof/>
          <w:sz w:val="24"/>
          <w:szCs w:val="24"/>
          <w:lang w:val="en-IE"/>
        </w:rPr>
        <w:t xml:space="preserve">. </w:t>
      </w:r>
    </w:p>
    <w:p w14:paraId="4A9CB1FB" w14:textId="6603BD78" w:rsidR="002712C1" w:rsidRDefault="002712C1" w:rsidP="004F3A2A">
      <w:pPr>
        <w:spacing w:after="240" w:line="240" w:lineRule="auto"/>
        <w:jc w:val="both"/>
        <w:rPr>
          <w:noProof/>
          <w:sz w:val="24"/>
          <w:szCs w:val="24"/>
        </w:rPr>
      </w:pPr>
      <w:r w:rsidRPr="004F3A2A">
        <w:rPr>
          <w:noProof/>
          <w:sz w:val="24"/>
          <w:szCs w:val="24"/>
          <w:lang w:val="en-IE"/>
        </w:rPr>
        <w:t>The evaluation of the PLD</w:t>
      </w:r>
      <w:r w:rsidR="00774F71" w:rsidRPr="004F3A2A">
        <w:rPr>
          <w:rStyle w:val="FootnoteReference"/>
          <w:noProof/>
          <w:sz w:val="24"/>
          <w:szCs w:val="24"/>
          <w:lang w:val="en-IE"/>
        </w:rPr>
        <w:footnoteReference w:id="9"/>
      </w:r>
      <w:r w:rsidRPr="004F3A2A">
        <w:rPr>
          <w:noProof/>
          <w:sz w:val="24"/>
          <w:szCs w:val="24"/>
          <w:lang w:val="en-IE"/>
        </w:rPr>
        <w:t xml:space="preserve"> in 2018 concluded that the Directive was on the whole an effective and relevant instrument, but had several shortcomings: it was legally unclear how to apply the PLD’s 35-year-old definitions to products in the modern digital and circular economy; the burden of proof was challenging in the case of complex products; and the rules excessively limited the possibility of making claims. </w:t>
      </w:r>
      <w:r w:rsidR="00774F71" w:rsidRPr="004F3A2A">
        <w:rPr>
          <w:noProof/>
          <w:sz w:val="24"/>
          <w:szCs w:val="24"/>
          <w:lang w:val="en-IE"/>
        </w:rPr>
        <w:t>Its shortcomings in the area of emerging digital technologies were further analysed in the White Paper on AI</w:t>
      </w:r>
      <w:r w:rsidR="00774F71" w:rsidRPr="004F3A2A">
        <w:rPr>
          <w:rStyle w:val="FootnoteReference"/>
          <w:noProof/>
          <w:sz w:val="24"/>
          <w:szCs w:val="24"/>
          <w:lang w:val="en-IE"/>
        </w:rPr>
        <w:footnoteReference w:id="10"/>
      </w:r>
      <w:r w:rsidR="00774F71" w:rsidRPr="004F3A2A">
        <w:rPr>
          <w:noProof/>
          <w:sz w:val="24"/>
          <w:szCs w:val="24"/>
          <w:lang w:val="en-IE"/>
        </w:rPr>
        <w:t xml:space="preserve">, the accompanying </w:t>
      </w:r>
      <w:r w:rsidR="00774F71" w:rsidRPr="004F3A2A">
        <w:rPr>
          <w:noProof/>
          <w:sz w:val="24"/>
          <w:szCs w:val="24"/>
        </w:rPr>
        <w:t>Report on Liability for AI, IoT and Robotics</w:t>
      </w:r>
      <w:r w:rsidR="00774F71" w:rsidRPr="004F3A2A">
        <w:rPr>
          <w:noProof/>
          <w:sz w:val="24"/>
          <w:szCs w:val="24"/>
          <w:vertAlign w:val="superscript"/>
        </w:rPr>
        <w:footnoteReference w:id="11"/>
      </w:r>
      <w:r w:rsidR="00774F71" w:rsidRPr="004F3A2A">
        <w:rPr>
          <w:noProof/>
          <w:sz w:val="24"/>
          <w:szCs w:val="24"/>
        </w:rPr>
        <w:t xml:space="preserve"> and the report of the Expert Group on Liability and New Technologies</w:t>
      </w:r>
      <w:r w:rsidR="00065F8B" w:rsidRPr="004F3A2A">
        <w:rPr>
          <w:rStyle w:val="FootnoteReference"/>
          <w:noProof/>
          <w:sz w:val="24"/>
          <w:szCs w:val="24"/>
        </w:rPr>
        <w:footnoteReference w:id="12"/>
      </w:r>
      <w:r w:rsidR="00774F71" w:rsidRPr="004F3A2A">
        <w:rPr>
          <w:noProof/>
          <w:sz w:val="24"/>
          <w:szCs w:val="24"/>
        </w:rPr>
        <w:t>.</w:t>
      </w:r>
    </w:p>
    <w:p w14:paraId="7041CE19" w14:textId="6C3582A4" w:rsidR="004D09E6" w:rsidRPr="004426FF" w:rsidRDefault="006F71B9" w:rsidP="004F3A2A">
      <w:pPr>
        <w:spacing w:after="240" w:line="240" w:lineRule="auto"/>
        <w:jc w:val="both"/>
        <w:rPr>
          <w:noProof/>
          <w:sz w:val="24"/>
          <w:szCs w:val="24"/>
        </w:rPr>
      </w:pPr>
      <w:r>
        <w:rPr>
          <w:noProof/>
          <w:sz w:val="24"/>
          <w:szCs w:val="24"/>
        </w:rPr>
        <w:t>Three</w:t>
      </w:r>
      <w:r w:rsidR="00B17E0C">
        <w:rPr>
          <w:noProof/>
          <w:sz w:val="24"/>
          <w:szCs w:val="24"/>
        </w:rPr>
        <w:t xml:space="preserve"> Sustainable Development Goals (‘SDGs’) have been identified as relevant to the PLD and to this initiative: SDG 3 (healthy lives and well-being) linked to promoting safe products and compensating victims of harm, SDG 9 (fostering innovation) linked to giving businesses legal certainty</w:t>
      </w:r>
      <w:r>
        <w:rPr>
          <w:noProof/>
          <w:sz w:val="24"/>
          <w:szCs w:val="24"/>
        </w:rPr>
        <w:t xml:space="preserve"> and SDG 12 (responsible consumption and production) linked to circular economy</w:t>
      </w:r>
      <w:r w:rsidR="00ED1B79">
        <w:rPr>
          <w:noProof/>
          <w:sz w:val="24"/>
          <w:szCs w:val="24"/>
        </w:rPr>
        <w:t xml:space="preserve">, enhancing </w:t>
      </w:r>
      <w:r w:rsidRPr="006F71B9">
        <w:rPr>
          <w:noProof/>
          <w:sz w:val="24"/>
          <w:szCs w:val="24"/>
        </w:rPr>
        <w:t>product safety when substantial modifications</w:t>
      </w:r>
      <w:r>
        <w:rPr>
          <w:noProof/>
          <w:sz w:val="24"/>
          <w:szCs w:val="24"/>
        </w:rPr>
        <w:t xml:space="preserve"> are made</w:t>
      </w:r>
      <w:r w:rsidR="00B17E0C">
        <w:rPr>
          <w:noProof/>
          <w:sz w:val="24"/>
          <w:szCs w:val="24"/>
        </w:rPr>
        <w:t>.</w:t>
      </w:r>
    </w:p>
    <w:p w14:paraId="695DC865" w14:textId="1B3EC867" w:rsidR="00D035FC" w:rsidRDefault="002E7937" w:rsidP="002E7937">
      <w:pPr>
        <w:pStyle w:val="Heading2"/>
        <w:rPr>
          <w:noProof/>
        </w:rPr>
      </w:pPr>
      <w:bookmarkStart w:id="33" w:name="_Toc94005518"/>
      <w:bookmarkStart w:id="34" w:name="_Toc95379845"/>
      <w:bookmarkStart w:id="35" w:name="_Toc95391337"/>
      <w:bookmarkStart w:id="36" w:name="_Toc95396406"/>
      <w:bookmarkStart w:id="37" w:name="_Toc95421504"/>
      <w:bookmarkStart w:id="38" w:name="_Toc95481953"/>
      <w:bookmarkStart w:id="39" w:name="_Toc96337746"/>
      <w:bookmarkStart w:id="40" w:name="_Toc96446225"/>
      <w:bookmarkStart w:id="41" w:name="_Toc96447998"/>
      <w:bookmarkStart w:id="42" w:name="_Toc96593947"/>
      <w:bookmarkStart w:id="43" w:name="_Toc96597238"/>
      <w:bookmarkStart w:id="44" w:name="_Toc96609173"/>
      <w:bookmarkStart w:id="45" w:name="_Toc97149202"/>
      <w:bookmarkStart w:id="46" w:name="_Toc97191248"/>
      <w:bookmarkStart w:id="47" w:name="_Toc107430058"/>
      <w:r w:rsidRPr="002E7937">
        <w:t>1.2.</w:t>
      </w:r>
      <w:r w:rsidRPr="002E7937">
        <w:tab/>
      </w:r>
      <w:r w:rsidR="00D035FC">
        <w:rPr>
          <w:noProof/>
        </w:rPr>
        <w:t>Legal context</w:t>
      </w:r>
      <w:bookmarkEnd w:id="33"/>
      <w:bookmarkEnd w:id="34"/>
      <w:bookmarkEnd w:id="35"/>
      <w:bookmarkEnd w:id="36"/>
      <w:bookmarkEnd w:id="37"/>
      <w:bookmarkEnd w:id="38"/>
      <w:bookmarkEnd w:id="39"/>
      <w:bookmarkEnd w:id="40"/>
      <w:bookmarkEnd w:id="41"/>
      <w:bookmarkEnd w:id="42"/>
      <w:bookmarkEnd w:id="43"/>
      <w:bookmarkEnd w:id="44"/>
      <w:r w:rsidR="00070898">
        <w:rPr>
          <w:noProof/>
        </w:rPr>
        <w:t xml:space="preserve"> (see annex 7 for more details)</w:t>
      </w:r>
      <w:bookmarkEnd w:id="45"/>
      <w:bookmarkEnd w:id="46"/>
      <w:bookmarkEnd w:id="47"/>
    </w:p>
    <w:p w14:paraId="71412DE4" w14:textId="4A8CEBCC" w:rsidR="00A40A47" w:rsidRDefault="002E7937" w:rsidP="002E7937">
      <w:pPr>
        <w:pStyle w:val="Heading3"/>
        <w:rPr>
          <w:noProof/>
          <w:lang w:val="en-IE"/>
        </w:rPr>
      </w:pPr>
      <w:bookmarkStart w:id="48" w:name="_Toc94005519"/>
      <w:bookmarkStart w:id="49" w:name="_Toc95379846"/>
      <w:bookmarkStart w:id="50" w:name="_Toc95391338"/>
      <w:bookmarkStart w:id="51" w:name="_Toc95396407"/>
      <w:bookmarkStart w:id="52" w:name="_Toc95421505"/>
      <w:bookmarkStart w:id="53" w:name="_Toc95481954"/>
      <w:bookmarkStart w:id="54" w:name="_Toc96337747"/>
      <w:bookmarkStart w:id="55" w:name="_Toc96446226"/>
      <w:bookmarkStart w:id="56" w:name="_Toc96447999"/>
      <w:bookmarkStart w:id="57" w:name="_Toc96593948"/>
      <w:bookmarkStart w:id="58" w:name="_Toc96597239"/>
      <w:bookmarkStart w:id="59" w:name="_Toc96609174"/>
      <w:bookmarkStart w:id="60" w:name="_Toc97149203"/>
      <w:bookmarkStart w:id="61" w:name="_Toc97191249"/>
      <w:bookmarkStart w:id="62" w:name="_Toc107430059"/>
      <w:r w:rsidRPr="002E7937">
        <w:t>1.2.1.</w:t>
      </w:r>
      <w:r w:rsidRPr="002E7937">
        <w:tab/>
      </w:r>
      <w:r w:rsidR="00A40A47">
        <w:rPr>
          <w:noProof/>
          <w:lang w:val="en-IE"/>
        </w:rPr>
        <w:t>Main features of the PLD</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AB6718">
        <w:rPr>
          <w:noProof/>
          <w:lang w:val="en-IE"/>
        </w:rPr>
        <w:t xml:space="preserve"> </w:t>
      </w:r>
    </w:p>
    <w:p w14:paraId="3C534BEA" w14:textId="34ED221F" w:rsidR="00AB6718" w:rsidRPr="004D3357" w:rsidRDefault="00582311" w:rsidP="004D3357">
      <w:pPr>
        <w:spacing w:after="240" w:line="240" w:lineRule="auto"/>
        <w:jc w:val="both"/>
        <w:rPr>
          <w:noProof/>
          <w:sz w:val="24"/>
          <w:lang w:val="en-IE"/>
        </w:rPr>
      </w:pPr>
      <w:r w:rsidRPr="004D3357">
        <w:rPr>
          <w:noProof/>
          <w:sz w:val="24"/>
          <w:lang w:val="en-IE"/>
        </w:rPr>
        <w:t>The PLD</w:t>
      </w:r>
      <w:r w:rsidR="00066952" w:rsidRPr="004D3357">
        <w:rPr>
          <w:noProof/>
          <w:sz w:val="24"/>
          <w:lang w:val="en-IE"/>
        </w:rPr>
        <w:t xml:space="preserve"> lays down common rules </w:t>
      </w:r>
      <w:r w:rsidR="00ED5136" w:rsidRPr="004D3357">
        <w:rPr>
          <w:noProof/>
          <w:sz w:val="24"/>
          <w:lang w:val="en-IE"/>
        </w:rPr>
        <w:t xml:space="preserve">at EU level </w:t>
      </w:r>
      <w:r w:rsidR="00066952" w:rsidRPr="004D3357">
        <w:rPr>
          <w:noProof/>
          <w:sz w:val="24"/>
          <w:lang w:val="en-IE"/>
        </w:rPr>
        <w:t xml:space="preserve">for strict liability (i.e. liability </w:t>
      </w:r>
      <w:r w:rsidR="00ED5136" w:rsidRPr="004D3357">
        <w:rPr>
          <w:noProof/>
          <w:sz w:val="24"/>
          <w:lang w:val="en-IE"/>
        </w:rPr>
        <w:t xml:space="preserve">irrespective of </w:t>
      </w:r>
      <w:r w:rsidR="00066952" w:rsidRPr="004D3357">
        <w:rPr>
          <w:noProof/>
          <w:sz w:val="24"/>
          <w:lang w:val="en-IE"/>
        </w:rPr>
        <w:t>fault</w:t>
      </w:r>
      <w:r w:rsidR="00ED5136" w:rsidRPr="004D3357">
        <w:rPr>
          <w:noProof/>
          <w:sz w:val="24"/>
          <w:lang w:val="en-IE"/>
        </w:rPr>
        <w:t xml:space="preserve"> or negligence</w:t>
      </w:r>
      <w:r w:rsidR="00066952" w:rsidRPr="004D3357">
        <w:rPr>
          <w:noProof/>
          <w:sz w:val="24"/>
          <w:lang w:val="en-IE"/>
        </w:rPr>
        <w:t xml:space="preserve">) of producers for damage caused by defective products. It allows </w:t>
      </w:r>
      <w:r w:rsidR="00B30B85">
        <w:rPr>
          <w:noProof/>
          <w:sz w:val="24"/>
          <w:lang w:val="en-IE"/>
        </w:rPr>
        <w:t>any person</w:t>
      </w:r>
      <w:r w:rsidR="00B30B85" w:rsidRPr="004D3357">
        <w:rPr>
          <w:noProof/>
          <w:sz w:val="24"/>
          <w:lang w:val="en-IE"/>
        </w:rPr>
        <w:t xml:space="preserve"> </w:t>
      </w:r>
      <w:r w:rsidR="00ED5136" w:rsidRPr="004D3357">
        <w:rPr>
          <w:noProof/>
          <w:sz w:val="24"/>
          <w:lang w:val="en-IE"/>
        </w:rPr>
        <w:t>who</w:t>
      </w:r>
      <w:r w:rsidR="00066952" w:rsidRPr="004D3357">
        <w:rPr>
          <w:noProof/>
          <w:sz w:val="24"/>
          <w:lang w:val="en-IE"/>
        </w:rPr>
        <w:t xml:space="preserve"> </w:t>
      </w:r>
      <w:r w:rsidR="00B30B85">
        <w:rPr>
          <w:noProof/>
          <w:sz w:val="24"/>
          <w:lang w:val="en-IE"/>
        </w:rPr>
        <w:t>has</w:t>
      </w:r>
      <w:r w:rsidR="00B30B85" w:rsidRPr="004D3357">
        <w:rPr>
          <w:noProof/>
          <w:sz w:val="24"/>
          <w:lang w:val="en-IE"/>
        </w:rPr>
        <w:t xml:space="preserve"> </w:t>
      </w:r>
      <w:r w:rsidR="00066952" w:rsidRPr="004D3357">
        <w:rPr>
          <w:noProof/>
          <w:sz w:val="24"/>
          <w:lang w:val="en-IE"/>
        </w:rPr>
        <w:t xml:space="preserve">been injured by </w:t>
      </w:r>
      <w:r w:rsidR="00B30B85">
        <w:rPr>
          <w:noProof/>
          <w:sz w:val="24"/>
          <w:lang w:val="en-IE"/>
        </w:rPr>
        <w:t xml:space="preserve">a </w:t>
      </w:r>
      <w:r w:rsidR="00066952" w:rsidRPr="004D3357">
        <w:rPr>
          <w:noProof/>
          <w:sz w:val="24"/>
          <w:lang w:val="en-IE"/>
        </w:rPr>
        <w:t>defective product</w:t>
      </w:r>
      <w:r w:rsidR="00B30B85">
        <w:rPr>
          <w:noProof/>
          <w:sz w:val="24"/>
          <w:lang w:val="en-IE"/>
        </w:rPr>
        <w:t>, whether the owner or a bystander,</w:t>
      </w:r>
      <w:r w:rsidR="00066952" w:rsidRPr="004D3357">
        <w:rPr>
          <w:noProof/>
          <w:sz w:val="24"/>
          <w:lang w:val="en-IE"/>
        </w:rPr>
        <w:t xml:space="preserve"> to claim financial compensation for death, personal injuries or </w:t>
      </w:r>
      <w:r w:rsidR="00ED5136" w:rsidRPr="004D3357">
        <w:rPr>
          <w:noProof/>
          <w:sz w:val="24"/>
          <w:lang w:val="en-IE"/>
        </w:rPr>
        <w:t xml:space="preserve">for </w:t>
      </w:r>
      <w:r w:rsidR="00066952" w:rsidRPr="004D3357">
        <w:rPr>
          <w:noProof/>
          <w:sz w:val="24"/>
          <w:lang w:val="en-IE"/>
        </w:rPr>
        <w:t xml:space="preserve">damage </w:t>
      </w:r>
      <w:r w:rsidRPr="004D3357">
        <w:rPr>
          <w:noProof/>
          <w:sz w:val="24"/>
          <w:lang w:val="en-IE"/>
        </w:rPr>
        <w:t xml:space="preserve">to consumer </w:t>
      </w:r>
      <w:r w:rsidR="00066952" w:rsidRPr="004D3357">
        <w:rPr>
          <w:noProof/>
          <w:sz w:val="24"/>
          <w:lang w:val="en-IE"/>
        </w:rPr>
        <w:t>property</w:t>
      </w:r>
      <w:r w:rsidRPr="004D3357">
        <w:rPr>
          <w:noProof/>
          <w:sz w:val="24"/>
          <w:lang w:val="en-IE"/>
        </w:rPr>
        <w:t xml:space="preserve"> where the </w:t>
      </w:r>
      <w:r w:rsidR="00ED5136" w:rsidRPr="004D3357">
        <w:rPr>
          <w:noProof/>
          <w:sz w:val="24"/>
          <w:lang w:val="en-IE"/>
        </w:rPr>
        <w:t xml:space="preserve">property </w:t>
      </w:r>
      <w:r w:rsidRPr="004D3357">
        <w:rPr>
          <w:noProof/>
          <w:sz w:val="24"/>
          <w:lang w:val="en-IE"/>
        </w:rPr>
        <w:t xml:space="preserve">damage amounts to more than EUR </w:t>
      </w:r>
      <w:r w:rsidR="00066952" w:rsidRPr="004D3357">
        <w:rPr>
          <w:noProof/>
          <w:sz w:val="24"/>
          <w:lang w:val="en-IE"/>
        </w:rPr>
        <w:t xml:space="preserve">500. </w:t>
      </w:r>
    </w:p>
    <w:p w14:paraId="0E3AA8C4" w14:textId="4244ED46" w:rsidR="00ED5136" w:rsidRPr="004D3357" w:rsidRDefault="00C53C34" w:rsidP="004D3357">
      <w:pPr>
        <w:spacing w:after="240" w:line="240" w:lineRule="auto"/>
        <w:jc w:val="both"/>
        <w:rPr>
          <w:noProof/>
          <w:sz w:val="24"/>
          <w:lang w:val="en-IE"/>
        </w:rPr>
      </w:pPr>
      <w:r w:rsidRPr="004D3357">
        <w:rPr>
          <w:noProof/>
          <w:sz w:val="24"/>
          <w:lang w:val="en-IE"/>
        </w:rPr>
        <w:t xml:space="preserve">Product: </w:t>
      </w:r>
      <w:r w:rsidR="002329E2" w:rsidRPr="004D3357">
        <w:rPr>
          <w:noProof/>
          <w:sz w:val="24"/>
          <w:lang w:val="en-IE"/>
        </w:rPr>
        <w:t>A product is defined very broadly as “any movable, even though incorporated into another movable or into an immovable, including electricity”. The PLD does not cover the liability of service providers</w:t>
      </w:r>
      <w:r w:rsidR="00E24383" w:rsidRPr="004D3357">
        <w:rPr>
          <w:rStyle w:val="FootnoteReference"/>
          <w:noProof/>
          <w:sz w:val="24"/>
          <w:lang w:val="en-IE"/>
        </w:rPr>
        <w:footnoteReference w:id="13"/>
      </w:r>
      <w:r w:rsidR="002329E2" w:rsidRPr="004D3357">
        <w:rPr>
          <w:noProof/>
          <w:sz w:val="24"/>
          <w:lang w:val="en-IE"/>
        </w:rPr>
        <w:t xml:space="preserve"> but it does apply to products used while providing service</w:t>
      </w:r>
      <w:r w:rsidR="00BA0837" w:rsidRPr="004D3357">
        <w:rPr>
          <w:noProof/>
          <w:sz w:val="24"/>
          <w:lang w:val="en-IE"/>
        </w:rPr>
        <w:t>s</w:t>
      </w:r>
      <w:r w:rsidR="00E24383" w:rsidRPr="004D3357">
        <w:rPr>
          <w:rStyle w:val="FootnoteReference"/>
          <w:noProof/>
          <w:sz w:val="24"/>
          <w:lang w:val="en-IE"/>
        </w:rPr>
        <w:footnoteReference w:id="14"/>
      </w:r>
      <w:r w:rsidR="002329E2" w:rsidRPr="004D3357">
        <w:rPr>
          <w:noProof/>
          <w:sz w:val="24"/>
          <w:lang w:val="en-IE"/>
        </w:rPr>
        <w:t xml:space="preserve">. </w:t>
      </w:r>
    </w:p>
    <w:p w14:paraId="60977D1C" w14:textId="0842CB9E" w:rsidR="002329E2" w:rsidRPr="004D3357" w:rsidRDefault="00C53C34" w:rsidP="004D3357">
      <w:pPr>
        <w:spacing w:after="240" w:line="240" w:lineRule="auto"/>
        <w:jc w:val="both"/>
        <w:rPr>
          <w:noProof/>
          <w:sz w:val="24"/>
          <w:lang w:val="en-IE"/>
        </w:rPr>
      </w:pPr>
      <w:r w:rsidRPr="004D3357">
        <w:rPr>
          <w:noProof/>
          <w:sz w:val="24"/>
          <w:lang w:val="en-IE"/>
        </w:rPr>
        <w:t xml:space="preserve">Defect: </w:t>
      </w:r>
      <w:r w:rsidR="002329E2" w:rsidRPr="004D3357">
        <w:rPr>
          <w:noProof/>
          <w:sz w:val="24"/>
          <w:lang w:val="en-IE"/>
        </w:rPr>
        <w:t xml:space="preserve">A product is defective when it does not provide the safety a person is entitled to expect, taking all circumstances into account, including the presentation of the product, the reasonably expected use and the time when the product was put into circulation. The concept of “defect” is </w:t>
      </w:r>
      <w:r w:rsidR="00BA0837" w:rsidRPr="004D3357">
        <w:rPr>
          <w:noProof/>
          <w:sz w:val="24"/>
          <w:lang w:val="en-IE"/>
        </w:rPr>
        <w:t xml:space="preserve">designed broadly since it has to apply </w:t>
      </w:r>
      <w:r w:rsidR="002329E2" w:rsidRPr="004D3357">
        <w:rPr>
          <w:noProof/>
          <w:sz w:val="24"/>
          <w:lang w:val="en-IE"/>
        </w:rPr>
        <w:t xml:space="preserve">to </w:t>
      </w:r>
      <w:r w:rsidR="00BA0837" w:rsidRPr="004D3357">
        <w:rPr>
          <w:noProof/>
          <w:sz w:val="24"/>
          <w:lang w:val="en-IE"/>
        </w:rPr>
        <w:t xml:space="preserve">a huge </w:t>
      </w:r>
      <w:r w:rsidR="002329E2" w:rsidRPr="004D3357">
        <w:rPr>
          <w:noProof/>
          <w:sz w:val="24"/>
          <w:lang w:val="en-IE"/>
        </w:rPr>
        <w:t>range of products</w:t>
      </w:r>
      <w:r w:rsidR="00BA0837" w:rsidRPr="004D3357">
        <w:rPr>
          <w:noProof/>
          <w:sz w:val="24"/>
          <w:lang w:val="en-IE"/>
        </w:rPr>
        <w:t xml:space="preserve">, and </w:t>
      </w:r>
      <w:r w:rsidR="004446CD" w:rsidRPr="004D3357">
        <w:rPr>
          <w:noProof/>
          <w:sz w:val="24"/>
          <w:lang w:val="en-IE"/>
        </w:rPr>
        <w:t xml:space="preserve">its interpretation </w:t>
      </w:r>
      <w:r w:rsidR="00BA0837" w:rsidRPr="004D3357">
        <w:rPr>
          <w:noProof/>
          <w:sz w:val="24"/>
          <w:lang w:val="en-IE"/>
        </w:rPr>
        <w:t>dynamically adapt</w:t>
      </w:r>
      <w:r w:rsidR="00537A7E" w:rsidRPr="004D3357">
        <w:rPr>
          <w:noProof/>
          <w:sz w:val="24"/>
          <w:lang w:val="en-IE"/>
        </w:rPr>
        <w:t>s</w:t>
      </w:r>
      <w:r w:rsidR="00BA0837" w:rsidRPr="004D3357">
        <w:rPr>
          <w:noProof/>
          <w:sz w:val="24"/>
          <w:lang w:val="en-IE"/>
        </w:rPr>
        <w:t xml:space="preserve"> to changing levels of safety expectations, </w:t>
      </w:r>
      <w:r w:rsidR="00537A7E" w:rsidRPr="004D3357">
        <w:rPr>
          <w:noProof/>
          <w:sz w:val="24"/>
          <w:lang w:val="en-IE"/>
        </w:rPr>
        <w:t>in particular</w:t>
      </w:r>
      <w:r w:rsidR="00BA0837" w:rsidRPr="004D3357">
        <w:rPr>
          <w:noProof/>
          <w:sz w:val="24"/>
          <w:lang w:val="en-IE"/>
        </w:rPr>
        <w:t xml:space="preserve"> as new </w:t>
      </w:r>
      <w:r w:rsidR="00537A7E" w:rsidRPr="004D3357">
        <w:rPr>
          <w:noProof/>
          <w:sz w:val="24"/>
          <w:lang w:val="en-IE"/>
        </w:rPr>
        <w:t>product</w:t>
      </w:r>
      <w:r w:rsidR="00BA0837" w:rsidRPr="004D3357">
        <w:rPr>
          <w:noProof/>
          <w:sz w:val="24"/>
          <w:lang w:val="en-IE"/>
        </w:rPr>
        <w:t xml:space="preserve"> legislation</w:t>
      </w:r>
      <w:r w:rsidR="00537A7E" w:rsidRPr="004D3357">
        <w:rPr>
          <w:noProof/>
          <w:sz w:val="24"/>
          <w:lang w:val="en-IE"/>
        </w:rPr>
        <w:t xml:space="preserve"> brings in new safety rules</w:t>
      </w:r>
      <w:r w:rsidR="00BA0837" w:rsidRPr="004D3357">
        <w:rPr>
          <w:noProof/>
          <w:sz w:val="24"/>
          <w:lang w:val="en-IE"/>
        </w:rPr>
        <w:t>.</w:t>
      </w:r>
    </w:p>
    <w:p w14:paraId="7AC62B56" w14:textId="5D3302A0" w:rsidR="00ED5136" w:rsidRPr="004D3357" w:rsidRDefault="00C53C34" w:rsidP="004D3357">
      <w:pPr>
        <w:spacing w:after="240" w:line="240" w:lineRule="auto"/>
        <w:jc w:val="both"/>
        <w:rPr>
          <w:noProof/>
          <w:sz w:val="24"/>
          <w:lang w:val="en-IE"/>
        </w:rPr>
      </w:pPr>
      <w:r w:rsidRPr="004D3357">
        <w:rPr>
          <w:noProof/>
          <w:sz w:val="24"/>
          <w:lang w:val="en-IE"/>
        </w:rPr>
        <w:t xml:space="preserve">Producer: </w:t>
      </w:r>
      <w:r w:rsidR="00BA0837" w:rsidRPr="004D3357">
        <w:rPr>
          <w:noProof/>
          <w:sz w:val="24"/>
          <w:lang w:val="en-IE"/>
        </w:rPr>
        <w:t>A producer means the manufacturer of a finished product, the producer of any raw material or the manufacturer of a component part and any person who puts their trade mark on the product, as well as importers. The term “producer” is deliberately broad so that an injured person can easily find a liable person. If the producer is not known, the supplier (e.g. seller) will be held liable unless he informs the injured person of the producer’s identity.</w:t>
      </w:r>
    </w:p>
    <w:p w14:paraId="6501807F" w14:textId="5A24FB21" w:rsidR="00BA0837" w:rsidRPr="004D3357" w:rsidRDefault="00C53C34" w:rsidP="004D3357">
      <w:pPr>
        <w:spacing w:after="240" w:line="240" w:lineRule="auto"/>
        <w:jc w:val="both"/>
        <w:rPr>
          <w:noProof/>
          <w:sz w:val="24"/>
          <w:lang w:val="en-IE"/>
        </w:rPr>
      </w:pPr>
      <w:r w:rsidRPr="004D3357">
        <w:rPr>
          <w:noProof/>
          <w:sz w:val="24"/>
          <w:lang w:val="en-IE"/>
        </w:rPr>
        <w:t xml:space="preserve">Burden of proof: </w:t>
      </w:r>
      <w:r w:rsidR="00537A7E" w:rsidRPr="004D3357">
        <w:rPr>
          <w:noProof/>
          <w:sz w:val="24"/>
          <w:lang w:val="en-IE"/>
        </w:rPr>
        <w:t>The claimant has the burden of pro</w:t>
      </w:r>
      <w:r w:rsidR="00E24383" w:rsidRPr="004D3357">
        <w:rPr>
          <w:noProof/>
          <w:sz w:val="24"/>
          <w:lang w:val="en-IE"/>
        </w:rPr>
        <w:t>ving</w:t>
      </w:r>
      <w:r w:rsidR="00537A7E" w:rsidRPr="004D3357">
        <w:rPr>
          <w:noProof/>
          <w:sz w:val="24"/>
          <w:lang w:val="en-IE"/>
        </w:rPr>
        <w:t xml:space="preserve"> the damage, the defect and the causal relationship between defect and damage </w:t>
      </w:r>
      <w:r w:rsidR="00E24383" w:rsidRPr="004D3357">
        <w:rPr>
          <w:noProof/>
          <w:sz w:val="24"/>
          <w:lang w:val="en-IE"/>
        </w:rPr>
        <w:t xml:space="preserve">in order to get </w:t>
      </w:r>
      <w:r w:rsidR="00537A7E" w:rsidRPr="004D3357">
        <w:rPr>
          <w:noProof/>
          <w:sz w:val="24"/>
          <w:lang w:val="en-IE"/>
        </w:rPr>
        <w:t>compensation.</w:t>
      </w:r>
      <w:r w:rsidR="00E24383" w:rsidRPr="004D3357">
        <w:rPr>
          <w:noProof/>
          <w:sz w:val="24"/>
          <w:lang w:val="en-IE"/>
        </w:rPr>
        <w:t xml:space="preserve"> The Court has endorsed national evidentiary rules intended to ease the burden of proof</w:t>
      </w:r>
      <w:r w:rsidR="00E24383" w:rsidRPr="004D3357">
        <w:rPr>
          <w:rStyle w:val="FootnoteReference"/>
          <w:noProof/>
          <w:sz w:val="24"/>
          <w:lang w:val="en-IE"/>
        </w:rPr>
        <w:footnoteReference w:id="15"/>
      </w:r>
      <w:r w:rsidR="00E24383" w:rsidRPr="004D3357">
        <w:rPr>
          <w:noProof/>
          <w:sz w:val="24"/>
          <w:lang w:val="en-IE"/>
        </w:rPr>
        <w:t>.</w:t>
      </w:r>
    </w:p>
    <w:p w14:paraId="7DCF92A0" w14:textId="38C2B17B" w:rsidR="007500B5" w:rsidRPr="004D3357" w:rsidRDefault="00C53C34" w:rsidP="004D3357">
      <w:pPr>
        <w:spacing w:after="240" w:line="240" w:lineRule="auto"/>
        <w:jc w:val="both"/>
        <w:rPr>
          <w:noProof/>
          <w:sz w:val="24"/>
          <w:lang w:val="en-IE"/>
        </w:rPr>
      </w:pPr>
      <w:r w:rsidRPr="004D3357">
        <w:rPr>
          <w:noProof/>
          <w:sz w:val="24"/>
          <w:lang w:val="en-IE"/>
        </w:rPr>
        <w:t xml:space="preserve">Exemptions: </w:t>
      </w:r>
      <w:r w:rsidR="007500B5" w:rsidRPr="004D3357">
        <w:rPr>
          <w:noProof/>
          <w:sz w:val="24"/>
          <w:lang w:val="en-IE"/>
        </w:rPr>
        <w:t>Producers may be exempted from liability</w:t>
      </w:r>
      <w:r w:rsidR="00C67BB7" w:rsidRPr="004D3357">
        <w:rPr>
          <w:noProof/>
          <w:sz w:val="24"/>
          <w:lang w:val="en-IE"/>
        </w:rPr>
        <w:t xml:space="preserve"> </w:t>
      </w:r>
      <w:r w:rsidR="007500B5" w:rsidRPr="004D3357">
        <w:rPr>
          <w:noProof/>
          <w:sz w:val="24"/>
          <w:lang w:val="en-IE"/>
        </w:rPr>
        <w:t>if they prove certain circumstances, for example, that they did not put the product into circulation, that the defect probably emerged after the product was put into circulation (“later-defect defence”</w:t>
      </w:r>
      <w:r w:rsidR="003F242E" w:rsidRPr="004D3357">
        <w:rPr>
          <w:noProof/>
          <w:sz w:val="24"/>
          <w:lang w:val="en-IE"/>
        </w:rPr>
        <w:t>, Art. 7(b)</w:t>
      </w:r>
      <w:r w:rsidR="007500B5" w:rsidRPr="004D3357">
        <w:rPr>
          <w:noProof/>
          <w:sz w:val="24"/>
          <w:lang w:val="en-IE"/>
        </w:rPr>
        <w:t>), or that the defect was undiscoverable based on the state of scientific and technical knowledge at the time the product was put into circulation (“development risk defence”</w:t>
      </w:r>
      <w:r w:rsidR="003F242E" w:rsidRPr="004D3357">
        <w:rPr>
          <w:noProof/>
          <w:sz w:val="24"/>
          <w:lang w:val="en-IE"/>
        </w:rPr>
        <w:t>, Art. 7(e)</w:t>
      </w:r>
      <w:r w:rsidR="007500B5" w:rsidRPr="004D3357">
        <w:rPr>
          <w:noProof/>
          <w:sz w:val="24"/>
          <w:lang w:val="en-IE"/>
        </w:rPr>
        <w:t>).</w:t>
      </w:r>
    </w:p>
    <w:p w14:paraId="67328DE8" w14:textId="50A3A0A0" w:rsidR="00BA0837" w:rsidRPr="004D3357" w:rsidRDefault="00C53C34" w:rsidP="004D3357">
      <w:pPr>
        <w:spacing w:after="240" w:line="240" w:lineRule="auto"/>
        <w:jc w:val="both"/>
        <w:rPr>
          <w:noProof/>
          <w:sz w:val="24"/>
          <w:lang w:val="en-IE"/>
        </w:rPr>
      </w:pPr>
      <w:r w:rsidRPr="004D3357">
        <w:rPr>
          <w:noProof/>
          <w:sz w:val="24"/>
          <w:lang w:val="en-IE"/>
        </w:rPr>
        <w:t xml:space="preserve">Time-limits: </w:t>
      </w:r>
      <w:r w:rsidR="007500B5" w:rsidRPr="004D3357">
        <w:rPr>
          <w:noProof/>
          <w:sz w:val="24"/>
          <w:lang w:val="en-IE"/>
        </w:rPr>
        <w:t xml:space="preserve">Producers are also released from liability under the PLD 10 years after they put a product into circulation, and claimants have to start legal proceedings within three years of identifying </w:t>
      </w:r>
      <w:r w:rsidRPr="004D3357">
        <w:rPr>
          <w:noProof/>
          <w:sz w:val="24"/>
          <w:lang w:val="en-IE"/>
        </w:rPr>
        <w:t xml:space="preserve">the damage, the defect </w:t>
      </w:r>
      <w:r w:rsidR="007500B5" w:rsidRPr="004D3357">
        <w:rPr>
          <w:noProof/>
          <w:sz w:val="24"/>
          <w:lang w:val="en-IE"/>
        </w:rPr>
        <w:t xml:space="preserve">and the producer. </w:t>
      </w:r>
    </w:p>
    <w:p w14:paraId="6BA2DBC4" w14:textId="5E6457E6" w:rsidR="00AB6718" w:rsidRPr="004D3357" w:rsidRDefault="002E7937" w:rsidP="002E7937">
      <w:pPr>
        <w:pStyle w:val="Heading3"/>
        <w:rPr>
          <w:noProof/>
          <w:lang w:val="en-IE"/>
        </w:rPr>
      </w:pPr>
      <w:bookmarkStart w:id="63" w:name="_Toc94005520"/>
      <w:bookmarkStart w:id="64" w:name="_Toc95379847"/>
      <w:bookmarkStart w:id="65" w:name="_Toc95391339"/>
      <w:bookmarkStart w:id="66" w:name="_Toc95396408"/>
      <w:bookmarkStart w:id="67" w:name="_Toc95421506"/>
      <w:bookmarkStart w:id="68" w:name="_Toc95481955"/>
      <w:bookmarkStart w:id="69" w:name="_Toc96337748"/>
      <w:bookmarkStart w:id="70" w:name="_Toc96446227"/>
      <w:bookmarkStart w:id="71" w:name="_Toc96448000"/>
      <w:bookmarkStart w:id="72" w:name="_Toc96593949"/>
      <w:bookmarkStart w:id="73" w:name="_Toc96597240"/>
      <w:bookmarkStart w:id="74" w:name="_Toc96609175"/>
      <w:bookmarkStart w:id="75" w:name="_Toc97149204"/>
      <w:bookmarkStart w:id="76" w:name="_Toc97191250"/>
      <w:bookmarkStart w:id="77" w:name="_Toc107430060"/>
      <w:r w:rsidRPr="002E7937">
        <w:t>1.2.2.</w:t>
      </w:r>
      <w:r w:rsidRPr="002E7937">
        <w:tab/>
      </w:r>
      <w:r w:rsidR="00E360FD">
        <w:rPr>
          <w:noProof/>
          <w:lang w:val="en-IE"/>
        </w:rPr>
        <w:t xml:space="preserve">Interplay of PLD with </w:t>
      </w:r>
      <w:r w:rsidR="00D60B82">
        <w:rPr>
          <w:noProof/>
          <w:lang w:val="en-IE"/>
        </w:rPr>
        <w:t xml:space="preserve">other </w:t>
      </w:r>
      <w:r w:rsidR="00E360FD">
        <w:rPr>
          <w:noProof/>
          <w:lang w:val="en-IE"/>
        </w:rPr>
        <w:t>liability regimes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79124D6" w14:textId="49B46FE9" w:rsidR="00D60B82" w:rsidRPr="004D3357" w:rsidRDefault="00D60B82" w:rsidP="004D3357">
      <w:pPr>
        <w:spacing w:after="240" w:line="240" w:lineRule="auto"/>
        <w:rPr>
          <w:noProof/>
          <w:sz w:val="24"/>
          <w:u w:val="single"/>
          <w:lang w:val="en-IE"/>
        </w:rPr>
      </w:pPr>
      <w:r w:rsidRPr="004D3357">
        <w:rPr>
          <w:noProof/>
          <w:sz w:val="24"/>
          <w:u w:val="single"/>
          <w:lang w:val="en-IE"/>
        </w:rPr>
        <w:t>National fault-based liability regimes</w:t>
      </w:r>
    </w:p>
    <w:p w14:paraId="049D3C56" w14:textId="3AFE445B" w:rsidR="00AB6718" w:rsidRPr="004D3357" w:rsidRDefault="00AB6718" w:rsidP="004D3357">
      <w:pPr>
        <w:spacing w:after="240" w:line="240" w:lineRule="auto"/>
        <w:jc w:val="both"/>
        <w:rPr>
          <w:noProof/>
          <w:sz w:val="24"/>
          <w:lang w:val="en-IE"/>
        </w:rPr>
      </w:pPr>
      <w:r w:rsidRPr="004D3357">
        <w:rPr>
          <w:noProof/>
          <w:sz w:val="24"/>
          <w:lang w:val="en-IE"/>
        </w:rPr>
        <w:t>The distinctive feature of the PLD regime is that claimants do not have to prove the producer’s fault to get compensation, because this proved to be very challenging for claimants as production became more technologically complex during the 20</w:t>
      </w:r>
      <w:r w:rsidRPr="004D3357">
        <w:rPr>
          <w:noProof/>
          <w:sz w:val="24"/>
          <w:vertAlign w:val="superscript"/>
          <w:lang w:val="en-IE"/>
        </w:rPr>
        <w:t>th</w:t>
      </w:r>
      <w:r w:rsidRPr="004D3357">
        <w:rPr>
          <w:noProof/>
          <w:sz w:val="24"/>
          <w:lang w:val="en-IE"/>
        </w:rPr>
        <w:t xml:space="preserve"> century. Instead of proving fault, claimants have to prove the product was defective. </w:t>
      </w:r>
    </w:p>
    <w:p w14:paraId="1F2060B2" w14:textId="19DE7CEB" w:rsidR="00AB6718" w:rsidRPr="004D3357" w:rsidRDefault="00AB6718" w:rsidP="004D3357">
      <w:pPr>
        <w:spacing w:after="240" w:line="240" w:lineRule="auto"/>
        <w:jc w:val="both"/>
        <w:rPr>
          <w:noProof/>
          <w:sz w:val="24"/>
          <w:lang w:val="en-IE"/>
        </w:rPr>
      </w:pPr>
      <w:r w:rsidRPr="004D3357">
        <w:rPr>
          <w:noProof/>
          <w:sz w:val="24"/>
          <w:lang w:val="en-IE"/>
        </w:rPr>
        <w:t>The PLD does not exist in isolation and is embedded into Member States’ national liability regimes</w:t>
      </w:r>
      <w:r w:rsidR="00C67BB7" w:rsidRPr="004D3357">
        <w:rPr>
          <w:noProof/>
          <w:sz w:val="24"/>
          <w:lang w:val="en-IE"/>
        </w:rPr>
        <w:t xml:space="preserve">, where it is applied alongside </w:t>
      </w:r>
      <w:r w:rsidR="003F242E" w:rsidRPr="004D3357">
        <w:rPr>
          <w:noProof/>
          <w:sz w:val="24"/>
          <w:lang w:val="en-IE"/>
        </w:rPr>
        <w:t xml:space="preserve">national </w:t>
      </w:r>
      <w:r w:rsidR="00C67BB7" w:rsidRPr="004D3357">
        <w:rPr>
          <w:noProof/>
          <w:sz w:val="24"/>
          <w:lang w:val="en-IE"/>
        </w:rPr>
        <w:t>rules</w:t>
      </w:r>
      <w:r w:rsidR="003F242E" w:rsidRPr="004D3357">
        <w:rPr>
          <w:rStyle w:val="FootnoteReference"/>
          <w:noProof/>
          <w:sz w:val="24"/>
          <w:lang w:val="en-IE"/>
        </w:rPr>
        <w:footnoteReference w:id="16"/>
      </w:r>
      <w:r w:rsidRPr="004D3357">
        <w:rPr>
          <w:noProof/>
          <w:sz w:val="24"/>
          <w:lang w:val="en-IE"/>
        </w:rPr>
        <w:t>. These unharmonised regimes allow compensation claims against a broader range of liable persons for a broader range of damages, covering not only products but services, and for longer periods of time. But victims of harm have to prove the wrongdoer’s fault</w:t>
      </w:r>
      <w:r w:rsidRPr="004D3357">
        <w:rPr>
          <w:rStyle w:val="FootnoteReference"/>
          <w:noProof/>
          <w:sz w:val="24"/>
          <w:lang w:val="en-IE"/>
        </w:rPr>
        <w:footnoteReference w:id="17"/>
      </w:r>
      <w:r w:rsidRPr="004D3357">
        <w:rPr>
          <w:noProof/>
          <w:sz w:val="24"/>
          <w:lang w:val="en-IE"/>
        </w:rPr>
        <w:t>, which is more challenging to prove than defectiveness. The PLD does not affect these rights, so the PLD sits coherently within the broader national regimes. Whenever the PLD does not apply, for example because the cause of the harm was not a product but a service or the property damage was below the threshold, victims of harm will normally be able to make a fault-based liability claim at national level.</w:t>
      </w:r>
    </w:p>
    <w:p w14:paraId="721F069F" w14:textId="4EC2E907" w:rsidR="00BF55A6" w:rsidRPr="00DA7EB8" w:rsidRDefault="006045F3" w:rsidP="00501CD2">
      <w:pPr>
        <w:spacing w:after="60" w:line="240" w:lineRule="auto"/>
        <w:rPr>
          <w:i/>
          <w:noProof/>
          <w:sz w:val="24"/>
          <w:lang w:val="en-IE"/>
        </w:rPr>
      </w:pPr>
      <w:r w:rsidRPr="00DA7EB8">
        <w:rPr>
          <w:i/>
          <w:noProof/>
          <w:sz w:val="24"/>
          <w:lang w:val="en-IE"/>
        </w:rPr>
        <w:t xml:space="preserve">Table </w:t>
      </w:r>
      <w:r w:rsidRPr="00DA7EB8">
        <w:rPr>
          <w:i/>
          <w:noProof/>
          <w:sz w:val="24"/>
          <w:lang w:val="en-IE"/>
        </w:rPr>
        <w:fldChar w:fldCharType="begin"/>
      </w:r>
      <w:r w:rsidRPr="00DA7EB8">
        <w:rPr>
          <w:i/>
          <w:noProof/>
          <w:sz w:val="24"/>
          <w:lang w:val="en-IE"/>
        </w:rPr>
        <w:instrText xml:space="preserve"> SEQ Table \* ARABIC </w:instrText>
      </w:r>
      <w:r w:rsidRPr="00DA7EB8">
        <w:rPr>
          <w:i/>
          <w:noProof/>
          <w:sz w:val="24"/>
          <w:lang w:val="en-IE"/>
        </w:rPr>
        <w:fldChar w:fldCharType="separate"/>
      </w:r>
      <w:r w:rsidR="00BC2C3A">
        <w:rPr>
          <w:i/>
          <w:noProof/>
          <w:sz w:val="24"/>
          <w:lang w:val="en-IE"/>
        </w:rPr>
        <w:t>1</w:t>
      </w:r>
      <w:r w:rsidRPr="00DA7EB8">
        <w:rPr>
          <w:i/>
          <w:noProof/>
          <w:sz w:val="24"/>
          <w:lang w:val="en-IE"/>
        </w:rPr>
        <w:fldChar w:fldCharType="end"/>
      </w:r>
      <w:r w:rsidRPr="00DA7EB8">
        <w:rPr>
          <w:i/>
          <w:noProof/>
          <w:sz w:val="24"/>
          <w:lang w:val="en-IE"/>
        </w:rPr>
        <w:t xml:space="preserve">. </w:t>
      </w:r>
      <w:r w:rsidR="00BF55A6" w:rsidRPr="00DA7EB8">
        <w:rPr>
          <w:i/>
          <w:noProof/>
          <w:sz w:val="24"/>
          <w:lang w:val="en-IE"/>
        </w:rPr>
        <w:t>Difference between the PLD and national fault</w:t>
      </w:r>
      <w:r w:rsidR="00A26509" w:rsidRPr="00DA7EB8">
        <w:rPr>
          <w:i/>
          <w:noProof/>
          <w:sz w:val="24"/>
          <w:lang w:val="en-IE"/>
        </w:rPr>
        <w:t>-</w:t>
      </w:r>
      <w:r w:rsidR="00BF55A6" w:rsidRPr="00DA7EB8">
        <w:rPr>
          <w:i/>
          <w:noProof/>
          <w:sz w:val="24"/>
          <w:lang w:val="en-IE"/>
        </w:rPr>
        <w:t>based liability</w:t>
      </w:r>
    </w:p>
    <w:tbl>
      <w:tblPr>
        <w:tblStyle w:val="TableGrid"/>
        <w:tblW w:w="9747" w:type="dxa"/>
        <w:tblLook w:val="04A0" w:firstRow="1" w:lastRow="0" w:firstColumn="1" w:lastColumn="0" w:noHBand="0" w:noVBand="1"/>
      </w:tblPr>
      <w:tblGrid>
        <w:gridCol w:w="1526"/>
        <w:gridCol w:w="3685"/>
        <w:gridCol w:w="4536"/>
      </w:tblGrid>
      <w:tr w:rsidR="0009699C" w14:paraId="518637F4" w14:textId="77777777" w:rsidTr="00244A24">
        <w:tc>
          <w:tcPr>
            <w:tcW w:w="1526" w:type="dxa"/>
            <w:tcBorders>
              <w:top w:val="nil"/>
              <w:left w:val="nil"/>
            </w:tcBorders>
          </w:tcPr>
          <w:p w14:paraId="382A6202" w14:textId="77777777" w:rsidR="0009699C" w:rsidRDefault="0009699C" w:rsidP="00B27649">
            <w:pPr>
              <w:rPr>
                <w:noProof/>
                <w:lang w:val="en-IE"/>
              </w:rPr>
            </w:pPr>
          </w:p>
        </w:tc>
        <w:tc>
          <w:tcPr>
            <w:tcW w:w="3685" w:type="dxa"/>
          </w:tcPr>
          <w:p w14:paraId="4CFEBC4B" w14:textId="181B091B" w:rsidR="0009699C" w:rsidRPr="00302DB7" w:rsidRDefault="0009699C" w:rsidP="00B27649">
            <w:pPr>
              <w:rPr>
                <w:b/>
                <w:noProof/>
                <w:lang w:val="en-IE"/>
              </w:rPr>
            </w:pPr>
            <w:r w:rsidRPr="00302DB7">
              <w:rPr>
                <w:b/>
                <w:noProof/>
                <w:lang w:val="en-IE"/>
              </w:rPr>
              <w:t>PLD</w:t>
            </w:r>
          </w:p>
        </w:tc>
        <w:tc>
          <w:tcPr>
            <w:tcW w:w="4536" w:type="dxa"/>
          </w:tcPr>
          <w:p w14:paraId="638A73B8" w14:textId="77777777" w:rsidR="0009699C" w:rsidRPr="00302DB7" w:rsidRDefault="0009699C" w:rsidP="00B27649">
            <w:pPr>
              <w:rPr>
                <w:b/>
                <w:noProof/>
                <w:lang w:val="en-IE"/>
              </w:rPr>
            </w:pPr>
            <w:r w:rsidRPr="00302DB7">
              <w:rPr>
                <w:b/>
                <w:noProof/>
                <w:lang w:val="en-IE"/>
              </w:rPr>
              <w:t>National fault-based liability</w:t>
            </w:r>
          </w:p>
        </w:tc>
      </w:tr>
      <w:tr w:rsidR="0009699C" w14:paraId="4575C8E1" w14:textId="77777777" w:rsidTr="00244A24">
        <w:tc>
          <w:tcPr>
            <w:tcW w:w="1526" w:type="dxa"/>
          </w:tcPr>
          <w:p w14:paraId="345FC77E" w14:textId="7CD1B2ED" w:rsidR="0009699C" w:rsidRDefault="0009699C" w:rsidP="00A26509">
            <w:pPr>
              <w:rPr>
                <w:noProof/>
                <w:lang w:val="en-IE"/>
              </w:rPr>
            </w:pPr>
            <w:r>
              <w:rPr>
                <w:noProof/>
                <w:lang w:val="en-IE"/>
              </w:rPr>
              <w:t>Scope</w:t>
            </w:r>
          </w:p>
        </w:tc>
        <w:tc>
          <w:tcPr>
            <w:tcW w:w="3685" w:type="dxa"/>
          </w:tcPr>
          <w:p w14:paraId="59750989" w14:textId="07044F15" w:rsidR="0009699C" w:rsidRDefault="0009699C" w:rsidP="00B27649">
            <w:pPr>
              <w:rPr>
                <w:noProof/>
                <w:lang w:val="en-IE"/>
              </w:rPr>
            </w:pPr>
            <w:r>
              <w:rPr>
                <w:noProof/>
                <w:lang w:val="en-IE"/>
              </w:rPr>
              <w:t>Products</w:t>
            </w:r>
          </w:p>
        </w:tc>
        <w:tc>
          <w:tcPr>
            <w:tcW w:w="4536" w:type="dxa"/>
          </w:tcPr>
          <w:p w14:paraId="79FBA1A9" w14:textId="7FCA6429" w:rsidR="0009699C" w:rsidRDefault="0009699C" w:rsidP="008D5EC0">
            <w:pPr>
              <w:rPr>
                <w:noProof/>
                <w:lang w:val="en-IE"/>
              </w:rPr>
            </w:pPr>
            <w:r>
              <w:rPr>
                <w:noProof/>
                <w:lang w:val="en-IE"/>
              </w:rPr>
              <w:t>Any human action or omissions, including manufacturing and using products and providing services</w:t>
            </w:r>
          </w:p>
        </w:tc>
      </w:tr>
      <w:tr w:rsidR="0009699C" w14:paraId="5CDFDDAD" w14:textId="77777777" w:rsidTr="00244A24">
        <w:tc>
          <w:tcPr>
            <w:tcW w:w="1526" w:type="dxa"/>
          </w:tcPr>
          <w:p w14:paraId="251D6AE0" w14:textId="77777777" w:rsidR="0009699C" w:rsidRDefault="0009699C" w:rsidP="00B27649">
            <w:pPr>
              <w:rPr>
                <w:noProof/>
                <w:lang w:val="en-IE"/>
              </w:rPr>
            </w:pPr>
            <w:r>
              <w:rPr>
                <w:noProof/>
                <w:lang w:val="en-IE"/>
              </w:rPr>
              <w:t>Liable person</w:t>
            </w:r>
          </w:p>
        </w:tc>
        <w:tc>
          <w:tcPr>
            <w:tcW w:w="3685" w:type="dxa"/>
          </w:tcPr>
          <w:p w14:paraId="7499E80B" w14:textId="6C33942D" w:rsidR="0009699C" w:rsidRDefault="0009699C" w:rsidP="00B27649">
            <w:pPr>
              <w:rPr>
                <w:noProof/>
                <w:lang w:val="en-IE"/>
              </w:rPr>
            </w:pPr>
            <w:r>
              <w:rPr>
                <w:noProof/>
                <w:lang w:val="en-IE"/>
              </w:rPr>
              <w:t>Producer (manufacturer, importer) and, in some cases, supplier/seller</w:t>
            </w:r>
          </w:p>
        </w:tc>
        <w:tc>
          <w:tcPr>
            <w:tcW w:w="4536" w:type="dxa"/>
          </w:tcPr>
          <w:p w14:paraId="4F67D193" w14:textId="12716565" w:rsidR="0009699C" w:rsidRDefault="0009699C" w:rsidP="008D5EC0">
            <w:pPr>
              <w:rPr>
                <w:noProof/>
                <w:lang w:val="en-IE"/>
              </w:rPr>
            </w:pPr>
            <w:r>
              <w:rPr>
                <w:noProof/>
                <w:lang w:val="en-IE"/>
              </w:rPr>
              <w:t>Any wrongdoer: producer, service provider, users (both businesses and private persons), owner etc.</w:t>
            </w:r>
          </w:p>
        </w:tc>
      </w:tr>
      <w:tr w:rsidR="0009699C" w14:paraId="039E3B4B" w14:textId="77777777" w:rsidTr="00244A24">
        <w:tc>
          <w:tcPr>
            <w:tcW w:w="1526" w:type="dxa"/>
          </w:tcPr>
          <w:p w14:paraId="384AD81F" w14:textId="08A8B85F" w:rsidR="0009699C" w:rsidRDefault="0009699C" w:rsidP="00B27649">
            <w:pPr>
              <w:rPr>
                <w:noProof/>
                <w:lang w:val="en-IE"/>
              </w:rPr>
            </w:pPr>
            <w:r>
              <w:rPr>
                <w:noProof/>
                <w:lang w:val="en-IE"/>
              </w:rPr>
              <w:t>Type of victim protected</w:t>
            </w:r>
          </w:p>
        </w:tc>
        <w:tc>
          <w:tcPr>
            <w:tcW w:w="3685" w:type="dxa"/>
          </w:tcPr>
          <w:p w14:paraId="2A51FBE6" w14:textId="51E0E897" w:rsidR="0009699C" w:rsidRDefault="0009699C" w:rsidP="00B27649">
            <w:pPr>
              <w:rPr>
                <w:noProof/>
                <w:lang w:val="en-IE"/>
              </w:rPr>
            </w:pPr>
            <w:r>
              <w:rPr>
                <w:noProof/>
                <w:lang w:val="en-IE"/>
              </w:rPr>
              <w:t>Private persons</w:t>
            </w:r>
          </w:p>
        </w:tc>
        <w:tc>
          <w:tcPr>
            <w:tcW w:w="4536" w:type="dxa"/>
          </w:tcPr>
          <w:p w14:paraId="263969D8" w14:textId="552ECD10" w:rsidR="0009699C" w:rsidRDefault="0009699C" w:rsidP="008D5EC0">
            <w:pPr>
              <w:rPr>
                <w:noProof/>
                <w:lang w:val="en-IE"/>
              </w:rPr>
            </w:pPr>
            <w:r>
              <w:rPr>
                <w:noProof/>
                <w:lang w:val="en-IE"/>
              </w:rPr>
              <w:t>Any victim: private persons, businesses, public entities</w:t>
            </w:r>
          </w:p>
        </w:tc>
      </w:tr>
      <w:tr w:rsidR="0009699C" w14:paraId="0B33EF55" w14:textId="77777777" w:rsidTr="00244A24">
        <w:tc>
          <w:tcPr>
            <w:tcW w:w="1526" w:type="dxa"/>
          </w:tcPr>
          <w:p w14:paraId="1348178F" w14:textId="77777777" w:rsidR="0009699C" w:rsidRDefault="0009699C" w:rsidP="00B27649">
            <w:pPr>
              <w:rPr>
                <w:noProof/>
                <w:lang w:val="en-IE"/>
              </w:rPr>
            </w:pPr>
            <w:r>
              <w:rPr>
                <w:noProof/>
                <w:lang w:val="en-IE"/>
              </w:rPr>
              <w:t>Type of damage</w:t>
            </w:r>
          </w:p>
        </w:tc>
        <w:tc>
          <w:tcPr>
            <w:tcW w:w="3685" w:type="dxa"/>
          </w:tcPr>
          <w:p w14:paraId="4FBC7708" w14:textId="295B08F3" w:rsidR="0009699C" w:rsidRDefault="0009699C" w:rsidP="00B27649">
            <w:pPr>
              <w:rPr>
                <w:noProof/>
                <w:lang w:val="en-IE"/>
              </w:rPr>
            </w:pPr>
            <w:r>
              <w:rPr>
                <w:noProof/>
                <w:lang w:val="en-IE"/>
              </w:rPr>
              <w:t>Death, personal injury, damage to consumer property worth more than EUR 500</w:t>
            </w:r>
          </w:p>
        </w:tc>
        <w:tc>
          <w:tcPr>
            <w:tcW w:w="4536" w:type="dxa"/>
          </w:tcPr>
          <w:p w14:paraId="0C2F3C96" w14:textId="3C7F86CD" w:rsidR="0009699C" w:rsidRDefault="0009699C" w:rsidP="008D5EC0">
            <w:pPr>
              <w:rPr>
                <w:noProof/>
                <w:lang w:val="en-IE"/>
              </w:rPr>
            </w:pPr>
            <w:r>
              <w:rPr>
                <w:noProof/>
                <w:lang w:val="en-IE"/>
              </w:rPr>
              <w:t>Death, personal injury, damage to consumer property also under EUR 500; damage also to business property; pure economic loss, discrimination, pain and suffering (in some Member States)</w:t>
            </w:r>
          </w:p>
        </w:tc>
      </w:tr>
      <w:tr w:rsidR="0009699C" w14:paraId="31E77C32" w14:textId="77777777" w:rsidTr="00244A24">
        <w:tc>
          <w:tcPr>
            <w:tcW w:w="1526" w:type="dxa"/>
          </w:tcPr>
          <w:p w14:paraId="1DE362F6" w14:textId="52032CAE" w:rsidR="0009699C" w:rsidRDefault="0009699C" w:rsidP="005D2176">
            <w:pPr>
              <w:rPr>
                <w:noProof/>
                <w:lang w:val="en-IE"/>
              </w:rPr>
            </w:pPr>
            <w:r>
              <w:rPr>
                <w:noProof/>
                <w:lang w:val="en-IE"/>
              </w:rPr>
              <w:t>What victim needs to prove</w:t>
            </w:r>
          </w:p>
        </w:tc>
        <w:tc>
          <w:tcPr>
            <w:tcW w:w="3685" w:type="dxa"/>
          </w:tcPr>
          <w:p w14:paraId="37583B7A" w14:textId="0D4B05D0" w:rsidR="0009699C" w:rsidRDefault="0009699C" w:rsidP="00B27649">
            <w:pPr>
              <w:rPr>
                <w:noProof/>
                <w:lang w:val="en-IE"/>
              </w:rPr>
            </w:pPr>
            <w:r>
              <w:rPr>
                <w:noProof/>
                <w:lang w:val="en-IE"/>
              </w:rPr>
              <w:t>Defect in product irrespective of fault</w:t>
            </w:r>
          </w:p>
        </w:tc>
        <w:tc>
          <w:tcPr>
            <w:tcW w:w="4536" w:type="dxa"/>
          </w:tcPr>
          <w:p w14:paraId="4EEE956E" w14:textId="351C63CE" w:rsidR="0009699C" w:rsidRDefault="0009699C" w:rsidP="00B27649">
            <w:pPr>
              <w:rPr>
                <w:noProof/>
                <w:lang w:val="en-IE"/>
              </w:rPr>
            </w:pPr>
            <w:r>
              <w:rPr>
                <w:noProof/>
                <w:lang w:val="en-IE"/>
              </w:rPr>
              <w:t>Fault – wrongful behaviour of a person</w:t>
            </w:r>
            <w:r>
              <w:rPr>
                <w:rStyle w:val="FootnoteReference"/>
                <w:noProof/>
                <w:lang w:val="en-IE"/>
              </w:rPr>
              <w:footnoteReference w:id="18"/>
            </w:r>
          </w:p>
        </w:tc>
      </w:tr>
      <w:tr w:rsidR="0009699C" w14:paraId="547559A1" w14:textId="77777777" w:rsidTr="00244A24">
        <w:tc>
          <w:tcPr>
            <w:tcW w:w="1526" w:type="dxa"/>
          </w:tcPr>
          <w:p w14:paraId="18945ED6" w14:textId="77777777" w:rsidR="0009699C" w:rsidRDefault="0009699C" w:rsidP="00B27649">
            <w:pPr>
              <w:rPr>
                <w:noProof/>
                <w:lang w:val="en-IE"/>
              </w:rPr>
            </w:pPr>
            <w:r>
              <w:rPr>
                <w:noProof/>
                <w:lang w:val="en-IE"/>
              </w:rPr>
              <w:t>Period of liability</w:t>
            </w:r>
          </w:p>
        </w:tc>
        <w:tc>
          <w:tcPr>
            <w:tcW w:w="3685" w:type="dxa"/>
          </w:tcPr>
          <w:p w14:paraId="0F06F4F6" w14:textId="0CBE49A4" w:rsidR="0009699C" w:rsidRDefault="0009699C" w:rsidP="00B27649">
            <w:pPr>
              <w:rPr>
                <w:noProof/>
                <w:lang w:val="en-IE"/>
              </w:rPr>
            </w:pPr>
            <w:r>
              <w:rPr>
                <w:noProof/>
                <w:lang w:val="en-IE"/>
              </w:rPr>
              <w:t>10 years after putting product into circulation</w:t>
            </w:r>
          </w:p>
        </w:tc>
        <w:tc>
          <w:tcPr>
            <w:tcW w:w="4536" w:type="dxa"/>
          </w:tcPr>
          <w:p w14:paraId="18F04435" w14:textId="60F264EA" w:rsidR="0009699C" w:rsidRDefault="0009699C" w:rsidP="00B27649">
            <w:pPr>
              <w:rPr>
                <w:noProof/>
                <w:lang w:val="en-IE"/>
              </w:rPr>
            </w:pPr>
            <w:r>
              <w:rPr>
                <w:noProof/>
                <w:lang w:val="en-IE"/>
              </w:rPr>
              <w:t>Various periods, but generally much longer</w:t>
            </w:r>
          </w:p>
        </w:tc>
      </w:tr>
    </w:tbl>
    <w:p w14:paraId="147AE7E6" w14:textId="312C17A1" w:rsidR="007500B5" w:rsidRDefault="007500B5" w:rsidP="00066952">
      <w:pPr>
        <w:rPr>
          <w:noProof/>
          <w:lang w:val="en-IE"/>
        </w:rPr>
      </w:pPr>
    </w:p>
    <w:p w14:paraId="29367FE8" w14:textId="7754462A" w:rsidR="00D60B82" w:rsidRPr="00DD49CD" w:rsidRDefault="00D60B82" w:rsidP="009D1815">
      <w:pPr>
        <w:keepNext/>
        <w:spacing w:after="240" w:line="240" w:lineRule="auto"/>
        <w:jc w:val="both"/>
        <w:rPr>
          <w:noProof/>
          <w:sz w:val="24"/>
          <w:u w:val="single"/>
          <w:lang w:val="en-IE"/>
        </w:rPr>
      </w:pPr>
      <w:r w:rsidRPr="004D3357">
        <w:rPr>
          <w:noProof/>
          <w:sz w:val="24"/>
          <w:lang w:val="en-IE"/>
        </w:rPr>
        <w:t>The Sale of Goods Act</w:t>
      </w:r>
      <w:r w:rsidRPr="004D3357">
        <w:rPr>
          <w:rStyle w:val="FootnoteReference"/>
          <w:noProof/>
          <w:sz w:val="24"/>
          <w:lang w:val="en-IE"/>
        </w:rPr>
        <w:footnoteReference w:id="19"/>
      </w:r>
      <w:r w:rsidRPr="004D3357">
        <w:rPr>
          <w:noProof/>
          <w:sz w:val="24"/>
          <w:lang w:val="en-IE"/>
        </w:rPr>
        <w:t xml:space="preserve"> </w:t>
      </w:r>
      <w:r w:rsidR="00D625D0">
        <w:rPr>
          <w:noProof/>
          <w:sz w:val="24"/>
          <w:lang w:val="en-IE"/>
        </w:rPr>
        <w:t xml:space="preserve">and </w:t>
      </w:r>
      <w:r w:rsidRPr="004D3357">
        <w:rPr>
          <w:noProof/>
          <w:sz w:val="24"/>
          <w:lang w:val="en-IE"/>
        </w:rPr>
        <w:t>Digital Content and Services Directive</w:t>
      </w:r>
      <w:r w:rsidRPr="004D3357">
        <w:rPr>
          <w:rStyle w:val="FootnoteReference"/>
          <w:noProof/>
          <w:sz w:val="24"/>
          <w:lang w:val="en-IE"/>
        </w:rPr>
        <w:footnoteReference w:id="20"/>
      </w:r>
      <w:r w:rsidRPr="004D3357">
        <w:rPr>
          <w:noProof/>
          <w:sz w:val="24"/>
          <w:lang w:val="en-IE"/>
        </w:rPr>
        <w:t xml:space="preserve"> </w:t>
      </w:r>
      <w:r w:rsidRPr="004D3357">
        <w:rPr>
          <w:noProof/>
          <w:sz w:val="24"/>
        </w:rPr>
        <w:t xml:space="preserve">gives consumers the right to </w:t>
      </w:r>
      <w:r w:rsidR="004446CD" w:rsidRPr="004D3357">
        <w:rPr>
          <w:noProof/>
          <w:sz w:val="24"/>
        </w:rPr>
        <w:t>remedy, i.e. replacement, repair or reimbursement,</w:t>
      </w:r>
      <w:r w:rsidRPr="004D3357">
        <w:rPr>
          <w:noProof/>
          <w:sz w:val="24"/>
        </w:rPr>
        <w:t xml:space="preserve"> when digital content or a digital service </w:t>
      </w:r>
      <w:r w:rsidR="006C380D">
        <w:rPr>
          <w:noProof/>
          <w:sz w:val="24"/>
        </w:rPr>
        <w:t xml:space="preserve">is not in conformity or </w:t>
      </w:r>
      <w:r w:rsidRPr="004D3357">
        <w:rPr>
          <w:noProof/>
          <w:sz w:val="24"/>
        </w:rPr>
        <w:t xml:space="preserve">does not work properly. </w:t>
      </w:r>
      <w:r w:rsidR="006C380D">
        <w:rPr>
          <w:noProof/>
          <w:sz w:val="24"/>
        </w:rPr>
        <w:t>That</w:t>
      </w:r>
      <w:r w:rsidR="00D625D0">
        <w:rPr>
          <w:noProof/>
          <w:sz w:val="24"/>
        </w:rPr>
        <w:t xml:space="preserve"> concern</w:t>
      </w:r>
      <w:r w:rsidR="006C380D">
        <w:rPr>
          <w:noProof/>
          <w:sz w:val="24"/>
        </w:rPr>
        <w:t>s</w:t>
      </w:r>
      <w:r w:rsidR="00D625D0">
        <w:rPr>
          <w:noProof/>
          <w:sz w:val="24"/>
        </w:rPr>
        <w:t xml:space="preserve"> </w:t>
      </w:r>
      <w:r w:rsidR="00D625D0" w:rsidRPr="00D625D0">
        <w:rPr>
          <w:noProof/>
          <w:sz w:val="24"/>
          <w:u w:val="single"/>
        </w:rPr>
        <w:t>contractual liability</w:t>
      </w:r>
      <w:r w:rsidR="00D625D0">
        <w:rPr>
          <w:noProof/>
          <w:sz w:val="24"/>
        </w:rPr>
        <w:t>, whereas t</w:t>
      </w:r>
      <w:r w:rsidRPr="004D3357">
        <w:rPr>
          <w:noProof/>
          <w:sz w:val="24"/>
        </w:rPr>
        <w:t xml:space="preserve">he PLD concerns extra-contractual liability of producers for injuries/damage caused by a lack of safety – </w:t>
      </w:r>
      <w:r w:rsidR="004446CD" w:rsidRPr="004D3357">
        <w:rPr>
          <w:noProof/>
          <w:sz w:val="24"/>
        </w:rPr>
        <w:t>a</w:t>
      </w:r>
      <w:r w:rsidRPr="004D3357">
        <w:rPr>
          <w:noProof/>
          <w:sz w:val="24"/>
        </w:rPr>
        <w:t xml:space="preserve"> complementary tool. </w:t>
      </w:r>
      <w:r w:rsidR="00174553" w:rsidRPr="004D3357">
        <w:rPr>
          <w:noProof/>
          <w:sz w:val="24"/>
          <w:lang w:val="en-IE"/>
        </w:rPr>
        <w:t>The General Data Protection Regulation (GDPR)</w:t>
      </w:r>
      <w:r w:rsidR="00174553" w:rsidRPr="004D3357">
        <w:rPr>
          <w:rStyle w:val="FootnoteReference"/>
          <w:noProof/>
          <w:sz w:val="24"/>
          <w:lang w:val="en-IE"/>
        </w:rPr>
        <w:footnoteReference w:id="21"/>
      </w:r>
      <w:r w:rsidR="00174553" w:rsidRPr="004D3357">
        <w:rPr>
          <w:noProof/>
          <w:sz w:val="24"/>
          <w:lang w:val="en-IE"/>
        </w:rPr>
        <w:t xml:space="preserve"> </w:t>
      </w:r>
      <w:r w:rsidR="00D625D0">
        <w:rPr>
          <w:noProof/>
          <w:sz w:val="24"/>
          <w:lang w:val="en-IE"/>
        </w:rPr>
        <w:t xml:space="preserve">concerns </w:t>
      </w:r>
      <w:r w:rsidR="00D625D0" w:rsidRPr="009D1815">
        <w:rPr>
          <w:noProof/>
          <w:sz w:val="24"/>
          <w:u w:val="single"/>
          <w:lang w:val="en-IE"/>
        </w:rPr>
        <w:t>liability of data processors and controllers</w:t>
      </w:r>
      <w:r w:rsidR="00D625D0">
        <w:rPr>
          <w:noProof/>
          <w:sz w:val="24"/>
          <w:lang w:val="en-IE"/>
        </w:rPr>
        <w:t xml:space="preserve"> </w:t>
      </w:r>
      <w:r w:rsidR="00174553" w:rsidRPr="004D3357">
        <w:rPr>
          <w:noProof/>
          <w:sz w:val="24"/>
          <w:lang w:val="en-IE"/>
        </w:rPr>
        <w:t xml:space="preserve">for </w:t>
      </w:r>
      <w:r w:rsidR="009D1815">
        <w:rPr>
          <w:noProof/>
          <w:sz w:val="24"/>
          <w:lang w:val="en-IE"/>
        </w:rPr>
        <w:t xml:space="preserve">material or non-material </w:t>
      </w:r>
      <w:r w:rsidR="00174553" w:rsidRPr="004D3357">
        <w:rPr>
          <w:noProof/>
          <w:sz w:val="24"/>
          <w:lang w:val="en-IE"/>
        </w:rPr>
        <w:t xml:space="preserve">damage caused by data processing </w:t>
      </w:r>
      <w:r w:rsidR="00D625D0">
        <w:rPr>
          <w:noProof/>
          <w:sz w:val="24"/>
          <w:lang w:val="en-IE"/>
        </w:rPr>
        <w:t xml:space="preserve">that </w:t>
      </w:r>
      <w:r w:rsidR="00174553" w:rsidRPr="004D3357">
        <w:rPr>
          <w:noProof/>
          <w:sz w:val="24"/>
          <w:lang w:val="en-IE"/>
        </w:rPr>
        <w:t>infringes the GDPR</w:t>
      </w:r>
      <w:r w:rsidR="009D1815">
        <w:rPr>
          <w:noProof/>
          <w:sz w:val="24"/>
          <w:lang w:val="en-IE"/>
        </w:rPr>
        <w:t xml:space="preserve">, whereas the </w:t>
      </w:r>
      <w:r w:rsidR="00174553" w:rsidRPr="004D3357">
        <w:rPr>
          <w:noProof/>
          <w:sz w:val="24"/>
          <w:lang w:val="en-IE"/>
        </w:rPr>
        <w:t xml:space="preserve">PLD provides compensation only for death, personal injury and damage to consumer property. </w:t>
      </w:r>
      <w:r w:rsidR="0084024A" w:rsidRPr="004D3357">
        <w:rPr>
          <w:noProof/>
          <w:sz w:val="24"/>
          <w:lang w:val="en-IE"/>
        </w:rPr>
        <w:t xml:space="preserve">The </w:t>
      </w:r>
      <w:r w:rsidR="0084024A" w:rsidRPr="009D1815">
        <w:rPr>
          <w:noProof/>
          <w:sz w:val="24"/>
          <w:u w:val="single"/>
          <w:lang w:val="en-IE"/>
        </w:rPr>
        <w:t>Environmental Liability</w:t>
      </w:r>
      <w:r w:rsidR="0084024A" w:rsidRPr="004D3357">
        <w:rPr>
          <w:noProof/>
          <w:sz w:val="24"/>
          <w:lang w:val="en-IE"/>
        </w:rPr>
        <w:t xml:space="preserve"> Directive</w:t>
      </w:r>
      <w:r w:rsidR="0084024A" w:rsidRPr="004D3357">
        <w:rPr>
          <w:rStyle w:val="FootnoteReference"/>
          <w:noProof/>
          <w:sz w:val="24"/>
          <w:lang w:val="en-IE"/>
        </w:rPr>
        <w:footnoteReference w:id="22"/>
      </w:r>
      <w:r w:rsidR="0084024A" w:rsidRPr="004D3357">
        <w:rPr>
          <w:noProof/>
          <w:sz w:val="24"/>
          <w:lang w:val="en-IE"/>
        </w:rPr>
        <w:t xml:space="preserve"> establishes a framework to prevent and remedy environmental damage</w:t>
      </w:r>
      <w:r w:rsidR="009D1815">
        <w:rPr>
          <w:noProof/>
          <w:sz w:val="24"/>
          <w:lang w:val="en-IE"/>
        </w:rPr>
        <w:t>.</w:t>
      </w:r>
      <w:r w:rsidR="0084024A" w:rsidRPr="004D3357">
        <w:rPr>
          <w:noProof/>
          <w:sz w:val="24"/>
          <w:lang w:val="en-IE"/>
        </w:rPr>
        <w:t xml:space="preserve"> It deals with pure ecological damage</w:t>
      </w:r>
      <w:r w:rsidR="00A51835" w:rsidRPr="004D3357">
        <w:rPr>
          <w:noProof/>
          <w:sz w:val="24"/>
          <w:lang w:val="en-IE"/>
        </w:rPr>
        <w:t xml:space="preserve"> such as damage to protected species and natural habitats</w:t>
      </w:r>
      <w:r w:rsidR="0084024A" w:rsidRPr="004D3357">
        <w:rPr>
          <w:noProof/>
          <w:sz w:val="24"/>
          <w:lang w:val="en-IE"/>
        </w:rPr>
        <w:t xml:space="preserve"> as distinct from damage</w:t>
      </w:r>
      <w:r w:rsidR="00A51835" w:rsidRPr="004D3357">
        <w:rPr>
          <w:noProof/>
          <w:sz w:val="24"/>
          <w:lang w:val="en-IE"/>
        </w:rPr>
        <w:t xml:space="preserve"> to privately owned property</w:t>
      </w:r>
      <w:r w:rsidR="002B14B1" w:rsidRPr="004D3357">
        <w:rPr>
          <w:noProof/>
          <w:sz w:val="24"/>
          <w:lang w:val="en-IE"/>
        </w:rPr>
        <w:t>, which is covered by the PLD.</w:t>
      </w:r>
      <w:r w:rsidR="00474CDB">
        <w:rPr>
          <w:noProof/>
          <w:sz w:val="24"/>
          <w:lang w:val="en-IE"/>
        </w:rPr>
        <w:t xml:space="preserve"> </w:t>
      </w:r>
    </w:p>
    <w:p w14:paraId="010094D2" w14:textId="0249A5A5" w:rsidR="00E40BE7" w:rsidRDefault="002E7937" w:rsidP="002E7937">
      <w:pPr>
        <w:pStyle w:val="Heading3"/>
        <w:rPr>
          <w:noProof/>
          <w:lang w:val="en-IE"/>
        </w:rPr>
      </w:pPr>
      <w:bookmarkStart w:id="78" w:name="_Toc94005521"/>
      <w:bookmarkStart w:id="79" w:name="_Toc95379848"/>
      <w:bookmarkStart w:id="80" w:name="_Toc95391340"/>
      <w:bookmarkStart w:id="81" w:name="_Toc95396409"/>
      <w:bookmarkStart w:id="82" w:name="_Toc95421507"/>
      <w:bookmarkStart w:id="83" w:name="_Toc95481956"/>
      <w:bookmarkStart w:id="84" w:name="_Toc97191251"/>
      <w:bookmarkStart w:id="85" w:name="_Toc107430061"/>
      <w:bookmarkStart w:id="86" w:name="_Toc96337749"/>
      <w:bookmarkStart w:id="87" w:name="_Toc96446228"/>
      <w:bookmarkStart w:id="88" w:name="_Toc96448001"/>
      <w:bookmarkStart w:id="89" w:name="_Toc96593950"/>
      <w:bookmarkStart w:id="90" w:name="_Toc96597241"/>
      <w:bookmarkStart w:id="91" w:name="_Toc96609176"/>
      <w:bookmarkStart w:id="92" w:name="_Toc97149205"/>
      <w:r w:rsidRPr="002E7937">
        <w:t>1.2.3.</w:t>
      </w:r>
      <w:r w:rsidRPr="002E7937">
        <w:tab/>
      </w:r>
      <w:r w:rsidR="00922602">
        <w:rPr>
          <w:noProof/>
          <w:lang w:val="en-IE"/>
        </w:rPr>
        <w:t xml:space="preserve">Interplay </w:t>
      </w:r>
      <w:r w:rsidR="00A4610C">
        <w:rPr>
          <w:noProof/>
          <w:lang w:val="en-IE"/>
        </w:rPr>
        <w:t xml:space="preserve">of PLD </w:t>
      </w:r>
      <w:r w:rsidR="00922602">
        <w:rPr>
          <w:noProof/>
          <w:lang w:val="en-IE"/>
        </w:rPr>
        <w:t>with</w:t>
      </w:r>
      <w:r w:rsidR="00357083">
        <w:rPr>
          <w:noProof/>
          <w:lang w:val="en-IE"/>
        </w:rPr>
        <w:t xml:space="preserve"> </w:t>
      </w:r>
      <w:r w:rsidR="00A4610C">
        <w:rPr>
          <w:noProof/>
          <w:lang w:val="en-IE"/>
        </w:rPr>
        <w:t xml:space="preserve">other EU </w:t>
      </w:r>
      <w:r w:rsidR="00E40BE7">
        <w:rPr>
          <w:noProof/>
          <w:lang w:val="en-IE"/>
        </w:rPr>
        <w:t>legislation</w:t>
      </w:r>
      <w:bookmarkEnd w:id="78"/>
      <w:bookmarkEnd w:id="79"/>
      <w:bookmarkEnd w:id="80"/>
      <w:bookmarkEnd w:id="81"/>
      <w:bookmarkEnd w:id="82"/>
      <w:bookmarkEnd w:id="83"/>
      <w:bookmarkEnd w:id="84"/>
      <w:bookmarkEnd w:id="85"/>
      <w:r w:rsidR="002D7E9F">
        <w:rPr>
          <w:noProof/>
          <w:lang w:val="en-IE"/>
        </w:rPr>
        <w:t xml:space="preserve"> </w:t>
      </w:r>
      <w:bookmarkEnd w:id="86"/>
      <w:bookmarkEnd w:id="87"/>
      <w:bookmarkEnd w:id="88"/>
      <w:bookmarkEnd w:id="89"/>
      <w:bookmarkEnd w:id="90"/>
      <w:bookmarkEnd w:id="91"/>
      <w:bookmarkEnd w:id="92"/>
    </w:p>
    <w:p w14:paraId="1E6D0CF8" w14:textId="5FC10CE1" w:rsidR="002D7E9F" w:rsidRPr="002D7E9F" w:rsidRDefault="00431E5B" w:rsidP="002D7E9F">
      <w:pPr>
        <w:keepNext/>
        <w:spacing w:after="240" w:line="240" w:lineRule="auto"/>
        <w:jc w:val="both"/>
        <w:rPr>
          <w:noProof/>
          <w:sz w:val="24"/>
          <w:u w:val="single"/>
          <w:lang w:val="en-IE"/>
        </w:rPr>
      </w:pPr>
      <w:r w:rsidRPr="004D3357">
        <w:rPr>
          <w:noProof/>
          <w:sz w:val="24"/>
          <w:u w:val="single"/>
          <w:lang w:val="en-IE"/>
        </w:rPr>
        <w:t xml:space="preserve">Product safety </w:t>
      </w:r>
      <w:r w:rsidR="00FC2FF4" w:rsidRPr="004D3357">
        <w:rPr>
          <w:noProof/>
          <w:sz w:val="24"/>
          <w:u w:val="single"/>
          <w:lang w:val="en-IE"/>
        </w:rPr>
        <w:t>framework</w:t>
      </w:r>
      <w:r w:rsidR="002D7E9F" w:rsidRPr="00C43D16">
        <w:rPr>
          <w:noProof/>
          <w:sz w:val="24"/>
          <w:lang w:val="en-IE"/>
        </w:rPr>
        <w:t xml:space="preserve">: </w:t>
      </w:r>
      <w:r w:rsidR="00EE7738" w:rsidRPr="004D3357">
        <w:rPr>
          <w:noProof/>
          <w:sz w:val="24"/>
          <w:lang w:val="en-IE"/>
        </w:rPr>
        <w:t xml:space="preserve">EU product safety legislation aims </w:t>
      </w:r>
      <w:r w:rsidR="001D2B51" w:rsidRPr="004D3357">
        <w:rPr>
          <w:noProof/>
          <w:sz w:val="24"/>
          <w:lang w:val="en-IE"/>
        </w:rPr>
        <w:t>to ensure</w:t>
      </w:r>
      <w:r w:rsidR="00EE7738" w:rsidRPr="004D3357">
        <w:rPr>
          <w:noProof/>
          <w:sz w:val="24"/>
          <w:lang w:val="en-IE"/>
        </w:rPr>
        <w:t xml:space="preserve"> that only safe products </w:t>
      </w:r>
      <w:r w:rsidR="001D2B51" w:rsidRPr="004D3357">
        <w:rPr>
          <w:noProof/>
          <w:sz w:val="24"/>
          <w:lang w:val="en-IE"/>
        </w:rPr>
        <w:t xml:space="preserve">are </w:t>
      </w:r>
      <w:r w:rsidR="00EE7738" w:rsidRPr="004D3357">
        <w:rPr>
          <w:noProof/>
          <w:sz w:val="24"/>
          <w:lang w:val="en-IE"/>
        </w:rPr>
        <w:t>placed on the internal market</w:t>
      </w:r>
      <w:r w:rsidR="00D4323D">
        <w:rPr>
          <w:noProof/>
          <w:sz w:val="24"/>
          <w:lang w:val="en-IE"/>
        </w:rPr>
        <w:t xml:space="preserve">. If they are covered by sectoral legislation (e.g. on machinery, pharmaceutical products, toys, radio equipment) they have to comply with essential health and safety requirements set out there. Otherwise they </w:t>
      </w:r>
      <w:r w:rsidR="002D7E9F">
        <w:rPr>
          <w:noProof/>
          <w:sz w:val="24"/>
          <w:lang w:val="en-IE"/>
        </w:rPr>
        <w:t xml:space="preserve">fall under </w:t>
      </w:r>
      <w:r w:rsidR="00D4323D">
        <w:rPr>
          <w:noProof/>
          <w:sz w:val="24"/>
          <w:lang w:val="en-IE"/>
        </w:rPr>
        <w:t>the General Product Safety Directive</w:t>
      </w:r>
      <w:r w:rsidR="00D4323D" w:rsidRPr="004D3357">
        <w:rPr>
          <w:rStyle w:val="FootnoteReference"/>
          <w:noProof/>
          <w:sz w:val="24"/>
          <w:lang w:val="en-IE"/>
        </w:rPr>
        <w:footnoteReference w:id="23"/>
      </w:r>
      <w:r w:rsidR="00D4323D">
        <w:rPr>
          <w:noProof/>
          <w:sz w:val="24"/>
          <w:lang w:val="en-IE"/>
        </w:rPr>
        <w:t xml:space="preserve"> </w:t>
      </w:r>
      <w:r w:rsidR="002D7E9F">
        <w:rPr>
          <w:noProof/>
          <w:sz w:val="24"/>
          <w:lang w:val="en-IE"/>
        </w:rPr>
        <w:t xml:space="preserve">and are required </w:t>
      </w:r>
      <w:r w:rsidR="00D4323D">
        <w:rPr>
          <w:noProof/>
          <w:sz w:val="24"/>
          <w:lang w:val="en-IE"/>
        </w:rPr>
        <w:t>to be safe</w:t>
      </w:r>
      <w:r w:rsidR="000D1EED">
        <w:rPr>
          <w:rStyle w:val="FootnoteReference"/>
          <w:noProof/>
          <w:sz w:val="24"/>
          <w:lang w:val="en-IE"/>
        </w:rPr>
        <w:footnoteReference w:id="24"/>
      </w:r>
      <w:r w:rsidR="00D4323D">
        <w:rPr>
          <w:noProof/>
          <w:sz w:val="24"/>
          <w:lang w:val="en-IE"/>
        </w:rPr>
        <w:t xml:space="preserve">. </w:t>
      </w:r>
      <w:r w:rsidR="002D7E9F" w:rsidRPr="004D3357">
        <w:rPr>
          <w:noProof/>
          <w:sz w:val="24"/>
          <w:lang w:val="en-IE"/>
        </w:rPr>
        <w:t>Safety rules are enforced by market surveillance</w:t>
      </w:r>
      <w:r w:rsidR="00D80720">
        <w:rPr>
          <w:noProof/>
          <w:sz w:val="24"/>
          <w:lang w:val="en-IE"/>
        </w:rPr>
        <w:t xml:space="preserve"> rules</w:t>
      </w:r>
      <w:r w:rsidR="002D7E9F" w:rsidRPr="004D3357">
        <w:rPr>
          <w:rStyle w:val="FootnoteReference"/>
          <w:noProof/>
          <w:sz w:val="24"/>
          <w:lang w:val="en-IE"/>
        </w:rPr>
        <w:footnoteReference w:id="25"/>
      </w:r>
      <w:r w:rsidR="002D7E9F" w:rsidRPr="004D3357">
        <w:rPr>
          <w:noProof/>
          <w:sz w:val="24"/>
          <w:lang w:val="en-IE"/>
        </w:rPr>
        <w:t>, which ensure consumer protection by stopping non-compliant products circulating or by bringing them into compliance. Product safety legislation does not contain specific provisions on liability of manufacturers, but make reference to the fact that the PLD applies when a defective product causes damage. Product safety and product liability are therefore complementary mechanisms for achieving a functioning single market for goods that ensures high levels of safety.</w:t>
      </w:r>
    </w:p>
    <w:p w14:paraId="6BC94647" w14:textId="40058AD1" w:rsidR="00030C20" w:rsidRPr="00030C20" w:rsidRDefault="00282BB6" w:rsidP="006045F3">
      <w:pPr>
        <w:spacing w:after="240" w:line="240" w:lineRule="auto"/>
        <w:jc w:val="both"/>
        <w:rPr>
          <w:noProof/>
          <w:sz w:val="24"/>
          <w:u w:val="single"/>
          <w:lang w:val="en-IE"/>
        </w:rPr>
      </w:pPr>
      <w:r w:rsidRPr="006045F3">
        <w:rPr>
          <w:noProof/>
          <w:sz w:val="24"/>
          <w:u w:val="single"/>
          <w:lang w:val="en-IE"/>
        </w:rPr>
        <w:t>Cybersecurity</w:t>
      </w:r>
      <w:r w:rsidR="00DD49CD" w:rsidRPr="00C43D16">
        <w:rPr>
          <w:noProof/>
          <w:sz w:val="24"/>
          <w:lang w:val="en-IE"/>
        </w:rPr>
        <w:t xml:space="preserve">: </w:t>
      </w:r>
      <w:r w:rsidR="001C3B30" w:rsidRPr="006045F3">
        <w:rPr>
          <w:noProof/>
          <w:sz w:val="24"/>
          <w:lang w:val="en-IE"/>
        </w:rPr>
        <w:t xml:space="preserve">The </w:t>
      </w:r>
      <w:r w:rsidR="001C3B30" w:rsidRPr="002D7E9F">
        <w:rPr>
          <w:bCs/>
          <w:noProof/>
          <w:sz w:val="24"/>
          <w:lang w:val="en-IE"/>
        </w:rPr>
        <w:t>Cybersecurity Act</w:t>
      </w:r>
      <w:r w:rsidR="001C3B30" w:rsidRPr="002D7E9F">
        <w:rPr>
          <w:rStyle w:val="FootnoteReference"/>
          <w:bCs/>
          <w:noProof/>
          <w:sz w:val="24"/>
          <w:lang w:val="en-IE"/>
        </w:rPr>
        <w:footnoteReference w:id="26"/>
      </w:r>
      <w:r w:rsidR="002D7E9F" w:rsidRPr="002D7E9F">
        <w:rPr>
          <w:bCs/>
          <w:noProof/>
          <w:sz w:val="24"/>
          <w:lang w:val="en-IE"/>
        </w:rPr>
        <w:t xml:space="preserve"> a</w:t>
      </w:r>
      <w:r w:rsidR="002D7E9F">
        <w:rPr>
          <w:bCs/>
          <w:noProof/>
          <w:sz w:val="24"/>
          <w:lang w:val="en-IE"/>
        </w:rPr>
        <w:t>nd</w:t>
      </w:r>
      <w:r w:rsidR="002D7E9F">
        <w:rPr>
          <w:b/>
          <w:bCs/>
          <w:noProof/>
          <w:sz w:val="24"/>
          <w:lang w:val="en-IE"/>
        </w:rPr>
        <w:t xml:space="preserve"> </w:t>
      </w:r>
      <w:r w:rsidR="000673D3" w:rsidRPr="006045F3">
        <w:rPr>
          <w:noProof/>
          <w:sz w:val="24"/>
          <w:lang w:val="en-IE"/>
        </w:rPr>
        <w:t xml:space="preserve">the </w:t>
      </w:r>
      <w:r w:rsidR="00922488" w:rsidRPr="006045F3">
        <w:rPr>
          <w:noProof/>
          <w:sz w:val="24"/>
        </w:rPr>
        <w:t xml:space="preserve">recently </w:t>
      </w:r>
      <w:r w:rsidR="000673D3" w:rsidRPr="006045F3">
        <w:rPr>
          <w:noProof/>
          <w:sz w:val="24"/>
        </w:rPr>
        <w:t>adopted delegated act</w:t>
      </w:r>
      <w:r w:rsidR="000673D3" w:rsidRPr="006045F3">
        <w:rPr>
          <w:noProof/>
          <w:sz w:val="24"/>
          <w:vertAlign w:val="superscript"/>
        </w:rPr>
        <w:footnoteReference w:id="27"/>
      </w:r>
      <w:r w:rsidR="000673D3" w:rsidRPr="006045F3">
        <w:rPr>
          <w:noProof/>
          <w:sz w:val="24"/>
        </w:rPr>
        <w:t xml:space="preserve"> und</w:t>
      </w:r>
      <w:r w:rsidR="003213C8">
        <w:rPr>
          <w:noProof/>
          <w:sz w:val="24"/>
        </w:rPr>
        <w:t>er</w:t>
      </w:r>
      <w:r w:rsidR="000673D3" w:rsidRPr="006045F3">
        <w:rPr>
          <w:noProof/>
          <w:sz w:val="24"/>
        </w:rPr>
        <w:t xml:space="preserve"> the Radio Equipment Directive</w:t>
      </w:r>
      <w:r w:rsidR="000673D3" w:rsidRPr="006045F3">
        <w:rPr>
          <w:rStyle w:val="FootnoteReference"/>
          <w:noProof/>
          <w:sz w:val="24"/>
        </w:rPr>
        <w:footnoteReference w:id="28"/>
      </w:r>
      <w:r w:rsidR="000673D3" w:rsidRPr="006045F3">
        <w:rPr>
          <w:noProof/>
          <w:sz w:val="24"/>
        </w:rPr>
        <w:t xml:space="preserve"> </w:t>
      </w:r>
      <w:r w:rsidR="002D7E9F">
        <w:rPr>
          <w:noProof/>
          <w:sz w:val="24"/>
        </w:rPr>
        <w:t>are intended to mitigate cybersecurity risks, but they do</w:t>
      </w:r>
      <w:r w:rsidR="00DE16BC" w:rsidRPr="006045F3">
        <w:rPr>
          <w:noProof/>
          <w:sz w:val="24"/>
        </w:rPr>
        <w:t xml:space="preserve"> not regulate the liability of producers.</w:t>
      </w:r>
      <w:r w:rsidR="00065F8B" w:rsidRPr="006045F3">
        <w:rPr>
          <w:noProof/>
          <w:sz w:val="24"/>
        </w:rPr>
        <w:t xml:space="preserve"> </w:t>
      </w:r>
      <w:r w:rsidR="00CC7280">
        <w:rPr>
          <w:noProof/>
          <w:sz w:val="24"/>
        </w:rPr>
        <w:t>In addition, the Commission is preparing a Cyber-resilience Act</w:t>
      </w:r>
      <w:r w:rsidR="00405985">
        <w:rPr>
          <w:rStyle w:val="FootnoteReference"/>
          <w:noProof/>
          <w:sz w:val="24"/>
        </w:rPr>
        <w:footnoteReference w:id="29"/>
      </w:r>
      <w:r w:rsidR="00CC7280">
        <w:rPr>
          <w:noProof/>
          <w:sz w:val="24"/>
        </w:rPr>
        <w:t>, which would build on existing rules to encourage manufacturers and software developers to mitigate cybersecurity risks</w:t>
      </w:r>
      <w:r w:rsidR="003A5339">
        <w:rPr>
          <w:noProof/>
          <w:sz w:val="24"/>
        </w:rPr>
        <w:t>, but is not expected to touch on liability</w:t>
      </w:r>
      <w:r w:rsidR="00CC7280">
        <w:rPr>
          <w:noProof/>
          <w:sz w:val="24"/>
        </w:rPr>
        <w:t>.</w:t>
      </w:r>
      <w:r w:rsidR="00065F8B" w:rsidRPr="006045F3">
        <w:rPr>
          <w:noProof/>
          <w:sz w:val="24"/>
        </w:rPr>
        <w:t xml:space="preserve"> </w:t>
      </w:r>
    </w:p>
    <w:p w14:paraId="40DB281C" w14:textId="64E6B8BA" w:rsidR="00434995" w:rsidRDefault="002E7937" w:rsidP="002E7937">
      <w:pPr>
        <w:pStyle w:val="Heading3"/>
        <w:rPr>
          <w:noProof/>
          <w:lang w:val="en-IE"/>
        </w:rPr>
      </w:pPr>
      <w:bookmarkStart w:id="93" w:name="_Toc94005522"/>
      <w:bookmarkStart w:id="94" w:name="_Toc95379849"/>
      <w:bookmarkStart w:id="95" w:name="_Toc95391341"/>
      <w:bookmarkStart w:id="96" w:name="_Toc95396410"/>
      <w:bookmarkStart w:id="97" w:name="_Toc95421508"/>
      <w:bookmarkStart w:id="98" w:name="_Toc95481957"/>
      <w:bookmarkStart w:id="99" w:name="_Toc97149206"/>
      <w:bookmarkStart w:id="100" w:name="_Toc97191252"/>
      <w:bookmarkStart w:id="101" w:name="_Toc107430062"/>
      <w:bookmarkStart w:id="102" w:name="_Toc96337750"/>
      <w:bookmarkStart w:id="103" w:name="_Toc96446229"/>
      <w:bookmarkStart w:id="104" w:name="_Toc96448002"/>
      <w:bookmarkStart w:id="105" w:name="_Toc96593951"/>
      <w:bookmarkStart w:id="106" w:name="_Toc96597242"/>
      <w:bookmarkStart w:id="107" w:name="_Toc96609177"/>
      <w:r w:rsidRPr="002E7937">
        <w:t>1.2.4.</w:t>
      </w:r>
      <w:r w:rsidRPr="002E7937">
        <w:tab/>
      </w:r>
      <w:r w:rsidR="008A3CF8">
        <w:rPr>
          <w:noProof/>
          <w:lang w:val="en-IE"/>
        </w:rPr>
        <w:t>Interplay with ongoing initiatives</w:t>
      </w:r>
      <w:bookmarkEnd w:id="93"/>
      <w:bookmarkEnd w:id="94"/>
      <w:bookmarkEnd w:id="95"/>
      <w:bookmarkEnd w:id="96"/>
      <w:bookmarkEnd w:id="97"/>
      <w:bookmarkEnd w:id="98"/>
      <w:bookmarkEnd w:id="99"/>
      <w:bookmarkEnd w:id="100"/>
      <w:bookmarkEnd w:id="101"/>
      <w:r w:rsidR="002614DC">
        <w:rPr>
          <w:noProof/>
          <w:lang w:val="en-IE"/>
        </w:rPr>
        <w:t xml:space="preserve"> </w:t>
      </w:r>
      <w:bookmarkEnd w:id="102"/>
      <w:bookmarkEnd w:id="103"/>
      <w:bookmarkEnd w:id="104"/>
      <w:bookmarkEnd w:id="105"/>
      <w:bookmarkEnd w:id="106"/>
      <w:bookmarkEnd w:id="107"/>
    </w:p>
    <w:p w14:paraId="37BDE054" w14:textId="029CAC99" w:rsidR="003B03E0" w:rsidRPr="006045F3" w:rsidRDefault="00B83D29" w:rsidP="006045F3">
      <w:pPr>
        <w:spacing w:after="240" w:line="240" w:lineRule="auto"/>
        <w:jc w:val="both"/>
        <w:rPr>
          <w:noProof/>
          <w:sz w:val="24"/>
        </w:rPr>
      </w:pPr>
      <w:r w:rsidRPr="006045F3">
        <w:rPr>
          <w:noProof/>
          <w:sz w:val="24"/>
          <w:lang w:val="en-IE"/>
        </w:rPr>
        <w:t xml:space="preserve">The proposed </w:t>
      </w:r>
      <w:r w:rsidRPr="0083321E">
        <w:rPr>
          <w:noProof/>
          <w:sz w:val="24"/>
          <w:u w:val="single"/>
          <w:lang w:val="en-IE"/>
        </w:rPr>
        <w:t>Machinery Regulation</w:t>
      </w:r>
      <w:r w:rsidRPr="006045F3">
        <w:rPr>
          <w:rStyle w:val="FootnoteReference"/>
          <w:noProof/>
          <w:sz w:val="24"/>
          <w:lang w:val="en-IE"/>
        </w:rPr>
        <w:footnoteReference w:id="30"/>
      </w:r>
      <w:r w:rsidR="00613D03" w:rsidRPr="006045F3">
        <w:rPr>
          <w:noProof/>
          <w:sz w:val="24"/>
          <w:lang w:val="en-IE"/>
        </w:rPr>
        <w:t xml:space="preserve"> and proposed </w:t>
      </w:r>
      <w:r w:rsidR="00E66955" w:rsidRPr="0083321E">
        <w:rPr>
          <w:noProof/>
          <w:sz w:val="24"/>
          <w:u w:val="single"/>
          <w:lang w:val="en-IE"/>
        </w:rPr>
        <w:t>General Product Safety Regulation</w:t>
      </w:r>
      <w:r w:rsidR="00E66955" w:rsidRPr="006045F3">
        <w:rPr>
          <w:rStyle w:val="FootnoteReference"/>
          <w:noProof/>
          <w:sz w:val="24"/>
          <w:lang w:val="en-IE"/>
        </w:rPr>
        <w:footnoteReference w:id="31"/>
      </w:r>
      <w:r w:rsidR="00CC2722" w:rsidRPr="006045F3">
        <w:rPr>
          <w:noProof/>
          <w:sz w:val="24"/>
          <w:lang w:val="en-IE"/>
        </w:rPr>
        <w:t xml:space="preserve"> (GPSR) </w:t>
      </w:r>
      <w:r w:rsidR="00E66955" w:rsidRPr="006045F3">
        <w:rPr>
          <w:noProof/>
          <w:sz w:val="24"/>
          <w:lang w:val="en-IE"/>
        </w:rPr>
        <w:t xml:space="preserve">aim, in their respective fields, to address the </w:t>
      </w:r>
      <w:r w:rsidR="00516F1B" w:rsidRPr="006045F3">
        <w:rPr>
          <w:noProof/>
          <w:sz w:val="24"/>
          <w:lang w:val="en-IE"/>
        </w:rPr>
        <w:t xml:space="preserve">risks </w:t>
      </w:r>
      <w:r w:rsidR="00E66955" w:rsidRPr="006045F3">
        <w:rPr>
          <w:noProof/>
          <w:sz w:val="24"/>
          <w:lang w:val="en-IE"/>
        </w:rPr>
        <w:t>of digitalisation</w:t>
      </w:r>
      <w:r w:rsidR="0094211E" w:rsidRPr="006045F3">
        <w:rPr>
          <w:noProof/>
          <w:sz w:val="24"/>
          <w:lang w:val="en-IE"/>
        </w:rPr>
        <w:t xml:space="preserve"> </w:t>
      </w:r>
      <w:r w:rsidR="00516F1B" w:rsidRPr="006045F3">
        <w:rPr>
          <w:noProof/>
          <w:sz w:val="24"/>
          <w:lang w:val="en-IE"/>
        </w:rPr>
        <w:t xml:space="preserve">in the area of </w:t>
      </w:r>
      <w:r w:rsidR="0094211E" w:rsidRPr="006045F3">
        <w:rPr>
          <w:noProof/>
          <w:sz w:val="24"/>
          <w:lang w:val="en-IE"/>
        </w:rPr>
        <w:t>product safety</w:t>
      </w:r>
      <w:r w:rsidR="00E96BD1">
        <w:rPr>
          <w:noProof/>
          <w:sz w:val="24"/>
          <w:lang w:val="en-IE"/>
        </w:rPr>
        <w:t>, but not liability.</w:t>
      </w:r>
      <w:r w:rsidR="00A06080" w:rsidRPr="006045F3">
        <w:rPr>
          <w:noProof/>
          <w:sz w:val="24"/>
          <w:lang w:val="en-IE"/>
        </w:rPr>
        <w:t xml:space="preserve"> </w:t>
      </w:r>
      <w:r w:rsidR="003B03E0" w:rsidRPr="006045F3">
        <w:rPr>
          <w:noProof/>
          <w:sz w:val="24"/>
          <w:lang w:val="en-IE"/>
        </w:rPr>
        <w:t xml:space="preserve">The </w:t>
      </w:r>
      <w:r w:rsidRPr="006045F3">
        <w:rPr>
          <w:noProof/>
          <w:sz w:val="24"/>
          <w:lang w:val="en-IE"/>
        </w:rPr>
        <w:t xml:space="preserve">proposed </w:t>
      </w:r>
      <w:r w:rsidR="003B03E0" w:rsidRPr="0083321E">
        <w:rPr>
          <w:noProof/>
          <w:sz w:val="24"/>
          <w:u w:val="single"/>
          <w:lang w:val="en-IE"/>
        </w:rPr>
        <w:t>Digital Services Act</w:t>
      </w:r>
      <w:r w:rsidR="00A650A1" w:rsidRPr="006045F3">
        <w:rPr>
          <w:rStyle w:val="FootnoteReference"/>
          <w:noProof/>
          <w:sz w:val="24"/>
          <w:lang w:val="en-IE"/>
        </w:rPr>
        <w:footnoteReference w:id="32"/>
      </w:r>
      <w:r w:rsidRPr="006045F3">
        <w:rPr>
          <w:noProof/>
          <w:sz w:val="24"/>
          <w:lang w:val="en-IE"/>
        </w:rPr>
        <w:t xml:space="preserve"> </w:t>
      </w:r>
      <w:r w:rsidR="00CC2722" w:rsidRPr="006045F3">
        <w:rPr>
          <w:noProof/>
          <w:sz w:val="24"/>
          <w:lang w:val="en-IE"/>
        </w:rPr>
        <w:t xml:space="preserve">(DSA) </w:t>
      </w:r>
      <w:r w:rsidRPr="006045F3">
        <w:rPr>
          <w:noProof/>
          <w:sz w:val="24"/>
        </w:rPr>
        <w:t>sets out rules for online intermediary services, including online marketplaces</w:t>
      </w:r>
      <w:r w:rsidR="00D9158D" w:rsidRPr="006045F3">
        <w:rPr>
          <w:noProof/>
          <w:sz w:val="24"/>
        </w:rPr>
        <w:t>.</w:t>
      </w:r>
      <w:r w:rsidR="00CC2722" w:rsidRPr="006045F3">
        <w:rPr>
          <w:noProof/>
          <w:sz w:val="24"/>
        </w:rPr>
        <w:t xml:space="preserve"> The proposal for a GPSR imposes </w:t>
      </w:r>
      <w:r w:rsidR="0083321E">
        <w:rPr>
          <w:noProof/>
          <w:sz w:val="24"/>
        </w:rPr>
        <w:t xml:space="preserve">additional </w:t>
      </w:r>
      <w:r w:rsidR="00CC2722" w:rsidRPr="006045F3">
        <w:rPr>
          <w:noProof/>
          <w:sz w:val="24"/>
        </w:rPr>
        <w:t xml:space="preserve">obligations on them to tackle the sale of unsafe products online. </w:t>
      </w:r>
      <w:r w:rsidR="0083321E">
        <w:rPr>
          <w:noProof/>
          <w:sz w:val="24"/>
        </w:rPr>
        <w:t>None of these measures concern liability for defective products under the PLD</w:t>
      </w:r>
      <w:r w:rsidR="003B351C" w:rsidRPr="006045F3">
        <w:rPr>
          <w:noProof/>
          <w:sz w:val="24"/>
        </w:rPr>
        <w:t xml:space="preserve">. </w:t>
      </w:r>
    </w:p>
    <w:p w14:paraId="4D889B62" w14:textId="4B9CE43A" w:rsidR="00544CFB" w:rsidRDefault="00D411B1" w:rsidP="006045F3">
      <w:pPr>
        <w:spacing w:after="240" w:line="240" w:lineRule="auto"/>
        <w:jc w:val="both"/>
        <w:rPr>
          <w:rFonts w:cs="Times New Roman"/>
          <w:noProof/>
          <w:sz w:val="24"/>
        </w:rPr>
      </w:pPr>
      <w:r w:rsidRPr="00E96BD1">
        <w:rPr>
          <w:rFonts w:cs="Times New Roman"/>
          <w:noProof/>
          <w:sz w:val="24"/>
          <w:u w:val="single"/>
        </w:rPr>
        <w:t>The Circular Economy Action Plan</w:t>
      </w:r>
      <w:r w:rsidRPr="006045F3">
        <w:rPr>
          <w:rFonts w:cs="Times New Roman"/>
          <w:noProof/>
          <w:sz w:val="24"/>
        </w:rPr>
        <w:t xml:space="preserve"> 2020</w:t>
      </w:r>
      <w:r w:rsidR="001C3B30" w:rsidRPr="006045F3">
        <w:rPr>
          <w:rStyle w:val="FootnoteReference"/>
          <w:noProof/>
          <w:snapToGrid w:val="0"/>
          <w:w w:val="0"/>
          <w:sz w:val="24"/>
        </w:rPr>
        <w:footnoteReference w:id="33"/>
      </w:r>
      <w:r w:rsidRPr="006045F3">
        <w:rPr>
          <w:rFonts w:cs="Times New Roman"/>
          <w:noProof/>
          <w:sz w:val="24"/>
        </w:rPr>
        <w:t xml:space="preserve"> announced a sustainable products policy framework intended to provide high-quality, functional and safe products designed for reuse, repair, remanufacturing and high-quality recycling. The Action Plan does not contemplate measures on liability</w:t>
      </w:r>
      <w:r w:rsidR="001C3B30" w:rsidRPr="006045F3">
        <w:rPr>
          <w:rFonts w:cs="Times New Roman"/>
          <w:noProof/>
          <w:sz w:val="24"/>
        </w:rPr>
        <w:t xml:space="preserve"> for defective products</w:t>
      </w:r>
      <w:r w:rsidRPr="006045F3">
        <w:rPr>
          <w:rFonts w:cs="Times New Roman"/>
          <w:noProof/>
          <w:sz w:val="24"/>
        </w:rPr>
        <w:t xml:space="preserve">. </w:t>
      </w:r>
    </w:p>
    <w:p w14:paraId="0084FA4E" w14:textId="5086F80C" w:rsidR="00B44CE3" w:rsidRDefault="002E7937" w:rsidP="002E7937">
      <w:pPr>
        <w:pStyle w:val="Heading3"/>
        <w:rPr>
          <w:noProof/>
          <w:lang w:val="en-IE"/>
        </w:rPr>
      </w:pPr>
      <w:bookmarkStart w:id="108" w:name="_Toc94005523"/>
      <w:bookmarkStart w:id="109" w:name="_Toc95379850"/>
      <w:bookmarkStart w:id="110" w:name="_Toc95391342"/>
      <w:bookmarkStart w:id="111" w:name="_Toc95396411"/>
      <w:bookmarkStart w:id="112" w:name="_Toc95421509"/>
      <w:bookmarkStart w:id="113" w:name="_Toc95481958"/>
      <w:bookmarkStart w:id="114" w:name="_Toc96337751"/>
      <w:bookmarkStart w:id="115" w:name="_Toc96446230"/>
      <w:bookmarkStart w:id="116" w:name="_Toc96448003"/>
      <w:bookmarkStart w:id="117" w:name="_Toc96593952"/>
      <w:bookmarkStart w:id="118" w:name="_Toc96597243"/>
      <w:bookmarkStart w:id="119" w:name="_Toc96609178"/>
      <w:bookmarkStart w:id="120" w:name="_Toc97149207"/>
      <w:bookmarkStart w:id="121" w:name="_Toc97191253"/>
      <w:bookmarkStart w:id="122" w:name="_Toc107430063"/>
      <w:r w:rsidRPr="002E7937">
        <w:t>1.2.5.</w:t>
      </w:r>
      <w:r w:rsidRPr="002E7937">
        <w:tab/>
      </w:r>
      <w:r w:rsidR="00764D27" w:rsidRPr="006045F3">
        <w:rPr>
          <w:noProof/>
          <w:lang w:val="en-IE"/>
        </w:rPr>
        <w:t>Specific i</w:t>
      </w:r>
      <w:r w:rsidR="00EA2073" w:rsidRPr="006045F3">
        <w:rPr>
          <w:noProof/>
          <w:lang w:val="en-IE"/>
        </w:rPr>
        <w:t xml:space="preserve">nterplay with the </w:t>
      </w:r>
      <w:r w:rsidR="00764D27" w:rsidRPr="006045F3">
        <w:rPr>
          <w:noProof/>
          <w:lang w:val="en-IE"/>
        </w:rPr>
        <w:t>A</w:t>
      </w:r>
      <w:r w:rsidR="00BF75CA" w:rsidRPr="006045F3">
        <w:rPr>
          <w:noProof/>
          <w:lang w:val="en-IE"/>
        </w:rPr>
        <w:t>rtificial Intelligence</w:t>
      </w:r>
      <w:r w:rsidR="00764D27" w:rsidRPr="006045F3">
        <w:rPr>
          <w:noProof/>
          <w:lang w:val="en-IE"/>
        </w:rPr>
        <w:t xml:space="preserve"> Act and the </w:t>
      </w:r>
      <w:r w:rsidR="00EA2073" w:rsidRPr="006045F3">
        <w:rPr>
          <w:noProof/>
          <w:lang w:val="en-IE"/>
        </w:rPr>
        <w:t>impact assessment on AI liability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C88367B" w14:textId="7B61CF96" w:rsidR="00BF75CA" w:rsidRPr="006045F3" w:rsidRDefault="00764D27" w:rsidP="16C79E2A">
      <w:pPr>
        <w:spacing w:after="240" w:line="240" w:lineRule="auto"/>
        <w:jc w:val="both"/>
        <w:rPr>
          <w:noProof/>
          <w:sz w:val="24"/>
          <w:szCs w:val="24"/>
          <w:lang w:val="en-IE"/>
        </w:rPr>
      </w:pPr>
      <w:r w:rsidRPr="16C79E2A">
        <w:rPr>
          <w:noProof/>
          <w:sz w:val="24"/>
          <w:szCs w:val="24"/>
          <w:lang w:val="en-IE"/>
        </w:rPr>
        <w:t>The proposed Artificial Intelligence Act</w:t>
      </w:r>
      <w:r w:rsidRPr="16C79E2A">
        <w:rPr>
          <w:rStyle w:val="FootnoteReference"/>
          <w:noProof/>
          <w:sz w:val="24"/>
          <w:szCs w:val="24"/>
          <w:lang w:val="en-IE"/>
        </w:rPr>
        <w:footnoteReference w:id="34"/>
      </w:r>
      <w:r w:rsidRPr="16C79E2A">
        <w:rPr>
          <w:noProof/>
          <w:sz w:val="24"/>
          <w:szCs w:val="24"/>
          <w:lang w:val="en-IE"/>
        </w:rPr>
        <w:t xml:space="preserve"> aims to ensure that high-risk AI-systems comply with safety and fundamental rights requirements</w:t>
      </w:r>
      <w:r w:rsidR="00112519" w:rsidRPr="16C79E2A">
        <w:rPr>
          <w:noProof/>
          <w:sz w:val="24"/>
          <w:szCs w:val="24"/>
          <w:lang w:val="en-IE"/>
        </w:rPr>
        <w:t xml:space="preserve"> (e.g. </w:t>
      </w:r>
      <w:r w:rsidR="009D6CDF" w:rsidRPr="16C79E2A">
        <w:rPr>
          <w:noProof/>
          <w:sz w:val="24"/>
          <w:szCs w:val="24"/>
          <w:lang w:val="en-IE"/>
        </w:rPr>
        <w:t xml:space="preserve">data governance, </w:t>
      </w:r>
      <w:r w:rsidR="00112519" w:rsidRPr="16C79E2A">
        <w:rPr>
          <w:noProof/>
          <w:sz w:val="24"/>
          <w:szCs w:val="24"/>
          <w:lang w:val="en-IE"/>
        </w:rPr>
        <w:t>transparency, human oversight</w:t>
      </w:r>
      <w:r w:rsidR="009D6CDF" w:rsidRPr="16C79E2A">
        <w:rPr>
          <w:noProof/>
          <w:sz w:val="24"/>
          <w:szCs w:val="24"/>
          <w:lang w:val="en-IE"/>
        </w:rPr>
        <w:t>)</w:t>
      </w:r>
      <w:r w:rsidRPr="16C79E2A">
        <w:rPr>
          <w:noProof/>
          <w:sz w:val="24"/>
          <w:szCs w:val="24"/>
          <w:lang w:val="en-IE"/>
        </w:rPr>
        <w:t xml:space="preserve"> before being placed on the market or put into service within the EU. </w:t>
      </w:r>
      <w:r w:rsidR="00C22357" w:rsidRPr="16C79E2A">
        <w:rPr>
          <w:noProof/>
          <w:sz w:val="24"/>
          <w:szCs w:val="24"/>
          <w:lang w:val="en-IE"/>
        </w:rPr>
        <w:t>However, there is no</w:t>
      </w:r>
      <w:r w:rsidR="00C22357" w:rsidRPr="00D40377">
        <w:rPr>
          <w:noProof/>
          <w:sz w:val="24"/>
          <w:szCs w:val="24"/>
          <w:lang w:val="en-IE"/>
        </w:rPr>
        <w:t xml:space="preserve"> </w:t>
      </w:r>
      <w:r w:rsidR="00C22357" w:rsidRPr="16C79E2A">
        <w:rPr>
          <w:noProof/>
          <w:sz w:val="24"/>
          <w:szCs w:val="24"/>
          <w:lang w:val="en-IE"/>
        </w:rPr>
        <w:t xml:space="preserve">corresponding liability of the AI-system provider under the PLD when an AI system is defective and causes harm, because they do not fall </w:t>
      </w:r>
      <w:r w:rsidR="00C22357" w:rsidRPr="00D40377">
        <w:rPr>
          <w:noProof/>
          <w:sz w:val="24"/>
          <w:szCs w:val="24"/>
          <w:lang w:val="en-IE"/>
        </w:rPr>
        <w:t xml:space="preserve">clearly </w:t>
      </w:r>
      <w:r w:rsidR="00C22357" w:rsidRPr="16C79E2A">
        <w:rPr>
          <w:noProof/>
          <w:sz w:val="24"/>
          <w:szCs w:val="24"/>
          <w:lang w:val="en-IE"/>
        </w:rPr>
        <w:t xml:space="preserve">under definition of “producer” in the PLD. This is because AI systems themselves do not fall </w:t>
      </w:r>
      <w:r w:rsidR="00C22357" w:rsidRPr="00D40377">
        <w:rPr>
          <w:noProof/>
          <w:sz w:val="24"/>
          <w:szCs w:val="24"/>
          <w:lang w:val="en-IE"/>
        </w:rPr>
        <w:t xml:space="preserve">clearly </w:t>
      </w:r>
      <w:r w:rsidR="00C22357" w:rsidRPr="16C79E2A">
        <w:rPr>
          <w:noProof/>
          <w:sz w:val="24"/>
          <w:szCs w:val="24"/>
          <w:lang w:val="en-IE"/>
        </w:rPr>
        <w:t>within the outdated definition of “product” in the PLD, which is true of other software too, not only AI systems. And, w</w:t>
      </w:r>
      <w:r w:rsidRPr="16C79E2A">
        <w:rPr>
          <w:noProof/>
          <w:sz w:val="24"/>
          <w:szCs w:val="24"/>
          <w:lang w:val="en-IE"/>
        </w:rPr>
        <w:t xml:space="preserve">hile products that </w:t>
      </w:r>
      <w:r w:rsidR="00F3536E" w:rsidRPr="16C79E2A">
        <w:rPr>
          <w:noProof/>
          <w:sz w:val="24"/>
          <w:szCs w:val="24"/>
          <w:lang w:val="en-IE"/>
        </w:rPr>
        <w:t xml:space="preserve">make use of </w:t>
      </w:r>
      <w:r w:rsidRPr="16C79E2A">
        <w:rPr>
          <w:noProof/>
          <w:sz w:val="24"/>
          <w:szCs w:val="24"/>
          <w:lang w:val="en-IE"/>
        </w:rPr>
        <w:t xml:space="preserve">AI systems, such as robots, are </w:t>
      </w:r>
      <w:r w:rsidR="00D40377" w:rsidRPr="004959AA">
        <w:rPr>
          <w:noProof/>
          <w:sz w:val="24"/>
          <w:szCs w:val="24"/>
          <w:lang w:val="en-IE"/>
        </w:rPr>
        <w:t xml:space="preserve">obviously </w:t>
      </w:r>
      <w:r w:rsidRPr="16C79E2A">
        <w:rPr>
          <w:noProof/>
          <w:sz w:val="24"/>
          <w:szCs w:val="24"/>
          <w:lang w:val="en-IE"/>
        </w:rPr>
        <w:t xml:space="preserve">products within the meaning of the PLD, the PLD is not well adapted to dealing with </w:t>
      </w:r>
      <w:r w:rsidR="00FA5AE0">
        <w:rPr>
          <w:noProof/>
          <w:sz w:val="24"/>
          <w:szCs w:val="24"/>
          <w:lang w:val="en-IE"/>
        </w:rPr>
        <w:t xml:space="preserve">such </w:t>
      </w:r>
      <w:r w:rsidRPr="16C79E2A">
        <w:rPr>
          <w:noProof/>
          <w:sz w:val="24"/>
          <w:szCs w:val="24"/>
          <w:lang w:val="en-IE"/>
        </w:rPr>
        <w:t>products</w:t>
      </w:r>
      <w:r w:rsidR="00FA5AE0">
        <w:rPr>
          <w:noProof/>
          <w:sz w:val="24"/>
          <w:szCs w:val="24"/>
          <w:lang w:val="en-IE"/>
        </w:rPr>
        <w:t xml:space="preserve">, nor other products in the </w:t>
      </w:r>
      <w:r w:rsidRPr="16C79E2A">
        <w:rPr>
          <w:noProof/>
          <w:sz w:val="24"/>
          <w:szCs w:val="24"/>
          <w:lang w:val="en-IE"/>
        </w:rPr>
        <w:t xml:space="preserve">digital </w:t>
      </w:r>
      <w:r w:rsidR="00FA5AE0">
        <w:rPr>
          <w:noProof/>
          <w:sz w:val="24"/>
          <w:szCs w:val="24"/>
          <w:lang w:val="en-IE"/>
        </w:rPr>
        <w:t xml:space="preserve">age </w:t>
      </w:r>
      <w:r w:rsidRPr="16C79E2A">
        <w:rPr>
          <w:noProof/>
          <w:sz w:val="24"/>
          <w:szCs w:val="24"/>
          <w:lang w:val="en-IE"/>
        </w:rPr>
        <w:t>(see Problem 1</w:t>
      </w:r>
      <w:r w:rsidR="00570963" w:rsidRPr="16C79E2A">
        <w:rPr>
          <w:noProof/>
          <w:sz w:val="24"/>
          <w:szCs w:val="24"/>
          <w:lang w:val="en-IE"/>
        </w:rPr>
        <w:t xml:space="preserve"> below</w:t>
      </w:r>
      <w:r w:rsidRPr="16C79E2A">
        <w:rPr>
          <w:noProof/>
          <w:sz w:val="24"/>
          <w:szCs w:val="24"/>
          <w:lang w:val="en-IE"/>
        </w:rPr>
        <w:t xml:space="preserve">). </w:t>
      </w:r>
    </w:p>
    <w:p w14:paraId="45A43310" w14:textId="77777777" w:rsidR="00FC67D3" w:rsidRDefault="004F6E4C" w:rsidP="00A00431">
      <w:pPr>
        <w:spacing w:after="60" w:line="240" w:lineRule="auto"/>
        <w:jc w:val="both"/>
        <w:rPr>
          <w:noProof/>
          <w:sz w:val="24"/>
          <w:lang w:val="en-IE"/>
        </w:rPr>
      </w:pPr>
      <w:r>
        <w:rPr>
          <w:noProof/>
          <w:sz w:val="24"/>
          <w:lang w:val="en-IE"/>
        </w:rPr>
        <w:t xml:space="preserve">The Commission is taking a holistic approach to liability through the revision of the PLD on the one hand (the subject of this impact assessment), and AI-specific measures concerning national liability rules on the other (the subject of the AI liability impact assessment). The interplay between the two impact assessments is depicted in the table below and the rationale is explained in section 1.2 of the AI liability impact assessment. </w:t>
      </w:r>
    </w:p>
    <w:p w14:paraId="3BD4FA0F" w14:textId="77777777" w:rsidR="00FC67D3" w:rsidRDefault="00FC67D3" w:rsidP="0009699C">
      <w:pPr>
        <w:spacing w:after="60" w:line="240" w:lineRule="auto"/>
        <w:rPr>
          <w:noProof/>
          <w:sz w:val="24"/>
          <w:lang w:val="en-IE"/>
        </w:rPr>
      </w:pPr>
    </w:p>
    <w:p w14:paraId="6C4DBD76" w14:textId="6EC57AC7" w:rsidR="008A2EE6" w:rsidRPr="00DA7EB8" w:rsidRDefault="00501CD2" w:rsidP="0009699C">
      <w:pPr>
        <w:spacing w:after="60" w:line="240" w:lineRule="auto"/>
        <w:rPr>
          <w:i/>
          <w:noProof/>
          <w:sz w:val="24"/>
          <w:lang w:val="en-IE"/>
        </w:rPr>
      </w:pPr>
      <w:r w:rsidRPr="00DA7EB8">
        <w:rPr>
          <w:i/>
          <w:noProof/>
          <w:sz w:val="24"/>
          <w:lang w:val="en-IE"/>
        </w:rPr>
        <w:t xml:space="preserve">Table </w:t>
      </w:r>
      <w:r w:rsidRPr="00DA7EB8">
        <w:rPr>
          <w:i/>
          <w:noProof/>
          <w:sz w:val="24"/>
          <w:lang w:val="en-IE"/>
        </w:rPr>
        <w:fldChar w:fldCharType="begin"/>
      </w:r>
      <w:r w:rsidRPr="00DA7EB8">
        <w:rPr>
          <w:i/>
          <w:noProof/>
          <w:sz w:val="24"/>
          <w:lang w:val="en-IE"/>
        </w:rPr>
        <w:instrText xml:space="preserve"> SEQ Table \* ARABIC </w:instrText>
      </w:r>
      <w:r w:rsidRPr="00DA7EB8">
        <w:rPr>
          <w:i/>
          <w:noProof/>
          <w:sz w:val="24"/>
          <w:lang w:val="en-IE"/>
        </w:rPr>
        <w:fldChar w:fldCharType="separate"/>
      </w:r>
      <w:r w:rsidR="00BC2C3A">
        <w:rPr>
          <w:i/>
          <w:noProof/>
          <w:sz w:val="24"/>
          <w:lang w:val="en-IE"/>
        </w:rPr>
        <w:t>2</w:t>
      </w:r>
      <w:r w:rsidRPr="00DA7EB8">
        <w:rPr>
          <w:i/>
          <w:noProof/>
          <w:sz w:val="24"/>
          <w:lang w:val="en-IE"/>
        </w:rPr>
        <w:fldChar w:fldCharType="end"/>
      </w:r>
      <w:r w:rsidRPr="00DA7EB8">
        <w:rPr>
          <w:i/>
          <w:noProof/>
          <w:sz w:val="24"/>
          <w:lang w:val="en-IE"/>
        </w:rPr>
        <w:t xml:space="preserve">. </w:t>
      </w:r>
      <w:r w:rsidR="002D53F9" w:rsidRPr="00DA7EB8">
        <w:rPr>
          <w:i/>
          <w:noProof/>
          <w:sz w:val="24"/>
          <w:lang w:val="en-IE"/>
        </w:rPr>
        <w:t xml:space="preserve">Interplay between PLD </w:t>
      </w:r>
      <w:r w:rsidR="00F83EED" w:rsidRPr="00DA7EB8">
        <w:rPr>
          <w:i/>
          <w:noProof/>
          <w:sz w:val="24"/>
          <w:lang w:val="en-IE"/>
        </w:rPr>
        <w:t>impact assessment</w:t>
      </w:r>
      <w:r w:rsidR="002D53F9" w:rsidRPr="00DA7EB8">
        <w:rPr>
          <w:i/>
          <w:noProof/>
          <w:sz w:val="24"/>
          <w:lang w:val="en-IE"/>
        </w:rPr>
        <w:t xml:space="preserve"> and AI </w:t>
      </w:r>
      <w:r w:rsidR="00F83EED" w:rsidRPr="00DA7EB8">
        <w:rPr>
          <w:i/>
          <w:noProof/>
          <w:sz w:val="24"/>
          <w:lang w:val="en-IE"/>
        </w:rPr>
        <w:t>impact assessment</w:t>
      </w:r>
    </w:p>
    <w:tbl>
      <w:tblPr>
        <w:tblStyle w:val="TableGrid"/>
        <w:tblW w:w="8931" w:type="dxa"/>
        <w:tblInd w:w="-34" w:type="dxa"/>
        <w:tblLook w:val="04A0" w:firstRow="1" w:lastRow="0" w:firstColumn="1" w:lastColumn="0" w:noHBand="0" w:noVBand="1"/>
      </w:tblPr>
      <w:tblGrid>
        <w:gridCol w:w="1560"/>
        <w:gridCol w:w="2977"/>
        <w:gridCol w:w="4394"/>
      </w:tblGrid>
      <w:tr w:rsidR="00CD3053" w:rsidRPr="00302DB7" w14:paraId="7339C0D3" w14:textId="77777777" w:rsidTr="00F3251D">
        <w:trPr>
          <w:cantSplit/>
        </w:trPr>
        <w:tc>
          <w:tcPr>
            <w:tcW w:w="1560" w:type="dxa"/>
            <w:tcBorders>
              <w:top w:val="nil"/>
              <w:left w:val="nil"/>
            </w:tcBorders>
          </w:tcPr>
          <w:p w14:paraId="1AC74FBA" w14:textId="77777777" w:rsidR="00CD3053" w:rsidRDefault="00CD3053" w:rsidP="00C9440A">
            <w:pPr>
              <w:rPr>
                <w:noProof/>
                <w:lang w:val="en-IE"/>
              </w:rPr>
            </w:pPr>
          </w:p>
        </w:tc>
        <w:tc>
          <w:tcPr>
            <w:tcW w:w="2977" w:type="dxa"/>
          </w:tcPr>
          <w:p w14:paraId="6B4A563A" w14:textId="46DA0CA7" w:rsidR="00CD3053" w:rsidRPr="004664C7" w:rsidRDefault="00CD3053" w:rsidP="00CA2F85">
            <w:pPr>
              <w:rPr>
                <w:noProof/>
                <w:lang w:val="en-IE"/>
              </w:rPr>
            </w:pPr>
            <w:r w:rsidRPr="004664C7">
              <w:rPr>
                <w:noProof/>
                <w:lang w:val="en-IE"/>
              </w:rPr>
              <w:t>PLD I</w:t>
            </w:r>
            <w:r w:rsidR="00CA2F85" w:rsidRPr="004664C7">
              <w:rPr>
                <w:noProof/>
                <w:lang w:val="en-IE"/>
              </w:rPr>
              <w:t>A</w:t>
            </w:r>
            <w:r w:rsidRPr="004664C7">
              <w:rPr>
                <w:noProof/>
                <w:lang w:val="en-IE"/>
              </w:rPr>
              <w:t>: horizontal (i.e. not AI-specific) problems &amp; measures</w:t>
            </w:r>
          </w:p>
        </w:tc>
        <w:tc>
          <w:tcPr>
            <w:tcW w:w="4394" w:type="dxa"/>
          </w:tcPr>
          <w:p w14:paraId="1DDAF019" w14:textId="02B11C09" w:rsidR="00CD3053" w:rsidRPr="004664C7" w:rsidRDefault="00CD3053" w:rsidP="00CA2F85">
            <w:pPr>
              <w:rPr>
                <w:noProof/>
                <w:lang w:val="en-IE"/>
              </w:rPr>
            </w:pPr>
            <w:r w:rsidRPr="004664C7">
              <w:rPr>
                <w:noProof/>
                <w:lang w:val="en-IE"/>
              </w:rPr>
              <w:t>AI I</w:t>
            </w:r>
            <w:r w:rsidR="00CA2F85" w:rsidRPr="004664C7">
              <w:rPr>
                <w:noProof/>
                <w:lang w:val="en-IE"/>
              </w:rPr>
              <w:t>A</w:t>
            </w:r>
            <w:r w:rsidRPr="004664C7">
              <w:rPr>
                <w:noProof/>
                <w:lang w:val="en-IE"/>
              </w:rPr>
              <w:t>: AI specific problems &amp; measures</w:t>
            </w:r>
          </w:p>
        </w:tc>
      </w:tr>
      <w:tr w:rsidR="00CD3053" w14:paraId="368A4373" w14:textId="77777777" w:rsidTr="00F3251D">
        <w:tc>
          <w:tcPr>
            <w:tcW w:w="1560" w:type="dxa"/>
          </w:tcPr>
          <w:p w14:paraId="09A76561" w14:textId="77777777" w:rsidR="00CD3053" w:rsidRDefault="00CD3053" w:rsidP="00C9440A">
            <w:pPr>
              <w:rPr>
                <w:noProof/>
                <w:lang w:val="en-IE"/>
              </w:rPr>
            </w:pPr>
            <w:r>
              <w:rPr>
                <w:noProof/>
                <w:lang w:val="en-IE"/>
              </w:rPr>
              <w:t>Scope</w:t>
            </w:r>
          </w:p>
        </w:tc>
        <w:tc>
          <w:tcPr>
            <w:tcW w:w="2977" w:type="dxa"/>
          </w:tcPr>
          <w:p w14:paraId="75E8DE20" w14:textId="6777629A" w:rsidR="00CD3053" w:rsidRPr="00CA2F85" w:rsidRDefault="00C305D8" w:rsidP="00C305D8">
            <w:pPr>
              <w:rPr>
                <w:noProof/>
                <w:lang w:val="en-IE"/>
              </w:rPr>
            </w:pPr>
            <w:r>
              <w:rPr>
                <w:noProof/>
                <w:lang w:val="en-IE"/>
              </w:rPr>
              <w:t>All p</w:t>
            </w:r>
            <w:r w:rsidR="00CD3053" w:rsidRPr="00CA2F85">
              <w:rPr>
                <w:noProof/>
                <w:lang w:val="en-IE"/>
              </w:rPr>
              <w:t xml:space="preserve">roducts </w:t>
            </w:r>
            <w:r>
              <w:rPr>
                <w:noProof/>
                <w:lang w:val="en-IE"/>
              </w:rPr>
              <w:t>(</w:t>
            </w:r>
            <w:r w:rsidR="00CD3053" w:rsidRPr="00CA2F85">
              <w:rPr>
                <w:noProof/>
                <w:lang w:val="en-IE"/>
              </w:rPr>
              <w:t xml:space="preserve">including </w:t>
            </w:r>
            <w:r w:rsidR="00CD3053" w:rsidRPr="004664C7">
              <w:rPr>
                <w:noProof/>
                <w:lang w:val="en-IE"/>
              </w:rPr>
              <w:t>AI-enabled products</w:t>
            </w:r>
            <w:r w:rsidR="00CD3053" w:rsidRPr="00CA2F85">
              <w:rPr>
                <w:noProof/>
                <w:lang w:val="en-IE"/>
              </w:rPr>
              <w:t xml:space="preserve"> and AI systems themselves</w:t>
            </w:r>
            <w:r>
              <w:rPr>
                <w:noProof/>
                <w:lang w:val="en-IE"/>
              </w:rPr>
              <w:t>)</w:t>
            </w:r>
          </w:p>
        </w:tc>
        <w:tc>
          <w:tcPr>
            <w:tcW w:w="4394" w:type="dxa"/>
          </w:tcPr>
          <w:p w14:paraId="019E720E" w14:textId="2BCD6AED" w:rsidR="00CD3053" w:rsidRPr="00CA2F85" w:rsidRDefault="00CD3053" w:rsidP="00CD3053">
            <w:pPr>
              <w:rPr>
                <w:noProof/>
                <w:lang w:val="en-IE"/>
              </w:rPr>
            </w:pPr>
            <w:r w:rsidRPr="004664C7">
              <w:rPr>
                <w:noProof/>
                <w:lang w:val="en-IE"/>
              </w:rPr>
              <w:t>AI-enabled products and AI-systems themselves</w:t>
            </w:r>
            <w:r w:rsidRPr="00CA2F85">
              <w:rPr>
                <w:noProof/>
                <w:lang w:val="en-IE"/>
              </w:rPr>
              <w:t xml:space="preserve">, and actions or omissions linked to AI, including </w:t>
            </w:r>
            <w:r w:rsidRPr="004664C7">
              <w:rPr>
                <w:noProof/>
                <w:lang w:val="en-IE"/>
              </w:rPr>
              <w:t>AI-enabled services</w:t>
            </w:r>
          </w:p>
        </w:tc>
      </w:tr>
      <w:tr w:rsidR="00CD3053" w14:paraId="394A86BE" w14:textId="77777777" w:rsidTr="00F3251D">
        <w:tc>
          <w:tcPr>
            <w:tcW w:w="1560" w:type="dxa"/>
          </w:tcPr>
          <w:p w14:paraId="714A6DBD" w14:textId="77777777" w:rsidR="00CD3053" w:rsidRDefault="00CD3053" w:rsidP="00C9440A">
            <w:pPr>
              <w:rPr>
                <w:noProof/>
                <w:lang w:val="en-IE"/>
              </w:rPr>
            </w:pPr>
            <w:r>
              <w:rPr>
                <w:noProof/>
                <w:lang w:val="en-IE"/>
              </w:rPr>
              <w:t>Liable person</w:t>
            </w:r>
          </w:p>
        </w:tc>
        <w:tc>
          <w:tcPr>
            <w:tcW w:w="2977" w:type="dxa"/>
          </w:tcPr>
          <w:p w14:paraId="4F60E498" w14:textId="77777777" w:rsidR="00CD3053" w:rsidRPr="00CA2F85" w:rsidRDefault="00CD3053" w:rsidP="00C9440A">
            <w:pPr>
              <w:rPr>
                <w:noProof/>
                <w:lang w:val="en-IE"/>
              </w:rPr>
            </w:pPr>
            <w:r w:rsidRPr="004664C7">
              <w:rPr>
                <w:noProof/>
                <w:lang w:val="en-IE"/>
              </w:rPr>
              <w:t>Producer</w:t>
            </w:r>
            <w:r w:rsidRPr="00CA2F85">
              <w:rPr>
                <w:noProof/>
                <w:lang w:val="en-IE"/>
              </w:rPr>
              <w:t xml:space="preserve"> (manufacturer, importer)</w:t>
            </w:r>
          </w:p>
        </w:tc>
        <w:tc>
          <w:tcPr>
            <w:tcW w:w="4394" w:type="dxa"/>
          </w:tcPr>
          <w:p w14:paraId="532E7BA7" w14:textId="77777777" w:rsidR="00CD3053" w:rsidRPr="00CA2F85" w:rsidRDefault="00CD3053" w:rsidP="00C9440A">
            <w:pPr>
              <w:rPr>
                <w:noProof/>
                <w:lang w:val="en-IE"/>
              </w:rPr>
            </w:pPr>
            <w:r w:rsidRPr="00CA2F85">
              <w:rPr>
                <w:noProof/>
                <w:lang w:val="en-IE"/>
              </w:rPr>
              <w:t xml:space="preserve">Any wrongdoer: producer, service provider, user (both </w:t>
            </w:r>
            <w:r w:rsidRPr="004664C7">
              <w:rPr>
                <w:noProof/>
                <w:lang w:val="en-IE"/>
              </w:rPr>
              <w:t>businesses and private persons</w:t>
            </w:r>
            <w:r w:rsidRPr="00CA2F85">
              <w:rPr>
                <w:noProof/>
                <w:lang w:val="en-IE"/>
              </w:rPr>
              <w:t xml:space="preserve">), owner, etc. </w:t>
            </w:r>
          </w:p>
        </w:tc>
      </w:tr>
      <w:tr w:rsidR="00CD3053" w:rsidRPr="00793FA3" w14:paraId="1E65B44E" w14:textId="77777777" w:rsidTr="00F3251D">
        <w:tc>
          <w:tcPr>
            <w:tcW w:w="1560" w:type="dxa"/>
          </w:tcPr>
          <w:p w14:paraId="7B1FEF07" w14:textId="77777777" w:rsidR="00CD3053" w:rsidRDefault="00CD3053" w:rsidP="00C9440A">
            <w:pPr>
              <w:rPr>
                <w:noProof/>
                <w:lang w:val="en-IE"/>
              </w:rPr>
            </w:pPr>
            <w:r>
              <w:rPr>
                <w:noProof/>
                <w:lang w:val="en-IE"/>
              </w:rPr>
              <w:t>Current type of liability (see table 1 above)</w:t>
            </w:r>
          </w:p>
        </w:tc>
        <w:tc>
          <w:tcPr>
            <w:tcW w:w="2977" w:type="dxa"/>
          </w:tcPr>
          <w:p w14:paraId="1321CEBD" w14:textId="77777777" w:rsidR="00CD3053" w:rsidRPr="00CA2F85" w:rsidRDefault="00CD3053" w:rsidP="00C9440A">
            <w:pPr>
              <w:rPr>
                <w:noProof/>
                <w:lang w:val="en-IE"/>
              </w:rPr>
            </w:pPr>
            <w:r w:rsidRPr="00CA2F85">
              <w:rPr>
                <w:noProof/>
                <w:lang w:val="en-IE"/>
              </w:rPr>
              <w:t>Harmonised no-fault liability based on defect</w:t>
            </w:r>
          </w:p>
        </w:tc>
        <w:tc>
          <w:tcPr>
            <w:tcW w:w="4394" w:type="dxa"/>
          </w:tcPr>
          <w:p w14:paraId="3FAE57A9" w14:textId="5A02B04D" w:rsidR="00CD3053" w:rsidRPr="00C915B5" w:rsidRDefault="00CD3053" w:rsidP="00C9440A">
            <w:pPr>
              <w:rPr>
                <w:noProof/>
                <w:lang w:val="en-IE"/>
              </w:rPr>
            </w:pPr>
            <w:r w:rsidRPr="004664C7">
              <w:rPr>
                <w:noProof/>
                <w:lang w:val="en-IE"/>
              </w:rPr>
              <w:t>Non-harmonised national liability</w:t>
            </w:r>
            <w:r w:rsidRPr="00CA2F85">
              <w:rPr>
                <w:noProof/>
                <w:lang w:val="en-IE"/>
              </w:rPr>
              <w:t xml:space="preserve"> based on fault and, in some cases (e.g. for dan</w:t>
            </w:r>
            <w:r w:rsidR="005603E4">
              <w:rPr>
                <w:noProof/>
                <w:lang w:val="en-IE"/>
              </w:rPr>
              <w:t>gerous things</w:t>
            </w:r>
            <w:r w:rsidR="00256A6A">
              <w:rPr>
                <w:noProof/>
                <w:lang w:val="en-IE"/>
              </w:rPr>
              <w:t xml:space="preserve"> like vehicles or drones</w:t>
            </w:r>
            <w:r w:rsidR="005603E4">
              <w:rPr>
                <w:noProof/>
                <w:lang w:val="en-IE"/>
              </w:rPr>
              <w:t>) strict liability</w:t>
            </w:r>
          </w:p>
        </w:tc>
      </w:tr>
    </w:tbl>
    <w:p w14:paraId="64853CF8" w14:textId="77777777" w:rsidR="003E0E8B" w:rsidRDefault="003E0E8B" w:rsidP="003E0E8B">
      <w:pPr>
        <w:tabs>
          <w:tab w:val="left" w:pos="1700"/>
        </w:tabs>
        <w:spacing w:line="257" w:lineRule="auto"/>
        <w:rPr>
          <w:noProof/>
          <w:sz w:val="24"/>
        </w:rPr>
      </w:pPr>
    </w:p>
    <w:p w14:paraId="016A6202" w14:textId="245276CD" w:rsidR="004B1287" w:rsidRPr="0095194C" w:rsidRDefault="004B1287" w:rsidP="00C43D16">
      <w:pPr>
        <w:tabs>
          <w:tab w:val="left" w:pos="1700"/>
        </w:tabs>
        <w:spacing w:after="240" w:line="240" w:lineRule="auto"/>
        <w:jc w:val="both"/>
        <w:rPr>
          <w:noProof/>
          <w:sz w:val="24"/>
          <w:szCs w:val="24"/>
        </w:rPr>
      </w:pPr>
      <w:r w:rsidRPr="003E0E8B">
        <w:rPr>
          <w:noProof/>
          <w:sz w:val="24"/>
        </w:rPr>
        <w:t xml:space="preserve">The current PLD applies to a vast range of products from raw materials to cancer medicines. It also applies to AI-enabled products, like robots, but the PLD is not well adapted to dealing with them. The revised PLD will adapt the rules for such products and ensure people injured by defective software, including AI software, can get compensation from software producers. The AI liability initiative also covers AI-enabled products and AI software, so the product scope of two </w:t>
      </w:r>
      <w:r w:rsidR="0095194C">
        <w:rPr>
          <w:noProof/>
          <w:sz w:val="24"/>
        </w:rPr>
        <w:t>impact assessments</w:t>
      </w:r>
      <w:r w:rsidRPr="003E0E8B">
        <w:rPr>
          <w:noProof/>
          <w:sz w:val="24"/>
        </w:rPr>
        <w:t xml:space="preserve"> overlap. However, </w:t>
      </w:r>
      <w:r w:rsidRPr="00841D73">
        <w:rPr>
          <w:b/>
          <w:noProof/>
          <w:sz w:val="24"/>
        </w:rPr>
        <w:t>the two initiatives apply in different legal situations</w:t>
      </w:r>
      <w:r w:rsidR="00372A08">
        <w:rPr>
          <w:b/>
          <w:noProof/>
          <w:sz w:val="24"/>
        </w:rPr>
        <w:t>:</w:t>
      </w:r>
      <w:r w:rsidRPr="00841D73">
        <w:rPr>
          <w:b/>
          <w:noProof/>
        </w:rPr>
        <w:t xml:space="preserve"> </w:t>
      </w:r>
      <w:r w:rsidR="009B722E" w:rsidRPr="00841D73">
        <w:rPr>
          <w:b/>
          <w:noProof/>
          <w:sz w:val="24"/>
        </w:rPr>
        <w:t>The PLD, which is the EU’s harmonised no-fault liability regime, exists in parallel to Member States’ fault-based liability regimes.</w:t>
      </w:r>
      <w:r w:rsidR="009B722E" w:rsidRPr="00DF3728">
        <w:rPr>
          <w:noProof/>
          <w:sz w:val="24"/>
        </w:rPr>
        <w:t xml:space="preserve"> </w:t>
      </w:r>
      <w:r w:rsidR="009B722E">
        <w:rPr>
          <w:noProof/>
          <w:sz w:val="24"/>
        </w:rPr>
        <w:t xml:space="preserve">The </w:t>
      </w:r>
      <w:r w:rsidR="009B722E" w:rsidRPr="00DF3728">
        <w:rPr>
          <w:noProof/>
          <w:sz w:val="24"/>
        </w:rPr>
        <w:t xml:space="preserve">AI liability </w:t>
      </w:r>
      <w:r w:rsidR="009B722E">
        <w:rPr>
          <w:noProof/>
          <w:sz w:val="24"/>
        </w:rPr>
        <w:t xml:space="preserve">initiative </w:t>
      </w:r>
      <w:r w:rsidR="009B722E" w:rsidRPr="00DF3728">
        <w:rPr>
          <w:noProof/>
          <w:sz w:val="24"/>
        </w:rPr>
        <w:t xml:space="preserve">creates no new route to compensation, it only facilitates </w:t>
      </w:r>
      <w:r w:rsidR="009B722E">
        <w:rPr>
          <w:noProof/>
          <w:sz w:val="24"/>
        </w:rPr>
        <w:t>the</w:t>
      </w:r>
      <w:r w:rsidR="009B722E" w:rsidRPr="00DF3728">
        <w:rPr>
          <w:noProof/>
          <w:sz w:val="24"/>
        </w:rPr>
        <w:t xml:space="preserve"> existing </w:t>
      </w:r>
      <w:r w:rsidR="00996E33">
        <w:rPr>
          <w:noProof/>
          <w:sz w:val="24"/>
        </w:rPr>
        <w:t>national</w:t>
      </w:r>
      <w:r w:rsidR="009B722E">
        <w:rPr>
          <w:noProof/>
          <w:sz w:val="24"/>
        </w:rPr>
        <w:t xml:space="preserve"> </w:t>
      </w:r>
      <w:r w:rsidR="009B722E" w:rsidRPr="0095194C">
        <w:rPr>
          <w:noProof/>
          <w:sz w:val="24"/>
          <w:szCs w:val="24"/>
        </w:rPr>
        <w:t xml:space="preserve">route based on fault, and hence does not introduce any overlap with claims under the PLD. </w:t>
      </w:r>
    </w:p>
    <w:p w14:paraId="12F374F7" w14:textId="4FCCDDEB" w:rsidR="00635600" w:rsidRPr="00501CD2" w:rsidRDefault="00F7636C" w:rsidP="00090AC9">
      <w:pPr>
        <w:spacing w:before="240" w:after="240" w:line="240" w:lineRule="auto"/>
        <w:jc w:val="both"/>
        <w:rPr>
          <w:noProof/>
          <w:sz w:val="24"/>
          <w:lang w:val="en-IE"/>
        </w:rPr>
      </w:pPr>
      <w:r w:rsidRPr="00501CD2">
        <w:rPr>
          <w:noProof/>
          <w:sz w:val="24"/>
          <w:lang w:val="en-IE"/>
        </w:rPr>
        <w:t>T</w:t>
      </w:r>
      <w:r w:rsidR="008A2EE6" w:rsidRPr="00501CD2">
        <w:rPr>
          <w:noProof/>
          <w:sz w:val="24"/>
          <w:lang w:val="en-IE"/>
        </w:rPr>
        <w:t>he two impact assessments</w:t>
      </w:r>
      <w:r w:rsidRPr="00501CD2">
        <w:rPr>
          <w:noProof/>
          <w:sz w:val="24"/>
          <w:lang w:val="en-IE"/>
        </w:rPr>
        <w:t xml:space="preserve"> address measures</w:t>
      </w:r>
      <w:r w:rsidR="00635600" w:rsidRPr="00501CD2">
        <w:rPr>
          <w:noProof/>
          <w:sz w:val="24"/>
          <w:lang w:val="en-IE"/>
        </w:rPr>
        <w:t xml:space="preserve"> to ensure legal certainty and effectiveness of all routes to compensation: both under the PLD and under national liability rules.</w:t>
      </w:r>
      <w:r w:rsidR="008A2EE6" w:rsidRPr="00501CD2">
        <w:rPr>
          <w:noProof/>
          <w:sz w:val="24"/>
          <w:lang w:val="en-IE"/>
        </w:rPr>
        <w:t xml:space="preserve"> Cross-references are made throughout the impact assessments where necessary to explain the interplay.</w:t>
      </w:r>
      <w:r w:rsidR="00635600" w:rsidRPr="00501CD2">
        <w:rPr>
          <w:noProof/>
          <w:sz w:val="24"/>
          <w:lang w:val="en-IE"/>
        </w:rPr>
        <w:t xml:space="preserve"> </w:t>
      </w:r>
    </w:p>
    <w:p w14:paraId="76372F72" w14:textId="476D8B54" w:rsidR="006B087E" w:rsidRDefault="002E7937" w:rsidP="002E7937">
      <w:pPr>
        <w:pStyle w:val="Heading1"/>
        <w:rPr>
          <w:noProof/>
        </w:rPr>
      </w:pPr>
      <w:bookmarkStart w:id="123" w:name="_Toc93401429"/>
      <w:bookmarkStart w:id="124" w:name="_Toc94005524"/>
      <w:bookmarkStart w:id="125" w:name="_Toc95379851"/>
      <w:bookmarkStart w:id="126" w:name="_Toc95391343"/>
      <w:bookmarkStart w:id="127" w:name="_Toc95396412"/>
      <w:bookmarkStart w:id="128" w:name="_Toc95421510"/>
      <w:bookmarkStart w:id="129" w:name="_Toc95481959"/>
      <w:bookmarkStart w:id="130" w:name="_Toc96337752"/>
      <w:bookmarkStart w:id="131" w:name="_Toc96446231"/>
      <w:bookmarkStart w:id="132" w:name="_Toc96448004"/>
      <w:bookmarkStart w:id="133" w:name="_Toc96593953"/>
      <w:bookmarkStart w:id="134" w:name="_Toc96597244"/>
      <w:bookmarkStart w:id="135" w:name="_Toc96609179"/>
      <w:bookmarkStart w:id="136" w:name="_Toc97149208"/>
      <w:bookmarkStart w:id="137" w:name="_Toc97191254"/>
      <w:bookmarkStart w:id="138" w:name="_Toc107430064"/>
      <w:r w:rsidRPr="002E7937">
        <w:t>2.</w:t>
      </w:r>
      <w:r w:rsidRPr="002E7937">
        <w:tab/>
      </w:r>
      <w:r w:rsidR="006B087E">
        <w:rPr>
          <w:noProof/>
        </w:rPr>
        <w:t>Problem definition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E240FAA" w14:textId="5F7C87AB" w:rsidR="006B087E" w:rsidRDefault="002E7937" w:rsidP="002E7937">
      <w:pPr>
        <w:pStyle w:val="Heading2"/>
        <w:rPr>
          <w:noProof/>
        </w:rPr>
      </w:pPr>
      <w:bookmarkStart w:id="139" w:name="_Toc93401430"/>
      <w:bookmarkStart w:id="140" w:name="_Toc94005525"/>
      <w:bookmarkStart w:id="141" w:name="_Toc95379852"/>
      <w:bookmarkStart w:id="142" w:name="_Toc95391344"/>
      <w:bookmarkStart w:id="143" w:name="_Toc95396413"/>
      <w:bookmarkStart w:id="144" w:name="_Toc95421511"/>
      <w:bookmarkStart w:id="145" w:name="_Toc95481960"/>
      <w:bookmarkStart w:id="146" w:name="_Toc96337753"/>
      <w:bookmarkStart w:id="147" w:name="_Toc96446232"/>
      <w:bookmarkStart w:id="148" w:name="_Toc96448005"/>
      <w:bookmarkStart w:id="149" w:name="_Toc96593954"/>
      <w:bookmarkStart w:id="150" w:name="_Toc96597245"/>
      <w:bookmarkStart w:id="151" w:name="_Toc96609180"/>
      <w:bookmarkStart w:id="152" w:name="_Toc97149209"/>
      <w:bookmarkStart w:id="153" w:name="_Toc97191255"/>
      <w:bookmarkStart w:id="154" w:name="_Toc107430065"/>
      <w:r w:rsidRPr="002E7937">
        <w:t>2.1.</w:t>
      </w:r>
      <w:r w:rsidRPr="002E7937">
        <w:tab/>
      </w:r>
      <w:r w:rsidR="006B087E">
        <w:rPr>
          <w:noProof/>
        </w:rPr>
        <w:t>What are the problems?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C037C6B" w14:textId="4D40E04B" w:rsidR="002E6999" w:rsidRDefault="00091454" w:rsidP="00463F13">
      <w:pPr>
        <w:spacing w:after="240" w:line="240" w:lineRule="auto"/>
        <w:jc w:val="both"/>
        <w:rPr>
          <w:noProof/>
          <w:sz w:val="24"/>
          <w:szCs w:val="24"/>
        </w:rPr>
      </w:pPr>
      <w:r w:rsidRPr="002A5804">
        <w:rPr>
          <w:noProof/>
          <w:sz w:val="24"/>
          <w:szCs w:val="24"/>
        </w:rPr>
        <w:t>The evaluation of the PLD found that</w:t>
      </w:r>
      <w:r w:rsidR="00123DE0" w:rsidRPr="00841EC5">
        <w:rPr>
          <w:noProof/>
          <w:sz w:val="24"/>
          <w:szCs w:val="24"/>
        </w:rPr>
        <w:t>,</w:t>
      </w:r>
      <w:r w:rsidRPr="00841EC5">
        <w:rPr>
          <w:noProof/>
          <w:sz w:val="24"/>
          <w:szCs w:val="24"/>
        </w:rPr>
        <w:t xml:space="preserve"> while the Directive was on the whole effective, its effectiveness was hampered by outdated concepts that are unclear when applied to the modern economy and </w:t>
      </w:r>
      <w:r w:rsidR="00410961" w:rsidRPr="00841EC5">
        <w:rPr>
          <w:noProof/>
          <w:sz w:val="24"/>
          <w:szCs w:val="24"/>
        </w:rPr>
        <w:t>by an unfair balance of interests between producers and consumers in some respects</w:t>
      </w:r>
      <w:r w:rsidRPr="00841EC5">
        <w:rPr>
          <w:noProof/>
          <w:sz w:val="24"/>
          <w:szCs w:val="24"/>
        </w:rPr>
        <w:t>.</w:t>
      </w:r>
    </w:p>
    <w:p w14:paraId="20476F28" w14:textId="719B8080" w:rsidR="00CD3874" w:rsidRPr="00841EC5" w:rsidRDefault="002E6999" w:rsidP="00463F13">
      <w:pPr>
        <w:spacing w:after="240" w:line="240" w:lineRule="auto"/>
        <w:jc w:val="both"/>
        <w:rPr>
          <w:noProof/>
          <w:sz w:val="24"/>
          <w:szCs w:val="24"/>
        </w:rPr>
      </w:pPr>
      <w:r w:rsidRPr="00841EC5">
        <w:rPr>
          <w:noProof/>
          <w:sz w:val="24"/>
          <w:szCs w:val="24"/>
        </w:rPr>
        <w:t xml:space="preserve">The </w:t>
      </w:r>
      <w:r w:rsidR="001D13A9" w:rsidRPr="00841EC5">
        <w:rPr>
          <w:noProof/>
          <w:sz w:val="24"/>
          <w:szCs w:val="24"/>
        </w:rPr>
        <w:t>PLD</w:t>
      </w:r>
      <w:r w:rsidRPr="00841EC5">
        <w:rPr>
          <w:noProof/>
          <w:sz w:val="24"/>
          <w:szCs w:val="24"/>
        </w:rPr>
        <w:t xml:space="preserve"> </w:t>
      </w:r>
      <w:r w:rsidR="003836BC" w:rsidRPr="00841EC5">
        <w:rPr>
          <w:noProof/>
          <w:sz w:val="24"/>
          <w:szCs w:val="24"/>
        </w:rPr>
        <w:t>reinforces the EU’s product safety rules by providing</w:t>
      </w:r>
      <w:r w:rsidR="00F320E2" w:rsidRPr="00841EC5">
        <w:rPr>
          <w:noProof/>
          <w:sz w:val="24"/>
          <w:szCs w:val="24"/>
        </w:rPr>
        <w:t xml:space="preserve"> </w:t>
      </w:r>
      <w:r w:rsidR="003836BC" w:rsidRPr="00841EC5">
        <w:rPr>
          <w:noProof/>
          <w:sz w:val="24"/>
          <w:szCs w:val="24"/>
        </w:rPr>
        <w:t xml:space="preserve">an </w:t>
      </w:r>
      <w:r w:rsidR="00F320E2" w:rsidRPr="00841EC5">
        <w:rPr>
          <w:noProof/>
          <w:sz w:val="24"/>
          <w:szCs w:val="24"/>
        </w:rPr>
        <w:t xml:space="preserve">additional incentive for producers to </w:t>
      </w:r>
      <w:r w:rsidR="003836BC" w:rsidRPr="00841EC5">
        <w:rPr>
          <w:noProof/>
          <w:sz w:val="24"/>
          <w:szCs w:val="24"/>
        </w:rPr>
        <w:t xml:space="preserve">place only </w:t>
      </w:r>
      <w:r w:rsidR="00F320E2" w:rsidRPr="00841EC5">
        <w:rPr>
          <w:noProof/>
          <w:sz w:val="24"/>
          <w:szCs w:val="24"/>
        </w:rPr>
        <w:t xml:space="preserve">safe </w:t>
      </w:r>
      <w:r w:rsidR="003836BC" w:rsidRPr="00841EC5">
        <w:rPr>
          <w:noProof/>
          <w:sz w:val="24"/>
          <w:szCs w:val="24"/>
        </w:rPr>
        <w:t>products on the market</w:t>
      </w:r>
      <w:r w:rsidR="004531BB">
        <w:rPr>
          <w:noProof/>
          <w:sz w:val="24"/>
          <w:szCs w:val="24"/>
        </w:rPr>
        <w:t xml:space="preserve"> </w:t>
      </w:r>
      <w:r w:rsidR="00A0217F">
        <w:rPr>
          <w:noProof/>
          <w:sz w:val="24"/>
          <w:szCs w:val="24"/>
        </w:rPr>
        <w:t xml:space="preserve">in order to avoid liability </w:t>
      </w:r>
      <w:r w:rsidR="004531BB">
        <w:rPr>
          <w:noProof/>
          <w:sz w:val="24"/>
          <w:szCs w:val="24"/>
        </w:rPr>
        <w:t>(</w:t>
      </w:r>
      <w:r w:rsidR="001251EC">
        <w:rPr>
          <w:noProof/>
          <w:sz w:val="24"/>
          <w:szCs w:val="24"/>
        </w:rPr>
        <w:t>product liability law’s</w:t>
      </w:r>
      <w:r w:rsidR="004531BB">
        <w:rPr>
          <w:noProof/>
          <w:sz w:val="24"/>
          <w:szCs w:val="24"/>
        </w:rPr>
        <w:t xml:space="preserve"> “deterrent effect</w:t>
      </w:r>
      <w:r w:rsidR="00A0217F">
        <w:rPr>
          <w:noProof/>
          <w:sz w:val="24"/>
          <w:szCs w:val="24"/>
        </w:rPr>
        <w:t>”</w:t>
      </w:r>
      <w:r w:rsidR="001251EC">
        <w:rPr>
          <w:rStyle w:val="FootnoteReference"/>
          <w:noProof/>
          <w:sz w:val="24"/>
          <w:szCs w:val="24"/>
        </w:rPr>
        <w:footnoteReference w:id="35"/>
      </w:r>
      <w:r w:rsidR="004531BB">
        <w:rPr>
          <w:noProof/>
          <w:sz w:val="24"/>
          <w:szCs w:val="24"/>
        </w:rPr>
        <w:t>)</w:t>
      </w:r>
      <w:r w:rsidR="003836BC" w:rsidRPr="00841EC5">
        <w:rPr>
          <w:noProof/>
          <w:sz w:val="24"/>
          <w:szCs w:val="24"/>
        </w:rPr>
        <w:t xml:space="preserve">. If, despite all the precautionary safety rules, a product is not safe and causes damage, the </w:t>
      </w:r>
      <w:r w:rsidR="001D13A9" w:rsidRPr="00841EC5">
        <w:rPr>
          <w:noProof/>
          <w:sz w:val="24"/>
          <w:szCs w:val="24"/>
        </w:rPr>
        <w:t>PL</w:t>
      </w:r>
      <w:r w:rsidR="003836BC" w:rsidRPr="00841EC5">
        <w:rPr>
          <w:noProof/>
          <w:sz w:val="24"/>
          <w:szCs w:val="24"/>
        </w:rPr>
        <w:t>D</w:t>
      </w:r>
      <w:r w:rsidR="00F320E2" w:rsidRPr="00841EC5">
        <w:rPr>
          <w:noProof/>
          <w:sz w:val="24"/>
          <w:szCs w:val="24"/>
        </w:rPr>
        <w:t xml:space="preserve"> help</w:t>
      </w:r>
      <w:r w:rsidR="003836BC" w:rsidRPr="00841EC5">
        <w:rPr>
          <w:noProof/>
          <w:sz w:val="24"/>
          <w:szCs w:val="24"/>
        </w:rPr>
        <w:t>s</w:t>
      </w:r>
      <w:r w:rsidR="00F320E2" w:rsidRPr="00841EC5">
        <w:rPr>
          <w:noProof/>
          <w:sz w:val="24"/>
          <w:szCs w:val="24"/>
        </w:rPr>
        <w:t xml:space="preserve"> injured parties to </w:t>
      </w:r>
      <w:r w:rsidR="003836BC" w:rsidRPr="00841EC5">
        <w:rPr>
          <w:noProof/>
          <w:sz w:val="24"/>
          <w:szCs w:val="24"/>
        </w:rPr>
        <w:t xml:space="preserve">get </w:t>
      </w:r>
      <w:r w:rsidR="00F320E2" w:rsidRPr="00841EC5">
        <w:rPr>
          <w:noProof/>
          <w:sz w:val="24"/>
          <w:szCs w:val="24"/>
        </w:rPr>
        <w:t xml:space="preserve">compensation. </w:t>
      </w:r>
    </w:p>
    <w:p w14:paraId="3A88E9EF" w14:textId="3330627C" w:rsidR="000F29FC" w:rsidRDefault="00CD3874" w:rsidP="436CF467">
      <w:pPr>
        <w:pStyle w:val="BodyText"/>
        <w:spacing w:after="240"/>
        <w:rPr>
          <w:noProof/>
          <w:color w:val="000000" w:themeColor="text1"/>
          <w:sz w:val="24"/>
          <w:szCs w:val="24"/>
        </w:rPr>
      </w:pPr>
      <w:r w:rsidRPr="00841EC5">
        <w:rPr>
          <w:noProof/>
          <w:color w:val="000000" w:themeColor="text1"/>
          <w:sz w:val="24"/>
          <w:szCs w:val="24"/>
        </w:rPr>
        <w:t xml:space="preserve">The PLD has a wide scope, potentially affecting the entire manufacturing sector as defined in the NACE classification. However, </w:t>
      </w:r>
      <w:r w:rsidRPr="00841EC5">
        <w:rPr>
          <w:noProof/>
          <w:sz w:val="24"/>
          <w:szCs w:val="24"/>
        </w:rPr>
        <w:t xml:space="preserve">according to the </w:t>
      </w:r>
      <w:r w:rsidR="00F22AD1" w:rsidRPr="00841EC5">
        <w:rPr>
          <w:noProof/>
          <w:sz w:val="24"/>
          <w:szCs w:val="24"/>
        </w:rPr>
        <w:t>2018</w:t>
      </w:r>
      <w:r w:rsidRPr="00841EC5">
        <w:rPr>
          <w:noProof/>
          <w:sz w:val="24"/>
          <w:szCs w:val="24"/>
        </w:rPr>
        <w:t xml:space="preserve"> evaluation</w:t>
      </w:r>
      <w:r w:rsidR="00F22AD1" w:rsidRPr="00841EC5">
        <w:rPr>
          <w:noProof/>
          <w:sz w:val="24"/>
          <w:szCs w:val="24"/>
        </w:rPr>
        <w:t xml:space="preserve"> study</w:t>
      </w:r>
      <w:r w:rsidRPr="00841EC5">
        <w:rPr>
          <w:noProof/>
          <w:sz w:val="24"/>
          <w:szCs w:val="24"/>
        </w:rPr>
        <w:t>, in the reporting period (2000-2016)</w:t>
      </w:r>
      <w:r w:rsidRPr="002A5804">
        <w:rPr>
          <w:noProof/>
          <w:sz w:val="24"/>
          <w:szCs w:val="24"/>
        </w:rPr>
        <w:t xml:space="preserve">, there were </w:t>
      </w:r>
      <w:r w:rsidR="00051AA9">
        <w:rPr>
          <w:noProof/>
          <w:sz w:val="24"/>
          <w:szCs w:val="24"/>
        </w:rPr>
        <w:t xml:space="preserve">only </w:t>
      </w:r>
      <w:r w:rsidRPr="002A5804">
        <w:rPr>
          <w:noProof/>
          <w:sz w:val="24"/>
          <w:szCs w:val="24"/>
        </w:rPr>
        <w:t xml:space="preserve">798 court cases based on </w:t>
      </w:r>
      <w:r w:rsidR="009871C1">
        <w:rPr>
          <w:noProof/>
          <w:sz w:val="24"/>
          <w:szCs w:val="24"/>
        </w:rPr>
        <w:t>product liability rules</w:t>
      </w:r>
      <w:r w:rsidR="00A0217F">
        <w:rPr>
          <w:noProof/>
          <w:sz w:val="24"/>
          <w:szCs w:val="24"/>
        </w:rPr>
        <w:t xml:space="preserve"> in EU27</w:t>
      </w:r>
      <w:r w:rsidR="001D0DD2" w:rsidRPr="00841EC5">
        <w:rPr>
          <w:noProof/>
          <w:sz w:val="24"/>
          <w:szCs w:val="24"/>
        </w:rPr>
        <w:t xml:space="preserve">, with </w:t>
      </w:r>
      <w:r w:rsidR="004D31F1">
        <w:rPr>
          <w:noProof/>
          <w:sz w:val="24"/>
          <w:szCs w:val="24"/>
        </w:rPr>
        <w:t>50-</w:t>
      </w:r>
      <w:r w:rsidR="001D0DD2" w:rsidRPr="00841EC5">
        <w:rPr>
          <w:noProof/>
          <w:sz w:val="24"/>
          <w:szCs w:val="24"/>
        </w:rPr>
        <w:t>60 cases per year</w:t>
      </w:r>
      <w:r w:rsidR="00F63CAE" w:rsidRPr="00841EC5">
        <w:rPr>
          <w:rFonts w:eastAsia="Calibri"/>
          <w:noProof/>
          <w:sz w:val="24"/>
          <w:szCs w:val="24"/>
        </w:rPr>
        <w:t>.</w:t>
      </w:r>
      <w:r w:rsidR="004908EC">
        <w:rPr>
          <w:rFonts w:eastAsia="Calibri"/>
          <w:noProof/>
          <w:sz w:val="24"/>
          <w:szCs w:val="24"/>
        </w:rPr>
        <w:t xml:space="preserve"> </w:t>
      </w:r>
      <w:r w:rsidR="004908EC" w:rsidRPr="004908EC">
        <w:rPr>
          <w:rFonts w:eastAsia="Calibri"/>
          <w:noProof/>
          <w:sz w:val="24"/>
          <w:szCs w:val="24"/>
        </w:rPr>
        <w:t>Around 60% (476 out of 798) of claims for defective products were successful for injured parties from 2000 to 2016</w:t>
      </w:r>
      <w:r w:rsidR="00610695">
        <w:rPr>
          <w:rStyle w:val="FootnoteReference"/>
          <w:rFonts w:eastAsia="Calibri"/>
          <w:noProof/>
          <w:sz w:val="24"/>
          <w:szCs w:val="24"/>
        </w:rPr>
        <w:footnoteReference w:id="36"/>
      </w:r>
      <w:r w:rsidR="004908EC" w:rsidRPr="004908EC">
        <w:rPr>
          <w:rFonts w:eastAsia="Calibri"/>
          <w:noProof/>
          <w:sz w:val="24"/>
          <w:szCs w:val="24"/>
        </w:rPr>
        <w:t xml:space="preserve">. The other cases were decided in favour of producers. </w:t>
      </w:r>
      <w:r w:rsidR="000F29FC" w:rsidRPr="000F29FC">
        <w:rPr>
          <w:rFonts w:eastAsia="Calibri"/>
          <w:noProof/>
          <w:sz w:val="24"/>
          <w:szCs w:val="24"/>
        </w:rPr>
        <w:t xml:space="preserve">The </w:t>
      </w:r>
      <w:r w:rsidR="000F29FC">
        <w:rPr>
          <w:rFonts w:eastAsia="Calibri"/>
          <w:noProof/>
          <w:sz w:val="24"/>
          <w:szCs w:val="24"/>
        </w:rPr>
        <w:t xml:space="preserve">evaluation </w:t>
      </w:r>
      <w:r w:rsidR="000F29FC" w:rsidRPr="000F29FC">
        <w:rPr>
          <w:rFonts w:eastAsia="Calibri"/>
          <w:noProof/>
          <w:sz w:val="24"/>
          <w:szCs w:val="24"/>
        </w:rPr>
        <w:t xml:space="preserve">study acknowledged that </w:t>
      </w:r>
      <w:r w:rsidR="00F74925">
        <w:rPr>
          <w:rFonts w:eastAsia="Calibri"/>
          <w:noProof/>
          <w:sz w:val="24"/>
          <w:szCs w:val="24"/>
        </w:rPr>
        <w:t xml:space="preserve">this was </w:t>
      </w:r>
      <w:r w:rsidR="000F29FC" w:rsidRPr="000F29FC">
        <w:rPr>
          <w:rFonts w:eastAsia="Calibri"/>
          <w:noProof/>
          <w:sz w:val="24"/>
          <w:szCs w:val="24"/>
        </w:rPr>
        <w:t xml:space="preserve">likely </w:t>
      </w:r>
      <w:r w:rsidR="00F74925">
        <w:rPr>
          <w:rFonts w:eastAsia="Calibri"/>
          <w:noProof/>
          <w:sz w:val="24"/>
          <w:szCs w:val="24"/>
        </w:rPr>
        <w:t>an underestimate</w:t>
      </w:r>
      <w:r w:rsidR="000F29FC" w:rsidRPr="002A5804">
        <w:rPr>
          <w:rStyle w:val="FootnoteReference"/>
          <w:noProof/>
          <w:sz w:val="24"/>
          <w:szCs w:val="24"/>
        </w:rPr>
        <w:footnoteReference w:id="37"/>
      </w:r>
      <w:r w:rsidR="000F29FC" w:rsidRPr="000F29FC">
        <w:rPr>
          <w:rFonts w:eastAsia="Calibri"/>
          <w:noProof/>
          <w:sz w:val="24"/>
          <w:szCs w:val="24"/>
        </w:rPr>
        <w:t>.</w:t>
      </w:r>
      <w:r w:rsidR="000F29FC">
        <w:rPr>
          <w:rFonts w:eastAsia="Calibri"/>
          <w:noProof/>
          <w:sz w:val="24"/>
          <w:szCs w:val="24"/>
        </w:rPr>
        <w:t xml:space="preserve"> This is due to the difficulty </w:t>
      </w:r>
      <w:r w:rsidR="00A0217F">
        <w:rPr>
          <w:rFonts w:eastAsia="Calibri"/>
          <w:noProof/>
          <w:sz w:val="24"/>
          <w:szCs w:val="24"/>
        </w:rPr>
        <w:t>of obtaining</w:t>
      </w:r>
      <w:r w:rsidR="000F29FC" w:rsidRPr="000F29FC">
        <w:rPr>
          <w:rFonts w:eastAsia="Calibri"/>
          <w:noProof/>
          <w:sz w:val="24"/>
          <w:szCs w:val="24"/>
        </w:rPr>
        <w:t xml:space="preserve"> comprehensive data on the use of the </w:t>
      </w:r>
      <w:r w:rsidR="00A0217F">
        <w:rPr>
          <w:rFonts w:eastAsia="Calibri"/>
          <w:noProof/>
          <w:sz w:val="24"/>
          <w:szCs w:val="24"/>
        </w:rPr>
        <w:t>PLD: out-of-court settlements are often on confidential terms, arbitration or mediation cases and many lower-court cases</w:t>
      </w:r>
      <w:r w:rsidR="000F29FC" w:rsidRPr="000F29FC">
        <w:rPr>
          <w:rFonts w:eastAsia="Calibri"/>
          <w:noProof/>
          <w:sz w:val="24"/>
          <w:szCs w:val="24"/>
        </w:rPr>
        <w:t xml:space="preserve"> </w:t>
      </w:r>
      <w:r w:rsidR="00A0217F">
        <w:rPr>
          <w:rFonts w:eastAsia="Calibri"/>
          <w:noProof/>
          <w:sz w:val="24"/>
          <w:szCs w:val="24"/>
        </w:rPr>
        <w:t>are</w:t>
      </w:r>
      <w:r w:rsidR="00F74925">
        <w:rPr>
          <w:rFonts w:eastAsia="Calibri"/>
          <w:noProof/>
          <w:sz w:val="24"/>
          <w:szCs w:val="24"/>
        </w:rPr>
        <w:t xml:space="preserve"> often</w:t>
      </w:r>
      <w:r w:rsidR="00A0217F">
        <w:rPr>
          <w:rFonts w:eastAsia="Calibri"/>
          <w:noProof/>
          <w:sz w:val="24"/>
          <w:szCs w:val="24"/>
        </w:rPr>
        <w:t xml:space="preserve"> not published at all, and there is </w:t>
      </w:r>
      <w:r w:rsidR="00F74925">
        <w:rPr>
          <w:rFonts w:eastAsia="Calibri"/>
          <w:noProof/>
          <w:sz w:val="24"/>
          <w:szCs w:val="24"/>
        </w:rPr>
        <w:t xml:space="preserve">no </w:t>
      </w:r>
      <w:r w:rsidR="000F29FC" w:rsidRPr="000F29FC">
        <w:rPr>
          <w:rFonts w:eastAsia="Calibri"/>
          <w:noProof/>
          <w:sz w:val="24"/>
          <w:szCs w:val="24"/>
        </w:rPr>
        <w:t>monitoring at national level</w:t>
      </w:r>
      <w:r w:rsidR="000F29FC">
        <w:rPr>
          <w:rFonts w:eastAsia="Calibri"/>
          <w:noProof/>
          <w:sz w:val="24"/>
          <w:szCs w:val="24"/>
        </w:rPr>
        <w:t xml:space="preserve">. </w:t>
      </w:r>
      <w:r w:rsidR="00A0217F">
        <w:rPr>
          <w:rFonts w:eastAsia="Calibri"/>
          <w:noProof/>
          <w:sz w:val="24"/>
          <w:szCs w:val="24"/>
        </w:rPr>
        <w:t>This</w:t>
      </w:r>
      <w:r w:rsidR="000F29FC">
        <w:rPr>
          <w:rFonts w:eastAsia="Calibri"/>
          <w:noProof/>
          <w:sz w:val="24"/>
          <w:szCs w:val="24"/>
        </w:rPr>
        <w:t xml:space="preserve"> impact assessment and the accompanying study confirmed the </w:t>
      </w:r>
      <w:r w:rsidR="000F29FC" w:rsidRPr="436CF467">
        <w:rPr>
          <w:noProof/>
          <w:color w:val="000000" w:themeColor="text1"/>
          <w:sz w:val="24"/>
          <w:szCs w:val="24"/>
          <w:lang w:eastAsia="da-DK"/>
        </w:rPr>
        <w:t xml:space="preserve">lack of data on the number of </w:t>
      </w:r>
      <w:r w:rsidR="00A0217F" w:rsidRPr="436CF467">
        <w:rPr>
          <w:noProof/>
          <w:color w:val="000000" w:themeColor="text1"/>
          <w:sz w:val="24"/>
          <w:szCs w:val="24"/>
          <w:lang w:eastAsia="da-DK"/>
        </w:rPr>
        <w:t>cases of harm</w:t>
      </w:r>
      <w:r w:rsidR="000F29FC" w:rsidRPr="436CF467">
        <w:rPr>
          <w:noProof/>
          <w:color w:val="000000" w:themeColor="text1"/>
          <w:sz w:val="24"/>
          <w:szCs w:val="24"/>
          <w:lang w:eastAsia="da-DK"/>
        </w:rPr>
        <w:t xml:space="preserve"> caused by </w:t>
      </w:r>
      <w:r w:rsidR="000F29FC" w:rsidRPr="436CF467">
        <w:rPr>
          <w:noProof/>
          <w:color w:val="000000" w:themeColor="text1"/>
          <w:sz w:val="24"/>
          <w:szCs w:val="24"/>
        </w:rPr>
        <w:t xml:space="preserve">defective products as well as the </w:t>
      </w:r>
      <w:r w:rsidR="000E760A">
        <w:rPr>
          <w:noProof/>
          <w:color w:val="000000" w:themeColor="text1"/>
          <w:sz w:val="24"/>
          <w:szCs w:val="24"/>
        </w:rPr>
        <w:t>lack</w:t>
      </w:r>
      <w:r w:rsidR="000E760A" w:rsidRPr="436CF467">
        <w:rPr>
          <w:noProof/>
          <w:color w:val="000000" w:themeColor="text1"/>
          <w:sz w:val="24"/>
          <w:szCs w:val="24"/>
        </w:rPr>
        <w:t xml:space="preserve"> </w:t>
      </w:r>
      <w:r w:rsidR="000F29FC" w:rsidRPr="436CF467">
        <w:rPr>
          <w:noProof/>
          <w:color w:val="000000" w:themeColor="text1"/>
          <w:sz w:val="24"/>
          <w:szCs w:val="24"/>
        </w:rPr>
        <w:t xml:space="preserve">of a </w:t>
      </w:r>
      <w:r w:rsidR="000F29FC" w:rsidRPr="436CF467">
        <w:rPr>
          <w:noProof/>
          <w:color w:val="000000" w:themeColor="text1"/>
          <w:sz w:val="24"/>
          <w:szCs w:val="24"/>
          <w:lang w:eastAsia="da-DK"/>
        </w:rPr>
        <w:t>common injury database with meaningful information</w:t>
      </w:r>
      <w:r w:rsidR="000F29FC" w:rsidRPr="436CF467">
        <w:rPr>
          <w:rStyle w:val="FootnoteReference"/>
          <w:noProof/>
          <w:color w:val="000000" w:themeColor="text1"/>
          <w:sz w:val="24"/>
          <w:szCs w:val="24"/>
          <w:lang w:eastAsia="da-DK"/>
        </w:rPr>
        <w:footnoteReference w:id="38"/>
      </w:r>
      <w:r w:rsidR="000F29FC" w:rsidRPr="436CF467">
        <w:rPr>
          <w:noProof/>
          <w:color w:val="000000" w:themeColor="text1"/>
          <w:sz w:val="24"/>
          <w:szCs w:val="24"/>
          <w:lang w:eastAsia="da-DK"/>
        </w:rPr>
        <w:t xml:space="preserve">. </w:t>
      </w:r>
      <w:r w:rsidR="005A61B8" w:rsidRPr="436CF467">
        <w:rPr>
          <w:noProof/>
          <w:color w:val="000000" w:themeColor="text1"/>
          <w:sz w:val="24"/>
          <w:szCs w:val="24"/>
          <w:lang w:eastAsia="da-DK"/>
        </w:rPr>
        <w:t>More information and estimates are provided in section 5.1 and in annex 4.</w:t>
      </w:r>
    </w:p>
    <w:p w14:paraId="56E1A504" w14:textId="25C913A0" w:rsidR="0021296D" w:rsidRPr="00841EC5" w:rsidRDefault="00824E55" w:rsidP="00463F13">
      <w:pPr>
        <w:spacing w:after="240" w:line="240" w:lineRule="auto"/>
        <w:jc w:val="both"/>
        <w:rPr>
          <w:rFonts w:cs="Times New Roman"/>
          <w:noProof/>
          <w:sz w:val="24"/>
          <w:szCs w:val="24"/>
        </w:rPr>
      </w:pPr>
      <w:r w:rsidRPr="00841EC5">
        <w:rPr>
          <w:rFonts w:eastAsia="Calibri"/>
          <w:noProof/>
          <w:sz w:val="24"/>
          <w:szCs w:val="24"/>
        </w:rPr>
        <w:t xml:space="preserve">The evaluation study found that 52% of cases relate to products in </w:t>
      </w:r>
      <w:r w:rsidR="0021296D">
        <w:rPr>
          <w:rFonts w:eastAsia="Calibri"/>
          <w:noProof/>
          <w:sz w:val="24"/>
          <w:szCs w:val="24"/>
        </w:rPr>
        <w:t xml:space="preserve">the </w:t>
      </w:r>
      <w:r w:rsidRPr="00841EC5">
        <w:rPr>
          <w:rFonts w:eastAsia="Calibri"/>
          <w:noProof/>
          <w:sz w:val="24"/>
          <w:szCs w:val="24"/>
        </w:rPr>
        <w:t>categories</w:t>
      </w:r>
      <w:r w:rsidR="0021296D">
        <w:rPr>
          <w:rFonts w:eastAsia="Calibri"/>
          <w:noProof/>
          <w:sz w:val="24"/>
          <w:szCs w:val="24"/>
        </w:rPr>
        <w:t xml:space="preserve"> of </w:t>
      </w:r>
      <w:r w:rsidRPr="00841EC5">
        <w:rPr>
          <w:rFonts w:eastAsia="Calibri"/>
          <w:noProof/>
          <w:sz w:val="24"/>
          <w:szCs w:val="24"/>
        </w:rPr>
        <w:t>raw materials, pharmaceutical products and vehicles</w:t>
      </w:r>
      <w:r w:rsidR="0021296D">
        <w:rPr>
          <w:rFonts w:eastAsia="Calibri"/>
          <w:noProof/>
          <w:sz w:val="24"/>
          <w:szCs w:val="24"/>
        </w:rPr>
        <w:t xml:space="preserve">. </w:t>
      </w:r>
      <w:r w:rsidR="0021296D" w:rsidRPr="001F72E2">
        <w:rPr>
          <w:rFonts w:cs="Times New Roman"/>
          <w:noProof/>
          <w:sz w:val="24"/>
          <w:szCs w:val="24"/>
        </w:rPr>
        <w:t>In general, the parties settle product liability-related claims through direct negotiation in 46% of cases, whereas 32% are resolved in court and 15% through mechanisms for alternative dispute resolution. Only a small share (7%) of claims under the Directive is decided through other means, such as settlements with the insurer of the responsible party</w:t>
      </w:r>
      <w:r w:rsidR="00B0664C">
        <w:rPr>
          <w:rStyle w:val="FootnoteReference"/>
          <w:noProof/>
          <w:sz w:val="24"/>
          <w:szCs w:val="24"/>
        </w:rPr>
        <w:footnoteReference w:id="39"/>
      </w:r>
      <w:r w:rsidR="003C51F9">
        <w:rPr>
          <w:rFonts w:cs="Times New Roman"/>
          <w:noProof/>
          <w:sz w:val="24"/>
          <w:szCs w:val="24"/>
        </w:rPr>
        <w:t>.</w:t>
      </w:r>
    </w:p>
    <w:p w14:paraId="7724CC53" w14:textId="3156A299" w:rsidR="00C5029F" w:rsidRDefault="00C5029F" w:rsidP="00463F13">
      <w:pPr>
        <w:spacing w:after="240" w:line="240" w:lineRule="auto"/>
        <w:jc w:val="both"/>
        <w:rPr>
          <w:noProof/>
          <w:sz w:val="24"/>
          <w:szCs w:val="24"/>
          <w:lang w:val="en-IE"/>
        </w:rPr>
      </w:pPr>
      <w:r w:rsidRPr="00C5029F">
        <w:rPr>
          <w:noProof/>
          <w:sz w:val="24"/>
          <w:szCs w:val="24"/>
          <w:lang w:val="en-IE"/>
        </w:rPr>
        <w:t>The 2018 evaluation found that</w:t>
      </w:r>
      <w:r w:rsidR="006E6D12">
        <w:rPr>
          <w:noProof/>
          <w:sz w:val="24"/>
          <w:szCs w:val="24"/>
          <w:lang w:val="en-IE"/>
        </w:rPr>
        <w:t>,</w:t>
      </w:r>
      <w:r w:rsidRPr="00C5029F">
        <w:rPr>
          <w:noProof/>
          <w:sz w:val="24"/>
          <w:szCs w:val="24"/>
          <w:lang w:val="en-IE"/>
        </w:rPr>
        <w:t xml:space="preserve"> in total, 79% of producers overall have product liability insurance</w:t>
      </w:r>
      <w:r w:rsidR="0021296D">
        <w:rPr>
          <w:rStyle w:val="FootnoteReference"/>
          <w:noProof/>
          <w:sz w:val="24"/>
          <w:szCs w:val="24"/>
          <w:lang w:val="en-IE"/>
        </w:rPr>
        <w:footnoteReference w:id="40"/>
      </w:r>
      <w:r w:rsidRPr="00C5029F">
        <w:rPr>
          <w:noProof/>
          <w:sz w:val="24"/>
          <w:szCs w:val="24"/>
          <w:lang w:val="en-IE"/>
        </w:rPr>
        <w:t>.</w:t>
      </w:r>
      <w:r w:rsidR="0021296D">
        <w:rPr>
          <w:noProof/>
          <w:sz w:val="24"/>
          <w:szCs w:val="24"/>
          <w:lang w:val="en-IE"/>
        </w:rPr>
        <w:t xml:space="preserve"> </w:t>
      </w:r>
      <w:r w:rsidR="00051AA9">
        <w:rPr>
          <w:noProof/>
          <w:sz w:val="24"/>
          <w:szCs w:val="24"/>
          <w:lang w:val="en-IE"/>
        </w:rPr>
        <w:t>This means that</w:t>
      </w:r>
      <w:r w:rsidR="0021296D">
        <w:rPr>
          <w:noProof/>
          <w:sz w:val="24"/>
          <w:szCs w:val="24"/>
          <w:lang w:val="en-IE"/>
        </w:rPr>
        <w:t xml:space="preserve"> if a producer is found liable for a defective product and ha</w:t>
      </w:r>
      <w:r w:rsidR="00223583">
        <w:rPr>
          <w:noProof/>
          <w:sz w:val="24"/>
          <w:szCs w:val="24"/>
          <w:lang w:val="en-IE"/>
        </w:rPr>
        <w:t>s</w:t>
      </w:r>
      <w:r w:rsidR="0021296D">
        <w:rPr>
          <w:noProof/>
          <w:sz w:val="24"/>
          <w:szCs w:val="24"/>
          <w:lang w:val="en-IE"/>
        </w:rPr>
        <w:t xml:space="preserve"> to compensate a victim, the compensation pay-out will be covered by </w:t>
      </w:r>
      <w:r w:rsidRPr="00C5029F">
        <w:rPr>
          <w:noProof/>
          <w:sz w:val="24"/>
          <w:szCs w:val="24"/>
          <w:lang w:val="en-IE"/>
        </w:rPr>
        <w:t>product liability insurance for c.a. 80% of all producers</w:t>
      </w:r>
      <w:r w:rsidR="0021296D">
        <w:rPr>
          <w:noProof/>
          <w:sz w:val="24"/>
          <w:szCs w:val="24"/>
          <w:lang w:val="en-IE"/>
        </w:rPr>
        <w:t>.</w:t>
      </w:r>
    </w:p>
    <w:p w14:paraId="1EC1EADA" w14:textId="5BC903CF" w:rsidR="00091454" w:rsidRPr="00F22AD1" w:rsidRDefault="00EE5B9B">
      <w:pPr>
        <w:spacing w:after="240" w:line="240" w:lineRule="auto"/>
        <w:jc w:val="both"/>
        <w:rPr>
          <w:noProof/>
          <w:sz w:val="24"/>
          <w:szCs w:val="24"/>
        </w:rPr>
      </w:pPr>
      <w:r w:rsidRPr="00F22AD1">
        <w:rPr>
          <w:noProof/>
          <w:sz w:val="24"/>
          <w:szCs w:val="24"/>
        </w:rPr>
        <w:t>Based on the evaluation findings, tw</w:t>
      </w:r>
      <w:r w:rsidR="00091454" w:rsidRPr="00F22AD1">
        <w:rPr>
          <w:noProof/>
          <w:sz w:val="24"/>
          <w:szCs w:val="24"/>
        </w:rPr>
        <w:t>o main problems have been identified</w:t>
      </w:r>
      <w:r w:rsidR="00A00D57" w:rsidRPr="00F22AD1">
        <w:rPr>
          <w:noProof/>
          <w:sz w:val="24"/>
          <w:szCs w:val="24"/>
        </w:rPr>
        <w:t>.</w:t>
      </w:r>
      <w:r w:rsidR="00091454" w:rsidRPr="00F22AD1">
        <w:rPr>
          <w:noProof/>
          <w:sz w:val="24"/>
          <w:szCs w:val="24"/>
        </w:rPr>
        <w:t xml:space="preserve"> </w:t>
      </w:r>
      <w:r w:rsidR="00257BDC" w:rsidRPr="00F22AD1">
        <w:rPr>
          <w:noProof/>
          <w:sz w:val="24"/>
          <w:szCs w:val="24"/>
        </w:rPr>
        <w:t>They are summarised in the below table with respective drivers and consequences of the problems.</w:t>
      </w:r>
    </w:p>
    <w:tbl>
      <w:tblPr>
        <w:tblStyle w:val="TableGrid"/>
        <w:tblW w:w="10916" w:type="dxa"/>
        <w:tblInd w:w="-743" w:type="dxa"/>
        <w:tblLook w:val="04A0" w:firstRow="1" w:lastRow="0" w:firstColumn="1" w:lastColumn="0" w:noHBand="0" w:noVBand="1"/>
      </w:tblPr>
      <w:tblGrid>
        <w:gridCol w:w="4395"/>
        <w:gridCol w:w="1701"/>
        <w:gridCol w:w="4820"/>
      </w:tblGrid>
      <w:tr w:rsidR="002E6999" w:rsidRPr="004D034C" w14:paraId="21CEC1EC" w14:textId="77777777" w:rsidTr="00C16901">
        <w:tc>
          <w:tcPr>
            <w:tcW w:w="4395" w:type="dxa"/>
            <w:shd w:val="clear" w:color="auto" w:fill="B8CCE4" w:themeFill="accent1" w:themeFillTint="66"/>
          </w:tcPr>
          <w:p w14:paraId="4BEF788C" w14:textId="1746280B" w:rsidR="002E6999" w:rsidRPr="004D034C" w:rsidRDefault="002E6999" w:rsidP="00C16901">
            <w:pPr>
              <w:rPr>
                <w:b/>
                <w:noProof/>
                <w:sz w:val="18"/>
                <w:szCs w:val="18"/>
              </w:rPr>
            </w:pPr>
            <w:r w:rsidRPr="004D034C">
              <w:rPr>
                <w:b/>
                <w:noProof/>
                <w:sz w:val="18"/>
                <w:szCs w:val="18"/>
              </w:rPr>
              <w:t>Drivers</w:t>
            </w:r>
            <w:r w:rsidR="009B2171">
              <w:rPr>
                <w:b/>
                <w:noProof/>
                <w:sz w:val="18"/>
                <w:szCs w:val="18"/>
              </w:rPr>
              <w:t xml:space="preserve"> </w:t>
            </w:r>
            <w:r>
              <w:rPr>
                <w:b/>
                <w:noProof/>
                <w:sz w:val="18"/>
                <w:szCs w:val="18"/>
              </w:rPr>
              <w:t>- regulatory failures</w:t>
            </w:r>
          </w:p>
        </w:tc>
        <w:tc>
          <w:tcPr>
            <w:tcW w:w="1701" w:type="dxa"/>
            <w:shd w:val="clear" w:color="auto" w:fill="B8CCE4" w:themeFill="accent1" w:themeFillTint="66"/>
          </w:tcPr>
          <w:p w14:paraId="3CF073E4" w14:textId="77777777" w:rsidR="002E6999" w:rsidRPr="004D034C" w:rsidRDefault="002E6999" w:rsidP="00C16901">
            <w:pPr>
              <w:rPr>
                <w:b/>
                <w:noProof/>
                <w:sz w:val="18"/>
                <w:szCs w:val="18"/>
              </w:rPr>
            </w:pPr>
            <w:r w:rsidRPr="004D034C">
              <w:rPr>
                <w:b/>
                <w:noProof/>
                <w:sz w:val="18"/>
                <w:szCs w:val="18"/>
              </w:rPr>
              <w:t>Problems</w:t>
            </w:r>
          </w:p>
        </w:tc>
        <w:tc>
          <w:tcPr>
            <w:tcW w:w="4820" w:type="dxa"/>
            <w:shd w:val="clear" w:color="auto" w:fill="B8CCE4" w:themeFill="accent1" w:themeFillTint="66"/>
          </w:tcPr>
          <w:p w14:paraId="6F9AD448" w14:textId="77777777" w:rsidR="002E6999" w:rsidRPr="004D034C" w:rsidRDefault="002E6999" w:rsidP="00C16901">
            <w:pPr>
              <w:rPr>
                <w:b/>
                <w:noProof/>
                <w:sz w:val="18"/>
                <w:szCs w:val="18"/>
              </w:rPr>
            </w:pPr>
            <w:r w:rsidRPr="004D034C">
              <w:rPr>
                <w:b/>
                <w:noProof/>
                <w:sz w:val="18"/>
                <w:szCs w:val="18"/>
              </w:rPr>
              <w:t>Consequences</w:t>
            </w:r>
          </w:p>
        </w:tc>
      </w:tr>
      <w:tr w:rsidR="002E6999" w:rsidRPr="004D034C" w14:paraId="640B243B" w14:textId="77777777" w:rsidTr="00C16901">
        <w:tc>
          <w:tcPr>
            <w:tcW w:w="4395" w:type="dxa"/>
            <w:shd w:val="clear" w:color="auto" w:fill="FFFFFF" w:themeFill="background1"/>
          </w:tcPr>
          <w:p w14:paraId="13F246A4" w14:textId="77777777" w:rsidR="002E6999" w:rsidRPr="002E6999" w:rsidRDefault="002E6999" w:rsidP="00C16901">
            <w:pPr>
              <w:rPr>
                <w:noProof/>
                <w:sz w:val="18"/>
                <w:szCs w:val="18"/>
              </w:rPr>
            </w:pPr>
            <w:r w:rsidRPr="002E6999">
              <w:rPr>
                <w:b/>
                <w:noProof/>
                <w:sz w:val="18"/>
                <w:szCs w:val="18"/>
              </w:rPr>
              <w:t>1.</w:t>
            </w:r>
            <w:r w:rsidRPr="002E6999">
              <w:rPr>
                <w:noProof/>
                <w:sz w:val="18"/>
                <w:szCs w:val="18"/>
              </w:rPr>
              <w:t xml:space="preserve">Liability rules unclear for products in the digital age </w:t>
            </w:r>
          </w:p>
          <w:p w14:paraId="508CB521" w14:textId="77777777" w:rsidR="002E6999" w:rsidRPr="002E6999" w:rsidRDefault="002E6999" w:rsidP="00C16901">
            <w:pPr>
              <w:rPr>
                <w:noProof/>
                <w:sz w:val="18"/>
                <w:szCs w:val="18"/>
              </w:rPr>
            </w:pPr>
            <w:r w:rsidRPr="002E6999">
              <w:rPr>
                <w:noProof/>
                <w:sz w:val="18"/>
                <w:szCs w:val="18"/>
              </w:rPr>
              <w:t>- no liability for defects that emerge after product is marketed, including defective updates and cybersecurity vulnerabilities</w:t>
            </w:r>
          </w:p>
          <w:p w14:paraId="410D8BA1" w14:textId="3A81C697" w:rsidR="002E6999" w:rsidRPr="002E6999" w:rsidRDefault="002E6999" w:rsidP="00C16901">
            <w:pPr>
              <w:rPr>
                <w:noProof/>
                <w:sz w:val="18"/>
                <w:szCs w:val="18"/>
              </w:rPr>
            </w:pPr>
            <w:r w:rsidRPr="002E6999">
              <w:rPr>
                <w:noProof/>
                <w:sz w:val="18"/>
                <w:szCs w:val="18"/>
              </w:rPr>
              <w:t xml:space="preserve">- unclear application to software and ancillary </w:t>
            </w:r>
            <w:r w:rsidR="008833A1">
              <w:rPr>
                <w:noProof/>
                <w:sz w:val="18"/>
                <w:szCs w:val="18"/>
              </w:rPr>
              <w:t xml:space="preserve">digital </w:t>
            </w:r>
            <w:r w:rsidRPr="002E6999">
              <w:rPr>
                <w:noProof/>
                <w:sz w:val="18"/>
                <w:szCs w:val="18"/>
              </w:rPr>
              <w:t>services</w:t>
            </w:r>
          </w:p>
          <w:p w14:paraId="3FB274C2" w14:textId="1FAC633A" w:rsidR="002E6999" w:rsidRPr="00EE5B9B" w:rsidRDefault="002E6999" w:rsidP="00C16901">
            <w:pPr>
              <w:rPr>
                <w:noProof/>
                <w:sz w:val="18"/>
                <w:szCs w:val="18"/>
              </w:rPr>
            </w:pPr>
            <w:r w:rsidRPr="00EE5B9B">
              <w:rPr>
                <w:noProof/>
                <w:sz w:val="18"/>
                <w:szCs w:val="18"/>
              </w:rPr>
              <w:t xml:space="preserve">- new types of damages such as </w:t>
            </w:r>
            <w:r w:rsidR="0044165E">
              <w:rPr>
                <w:noProof/>
                <w:sz w:val="18"/>
                <w:szCs w:val="18"/>
              </w:rPr>
              <w:t>damage to digital property</w:t>
            </w:r>
            <w:r w:rsidRPr="00EE5B9B">
              <w:rPr>
                <w:noProof/>
                <w:sz w:val="18"/>
                <w:szCs w:val="18"/>
              </w:rPr>
              <w:t xml:space="preserve"> are not covered</w:t>
            </w:r>
          </w:p>
        </w:tc>
        <w:tc>
          <w:tcPr>
            <w:tcW w:w="1701" w:type="dxa"/>
            <w:vMerge w:val="restart"/>
          </w:tcPr>
          <w:p w14:paraId="3C360514" w14:textId="33676FC7" w:rsidR="002E6999" w:rsidRPr="00F320E2" w:rsidRDefault="002E6999" w:rsidP="00C16901">
            <w:pPr>
              <w:rPr>
                <w:b/>
                <w:noProof/>
                <w:sz w:val="18"/>
                <w:szCs w:val="18"/>
              </w:rPr>
            </w:pPr>
            <w:r w:rsidRPr="00F320E2">
              <w:rPr>
                <w:b/>
                <w:noProof/>
                <w:sz w:val="18"/>
                <w:szCs w:val="18"/>
              </w:rPr>
              <w:t>1. Certain products</w:t>
            </w:r>
            <w:r w:rsidR="001A03D0">
              <w:rPr>
                <w:b/>
                <w:noProof/>
                <w:sz w:val="18"/>
                <w:szCs w:val="18"/>
              </w:rPr>
              <w:t>,</w:t>
            </w:r>
            <w:r w:rsidRPr="00F320E2">
              <w:rPr>
                <w:b/>
                <w:noProof/>
                <w:sz w:val="18"/>
                <w:szCs w:val="18"/>
              </w:rPr>
              <w:t xml:space="preserve"> economic actors </w:t>
            </w:r>
            <w:r w:rsidR="001A03D0">
              <w:rPr>
                <w:b/>
                <w:noProof/>
                <w:sz w:val="18"/>
                <w:szCs w:val="18"/>
              </w:rPr>
              <w:t xml:space="preserve">and damage </w:t>
            </w:r>
            <w:r w:rsidRPr="00F320E2">
              <w:rPr>
                <w:b/>
                <w:noProof/>
                <w:sz w:val="18"/>
                <w:szCs w:val="18"/>
              </w:rPr>
              <w:t>in the digital and circular economy escape no-fault liability</w:t>
            </w:r>
          </w:p>
        </w:tc>
        <w:tc>
          <w:tcPr>
            <w:tcW w:w="4820" w:type="dxa"/>
            <w:vMerge w:val="restart"/>
          </w:tcPr>
          <w:p w14:paraId="7F6D987E" w14:textId="77777777" w:rsidR="002E6999" w:rsidRPr="00F320E2" w:rsidRDefault="002E6999" w:rsidP="00C16901">
            <w:pPr>
              <w:rPr>
                <w:noProof/>
                <w:sz w:val="18"/>
                <w:szCs w:val="18"/>
                <w:u w:val="single"/>
              </w:rPr>
            </w:pPr>
            <w:r w:rsidRPr="00F320E2">
              <w:rPr>
                <w:noProof/>
                <w:sz w:val="18"/>
                <w:szCs w:val="18"/>
                <w:u w:val="single"/>
              </w:rPr>
              <w:t>FOR INTERNAL MARKET</w:t>
            </w:r>
          </w:p>
          <w:p w14:paraId="2A801DE0" w14:textId="4F0D40A9" w:rsidR="002E6999" w:rsidRPr="002E6999" w:rsidRDefault="002E6999" w:rsidP="00DD3B24">
            <w:pPr>
              <w:pStyle w:val="ListParagraph"/>
              <w:numPr>
                <w:ilvl w:val="0"/>
                <w:numId w:val="9"/>
              </w:numPr>
              <w:ind w:left="265" w:hanging="265"/>
              <w:contextualSpacing/>
              <w:rPr>
                <w:noProof/>
                <w:sz w:val="18"/>
                <w:szCs w:val="18"/>
              </w:rPr>
            </w:pPr>
            <w:r w:rsidRPr="00F320E2">
              <w:rPr>
                <w:noProof/>
                <w:sz w:val="18"/>
                <w:szCs w:val="18"/>
              </w:rPr>
              <w:t>L</w:t>
            </w:r>
            <w:r>
              <w:rPr>
                <w:noProof/>
                <w:sz w:val="18"/>
                <w:szCs w:val="18"/>
              </w:rPr>
              <w:t>ess</w:t>
            </w:r>
            <w:r w:rsidRPr="002E6999">
              <w:rPr>
                <w:noProof/>
                <w:sz w:val="18"/>
                <w:szCs w:val="18"/>
              </w:rPr>
              <w:t xml:space="preserve"> incentive to market safe products for economic actors who impact safety but are not covered by regime. (Driver 1)</w:t>
            </w:r>
          </w:p>
          <w:p w14:paraId="1006D6D8" w14:textId="77777777" w:rsidR="002E6999" w:rsidRPr="002E6999" w:rsidRDefault="002E6999" w:rsidP="00DD3B24">
            <w:pPr>
              <w:pStyle w:val="ListParagraph"/>
              <w:numPr>
                <w:ilvl w:val="0"/>
                <w:numId w:val="9"/>
              </w:numPr>
              <w:ind w:left="265" w:hanging="265"/>
              <w:contextualSpacing/>
              <w:rPr>
                <w:noProof/>
                <w:sz w:val="18"/>
                <w:szCs w:val="18"/>
              </w:rPr>
            </w:pPr>
            <w:r w:rsidRPr="002E6999">
              <w:rPr>
                <w:noProof/>
                <w:sz w:val="18"/>
                <w:szCs w:val="18"/>
              </w:rPr>
              <w:t>Unequal levels of consumer protection across EU (D1)</w:t>
            </w:r>
          </w:p>
          <w:p w14:paraId="716CE658" w14:textId="2237F89E" w:rsidR="002E6999" w:rsidRPr="002E6999" w:rsidRDefault="002E6999" w:rsidP="00DD3B24">
            <w:pPr>
              <w:pStyle w:val="ListParagraph"/>
              <w:numPr>
                <w:ilvl w:val="0"/>
                <w:numId w:val="9"/>
              </w:numPr>
              <w:ind w:left="265" w:hanging="265"/>
              <w:contextualSpacing/>
              <w:rPr>
                <w:noProof/>
                <w:sz w:val="18"/>
                <w:szCs w:val="18"/>
              </w:rPr>
            </w:pPr>
            <w:r w:rsidRPr="002E6999">
              <w:rPr>
                <w:noProof/>
                <w:sz w:val="18"/>
                <w:szCs w:val="18"/>
              </w:rPr>
              <w:t xml:space="preserve">Consumers who are unsure of rights may not adopt innovative </w:t>
            </w:r>
            <w:r w:rsidR="004C7198">
              <w:rPr>
                <w:noProof/>
                <w:sz w:val="18"/>
                <w:szCs w:val="18"/>
              </w:rPr>
              <w:t>or “</w:t>
            </w:r>
            <w:r w:rsidR="00D40377">
              <w:rPr>
                <w:noProof/>
                <w:sz w:val="18"/>
                <w:szCs w:val="18"/>
              </w:rPr>
              <w:t>circular</w:t>
            </w:r>
            <w:r w:rsidR="004C7198">
              <w:rPr>
                <w:noProof/>
                <w:sz w:val="18"/>
                <w:szCs w:val="18"/>
              </w:rPr>
              <w:t xml:space="preserve">” </w:t>
            </w:r>
            <w:r w:rsidRPr="002E6999">
              <w:rPr>
                <w:noProof/>
                <w:sz w:val="18"/>
                <w:szCs w:val="18"/>
              </w:rPr>
              <w:t>products. (D1</w:t>
            </w:r>
            <w:r w:rsidR="004C7198">
              <w:rPr>
                <w:noProof/>
                <w:sz w:val="18"/>
                <w:szCs w:val="18"/>
              </w:rPr>
              <w:t>, 2</w:t>
            </w:r>
            <w:r w:rsidRPr="002E6999">
              <w:rPr>
                <w:noProof/>
                <w:sz w:val="18"/>
                <w:szCs w:val="18"/>
              </w:rPr>
              <w:t>)</w:t>
            </w:r>
          </w:p>
          <w:p w14:paraId="79CDC1EA" w14:textId="77777777" w:rsidR="002E6999" w:rsidRPr="002E6999" w:rsidRDefault="002E6999" w:rsidP="00C16901">
            <w:pPr>
              <w:rPr>
                <w:noProof/>
                <w:sz w:val="18"/>
                <w:szCs w:val="18"/>
                <w:u w:val="single"/>
              </w:rPr>
            </w:pPr>
            <w:r w:rsidRPr="002E6999">
              <w:rPr>
                <w:noProof/>
                <w:sz w:val="18"/>
                <w:szCs w:val="18"/>
                <w:u w:val="single"/>
              </w:rPr>
              <w:t>FOR BUSINESSES</w:t>
            </w:r>
          </w:p>
          <w:p w14:paraId="65952943" w14:textId="5B792789" w:rsidR="002E6999" w:rsidRDefault="001D13A9" w:rsidP="00DD3B24">
            <w:pPr>
              <w:pStyle w:val="ListParagraph"/>
              <w:numPr>
                <w:ilvl w:val="0"/>
                <w:numId w:val="9"/>
              </w:numPr>
              <w:ind w:left="265" w:hanging="265"/>
              <w:contextualSpacing/>
              <w:rPr>
                <w:noProof/>
                <w:sz w:val="18"/>
                <w:szCs w:val="18"/>
              </w:rPr>
            </w:pPr>
            <w:r>
              <w:rPr>
                <w:noProof/>
                <w:sz w:val="18"/>
                <w:szCs w:val="18"/>
              </w:rPr>
              <w:t>B</w:t>
            </w:r>
            <w:r w:rsidR="002E6999" w:rsidRPr="002E6999">
              <w:rPr>
                <w:noProof/>
                <w:sz w:val="18"/>
                <w:szCs w:val="18"/>
              </w:rPr>
              <w:t>usinesses unable to assess risk of liability due to uncertainty and different interpretations in every MS (D1,2)</w:t>
            </w:r>
          </w:p>
          <w:p w14:paraId="51EE9094" w14:textId="7DDE6828" w:rsidR="004A098C" w:rsidRPr="004E3C8E" w:rsidRDefault="004A098C" w:rsidP="00DD3B24">
            <w:pPr>
              <w:pStyle w:val="ListParagraph"/>
              <w:numPr>
                <w:ilvl w:val="0"/>
                <w:numId w:val="9"/>
              </w:numPr>
              <w:ind w:left="265" w:hanging="265"/>
              <w:contextualSpacing/>
              <w:rPr>
                <w:noProof/>
                <w:sz w:val="18"/>
                <w:szCs w:val="18"/>
              </w:rPr>
            </w:pPr>
            <w:r w:rsidRPr="004E3C8E">
              <w:rPr>
                <w:noProof/>
                <w:sz w:val="18"/>
                <w:szCs w:val="18"/>
              </w:rPr>
              <w:t>Businesses face unfair competition from 3</w:t>
            </w:r>
            <w:r w:rsidRPr="004E3C8E">
              <w:rPr>
                <w:noProof/>
                <w:sz w:val="18"/>
                <w:szCs w:val="18"/>
                <w:vertAlign w:val="superscript"/>
              </w:rPr>
              <w:t>rd</w:t>
            </w:r>
            <w:r w:rsidRPr="004E3C8E">
              <w:rPr>
                <w:noProof/>
                <w:sz w:val="18"/>
                <w:szCs w:val="18"/>
              </w:rPr>
              <w:t>-country producers who are beyond the reach of the PLD (D3)</w:t>
            </w:r>
          </w:p>
          <w:p w14:paraId="265CE7E7" w14:textId="77777777" w:rsidR="002E6999" w:rsidRPr="002E6999" w:rsidRDefault="002E6999" w:rsidP="00C16901">
            <w:pPr>
              <w:rPr>
                <w:noProof/>
                <w:sz w:val="18"/>
                <w:szCs w:val="18"/>
                <w:u w:val="single"/>
              </w:rPr>
            </w:pPr>
            <w:r w:rsidRPr="002E6999">
              <w:rPr>
                <w:noProof/>
                <w:sz w:val="18"/>
                <w:szCs w:val="18"/>
                <w:u w:val="single"/>
              </w:rPr>
              <w:t>FOR CONSUMERS</w:t>
            </w:r>
          </w:p>
          <w:p w14:paraId="5539465C" w14:textId="58497846" w:rsidR="002E6999" w:rsidRPr="002E6999" w:rsidRDefault="002E6999" w:rsidP="00DD3B24">
            <w:pPr>
              <w:pStyle w:val="ListParagraph"/>
              <w:numPr>
                <w:ilvl w:val="0"/>
                <w:numId w:val="9"/>
              </w:numPr>
              <w:ind w:left="265" w:hanging="265"/>
              <w:contextualSpacing/>
              <w:rPr>
                <w:noProof/>
                <w:sz w:val="18"/>
                <w:szCs w:val="18"/>
              </w:rPr>
            </w:pPr>
            <w:r w:rsidRPr="002E6999">
              <w:rPr>
                <w:noProof/>
                <w:sz w:val="18"/>
                <w:szCs w:val="18"/>
              </w:rPr>
              <w:t>Consumers less able to get compensation for defective products using digital technologies</w:t>
            </w:r>
            <w:r w:rsidR="004C7198">
              <w:rPr>
                <w:noProof/>
                <w:sz w:val="18"/>
                <w:szCs w:val="18"/>
              </w:rPr>
              <w:t xml:space="preserve"> or “</w:t>
            </w:r>
            <w:r w:rsidR="00D40377">
              <w:rPr>
                <w:noProof/>
                <w:sz w:val="18"/>
                <w:szCs w:val="18"/>
              </w:rPr>
              <w:t>circular</w:t>
            </w:r>
            <w:r w:rsidR="004C7198">
              <w:rPr>
                <w:noProof/>
                <w:sz w:val="18"/>
                <w:szCs w:val="18"/>
              </w:rPr>
              <w:t>” products</w:t>
            </w:r>
            <w:r w:rsidRPr="002E6999">
              <w:rPr>
                <w:noProof/>
                <w:sz w:val="18"/>
                <w:szCs w:val="18"/>
              </w:rPr>
              <w:t>. (D1</w:t>
            </w:r>
            <w:r w:rsidR="004C7198">
              <w:rPr>
                <w:noProof/>
                <w:sz w:val="18"/>
                <w:szCs w:val="18"/>
              </w:rPr>
              <w:t>, 2</w:t>
            </w:r>
            <w:r w:rsidRPr="002E6999">
              <w:rPr>
                <w:noProof/>
                <w:sz w:val="18"/>
                <w:szCs w:val="18"/>
              </w:rPr>
              <w:t>)</w:t>
            </w:r>
          </w:p>
          <w:p w14:paraId="114D0F2B" w14:textId="77777777" w:rsidR="002E6999" w:rsidRPr="00EE5B9B" w:rsidRDefault="002E6999" w:rsidP="00DD3B24">
            <w:pPr>
              <w:pStyle w:val="ListParagraph"/>
              <w:numPr>
                <w:ilvl w:val="0"/>
                <w:numId w:val="9"/>
              </w:numPr>
              <w:ind w:left="265" w:hanging="265"/>
              <w:contextualSpacing/>
              <w:rPr>
                <w:noProof/>
                <w:sz w:val="18"/>
                <w:szCs w:val="18"/>
              </w:rPr>
            </w:pPr>
            <w:r w:rsidRPr="00EE5B9B">
              <w:rPr>
                <w:noProof/>
                <w:sz w:val="18"/>
                <w:szCs w:val="18"/>
              </w:rPr>
              <w:t>Consumers left without compensation when purchasing from a 3</w:t>
            </w:r>
            <w:r w:rsidRPr="00EE5B9B">
              <w:rPr>
                <w:noProof/>
                <w:sz w:val="18"/>
                <w:szCs w:val="18"/>
                <w:vertAlign w:val="superscript"/>
              </w:rPr>
              <w:t>rd</w:t>
            </w:r>
            <w:r w:rsidRPr="00EE5B9B">
              <w:rPr>
                <w:noProof/>
                <w:sz w:val="18"/>
                <w:szCs w:val="18"/>
              </w:rPr>
              <w:t>country directly (D3)</w:t>
            </w:r>
          </w:p>
          <w:p w14:paraId="544B8CA2" w14:textId="77777777" w:rsidR="002E6999" w:rsidRPr="00F320E2" w:rsidRDefault="002E6999" w:rsidP="00C16901">
            <w:pPr>
              <w:rPr>
                <w:noProof/>
                <w:sz w:val="18"/>
                <w:szCs w:val="18"/>
              </w:rPr>
            </w:pPr>
            <w:r w:rsidRPr="00F320E2">
              <w:rPr>
                <w:noProof/>
                <w:sz w:val="18"/>
                <w:szCs w:val="18"/>
                <w:u w:val="single"/>
              </w:rPr>
              <w:t>ENVIRONMENT</w:t>
            </w:r>
          </w:p>
          <w:p w14:paraId="715EFC8A" w14:textId="77777777" w:rsidR="002E6999" w:rsidRPr="002E6999" w:rsidRDefault="002E6999" w:rsidP="00C16901">
            <w:pPr>
              <w:rPr>
                <w:i/>
                <w:noProof/>
                <w:sz w:val="18"/>
                <w:szCs w:val="18"/>
                <w:u w:val="single"/>
              </w:rPr>
            </w:pPr>
            <w:r w:rsidRPr="001D13A9">
              <w:rPr>
                <w:noProof/>
                <w:sz w:val="18"/>
                <w:szCs w:val="18"/>
              </w:rPr>
              <w:t>Uncertainty may have negative impact on growth of circular economy</w:t>
            </w:r>
            <w:r w:rsidRPr="002E6999">
              <w:rPr>
                <w:noProof/>
                <w:sz w:val="18"/>
                <w:szCs w:val="18"/>
              </w:rPr>
              <w:t xml:space="preserve"> (D2)</w:t>
            </w:r>
          </w:p>
        </w:tc>
      </w:tr>
      <w:tr w:rsidR="002E6999" w:rsidRPr="004D034C" w14:paraId="345F5B0E" w14:textId="77777777" w:rsidTr="00C16901">
        <w:tc>
          <w:tcPr>
            <w:tcW w:w="4395" w:type="dxa"/>
            <w:shd w:val="clear" w:color="auto" w:fill="FFFFFF" w:themeFill="background1"/>
          </w:tcPr>
          <w:p w14:paraId="1A79CD11" w14:textId="77777777" w:rsidR="002E6999" w:rsidRPr="002E6999" w:rsidRDefault="002E6999" w:rsidP="00C16901">
            <w:pPr>
              <w:rPr>
                <w:noProof/>
                <w:sz w:val="18"/>
                <w:szCs w:val="18"/>
              </w:rPr>
            </w:pPr>
            <w:r w:rsidRPr="002E6999">
              <w:rPr>
                <w:b/>
                <w:noProof/>
                <w:sz w:val="18"/>
                <w:szCs w:val="18"/>
              </w:rPr>
              <w:t>2</w:t>
            </w:r>
            <w:r w:rsidRPr="001D13A9">
              <w:rPr>
                <w:b/>
                <w:noProof/>
                <w:sz w:val="18"/>
                <w:szCs w:val="18"/>
              </w:rPr>
              <w:t>.</w:t>
            </w:r>
            <w:r w:rsidRPr="001D13A9">
              <w:rPr>
                <w:noProof/>
                <w:sz w:val="18"/>
                <w:szCs w:val="18"/>
              </w:rPr>
              <w:t>Liability rules unclear for refurbished/remanufactured products</w:t>
            </w:r>
            <w:r w:rsidRPr="002E6999">
              <w:rPr>
                <w:noProof/>
                <w:sz w:val="18"/>
                <w:szCs w:val="18"/>
              </w:rPr>
              <w:t xml:space="preserve"> </w:t>
            </w:r>
          </w:p>
        </w:tc>
        <w:tc>
          <w:tcPr>
            <w:tcW w:w="1701" w:type="dxa"/>
            <w:vMerge/>
          </w:tcPr>
          <w:p w14:paraId="4DBCD2A7" w14:textId="77777777" w:rsidR="002E6999" w:rsidRPr="002E6999" w:rsidRDefault="002E6999" w:rsidP="00C16901">
            <w:pPr>
              <w:rPr>
                <w:noProof/>
                <w:sz w:val="18"/>
                <w:szCs w:val="18"/>
              </w:rPr>
            </w:pPr>
          </w:p>
        </w:tc>
        <w:tc>
          <w:tcPr>
            <w:tcW w:w="4820" w:type="dxa"/>
            <w:vMerge/>
          </w:tcPr>
          <w:p w14:paraId="5FEA2376" w14:textId="77777777" w:rsidR="002E6999" w:rsidRPr="002E6999" w:rsidRDefault="002E6999" w:rsidP="00C16901">
            <w:pPr>
              <w:rPr>
                <w:noProof/>
                <w:sz w:val="18"/>
                <w:szCs w:val="18"/>
              </w:rPr>
            </w:pPr>
          </w:p>
        </w:tc>
      </w:tr>
      <w:tr w:rsidR="002E6999" w:rsidRPr="004D034C" w14:paraId="712C3626" w14:textId="77777777" w:rsidTr="00C16901">
        <w:tc>
          <w:tcPr>
            <w:tcW w:w="4395" w:type="dxa"/>
            <w:shd w:val="clear" w:color="auto" w:fill="FFFFFF" w:themeFill="background1"/>
          </w:tcPr>
          <w:p w14:paraId="49350539" w14:textId="77777777" w:rsidR="002E6999" w:rsidRPr="004D034C" w:rsidRDefault="002E6999" w:rsidP="00C16901">
            <w:pPr>
              <w:rPr>
                <w:noProof/>
                <w:sz w:val="18"/>
                <w:szCs w:val="18"/>
              </w:rPr>
            </w:pPr>
            <w:r w:rsidRPr="004D034C">
              <w:rPr>
                <w:b/>
                <w:noProof/>
                <w:sz w:val="18"/>
                <w:szCs w:val="18"/>
              </w:rPr>
              <w:t>3.</w:t>
            </w:r>
            <w:r w:rsidRPr="004D034C">
              <w:rPr>
                <w:noProof/>
                <w:sz w:val="18"/>
                <w:szCs w:val="18"/>
              </w:rPr>
              <w:t>No liable person under PLD when consumer purchases product from a 3</w:t>
            </w:r>
            <w:r w:rsidRPr="004D034C">
              <w:rPr>
                <w:noProof/>
                <w:sz w:val="18"/>
                <w:szCs w:val="18"/>
                <w:vertAlign w:val="superscript"/>
              </w:rPr>
              <w:t xml:space="preserve">rd </w:t>
            </w:r>
            <w:r w:rsidRPr="004D034C">
              <w:rPr>
                <w:noProof/>
                <w:sz w:val="18"/>
                <w:szCs w:val="18"/>
              </w:rPr>
              <w:t>country directly</w:t>
            </w:r>
          </w:p>
        </w:tc>
        <w:tc>
          <w:tcPr>
            <w:tcW w:w="1701" w:type="dxa"/>
            <w:vMerge/>
          </w:tcPr>
          <w:p w14:paraId="12162D15" w14:textId="77777777" w:rsidR="002E6999" w:rsidRPr="004D034C" w:rsidRDefault="002E6999" w:rsidP="00C16901">
            <w:pPr>
              <w:rPr>
                <w:noProof/>
                <w:sz w:val="18"/>
                <w:szCs w:val="18"/>
              </w:rPr>
            </w:pPr>
          </w:p>
        </w:tc>
        <w:tc>
          <w:tcPr>
            <w:tcW w:w="4820" w:type="dxa"/>
            <w:vMerge/>
          </w:tcPr>
          <w:p w14:paraId="77CC3C24" w14:textId="77777777" w:rsidR="002E6999" w:rsidRPr="004D034C" w:rsidRDefault="002E6999" w:rsidP="00C16901">
            <w:pPr>
              <w:rPr>
                <w:noProof/>
                <w:sz w:val="18"/>
                <w:szCs w:val="18"/>
              </w:rPr>
            </w:pPr>
          </w:p>
        </w:tc>
      </w:tr>
      <w:tr w:rsidR="002E6999" w:rsidRPr="004D034C" w14:paraId="2B1C9945" w14:textId="77777777" w:rsidTr="00C16901">
        <w:tc>
          <w:tcPr>
            <w:tcW w:w="4395" w:type="dxa"/>
            <w:shd w:val="clear" w:color="auto" w:fill="FFFFFF" w:themeFill="background1"/>
          </w:tcPr>
          <w:p w14:paraId="4826406C" w14:textId="77777777" w:rsidR="002E6999" w:rsidRPr="004D034C" w:rsidRDefault="002E6999" w:rsidP="00C16901">
            <w:pPr>
              <w:rPr>
                <w:noProof/>
                <w:sz w:val="18"/>
                <w:szCs w:val="18"/>
              </w:rPr>
            </w:pPr>
            <w:r w:rsidRPr="004D034C">
              <w:rPr>
                <w:b/>
                <w:noProof/>
                <w:sz w:val="18"/>
                <w:szCs w:val="18"/>
              </w:rPr>
              <w:t>4.</w:t>
            </w:r>
            <w:r w:rsidRPr="004D034C">
              <w:rPr>
                <w:noProof/>
                <w:sz w:val="18"/>
                <w:szCs w:val="18"/>
              </w:rPr>
              <w:t>Proving defectiveness and causal link with damage is very difficult and costly for complex products:</w:t>
            </w:r>
          </w:p>
          <w:p w14:paraId="7E82495F" w14:textId="77777777" w:rsidR="002E6999" w:rsidRPr="004D034C" w:rsidRDefault="002E6999" w:rsidP="00C16901">
            <w:pPr>
              <w:rPr>
                <w:noProof/>
                <w:sz w:val="18"/>
                <w:szCs w:val="18"/>
              </w:rPr>
            </w:pPr>
            <w:r w:rsidRPr="004D034C">
              <w:rPr>
                <w:noProof/>
                <w:sz w:val="18"/>
                <w:szCs w:val="18"/>
              </w:rPr>
              <w:t xml:space="preserve">- No right for victims to access necessary technical information held by producer </w:t>
            </w:r>
          </w:p>
          <w:p w14:paraId="6745AF0E" w14:textId="77777777" w:rsidR="002E6999" w:rsidRPr="004D034C" w:rsidRDefault="002E6999" w:rsidP="00C16901">
            <w:pPr>
              <w:rPr>
                <w:noProof/>
                <w:sz w:val="18"/>
                <w:szCs w:val="18"/>
              </w:rPr>
            </w:pPr>
            <w:r w:rsidRPr="004D034C">
              <w:rPr>
                <w:noProof/>
                <w:sz w:val="18"/>
                <w:szCs w:val="18"/>
              </w:rPr>
              <w:t>- No explicit possibility to ease the burden of proof under the PLD</w:t>
            </w:r>
          </w:p>
          <w:p w14:paraId="77599B80" w14:textId="77777777" w:rsidR="002E6999" w:rsidRPr="004D034C" w:rsidRDefault="002E6999" w:rsidP="00C16901">
            <w:pPr>
              <w:rPr>
                <w:noProof/>
                <w:sz w:val="18"/>
                <w:szCs w:val="18"/>
              </w:rPr>
            </w:pPr>
            <w:r w:rsidRPr="004D034C">
              <w:rPr>
                <w:noProof/>
                <w:sz w:val="18"/>
                <w:szCs w:val="18"/>
              </w:rPr>
              <w:t xml:space="preserve">- Liability for undiscoverable defects is uncertain (e.g. machine learning) </w:t>
            </w:r>
          </w:p>
        </w:tc>
        <w:tc>
          <w:tcPr>
            <w:tcW w:w="1701" w:type="dxa"/>
            <w:vMerge w:val="restart"/>
          </w:tcPr>
          <w:p w14:paraId="43AF8186" w14:textId="77777777" w:rsidR="002E6999" w:rsidRPr="004D034C" w:rsidRDefault="002E6999" w:rsidP="00C16901">
            <w:pPr>
              <w:rPr>
                <w:b/>
                <w:noProof/>
                <w:sz w:val="18"/>
                <w:szCs w:val="18"/>
              </w:rPr>
            </w:pPr>
            <w:r w:rsidRPr="004D034C">
              <w:rPr>
                <w:b/>
                <w:noProof/>
                <w:sz w:val="18"/>
                <w:szCs w:val="18"/>
              </w:rPr>
              <w:t>2.</w:t>
            </w:r>
            <w:r>
              <w:rPr>
                <w:b/>
                <w:noProof/>
                <w:sz w:val="18"/>
                <w:szCs w:val="18"/>
              </w:rPr>
              <w:t xml:space="preserve"> </w:t>
            </w:r>
            <w:r w:rsidRPr="004D034C">
              <w:rPr>
                <w:b/>
                <w:noProof/>
                <w:sz w:val="18"/>
                <w:szCs w:val="18"/>
              </w:rPr>
              <w:t xml:space="preserve">Consumers face obstacles to getting compensation </w:t>
            </w:r>
          </w:p>
          <w:p w14:paraId="3F08CD9E" w14:textId="77777777" w:rsidR="002E6999" w:rsidRPr="004D034C" w:rsidRDefault="002E6999" w:rsidP="00C16901">
            <w:pPr>
              <w:rPr>
                <w:b/>
                <w:noProof/>
                <w:sz w:val="18"/>
                <w:szCs w:val="18"/>
              </w:rPr>
            </w:pPr>
          </w:p>
        </w:tc>
        <w:tc>
          <w:tcPr>
            <w:tcW w:w="4820" w:type="dxa"/>
            <w:vMerge w:val="restart"/>
          </w:tcPr>
          <w:p w14:paraId="4FC4FB5E" w14:textId="77777777" w:rsidR="002E6999" w:rsidRPr="004D034C" w:rsidRDefault="002E6999" w:rsidP="00C16901">
            <w:pPr>
              <w:rPr>
                <w:noProof/>
                <w:sz w:val="18"/>
                <w:szCs w:val="18"/>
                <w:u w:val="single"/>
                <w:lang w:val="en-IE"/>
              </w:rPr>
            </w:pPr>
            <w:r w:rsidRPr="004D034C">
              <w:rPr>
                <w:noProof/>
                <w:sz w:val="18"/>
                <w:szCs w:val="18"/>
                <w:u w:val="single"/>
                <w:lang w:val="en-IE"/>
              </w:rPr>
              <w:t>FOR INTERNAL MARKET</w:t>
            </w:r>
          </w:p>
          <w:p w14:paraId="52EC1E3D" w14:textId="77777777" w:rsidR="002E6999" w:rsidRPr="004D034C" w:rsidRDefault="002E6999" w:rsidP="00C16901">
            <w:pPr>
              <w:rPr>
                <w:noProof/>
                <w:sz w:val="18"/>
                <w:szCs w:val="18"/>
                <w:lang w:val="en-IE"/>
              </w:rPr>
            </w:pPr>
            <w:r w:rsidRPr="004D034C">
              <w:rPr>
                <w:noProof/>
                <w:sz w:val="18"/>
                <w:szCs w:val="18"/>
                <w:lang w:val="en-IE"/>
              </w:rPr>
              <w:t>1.Unequal levels of consumer protection across EU (including divergent national implementation) (Drivers 4,6+D1)</w:t>
            </w:r>
          </w:p>
          <w:p w14:paraId="4750E2E0" w14:textId="77777777" w:rsidR="002E6999" w:rsidRPr="004D034C" w:rsidRDefault="002E6999" w:rsidP="00C16901">
            <w:pPr>
              <w:rPr>
                <w:noProof/>
                <w:sz w:val="18"/>
                <w:szCs w:val="18"/>
                <w:u w:val="single"/>
                <w:lang w:val="en-IE"/>
              </w:rPr>
            </w:pPr>
          </w:p>
          <w:p w14:paraId="051C879E" w14:textId="77777777" w:rsidR="002E6999" w:rsidRPr="004D034C" w:rsidRDefault="002E6999" w:rsidP="00C16901">
            <w:pPr>
              <w:rPr>
                <w:noProof/>
                <w:sz w:val="18"/>
                <w:szCs w:val="18"/>
                <w:u w:val="single"/>
                <w:lang w:val="en-IE"/>
              </w:rPr>
            </w:pPr>
            <w:r w:rsidRPr="004D034C">
              <w:rPr>
                <w:noProof/>
                <w:sz w:val="18"/>
                <w:szCs w:val="18"/>
                <w:u w:val="single"/>
                <w:lang w:val="en-IE"/>
              </w:rPr>
              <w:t>FOR BUSINESSES</w:t>
            </w:r>
          </w:p>
          <w:p w14:paraId="328B5C84" w14:textId="77777777" w:rsidR="002E6999" w:rsidRPr="004D034C" w:rsidRDefault="002E6999" w:rsidP="00C16901">
            <w:pPr>
              <w:rPr>
                <w:noProof/>
                <w:sz w:val="18"/>
                <w:szCs w:val="18"/>
                <w:lang w:val="en-IE"/>
              </w:rPr>
            </w:pPr>
            <w:r w:rsidRPr="004D034C">
              <w:rPr>
                <w:noProof/>
                <w:sz w:val="18"/>
                <w:szCs w:val="18"/>
                <w:lang w:val="en-IE"/>
              </w:rPr>
              <w:t>2.Uncertainty due to fragmentation could chill willingness to place innovative products on the market (D4+D1,2)</w:t>
            </w:r>
          </w:p>
          <w:p w14:paraId="2768FC8F" w14:textId="77777777" w:rsidR="002E6999" w:rsidRPr="004D034C" w:rsidRDefault="002E6999" w:rsidP="00C16901">
            <w:pPr>
              <w:rPr>
                <w:noProof/>
                <w:sz w:val="18"/>
                <w:szCs w:val="18"/>
                <w:u w:val="single"/>
                <w:lang w:val="en-IE"/>
              </w:rPr>
            </w:pPr>
          </w:p>
          <w:p w14:paraId="01ADD42B" w14:textId="77777777" w:rsidR="002E6999" w:rsidRPr="004D034C" w:rsidRDefault="002E6999" w:rsidP="00C16901">
            <w:pPr>
              <w:rPr>
                <w:noProof/>
                <w:sz w:val="18"/>
                <w:szCs w:val="18"/>
                <w:u w:val="single"/>
                <w:lang w:val="en-IE"/>
              </w:rPr>
            </w:pPr>
            <w:r w:rsidRPr="004D034C">
              <w:rPr>
                <w:noProof/>
                <w:sz w:val="18"/>
                <w:szCs w:val="18"/>
                <w:u w:val="single"/>
                <w:lang w:val="en-IE"/>
              </w:rPr>
              <w:t>FOR CONSUMERS</w:t>
            </w:r>
          </w:p>
          <w:p w14:paraId="04B11D69" w14:textId="77777777" w:rsidR="002E6999" w:rsidRPr="004D034C" w:rsidRDefault="002E6999" w:rsidP="00C16901">
            <w:pPr>
              <w:rPr>
                <w:noProof/>
                <w:sz w:val="18"/>
                <w:szCs w:val="18"/>
                <w:lang w:val="en-IE"/>
              </w:rPr>
            </w:pPr>
            <w:r w:rsidRPr="004D034C">
              <w:rPr>
                <w:noProof/>
                <w:sz w:val="18"/>
                <w:szCs w:val="18"/>
                <w:lang w:val="en-IE"/>
              </w:rPr>
              <w:t>3. Difficult and costly to get compensation for harm caused by complex products (D4)</w:t>
            </w:r>
          </w:p>
          <w:p w14:paraId="19C209EF" w14:textId="77777777" w:rsidR="002E6999" w:rsidRPr="004D034C" w:rsidRDefault="002E6999" w:rsidP="00C16901">
            <w:pPr>
              <w:rPr>
                <w:noProof/>
                <w:sz w:val="18"/>
                <w:szCs w:val="18"/>
                <w:lang w:val="en-IE"/>
              </w:rPr>
            </w:pPr>
            <w:r w:rsidRPr="004D034C">
              <w:rPr>
                <w:noProof/>
                <w:sz w:val="18"/>
                <w:szCs w:val="18"/>
                <w:lang w:val="en-IE"/>
              </w:rPr>
              <w:t>4.Invidual victims may unfairly bear risk of damage from undiscoverable defects (D4)</w:t>
            </w:r>
          </w:p>
          <w:p w14:paraId="4403D68E" w14:textId="77777777" w:rsidR="002E6999" w:rsidRPr="004D034C" w:rsidRDefault="002E6999" w:rsidP="00C16901">
            <w:pPr>
              <w:rPr>
                <w:noProof/>
                <w:sz w:val="18"/>
                <w:szCs w:val="18"/>
                <w:lang w:val="en-IE"/>
              </w:rPr>
            </w:pPr>
            <w:r w:rsidRPr="004D034C">
              <w:rPr>
                <w:noProof/>
                <w:sz w:val="18"/>
                <w:szCs w:val="18"/>
                <w:lang w:val="en-IE"/>
              </w:rPr>
              <w:t>5.Victims of harm that emerges after 10 years get no compensation. (D5)</w:t>
            </w:r>
          </w:p>
          <w:p w14:paraId="624ACDC7" w14:textId="77777777" w:rsidR="002E6999" w:rsidRPr="004D034C" w:rsidRDefault="002E6999" w:rsidP="00C16901">
            <w:pPr>
              <w:rPr>
                <w:noProof/>
                <w:sz w:val="18"/>
                <w:szCs w:val="18"/>
                <w:lang w:val="en-IE"/>
              </w:rPr>
            </w:pPr>
            <w:r w:rsidRPr="004D034C">
              <w:rPr>
                <w:noProof/>
                <w:sz w:val="18"/>
                <w:szCs w:val="18"/>
                <w:lang w:val="en-IE"/>
              </w:rPr>
              <w:t>6.Victims of harm who miss 3-year deadline to start legal proceedings get no compensation. (D5)</w:t>
            </w:r>
          </w:p>
          <w:p w14:paraId="6AC538B0" w14:textId="77777777" w:rsidR="002E6999" w:rsidRPr="004D034C" w:rsidRDefault="002E6999" w:rsidP="00C16901">
            <w:pPr>
              <w:rPr>
                <w:i/>
                <w:noProof/>
                <w:sz w:val="18"/>
                <w:szCs w:val="18"/>
                <w:u w:val="single"/>
              </w:rPr>
            </w:pPr>
            <w:r w:rsidRPr="004D034C">
              <w:rPr>
                <w:noProof/>
                <w:sz w:val="18"/>
                <w:szCs w:val="18"/>
                <w:lang w:val="en-IE"/>
              </w:rPr>
              <w:t>7.Consumers who suffer property damage less than EUR 500 get no compensation. (D6)</w:t>
            </w:r>
          </w:p>
        </w:tc>
      </w:tr>
      <w:tr w:rsidR="002E6999" w:rsidRPr="004D034C" w14:paraId="7AC616B8" w14:textId="77777777" w:rsidTr="00C16901">
        <w:tc>
          <w:tcPr>
            <w:tcW w:w="4395" w:type="dxa"/>
            <w:shd w:val="clear" w:color="auto" w:fill="FFFFFF" w:themeFill="background1"/>
          </w:tcPr>
          <w:p w14:paraId="0330C41C" w14:textId="77777777" w:rsidR="002E6999" w:rsidRPr="004D034C" w:rsidRDefault="002E6999" w:rsidP="00C16901">
            <w:pPr>
              <w:rPr>
                <w:noProof/>
                <w:sz w:val="18"/>
                <w:szCs w:val="18"/>
              </w:rPr>
            </w:pPr>
            <w:r w:rsidRPr="004D034C">
              <w:rPr>
                <w:noProof/>
                <w:sz w:val="18"/>
                <w:szCs w:val="18"/>
              </w:rPr>
              <w:t>Liability claims are subject to a number of restrictions:</w:t>
            </w:r>
          </w:p>
          <w:p w14:paraId="00E02A10" w14:textId="77777777" w:rsidR="002E6999" w:rsidRPr="004D034C" w:rsidRDefault="002E6999" w:rsidP="00C16901">
            <w:pPr>
              <w:rPr>
                <w:noProof/>
                <w:sz w:val="18"/>
                <w:szCs w:val="18"/>
              </w:rPr>
            </w:pPr>
            <w:r w:rsidRPr="004D034C">
              <w:rPr>
                <w:b/>
                <w:noProof/>
                <w:sz w:val="18"/>
                <w:szCs w:val="18"/>
              </w:rPr>
              <w:t>5.</w:t>
            </w:r>
            <w:r w:rsidRPr="004D034C">
              <w:rPr>
                <w:noProof/>
                <w:sz w:val="18"/>
                <w:szCs w:val="18"/>
              </w:rPr>
              <w:t>Liability ends after 10 years; need to start legal proceedings 3 years after damage</w:t>
            </w:r>
          </w:p>
          <w:p w14:paraId="32BA4AA8" w14:textId="77777777" w:rsidR="002E6999" w:rsidRPr="004D034C" w:rsidRDefault="002E6999" w:rsidP="00C16901">
            <w:pPr>
              <w:rPr>
                <w:noProof/>
                <w:sz w:val="18"/>
                <w:szCs w:val="18"/>
              </w:rPr>
            </w:pPr>
            <w:r w:rsidRPr="004D034C">
              <w:rPr>
                <w:b/>
                <w:noProof/>
                <w:sz w:val="18"/>
                <w:szCs w:val="18"/>
              </w:rPr>
              <w:t>6.</w:t>
            </w:r>
            <w:r w:rsidRPr="004D034C">
              <w:rPr>
                <w:noProof/>
                <w:sz w:val="18"/>
                <w:szCs w:val="18"/>
              </w:rPr>
              <w:t xml:space="preserve">No liability for property damage worth less than EUR 500 </w:t>
            </w:r>
          </w:p>
        </w:tc>
        <w:tc>
          <w:tcPr>
            <w:tcW w:w="1701" w:type="dxa"/>
            <w:vMerge/>
          </w:tcPr>
          <w:p w14:paraId="2FCEEB43" w14:textId="77777777" w:rsidR="002E6999" w:rsidRPr="004D034C" w:rsidRDefault="002E6999" w:rsidP="00C16901">
            <w:pPr>
              <w:rPr>
                <w:b/>
                <w:noProof/>
                <w:sz w:val="18"/>
                <w:szCs w:val="18"/>
              </w:rPr>
            </w:pPr>
          </w:p>
        </w:tc>
        <w:tc>
          <w:tcPr>
            <w:tcW w:w="4820" w:type="dxa"/>
            <w:vMerge/>
          </w:tcPr>
          <w:p w14:paraId="3024470A" w14:textId="77777777" w:rsidR="002E6999" w:rsidRPr="004D034C" w:rsidRDefault="002E6999" w:rsidP="00C16901">
            <w:pPr>
              <w:rPr>
                <w:i/>
                <w:noProof/>
                <w:sz w:val="18"/>
                <w:szCs w:val="18"/>
              </w:rPr>
            </w:pPr>
          </w:p>
        </w:tc>
      </w:tr>
    </w:tbl>
    <w:p w14:paraId="4679052D" w14:textId="77777777" w:rsidR="002E6999" w:rsidRPr="00501CD2" w:rsidRDefault="002E6999" w:rsidP="00244A24">
      <w:pPr>
        <w:pStyle w:val="ListParagraph"/>
        <w:spacing w:after="240"/>
        <w:jc w:val="both"/>
        <w:rPr>
          <w:noProof/>
          <w:sz w:val="24"/>
        </w:rPr>
      </w:pPr>
    </w:p>
    <w:p w14:paraId="5D1FDD29" w14:textId="2DCBA974" w:rsidR="0048467D" w:rsidRPr="00501CD2" w:rsidRDefault="00A00D57" w:rsidP="00501CD2">
      <w:pPr>
        <w:spacing w:after="240" w:line="240" w:lineRule="auto"/>
        <w:jc w:val="both"/>
        <w:rPr>
          <w:b/>
          <w:noProof/>
          <w:sz w:val="24"/>
          <w:szCs w:val="24"/>
        </w:rPr>
      </w:pPr>
      <w:r>
        <w:rPr>
          <w:b/>
          <w:noProof/>
          <w:sz w:val="24"/>
          <w:szCs w:val="24"/>
        </w:rPr>
        <w:t xml:space="preserve">1. </w:t>
      </w:r>
      <w:r w:rsidR="0048467D" w:rsidRPr="00501CD2">
        <w:rPr>
          <w:b/>
          <w:noProof/>
          <w:sz w:val="24"/>
          <w:szCs w:val="24"/>
        </w:rPr>
        <w:t>Products</w:t>
      </w:r>
      <w:r w:rsidR="001A03D0">
        <w:rPr>
          <w:b/>
          <w:noProof/>
          <w:sz w:val="24"/>
          <w:szCs w:val="24"/>
        </w:rPr>
        <w:t>,</w:t>
      </w:r>
      <w:r w:rsidR="0048467D" w:rsidRPr="00501CD2">
        <w:rPr>
          <w:b/>
          <w:noProof/>
          <w:sz w:val="24"/>
          <w:szCs w:val="24"/>
        </w:rPr>
        <w:t xml:space="preserve"> economic actors </w:t>
      </w:r>
      <w:r w:rsidR="001A03D0">
        <w:rPr>
          <w:b/>
          <w:noProof/>
          <w:sz w:val="24"/>
          <w:szCs w:val="24"/>
        </w:rPr>
        <w:t xml:space="preserve">and damage </w:t>
      </w:r>
      <w:r w:rsidR="0048467D" w:rsidRPr="00501CD2">
        <w:rPr>
          <w:b/>
          <w:noProof/>
          <w:sz w:val="24"/>
          <w:szCs w:val="24"/>
        </w:rPr>
        <w:t>escaping no-fault liability in the digital and circular economy</w:t>
      </w:r>
    </w:p>
    <w:p w14:paraId="6E4959BD" w14:textId="38B8F5D6" w:rsidR="00FC67D3" w:rsidRDefault="00E97839" w:rsidP="00501CD2">
      <w:pPr>
        <w:spacing w:after="240" w:line="240" w:lineRule="auto"/>
        <w:jc w:val="both"/>
        <w:rPr>
          <w:rFonts w:cs="Times New Roman"/>
          <w:noProof/>
          <w:sz w:val="24"/>
          <w:szCs w:val="24"/>
        </w:rPr>
      </w:pPr>
      <w:r w:rsidRPr="00501CD2">
        <w:rPr>
          <w:noProof/>
          <w:sz w:val="24"/>
          <w:szCs w:val="24"/>
          <w:lang w:eastAsia="da-DK"/>
        </w:rPr>
        <w:t xml:space="preserve">No-fault liability of producers was introduced as a </w:t>
      </w:r>
      <w:r w:rsidR="0020223E" w:rsidRPr="00501CD2">
        <w:rPr>
          <w:noProof/>
          <w:sz w:val="24"/>
          <w:szCs w:val="24"/>
          <w:lang w:eastAsia="da-DK"/>
        </w:rPr>
        <w:t>necessary</w:t>
      </w:r>
      <w:r w:rsidRPr="00501CD2">
        <w:rPr>
          <w:noProof/>
          <w:sz w:val="24"/>
          <w:szCs w:val="24"/>
          <w:lang w:eastAsia="da-DK"/>
        </w:rPr>
        <w:t xml:space="preserve"> response to the risks inherent </w:t>
      </w:r>
      <w:r w:rsidR="0020223E" w:rsidRPr="00501CD2">
        <w:rPr>
          <w:noProof/>
          <w:sz w:val="24"/>
          <w:szCs w:val="24"/>
          <w:lang w:eastAsia="da-DK"/>
        </w:rPr>
        <w:t xml:space="preserve">in </w:t>
      </w:r>
      <w:r w:rsidRPr="00501CD2">
        <w:rPr>
          <w:noProof/>
          <w:sz w:val="24"/>
          <w:szCs w:val="24"/>
          <w:lang w:eastAsia="da-DK"/>
        </w:rPr>
        <w:t>technological production in the 20</w:t>
      </w:r>
      <w:r w:rsidRPr="00501CD2">
        <w:rPr>
          <w:noProof/>
          <w:sz w:val="24"/>
          <w:szCs w:val="24"/>
          <w:vertAlign w:val="superscript"/>
          <w:lang w:eastAsia="da-DK"/>
        </w:rPr>
        <w:t>th</w:t>
      </w:r>
      <w:r w:rsidRPr="00501CD2">
        <w:rPr>
          <w:noProof/>
          <w:sz w:val="24"/>
          <w:szCs w:val="24"/>
          <w:lang w:eastAsia="da-DK"/>
        </w:rPr>
        <w:t xml:space="preserve"> century. Products and technologies have continued to develop since the PLD was enacted in 1985 but the rules have not.</w:t>
      </w:r>
      <w:r w:rsidR="0048467D" w:rsidRPr="00501CD2">
        <w:rPr>
          <w:noProof/>
          <w:sz w:val="24"/>
          <w:szCs w:val="24"/>
          <w:lang w:eastAsia="da-DK"/>
        </w:rPr>
        <w:t xml:space="preserve"> The safety of products</w:t>
      </w:r>
      <w:r w:rsidR="0020223E" w:rsidRPr="00501CD2">
        <w:rPr>
          <w:noProof/>
          <w:sz w:val="24"/>
          <w:szCs w:val="24"/>
          <w:lang w:eastAsia="da-DK"/>
        </w:rPr>
        <w:t>, be they robotic lawnmowers, connected or autonomous vehicles or smart home systems,</w:t>
      </w:r>
      <w:r w:rsidR="0048467D" w:rsidRPr="00501CD2">
        <w:rPr>
          <w:noProof/>
          <w:sz w:val="24"/>
          <w:szCs w:val="24"/>
          <w:lang w:eastAsia="da-DK"/>
        </w:rPr>
        <w:t xml:space="preserve"> is determined more and more by software and digital services that may be supplied once </w:t>
      </w:r>
      <w:r w:rsidR="00ED70BA" w:rsidRPr="00501CD2">
        <w:rPr>
          <w:noProof/>
          <w:sz w:val="24"/>
          <w:szCs w:val="24"/>
          <w:lang w:eastAsia="da-DK"/>
        </w:rPr>
        <w:t>a</w:t>
      </w:r>
      <w:r w:rsidR="0048467D" w:rsidRPr="00501CD2">
        <w:rPr>
          <w:noProof/>
          <w:sz w:val="24"/>
          <w:szCs w:val="24"/>
          <w:lang w:eastAsia="da-DK"/>
        </w:rPr>
        <w:t xml:space="preserve"> product is already on the market. As the evaluation has shown, the PLD is no longer adapted for products in the digital age in a number of respects. </w:t>
      </w:r>
      <w:r w:rsidR="0048467D" w:rsidRPr="00501CD2">
        <w:rPr>
          <w:noProof/>
          <w:sz w:val="24"/>
          <w:szCs w:val="24"/>
        </w:rPr>
        <w:t xml:space="preserve">In the digital age, the features of a product are not set in stone when it is put into circulation, but are determined by software and digital services after that moment, </w:t>
      </w:r>
      <w:r w:rsidR="0082516D">
        <w:rPr>
          <w:noProof/>
          <w:sz w:val="24"/>
          <w:szCs w:val="24"/>
        </w:rPr>
        <w:t>which may be</w:t>
      </w:r>
      <w:r w:rsidR="0082516D" w:rsidRPr="00501CD2">
        <w:rPr>
          <w:noProof/>
          <w:sz w:val="24"/>
          <w:szCs w:val="24"/>
        </w:rPr>
        <w:t xml:space="preserve"> </w:t>
      </w:r>
      <w:r w:rsidR="0048467D" w:rsidRPr="00501CD2">
        <w:rPr>
          <w:noProof/>
          <w:sz w:val="24"/>
          <w:szCs w:val="24"/>
        </w:rPr>
        <w:t>provided by economic operators other than the producer of the “finished product”</w:t>
      </w:r>
      <w:r w:rsidR="0048467D" w:rsidRPr="0082516D">
        <w:rPr>
          <w:noProof/>
          <w:sz w:val="24"/>
          <w:szCs w:val="24"/>
        </w:rPr>
        <w:t>.</w:t>
      </w:r>
      <w:r w:rsidR="00402CDB">
        <w:rPr>
          <w:noProof/>
          <w:sz w:val="24"/>
          <w:szCs w:val="24"/>
        </w:rPr>
        <w:t xml:space="preserve"> </w:t>
      </w:r>
    </w:p>
    <w:p w14:paraId="2A744E1B" w14:textId="63848759" w:rsidR="0048467D" w:rsidRPr="00AC4167" w:rsidRDefault="00EB6CB8" w:rsidP="00501CD2">
      <w:pPr>
        <w:spacing w:after="240" w:line="240" w:lineRule="auto"/>
        <w:jc w:val="both"/>
        <w:rPr>
          <w:noProof/>
          <w:sz w:val="24"/>
          <w:szCs w:val="24"/>
        </w:rPr>
      </w:pPr>
      <w:r>
        <w:rPr>
          <w:rFonts w:cs="Times New Roman"/>
          <w:noProof/>
          <w:sz w:val="24"/>
          <w:szCs w:val="24"/>
        </w:rPr>
        <w:t>Clarity on how liability rules apply to software is all the more important considering the software industry is a growth sector: the industry in Germany was expected to grow from EUR 18 billion to EUR 20 billion between 2018 and 2021</w:t>
      </w:r>
      <w:r>
        <w:rPr>
          <w:rStyle w:val="FootnoteReference"/>
          <w:noProof/>
          <w:sz w:val="24"/>
          <w:szCs w:val="24"/>
        </w:rPr>
        <w:footnoteReference w:id="41"/>
      </w:r>
      <w:r>
        <w:rPr>
          <w:rFonts w:cs="Times New Roman"/>
          <w:noProof/>
          <w:sz w:val="24"/>
          <w:szCs w:val="24"/>
        </w:rPr>
        <w:t xml:space="preserve">. </w:t>
      </w:r>
      <w:r w:rsidR="0082516D" w:rsidRPr="0082516D">
        <w:rPr>
          <w:rFonts w:cs="Times New Roman"/>
          <w:noProof/>
          <w:sz w:val="24"/>
          <w:szCs w:val="24"/>
        </w:rPr>
        <w:t>The</w:t>
      </w:r>
      <w:r>
        <w:rPr>
          <w:rFonts w:cs="Times New Roman"/>
          <w:noProof/>
          <w:sz w:val="24"/>
          <w:szCs w:val="24"/>
        </w:rPr>
        <w:t xml:space="preserve"> </w:t>
      </w:r>
      <w:r w:rsidR="0082516D">
        <w:rPr>
          <w:rFonts w:cs="Times New Roman"/>
          <w:noProof/>
          <w:sz w:val="24"/>
          <w:szCs w:val="24"/>
        </w:rPr>
        <w:t xml:space="preserve">safety </w:t>
      </w:r>
      <w:r>
        <w:rPr>
          <w:rFonts w:cs="Times New Roman"/>
          <w:noProof/>
          <w:sz w:val="24"/>
          <w:szCs w:val="24"/>
        </w:rPr>
        <w:t xml:space="preserve">of products with digital elements </w:t>
      </w:r>
      <w:r w:rsidR="00EE724F">
        <w:rPr>
          <w:rFonts w:cs="Times New Roman"/>
          <w:noProof/>
          <w:sz w:val="24"/>
          <w:szCs w:val="24"/>
        </w:rPr>
        <w:t>also depends</w:t>
      </w:r>
      <w:r w:rsidR="0082516D">
        <w:rPr>
          <w:rFonts w:cs="Times New Roman"/>
          <w:noProof/>
          <w:sz w:val="24"/>
          <w:szCs w:val="24"/>
        </w:rPr>
        <w:t xml:space="preserve"> on cybersecurity: l</w:t>
      </w:r>
      <w:r w:rsidR="00AC4167" w:rsidRPr="00EE2C98">
        <w:rPr>
          <w:rFonts w:cs="Times New Roman"/>
          <w:noProof/>
          <w:sz w:val="24"/>
          <w:szCs w:val="24"/>
        </w:rPr>
        <w:t>ack of adequate cybersecurity is one of the barriers that limits the uptake of new technological developments. According to Eurostat, one person out of ten in the EU-27 does not use IoT devices due to cybersecurity concerns, while in Austria, Germany, Finland and Portugal the percentage is over 20%.</w:t>
      </w:r>
      <w:r w:rsidR="00AC4167" w:rsidRPr="00EE2C98">
        <w:rPr>
          <w:rStyle w:val="FootnoteReference"/>
          <w:noProof/>
          <w:sz w:val="24"/>
          <w:szCs w:val="24"/>
        </w:rPr>
        <w:footnoteReference w:id="42"/>
      </w:r>
      <w:r w:rsidR="00923E4E">
        <w:rPr>
          <w:rFonts w:cs="Times New Roman"/>
          <w:noProof/>
          <w:sz w:val="24"/>
          <w:szCs w:val="24"/>
        </w:rPr>
        <w:t xml:space="preserve"> The </w:t>
      </w:r>
      <w:r w:rsidR="000A0A8D">
        <w:rPr>
          <w:rFonts w:cs="Times New Roman"/>
          <w:noProof/>
          <w:sz w:val="24"/>
          <w:szCs w:val="24"/>
        </w:rPr>
        <w:t xml:space="preserve">PLD’s ill-adaptedness </w:t>
      </w:r>
      <w:r w:rsidR="00923E4E">
        <w:rPr>
          <w:rFonts w:cs="Times New Roman"/>
          <w:noProof/>
          <w:sz w:val="24"/>
          <w:szCs w:val="24"/>
        </w:rPr>
        <w:t>to new technologies is in part evidenced by the fact that the evaluation found only one case relating to new technological developments in the reporting period</w:t>
      </w:r>
      <w:r w:rsidR="00923E4E">
        <w:rPr>
          <w:rStyle w:val="FootnoteReference"/>
          <w:noProof/>
          <w:sz w:val="24"/>
          <w:szCs w:val="24"/>
        </w:rPr>
        <w:footnoteReference w:id="43"/>
      </w:r>
      <w:r w:rsidR="00923E4E">
        <w:rPr>
          <w:rFonts w:cs="Times New Roman"/>
          <w:noProof/>
          <w:sz w:val="24"/>
          <w:szCs w:val="24"/>
        </w:rPr>
        <w:t>.</w:t>
      </w:r>
      <w:r w:rsidR="000A0A8D">
        <w:rPr>
          <w:rFonts w:cs="Times New Roman"/>
          <w:noProof/>
          <w:sz w:val="24"/>
          <w:szCs w:val="24"/>
        </w:rPr>
        <w:t xml:space="preserve"> </w:t>
      </w:r>
      <w:r w:rsidR="000A0A8D" w:rsidRPr="00723F86">
        <w:rPr>
          <w:rFonts w:cs="Times New Roman"/>
          <w:noProof/>
          <w:sz w:val="24"/>
          <w:szCs w:val="24"/>
        </w:rPr>
        <w:t xml:space="preserve">As these developments gather pace, the </w:t>
      </w:r>
      <w:r w:rsidR="00723F86" w:rsidRPr="00723F86">
        <w:rPr>
          <w:rFonts w:cs="Times New Roman"/>
          <w:noProof/>
          <w:sz w:val="24"/>
          <w:szCs w:val="24"/>
        </w:rPr>
        <w:t>lack of future-proof rules is likely to further undermine the effectiveness of the PLD (see section 2.3)</w:t>
      </w:r>
      <w:r w:rsidR="000A0A8D" w:rsidRPr="00723F86">
        <w:rPr>
          <w:rFonts w:cs="Times New Roman"/>
          <w:noProof/>
          <w:sz w:val="24"/>
          <w:szCs w:val="24"/>
        </w:rPr>
        <w:t>.</w:t>
      </w:r>
    </w:p>
    <w:p w14:paraId="4AE51DFA" w14:textId="0246C56A" w:rsidR="0048467D" w:rsidRPr="00501CD2" w:rsidRDefault="0082516D" w:rsidP="00501CD2">
      <w:pPr>
        <w:spacing w:after="240" w:line="240" w:lineRule="auto"/>
        <w:jc w:val="both"/>
        <w:rPr>
          <w:noProof/>
          <w:sz w:val="24"/>
          <w:szCs w:val="24"/>
        </w:rPr>
      </w:pPr>
      <w:r>
        <w:rPr>
          <w:noProof/>
          <w:sz w:val="24"/>
          <w:szCs w:val="24"/>
        </w:rPr>
        <w:t>I</w:t>
      </w:r>
      <w:r w:rsidR="0048467D" w:rsidRPr="00501CD2">
        <w:rPr>
          <w:noProof/>
          <w:sz w:val="24"/>
          <w:szCs w:val="24"/>
        </w:rPr>
        <w:t xml:space="preserve">n the circular economy </w:t>
      </w:r>
      <w:r>
        <w:rPr>
          <w:noProof/>
          <w:sz w:val="24"/>
          <w:szCs w:val="24"/>
        </w:rPr>
        <w:t xml:space="preserve">too, </w:t>
      </w:r>
      <w:r w:rsidR="0048467D" w:rsidRPr="00501CD2">
        <w:rPr>
          <w:noProof/>
          <w:sz w:val="24"/>
          <w:szCs w:val="24"/>
        </w:rPr>
        <w:t>products may be modified by refurbishers and remanufacturers and placed back on the market, but the PLD is silent on whether such economic operators are subject to no-fault liability. Uncertainty makes it difficult for businesses to assess their liability exposure and may have negative effects on the growth of the circular economy.</w:t>
      </w:r>
    </w:p>
    <w:p w14:paraId="52BBD430" w14:textId="7CBFE596" w:rsidR="0048467D" w:rsidRPr="00501CD2" w:rsidRDefault="0048467D" w:rsidP="00501CD2">
      <w:pPr>
        <w:spacing w:after="240" w:line="240" w:lineRule="auto"/>
        <w:jc w:val="both"/>
        <w:rPr>
          <w:noProof/>
          <w:sz w:val="24"/>
          <w:szCs w:val="24"/>
        </w:rPr>
      </w:pPr>
      <w:r w:rsidRPr="00501CD2">
        <w:rPr>
          <w:noProof/>
          <w:sz w:val="24"/>
          <w:szCs w:val="24"/>
        </w:rPr>
        <w:t>And new global supply chains that make it possible for consumers to purchase products directly from non-EU producers have led to a situation where no EU-based economic operator is subject to no-fault liability in the event of defective products causing harm</w:t>
      </w:r>
      <w:r w:rsidR="0086501B">
        <w:rPr>
          <w:noProof/>
          <w:sz w:val="24"/>
          <w:szCs w:val="24"/>
        </w:rPr>
        <w:t>. This</w:t>
      </w:r>
      <w:r w:rsidRPr="00501CD2">
        <w:rPr>
          <w:noProof/>
          <w:sz w:val="24"/>
          <w:szCs w:val="24"/>
        </w:rPr>
        <w:t xml:space="preserve"> leav</w:t>
      </w:r>
      <w:r w:rsidR="0086501B">
        <w:rPr>
          <w:noProof/>
          <w:sz w:val="24"/>
          <w:szCs w:val="24"/>
        </w:rPr>
        <w:t>es</w:t>
      </w:r>
      <w:r w:rsidRPr="00501CD2">
        <w:rPr>
          <w:noProof/>
          <w:sz w:val="24"/>
          <w:szCs w:val="24"/>
        </w:rPr>
        <w:t xml:space="preserve"> consumers with no one to get compensation from under the PLD</w:t>
      </w:r>
      <w:r w:rsidR="00062B46">
        <w:rPr>
          <w:noProof/>
          <w:sz w:val="24"/>
          <w:szCs w:val="24"/>
        </w:rPr>
        <w:t xml:space="preserve"> and creat</w:t>
      </w:r>
      <w:r w:rsidR="0086501B">
        <w:rPr>
          <w:noProof/>
          <w:sz w:val="24"/>
          <w:szCs w:val="24"/>
        </w:rPr>
        <w:t>es</w:t>
      </w:r>
      <w:r w:rsidR="00062B46">
        <w:rPr>
          <w:noProof/>
          <w:sz w:val="24"/>
          <w:szCs w:val="24"/>
        </w:rPr>
        <w:t xml:space="preserve"> an uneven playing field between EU producers and non-EU producers </w:t>
      </w:r>
      <w:r w:rsidR="0086501B">
        <w:rPr>
          <w:noProof/>
          <w:sz w:val="24"/>
          <w:szCs w:val="24"/>
        </w:rPr>
        <w:t xml:space="preserve">who are </w:t>
      </w:r>
      <w:r w:rsidR="00062B46">
        <w:rPr>
          <w:noProof/>
          <w:sz w:val="24"/>
          <w:szCs w:val="24"/>
        </w:rPr>
        <w:t>beyond the reach of the PLD</w:t>
      </w:r>
      <w:r w:rsidRPr="00501CD2">
        <w:rPr>
          <w:noProof/>
          <w:sz w:val="24"/>
          <w:szCs w:val="24"/>
        </w:rPr>
        <w:t>.</w:t>
      </w:r>
    </w:p>
    <w:p w14:paraId="3B07058C" w14:textId="13678871" w:rsidR="0048467D" w:rsidRPr="00501CD2" w:rsidRDefault="0048467D" w:rsidP="00501CD2">
      <w:pPr>
        <w:spacing w:after="240" w:line="240" w:lineRule="auto"/>
        <w:jc w:val="both"/>
        <w:rPr>
          <w:noProof/>
          <w:sz w:val="24"/>
          <w:szCs w:val="24"/>
        </w:rPr>
      </w:pPr>
      <w:r w:rsidRPr="00501CD2">
        <w:rPr>
          <w:noProof/>
          <w:sz w:val="24"/>
          <w:szCs w:val="24"/>
        </w:rPr>
        <w:t xml:space="preserve">The consequences of </w:t>
      </w:r>
      <w:r w:rsidR="004E3C8E">
        <w:rPr>
          <w:noProof/>
          <w:sz w:val="24"/>
          <w:szCs w:val="24"/>
        </w:rPr>
        <w:t>all the above</w:t>
      </w:r>
      <w:r w:rsidRPr="00501CD2">
        <w:rPr>
          <w:noProof/>
          <w:sz w:val="24"/>
          <w:szCs w:val="24"/>
        </w:rPr>
        <w:t xml:space="preserve"> economic operators escaping no-fault liability are various: </w:t>
      </w:r>
      <w:r w:rsidR="00447494" w:rsidRPr="00501CD2">
        <w:rPr>
          <w:noProof/>
          <w:sz w:val="24"/>
          <w:szCs w:val="24"/>
        </w:rPr>
        <w:t xml:space="preserve">the </w:t>
      </w:r>
      <w:r w:rsidR="000B0A2A" w:rsidRPr="00501CD2">
        <w:rPr>
          <w:noProof/>
          <w:sz w:val="24"/>
          <w:szCs w:val="24"/>
        </w:rPr>
        <w:t xml:space="preserve">deterrence function of </w:t>
      </w:r>
      <w:r w:rsidR="00202EB5" w:rsidRPr="00501CD2">
        <w:rPr>
          <w:noProof/>
          <w:sz w:val="24"/>
          <w:szCs w:val="24"/>
        </w:rPr>
        <w:t>the PLD</w:t>
      </w:r>
      <w:r w:rsidR="00202EB5" w:rsidRPr="00501CD2">
        <w:rPr>
          <w:rStyle w:val="FootnoteReference"/>
          <w:noProof/>
          <w:sz w:val="24"/>
          <w:szCs w:val="24"/>
        </w:rPr>
        <w:footnoteReference w:id="44"/>
      </w:r>
      <w:r w:rsidR="00202EB5" w:rsidRPr="00501CD2">
        <w:rPr>
          <w:noProof/>
          <w:sz w:val="24"/>
          <w:szCs w:val="24"/>
        </w:rPr>
        <w:t>, designed to encourage</w:t>
      </w:r>
      <w:r w:rsidR="00447494" w:rsidRPr="00501CD2">
        <w:rPr>
          <w:noProof/>
          <w:sz w:val="24"/>
          <w:szCs w:val="24"/>
        </w:rPr>
        <w:t xml:space="preserve"> producers to </w:t>
      </w:r>
      <w:r w:rsidR="00202EB5" w:rsidRPr="00501CD2">
        <w:rPr>
          <w:noProof/>
          <w:sz w:val="24"/>
          <w:szCs w:val="24"/>
        </w:rPr>
        <w:t xml:space="preserve">do their best to make products safe, </w:t>
      </w:r>
      <w:r w:rsidR="00447494" w:rsidRPr="00501CD2">
        <w:rPr>
          <w:noProof/>
          <w:sz w:val="24"/>
          <w:szCs w:val="24"/>
        </w:rPr>
        <w:t>is missing</w:t>
      </w:r>
      <w:r w:rsidR="00202EB5" w:rsidRPr="00501CD2">
        <w:rPr>
          <w:noProof/>
          <w:sz w:val="24"/>
          <w:szCs w:val="24"/>
        </w:rPr>
        <w:t>;</w:t>
      </w:r>
      <w:r w:rsidRPr="00501CD2">
        <w:rPr>
          <w:noProof/>
          <w:sz w:val="24"/>
          <w:szCs w:val="24"/>
        </w:rPr>
        <w:t xml:space="preserve"> </w:t>
      </w:r>
      <w:r w:rsidR="00202EB5" w:rsidRPr="00501CD2">
        <w:rPr>
          <w:noProof/>
          <w:sz w:val="24"/>
          <w:szCs w:val="24"/>
        </w:rPr>
        <w:t xml:space="preserve">no-fault liability is shouldered instead by other economic operators </w:t>
      </w:r>
      <w:r w:rsidR="00AF723B" w:rsidRPr="00501CD2">
        <w:rPr>
          <w:noProof/>
          <w:sz w:val="24"/>
          <w:szCs w:val="24"/>
        </w:rPr>
        <w:t xml:space="preserve">(principally hardware manufacturers) </w:t>
      </w:r>
      <w:r w:rsidR="00202EB5" w:rsidRPr="00501CD2">
        <w:rPr>
          <w:noProof/>
          <w:sz w:val="24"/>
          <w:szCs w:val="24"/>
        </w:rPr>
        <w:t xml:space="preserve">who </w:t>
      </w:r>
      <w:r w:rsidR="00AF723B" w:rsidRPr="00501CD2">
        <w:rPr>
          <w:noProof/>
          <w:sz w:val="24"/>
          <w:szCs w:val="24"/>
        </w:rPr>
        <w:t>may</w:t>
      </w:r>
      <w:r w:rsidR="00202EB5" w:rsidRPr="00501CD2">
        <w:rPr>
          <w:noProof/>
          <w:sz w:val="24"/>
          <w:szCs w:val="24"/>
        </w:rPr>
        <w:t xml:space="preserve"> not</w:t>
      </w:r>
      <w:r w:rsidR="00AF723B" w:rsidRPr="00501CD2">
        <w:rPr>
          <w:noProof/>
          <w:sz w:val="24"/>
          <w:szCs w:val="24"/>
        </w:rPr>
        <w:t xml:space="preserve"> be</w:t>
      </w:r>
      <w:r w:rsidRPr="00501CD2">
        <w:rPr>
          <w:noProof/>
          <w:sz w:val="24"/>
          <w:szCs w:val="24"/>
        </w:rPr>
        <w:t xml:space="preserve"> best placed to minimise software-related safety risks; </w:t>
      </w:r>
      <w:r w:rsidR="009F61D6" w:rsidRPr="00501CD2">
        <w:rPr>
          <w:noProof/>
          <w:sz w:val="24"/>
          <w:szCs w:val="24"/>
        </w:rPr>
        <w:t xml:space="preserve">competition between market operators is distorted, since producers of hardware products and components </w:t>
      </w:r>
      <w:r w:rsidR="009F61D6" w:rsidRPr="00501CD2">
        <w:rPr>
          <w:i/>
          <w:noProof/>
          <w:sz w:val="24"/>
          <w:szCs w:val="24"/>
        </w:rPr>
        <w:t>are</w:t>
      </w:r>
      <w:r w:rsidR="009F61D6" w:rsidRPr="00501CD2">
        <w:rPr>
          <w:noProof/>
          <w:sz w:val="24"/>
          <w:szCs w:val="24"/>
        </w:rPr>
        <w:t xml:space="preserve"> subject to no-fault liability; </w:t>
      </w:r>
      <w:r w:rsidRPr="00501CD2">
        <w:rPr>
          <w:noProof/>
          <w:sz w:val="24"/>
          <w:szCs w:val="24"/>
        </w:rPr>
        <w:t xml:space="preserve">levels of consumer protection across the EU are unequal, since some Member States do impose no-fault liability outside of the PLD regime for </w:t>
      </w:r>
      <w:r w:rsidR="004E3C8E">
        <w:rPr>
          <w:noProof/>
          <w:sz w:val="24"/>
          <w:szCs w:val="24"/>
        </w:rPr>
        <w:t xml:space="preserve">digital </w:t>
      </w:r>
      <w:r w:rsidRPr="00501CD2">
        <w:rPr>
          <w:noProof/>
          <w:sz w:val="24"/>
          <w:szCs w:val="24"/>
        </w:rPr>
        <w:t xml:space="preserve">services </w:t>
      </w:r>
      <w:r w:rsidR="004E3C8E">
        <w:rPr>
          <w:noProof/>
          <w:sz w:val="24"/>
          <w:szCs w:val="24"/>
        </w:rPr>
        <w:t>necessary for products to operate</w:t>
      </w:r>
      <w:r w:rsidRPr="00501CD2">
        <w:rPr>
          <w:noProof/>
          <w:sz w:val="24"/>
          <w:szCs w:val="24"/>
        </w:rPr>
        <w:t xml:space="preserve">; and consumers face uncertainty about how to get compensation for harm caused by digital </w:t>
      </w:r>
      <w:r w:rsidR="004E3C8E">
        <w:rPr>
          <w:noProof/>
          <w:sz w:val="24"/>
          <w:szCs w:val="24"/>
        </w:rPr>
        <w:t>and refurbished or remanufactured</w:t>
      </w:r>
      <w:r w:rsidRPr="00501CD2">
        <w:rPr>
          <w:noProof/>
          <w:sz w:val="24"/>
          <w:szCs w:val="24"/>
        </w:rPr>
        <w:t xml:space="preserve"> products and from whom. Nevertheless, it is worth mention</w:t>
      </w:r>
      <w:r w:rsidR="00B20C53" w:rsidRPr="00501CD2">
        <w:rPr>
          <w:noProof/>
          <w:sz w:val="24"/>
          <w:szCs w:val="24"/>
        </w:rPr>
        <w:t>ing</w:t>
      </w:r>
      <w:r w:rsidRPr="00501CD2">
        <w:rPr>
          <w:noProof/>
          <w:sz w:val="24"/>
          <w:szCs w:val="24"/>
        </w:rPr>
        <w:t xml:space="preserve"> that the effect of certain products</w:t>
      </w:r>
      <w:r w:rsidR="001A03D0">
        <w:rPr>
          <w:noProof/>
          <w:sz w:val="24"/>
          <w:szCs w:val="24"/>
        </w:rPr>
        <w:t>,</w:t>
      </w:r>
      <w:r w:rsidRPr="00501CD2">
        <w:rPr>
          <w:noProof/>
          <w:sz w:val="24"/>
          <w:szCs w:val="24"/>
        </w:rPr>
        <w:t xml:space="preserve"> economic actors </w:t>
      </w:r>
      <w:r w:rsidR="001A03D0">
        <w:rPr>
          <w:noProof/>
          <w:sz w:val="24"/>
          <w:szCs w:val="24"/>
        </w:rPr>
        <w:t>and damage</w:t>
      </w:r>
      <w:r w:rsidRPr="00501CD2">
        <w:rPr>
          <w:noProof/>
          <w:sz w:val="24"/>
          <w:szCs w:val="24"/>
        </w:rPr>
        <w:t xml:space="preserve"> falling outside of the PLD’s no-fault liability regime does not mean a complete absence of compensation for victims of harm: national regimes provide for extra-contractual liability for fault or negligence. But the difficulties involved in proving fault were precisely the rationale for introducing no-fault liability for producers in the first place by the PLD (</w:t>
      </w:r>
      <w:r w:rsidR="00723F86">
        <w:rPr>
          <w:noProof/>
          <w:sz w:val="24"/>
          <w:szCs w:val="24"/>
        </w:rPr>
        <w:t>s</w:t>
      </w:r>
      <w:r w:rsidRPr="00501CD2">
        <w:rPr>
          <w:noProof/>
          <w:sz w:val="24"/>
          <w:szCs w:val="24"/>
        </w:rPr>
        <w:t>ee section 1.2 for more details)</w:t>
      </w:r>
      <w:r w:rsidR="00723F86">
        <w:rPr>
          <w:noProof/>
          <w:sz w:val="24"/>
          <w:szCs w:val="24"/>
        </w:rPr>
        <w:t>.</w:t>
      </w:r>
      <w:r w:rsidRPr="00501CD2">
        <w:rPr>
          <w:noProof/>
          <w:sz w:val="24"/>
          <w:szCs w:val="24"/>
        </w:rPr>
        <w:t xml:space="preserve"> The existence of alternative routes to compensation </w:t>
      </w:r>
      <w:r w:rsidR="00C67BB7" w:rsidRPr="00501CD2">
        <w:rPr>
          <w:noProof/>
          <w:sz w:val="24"/>
          <w:szCs w:val="24"/>
        </w:rPr>
        <w:t>makes consumer protection more comprehensive</w:t>
      </w:r>
      <w:r w:rsidRPr="00501CD2">
        <w:rPr>
          <w:noProof/>
          <w:sz w:val="24"/>
          <w:szCs w:val="24"/>
        </w:rPr>
        <w:t xml:space="preserve">, but it makes it very difficult to quantify the </w:t>
      </w:r>
      <w:r w:rsidR="00C67BB7" w:rsidRPr="00501CD2">
        <w:rPr>
          <w:noProof/>
          <w:sz w:val="24"/>
          <w:szCs w:val="24"/>
        </w:rPr>
        <w:t>added value of no-fault liability</w:t>
      </w:r>
      <w:r w:rsidR="0073758C" w:rsidRPr="00501CD2">
        <w:rPr>
          <w:noProof/>
          <w:sz w:val="24"/>
          <w:szCs w:val="24"/>
        </w:rPr>
        <w:t xml:space="preserve">. </w:t>
      </w:r>
      <w:r w:rsidR="00066102">
        <w:rPr>
          <w:noProof/>
          <w:sz w:val="24"/>
          <w:szCs w:val="24"/>
        </w:rPr>
        <w:t xml:space="preserve">At the same time, economic operators usually have </w:t>
      </w:r>
      <w:r w:rsidR="00723F86">
        <w:rPr>
          <w:noProof/>
          <w:sz w:val="24"/>
          <w:szCs w:val="24"/>
        </w:rPr>
        <w:t>an</w:t>
      </w:r>
      <w:r w:rsidR="00066102">
        <w:rPr>
          <w:noProof/>
          <w:sz w:val="24"/>
          <w:szCs w:val="24"/>
        </w:rPr>
        <w:t xml:space="preserve"> insurance policy covering all type of potential liability claims. </w:t>
      </w:r>
      <w:r w:rsidR="0073758C" w:rsidRPr="00501CD2">
        <w:rPr>
          <w:noProof/>
          <w:sz w:val="24"/>
          <w:szCs w:val="24"/>
        </w:rPr>
        <w:t>(The impact assessment on AI liability looks at challenges in proving fault specifically when certain AI systems are involved.)</w:t>
      </w:r>
    </w:p>
    <w:p w14:paraId="74A67643" w14:textId="5D43837D" w:rsidR="0048467D" w:rsidRPr="00A021E6" w:rsidRDefault="0048467D" w:rsidP="00DD3B24">
      <w:pPr>
        <w:pStyle w:val="ListParagraph"/>
        <w:numPr>
          <w:ilvl w:val="0"/>
          <w:numId w:val="31"/>
        </w:numPr>
        <w:spacing w:after="240"/>
        <w:jc w:val="both"/>
        <w:rPr>
          <w:b/>
          <w:noProof/>
          <w:sz w:val="24"/>
          <w:szCs w:val="24"/>
        </w:rPr>
      </w:pPr>
      <w:r w:rsidRPr="00A021E6">
        <w:rPr>
          <w:b/>
          <w:noProof/>
          <w:sz w:val="24"/>
          <w:szCs w:val="24"/>
        </w:rPr>
        <w:t>Consumers face obstacles to getting compensation</w:t>
      </w:r>
    </w:p>
    <w:p w14:paraId="3113DDE7" w14:textId="77777777" w:rsidR="0048467D" w:rsidRPr="00501CD2" w:rsidRDefault="0048467D" w:rsidP="00501CD2">
      <w:pPr>
        <w:spacing w:after="240" w:line="240" w:lineRule="auto"/>
        <w:jc w:val="both"/>
        <w:rPr>
          <w:noProof/>
          <w:sz w:val="24"/>
          <w:szCs w:val="24"/>
        </w:rPr>
      </w:pPr>
      <w:r w:rsidRPr="00501CD2">
        <w:rPr>
          <w:noProof/>
          <w:sz w:val="24"/>
          <w:szCs w:val="24"/>
        </w:rPr>
        <w:t>The PLD seeks to achieve a fair balance of interests between consumers and producers, and the importance of this balance has been stressed in every application report since 2001. Whereas producers shoulder liability irrespective of fault, claimants shoulder the burden of proof and face time limits and thresholds. The 2018 evaluation found that the balance struck in the current PLD was not always fair to consumers, due to the difficulties in proving liability when complex products cause harm, and due to the time limits and thresholds that disproportionately restrict the number of claims</w:t>
      </w:r>
      <w:r w:rsidRPr="00501CD2">
        <w:rPr>
          <w:rStyle w:val="FootnoteReference"/>
          <w:noProof/>
          <w:sz w:val="24"/>
          <w:szCs w:val="24"/>
        </w:rPr>
        <w:footnoteReference w:id="45"/>
      </w:r>
      <w:r w:rsidRPr="00501CD2">
        <w:rPr>
          <w:noProof/>
          <w:sz w:val="24"/>
          <w:szCs w:val="24"/>
        </w:rPr>
        <w:t>.</w:t>
      </w:r>
    </w:p>
    <w:p w14:paraId="6234C09B" w14:textId="47A9F574" w:rsidR="0048467D" w:rsidRPr="00501CD2" w:rsidRDefault="0048467D" w:rsidP="00501CD2">
      <w:pPr>
        <w:spacing w:after="240" w:line="240" w:lineRule="auto"/>
        <w:jc w:val="both"/>
        <w:rPr>
          <w:noProof/>
          <w:sz w:val="24"/>
          <w:szCs w:val="24"/>
        </w:rPr>
      </w:pPr>
      <w:r w:rsidRPr="00501CD2">
        <w:rPr>
          <w:noProof/>
          <w:sz w:val="24"/>
          <w:szCs w:val="24"/>
        </w:rPr>
        <w:t>Stakeholders have deeply conflicting views, with a sharp divide between consumer and industry positions. Industry stakeholders, exemplified by Business Europe</w:t>
      </w:r>
      <w:r w:rsidRPr="00501CD2">
        <w:rPr>
          <w:rStyle w:val="FootnoteReference"/>
          <w:noProof/>
          <w:sz w:val="24"/>
          <w:szCs w:val="24"/>
        </w:rPr>
        <w:footnoteReference w:id="46"/>
      </w:r>
      <w:r w:rsidRPr="00501CD2">
        <w:rPr>
          <w:noProof/>
          <w:sz w:val="24"/>
          <w:szCs w:val="24"/>
        </w:rPr>
        <w:t>, consider the current balance to be just right</w:t>
      </w:r>
      <w:r w:rsidR="008157A4" w:rsidRPr="00501CD2">
        <w:rPr>
          <w:noProof/>
          <w:sz w:val="24"/>
          <w:szCs w:val="24"/>
        </w:rPr>
        <w:t>. They acknowledge that complex products may present challenges for consumers, but argue that national courts have the possibility to ease the burden of proof where necessary</w:t>
      </w:r>
      <w:r w:rsidRPr="00501CD2">
        <w:rPr>
          <w:noProof/>
          <w:sz w:val="24"/>
          <w:szCs w:val="24"/>
        </w:rPr>
        <w:t>, although the pharmaceutical</w:t>
      </w:r>
      <w:r w:rsidR="009009FA">
        <w:rPr>
          <w:noProof/>
          <w:sz w:val="24"/>
          <w:szCs w:val="24"/>
        </w:rPr>
        <w:t>s</w:t>
      </w:r>
      <w:r w:rsidRPr="00501CD2">
        <w:rPr>
          <w:noProof/>
          <w:sz w:val="24"/>
          <w:szCs w:val="24"/>
        </w:rPr>
        <w:t xml:space="preserve"> industry organisation EFPIA considers some national courts have </w:t>
      </w:r>
      <w:r w:rsidR="008157A4" w:rsidRPr="00501CD2">
        <w:rPr>
          <w:noProof/>
          <w:sz w:val="24"/>
          <w:szCs w:val="24"/>
        </w:rPr>
        <w:t xml:space="preserve">gone too far, thus </w:t>
      </w:r>
      <w:r w:rsidRPr="00501CD2">
        <w:rPr>
          <w:noProof/>
          <w:sz w:val="24"/>
          <w:szCs w:val="24"/>
        </w:rPr>
        <w:t>undermin</w:t>
      </w:r>
      <w:r w:rsidR="008157A4" w:rsidRPr="00501CD2">
        <w:rPr>
          <w:noProof/>
          <w:sz w:val="24"/>
          <w:szCs w:val="24"/>
        </w:rPr>
        <w:t>ing</w:t>
      </w:r>
      <w:r w:rsidRPr="00501CD2">
        <w:rPr>
          <w:noProof/>
          <w:sz w:val="24"/>
          <w:szCs w:val="24"/>
        </w:rPr>
        <w:t xml:space="preserve"> </w:t>
      </w:r>
      <w:r w:rsidR="008157A4" w:rsidRPr="00501CD2">
        <w:rPr>
          <w:noProof/>
          <w:sz w:val="24"/>
          <w:szCs w:val="24"/>
        </w:rPr>
        <w:t>the</w:t>
      </w:r>
      <w:r w:rsidRPr="00501CD2">
        <w:rPr>
          <w:noProof/>
          <w:sz w:val="24"/>
          <w:szCs w:val="24"/>
        </w:rPr>
        <w:t xml:space="preserve"> balance</w:t>
      </w:r>
      <w:r w:rsidRPr="00501CD2">
        <w:rPr>
          <w:rStyle w:val="FootnoteReference"/>
          <w:noProof/>
          <w:sz w:val="24"/>
          <w:szCs w:val="24"/>
        </w:rPr>
        <w:footnoteReference w:id="47"/>
      </w:r>
      <w:r w:rsidRPr="00501CD2">
        <w:rPr>
          <w:noProof/>
          <w:sz w:val="24"/>
          <w:szCs w:val="24"/>
        </w:rPr>
        <w:t>. Consumer organisations, on the other hand, argue it is difficult and costly to get compensation for harm caused by complex products; that individual victims unfairly bear the risk of damage from new technologies whose defects are undiscoverable when the product is put into circulation; and that time limits and thresholds prevent access to justice. They also argue that the challenges for consumers will only get worse as products become ever more complex.</w:t>
      </w:r>
      <w:r w:rsidRPr="00501CD2">
        <w:rPr>
          <w:rStyle w:val="FootnoteReference"/>
          <w:noProof/>
          <w:sz w:val="24"/>
          <w:szCs w:val="24"/>
        </w:rPr>
        <w:footnoteReference w:id="48"/>
      </w:r>
      <w:r w:rsidRPr="00501CD2">
        <w:rPr>
          <w:noProof/>
          <w:sz w:val="24"/>
          <w:szCs w:val="24"/>
        </w:rPr>
        <w:t xml:space="preserve">. </w:t>
      </w:r>
    </w:p>
    <w:p w14:paraId="2C7432E1" w14:textId="110DF4FF" w:rsidR="0048467D" w:rsidRDefault="002E7937" w:rsidP="002E7937">
      <w:pPr>
        <w:pStyle w:val="Heading2"/>
        <w:rPr>
          <w:noProof/>
        </w:rPr>
      </w:pPr>
      <w:bookmarkStart w:id="155" w:name="_Toc93401433"/>
      <w:bookmarkStart w:id="156" w:name="_Toc94004868"/>
      <w:bookmarkStart w:id="157" w:name="_Toc94005528"/>
      <w:bookmarkStart w:id="158" w:name="_Toc94007141"/>
      <w:bookmarkStart w:id="159" w:name="_Toc95379853"/>
      <w:bookmarkStart w:id="160" w:name="_Toc95391345"/>
      <w:bookmarkStart w:id="161" w:name="_Toc95396414"/>
      <w:bookmarkStart w:id="162" w:name="_Toc95421512"/>
      <w:bookmarkStart w:id="163" w:name="_Toc95481961"/>
      <w:bookmarkStart w:id="164" w:name="_Toc96337754"/>
      <w:bookmarkStart w:id="165" w:name="_Toc96446233"/>
      <w:bookmarkStart w:id="166" w:name="_Toc96448006"/>
      <w:bookmarkStart w:id="167" w:name="_Toc96593955"/>
      <w:bookmarkStart w:id="168" w:name="_Toc96597246"/>
      <w:bookmarkStart w:id="169" w:name="_Toc96609181"/>
      <w:bookmarkStart w:id="170" w:name="_Toc97149210"/>
      <w:bookmarkStart w:id="171" w:name="_Toc97191256"/>
      <w:bookmarkStart w:id="172" w:name="_Toc107430066"/>
      <w:r w:rsidRPr="002E7937">
        <w:t>2.2.</w:t>
      </w:r>
      <w:r w:rsidRPr="002E7937">
        <w:tab/>
      </w:r>
      <w:r w:rsidR="0048467D">
        <w:rPr>
          <w:noProof/>
        </w:rPr>
        <w:t>What are the problem drivers?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73FF20F" w14:textId="6B615BDC" w:rsidR="00A61C6F" w:rsidRPr="00FE4460" w:rsidRDefault="002E7937" w:rsidP="002E7937">
      <w:pPr>
        <w:pStyle w:val="Heading3"/>
        <w:rPr>
          <w:noProof/>
        </w:rPr>
      </w:pPr>
      <w:bookmarkStart w:id="173" w:name="_Toc93401431"/>
      <w:bookmarkStart w:id="174" w:name="_Toc94005526"/>
      <w:bookmarkStart w:id="175" w:name="_Toc95379854"/>
      <w:bookmarkStart w:id="176" w:name="_Toc95391346"/>
      <w:bookmarkStart w:id="177" w:name="_Toc95396415"/>
      <w:bookmarkStart w:id="178" w:name="_Toc95421513"/>
      <w:bookmarkStart w:id="179" w:name="_Toc95481962"/>
      <w:bookmarkStart w:id="180" w:name="_Toc96337755"/>
      <w:bookmarkStart w:id="181" w:name="_Toc96446234"/>
      <w:bookmarkStart w:id="182" w:name="_Toc96448007"/>
      <w:bookmarkStart w:id="183" w:name="_Toc96593956"/>
      <w:bookmarkStart w:id="184" w:name="_Toc96597247"/>
      <w:bookmarkStart w:id="185" w:name="_Toc96609182"/>
      <w:bookmarkStart w:id="186" w:name="_Toc97149211"/>
      <w:bookmarkStart w:id="187" w:name="_Toc97191257"/>
      <w:bookmarkStart w:id="188" w:name="_Toc107430067"/>
      <w:r w:rsidRPr="002E7937">
        <w:t>2.2.1.</w:t>
      </w:r>
      <w:r w:rsidRPr="002E7937">
        <w:tab/>
      </w:r>
      <w:r w:rsidR="00A61C6F" w:rsidRPr="00FE4460">
        <w:rPr>
          <w:noProof/>
        </w:rPr>
        <w:t xml:space="preserve">Problem </w:t>
      </w:r>
      <w:r w:rsidR="00EF09A6" w:rsidRPr="00FE4460">
        <w:rPr>
          <w:noProof/>
        </w:rPr>
        <w:t>1</w:t>
      </w:r>
      <w:r w:rsidR="00A61C6F" w:rsidRPr="00FE4460">
        <w:rPr>
          <w:noProof/>
        </w:rPr>
        <w:t>: Certain products</w:t>
      </w:r>
      <w:r w:rsidR="001A03D0">
        <w:rPr>
          <w:noProof/>
        </w:rPr>
        <w:t>,</w:t>
      </w:r>
      <w:r w:rsidR="00C3593A" w:rsidRPr="00FE4460">
        <w:rPr>
          <w:noProof/>
        </w:rPr>
        <w:t xml:space="preserve"> </w:t>
      </w:r>
      <w:r w:rsidR="00A61C6F" w:rsidRPr="00FE4460">
        <w:rPr>
          <w:noProof/>
        </w:rPr>
        <w:t xml:space="preserve">economic actors </w:t>
      </w:r>
      <w:r w:rsidR="001A03D0">
        <w:rPr>
          <w:noProof/>
        </w:rPr>
        <w:t xml:space="preserve">and damage </w:t>
      </w:r>
      <w:r w:rsidR="00A61C6F" w:rsidRPr="00FE4460">
        <w:rPr>
          <w:noProof/>
        </w:rPr>
        <w:t>in the digital and circular economy escape no-fault liability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B35EC48" w14:textId="5D5894A2" w:rsidR="00A61C6F" w:rsidRPr="00A61C6F" w:rsidRDefault="00402CDB" w:rsidP="00DD3B24">
      <w:pPr>
        <w:pStyle w:val="Heading4"/>
        <w:numPr>
          <w:ilvl w:val="3"/>
          <w:numId w:val="30"/>
        </w:numPr>
        <w:ind w:left="720" w:hanging="720"/>
        <w:rPr>
          <w:noProof/>
        </w:rPr>
      </w:pPr>
      <w:r>
        <w:rPr>
          <w:noProof/>
        </w:rPr>
        <w:t xml:space="preserve"> </w:t>
      </w:r>
      <w:r w:rsidR="00BC374D" w:rsidRPr="000111E4">
        <w:rPr>
          <w:noProof/>
        </w:rPr>
        <w:t xml:space="preserve">Liability rules </w:t>
      </w:r>
      <w:r w:rsidR="00267F44" w:rsidRPr="000111E4">
        <w:rPr>
          <w:noProof/>
        </w:rPr>
        <w:t>not adapted</w:t>
      </w:r>
      <w:r w:rsidR="00BC374D" w:rsidRPr="000111E4">
        <w:rPr>
          <w:noProof/>
        </w:rPr>
        <w:t xml:space="preserve"> for products in the digital age</w:t>
      </w:r>
    </w:p>
    <w:p w14:paraId="5E57A9A6" w14:textId="199F8169" w:rsidR="00B156B6" w:rsidRPr="00501CD2" w:rsidRDefault="00A61C6F" w:rsidP="00501CD2">
      <w:pPr>
        <w:spacing w:after="240" w:line="240" w:lineRule="auto"/>
        <w:jc w:val="both"/>
        <w:rPr>
          <w:rFonts w:cs="Times New Roman"/>
          <w:noProof/>
          <w:sz w:val="24"/>
          <w:szCs w:val="24"/>
          <w:lang w:eastAsia="da-DK"/>
        </w:rPr>
      </w:pPr>
      <w:r w:rsidRPr="00501CD2">
        <w:rPr>
          <w:rFonts w:cs="Times New Roman"/>
          <w:noProof/>
          <w:sz w:val="24"/>
          <w:szCs w:val="24"/>
        </w:rPr>
        <w:t xml:space="preserve">The PLD </w:t>
      </w:r>
      <w:r w:rsidRPr="00501CD2">
        <w:rPr>
          <w:rFonts w:cs="Times New Roman"/>
          <w:noProof/>
          <w:sz w:val="24"/>
          <w:szCs w:val="24"/>
          <w:lang w:eastAsia="da-DK"/>
        </w:rPr>
        <w:t xml:space="preserve">allows a producer to escape liability if </w:t>
      </w:r>
      <w:r w:rsidR="006E6B39" w:rsidRPr="00501CD2">
        <w:rPr>
          <w:rFonts w:cs="Times New Roman"/>
          <w:noProof/>
          <w:sz w:val="24"/>
          <w:szCs w:val="24"/>
          <w:lang w:eastAsia="da-DK"/>
        </w:rPr>
        <w:t xml:space="preserve">the producer can prove that </w:t>
      </w:r>
      <w:r w:rsidR="00267F44" w:rsidRPr="00501CD2">
        <w:rPr>
          <w:rFonts w:cs="Times New Roman"/>
          <w:noProof/>
          <w:sz w:val="24"/>
          <w:szCs w:val="24"/>
        </w:rPr>
        <w:t xml:space="preserve">a </w:t>
      </w:r>
      <w:r w:rsidRPr="00501CD2">
        <w:rPr>
          <w:rFonts w:cs="Times New Roman"/>
          <w:noProof/>
          <w:sz w:val="24"/>
          <w:szCs w:val="24"/>
        </w:rPr>
        <w:t xml:space="preserve">defect </w:t>
      </w:r>
      <w:r w:rsidR="00267F44" w:rsidRPr="00501CD2">
        <w:rPr>
          <w:rFonts w:cs="Times New Roman"/>
          <w:noProof/>
          <w:sz w:val="24"/>
          <w:szCs w:val="24"/>
        </w:rPr>
        <w:t xml:space="preserve">that </w:t>
      </w:r>
      <w:r w:rsidRPr="00501CD2">
        <w:rPr>
          <w:rFonts w:cs="Times New Roman"/>
          <w:noProof/>
          <w:sz w:val="24"/>
          <w:szCs w:val="24"/>
        </w:rPr>
        <w:t>cause</w:t>
      </w:r>
      <w:r w:rsidR="00267F44" w:rsidRPr="00501CD2">
        <w:rPr>
          <w:rFonts w:cs="Times New Roman"/>
          <w:noProof/>
          <w:sz w:val="24"/>
          <w:szCs w:val="24"/>
        </w:rPr>
        <w:t>s</w:t>
      </w:r>
      <w:r w:rsidRPr="00501CD2">
        <w:rPr>
          <w:rFonts w:cs="Times New Roman"/>
          <w:noProof/>
          <w:sz w:val="24"/>
          <w:szCs w:val="24"/>
        </w:rPr>
        <w:t xml:space="preserve"> damage </w:t>
      </w:r>
      <w:r w:rsidR="00D2012F" w:rsidRPr="00501CD2">
        <w:rPr>
          <w:rFonts w:cs="Times New Roman"/>
          <w:noProof/>
          <w:sz w:val="24"/>
          <w:szCs w:val="24"/>
        </w:rPr>
        <w:t xml:space="preserve">probably </w:t>
      </w:r>
      <w:r w:rsidRPr="00501CD2">
        <w:rPr>
          <w:rFonts w:cs="Times New Roman"/>
          <w:noProof/>
          <w:sz w:val="24"/>
          <w:szCs w:val="24"/>
        </w:rPr>
        <w:t>came into being after</w:t>
      </w:r>
      <w:r w:rsidR="00267F44" w:rsidRPr="00501CD2">
        <w:rPr>
          <w:rFonts w:cs="Times New Roman"/>
          <w:noProof/>
          <w:sz w:val="24"/>
          <w:szCs w:val="24"/>
        </w:rPr>
        <w:t xml:space="preserve"> the product was put into circulation</w:t>
      </w:r>
      <w:r w:rsidR="00A84DDB" w:rsidRPr="00501CD2">
        <w:rPr>
          <w:rStyle w:val="FootnoteReference"/>
          <w:noProof/>
          <w:sz w:val="24"/>
          <w:szCs w:val="24"/>
        </w:rPr>
        <w:footnoteReference w:id="49"/>
      </w:r>
      <w:r w:rsidRPr="00501CD2">
        <w:rPr>
          <w:rFonts w:cs="Times New Roman"/>
          <w:noProof/>
          <w:sz w:val="24"/>
          <w:szCs w:val="24"/>
        </w:rPr>
        <w:t>’ (the “later-defect defence”)</w:t>
      </w:r>
      <w:r w:rsidR="004E3C8E">
        <w:rPr>
          <w:rFonts w:cs="Times New Roman"/>
          <w:noProof/>
          <w:sz w:val="24"/>
          <w:szCs w:val="24"/>
        </w:rPr>
        <w:t>, because it is traditionally at that moment that the product leaves the producer’s control</w:t>
      </w:r>
      <w:r w:rsidRPr="00501CD2">
        <w:rPr>
          <w:rFonts w:cs="Times New Roman"/>
          <w:noProof/>
          <w:sz w:val="24"/>
          <w:szCs w:val="24"/>
        </w:rPr>
        <w:t>.</w:t>
      </w:r>
      <w:r w:rsidR="004E3C8E" w:rsidRPr="00501CD2" w:rsidDel="004E3C8E">
        <w:rPr>
          <w:rFonts w:cs="Times New Roman"/>
          <w:noProof/>
          <w:sz w:val="24"/>
          <w:szCs w:val="24"/>
        </w:rPr>
        <w:t xml:space="preserve"> </w:t>
      </w:r>
      <w:r w:rsidR="00374F87">
        <w:rPr>
          <w:rFonts w:cs="Times New Roman"/>
          <w:noProof/>
          <w:sz w:val="24"/>
          <w:szCs w:val="24"/>
        </w:rPr>
        <w:t>T</w:t>
      </w:r>
      <w:r w:rsidRPr="00501CD2">
        <w:rPr>
          <w:rFonts w:cs="Times New Roman"/>
          <w:noProof/>
          <w:sz w:val="24"/>
          <w:szCs w:val="24"/>
        </w:rPr>
        <w:t xml:space="preserve">his logic no longer reflects the reality of products in the digital age. </w:t>
      </w:r>
      <w:r w:rsidR="00FD4523" w:rsidRPr="00501CD2">
        <w:rPr>
          <w:rFonts w:cs="Times New Roman"/>
          <w:noProof/>
          <w:sz w:val="24"/>
          <w:szCs w:val="24"/>
        </w:rPr>
        <w:t>P</w:t>
      </w:r>
      <w:r w:rsidRPr="00501CD2">
        <w:rPr>
          <w:rFonts w:cs="Times New Roman"/>
          <w:noProof/>
          <w:sz w:val="24"/>
          <w:szCs w:val="24"/>
        </w:rPr>
        <w:t xml:space="preserve">roducers of </w:t>
      </w:r>
      <w:r w:rsidR="00907701" w:rsidRPr="00501CD2">
        <w:rPr>
          <w:rFonts w:cs="Times New Roman"/>
          <w:noProof/>
          <w:sz w:val="24"/>
          <w:szCs w:val="24"/>
        </w:rPr>
        <w:t>such</w:t>
      </w:r>
      <w:r w:rsidRPr="00501CD2">
        <w:rPr>
          <w:rFonts w:cs="Times New Roman"/>
          <w:noProof/>
          <w:sz w:val="24"/>
          <w:szCs w:val="24"/>
        </w:rPr>
        <w:t xml:space="preserve"> products </w:t>
      </w:r>
      <w:r w:rsidR="00B929CE">
        <w:rPr>
          <w:rFonts w:cs="Times New Roman"/>
          <w:noProof/>
          <w:sz w:val="24"/>
          <w:szCs w:val="24"/>
        </w:rPr>
        <w:t xml:space="preserve">often </w:t>
      </w:r>
      <w:r w:rsidRPr="00501CD2">
        <w:rPr>
          <w:rFonts w:cs="Times New Roman"/>
          <w:noProof/>
          <w:sz w:val="24"/>
          <w:szCs w:val="24"/>
        </w:rPr>
        <w:t>retain control of them after they are put into circulation, either by providing updates</w:t>
      </w:r>
      <w:r w:rsidR="00563E66" w:rsidRPr="00501CD2">
        <w:rPr>
          <w:rFonts w:cs="Times New Roman"/>
          <w:noProof/>
          <w:sz w:val="24"/>
          <w:szCs w:val="24"/>
        </w:rPr>
        <w:t>,</w:t>
      </w:r>
      <w:r w:rsidRPr="00501CD2">
        <w:rPr>
          <w:rFonts w:cs="Times New Roman"/>
          <w:noProof/>
          <w:sz w:val="24"/>
          <w:szCs w:val="24"/>
        </w:rPr>
        <w:t xml:space="preserve"> delivering new functionalities through upgrades</w:t>
      </w:r>
      <w:r w:rsidR="00563E66" w:rsidRPr="00501CD2">
        <w:rPr>
          <w:rFonts w:cs="Times New Roman"/>
          <w:noProof/>
          <w:sz w:val="24"/>
          <w:szCs w:val="24"/>
        </w:rPr>
        <w:t>,</w:t>
      </w:r>
      <w:r w:rsidRPr="00501CD2">
        <w:rPr>
          <w:rFonts w:cs="Times New Roman"/>
          <w:noProof/>
          <w:sz w:val="24"/>
          <w:szCs w:val="24"/>
        </w:rPr>
        <w:t xml:space="preserve"> </w:t>
      </w:r>
      <w:r w:rsidR="00563E66" w:rsidRPr="00501CD2">
        <w:rPr>
          <w:rFonts w:cs="Times New Roman"/>
          <w:noProof/>
          <w:sz w:val="24"/>
          <w:szCs w:val="24"/>
        </w:rPr>
        <w:t xml:space="preserve">or supplying </w:t>
      </w:r>
      <w:r w:rsidR="003E5BBC" w:rsidRPr="00501CD2">
        <w:rPr>
          <w:rFonts w:cs="Times New Roman"/>
          <w:noProof/>
          <w:sz w:val="24"/>
          <w:szCs w:val="24"/>
        </w:rPr>
        <w:t xml:space="preserve">digital services in the form of </w:t>
      </w:r>
      <w:r w:rsidRPr="00501CD2">
        <w:rPr>
          <w:rFonts w:cs="Times New Roman"/>
          <w:noProof/>
          <w:sz w:val="24"/>
          <w:szCs w:val="24"/>
        </w:rPr>
        <w:t xml:space="preserve">continuous updates in order </w:t>
      </w:r>
      <w:r w:rsidR="002F2257">
        <w:rPr>
          <w:rFonts w:cs="Times New Roman"/>
          <w:noProof/>
          <w:sz w:val="24"/>
          <w:szCs w:val="24"/>
        </w:rPr>
        <w:t xml:space="preserve">to </w:t>
      </w:r>
      <w:r w:rsidR="00563E66" w:rsidRPr="00501CD2">
        <w:rPr>
          <w:rFonts w:cs="Times New Roman"/>
          <w:noProof/>
          <w:sz w:val="24"/>
          <w:szCs w:val="24"/>
        </w:rPr>
        <w:t xml:space="preserve">make, say, an autonomous vehicle </w:t>
      </w:r>
      <w:r w:rsidR="004E3C8E">
        <w:rPr>
          <w:rFonts w:cs="Times New Roman"/>
          <w:noProof/>
          <w:sz w:val="24"/>
          <w:szCs w:val="24"/>
        </w:rPr>
        <w:t xml:space="preserve">or smart domestic appliance </w:t>
      </w:r>
      <w:r w:rsidRPr="00501CD2">
        <w:rPr>
          <w:rFonts w:cs="Times New Roman"/>
          <w:noProof/>
          <w:sz w:val="24"/>
          <w:szCs w:val="24"/>
        </w:rPr>
        <w:t xml:space="preserve">function. </w:t>
      </w:r>
      <w:r w:rsidR="003E5BBC" w:rsidRPr="00501CD2">
        <w:rPr>
          <w:rFonts w:cs="Times New Roman"/>
          <w:noProof/>
          <w:sz w:val="24"/>
          <w:szCs w:val="24"/>
        </w:rPr>
        <w:t>Software u</w:t>
      </w:r>
      <w:r w:rsidR="00B156B6" w:rsidRPr="00501CD2">
        <w:rPr>
          <w:rFonts w:cs="Times New Roman"/>
          <w:noProof/>
          <w:sz w:val="24"/>
          <w:szCs w:val="24"/>
          <w:lang w:eastAsia="da-DK"/>
        </w:rPr>
        <w:t xml:space="preserve">pdates </w:t>
      </w:r>
      <w:r w:rsidR="003E5BBC" w:rsidRPr="00501CD2">
        <w:rPr>
          <w:rFonts w:cs="Times New Roman"/>
          <w:noProof/>
          <w:sz w:val="24"/>
          <w:szCs w:val="24"/>
          <w:lang w:eastAsia="da-DK"/>
        </w:rPr>
        <w:t xml:space="preserve">themselves can be defective, and </w:t>
      </w:r>
      <w:r w:rsidR="00B156B6" w:rsidRPr="00501CD2">
        <w:rPr>
          <w:rFonts w:cs="Times New Roman"/>
          <w:noProof/>
          <w:sz w:val="24"/>
          <w:szCs w:val="24"/>
          <w:lang w:eastAsia="da-DK"/>
        </w:rPr>
        <w:t xml:space="preserve">have been identified by </w:t>
      </w:r>
      <w:r w:rsidR="00843AAA" w:rsidRPr="00501CD2">
        <w:rPr>
          <w:rFonts w:cs="Times New Roman"/>
          <w:noProof/>
          <w:sz w:val="24"/>
          <w:szCs w:val="24"/>
          <w:lang w:eastAsia="da-DK"/>
        </w:rPr>
        <w:t xml:space="preserve">the EU Agency for Cybersecurity </w:t>
      </w:r>
      <w:r w:rsidR="00B156B6" w:rsidRPr="00501CD2">
        <w:rPr>
          <w:rFonts w:cs="Times New Roman"/>
          <w:noProof/>
          <w:sz w:val="24"/>
          <w:szCs w:val="24"/>
          <w:lang w:eastAsia="da-DK"/>
        </w:rPr>
        <w:t xml:space="preserve">as the main causes of non-malicious </w:t>
      </w:r>
      <w:r w:rsidR="00EA6100" w:rsidRPr="00501CD2">
        <w:rPr>
          <w:rFonts w:cs="Times New Roman"/>
          <w:noProof/>
          <w:sz w:val="24"/>
          <w:szCs w:val="24"/>
          <w:lang w:eastAsia="da-DK"/>
        </w:rPr>
        <w:t>s</w:t>
      </w:r>
      <w:r w:rsidR="00080AE8" w:rsidRPr="00501CD2">
        <w:rPr>
          <w:rFonts w:cs="Times New Roman"/>
          <w:noProof/>
          <w:sz w:val="24"/>
          <w:szCs w:val="24"/>
          <w:lang w:eastAsia="da-DK"/>
        </w:rPr>
        <w:t>ecuri</w:t>
      </w:r>
      <w:r w:rsidR="00EA6100" w:rsidRPr="00501CD2">
        <w:rPr>
          <w:rFonts w:cs="Times New Roman"/>
          <w:noProof/>
          <w:sz w:val="24"/>
          <w:szCs w:val="24"/>
          <w:lang w:eastAsia="da-DK"/>
        </w:rPr>
        <w:t xml:space="preserve">ty </w:t>
      </w:r>
      <w:r w:rsidR="00B156B6" w:rsidRPr="00501CD2">
        <w:rPr>
          <w:rFonts w:cs="Times New Roman"/>
          <w:noProof/>
          <w:sz w:val="24"/>
          <w:szCs w:val="24"/>
          <w:lang w:eastAsia="da-DK"/>
        </w:rPr>
        <w:t>threats</w:t>
      </w:r>
      <w:r w:rsidR="00F55488" w:rsidRPr="00501CD2">
        <w:rPr>
          <w:rFonts w:cs="Times New Roman"/>
          <w:noProof/>
          <w:sz w:val="24"/>
          <w:szCs w:val="24"/>
          <w:lang w:eastAsia="da-DK"/>
        </w:rPr>
        <w:t xml:space="preserve"> to IT systems and applications</w:t>
      </w:r>
      <w:r w:rsidR="00B156B6" w:rsidRPr="00501CD2">
        <w:rPr>
          <w:rFonts w:cs="Times New Roman"/>
          <w:noProof/>
          <w:sz w:val="24"/>
          <w:szCs w:val="24"/>
          <w:vertAlign w:val="superscript"/>
          <w:lang w:eastAsia="da-DK"/>
        </w:rPr>
        <w:footnoteReference w:id="50"/>
      </w:r>
      <w:r w:rsidR="007507A6">
        <w:rPr>
          <w:rFonts w:cs="Times New Roman"/>
          <w:noProof/>
          <w:sz w:val="24"/>
          <w:szCs w:val="24"/>
          <w:lang w:eastAsia="da-DK"/>
        </w:rPr>
        <w:t>.</w:t>
      </w:r>
      <w:r w:rsidR="001B19D2" w:rsidRPr="00501CD2">
        <w:rPr>
          <w:rFonts w:cs="Times New Roman"/>
          <w:noProof/>
          <w:sz w:val="24"/>
          <w:szCs w:val="24"/>
          <w:lang w:eastAsia="da-DK"/>
        </w:rPr>
        <w:t xml:space="preserve"> </w:t>
      </w:r>
    </w:p>
    <w:p w14:paraId="4A9AE925" w14:textId="4045EF6F" w:rsidR="00B0422D" w:rsidRPr="00501CD2" w:rsidRDefault="00F429B6" w:rsidP="00501CD2">
      <w:pPr>
        <w:spacing w:after="240" w:line="240" w:lineRule="auto"/>
        <w:jc w:val="both"/>
        <w:rPr>
          <w:rFonts w:cs="Times New Roman"/>
          <w:noProof/>
          <w:sz w:val="24"/>
          <w:szCs w:val="24"/>
        </w:rPr>
      </w:pPr>
      <w:r w:rsidRPr="00501CD2">
        <w:rPr>
          <w:rFonts w:cs="Times New Roman"/>
          <w:noProof/>
          <w:sz w:val="24"/>
          <w:szCs w:val="24"/>
        </w:rPr>
        <w:t xml:space="preserve">While providing defective updates can compromise product safety, so too can </w:t>
      </w:r>
      <w:r w:rsidR="009F6001" w:rsidRPr="00501CD2">
        <w:rPr>
          <w:rFonts w:cs="Times New Roman"/>
          <w:noProof/>
          <w:sz w:val="24"/>
          <w:szCs w:val="24"/>
        </w:rPr>
        <w:t xml:space="preserve">failure to provide </w:t>
      </w:r>
      <w:r w:rsidRPr="00501CD2">
        <w:rPr>
          <w:rFonts w:cs="Times New Roman"/>
          <w:noProof/>
          <w:sz w:val="24"/>
          <w:szCs w:val="24"/>
        </w:rPr>
        <w:t>them,</w:t>
      </w:r>
      <w:r w:rsidR="008E4003" w:rsidRPr="00501CD2">
        <w:rPr>
          <w:rFonts w:cs="Times New Roman"/>
          <w:noProof/>
          <w:sz w:val="24"/>
          <w:szCs w:val="24"/>
        </w:rPr>
        <w:t xml:space="preserve"> </w:t>
      </w:r>
      <w:r w:rsidRPr="00501CD2">
        <w:rPr>
          <w:rFonts w:cs="Times New Roman"/>
          <w:noProof/>
          <w:sz w:val="24"/>
          <w:szCs w:val="24"/>
        </w:rPr>
        <w:t xml:space="preserve">especially when it comes </w:t>
      </w:r>
      <w:r w:rsidR="009F6001" w:rsidRPr="00501CD2">
        <w:rPr>
          <w:rFonts w:cs="Times New Roman"/>
          <w:noProof/>
          <w:sz w:val="24"/>
          <w:szCs w:val="24"/>
        </w:rPr>
        <w:t>evolving cybersecurity threats</w:t>
      </w:r>
      <w:r w:rsidRPr="00501CD2">
        <w:rPr>
          <w:rFonts w:cs="Times New Roman"/>
          <w:noProof/>
          <w:sz w:val="24"/>
          <w:szCs w:val="24"/>
        </w:rPr>
        <w:t>.</w:t>
      </w:r>
      <w:r w:rsidR="009F6001" w:rsidRPr="00501CD2">
        <w:rPr>
          <w:rFonts w:cs="Times New Roman"/>
          <w:noProof/>
          <w:sz w:val="24"/>
          <w:szCs w:val="24"/>
        </w:rPr>
        <w:t xml:space="preserve"> </w:t>
      </w:r>
      <w:r w:rsidRPr="00501CD2">
        <w:rPr>
          <w:rFonts w:cs="Times New Roman"/>
          <w:noProof/>
          <w:sz w:val="24"/>
          <w:szCs w:val="24"/>
        </w:rPr>
        <w:t>F</w:t>
      </w:r>
      <w:r w:rsidR="009F6001" w:rsidRPr="00501CD2">
        <w:rPr>
          <w:rFonts w:cs="Times New Roman"/>
          <w:noProof/>
          <w:sz w:val="24"/>
          <w:szCs w:val="24"/>
        </w:rPr>
        <w:t xml:space="preserve">or example, a cyber-attack may target a vulnerability in a machinery product’s software that makes the machinery malfunction and injure the user. Lack of adequate cybersecurity is one of the barriers that limits the uptake of new technological developments. </w:t>
      </w:r>
      <w:r w:rsidR="008E4003" w:rsidRPr="00501CD2">
        <w:rPr>
          <w:rFonts w:cs="Times New Roman"/>
          <w:noProof/>
          <w:sz w:val="24"/>
          <w:szCs w:val="24"/>
        </w:rPr>
        <w:t xml:space="preserve">In recognition of </w:t>
      </w:r>
      <w:r w:rsidR="0090783B" w:rsidRPr="00501CD2">
        <w:rPr>
          <w:rFonts w:cs="Times New Roman"/>
          <w:noProof/>
          <w:sz w:val="24"/>
          <w:szCs w:val="24"/>
        </w:rPr>
        <w:t>this,</w:t>
      </w:r>
      <w:r w:rsidR="008E4003" w:rsidRPr="00501CD2">
        <w:rPr>
          <w:rFonts w:cs="Times New Roman"/>
          <w:noProof/>
          <w:sz w:val="24"/>
          <w:szCs w:val="24"/>
        </w:rPr>
        <w:t xml:space="preserve"> economic operators </w:t>
      </w:r>
      <w:r w:rsidR="0090783B" w:rsidRPr="00501CD2">
        <w:rPr>
          <w:rFonts w:cs="Times New Roman"/>
          <w:noProof/>
          <w:sz w:val="24"/>
          <w:szCs w:val="24"/>
        </w:rPr>
        <w:t xml:space="preserve">are now required </w:t>
      </w:r>
      <w:r w:rsidR="008E4003" w:rsidRPr="00501CD2">
        <w:rPr>
          <w:rFonts w:cs="Times New Roman"/>
          <w:noProof/>
          <w:sz w:val="24"/>
          <w:szCs w:val="24"/>
        </w:rPr>
        <w:t>to provide software and security updates to ensure the ongoing safety of products after they are placed on the market</w:t>
      </w:r>
      <w:r w:rsidR="008E4003" w:rsidRPr="00501CD2">
        <w:rPr>
          <w:rStyle w:val="FootnoteReference"/>
          <w:noProof/>
          <w:sz w:val="24"/>
          <w:szCs w:val="24"/>
        </w:rPr>
        <w:footnoteReference w:id="51"/>
      </w:r>
      <w:r w:rsidR="008E4003" w:rsidRPr="00501CD2">
        <w:rPr>
          <w:rFonts w:cs="Times New Roman"/>
          <w:noProof/>
          <w:sz w:val="24"/>
          <w:szCs w:val="24"/>
        </w:rPr>
        <w:t xml:space="preserve">. </w:t>
      </w:r>
      <w:r w:rsidR="00EF381C" w:rsidRPr="00501CD2">
        <w:rPr>
          <w:rFonts w:cs="Times New Roman"/>
          <w:noProof/>
          <w:sz w:val="24"/>
          <w:szCs w:val="24"/>
        </w:rPr>
        <w:t>So software updates are not only necessary to keep products safe, they are also required by legislation, yet the later-defect defence exonerates producers from liability under the PLD</w:t>
      </w:r>
      <w:r w:rsidR="006E6B39" w:rsidRPr="00501CD2">
        <w:rPr>
          <w:rFonts w:cs="Times New Roman"/>
          <w:noProof/>
          <w:sz w:val="24"/>
          <w:szCs w:val="24"/>
        </w:rPr>
        <w:t>.</w:t>
      </w:r>
      <w:r w:rsidR="00625F11" w:rsidRPr="00501CD2">
        <w:rPr>
          <w:rFonts w:cs="Times New Roman"/>
          <w:noProof/>
          <w:sz w:val="24"/>
          <w:szCs w:val="24"/>
        </w:rPr>
        <w:t xml:space="preserve"> </w:t>
      </w:r>
      <w:r w:rsidR="00625F11" w:rsidRPr="00501CD2">
        <w:rPr>
          <w:rFonts w:cs="Times New Roman"/>
          <w:noProof/>
          <w:sz w:val="24"/>
          <w:szCs w:val="24"/>
          <w:lang w:eastAsia="da-DK"/>
        </w:rPr>
        <w:t>The digital security industry (Eurosmart) has argued that</w:t>
      </w:r>
      <w:r w:rsidR="00625F11" w:rsidRPr="00501CD2">
        <w:rPr>
          <w:rFonts w:cs="Times New Roman"/>
          <w:noProof/>
          <w:sz w:val="24"/>
          <w:szCs w:val="24"/>
        </w:rPr>
        <w:t xml:space="preserve"> </w:t>
      </w:r>
      <w:r w:rsidR="00625F11" w:rsidRPr="00501CD2">
        <w:rPr>
          <w:rFonts w:cs="Times New Roman"/>
          <w:noProof/>
          <w:sz w:val="24"/>
          <w:szCs w:val="24"/>
          <w:lang w:eastAsia="da-DK"/>
        </w:rPr>
        <w:t>the “</w:t>
      </w:r>
      <w:r w:rsidR="00625F11" w:rsidRPr="00501CD2">
        <w:rPr>
          <w:rFonts w:cs="Times New Roman"/>
          <w:noProof/>
          <w:sz w:val="24"/>
          <w:szCs w:val="24"/>
        </w:rPr>
        <w:t>later-defect defence”</w:t>
      </w:r>
      <w:r w:rsidR="00625F11" w:rsidRPr="00501CD2">
        <w:rPr>
          <w:rFonts w:cs="Times New Roman"/>
          <w:noProof/>
          <w:sz w:val="24"/>
          <w:szCs w:val="24"/>
          <w:lang w:eastAsia="da-DK"/>
        </w:rPr>
        <w:t xml:space="preserve"> makes the concept of no-fault liability meaningless when applied to smart/connected products and AI systems that could let vulnerabilities emerge only after the placement of a product on the market.</w:t>
      </w:r>
      <w:r w:rsidR="00625F11" w:rsidRPr="00501CD2">
        <w:rPr>
          <w:rFonts w:cs="Times New Roman"/>
          <w:noProof/>
          <w:sz w:val="24"/>
          <w:szCs w:val="24"/>
          <w:vertAlign w:val="superscript"/>
          <w:lang w:eastAsia="da-DK"/>
        </w:rPr>
        <w:footnoteReference w:id="52"/>
      </w:r>
    </w:p>
    <w:p w14:paraId="0C9DBD98" w14:textId="52F01348" w:rsidR="00A84DDB" w:rsidRPr="00501CD2" w:rsidRDefault="00944AE6" w:rsidP="00501CD2">
      <w:pPr>
        <w:spacing w:after="240" w:line="240" w:lineRule="auto"/>
        <w:jc w:val="both"/>
        <w:rPr>
          <w:rFonts w:cs="Times New Roman"/>
          <w:noProof/>
          <w:sz w:val="24"/>
          <w:szCs w:val="24"/>
          <w:lang w:eastAsia="da-DK"/>
        </w:rPr>
      </w:pPr>
      <w:r w:rsidRPr="00501CD2">
        <w:rPr>
          <w:rFonts w:cs="Times New Roman"/>
          <w:b/>
          <w:noProof/>
          <w:sz w:val="24"/>
          <w:szCs w:val="24"/>
        </w:rPr>
        <w:t xml:space="preserve">But who </w:t>
      </w:r>
      <w:r w:rsidRPr="00501CD2">
        <w:rPr>
          <w:rFonts w:cs="Times New Roman"/>
          <w:b/>
          <w:i/>
          <w:noProof/>
          <w:sz w:val="24"/>
          <w:szCs w:val="24"/>
        </w:rPr>
        <w:t>is</w:t>
      </w:r>
      <w:r w:rsidRPr="00501CD2">
        <w:rPr>
          <w:rFonts w:cs="Times New Roman"/>
          <w:b/>
          <w:noProof/>
          <w:sz w:val="24"/>
          <w:szCs w:val="24"/>
        </w:rPr>
        <w:t xml:space="preserve"> liable for harm caused by defective </w:t>
      </w:r>
      <w:r w:rsidRPr="00501CD2">
        <w:rPr>
          <w:rFonts w:cs="Times New Roman"/>
          <w:b/>
          <w:noProof/>
          <w:sz w:val="24"/>
          <w:szCs w:val="24"/>
          <w:lang w:eastAsia="da-DK"/>
        </w:rPr>
        <w:t>software, software updates and digital services that make products work</w:t>
      </w:r>
      <w:r w:rsidRPr="00501CD2">
        <w:rPr>
          <w:rStyle w:val="FootnoteReference"/>
          <w:b/>
          <w:noProof/>
          <w:sz w:val="24"/>
          <w:szCs w:val="24"/>
        </w:rPr>
        <w:footnoteReference w:id="53"/>
      </w:r>
      <w:r w:rsidRPr="00501CD2">
        <w:rPr>
          <w:rFonts w:cs="Times New Roman"/>
          <w:b/>
          <w:noProof/>
          <w:sz w:val="24"/>
          <w:szCs w:val="24"/>
          <w:lang w:eastAsia="da-DK"/>
        </w:rPr>
        <w:t>?</w:t>
      </w:r>
      <w:r w:rsidRPr="00501CD2">
        <w:rPr>
          <w:rFonts w:cs="Times New Roman"/>
          <w:noProof/>
          <w:sz w:val="24"/>
          <w:szCs w:val="24"/>
          <w:lang w:eastAsia="da-DK"/>
        </w:rPr>
        <w:t xml:space="preserve"> </w:t>
      </w:r>
      <w:r w:rsidR="001B19D2" w:rsidRPr="00501CD2">
        <w:rPr>
          <w:rFonts w:cs="Times New Roman"/>
          <w:noProof/>
          <w:sz w:val="24"/>
          <w:szCs w:val="24"/>
        </w:rPr>
        <w:t>BEUC, the consumer organisation,</w:t>
      </w:r>
      <w:r w:rsidR="001B19D2" w:rsidRPr="00501CD2">
        <w:rPr>
          <w:rFonts w:cs="Times New Roman"/>
          <w:b/>
          <w:noProof/>
          <w:sz w:val="24"/>
          <w:szCs w:val="24"/>
        </w:rPr>
        <w:t xml:space="preserve"> </w:t>
      </w:r>
      <w:r w:rsidR="001B19D2" w:rsidRPr="00501CD2">
        <w:rPr>
          <w:rFonts w:cs="Times New Roman"/>
          <w:noProof/>
          <w:sz w:val="24"/>
          <w:szCs w:val="24"/>
        </w:rPr>
        <w:t>considers the uncertainty around this question most problematic when it comes to 3</w:t>
      </w:r>
      <w:r w:rsidR="001B19D2" w:rsidRPr="00501CD2">
        <w:rPr>
          <w:rFonts w:cs="Times New Roman"/>
          <w:noProof/>
          <w:sz w:val="24"/>
          <w:szCs w:val="24"/>
          <w:vertAlign w:val="superscript"/>
        </w:rPr>
        <w:t>rd</w:t>
      </w:r>
      <w:r w:rsidR="001B19D2" w:rsidRPr="00501CD2">
        <w:rPr>
          <w:rFonts w:cs="Times New Roman"/>
          <w:noProof/>
          <w:sz w:val="24"/>
          <w:szCs w:val="24"/>
        </w:rPr>
        <w:t>-party software downloaded separately and added to hardware, for example a software upgrade or an entirely new software module in a domestic robot</w:t>
      </w:r>
      <w:r w:rsidR="001B19D2" w:rsidRPr="00501CD2">
        <w:rPr>
          <w:rStyle w:val="FootnoteReference"/>
          <w:noProof/>
          <w:sz w:val="24"/>
          <w:szCs w:val="24"/>
        </w:rPr>
        <w:footnoteReference w:id="54"/>
      </w:r>
      <w:r w:rsidR="001B19D2" w:rsidRPr="00501CD2">
        <w:rPr>
          <w:rFonts w:cs="Times New Roman"/>
          <w:noProof/>
          <w:sz w:val="24"/>
          <w:szCs w:val="24"/>
        </w:rPr>
        <w:t>. The hardware manufacturer could invoke the later-defect defence, and the software manufacturer could argue that software is not a product</w:t>
      </w:r>
      <w:r w:rsidR="00B84F35" w:rsidRPr="00501CD2">
        <w:rPr>
          <w:rFonts w:cs="Times New Roman"/>
          <w:noProof/>
          <w:sz w:val="24"/>
          <w:szCs w:val="24"/>
        </w:rPr>
        <w:t xml:space="preserve"> and that no-fault liability therefore does not apply to </w:t>
      </w:r>
      <w:r w:rsidR="0073758C" w:rsidRPr="00501CD2">
        <w:rPr>
          <w:rFonts w:cs="Times New Roman"/>
          <w:noProof/>
          <w:sz w:val="24"/>
          <w:szCs w:val="24"/>
        </w:rPr>
        <w:t>him</w:t>
      </w:r>
      <w:r w:rsidR="001B19D2" w:rsidRPr="00501CD2">
        <w:rPr>
          <w:rFonts w:cs="Times New Roman"/>
          <w:noProof/>
          <w:sz w:val="24"/>
          <w:szCs w:val="24"/>
        </w:rPr>
        <w:t>. This crucial question of whether software is a product is ambiguously answered by the PLD, which defines products</w:t>
      </w:r>
      <w:r w:rsidRPr="00501CD2">
        <w:rPr>
          <w:rFonts w:cs="Times New Roman"/>
          <w:noProof/>
          <w:sz w:val="24"/>
          <w:szCs w:val="24"/>
          <w:lang w:eastAsia="da-DK"/>
        </w:rPr>
        <w:t xml:space="preserve"> simply as “movables”</w:t>
      </w:r>
      <w:r w:rsidR="001B19D2" w:rsidRPr="00501CD2">
        <w:rPr>
          <w:rFonts w:cs="Times New Roman"/>
          <w:noProof/>
          <w:sz w:val="24"/>
          <w:szCs w:val="24"/>
          <w:lang w:eastAsia="da-DK"/>
        </w:rPr>
        <w:t>. This</w:t>
      </w:r>
      <w:r w:rsidRPr="00501CD2">
        <w:rPr>
          <w:rFonts w:cs="Times New Roman"/>
          <w:noProof/>
          <w:sz w:val="24"/>
          <w:szCs w:val="24"/>
          <w:lang w:eastAsia="da-DK"/>
        </w:rPr>
        <w:t xml:space="preserve"> led two Member States (Austria and Belgium) to interpret the PLD as applying only to tangible items: “tout bien meuble </w:t>
      </w:r>
      <w:r w:rsidRPr="00501CD2">
        <w:rPr>
          <w:rFonts w:cs="Times New Roman"/>
          <w:i/>
          <w:noProof/>
          <w:sz w:val="24"/>
          <w:szCs w:val="24"/>
          <w:lang w:eastAsia="da-DK"/>
        </w:rPr>
        <w:t>corporel</w:t>
      </w:r>
      <w:r w:rsidRPr="00501CD2">
        <w:rPr>
          <w:rFonts w:cs="Times New Roman"/>
          <w:noProof/>
          <w:sz w:val="24"/>
          <w:szCs w:val="24"/>
          <w:lang w:eastAsia="da-DK"/>
        </w:rPr>
        <w:t>”</w:t>
      </w:r>
      <w:r w:rsidRPr="00501CD2">
        <w:rPr>
          <w:rStyle w:val="FootnoteReference"/>
          <w:rFonts w:eastAsiaTheme="majorEastAsia"/>
          <w:noProof/>
          <w:sz w:val="24"/>
          <w:szCs w:val="24"/>
          <w:lang w:eastAsia="da-DK"/>
        </w:rPr>
        <w:footnoteReference w:id="55"/>
      </w:r>
      <w:r w:rsidRPr="00501CD2">
        <w:rPr>
          <w:rFonts w:cs="Times New Roman"/>
          <w:noProof/>
          <w:sz w:val="24"/>
          <w:szCs w:val="24"/>
          <w:lang w:eastAsia="da-DK"/>
        </w:rPr>
        <w:t xml:space="preserve">. </w:t>
      </w:r>
      <w:r w:rsidR="001B19D2" w:rsidRPr="00501CD2">
        <w:rPr>
          <w:rFonts w:cs="Times New Roman"/>
          <w:noProof/>
          <w:sz w:val="24"/>
          <w:szCs w:val="24"/>
          <w:lang w:eastAsia="da-DK"/>
        </w:rPr>
        <w:t>And t</w:t>
      </w:r>
      <w:r w:rsidRPr="00501CD2">
        <w:rPr>
          <w:rFonts w:cs="Times New Roman"/>
          <w:noProof/>
          <w:sz w:val="24"/>
          <w:szCs w:val="24"/>
          <w:lang w:eastAsia="da-DK"/>
        </w:rPr>
        <w:t xml:space="preserve">his question </w:t>
      </w:r>
      <w:r w:rsidR="00625F11" w:rsidRPr="00501CD2">
        <w:rPr>
          <w:rFonts w:cs="Times New Roman"/>
          <w:noProof/>
          <w:sz w:val="24"/>
          <w:szCs w:val="24"/>
          <w:lang w:eastAsia="da-DK"/>
        </w:rPr>
        <w:t>around</w:t>
      </w:r>
      <w:r w:rsidRPr="00501CD2">
        <w:rPr>
          <w:rFonts w:cs="Times New Roman"/>
          <w:noProof/>
          <w:sz w:val="24"/>
          <w:szCs w:val="24"/>
          <w:lang w:eastAsia="da-DK"/>
        </w:rPr>
        <w:t xml:space="preserve"> tangibility has generated decades of intense academic debate</w:t>
      </w:r>
      <w:r w:rsidRPr="00501CD2">
        <w:rPr>
          <w:rStyle w:val="FootnoteReference"/>
          <w:noProof/>
          <w:sz w:val="24"/>
          <w:szCs w:val="24"/>
          <w:lang w:eastAsia="da-DK"/>
        </w:rPr>
        <w:footnoteReference w:id="56"/>
      </w:r>
      <w:r w:rsidRPr="00501CD2">
        <w:rPr>
          <w:rFonts w:cs="Times New Roman"/>
          <w:noProof/>
          <w:sz w:val="24"/>
          <w:szCs w:val="24"/>
          <w:lang w:eastAsia="da-DK"/>
        </w:rPr>
        <w:t>.</w:t>
      </w:r>
      <w:r w:rsidR="0090783B" w:rsidRPr="00501CD2">
        <w:rPr>
          <w:rFonts w:cs="Times New Roman"/>
          <w:noProof/>
          <w:sz w:val="24"/>
          <w:szCs w:val="24"/>
          <w:lang w:eastAsia="da-DK"/>
        </w:rPr>
        <w:t xml:space="preserve"> </w:t>
      </w:r>
      <w:r w:rsidR="00D6559D" w:rsidRPr="00501CD2">
        <w:rPr>
          <w:rFonts w:cs="Times New Roman"/>
          <w:noProof/>
          <w:sz w:val="24"/>
          <w:szCs w:val="24"/>
          <w:lang w:eastAsia="da-DK"/>
        </w:rPr>
        <w:t xml:space="preserve">Economic operators </w:t>
      </w:r>
      <w:r w:rsidR="00A84DDB" w:rsidRPr="00501CD2">
        <w:rPr>
          <w:rFonts w:cs="Times New Roman"/>
          <w:noProof/>
          <w:sz w:val="24"/>
          <w:szCs w:val="24"/>
          <w:lang w:eastAsia="da-DK"/>
        </w:rPr>
        <w:t xml:space="preserve">too </w:t>
      </w:r>
      <w:r w:rsidR="0090783B" w:rsidRPr="00501CD2">
        <w:rPr>
          <w:rFonts w:cs="Times New Roman"/>
          <w:noProof/>
          <w:sz w:val="24"/>
          <w:szCs w:val="24"/>
          <w:lang w:eastAsia="da-DK"/>
        </w:rPr>
        <w:t xml:space="preserve">argue variously </w:t>
      </w:r>
      <w:r w:rsidR="00A84DDB" w:rsidRPr="00501CD2">
        <w:rPr>
          <w:rFonts w:cs="Times New Roman"/>
          <w:noProof/>
          <w:sz w:val="24"/>
          <w:szCs w:val="24"/>
          <w:lang w:eastAsia="da-DK"/>
        </w:rPr>
        <w:t xml:space="preserve">that only software </w:t>
      </w:r>
      <w:r w:rsidR="00625F11" w:rsidRPr="00501CD2">
        <w:rPr>
          <w:rFonts w:cs="Times New Roman"/>
          <w:noProof/>
          <w:sz w:val="24"/>
          <w:szCs w:val="24"/>
          <w:lang w:eastAsia="da-DK"/>
        </w:rPr>
        <w:t xml:space="preserve">physically </w:t>
      </w:r>
      <w:r w:rsidR="00A84DDB" w:rsidRPr="00501CD2">
        <w:rPr>
          <w:rFonts w:cs="Times New Roman"/>
          <w:noProof/>
          <w:sz w:val="24"/>
          <w:szCs w:val="24"/>
          <w:lang w:eastAsia="da-DK"/>
        </w:rPr>
        <w:t>embedded at the time the tangible product is put into circulation is covered, but not any subsequently downloaded software (e.g. updates/upgrades)</w:t>
      </w:r>
      <w:r w:rsidR="00A84DDB" w:rsidRPr="00501CD2">
        <w:rPr>
          <w:rStyle w:val="FootnoteReference"/>
          <w:rFonts w:eastAsiaTheme="majorEastAsia"/>
          <w:noProof/>
          <w:sz w:val="24"/>
          <w:szCs w:val="24"/>
        </w:rPr>
        <w:footnoteReference w:id="57"/>
      </w:r>
      <w:r w:rsidR="00A84DDB" w:rsidRPr="00501CD2">
        <w:rPr>
          <w:rFonts w:cs="Times New Roman"/>
          <w:noProof/>
          <w:sz w:val="24"/>
          <w:szCs w:val="24"/>
          <w:lang w:eastAsia="da-DK"/>
        </w:rPr>
        <w:t>; some insist that software, even if provided separately from a tangible product, is already covered</w:t>
      </w:r>
      <w:r w:rsidR="00A84DDB" w:rsidRPr="00501CD2">
        <w:rPr>
          <w:rStyle w:val="FootnoteReference"/>
          <w:rFonts w:eastAsiaTheme="majorEastAsia"/>
          <w:noProof/>
          <w:sz w:val="24"/>
          <w:szCs w:val="24"/>
        </w:rPr>
        <w:footnoteReference w:id="58"/>
      </w:r>
      <w:r w:rsidR="00A84DDB" w:rsidRPr="00501CD2">
        <w:rPr>
          <w:rFonts w:cs="Times New Roman"/>
          <w:noProof/>
          <w:sz w:val="24"/>
          <w:szCs w:val="24"/>
          <w:lang w:eastAsia="da-DK"/>
        </w:rPr>
        <w:t xml:space="preserve">; some insist software developers themselves currently qualify as producers; some argue </w:t>
      </w:r>
      <w:r w:rsidR="009716C5" w:rsidRPr="00501CD2">
        <w:rPr>
          <w:rFonts w:cs="Times New Roman"/>
          <w:noProof/>
          <w:sz w:val="24"/>
          <w:szCs w:val="24"/>
          <w:lang w:eastAsia="da-DK"/>
        </w:rPr>
        <w:t>the opposite</w:t>
      </w:r>
      <w:r w:rsidR="00A84DDB" w:rsidRPr="00501CD2">
        <w:rPr>
          <w:rStyle w:val="FootnoteReference"/>
          <w:rFonts w:eastAsiaTheme="majorEastAsia"/>
          <w:noProof/>
          <w:sz w:val="24"/>
          <w:szCs w:val="24"/>
        </w:rPr>
        <w:footnoteReference w:id="59"/>
      </w:r>
      <w:r w:rsidR="00A84DDB" w:rsidRPr="00501CD2">
        <w:rPr>
          <w:rFonts w:cs="Times New Roman"/>
          <w:noProof/>
          <w:sz w:val="24"/>
          <w:szCs w:val="24"/>
          <w:lang w:eastAsia="da-DK"/>
        </w:rPr>
        <w:t xml:space="preserve">. </w:t>
      </w:r>
    </w:p>
    <w:p w14:paraId="1CEE06EE" w14:textId="7510893F" w:rsidR="002D281D" w:rsidRPr="00501CD2" w:rsidRDefault="00944AE6" w:rsidP="00501CD2">
      <w:pPr>
        <w:spacing w:after="240" w:line="240" w:lineRule="auto"/>
        <w:jc w:val="both"/>
        <w:rPr>
          <w:rFonts w:cs="Times New Roman"/>
          <w:noProof/>
          <w:sz w:val="24"/>
          <w:szCs w:val="24"/>
        </w:rPr>
      </w:pPr>
      <w:r w:rsidRPr="00501CD2">
        <w:rPr>
          <w:rFonts w:cs="Times New Roman"/>
          <w:noProof/>
          <w:sz w:val="24"/>
          <w:szCs w:val="24"/>
          <w:lang w:eastAsia="da-DK"/>
        </w:rPr>
        <w:t xml:space="preserve">This </w:t>
      </w:r>
      <w:r w:rsidR="00D96E86" w:rsidRPr="00501CD2">
        <w:rPr>
          <w:rFonts w:cs="Times New Roman"/>
          <w:noProof/>
          <w:sz w:val="24"/>
          <w:szCs w:val="24"/>
          <w:lang w:eastAsia="da-DK"/>
        </w:rPr>
        <w:t>lack of clear liability for software providers</w:t>
      </w:r>
      <w:r w:rsidRPr="00501CD2">
        <w:rPr>
          <w:rFonts w:cs="Times New Roman"/>
          <w:noProof/>
          <w:sz w:val="24"/>
          <w:szCs w:val="24"/>
          <w:lang w:eastAsia="da-DK"/>
        </w:rPr>
        <w:t xml:space="preserve"> undermines the </w:t>
      </w:r>
      <w:r w:rsidR="00D96E86" w:rsidRPr="00501CD2">
        <w:rPr>
          <w:rFonts w:cs="Times New Roman"/>
          <w:noProof/>
          <w:sz w:val="24"/>
          <w:szCs w:val="24"/>
          <w:lang w:eastAsia="da-DK"/>
        </w:rPr>
        <w:t xml:space="preserve">original </w:t>
      </w:r>
      <w:r w:rsidRPr="00501CD2">
        <w:rPr>
          <w:rFonts w:cs="Times New Roman"/>
          <w:noProof/>
          <w:sz w:val="24"/>
          <w:szCs w:val="24"/>
          <w:lang w:eastAsia="da-DK"/>
        </w:rPr>
        <w:t xml:space="preserve">intention of the PLD to </w:t>
      </w:r>
      <w:r w:rsidR="00D96E86" w:rsidRPr="00501CD2">
        <w:rPr>
          <w:rFonts w:cs="Times New Roman"/>
          <w:noProof/>
          <w:sz w:val="24"/>
          <w:szCs w:val="24"/>
          <w:lang w:eastAsia="da-DK"/>
        </w:rPr>
        <w:t>make “all producers involved in the production process liable</w:t>
      </w:r>
      <w:r w:rsidR="00D96E86" w:rsidRPr="00501CD2">
        <w:rPr>
          <w:rStyle w:val="FootnoteReference"/>
          <w:rFonts w:eastAsiaTheme="majorEastAsia"/>
          <w:noProof/>
          <w:sz w:val="24"/>
          <w:szCs w:val="24"/>
        </w:rPr>
        <w:footnoteReference w:id="60"/>
      </w:r>
      <w:r w:rsidR="00D96E86" w:rsidRPr="00501CD2">
        <w:rPr>
          <w:rFonts w:cs="Times New Roman"/>
          <w:noProof/>
          <w:sz w:val="24"/>
          <w:szCs w:val="24"/>
          <w:lang w:eastAsia="da-DK"/>
        </w:rPr>
        <w:t xml:space="preserve">, and is inconsistent with recent EU legislation and proposals which </w:t>
      </w:r>
      <w:r w:rsidR="00E6629E" w:rsidRPr="00501CD2">
        <w:rPr>
          <w:rFonts w:cs="Times New Roman"/>
          <w:noProof/>
          <w:sz w:val="24"/>
          <w:szCs w:val="24"/>
          <w:lang w:eastAsia="da-DK"/>
        </w:rPr>
        <w:t>place obligation</w:t>
      </w:r>
      <w:r w:rsidR="0073758C" w:rsidRPr="00501CD2">
        <w:rPr>
          <w:rFonts w:cs="Times New Roman"/>
          <w:noProof/>
          <w:sz w:val="24"/>
          <w:szCs w:val="24"/>
          <w:lang w:eastAsia="da-DK"/>
        </w:rPr>
        <w:t>s</w:t>
      </w:r>
      <w:r w:rsidR="00E6629E" w:rsidRPr="00501CD2">
        <w:rPr>
          <w:rFonts w:cs="Times New Roman"/>
          <w:noProof/>
          <w:sz w:val="24"/>
          <w:szCs w:val="24"/>
          <w:lang w:eastAsia="da-DK"/>
        </w:rPr>
        <w:t xml:space="preserve"> on </w:t>
      </w:r>
      <w:r w:rsidR="00253DC9" w:rsidRPr="00501CD2">
        <w:rPr>
          <w:rFonts w:cs="Times New Roman"/>
          <w:noProof/>
          <w:sz w:val="24"/>
          <w:szCs w:val="24"/>
        </w:rPr>
        <w:t xml:space="preserve">software providers </w:t>
      </w:r>
      <w:r w:rsidR="00E6629E" w:rsidRPr="00501CD2">
        <w:rPr>
          <w:rFonts w:cs="Times New Roman"/>
          <w:noProof/>
          <w:sz w:val="24"/>
          <w:szCs w:val="24"/>
        </w:rPr>
        <w:t xml:space="preserve">to ensure </w:t>
      </w:r>
      <w:r w:rsidR="00253DC9" w:rsidRPr="00501CD2">
        <w:rPr>
          <w:rFonts w:cs="Times New Roman"/>
          <w:noProof/>
          <w:sz w:val="24"/>
          <w:szCs w:val="24"/>
        </w:rPr>
        <w:t>the safety of products</w:t>
      </w:r>
      <w:r w:rsidR="00D96E86" w:rsidRPr="00501CD2">
        <w:rPr>
          <w:rStyle w:val="FootnoteReference"/>
          <w:rFonts w:eastAsiaTheme="majorEastAsia"/>
          <w:noProof/>
          <w:sz w:val="24"/>
          <w:szCs w:val="24"/>
        </w:rPr>
        <w:footnoteReference w:id="61"/>
      </w:r>
      <w:r w:rsidR="00253DC9" w:rsidRPr="00501CD2">
        <w:rPr>
          <w:rFonts w:cs="Times New Roman"/>
          <w:noProof/>
          <w:sz w:val="24"/>
          <w:szCs w:val="24"/>
        </w:rPr>
        <w:t xml:space="preserve">. </w:t>
      </w:r>
      <w:r w:rsidR="00B272E9" w:rsidRPr="00501CD2">
        <w:rPr>
          <w:rFonts w:cs="Times New Roman"/>
          <w:noProof/>
          <w:sz w:val="24"/>
          <w:szCs w:val="24"/>
        </w:rPr>
        <w:t xml:space="preserve">For example, there are </w:t>
      </w:r>
      <w:r w:rsidR="00253DC9" w:rsidRPr="00501CD2">
        <w:rPr>
          <w:rFonts w:cs="Times New Roman"/>
          <w:noProof/>
          <w:sz w:val="24"/>
          <w:szCs w:val="24"/>
        </w:rPr>
        <w:t>requirements for placing on the market software that is a medical device</w:t>
      </w:r>
      <w:r w:rsidR="00253DC9" w:rsidRPr="00501CD2">
        <w:rPr>
          <w:rStyle w:val="FootnoteReference"/>
          <w:noProof/>
          <w:sz w:val="24"/>
          <w:szCs w:val="24"/>
        </w:rPr>
        <w:footnoteReference w:id="62"/>
      </w:r>
      <w:r w:rsidR="00253DC9" w:rsidRPr="00501CD2">
        <w:rPr>
          <w:rFonts w:cs="Times New Roman"/>
          <w:noProof/>
          <w:sz w:val="24"/>
          <w:szCs w:val="24"/>
        </w:rPr>
        <w:t>, separately marketed safety components for machinery</w:t>
      </w:r>
      <w:r w:rsidR="00253DC9" w:rsidRPr="00501CD2">
        <w:rPr>
          <w:rStyle w:val="FootnoteReference"/>
          <w:noProof/>
          <w:sz w:val="24"/>
          <w:szCs w:val="24"/>
        </w:rPr>
        <w:footnoteReference w:id="63"/>
      </w:r>
      <w:r w:rsidR="00253DC9" w:rsidRPr="00501CD2">
        <w:rPr>
          <w:rFonts w:cs="Times New Roman"/>
          <w:noProof/>
          <w:sz w:val="24"/>
          <w:szCs w:val="24"/>
        </w:rPr>
        <w:t xml:space="preserve"> and AI systems</w:t>
      </w:r>
      <w:r w:rsidR="00253DC9" w:rsidRPr="00501CD2">
        <w:rPr>
          <w:rStyle w:val="FootnoteReference"/>
          <w:noProof/>
          <w:sz w:val="24"/>
          <w:szCs w:val="24"/>
        </w:rPr>
        <w:footnoteReference w:id="64"/>
      </w:r>
      <w:r w:rsidR="00253DC9" w:rsidRPr="00501CD2">
        <w:rPr>
          <w:rFonts w:cs="Times New Roman"/>
          <w:noProof/>
          <w:sz w:val="24"/>
          <w:szCs w:val="24"/>
        </w:rPr>
        <w:t xml:space="preserve">. </w:t>
      </w:r>
      <w:r w:rsidR="00D96E86" w:rsidRPr="00501CD2">
        <w:rPr>
          <w:rFonts w:cs="Times New Roman"/>
          <w:noProof/>
          <w:sz w:val="24"/>
          <w:szCs w:val="24"/>
        </w:rPr>
        <w:t>(</w:t>
      </w:r>
      <w:r w:rsidR="00242A23" w:rsidRPr="00501CD2">
        <w:rPr>
          <w:rFonts w:cs="Times New Roman"/>
          <w:noProof/>
          <w:sz w:val="24"/>
          <w:szCs w:val="24"/>
        </w:rPr>
        <w:t xml:space="preserve">See </w:t>
      </w:r>
      <w:r w:rsidR="00D96E86" w:rsidRPr="00501CD2">
        <w:rPr>
          <w:rFonts w:cs="Times New Roman"/>
          <w:noProof/>
          <w:sz w:val="24"/>
          <w:szCs w:val="24"/>
        </w:rPr>
        <w:t xml:space="preserve">also </w:t>
      </w:r>
      <w:r w:rsidR="00242A23" w:rsidRPr="006D68E4">
        <w:rPr>
          <w:rFonts w:cs="Times New Roman"/>
          <w:noProof/>
          <w:sz w:val="24"/>
          <w:szCs w:val="24"/>
        </w:rPr>
        <w:t xml:space="preserve">section </w:t>
      </w:r>
      <w:r w:rsidR="00230051" w:rsidRPr="006D68E4">
        <w:rPr>
          <w:rFonts w:cs="Times New Roman"/>
          <w:noProof/>
          <w:sz w:val="24"/>
          <w:szCs w:val="24"/>
        </w:rPr>
        <w:t>1.2</w:t>
      </w:r>
      <w:r w:rsidR="00D96E86" w:rsidRPr="00501CD2">
        <w:rPr>
          <w:rFonts w:cs="Times New Roman"/>
          <w:noProof/>
          <w:sz w:val="24"/>
          <w:szCs w:val="24"/>
        </w:rPr>
        <w:t>)</w:t>
      </w:r>
      <w:r w:rsidR="00242A23" w:rsidRPr="00501CD2">
        <w:rPr>
          <w:rFonts w:cs="Times New Roman"/>
          <w:noProof/>
          <w:sz w:val="24"/>
          <w:szCs w:val="24"/>
        </w:rPr>
        <w:t xml:space="preserve">. </w:t>
      </w:r>
    </w:p>
    <w:p w14:paraId="05E4CDB9" w14:textId="547147E9" w:rsidR="001B19D2" w:rsidRPr="00501CD2" w:rsidRDefault="00242A23" w:rsidP="00501CD2">
      <w:pPr>
        <w:spacing w:after="240" w:line="240" w:lineRule="auto"/>
        <w:jc w:val="both"/>
        <w:rPr>
          <w:rFonts w:cs="Times New Roman"/>
          <w:noProof/>
          <w:sz w:val="24"/>
          <w:szCs w:val="24"/>
          <w:lang w:eastAsia="da-DK"/>
        </w:rPr>
      </w:pPr>
      <w:r w:rsidRPr="00501CD2">
        <w:rPr>
          <w:rFonts w:cs="Times New Roman"/>
          <w:noProof/>
          <w:sz w:val="24"/>
          <w:szCs w:val="24"/>
        </w:rPr>
        <w:t>Manufacturers of finished products and of hardware components</w:t>
      </w:r>
      <w:r w:rsidRPr="00501CD2">
        <w:rPr>
          <w:rStyle w:val="FootnoteReference"/>
          <w:rFonts w:eastAsiaTheme="majorEastAsia"/>
          <w:noProof/>
          <w:sz w:val="24"/>
          <w:szCs w:val="24"/>
        </w:rPr>
        <w:footnoteReference w:id="65"/>
      </w:r>
      <w:r w:rsidRPr="00501CD2">
        <w:rPr>
          <w:rFonts w:cs="Times New Roman"/>
          <w:noProof/>
          <w:sz w:val="24"/>
          <w:szCs w:val="24"/>
        </w:rPr>
        <w:t xml:space="preserve"> have argued that subjecting only hardware producers to no-fault liability is unfair, given that today’s products operate in an ecosystem composed of hardware, software and ancillary services</w:t>
      </w:r>
      <w:r w:rsidR="0041274C" w:rsidRPr="00501CD2">
        <w:rPr>
          <w:rFonts w:cs="Times New Roman"/>
          <w:noProof/>
          <w:sz w:val="24"/>
          <w:szCs w:val="24"/>
        </w:rPr>
        <w:t>, which are difficult to distinguish one from another</w:t>
      </w:r>
      <w:r w:rsidR="0041274C" w:rsidRPr="00501CD2">
        <w:rPr>
          <w:rStyle w:val="FootnoteReference"/>
          <w:noProof/>
          <w:sz w:val="24"/>
          <w:szCs w:val="24"/>
        </w:rPr>
        <w:footnoteReference w:id="66"/>
      </w:r>
      <w:r w:rsidRPr="00501CD2">
        <w:rPr>
          <w:rFonts w:cs="Times New Roman"/>
          <w:noProof/>
          <w:sz w:val="24"/>
          <w:szCs w:val="24"/>
        </w:rPr>
        <w:t>. They argue that the safety of 3</w:t>
      </w:r>
      <w:r w:rsidRPr="00501CD2">
        <w:rPr>
          <w:rFonts w:cs="Times New Roman"/>
          <w:noProof/>
          <w:sz w:val="24"/>
          <w:szCs w:val="24"/>
          <w:vertAlign w:val="superscript"/>
        </w:rPr>
        <w:t>rd</w:t>
      </w:r>
      <w:r w:rsidRPr="00501CD2">
        <w:rPr>
          <w:rFonts w:cs="Times New Roman"/>
          <w:noProof/>
          <w:sz w:val="24"/>
          <w:szCs w:val="24"/>
        </w:rPr>
        <w:t>-party software updates or of a control app downloaded to a user’s smartphone is outside of their control and they point to the key principle of product liability: that liability should be imposed on the party best able to minimise safety risks</w:t>
      </w:r>
      <w:r w:rsidRPr="00501CD2">
        <w:rPr>
          <w:rStyle w:val="FootnoteReference"/>
          <w:rFonts w:eastAsiaTheme="majorEastAsia"/>
          <w:noProof/>
          <w:sz w:val="24"/>
          <w:szCs w:val="24"/>
        </w:rPr>
        <w:footnoteReference w:id="67"/>
      </w:r>
      <w:r w:rsidR="0041274C" w:rsidRPr="00501CD2">
        <w:rPr>
          <w:rFonts w:cs="Times New Roman"/>
          <w:noProof/>
          <w:sz w:val="24"/>
          <w:szCs w:val="24"/>
        </w:rPr>
        <w:t>. Industry associations in the automotive industry have noted that services and data can be crucial to the operation of a vehicle and its safety, such as geolocation data and its supply on a continuous basis in an autonomous vehicle</w:t>
      </w:r>
      <w:r w:rsidR="00850AAC" w:rsidRPr="00501CD2">
        <w:rPr>
          <w:rStyle w:val="FootnoteReference"/>
          <w:noProof/>
          <w:sz w:val="24"/>
          <w:szCs w:val="24"/>
        </w:rPr>
        <w:footnoteReference w:id="68"/>
      </w:r>
      <w:r w:rsidR="0041274C" w:rsidRPr="00501CD2">
        <w:rPr>
          <w:rFonts w:cs="Times New Roman"/>
          <w:noProof/>
          <w:sz w:val="24"/>
          <w:szCs w:val="24"/>
        </w:rPr>
        <w:t xml:space="preserve">. </w:t>
      </w:r>
      <w:r w:rsidR="004379BC" w:rsidRPr="00501CD2">
        <w:rPr>
          <w:rFonts w:cs="Times New Roman"/>
          <w:noProof/>
          <w:sz w:val="24"/>
          <w:szCs w:val="24"/>
        </w:rPr>
        <w:t>Legal experts have pointed out that excluding software providers from no-fault liability is especially incongruous when the digital component is more important for the overall functioning of the product than the physical part itself.</w:t>
      </w:r>
      <w:r w:rsidR="004379BC" w:rsidRPr="00501CD2">
        <w:rPr>
          <w:rStyle w:val="FootnoteReference"/>
          <w:rFonts w:eastAsiaTheme="majorEastAsia"/>
          <w:noProof/>
          <w:sz w:val="24"/>
          <w:szCs w:val="24"/>
        </w:rPr>
        <w:t xml:space="preserve"> </w:t>
      </w:r>
      <w:r w:rsidR="004379BC" w:rsidRPr="00501CD2">
        <w:rPr>
          <w:rStyle w:val="FootnoteReference"/>
          <w:rFonts w:eastAsiaTheme="majorEastAsia"/>
          <w:noProof/>
          <w:sz w:val="24"/>
          <w:szCs w:val="24"/>
        </w:rPr>
        <w:footnoteReference w:id="69"/>
      </w:r>
      <w:r w:rsidR="004379BC" w:rsidRPr="00501CD2">
        <w:rPr>
          <w:rFonts w:cs="Times New Roman"/>
          <w:noProof/>
          <w:sz w:val="24"/>
          <w:szCs w:val="24"/>
        </w:rPr>
        <w:t xml:space="preserve"> This might be the case in IoT ecosystems, for example a smart home system, where software and digital services have a greater role in determining how safely the system works than the individual hardware components. </w:t>
      </w:r>
      <w:r w:rsidR="0073758C" w:rsidRPr="00501CD2">
        <w:rPr>
          <w:rFonts w:cs="Times New Roman"/>
          <w:noProof/>
          <w:sz w:val="24"/>
          <w:szCs w:val="24"/>
          <w:lang w:eastAsia="da-DK"/>
        </w:rPr>
        <w:t xml:space="preserve">It essentially leads to a </w:t>
      </w:r>
      <w:r w:rsidR="001B19D2" w:rsidRPr="00501CD2">
        <w:rPr>
          <w:rFonts w:cs="Times New Roman"/>
          <w:noProof/>
          <w:sz w:val="24"/>
          <w:szCs w:val="24"/>
          <w:lang w:eastAsia="da-DK"/>
        </w:rPr>
        <w:t xml:space="preserve">narrowing the scope of the PLD as more and more products on the market are of a type that </w:t>
      </w:r>
      <w:r w:rsidR="0073758C" w:rsidRPr="00501CD2">
        <w:rPr>
          <w:rFonts w:cs="Times New Roman"/>
          <w:noProof/>
          <w:sz w:val="24"/>
          <w:szCs w:val="24"/>
          <w:lang w:eastAsia="da-DK"/>
        </w:rPr>
        <w:t xml:space="preserve">can be influenced by software or that </w:t>
      </w:r>
      <w:r w:rsidR="001B19D2" w:rsidRPr="00501CD2">
        <w:rPr>
          <w:rFonts w:cs="Times New Roman"/>
          <w:noProof/>
          <w:sz w:val="24"/>
          <w:szCs w:val="24"/>
          <w:lang w:eastAsia="da-DK"/>
        </w:rPr>
        <w:t>relies on updates or digital services to operate</w:t>
      </w:r>
      <w:r w:rsidR="001B19D2" w:rsidRPr="00501CD2">
        <w:rPr>
          <w:rStyle w:val="FootnoteReference"/>
          <w:rFonts w:eastAsiaTheme="majorEastAsia"/>
          <w:noProof/>
          <w:sz w:val="24"/>
          <w:szCs w:val="24"/>
          <w:lang w:eastAsia="da-DK"/>
        </w:rPr>
        <w:footnoteReference w:id="70"/>
      </w:r>
      <w:r w:rsidR="001B19D2" w:rsidRPr="00501CD2">
        <w:rPr>
          <w:rFonts w:cs="Times New Roman"/>
          <w:noProof/>
          <w:sz w:val="24"/>
          <w:szCs w:val="24"/>
          <w:lang w:eastAsia="da-DK"/>
        </w:rPr>
        <w:t xml:space="preserve">. </w:t>
      </w:r>
      <w:r w:rsidR="001B19D2" w:rsidRPr="00501CD2">
        <w:rPr>
          <w:rFonts w:cs="Times New Roman"/>
          <w:noProof/>
          <w:sz w:val="24"/>
          <w:szCs w:val="24"/>
        </w:rPr>
        <w:t>This may explain why the evaluation identified only one court case in the period 2000-2018 in which a consumer sought compensation under the PLD for software-related harm</w:t>
      </w:r>
      <w:r w:rsidR="001B19D2" w:rsidRPr="00501CD2">
        <w:rPr>
          <w:rStyle w:val="FootnoteReference"/>
          <w:noProof/>
          <w:sz w:val="24"/>
          <w:szCs w:val="24"/>
        </w:rPr>
        <w:footnoteReference w:id="71"/>
      </w:r>
      <w:r w:rsidR="001B19D2" w:rsidRPr="00501CD2">
        <w:rPr>
          <w:rFonts w:cs="Times New Roman"/>
          <w:noProof/>
          <w:sz w:val="24"/>
          <w:szCs w:val="24"/>
        </w:rPr>
        <w:t>.</w:t>
      </w:r>
      <w:r w:rsidR="001B19D2" w:rsidRPr="00501CD2">
        <w:rPr>
          <w:rFonts w:cs="Times New Roman"/>
          <w:noProof/>
          <w:sz w:val="24"/>
          <w:szCs w:val="24"/>
          <w:lang w:eastAsia="da-DK"/>
        </w:rPr>
        <w:t xml:space="preserve"> </w:t>
      </w:r>
    </w:p>
    <w:p w14:paraId="6B8EBCA7" w14:textId="2847FA10" w:rsidR="004379BC" w:rsidRPr="00501CD2" w:rsidRDefault="00242A23" w:rsidP="00501CD2">
      <w:pPr>
        <w:spacing w:after="240" w:line="240" w:lineRule="auto"/>
        <w:jc w:val="both"/>
        <w:rPr>
          <w:rFonts w:cs="Times New Roman"/>
          <w:noProof/>
          <w:sz w:val="24"/>
          <w:szCs w:val="24"/>
        </w:rPr>
      </w:pPr>
      <w:r w:rsidRPr="00501CD2">
        <w:rPr>
          <w:rFonts w:cs="Times New Roman"/>
          <w:noProof/>
          <w:sz w:val="24"/>
          <w:szCs w:val="24"/>
        </w:rPr>
        <w:t>Representatives of the software industry</w:t>
      </w:r>
      <w:r w:rsidR="004379BC" w:rsidRPr="00501CD2">
        <w:rPr>
          <w:rFonts w:cs="Times New Roman"/>
          <w:noProof/>
          <w:sz w:val="24"/>
          <w:szCs w:val="24"/>
        </w:rPr>
        <w:t>, however,</w:t>
      </w:r>
      <w:r w:rsidRPr="00501CD2">
        <w:rPr>
          <w:rFonts w:cs="Times New Roman"/>
          <w:noProof/>
          <w:sz w:val="24"/>
          <w:szCs w:val="24"/>
        </w:rPr>
        <w:t xml:space="preserve"> have argued that shielding software providers from no-fault liability is justified since software providers cannot control how their software will be used</w:t>
      </w:r>
      <w:r w:rsidRPr="00501CD2">
        <w:rPr>
          <w:rStyle w:val="FootnoteReference"/>
          <w:rFonts w:eastAsiaTheme="majorEastAsia"/>
          <w:noProof/>
          <w:sz w:val="24"/>
          <w:szCs w:val="24"/>
        </w:rPr>
        <w:footnoteReference w:id="72"/>
      </w:r>
      <w:r w:rsidRPr="00501CD2">
        <w:rPr>
          <w:rFonts w:cs="Times New Roman"/>
          <w:noProof/>
          <w:sz w:val="24"/>
          <w:szCs w:val="24"/>
        </w:rPr>
        <w:t>. It seems the same could be said of any component, however. They have also argued that a hardware manufacturer who has paid out compensation can claim that back from software providers through contractual agreements, if the software was to blame for the harm. Hardware manufacturers, however, have stressed that it can be difficult to pursue such claims under contract law since software producers may insist on liability being excluded by contract</w:t>
      </w:r>
      <w:r w:rsidR="004379BC" w:rsidRPr="00501CD2">
        <w:rPr>
          <w:rStyle w:val="FootnoteReference"/>
          <w:noProof/>
          <w:sz w:val="24"/>
          <w:szCs w:val="24"/>
        </w:rPr>
        <w:footnoteReference w:id="73"/>
      </w:r>
      <w:r w:rsidRPr="00501CD2">
        <w:rPr>
          <w:rFonts w:cs="Times New Roman"/>
          <w:noProof/>
          <w:sz w:val="24"/>
          <w:szCs w:val="24"/>
        </w:rPr>
        <w:t xml:space="preserve">. </w:t>
      </w:r>
    </w:p>
    <w:p w14:paraId="59D71452" w14:textId="71CA69DB" w:rsidR="00E1502F" w:rsidRPr="00501CD2" w:rsidRDefault="00EB1F9F" w:rsidP="00501CD2">
      <w:pPr>
        <w:spacing w:after="240" w:line="240" w:lineRule="auto"/>
        <w:jc w:val="both"/>
        <w:rPr>
          <w:rFonts w:cs="Times New Roman"/>
          <w:noProof/>
          <w:sz w:val="24"/>
          <w:szCs w:val="24"/>
        </w:rPr>
      </w:pPr>
      <w:r w:rsidRPr="00501CD2">
        <w:rPr>
          <w:rFonts w:cs="Times New Roman"/>
          <w:noProof/>
          <w:sz w:val="24"/>
          <w:szCs w:val="24"/>
        </w:rPr>
        <w:t xml:space="preserve">While the focus above has been on software and </w:t>
      </w:r>
      <w:r w:rsidR="00D14360">
        <w:rPr>
          <w:rFonts w:cs="Times New Roman"/>
          <w:noProof/>
          <w:sz w:val="24"/>
          <w:szCs w:val="24"/>
        </w:rPr>
        <w:t xml:space="preserve">digital </w:t>
      </w:r>
      <w:r w:rsidRPr="00501CD2">
        <w:rPr>
          <w:rFonts w:cs="Times New Roman"/>
          <w:noProof/>
          <w:sz w:val="24"/>
          <w:szCs w:val="24"/>
        </w:rPr>
        <w:t xml:space="preserve">services responsible for the safe operation of hardware, software itself may also cause </w:t>
      </w:r>
      <w:r w:rsidR="00B17D7A" w:rsidRPr="00501CD2">
        <w:rPr>
          <w:rFonts w:cs="Times New Roman"/>
          <w:noProof/>
          <w:sz w:val="24"/>
          <w:szCs w:val="24"/>
        </w:rPr>
        <w:t>personal injury or property damage</w:t>
      </w:r>
      <w:r w:rsidRPr="00501CD2">
        <w:rPr>
          <w:rFonts w:cs="Times New Roman"/>
          <w:noProof/>
          <w:sz w:val="24"/>
          <w:szCs w:val="24"/>
        </w:rPr>
        <w:t xml:space="preserve">. </w:t>
      </w:r>
      <w:r w:rsidR="005414C3" w:rsidRPr="00501CD2">
        <w:rPr>
          <w:rFonts w:cs="Times New Roman"/>
          <w:noProof/>
          <w:sz w:val="24"/>
          <w:szCs w:val="24"/>
        </w:rPr>
        <w:t>For example, a medically-approved smartwatch app</w:t>
      </w:r>
      <w:r w:rsidR="006202F1" w:rsidRPr="00501CD2">
        <w:rPr>
          <w:rFonts w:cs="Times New Roman"/>
          <w:noProof/>
          <w:sz w:val="24"/>
          <w:szCs w:val="24"/>
        </w:rPr>
        <w:t xml:space="preserve"> intended to send </w:t>
      </w:r>
      <w:r w:rsidR="005414C3" w:rsidRPr="00501CD2">
        <w:rPr>
          <w:rFonts w:cs="Times New Roman"/>
          <w:noProof/>
          <w:sz w:val="24"/>
          <w:szCs w:val="24"/>
        </w:rPr>
        <w:t>an alarm notification to the user or doctor when it recognise</w:t>
      </w:r>
      <w:r w:rsidR="006202F1" w:rsidRPr="00501CD2">
        <w:rPr>
          <w:rFonts w:cs="Times New Roman"/>
          <w:noProof/>
          <w:sz w:val="24"/>
          <w:szCs w:val="24"/>
        </w:rPr>
        <w:t>s</w:t>
      </w:r>
      <w:r w:rsidR="005414C3" w:rsidRPr="00501CD2">
        <w:rPr>
          <w:rFonts w:cs="Times New Roman"/>
          <w:noProof/>
          <w:sz w:val="24"/>
          <w:szCs w:val="24"/>
        </w:rPr>
        <w:t xml:space="preserve"> irregular heartbeats</w:t>
      </w:r>
      <w:r w:rsidR="006202F1" w:rsidRPr="00501CD2">
        <w:rPr>
          <w:rFonts w:cs="Times New Roman"/>
          <w:noProof/>
          <w:sz w:val="24"/>
          <w:szCs w:val="24"/>
        </w:rPr>
        <w:t xml:space="preserve"> could defectively fail to do so, leading to injury</w:t>
      </w:r>
      <w:r w:rsidR="006202F1" w:rsidRPr="00501CD2">
        <w:rPr>
          <w:rStyle w:val="FootnoteReference"/>
          <w:noProof/>
          <w:sz w:val="24"/>
          <w:szCs w:val="24"/>
        </w:rPr>
        <w:footnoteReference w:id="74"/>
      </w:r>
      <w:r w:rsidR="009C5C78" w:rsidRPr="00501CD2">
        <w:rPr>
          <w:rFonts w:cs="Times New Roman"/>
          <w:noProof/>
          <w:sz w:val="24"/>
          <w:szCs w:val="24"/>
        </w:rPr>
        <w:t>, or a d</w:t>
      </w:r>
      <w:r w:rsidRPr="00501CD2">
        <w:rPr>
          <w:rFonts w:cs="Times New Roman"/>
          <w:noProof/>
          <w:sz w:val="24"/>
          <w:szCs w:val="24"/>
        </w:rPr>
        <w:t xml:space="preserve">efective </w:t>
      </w:r>
      <w:r w:rsidR="00625F11" w:rsidRPr="00501CD2">
        <w:rPr>
          <w:rFonts w:cs="Times New Roman"/>
          <w:noProof/>
          <w:sz w:val="24"/>
          <w:szCs w:val="24"/>
        </w:rPr>
        <w:t>app</w:t>
      </w:r>
      <w:r w:rsidR="009C5C78" w:rsidRPr="00501CD2">
        <w:rPr>
          <w:rFonts w:cs="Times New Roman"/>
          <w:noProof/>
          <w:sz w:val="24"/>
          <w:szCs w:val="24"/>
        </w:rPr>
        <w:t xml:space="preserve"> or </w:t>
      </w:r>
      <w:r w:rsidR="00A84DDB" w:rsidRPr="00501CD2">
        <w:rPr>
          <w:rFonts w:cs="Times New Roman"/>
          <w:noProof/>
          <w:sz w:val="24"/>
          <w:szCs w:val="24"/>
        </w:rPr>
        <w:t xml:space="preserve">computer programs </w:t>
      </w:r>
      <w:r w:rsidR="009C5C78" w:rsidRPr="00501CD2">
        <w:rPr>
          <w:rFonts w:cs="Times New Roman"/>
          <w:noProof/>
          <w:sz w:val="24"/>
          <w:szCs w:val="24"/>
        </w:rPr>
        <w:t xml:space="preserve">could </w:t>
      </w:r>
      <w:r w:rsidR="00A84DDB" w:rsidRPr="00501CD2">
        <w:rPr>
          <w:rFonts w:cs="Times New Roman"/>
          <w:noProof/>
          <w:sz w:val="24"/>
          <w:szCs w:val="24"/>
        </w:rPr>
        <w:t xml:space="preserve">cause </w:t>
      </w:r>
      <w:r w:rsidR="00DA1646" w:rsidRPr="00501CD2">
        <w:rPr>
          <w:rFonts w:cs="Times New Roman"/>
          <w:noProof/>
          <w:sz w:val="24"/>
          <w:szCs w:val="24"/>
        </w:rPr>
        <w:t>a</w:t>
      </w:r>
      <w:r w:rsidR="000C4A03">
        <w:rPr>
          <w:rFonts w:cs="Times New Roman"/>
          <w:noProof/>
          <w:sz w:val="24"/>
          <w:szCs w:val="24"/>
        </w:rPr>
        <w:t xml:space="preserve"> </w:t>
      </w:r>
      <w:r w:rsidRPr="00501CD2">
        <w:rPr>
          <w:rFonts w:cs="Times New Roman"/>
          <w:noProof/>
          <w:sz w:val="24"/>
          <w:szCs w:val="24"/>
        </w:rPr>
        <w:t>computer battery to overheat or explode</w:t>
      </w:r>
      <w:r w:rsidR="00625F11" w:rsidRPr="00501CD2">
        <w:rPr>
          <w:rStyle w:val="FootnoteReference"/>
          <w:noProof/>
          <w:sz w:val="24"/>
          <w:szCs w:val="24"/>
        </w:rPr>
        <w:footnoteReference w:id="75"/>
      </w:r>
      <w:r w:rsidR="00DA1646" w:rsidRPr="00501CD2">
        <w:rPr>
          <w:rFonts w:cs="Times New Roman"/>
          <w:noProof/>
          <w:sz w:val="24"/>
          <w:szCs w:val="24"/>
        </w:rPr>
        <w:t>.</w:t>
      </w:r>
      <w:bookmarkStart w:id="189" w:name="_Hlk88667154"/>
      <w:r w:rsidR="00E1502F" w:rsidRPr="00501CD2">
        <w:rPr>
          <w:rFonts w:cs="Times New Roman"/>
          <w:noProof/>
          <w:sz w:val="24"/>
          <w:szCs w:val="24"/>
        </w:rPr>
        <w:t xml:space="preserve"> </w:t>
      </w:r>
      <w:r w:rsidR="009C5C78" w:rsidRPr="00501CD2">
        <w:rPr>
          <w:rFonts w:cs="Times New Roman"/>
          <w:noProof/>
          <w:sz w:val="24"/>
          <w:szCs w:val="24"/>
        </w:rPr>
        <w:t xml:space="preserve">In neither case could the software manufacturer currently be held liable under the PLD. </w:t>
      </w:r>
    </w:p>
    <w:p w14:paraId="0A1B6779" w14:textId="4C737B97" w:rsidR="00B17D7A" w:rsidRPr="00501CD2" w:rsidRDefault="00B17D7A" w:rsidP="00501CD2">
      <w:pPr>
        <w:spacing w:after="240" w:line="240" w:lineRule="auto"/>
        <w:jc w:val="both"/>
        <w:rPr>
          <w:rFonts w:cs="Times New Roman"/>
          <w:noProof/>
          <w:sz w:val="24"/>
          <w:szCs w:val="24"/>
        </w:rPr>
      </w:pPr>
      <w:r w:rsidRPr="00501CD2">
        <w:rPr>
          <w:rFonts w:cs="Times New Roman"/>
          <w:b/>
          <w:noProof/>
          <w:sz w:val="24"/>
          <w:szCs w:val="24"/>
        </w:rPr>
        <w:t xml:space="preserve">What about types of harm other </w:t>
      </w:r>
      <w:r w:rsidR="00D14360">
        <w:rPr>
          <w:rFonts w:cs="Times New Roman"/>
          <w:b/>
          <w:noProof/>
          <w:sz w:val="24"/>
          <w:szCs w:val="24"/>
        </w:rPr>
        <w:t xml:space="preserve">than </w:t>
      </w:r>
      <w:r w:rsidR="009C5C78" w:rsidRPr="00501CD2">
        <w:rPr>
          <w:rFonts w:cs="Times New Roman"/>
          <w:b/>
          <w:noProof/>
          <w:sz w:val="24"/>
          <w:szCs w:val="24"/>
        </w:rPr>
        <w:t>personal injury and property damage</w:t>
      </w:r>
      <w:r w:rsidRPr="00501CD2">
        <w:rPr>
          <w:rFonts w:cs="Times New Roman"/>
          <w:b/>
          <w:noProof/>
          <w:sz w:val="24"/>
          <w:szCs w:val="24"/>
        </w:rPr>
        <w:t xml:space="preserve">? </w:t>
      </w:r>
      <w:r w:rsidRPr="00501CD2">
        <w:rPr>
          <w:rFonts w:cs="Times New Roman"/>
          <w:noProof/>
          <w:sz w:val="24"/>
          <w:szCs w:val="24"/>
        </w:rPr>
        <w:t xml:space="preserve">The 2018 evaluation highlighted that </w:t>
      </w:r>
      <w:r w:rsidRPr="00501CD2">
        <w:rPr>
          <w:rFonts w:cs="Times New Roman"/>
          <w:noProof/>
          <w:sz w:val="24"/>
          <w:szCs w:val="24"/>
          <w:lang w:eastAsia="da-DK"/>
        </w:rPr>
        <w:t xml:space="preserve">products using digital technologies are capable of causing a broader range of harm than traditional products, in particular </w:t>
      </w:r>
      <w:r w:rsidRPr="00501CD2">
        <w:rPr>
          <w:rFonts w:cs="Times New Roman"/>
          <w:b/>
          <w:noProof/>
          <w:sz w:val="24"/>
          <w:szCs w:val="24"/>
          <w:lang w:eastAsia="da-DK"/>
        </w:rPr>
        <w:t>a)</w:t>
      </w:r>
      <w:r w:rsidRPr="00501CD2">
        <w:rPr>
          <w:rFonts w:cs="Times New Roman"/>
          <w:noProof/>
          <w:sz w:val="24"/>
          <w:szCs w:val="24"/>
          <w:lang w:eastAsia="da-DK"/>
        </w:rPr>
        <w:t xml:space="preserve"> damage to a user’s </w:t>
      </w:r>
      <w:r w:rsidR="0044165E">
        <w:rPr>
          <w:rFonts w:cs="Times New Roman"/>
          <w:noProof/>
          <w:sz w:val="24"/>
          <w:szCs w:val="24"/>
          <w:lang w:eastAsia="da-DK"/>
        </w:rPr>
        <w:t xml:space="preserve">digital </w:t>
      </w:r>
      <w:r w:rsidR="00B548DE">
        <w:rPr>
          <w:rFonts w:cs="Times New Roman"/>
          <w:noProof/>
          <w:sz w:val="24"/>
          <w:szCs w:val="24"/>
          <w:lang w:eastAsia="da-DK"/>
        </w:rPr>
        <w:t>property</w:t>
      </w:r>
      <w:r w:rsidRPr="00501CD2">
        <w:rPr>
          <w:rFonts w:cs="Times New Roman"/>
          <w:noProof/>
          <w:sz w:val="24"/>
          <w:szCs w:val="24"/>
          <w:lang w:eastAsia="da-DK"/>
        </w:rPr>
        <w:t xml:space="preserve">, and </w:t>
      </w:r>
      <w:r w:rsidRPr="00501CD2">
        <w:rPr>
          <w:rFonts w:cs="Times New Roman"/>
          <w:b/>
          <w:noProof/>
          <w:sz w:val="24"/>
          <w:szCs w:val="24"/>
          <w:lang w:eastAsia="da-DK"/>
        </w:rPr>
        <w:t>b)</w:t>
      </w:r>
      <w:r w:rsidRPr="00501CD2">
        <w:rPr>
          <w:rFonts w:cs="Times New Roman"/>
          <w:noProof/>
          <w:sz w:val="24"/>
          <w:szCs w:val="24"/>
          <w:lang w:eastAsia="da-DK"/>
        </w:rPr>
        <w:t xml:space="preserve"> infringement of personality rights such as privacy or discrimination</w:t>
      </w:r>
      <w:r w:rsidRPr="00501CD2">
        <w:rPr>
          <w:rStyle w:val="FootnoteReference"/>
          <w:noProof/>
          <w:sz w:val="24"/>
          <w:szCs w:val="24"/>
          <w:lang w:eastAsia="da-DK"/>
        </w:rPr>
        <w:footnoteReference w:id="76"/>
      </w:r>
      <w:r w:rsidRPr="00501CD2">
        <w:rPr>
          <w:rFonts w:cs="Times New Roman"/>
          <w:noProof/>
          <w:sz w:val="24"/>
          <w:szCs w:val="24"/>
          <w:lang w:eastAsia="da-DK"/>
        </w:rPr>
        <w:t>.</w:t>
      </w:r>
    </w:p>
    <w:p w14:paraId="5995AD7F" w14:textId="21CF2815" w:rsidR="00611407" w:rsidRPr="0062002F" w:rsidRDefault="00B548DE" w:rsidP="00501CD2">
      <w:pPr>
        <w:spacing w:after="240" w:line="240" w:lineRule="auto"/>
        <w:jc w:val="both"/>
        <w:rPr>
          <w:rFonts w:cs="Times New Roman"/>
          <w:noProof/>
          <w:color w:val="000000"/>
          <w:sz w:val="24"/>
          <w:szCs w:val="24"/>
        </w:rPr>
      </w:pPr>
      <w:r>
        <w:rPr>
          <w:rFonts w:cs="Times New Roman"/>
          <w:noProof/>
          <w:sz w:val="24"/>
          <w:szCs w:val="24"/>
        </w:rPr>
        <w:t>D</w:t>
      </w:r>
      <w:r w:rsidR="00D8409F" w:rsidRPr="00501CD2">
        <w:rPr>
          <w:rFonts w:cs="Times New Roman"/>
          <w:noProof/>
          <w:sz w:val="24"/>
          <w:szCs w:val="24"/>
          <w:lang w:eastAsia="da-DK"/>
        </w:rPr>
        <w:t>amage</w:t>
      </w:r>
      <w:bookmarkEnd w:id="189"/>
      <w:r w:rsidR="00D8409F" w:rsidRPr="00501CD2">
        <w:rPr>
          <w:rFonts w:cs="Times New Roman"/>
          <w:noProof/>
          <w:sz w:val="24"/>
          <w:szCs w:val="24"/>
          <w:lang w:eastAsia="da-DK"/>
        </w:rPr>
        <w:t xml:space="preserve"> to </w:t>
      </w:r>
      <w:r>
        <w:rPr>
          <w:rFonts w:cs="Times New Roman"/>
          <w:noProof/>
          <w:sz w:val="24"/>
          <w:szCs w:val="24"/>
          <w:lang w:eastAsia="da-DK"/>
        </w:rPr>
        <w:t>digital property</w:t>
      </w:r>
      <w:r w:rsidR="002B2B43">
        <w:rPr>
          <w:rStyle w:val="FootnoteReference"/>
          <w:noProof/>
          <w:sz w:val="24"/>
          <w:szCs w:val="24"/>
          <w:lang w:eastAsia="da-DK"/>
        </w:rPr>
        <w:footnoteReference w:id="77"/>
      </w:r>
      <w:r w:rsidR="00D8409F" w:rsidRPr="00501CD2">
        <w:rPr>
          <w:rFonts w:cs="Times New Roman"/>
          <w:noProof/>
          <w:sz w:val="24"/>
          <w:szCs w:val="24"/>
          <w:lang w:eastAsia="da-DK"/>
        </w:rPr>
        <w:t xml:space="preserve">: </w:t>
      </w:r>
      <w:r w:rsidR="00B47DEF" w:rsidRPr="00501CD2">
        <w:rPr>
          <w:rFonts w:cs="Times New Roman"/>
          <w:noProof/>
          <w:sz w:val="24"/>
          <w:szCs w:val="24"/>
          <w:lang w:eastAsia="da-DK"/>
        </w:rPr>
        <w:t xml:space="preserve">The PLD covers damage to items of consumer property, but </w:t>
      </w:r>
      <w:r w:rsidR="00097D47" w:rsidRPr="00501CD2">
        <w:rPr>
          <w:rFonts w:cs="Times New Roman"/>
          <w:noProof/>
          <w:sz w:val="24"/>
          <w:szCs w:val="24"/>
          <w:lang w:eastAsia="da-DK"/>
        </w:rPr>
        <w:t>not all Member States’ legal systems treat intangible</w:t>
      </w:r>
      <w:r w:rsidR="00CA6F79" w:rsidRPr="00501CD2">
        <w:rPr>
          <w:rFonts w:cs="Times New Roman"/>
          <w:noProof/>
          <w:sz w:val="24"/>
          <w:szCs w:val="24"/>
          <w:lang w:eastAsia="da-DK"/>
        </w:rPr>
        <w:t xml:space="preserve"> goods as property</w:t>
      </w:r>
      <w:r w:rsidR="00097D47" w:rsidRPr="00501CD2">
        <w:rPr>
          <w:rStyle w:val="FootnoteReference"/>
          <w:noProof/>
          <w:sz w:val="24"/>
          <w:szCs w:val="24"/>
          <w:lang w:eastAsia="da-DK"/>
        </w:rPr>
        <w:footnoteReference w:id="78"/>
      </w:r>
      <w:r w:rsidR="00663B31" w:rsidRPr="00501CD2">
        <w:rPr>
          <w:rFonts w:cs="Times New Roman"/>
          <w:noProof/>
          <w:sz w:val="24"/>
          <w:szCs w:val="24"/>
          <w:lang w:eastAsia="da-DK"/>
        </w:rPr>
        <w:t>. For example, if a</w:t>
      </w:r>
      <w:r w:rsidR="00D7351B" w:rsidRPr="00501CD2">
        <w:rPr>
          <w:rFonts w:cs="Times New Roman"/>
          <w:noProof/>
          <w:sz w:val="24"/>
          <w:szCs w:val="24"/>
          <w:lang w:eastAsia="da-DK"/>
        </w:rPr>
        <w:t xml:space="preserve">n </w:t>
      </w:r>
      <w:r w:rsidR="000B31CD" w:rsidRPr="00501CD2">
        <w:rPr>
          <w:rFonts w:cs="Times New Roman"/>
          <w:noProof/>
          <w:sz w:val="24"/>
          <w:szCs w:val="24"/>
          <w:lang w:eastAsia="da-DK"/>
        </w:rPr>
        <w:t xml:space="preserve">external hard-drive is defective and erases all </w:t>
      </w:r>
      <w:r w:rsidR="0044165E">
        <w:rPr>
          <w:rFonts w:cs="Times New Roman"/>
          <w:noProof/>
          <w:sz w:val="24"/>
          <w:szCs w:val="24"/>
          <w:lang w:eastAsia="da-DK"/>
        </w:rPr>
        <w:t>digital content</w:t>
      </w:r>
      <w:r w:rsidR="0044165E" w:rsidRPr="00501CD2">
        <w:rPr>
          <w:rFonts w:cs="Times New Roman"/>
          <w:noProof/>
          <w:sz w:val="24"/>
          <w:szCs w:val="24"/>
          <w:lang w:eastAsia="da-DK"/>
        </w:rPr>
        <w:t xml:space="preserve"> </w:t>
      </w:r>
      <w:r w:rsidR="000B31CD" w:rsidRPr="00501CD2">
        <w:rPr>
          <w:rFonts w:cs="Times New Roman"/>
          <w:noProof/>
          <w:sz w:val="24"/>
          <w:szCs w:val="24"/>
          <w:lang w:eastAsia="da-DK"/>
        </w:rPr>
        <w:t xml:space="preserve">from the computer’s hard-disk </w:t>
      </w:r>
      <w:r w:rsidR="00611407" w:rsidRPr="00501CD2">
        <w:rPr>
          <w:rFonts w:cs="Times New Roman"/>
          <w:noProof/>
          <w:color w:val="000000"/>
          <w:sz w:val="24"/>
          <w:szCs w:val="24"/>
        </w:rPr>
        <w:t xml:space="preserve">without physically damaging the </w:t>
      </w:r>
      <w:r w:rsidR="000B31CD" w:rsidRPr="00501CD2">
        <w:rPr>
          <w:rFonts w:cs="Times New Roman"/>
          <w:noProof/>
          <w:color w:val="000000"/>
          <w:sz w:val="24"/>
          <w:szCs w:val="24"/>
        </w:rPr>
        <w:t xml:space="preserve">computer </w:t>
      </w:r>
      <w:r w:rsidR="00611407" w:rsidRPr="00501CD2">
        <w:rPr>
          <w:rFonts w:cs="Times New Roman"/>
          <w:noProof/>
          <w:color w:val="000000"/>
          <w:sz w:val="24"/>
          <w:szCs w:val="24"/>
        </w:rPr>
        <w:t>itself</w:t>
      </w:r>
      <w:r w:rsidR="00663B31" w:rsidRPr="00501CD2">
        <w:rPr>
          <w:rFonts w:cs="Times New Roman"/>
          <w:noProof/>
          <w:color w:val="000000"/>
          <w:sz w:val="24"/>
          <w:szCs w:val="24"/>
        </w:rPr>
        <w:t xml:space="preserve">, </w:t>
      </w:r>
      <w:r w:rsidR="00097D47" w:rsidRPr="00501CD2">
        <w:rPr>
          <w:rFonts w:cs="Times New Roman"/>
          <w:noProof/>
          <w:color w:val="000000"/>
          <w:sz w:val="24"/>
          <w:szCs w:val="24"/>
        </w:rPr>
        <w:t xml:space="preserve">in some Member States </w:t>
      </w:r>
      <w:r w:rsidR="00663B31" w:rsidRPr="00501CD2">
        <w:rPr>
          <w:rFonts w:cs="Times New Roman"/>
          <w:noProof/>
          <w:color w:val="000000"/>
          <w:sz w:val="24"/>
          <w:szCs w:val="24"/>
        </w:rPr>
        <w:t xml:space="preserve">the consumer can seek compensation </w:t>
      </w:r>
      <w:r w:rsidR="00611407" w:rsidRPr="00501CD2">
        <w:rPr>
          <w:rFonts w:cs="Times New Roman"/>
          <w:noProof/>
          <w:color w:val="000000"/>
          <w:sz w:val="24"/>
          <w:szCs w:val="24"/>
        </w:rPr>
        <w:t xml:space="preserve">under the PLD </w:t>
      </w:r>
      <w:r w:rsidR="00663B31" w:rsidRPr="00501CD2">
        <w:rPr>
          <w:rFonts w:cs="Times New Roman"/>
          <w:noProof/>
          <w:color w:val="000000"/>
          <w:sz w:val="24"/>
          <w:szCs w:val="24"/>
        </w:rPr>
        <w:t xml:space="preserve">for the </w:t>
      </w:r>
      <w:r w:rsidR="00611407" w:rsidRPr="00501CD2">
        <w:rPr>
          <w:rFonts w:cs="Times New Roman"/>
          <w:noProof/>
          <w:color w:val="000000"/>
          <w:sz w:val="24"/>
          <w:szCs w:val="24"/>
        </w:rPr>
        <w:t xml:space="preserve">resultant </w:t>
      </w:r>
      <w:r w:rsidR="00663B31" w:rsidRPr="00501CD2">
        <w:rPr>
          <w:rFonts w:cs="Times New Roman"/>
          <w:noProof/>
          <w:color w:val="000000"/>
          <w:sz w:val="24"/>
          <w:szCs w:val="24"/>
        </w:rPr>
        <w:t xml:space="preserve">economic loss e.g. restoring the </w:t>
      </w:r>
      <w:r w:rsidR="0044165E">
        <w:rPr>
          <w:rFonts w:cs="Times New Roman"/>
          <w:noProof/>
          <w:color w:val="000000"/>
          <w:sz w:val="24"/>
          <w:szCs w:val="24"/>
        </w:rPr>
        <w:t>digital content</w:t>
      </w:r>
      <w:r w:rsidR="0044165E" w:rsidRPr="00501CD2">
        <w:rPr>
          <w:rFonts w:cs="Times New Roman"/>
          <w:noProof/>
          <w:color w:val="000000"/>
          <w:sz w:val="24"/>
          <w:szCs w:val="24"/>
        </w:rPr>
        <w:t xml:space="preserve"> </w:t>
      </w:r>
      <w:r w:rsidR="00663B31" w:rsidRPr="00501CD2">
        <w:rPr>
          <w:rFonts w:cs="Times New Roman"/>
          <w:noProof/>
          <w:color w:val="000000"/>
          <w:sz w:val="24"/>
          <w:szCs w:val="24"/>
        </w:rPr>
        <w:t>or pu</w:t>
      </w:r>
      <w:r w:rsidR="00611407" w:rsidRPr="00501CD2">
        <w:rPr>
          <w:rFonts w:cs="Times New Roman"/>
          <w:noProof/>
          <w:color w:val="000000"/>
          <w:sz w:val="24"/>
          <w:szCs w:val="24"/>
        </w:rPr>
        <w:t>rchasing new software licences</w:t>
      </w:r>
      <w:r w:rsidR="00611407" w:rsidRPr="00501CD2">
        <w:rPr>
          <w:rStyle w:val="FootnoteReference"/>
          <w:noProof/>
          <w:color w:val="000000"/>
          <w:sz w:val="24"/>
          <w:szCs w:val="24"/>
        </w:rPr>
        <w:footnoteReference w:id="79"/>
      </w:r>
      <w:r w:rsidR="00D1183E" w:rsidRPr="00501CD2">
        <w:rPr>
          <w:rFonts w:cs="Times New Roman"/>
          <w:noProof/>
          <w:color w:val="000000"/>
          <w:sz w:val="24"/>
          <w:szCs w:val="24"/>
        </w:rPr>
        <w:t xml:space="preserve">, but in others </w:t>
      </w:r>
      <w:r w:rsidR="002675E9" w:rsidRPr="00501CD2">
        <w:rPr>
          <w:rFonts w:cs="Times New Roman"/>
          <w:noProof/>
          <w:color w:val="000000"/>
          <w:sz w:val="24"/>
          <w:szCs w:val="24"/>
        </w:rPr>
        <w:t xml:space="preserve">only if </w:t>
      </w:r>
      <w:r w:rsidR="00895527" w:rsidRPr="00501CD2">
        <w:rPr>
          <w:rFonts w:cs="Times New Roman"/>
          <w:noProof/>
          <w:color w:val="000000"/>
          <w:sz w:val="24"/>
          <w:szCs w:val="24"/>
        </w:rPr>
        <w:t xml:space="preserve">the hard-disk </w:t>
      </w:r>
      <w:r w:rsidR="002675E9" w:rsidRPr="00501CD2">
        <w:rPr>
          <w:rFonts w:cs="Times New Roman"/>
          <w:noProof/>
          <w:color w:val="000000"/>
          <w:sz w:val="24"/>
          <w:szCs w:val="24"/>
        </w:rPr>
        <w:t xml:space="preserve">itself </w:t>
      </w:r>
      <w:r w:rsidR="00895527" w:rsidRPr="00501CD2">
        <w:rPr>
          <w:rFonts w:cs="Times New Roman"/>
          <w:noProof/>
          <w:color w:val="000000"/>
          <w:sz w:val="24"/>
          <w:szCs w:val="24"/>
        </w:rPr>
        <w:t>were physically damaged</w:t>
      </w:r>
      <w:r w:rsidR="001203BC" w:rsidRPr="00501CD2">
        <w:rPr>
          <w:rStyle w:val="FootnoteReference"/>
          <w:noProof/>
          <w:color w:val="000000"/>
          <w:sz w:val="24"/>
          <w:szCs w:val="24"/>
        </w:rPr>
        <w:footnoteReference w:id="80"/>
      </w:r>
      <w:r w:rsidR="00895527" w:rsidRPr="00501CD2">
        <w:rPr>
          <w:rFonts w:cs="Times New Roman"/>
          <w:noProof/>
          <w:color w:val="000000"/>
          <w:sz w:val="24"/>
          <w:szCs w:val="24"/>
        </w:rPr>
        <w:t xml:space="preserve">. </w:t>
      </w:r>
      <w:r w:rsidR="00061A5B" w:rsidRPr="00501CD2">
        <w:rPr>
          <w:rFonts w:cs="Times New Roman"/>
          <w:noProof/>
          <w:sz w:val="24"/>
          <w:szCs w:val="24"/>
          <w:lang w:eastAsia="da-DK"/>
        </w:rPr>
        <w:t xml:space="preserve">In a case in Bulgaria, a defective hard-drive erased </w:t>
      </w:r>
      <w:r w:rsidR="0044165E">
        <w:rPr>
          <w:rFonts w:cs="Times New Roman"/>
          <w:noProof/>
          <w:sz w:val="24"/>
          <w:szCs w:val="24"/>
          <w:lang w:eastAsia="da-DK"/>
        </w:rPr>
        <w:t>digital content</w:t>
      </w:r>
      <w:r w:rsidR="00061A5B" w:rsidRPr="00501CD2">
        <w:rPr>
          <w:rFonts w:cs="Times New Roman"/>
          <w:noProof/>
          <w:sz w:val="24"/>
          <w:szCs w:val="24"/>
          <w:lang w:eastAsia="da-DK"/>
        </w:rPr>
        <w:t xml:space="preserve"> from the claimant’s computer</w:t>
      </w:r>
      <w:r w:rsidR="0048256F" w:rsidRPr="00501CD2">
        <w:rPr>
          <w:rFonts w:cs="Times New Roman"/>
          <w:noProof/>
          <w:sz w:val="24"/>
          <w:szCs w:val="24"/>
          <w:lang w:eastAsia="da-DK"/>
        </w:rPr>
        <w:t xml:space="preserve"> and </w:t>
      </w:r>
      <w:r w:rsidR="00061A5B" w:rsidRPr="00501CD2">
        <w:rPr>
          <w:rFonts w:cs="Times New Roman"/>
          <w:noProof/>
          <w:sz w:val="24"/>
          <w:szCs w:val="24"/>
          <w:lang w:eastAsia="da-DK"/>
        </w:rPr>
        <w:t xml:space="preserve">the damage was in principle deemed recoverable by the court, </w:t>
      </w:r>
      <w:r w:rsidR="007B735B" w:rsidRPr="00501CD2">
        <w:rPr>
          <w:rFonts w:cs="Times New Roman"/>
          <w:noProof/>
          <w:sz w:val="24"/>
          <w:szCs w:val="24"/>
          <w:lang w:eastAsia="da-DK"/>
        </w:rPr>
        <w:t xml:space="preserve">although </w:t>
      </w:r>
      <w:r w:rsidR="00061A5B" w:rsidRPr="00501CD2">
        <w:rPr>
          <w:rFonts w:cs="Times New Roman"/>
          <w:noProof/>
          <w:sz w:val="24"/>
          <w:szCs w:val="24"/>
          <w:lang w:eastAsia="da-DK"/>
        </w:rPr>
        <w:t xml:space="preserve">the claimant could not prove the </w:t>
      </w:r>
      <w:r w:rsidR="0044165E">
        <w:rPr>
          <w:rFonts w:cs="Times New Roman"/>
          <w:noProof/>
          <w:sz w:val="24"/>
          <w:szCs w:val="24"/>
          <w:lang w:eastAsia="da-DK"/>
        </w:rPr>
        <w:t>digital content</w:t>
      </w:r>
      <w:r w:rsidR="0044165E" w:rsidRPr="00501CD2">
        <w:rPr>
          <w:rFonts w:cs="Times New Roman"/>
          <w:noProof/>
          <w:sz w:val="24"/>
          <w:szCs w:val="24"/>
          <w:lang w:eastAsia="da-DK"/>
        </w:rPr>
        <w:t xml:space="preserve"> </w:t>
      </w:r>
      <w:r w:rsidR="00061A5B" w:rsidRPr="00501CD2">
        <w:rPr>
          <w:rFonts w:cs="Times New Roman"/>
          <w:noProof/>
          <w:sz w:val="24"/>
          <w:szCs w:val="24"/>
          <w:lang w:eastAsia="da-DK"/>
        </w:rPr>
        <w:t>had been stored on the computer</w:t>
      </w:r>
      <w:r w:rsidR="00061A5B" w:rsidRPr="00501CD2">
        <w:rPr>
          <w:rStyle w:val="FootnoteReference"/>
          <w:noProof/>
          <w:sz w:val="24"/>
          <w:szCs w:val="24"/>
          <w:lang w:eastAsia="da-DK"/>
        </w:rPr>
        <w:footnoteReference w:id="81"/>
      </w:r>
      <w:r w:rsidR="00061A5B" w:rsidRPr="00501CD2">
        <w:rPr>
          <w:rFonts w:cs="Times New Roman"/>
          <w:noProof/>
          <w:sz w:val="24"/>
          <w:szCs w:val="24"/>
          <w:lang w:eastAsia="da-DK"/>
        </w:rPr>
        <w:t>.</w:t>
      </w:r>
      <w:r w:rsidR="00611407" w:rsidRPr="00501CD2">
        <w:rPr>
          <w:rFonts w:cs="Times New Roman"/>
          <w:noProof/>
          <w:color w:val="000000"/>
          <w:sz w:val="24"/>
          <w:szCs w:val="24"/>
        </w:rPr>
        <w:t xml:space="preserve"> </w:t>
      </w:r>
      <w:r w:rsidR="00C60504" w:rsidRPr="00501CD2">
        <w:rPr>
          <w:rFonts w:cs="Times New Roman"/>
          <w:noProof/>
          <w:color w:val="000000"/>
          <w:sz w:val="24"/>
          <w:szCs w:val="24"/>
        </w:rPr>
        <w:t>T</w:t>
      </w:r>
      <w:r w:rsidR="005374A8" w:rsidRPr="00501CD2">
        <w:rPr>
          <w:rFonts w:cs="Times New Roman"/>
          <w:noProof/>
          <w:color w:val="000000"/>
          <w:sz w:val="24"/>
          <w:szCs w:val="24"/>
        </w:rPr>
        <w:t xml:space="preserve">he increasing prevalence </w:t>
      </w:r>
      <w:r w:rsidR="00097D47" w:rsidRPr="00501CD2">
        <w:rPr>
          <w:rFonts w:cs="Times New Roman"/>
          <w:noProof/>
          <w:color w:val="000000"/>
          <w:sz w:val="24"/>
          <w:szCs w:val="24"/>
        </w:rPr>
        <w:t xml:space="preserve">of </w:t>
      </w:r>
      <w:r w:rsidR="005374A8" w:rsidRPr="00501CD2">
        <w:rPr>
          <w:rFonts w:cs="Times New Roman"/>
          <w:noProof/>
          <w:color w:val="000000"/>
          <w:sz w:val="24"/>
          <w:szCs w:val="24"/>
        </w:rPr>
        <w:t>connected devices</w:t>
      </w:r>
      <w:r w:rsidR="00C60504" w:rsidRPr="00501CD2">
        <w:rPr>
          <w:rFonts w:cs="Times New Roman"/>
          <w:noProof/>
          <w:color w:val="000000"/>
          <w:sz w:val="24"/>
          <w:szCs w:val="24"/>
        </w:rPr>
        <w:t xml:space="preserve"> </w:t>
      </w:r>
      <w:r w:rsidR="00C6033D" w:rsidRPr="00501CD2">
        <w:rPr>
          <w:rFonts w:cs="Times New Roman"/>
          <w:noProof/>
          <w:color w:val="000000"/>
          <w:sz w:val="24"/>
          <w:szCs w:val="24"/>
        </w:rPr>
        <w:t xml:space="preserve">and cybersecurity risks </w:t>
      </w:r>
      <w:r w:rsidR="00D7351B" w:rsidRPr="00501CD2">
        <w:rPr>
          <w:rFonts w:cs="Times New Roman"/>
          <w:noProof/>
          <w:color w:val="000000"/>
          <w:sz w:val="24"/>
          <w:szCs w:val="24"/>
        </w:rPr>
        <w:t xml:space="preserve">may </w:t>
      </w:r>
      <w:r w:rsidR="00C60504" w:rsidRPr="00501CD2">
        <w:rPr>
          <w:rFonts w:cs="Times New Roman"/>
          <w:noProof/>
          <w:color w:val="000000"/>
          <w:sz w:val="24"/>
          <w:szCs w:val="24"/>
        </w:rPr>
        <w:t xml:space="preserve">make this sort of damage to </w:t>
      </w:r>
      <w:r w:rsidR="0044165E">
        <w:rPr>
          <w:rFonts w:cs="Times New Roman"/>
          <w:noProof/>
          <w:color w:val="000000"/>
          <w:sz w:val="24"/>
          <w:szCs w:val="24"/>
        </w:rPr>
        <w:t xml:space="preserve">digital </w:t>
      </w:r>
      <w:r>
        <w:rPr>
          <w:rFonts w:cs="Times New Roman"/>
          <w:noProof/>
          <w:color w:val="000000"/>
          <w:sz w:val="24"/>
          <w:szCs w:val="24"/>
        </w:rPr>
        <w:t>property</w:t>
      </w:r>
      <w:r w:rsidR="0044165E" w:rsidRPr="00501CD2">
        <w:rPr>
          <w:rFonts w:cs="Times New Roman"/>
          <w:noProof/>
          <w:color w:val="000000"/>
          <w:sz w:val="24"/>
          <w:szCs w:val="24"/>
        </w:rPr>
        <w:t xml:space="preserve"> </w:t>
      </w:r>
      <w:r w:rsidR="00C60504" w:rsidRPr="00501CD2">
        <w:rPr>
          <w:rFonts w:cs="Times New Roman"/>
          <w:noProof/>
          <w:color w:val="000000"/>
          <w:sz w:val="24"/>
          <w:szCs w:val="24"/>
        </w:rPr>
        <w:t xml:space="preserve">more </w:t>
      </w:r>
      <w:r w:rsidR="00C6033D" w:rsidRPr="00501CD2">
        <w:rPr>
          <w:rFonts w:cs="Times New Roman"/>
          <w:noProof/>
          <w:color w:val="000000"/>
          <w:sz w:val="24"/>
          <w:szCs w:val="24"/>
        </w:rPr>
        <w:t>common</w:t>
      </w:r>
      <w:r w:rsidR="00097D47" w:rsidRPr="00501CD2">
        <w:rPr>
          <w:rStyle w:val="FootnoteReference"/>
          <w:rFonts w:eastAsia="Calibri"/>
          <w:noProof/>
          <w:sz w:val="24"/>
          <w:szCs w:val="24"/>
        </w:rPr>
        <w:footnoteReference w:id="82"/>
      </w:r>
      <w:r w:rsidR="00097D47" w:rsidRPr="00501CD2">
        <w:rPr>
          <w:rFonts w:cs="Times New Roman"/>
          <w:noProof/>
          <w:color w:val="000000"/>
          <w:sz w:val="24"/>
          <w:szCs w:val="24"/>
        </w:rPr>
        <w:t>,</w:t>
      </w:r>
      <w:r w:rsidR="00D7351B" w:rsidRPr="00501CD2">
        <w:rPr>
          <w:rFonts w:cs="Times New Roman"/>
          <w:noProof/>
          <w:color w:val="000000"/>
          <w:sz w:val="24"/>
          <w:szCs w:val="24"/>
        </w:rPr>
        <w:t xml:space="preserve"> although EU rules on product safety</w:t>
      </w:r>
      <w:r w:rsidR="00D7351B" w:rsidRPr="00501CD2">
        <w:rPr>
          <w:rStyle w:val="FootnoteReference"/>
          <w:noProof/>
          <w:color w:val="000000"/>
          <w:sz w:val="24"/>
          <w:szCs w:val="24"/>
        </w:rPr>
        <w:footnoteReference w:id="83"/>
      </w:r>
      <w:r w:rsidR="00D7351B" w:rsidRPr="00501CD2">
        <w:rPr>
          <w:rFonts w:cs="Times New Roman"/>
          <w:noProof/>
          <w:color w:val="000000"/>
          <w:sz w:val="24"/>
          <w:szCs w:val="24"/>
        </w:rPr>
        <w:t xml:space="preserve"> and </w:t>
      </w:r>
      <w:r w:rsidR="00D7351B" w:rsidRPr="00501CD2">
        <w:rPr>
          <w:rFonts w:cs="Times New Roman"/>
          <w:noProof/>
          <w:sz w:val="24"/>
          <w:szCs w:val="24"/>
        </w:rPr>
        <w:t>on</w:t>
      </w:r>
      <w:r w:rsidR="00D7351B" w:rsidRPr="00501CD2">
        <w:rPr>
          <w:rFonts w:cs="Times New Roman"/>
          <w:noProof/>
          <w:color w:val="000000"/>
          <w:sz w:val="24"/>
          <w:szCs w:val="24"/>
        </w:rPr>
        <w:t xml:space="preserve"> cybersecurity</w:t>
      </w:r>
      <w:r w:rsidR="00D7351B" w:rsidRPr="00501CD2">
        <w:rPr>
          <w:rStyle w:val="FootnoteReference"/>
          <w:noProof/>
          <w:color w:val="000000"/>
          <w:sz w:val="24"/>
          <w:szCs w:val="24"/>
        </w:rPr>
        <w:footnoteReference w:id="84"/>
      </w:r>
      <w:r w:rsidR="00D7351B" w:rsidRPr="00501CD2">
        <w:rPr>
          <w:rFonts w:cs="Times New Roman"/>
          <w:noProof/>
          <w:color w:val="000000"/>
          <w:sz w:val="24"/>
          <w:szCs w:val="24"/>
        </w:rPr>
        <w:t xml:space="preserve"> should mitigate these risks</w:t>
      </w:r>
      <w:r w:rsidR="00895527" w:rsidRPr="00501CD2">
        <w:rPr>
          <w:rFonts w:cs="Times New Roman"/>
          <w:noProof/>
          <w:color w:val="000000"/>
          <w:sz w:val="24"/>
          <w:szCs w:val="24"/>
        </w:rPr>
        <w:t xml:space="preserve"> through tougher </w:t>
      </w:r>
      <w:r w:rsidR="001203BC" w:rsidRPr="00501CD2">
        <w:rPr>
          <w:rFonts w:cs="Times New Roman"/>
          <w:noProof/>
          <w:color w:val="000000"/>
          <w:sz w:val="24"/>
          <w:szCs w:val="24"/>
        </w:rPr>
        <w:t xml:space="preserve">cybersecurity </w:t>
      </w:r>
      <w:r w:rsidR="00895527" w:rsidRPr="00501CD2">
        <w:rPr>
          <w:rFonts w:cs="Times New Roman"/>
          <w:noProof/>
          <w:color w:val="000000"/>
          <w:sz w:val="24"/>
          <w:szCs w:val="24"/>
        </w:rPr>
        <w:t>requirements</w:t>
      </w:r>
      <w:r w:rsidR="00D7351B" w:rsidRPr="00501CD2">
        <w:rPr>
          <w:rFonts w:cs="Times New Roman"/>
          <w:noProof/>
          <w:color w:val="000000"/>
          <w:sz w:val="24"/>
          <w:szCs w:val="24"/>
        </w:rPr>
        <w:t xml:space="preserve">. </w:t>
      </w:r>
      <w:r w:rsidR="00A529BE">
        <w:rPr>
          <w:rFonts w:cs="Times New Roman"/>
          <w:noProof/>
          <w:color w:val="000000"/>
          <w:sz w:val="24"/>
          <w:szCs w:val="24"/>
        </w:rPr>
        <w:t>It</w:t>
      </w:r>
      <w:r w:rsidR="007C32BC">
        <w:rPr>
          <w:rFonts w:cs="Times New Roman"/>
          <w:noProof/>
          <w:color w:val="000000"/>
          <w:sz w:val="24"/>
          <w:szCs w:val="24"/>
        </w:rPr>
        <w:t xml:space="preserve"> should be </w:t>
      </w:r>
      <w:r w:rsidR="00A529BE">
        <w:rPr>
          <w:rFonts w:cs="Times New Roman"/>
          <w:noProof/>
          <w:color w:val="000000"/>
          <w:sz w:val="24"/>
          <w:szCs w:val="24"/>
        </w:rPr>
        <w:t>recalled, h</w:t>
      </w:r>
      <w:r w:rsidR="007C32BC">
        <w:rPr>
          <w:rFonts w:cs="Times New Roman"/>
          <w:noProof/>
          <w:color w:val="000000"/>
          <w:sz w:val="24"/>
          <w:szCs w:val="24"/>
        </w:rPr>
        <w:t xml:space="preserve">owever, that the </w:t>
      </w:r>
      <w:r w:rsidR="007C32BC" w:rsidRPr="00EE2C98">
        <w:rPr>
          <w:rFonts w:cs="Times New Roman"/>
          <w:noProof/>
          <w:color w:val="000000"/>
          <w:sz w:val="24"/>
          <w:szCs w:val="24"/>
        </w:rPr>
        <w:t xml:space="preserve">PLD </w:t>
      </w:r>
      <w:r w:rsidR="00A529BE">
        <w:rPr>
          <w:rFonts w:cs="Times New Roman"/>
          <w:noProof/>
          <w:color w:val="000000"/>
          <w:sz w:val="24"/>
          <w:szCs w:val="24"/>
        </w:rPr>
        <w:t>acts as</w:t>
      </w:r>
      <w:r w:rsidR="007C32BC" w:rsidRPr="00EE2C98">
        <w:rPr>
          <w:rFonts w:cs="Times New Roman"/>
          <w:noProof/>
          <w:color w:val="000000"/>
          <w:sz w:val="24"/>
          <w:szCs w:val="24"/>
        </w:rPr>
        <w:t xml:space="preserve"> a safety net</w:t>
      </w:r>
      <w:r w:rsidR="00B161BD">
        <w:rPr>
          <w:rFonts w:cs="Times New Roman"/>
          <w:noProof/>
          <w:color w:val="000000"/>
          <w:sz w:val="24"/>
          <w:szCs w:val="24"/>
        </w:rPr>
        <w:t xml:space="preserve"> </w:t>
      </w:r>
      <w:r w:rsidR="007C32BC" w:rsidRPr="00EE2C98">
        <w:rPr>
          <w:rFonts w:cs="Times New Roman"/>
          <w:noProof/>
          <w:color w:val="000000"/>
          <w:sz w:val="24"/>
          <w:szCs w:val="24"/>
        </w:rPr>
        <w:t>when, despite the safety rules, harm occurs</w:t>
      </w:r>
      <w:r w:rsidR="00B161BD">
        <w:rPr>
          <w:rFonts w:cs="Times New Roman"/>
          <w:noProof/>
          <w:color w:val="000000"/>
          <w:sz w:val="24"/>
          <w:szCs w:val="24"/>
        </w:rPr>
        <w:t xml:space="preserve">. </w:t>
      </w:r>
      <w:r w:rsidR="00C53692" w:rsidRPr="00501CD2">
        <w:rPr>
          <w:rFonts w:cs="Times New Roman"/>
          <w:noProof/>
          <w:sz w:val="24"/>
          <w:szCs w:val="24"/>
        </w:rPr>
        <w:t>BEUC</w:t>
      </w:r>
      <w:r w:rsidR="00C53692" w:rsidRPr="00501CD2">
        <w:rPr>
          <w:rFonts w:cs="Times New Roman"/>
          <w:noProof/>
          <w:color w:val="000000"/>
          <w:sz w:val="24"/>
          <w:szCs w:val="24"/>
        </w:rPr>
        <w:t xml:space="preserve">, the consumer organisation, considered the lack of common approach </w:t>
      </w:r>
      <w:r w:rsidR="00D1183E" w:rsidRPr="00501CD2">
        <w:rPr>
          <w:rFonts w:cs="Times New Roman"/>
          <w:noProof/>
          <w:color w:val="000000"/>
          <w:sz w:val="24"/>
          <w:szCs w:val="24"/>
        </w:rPr>
        <w:t xml:space="preserve">to compensating such losses </w:t>
      </w:r>
      <w:r w:rsidR="00C53692" w:rsidRPr="00501CD2">
        <w:rPr>
          <w:rFonts w:cs="Times New Roman"/>
          <w:noProof/>
          <w:color w:val="000000"/>
          <w:sz w:val="24"/>
          <w:szCs w:val="24"/>
        </w:rPr>
        <w:t>problematic</w:t>
      </w:r>
      <w:r w:rsidR="00D7351B" w:rsidRPr="00501CD2">
        <w:rPr>
          <w:rFonts w:cs="Times New Roman"/>
          <w:noProof/>
          <w:color w:val="000000"/>
          <w:sz w:val="24"/>
          <w:szCs w:val="24"/>
        </w:rPr>
        <w:t>, because of the unequal protection of consumers across the Union</w:t>
      </w:r>
      <w:r w:rsidR="00C53692" w:rsidRPr="00501CD2">
        <w:rPr>
          <w:rStyle w:val="FootnoteReference"/>
          <w:noProof/>
          <w:color w:val="000000"/>
          <w:sz w:val="24"/>
          <w:szCs w:val="24"/>
        </w:rPr>
        <w:footnoteReference w:id="85"/>
      </w:r>
      <w:r w:rsidR="00C53692" w:rsidRPr="00501CD2">
        <w:rPr>
          <w:rFonts w:cs="Times New Roman"/>
          <w:noProof/>
          <w:color w:val="000000"/>
          <w:sz w:val="24"/>
          <w:szCs w:val="24"/>
        </w:rPr>
        <w:t xml:space="preserve">. </w:t>
      </w:r>
    </w:p>
    <w:p w14:paraId="70D42676" w14:textId="572C1DB9" w:rsidR="00B40798" w:rsidRPr="00501CD2" w:rsidRDefault="00213603" w:rsidP="00501CD2">
      <w:pPr>
        <w:tabs>
          <w:tab w:val="left" w:pos="951"/>
        </w:tabs>
        <w:spacing w:after="240" w:line="240" w:lineRule="auto"/>
        <w:jc w:val="both"/>
        <w:rPr>
          <w:rFonts w:cs="Times New Roman"/>
          <w:noProof/>
          <w:sz w:val="24"/>
          <w:szCs w:val="24"/>
          <w:lang w:eastAsia="da-DK"/>
        </w:rPr>
      </w:pPr>
      <w:r w:rsidRPr="00501CD2">
        <w:rPr>
          <w:rFonts w:cs="Times New Roman"/>
          <w:noProof/>
          <w:sz w:val="24"/>
          <w:szCs w:val="24"/>
          <w:lang w:eastAsia="da-DK"/>
        </w:rPr>
        <w:t xml:space="preserve">Losses due to infringement of </w:t>
      </w:r>
      <w:r w:rsidR="001F06DA" w:rsidRPr="00501CD2">
        <w:rPr>
          <w:rFonts w:cs="Times New Roman"/>
          <w:noProof/>
          <w:sz w:val="24"/>
          <w:szCs w:val="24"/>
          <w:lang w:eastAsia="da-DK"/>
        </w:rPr>
        <w:t xml:space="preserve">fundamental </w:t>
      </w:r>
      <w:r w:rsidRPr="00501CD2">
        <w:rPr>
          <w:rFonts w:cs="Times New Roman"/>
          <w:noProof/>
          <w:sz w:val="24"/>
          <w:szCs w:val="24"/>
          <w:lang w:eastAsia="da-DK"/>
        </w:rPr>
        <w:t>rights</w:t>
      </w:r>
      <w:r w:rsidR="00D8409F" w:rsidRPr="00501CD2">
        <w:rPr>
          <w:rFonts w:cs="Times New Roman"/>
          <w:noProof/>
          <w:sz w:val="24"/>
          <w:szCs w:val="24"/>
          <w:lang w:eastAsia="da-DK"/>
        </w:rPr>
        <w:t xml:space="preserve">: </w:t>
      </w:r>
      <w:r w:rsidR="003C1513" w:rsidRPr="00501CD2">
        <w:rPr>
          <w:rFonts w:cs="Times New Roman"/>
          <w:noProof/>
          <w:sz w:val="24"/>
          <w:szCs w:val="24"/>
          <w:lang w:eastAsia="da-DK"/>
        </w:rPr>
        <w:t>A novelty of products in the digital age</w:t>
      </w:r>
      <w:r w:rsidR="00FD5CC3" w:rsidRPr="00501CD2">
        <w:rPr>
          <w:rFonts w:cs="Times New Roman"/>
          <w:noProof/>
          <w:sz w:val="24"/>
          <w:szCs w:val="24"/>
          <w:lang w:eastAsia="da-DK"/>
        </w:rPr>
        <w:t xml:space="preserve">, </w:t>
      </w:r>
      <w:r w:rsidR="007D0046" w:rsidRPr="00501CD2">
        <w:rPr>
          <w:rFonts w:cs="Times New Roman"/>
          <w:noProof/>
          <w:sz w:val="24"/>
          <w:szCs w:val="24"/>
          <w:lang w:eastAsia="da-DK"/>
        </w:rPr>
        <w:t xml:space="preserve">in particular </w:t>
      </w:r>
      <w:r w:rsidR="00520281" w:rsidRPr="00501CD2">
        <w:rPr>
          <w:rFonts w:cs="Times New Roman"/>
          <w:noProof/>
          <w:sz w:val="24"/>
          <w:szCs w:val="24"/>
          <w:lang w:eastAsia="da-DK"/>
        </w:rPr>
        <w:t>wireless/</w:t>
      </w:r>
      <w:r w:rsidR="007D0046" w:rsidRPr="00501CD2">
        <w:rPr>
          <w:rFonts w:cs="Times New Roman"/>
          <w:noProof/>
          <w:sz w:val="24"/>
          <w:szCs w:val="24"/>
          <w:lang w:eastAsia="da-DK"/>
        </w:rPr>
        <w:t>IoT products, such</w:t>
      </w:r>
      <w:r w:rsidR="003C1513" w:rsidRPr="00501CD2">
        <w:rPr>
          <w:rFonts w:cs="Times New Roman"/>
          <w:noProof/>
          <w:sz w:val="24"/>
          <w:szCs w:val="24"/>
          <w:lang w:eastAsia="da-DK"/>
        </w:rPr>
        <w:t xml:space="preserve"> </w:t>
      </w:r>
      <w:r w:rsidR="007D0046" w:rsidRPr="00501CD2">
        <w:rPr>
          <w:rFonts w:cs="Times New Roman"/>
          <w:noProof/>
          <w:sz w:val="24"/>
          <w:szCs w:val="24"/>
          <w:lang w:eastAsia="da-DK"/>
        </w:rPr>
        <w:t xml:space="preserve">as </w:t>
      </w:r>
      <w:r w:rsidR="003C1513" w:rsidRPr="00501CD2">
        <w:rPr>
          <w:rFonts w:cs="Times New Roman"/>
          <w:noProof/>
          <w:sz w:val="24"/>
          <w:szCs w:val="24"/>
          <w:lang w:eastAsia="da-DK"/>
        </w:rPr>
        <w:t>connected toys</w:t>
      </w:r>
      <w:r w:rsidR="007D0046" w:rsidRPr="00501CD2">
        <w:rPr>
          <w:rFonts w:cs="Times New Roman"/>
          <w:noProof/>
          <w:sz w:val="24"/>
          <w:szCs w:val="24"/>
          <w:lang w:eastAsia="da-DK"/>
        </w:rPr>
        <w:t xml:space="preserve"> like</w:t>
      </w:r>
      <w:r w:rsidR="00061A5B" w:rsidRPr="00501CD2">
        <w:rPr>
          <w:rFonts w:cs="Times New Roman"/>
          <w:noProof/>
          <w:sz w:val="24"/>
          <w:szCs w:val="24"/>
          <w:lang w:eastAsia="da-DK"/>
        </w:rPr>
        <w:t xml:space="preserve"> the Cayla doll</w:t>
      </w:r>
      <w:r w:rsidR="00061A5B" w:rsidRPr="00501CD2">
        <w:rPr>
          <w:rStyle w:val="FootnoteReference"/>
          <w:noProof/>
          <w:sz w:val="24"/>
          <w:szCs w:val="24"/>
          <w:lang w:eastAsia="da-DK"/>
        </w:rPr>
        <w:footnoteReference w:id="86"/>
      </w:r>
      <w:r w:rsidR="00061A5B" w:rsidRPr="00501CD2">
        <w:rPr>
          <w:rFonts w:cs="Times New Roman"/>
          <w:noProof/>
          <w:sz w:val="24"/>
          <w:szCs w:val="24"/>
          <w:lang w:eastAsia="da-DK"/>
        </w:rPr>
        <w:t>,</w:t>
      </w:r>
      <w:r w:rsidR="003C1513" w:rsidRPr="00501CD2">
        <w:rPr>
          <w:rFonts w:cs="Times New Roman"/>
          <w:noProof/>
          <w:sz w:val="24"/>
          <w:szCs w:val="24"/>
          <w:lang w:eastAsia="da-DK"/>
        </w:rPr>
        <w:t xml:space="preserve"> or smart meters</w:t>
      </w:r>
      <w:r w:rsidR="00FD5CC3" w:rsidRPr="00501CD2">
        <w:rPr>
          <w:rFonts w:cs="Times New Roman"/>
          <w:noProof/>
          <w:sz w:val="24"/>
          <w:szCs w:val="24"/>
          <w:lang w:eastAsia="da-DK"/>
        </w:rPr>
        <w:t>,</w:t>
      </w:r>
      <w:r w:rsidR="003C1513" w:rsidRPr="00501CD2">
        <w:rPr>
          <w:rFonts w:cs="Times New Roman"/>
          <w:noProof/>
          <w:sz w:val="24"/>
          <w:szCs w:val="24"/>
          <w:lang w:eastAsia="da-DK"/>
        </w:rPr>
        <w:t xml:space="preserve"> is their use of personal data, which, if </w:t>
      </w:r>
      <w:r w:rsidR="00CA6F79" w:rsidRPr="00501CD2">
        <w:rPr>
          <w:rFonts w:cs="Times New Roman"/>
          <w:noProof/>
          <w:sz w:val="24"/>
          <w:szCs w:val="24"/>
          <w:lang w:eastAsia="da-DK"/>
        </w:rPr>
        <w:t>not protected</w:t>
      </w:r>
      <w:r w:rsidR="003C1513" w:rsidRPr="00501CD2">
        <w:rPr>
          <w:rFonts w:cs="Times New Roman"/>
          <w:noProof/>
          <w:sz w:val="24"/>
          <w:szCs w:val="24"/>
          <w:lang w:eastAsia="da-DK"/>
        </w:rPr>
        <w:t>, could cause harm</w:t>
      </w:r>
      <w:r w:rsidR="000D2A82" w:rsidRPr="00501CD2">
        <w:rPr>
          <w:rFonts w:cs="Times New Roman"/>
          <w:noProof/>
          <w:sz w:val="24"/>
          <w:szCs w:val="24"/>
          <w:lang w:eastAsia="da-DK"/>
        </w:rPr>
        <w:t xml:space="preserve"> such as </w:t>
      </w:r>
      <w:r w:rsidR="00014EA0" w:rsidRPr="00501CD2">
        <w:rPr>
          <w:rFonts w:cs="Times New Roman"/>
          <w:noProof/>
          <w:sz w:val="24"/>
          <w:szCs w:val="24"/>
          <w:lang w:eastAsia="da-DK"/>
        </w:rPr>
        <w:t>mental suffering</w:t>
      </w:r>
      <w:r w:rsidR="00497708">
        <w:rPr>
          <w:rStyle w:val="FootnoteReference"/>
          <w:noProof/>
          <w:sz w:val="24"/>
          <w:szCs w:val="24"/>
          <w:lang w:eastAsia="da-DK"/>
        </w:rPr>
        <w:footnoteReference w:id="87"/>
      </w:r>
      <w:r w:rsidR="003C1513" w:rsidRPr="00501CD2">
        <w:rPr>
          <w:rFonts w:cs="Times New Roman"/>
          <w:noProof/>
          <w:sz w:val="24"/>
          <w:szCs w:val="24"/>
          <w:lang w:eastAsia="da-DK"/>
        </w:rPr>
        <w:t>. The impact assessment</w:t>
      </w:r>
      <w:r w:rsidR="00C32EA2" w:rsidRPr="00501CD2">
        <w:rPr>
          <w:rFonts w:cs="Times New Roman"/>
          <w:noProof/>
          <w:sz w:val="24"/>
          <w:szCs w:val="24"/>
          <w:lang w:eastAsia="da-DK"/>
        </w:rPr>
        <w:t xml:space="preserve"> </w:t>
      </w:r>
      <w:r w:rsidR="003C1513" w:rsidRPr="00501CD2">
        <w:rPr>
          <w:rFonts w:cs="Times New Roman"/>
          <w:noProof/>
          <w:sz w:val="24"/>
          <w:szCs w:val="24"/>
          <w:lang w:eastAsia="da-DK"/>
        </w:rPr>
        <w:t xml:space="preserve">study found that </w:t>
      </w:r>
      <w:r w:rsidR="009A6F5E" w:rsidRPr="00501CD2">
        <w:rPr>
          <w:rFonts w:cs="Times New Roman"/>
          <w:noProof/>
          <w:sz w:val="24"/>
          <w:szCs w:val="24"/>
          <w:lang w:eastAsia="da-DK"/>
        </w:rPr>
        <w:t xml:space="preserve">in almost all scenarios </w:t>
      </w:r>
      <w:r w:rsidR="00014EA0" w:rsidRPr="00501CD2">
        <w:rPr>
          <w:rFonts w:cs="Times New Roman"/>
          <w:noProof/>
          <w:sz w:val="24"/>
          <w:szCs w:val="24"/>
          <w:lang w:eastAsia="da-DK"/>
        </w:rPr>
        <w:t xml:space="preserve">of </w:t>
      </w:r>
      <w:r w:rsidR="00CA6F79" w:rsidRPr="00501CD2">
        <w:rPr>
          <w:rFonts w:cs="Times New Roman"/>
          <w:noProof/>
          <w:sz w:val="24"/>
          <w:szCs w:val="24"/>
          <w:lang w:eastAsia="da-DK"/>
        </w:rPr>
        <w:t xml:space="preserve">data </w:t>
      </w:r>
      <w:r w:rsidR="004E6556" w:rsidRPr="00501CD2">
        <w:rPr>
          <w:rFonts w:cs="Times New Roman"/>
          <w:noProof/>
          <w:sz w:val="24"/>
          <w:szCs w:val="24"/>
          <w:lang w:eastAsia="da-DK"/>
        </w:rPr>
        <w:t xml:space="preserve">protection </w:t>
      </w:r>
      <w:r w:rsidR="00014EA0" w:rsidRPr="00501CD2">
        <w:rPr>
          <w:rFonts w:cs="Times New Roman"/>
          <w:noProof/>
          <w:sz w:val="24"/>
          <w:szCs w:val="24"/>
          <w:lang w:eastAsia="da-DK"/>
        </w:rPr>
        <w:t>failings</w:t>
      </w:r>
      <w:r w:rsidR="009A6F5E" w:rsidRPr="00501CD2">
        <w:rPr>
          <w:rFonts w:cs="Times New Roman"/>
          <w:noProof/>
          <w:sz w:val="24"/>
          <w:szCs w:val="24"/>
          <w:lang w:eastAsia="da-DK"/>
        </w:rPr>
        <w:t xml:space="preserve">, a controller would be identifiable and </w:t>
      </w:r>
      <w:r w:rsidR="00014EA0" w:rsidRPr="00501CD2">
        <w:rPr>
          <w:rFonts w:cs="Times New Roman"/>
          <w:noProof/>
          <w:sz w:val="24"/>
          <w:szCs w:val="24"/>
          <w:lang w:eastAsia="da-DK"/>
        </w:rPr>
        <w:t xml:space="preserve">the </w:t>
      </w:r>
      <w:r w:rsidR="009A6F5E" w:rsidRPr="00501CD2">
        <w:rPr>
          <w:rFonts w:cs="Times New Roman"/>
          <w:noProof/>
          <w:sz w:val="24"/>
          <w:szCs w:val="24"/>
          <w:lang w:eastAsia="da-DK"/>
        </w:rPr>
        <w:t xml:space="preserve">GDPR would provide a route to compensation. This </w:t>
      </w:r>
      <w:r w:rsidR="00FD5CC3" w:rsidRPr="00501CD2">
        <w:rPr>
          <w:rFonts w:cs="Times New Roman"/>
          <w:noProof/>
          <w:sz w:val="24"/>
          <w:szCs w:val="24"/>
          <w:lang w:eastAsia="da-DK"/>
        </w:rPr>
        <w:t>might</w:t>
      </w:r>
      <w:r w:rsidR="009A6F5E" w:rsidRPr="00501CD2">
        <w:rPr>
          <w:rFonts w:cs="Times New Roman"/>
          <w:noProof/>
          <w:sz w:val="24"/>
          <w:szCs w:val="24"/>
          <w:lang w:eastAsia="da-DK"/>
        </w:rPr>
        <w:t xml:space="preserve">, however, not be the case </w:t>
      </w:r>
      <w:r w:rsidR="00B40798" w:rsidRPr="00501CD2">
        <w:rPr>
          <w:rFonts w:cs="Times New Roman"/>
          <w:noProof/>
          <w:sz w:val="24"/>
          <w:szCs w:val="24"/>
          <w:lang w:eastAsia="da-DK"/>
        </w:rPr>
        <w:t>if</w:t>
      </w:r>
      <w:r w:rsidR="00A529BE">
        <w:rPr>
          <w:rFonts w:cs="Times New Roman"/>
          <w:noProof/>
          <w:sz w:val="24"/>
          <w:szCs w:val="24"/>
          <w:lang w:eastAsia="da-DK"/>
        </w:rPr>
        <w:t>, say,</w:t>
      </w:r>
      <w:r w:rsidR="00B40798" w:rsidRPr="00501CD2">
        <w:rPr>
          <w:rFonts w:cs="Times New Roman"/>
          <w:noProof/>
          <w:sz w:val="24"/>
          <w:szCs w:val="24"/>
          <w:lang w:eastAsia="da-DK"/>
        </w:rPr>
        <w:t xml:space="preserve"> a baby monitoring camera </w:t>
      </w:r>
      <w:r w:rsidR="0003584C">
        <w:rPr>
          <w:rFonts w:cs="Times New Roman"/>
          <w:noProof/>
          <w:sz w:val="24"/>
          <w:szCs w:val="24"/>
          <w:lang w:eastAsia="da-DK"/>
        </w:rPr>
        <w:t>were</w:t>
      </w:r>
      <w:r w:rsidR="00A529BE">
        <w:rPr>
          <w:rFonts w:cs="Times New Roman"/>
          <w:noProof/>
          <w:sz w:val="24"/>
          <w:szCs w:val="24"/>
          <w:lang w:eastAsia="da-DK"/>
        </w:rPr>
        <w:t xml:space="preserve"> operated by a natural person </w:t>
      </w:r>
      <w:r w:rsidR="00FD5CC3" w:rsidRPr="00501CD2">
        <w:rPr>
          <w:rFonts w:cs="Times New Roman"/>
          <w:noProof/>
          <w:sz w:val="24"/>
          <w:szCs w:val="24"/>
          <w:lang w:eastAsia="da-DK"/>
        </w:rPr>
        <w:t xml:space="preserve">without </w:t>
      </w:r>
      <w:r w:rsidR="00A529BE">
        <w:rPr>
          <w:rFonts w:cs="Times New Roman"/>
          <w:noProof/>
          <w:sz w:val="24"/>
          <w:szCs w:val="24"/>
          <w:lang w:eastAsia="da-DK"/>
        </w:rPr>
        <w:t xml:space="preserve">personal data being processed by a </w:t>
      </w:r>
      <w:r w:rsidR="00BF7E05">
        <w:rPr>
          <w:rFonts w:cs="Times New Roman"/>
          <w:noProof/>
          <w:sz w:val="24"/>
          <w:szCs w:val="24"/>
          <w:lang w:eastAsia="da-DK"/>
        </w:rPr>
        <w:t xml:space="preserve">responsible </w:t>
      </w:r>
      <w:r w:rsidR="00A529BE">
        <w:rPr>
          <w:rFonts w:cs="Times New Roman"/>
          <w:noProof/>
          <w:sz w:val="24"/>
          <w:szCs w:val="24"/>
          <w:lang w:eastAsia="da-DK"/>
        </w:rPr>
        <w:t>controller/processor. In such a situation, if a security vulnerability</w:t>
      </w:r>
      <w:r w:rsidR="00FD5CC3" w:rsidRPr="00501CD2">
        <w:rPr>
          <w:rFonts w:cs="Times New Roman"/>
          <w:noProof/>
          <w:sz w:val="24"/>
          <w:szCs w:val="24"/>
          <w:lang w:eastAsia="da-DK"/>
        </w:rPr>
        <w:t xml:space="preserve"> </w:t>
      </w:r>
      <w:r w:rsidR="00EF37CB" w:rsidRPr="00501CD2">
        <w:rPr>
          <w:rFonts w:cs="Times New Roman"/>
          <w:noProof/>
          <w:sz w:val="24"/>
          <w:szCs w:val="24"/>
          <w:lang w:eastAsia="da-DK"/>
        </w:rPr>
        <w:t xml:space="preserve">made it possible for </w:t>
      </w:r>
      <w:r w:rsidR="00B40798" w:rsidRPr="00501CD2">
        <w:rPr>
          <w:rFonts w:cs="Times New Roman"/>
          <w:noProof/>
          <w:sz w:val="24"/>
          <w:szCs w:val="24"/>
          <w:lang w:eastAsia="da-DK"/>
        </w:rPr>
        <w:t>other individuals to watch the live feed</w:t>
      </w:r>
      <w:r w:rsidR="00FD5CC3" w:rsidRPr="00501CD2">
        <w:rPr>
          <w:rFonts w:cs="Times New Roman"/>
          <w:noProof/>
          <w:sz w:val="24"/>
          <w:szCs w:val="24"/>
          <w:lang w:eastAsia="da-DK"/>
        </w:rPr>
        <w:t xml:space="preserve"> </w:t>
      </w:r>
      <w:r w:rsidR="0003584C">
        <w:rPr>
          <w:rFonts w:cs="Times New Roman"/>
          <w:noProof/>
          <w:sz w:val="24"/>
          <w:szCs w:val="24"/>
          <w:lang w:eastAsia="da-DK"/>
        </w:rPr>
        <w:t xml:space="preserve">from this device, </w:t>
      </w:r>
      <w:r w:rsidR="00FD5CC3" w:rsidRPr="00501CD2">
        <w:rPr>
          <w:rFonts w:cs="Times New Roman"/>
          <w:noProof/>
          <w:sz w:val="24"/>
          <w:szCs w:val="24"/>
          <w:lang w:eastAsia="da-DK"/>
        </w:rPr>
        <w:t xml:space="preserve">the processing of personal data </w:t>
      </w:r>
      <w:r w:rsidR="00B02C42" w:rsidRPr="00501CD2">
        <w:rPr>
          <w:rFonts w:cs="Times New Roman"/>
          <w:noProof/>
          <w:sz w:val="24"/>
          <w:szCs w:val="24"/>
          <w:lang w:eastAsia="da-DK"/>
        </w:rPr>
        <w:t>might</w:t>
      </w:r>
      <w:r w:rsidR="00FD5CC3" w:rsidRPr="00501CD2">
        <w:rPr>
          <w:rFonts w:cs="Times New Roman"/>
          <w:noProof/>
          <w:sz w:val="24"/>
          <w:szCs w:val="24"/>
          <w:lang w:eastAsia="da-DK"/>
        </w:rPr>
        <w:t xml:space="preserve"> fall under the GDPR’s so-called household exemption</w:t>
      </w:r>
      <w:r w:rsidR="004117FA">
        <w:rPr>
          <w:rStyle w:val="FootnoteReference"/>
          <w:noProof/>
          <w:sz w:val="24"/>
          <w:szCs w:val="24"/>
          <w:lang w:eastAsia="da-DK"/>
        </w:rPr>
        <w:footnoteReference w:id="88"/>
      </w:r>
      <w:r w:rsidR="0003584C">
        <w:rPr>
          <w:rFonts w:cs="Times New Roman"/>
          <w:noProof/>
          <w:sz w:val="24"/>
          <w:szCs w:val="24"/>
          <w:lang w:eastAsia="da-DK"/>
        </w:rPr>
        <w:t>, meaning no compensation under the GDPR</w:t>
      </w:r>
      <w:r w:rsidR="00EE6089" w:rsidRPr="00501CD2">
        <w:rPr>
          <w:rFonts w:cs="Times New Roman"/>
          <w:noProof/>
          <w:sz w:val="24"/>
          <w:szCs w:val="24"/>
          <w:lang w:eastAsia="da-DK"/>
        </w:rPr>
        <w:t xml:space="preserve">. </w:t>
      </w:r>
      <w:r w:rsidR="00520281" w:rsidRPr="00501CD2">
        <w:rPr>
          <w:rFonts w:cs="Times New Roman"/>
          <w:noProof/>
          <w:sz w:val="24"/>
          <w:szCs w:val="24"/>
          <w:lang w:eastAsia="da-DK"/>
        </w:rPr>
        <w:t xml:space="preserve">Manufacturers of IoT products – in that example the producer of the camera – will be obliged under a </w:t>
      </w:r>
      <w:r w:rsidR="00922488" w:rsidRPr="00501CD2">
        <w:rPr>
          <w:rFonts w:cs="Times New Roman"/>
          <w:noProof/>
          <w:sz w:val="24"/>
          <w:szCs w:val="24"/>
          <w:lang w:eastAsia="da-DK"/>
        </w:rPr>
        <w:t xml:space="preserve">recently </w:t>
      </w:r>
      <w:r w:rsidR="00520281" w:rsidRPr="00501CD2">
        <w:rPr>
          <w:rFonts w:cs="Times New Roman"/>
          <w:noProof/>
          <w:sz w:val="24"/>
          <w:szCs w:val="24"/>
          <w:lang w:eastAsia="da-DK"/>
        </w:rPr>
        <w:t>adopted delegated act</w:t>
      </w:r>
      <w:r w:rsidR="004117FA">
        <w:rPr>
          <w:rStyle w:val="FootnoteReference"/>
          <w:noProof/>
          <w:sz w:val="24"/>
          <w:szCs w:val="24"/>
          <w:lang w:eastAsia="da-DK"/>
        </w:rPr>
        <w:footnoteReference w:id="89"/>
      </w:r>
      <w:r w:rsidR="00520281" w:rsidRPr="00501CD2">
        <w:rPr>
          <w:rFonts w:cs="Times New Roman"/>
          <w:noProof/>
          <w:sz w:val="24"/>
          <w:szCs w:val="24"/>
          <w:lang w:eastAsia="da-DK"/>
        </w:rPr>
        <w:t xml:space="preserve"> to equip their devices with features to guarantee the protection of personal data</w:t>
      </w:r>
      <w:r w:rsidR="00245B49" w:rsidRPr="00501CD2">
        <w:rPr>
          <w:rFonts w:cs="Times New Roman"/>
          <w:noProof/>
          <w:sz w:val="24"/>
          <w:szCs w:val="24"/>
          <w:lang w:eastAsia="da-DK"/>
        </w:rPr>
        <w:t xml:space="preserve"> and privacy</w:t>
      </w:r>
      <w:r w:rsidR="00520281" w:rsidRPr="00501CD2">
        <w:rPr>
          <w:rFonts w:cs="Times New Roman"/>
          <w:noProof/>
          <w:sz w:val="24"/>
          <w:szCs w:val="24"/>
          <w:lang w:eastAsia="da-DK"/>
        </w:rPr>
        <w:t xml:space="preserve">. </w:t>
      </w:r>
      <w:r w:rsidR="008361A8" w:rsidRPr="00501CD2">
        <w:rPr>
          <w:rFonts w:cs="Times New Roman"/>
          <w:noProof/>
          <w:sz w:val="24"/>
          <w:szCs w:val="24"/>
          <w:lang w:eastAsia="da-DK"/>
        </w:rPr>
        <w:t>BEUC, the c</w:t>
      </w:r>
      <w:r w:rsidR="00B20CD0" w:rsidRPr="00501CD2">
        <w:rPr>
          <w:rFonts w:cs="Times New Roman"/>
          <w:noProof/>
          <w:sz w:val="24"/>
          <w:szCs w:val="24"/>
          <w:lang w:eastAsia="da-DK"/>
        </w:rPr>
        <w:t>onsumer organisation</w:t>
      </w:r>
      <w:r w:rsidR="008361A8" w:rsidRPr="00501CD2">
        <w:rPr>
          <w:rFonts w:cs="Times New Roman"/>
          <w:noProof/>
          <w:sz w:val="24"/>
          <w:szCs w:val="24"/>
          <w:lang w:eastAsia="da-DK"/>
        </w:rPr>
        <w:t>,</w:t>
      </w:r>
      <w:r w:rsidR="00B20CD0" w:rsidRPr="00501CD2">
        <w:rPr>
          <w:rFonts w:cs="Times New Roman"/>
          <w:noProof/>
          <w:sz w:val="24"/>
          <w:szCs w:val="24"/>
          <w:lang w:eastAsia="da-DK"/>
        </w:rPr>
        <w:t xml:space="preserve"> ha</w:t>
      </w:r>
      <w:r w:rsidR="008361A8" w:rsidRPr="00501CD2">
        <w:rPr>
          <w:rFonts w:cs="Times New Roman"/>
          <w:noProof/>
          <w:sz w:val="24"/>
          <w:szCs w:val="24"/>
          <w:lang w:eastAsia="da-DK"/>
        </w:rPr>
        <w:t>s</w:t>
      </w:r>
      <w:r w:rsidR="00B20CD0" w:rsidRPr="00501CD2">
        <w:rPr>
          <w:rFonts w:cs="Times New Roman"/>
          <w:noProof/>
          <w:sz w:val="24"/>
          <w:szCs w:val="24"/>
          <w:lang w:eastAsia="da-DK"/>
        </w:rPr>
        <w:t xml:space="preserve"> argued that the PLD should apply </w:t>
      </w:r>
      <w:r w:rsidR="003E3562" w:rsidRPr="00501CD2">
        <w:rPr>
          <w:rFonts w:cs="Times New Roman"/>
          <w:noProof/>
          <w:sz w:val="24"/>
          <w:szCs w:val="24"/>
          <w:lang w:eastAsia="da-DK"/>
        </w:rPr>
        <w:t xml:space="preserve">in such cases and </w:t>
      </w:r>
      <w:r w:rsidR="00B20CD0" w:rsidRPr="00501CD2">
        <w:rPr>
          <w:rFonts w:cs="Times New Roman"/>
          <w:noProof/>
          <w:sz w:val="24"/>
          <w:szCs w:val="24"/>
          <w:lang w:eastAsia="da-DK"/>
        </w:rPr>
        <w:t xml:space="preserve">whenever flaws in </w:t>
      </w:r>
      <w:r w:rsidR="00245B49" w:rsidRPr="00501CD2">
        <w:rPr>
          <w:rFonts w:cs="Times New Roman"/>
          <w:noProof/>
          <w:sz w:val="24"/>
          <w:szCs w:val="24"/>
          <w:lang w:eastAsia="da-DK"/>
        </w:rPr>
        <w:t>IoT</w:t>
      </w:r>
      <w:r w:rsidR="00B20CD0" w:rsidRPr="00501CD2">
        <w:rPr>
          <w:rFonts w:cs="Times New Roman"/>
          <w:noProof/>
          <w:sz w:val="24"/>
          <w:szCs w:val="24"/>
          <w:lang w:eastAsia="da-DK"/>
        </w:rPr>
        <w:t xml:space="preserve"> products lead to privacy infringements</w:t>
      </w:r>
      <w:r w:rsidR="004117FA">
        <w:rPr>
          <w:rStyle w:val="FootnoteReference"/>
          <w:noProof/>
          <w:sz w:val="24"/>
          <w:szCs w:val="24"/>
          <w:lang w:eastAsia="da-DK"/>
        </w:rPr>
        <w:footnoteReference w:id="90"/>
      </w:r>
      <w:r w:rsidR="00B20CD0" w:rsidRPr="00501CD2">
        <w:rPr>
          <w:rFonts w:cs="Times New Roman"/>
          <w:noProof/>
          <w:sz w:val="24"/>
          <w:szCs w:val="24"/>
          <w:lang w:eastAsia="da-DK"/>
        </w:rPr>
        <w:t xml:space="preserve">. </w:t>
      </w:r>
      <w:r w:rsidR="00826B7B" w:rsidRPr="00501CD2">
        <w:rPr>
          <w:rFonts w:cs="Times New Roman"/>
          <w:noProof/>
          <w:sz w:val="24"/>
          <w:szCs w:val="24"/>
          <w:lang w:eastAsia="da-DK"/>
        </w:rPr>
        <w:t xml:space="preserve">Industry stakeholders have </w:t>
      </w:r>
      <w:r w:rsidR="00EF37CB" w:rsidRPr="00501CD2">
        <w:rPr>
          <w:rFonts w:cs="Times New Roman"/>
          <w:noProof/>
          <w:sz w:val="24"/>
          <w:szCs w:val="24"/>
          <w:lang w:eastAsia="da-DK"/>
        </w:rPr>
        <w:t xml:space="preserve">pointed out </w:t>
      </w:r>
      <w:r w:rsidR="00826B7B" w:rsidRPr="00501CD2">
        <w:rPr>
          <w:rFonts w:cs="Times New Roman"/>
          <w:noProof/>
          <w:sz w:val="24"/>
          <w:szCs w:val="24"/>
          <w:lang w:eastAsia="da-DK"/>
        </w:rPr>
        <w:t>that t</w:t>
      </w:r>
      <w:r w:rsidR="00EE6089" w:rsidRPr="00501CD2">
        <w:rPr>
          <w:rFonts w:cs="Times New Roman"/>
          <w:noProof/>
          <w:sz w:val="24"/>
          <w:szCs w:val="24"/>
          <w:lang w:eastAsia="da-DK"/>
        </w:rPr>
        <w:t xml:space="preserve">he victim </w:t>
      </w:r>
      <w:r w:rsidR="003B562B" w:rsidRPr="00501CD2">
        <w:rPr>
          <w:rFonts w:cs="Times New Roman"/>
          <w:noProof/>
          <w:sz w:val="24"/>
          <w:szCs w:val="24"/>
          <w:lang w:eastAsia="da-DK"/>
        </w:rPr>
        <w:t>would</w:t>
      </w:r>
      <w:r w:rsidR="00EE6089" w:rsidRPr="00501CD2">
        <w:rPr>
          <w:rFonts w:cs="Times New Roman"/>
          <w:noProof/>
          <w:sz w:val="24"/>
          <w:szCs w:val="24"/>
          <w:lang w:eastAsia="da-DK"/>
        </w:rPr>
        <w:t xml:space="preserve"> have a claim under national tort law or contract law against the camera manufacturer</w:t>
      </w:r>
      <w:r w:rsidR="008E2DC1" w:rsidRPr="00501CD2">
        <w:rPr>
          <w:rFonts w:cs="Times New Roman"/>
          <w:noProof/>
          <w:sz w:val="24"/>
          <w:szCs w:val="24"/>
          <w:lang w:eastAsia="da-DK"/>
        </w:rPr>
        <w:t>.</w:t>
      </w:r>
    </w:p>
    <w:p w14:paraId="6D26CF28" w14:textId="5E995AC8" w:rsidR="00CD761C" w:rsidRPr="00501CD2" w:rsidRDefault="003B562B" w:rsidP="00501CD2">
      <w:pPr>
        <w:spacing w:after="240" w:line="240" w:lineRule="auto"/>
        <w:jc w:val="both"/>
        <w:rPr>
          <w:rFonts w:cs="Times New Roman"/>
          <w:noProof/>
          <w:sz w:val="24"/>
          <w:szCs w:val="24"/>
        </w:rPr>
      </w:pPr>
      <w:r w:rsidRPr="00501CD2">
        <w:rPr>
          <w:rFonts w:eastAsia="SimSun" w:cs="Times New Roman"/>
          <w:noProof/>
          <w:sz w:val="24"/>
          <w:szCs w:val="24"/>
          <w:lang w:eastAsia="da-DK"/>
        </w:rPr>
        <w:t>Besides privacy, digital technologies</w:t>
      </w:r>
      <w:r w:rsidR="00A02F5A" w:rsidRPr="00501CD2">
        <w:rPr>
          <w:rFonts w:eastAsia="SimSun" w:cs="Times New Roman"/>
          <w:noProof/>
          <w:sz w:val="24"/>
          <w:szCs w:val="24"/>
          <w:lang w:eastAsia="da-DK"/>
        </w:rPr>
        <w:t xml:space="preserve"> can lead to infringements of other </w:t>
      </w:r>
      <w:r w:rsidR="00061A5B" w:rsidRPr="00501CD2">
        <w:rPr>
          <w:rFonts w:eastAsia="SimSun" w:cs="Times New Roman"/>
          <w:noProof/>
          <w:sz w:val="24"/>
          <w:szCs w:val="24"/>
          <w:lang w:eastAsia="da-DK"/>
        </w:rPr>
        <w:t>fundamental</w:t>
      </w:r>
      <w:r w:rsidR="00A02F5A" w:rsidRPr="00501CD2">
        <w:rPr>
          <w:rFonts w:eastAsia="SimSun" w:cs="Times New Roman"/>
          <w:noProof/>
          <w:sz w:val="24"/>
          <w:szCs w:val="24"/>
          <w:lang w:eastAsia="da-DK"/>
        </w:rPr>
        <w:t xml:space="preserve"> rights. The draft AI Act lays down rules to minimise the risk of AI systems </w:t>
      </w:r>
      <w:r w:rsidR="00A02F5A" w:rsidRPr="00501CD2">
        <w:rPr>
          <w:rFonts w:cs="Times New Roman"/>
          <w:noProof/>
          <w:sz w:val="24"/>
          <w:szCs w:val="24"/>
        </w:rPr>
        <w:t xml:space="preserve">taking erroneous or biased decisions in critical areas such as education, training or employment that could lead to economic loss or </w:t>
      </w:r>
      <w:r w:rsidR="00FA2E4F" w:rsidRPr="00501CD2">
        <w:rPr>
          <w:rFonts w:cs="Times New Roman"/>
          <w:noProof/>
          <w:sz w:val="24"/>
          <w:szCs w:val="24"/>
        </w:rPr>
        <w:t xml:space="preserve">emotional </w:t>
      </w:r>
      <w:r w:rsidR="00A02F5A" w:rsidRPr="00501CD2">
        <w:rPr>
          <w:rFonts w:cs="Times New Roman"/>
          <w:noProof/>
          <w:sz w:val="24"/>
          <w:szCs w:val="24"/>
        </w:rPr>
        <w:t>harm,</w:t>
      </w:r>
      <w:r w:rsidR="00FA2E4F" w:rsidRPr="00501CD2">
        <w:rPr>
          <w:rFonts w:cs="Times New Roman"/>
          <w:noProof/>
          <w:sz w:val="24"/>
          <w:szCs w:val="24"/>
        </w:rPr>
        <w:t xml:space="preserve"> e.g. </w:t>
      </w:r>
      <w:r w:rsidR="00CD761C" w:rsidRPr="00501CD2">
        <w:rPr>
          <w:rFonts w:cs="Times New Roman"/>
          <w:noProof/>
          <w:sz w:val="24"/>
          <w:szCs w:val="24"/>
        </w:rPr>
        <w:t xml:space="preserve">failure to get a job due to </w:t>
      </w:r>
      <w:r w:rsidR="00A02F5A" w:rsidRPr="00501CD2">
        <w:rPr>
          <w:rFonts w:cs="Times New Roman"/>
          <w:noProof/>
          <w:sz w:val="24"/>
          <w:szCs w:val="24"/>
        </w:rPr>
        <w:t>biased AI recruitment software</w:t>
      </w:r>
      <w:r w:rsidR="00736EB7">
        <w:rPr>
          <w:rFonts w:cs="Times New Roman"/>
          <w:noProof/>
          <w:sz w:val="24"/>
          <w:szCs w:val="24"/>
        </w:rPr>
        <w:t xml:space="preserve"> or failure to get a loan due to biased credit-rating software</w:t>
      </w:r>
      <w:r w:rsidR="00A02F5A" w:rsidRPr="00501CD2">
        <w:rPr>
          <w:rFonts w:cs="Times New Roman"/>
          <w:noProof/>
          <w:sz w:val="24"/>
          <w:szCs w:val="24"/>
        </w:rPr>
        <w:t xml:space="preserve">. </w:t>
      </w:r>
      <w:r w:rsidR="001607CD" w:rsidRPr="00501CD2">
        <w:rPr>
          <w:rFonts w:cs="Times New Roman"/>
          <w:noProof/>
          <w:sz w:val="24"/>
          <w:szCs w:val="24"/>
        </w:rPr>
        <w:t xml:space="preserve">Several stakeholders considered it </w:t>
      </w:r>
      <w:r w:rsidR="00E90728" w:rsidRPr="00501CD2">
        <w:rPr>
          <w:rFonts w:cs="Times New Roman"/>
          <w:noProof/>
          <w:sz w:val="24"/>
          <w:szCs w:val="24"/>
        </w:rPr>
        <w:t>w</w:t>
      </w:r>
      <w:r w:rsidR="001607CD" w:rsidRPr="00501CD2">
        <w:rPr>
          <w:rFonts w:cs="Times New Roman"/>
          <w:noProof/>
          <w:sz w:val="24"/>
          <w:szCs w:val="24"/>
        </w:rPr>
        <w:t xml:space="preserve">ould be difficult to get compensation for software-induced </w:t>
      </w:r>
      <w:r w:rsidR="00E90728" w:rsidRPr="00501CD2">
        <w:rPr>
          <w:rFonts w:cs="Times New Roman"/>
          <w:noProof/>
          <w:sz w:val="24"/>
          <w:szCs w:val="24"/>
        </w:rPr>
        <w:t>discrimination</w:t>
      </w:r>
      <w:r w:rsidR="001607CD" w:rsidRPr="00501CD2">
        <w:rPr>
          <w:rFonts w:cs="Times New Roman"/>
          <w:noProof/>
          <w:sz w:val="24"/>
          <w:szCs w:val="24"/>
        </w:rPr>
        <w:t xml:space="preserve">, although </w:t>
      </w:r>
      <w:r w:rsidR="00E90728" w:rsidRPr="00501CD2">
        <w:rPr>
          <w:rFonts w:cs="Times New Roman"/>
          <w:noProof/>
          <w:sz w:val="24"/>
          <w:szCs w:val="24"/>
        </w:rPr>
        <w:t xml:space="preserve">they pointed to </w:t>
      </w:r>
      <w:r w:rsidR="001607CD" w:rsidRPr="00501CD2">
        <w:rPr>
          <w:rFonts w:cs="Times New Roman"/>
          <w:noProof/>
          <w:sz w:val="24"/>
          <w:szCs w:val="24"/>
        </w:rPr>
        <w:t xml:space="preserve">the significant role of the user of the software </w:t>
      </w:r>
      <w:r w:rsidR="00E90728" w:rsidRPr="00501CD2">
        <w:rPr>
          <w:rFonts w:cs="Times New Roman"/>
          <w:noProof/>
          <w:sz w:val="24"/>
          <w:szCs w:val="24"/>
        </w:rPr>
        <w:t>and not only the</w:t>
      </w:r>
      <w:r w:rsidR="001607CD" w:rsidRPr="00501CD2">
        <w:rPr>
          <w:rFonts w:cs="Times New Roman"/>
          <w:noProof/>
          <w:sz w:val="24"/>
          <w:szCs w:val="24"/>
        </w:rPr>
        <w:t xml:space="preserve"> producer</w:t>
      </w:r>
      <w:r w:rsidR="00E90728" w:rsidRPr="00501CD2">
        <w:rPr>
          <w:rFonts w:cs="Times New Roman"/>
          <w:noProof/>
          <w:sz w:val="24"/>
          <w:szCs w:val="24"/>
        </w:rPr>
        <w:t xml:space="preserve">, and therefore questioned whether this was a </w:t>
      </w:r>
      <w:r w:rsidR="00E90728" w:rsidRPr="0062002F">
        <w:rPr>
          <w:rFonts w:cs="Times New Roman"/>
          <w:noProof/>
          <w:sz w:val="24"/>
          <w:szCs w:val="24"/>
        </w:rPr>
        <w:t>problem to be addressed under the PLD</w:t>
      </w:r>
      <w:r w:rsidR="001607CD" w:rsidRPr="0062002F">
        <w:rPr>
          <w:rStyle w:val="FootnoteReference"/>
          <w:noProof/>
          <w:sz w:val="24"/>
          <w:szCs w:val="24"/>
        </w:rPr>
        <w:footnoteReference w:id="91"/>
      </w:r>
      <w:r w:rsidR="001607CD" w:rsidRPr="0062002F">
        <w:rPr>
          <w:rFonts w:cs="Times New Roman"/>
          <w:noProof/>
          <w:sz w:val="24"/>
          <w:szCs w:val="24"/>
        </w:rPr>
        <w:t xml:space="preserve">. </w:t>
      </w:r>
      <w:r w:rsidR="00CA6F79" w:rsidRPr="0062002F">
        <w:rPr>
          <w:rFonts w:cs="Times New Roman"/>
          <w:noProof/>
          <w:sz w:val="24"/>
          <w:szCs w:val="24"/>
        </w:rPr>
        <w:t xml:space="preserve">(The impact assessment on AI liability looks </w:t>
      </w:r>
      <w:r w:rsidR="008E5068" w:rsidRPr="0062002F">
        <w:rPr>
          <w:rFonts w:cs="Times New Roman"/>
          <w:noProof/>
          <w:sz w:val="24"/>
          <w:szCs w:val="24"/>
        </w:rPr>
        <w:t>more closely at liability rules for discrimination caused by AI-systems.</w:t>
      </w:r>
      <w:r w:rsidR="00CA6F79" w:rsidRPr="0062002F">
        <w:rPr>
          <w:rFonts w:cs="Times New Roman"/>
          <w:noProof/>
          <w:sz w:val="24"/>
          <w:szCs w:val="24"/>
        </w:rPr>
        <w:t>)</w:t>
      </w:r>
      <w:r w:rsidR="00CD761C" w:rsidRPr="0062002F">
        <w:rPr>
          <w:rFonts w:cs="Times New Roman"/>
          <w:noProof/>
          <w:sz w:val="24"/>
          <w:szCs w:val="24"/>
        </w:rPr>
        <w:t xml:space="preserve"> </w:t>
      </w:r>
      <w:r w:rsidR="00D14360">
        <w:rPr>
          <w:rFonts w:cs="Times New Roman"/>
          <w:noProof/>
          <w:sz w:val="24"/>
          <w:szCs w:val="24"/>
        </w:rPr>
        <w:t xml:space="preserve">Also concerning damages: </w:t>
      </w:r>
      <w:r w:rsidR="009062B5" w:rsidRPr="0062002F">
        <w:rPr>
          <w:rFonts w:cs="Times New Roman"/>
          <w:noProof/>
          <w:sz w:val="24"/>
          <w:szCs w:val="24"/>
        </w:rPr>
        <w:t xml:space="preserve">See annex </w:t>
      </w:r>
      <w:r w:rsidR="00F23D15">
        <w:rPr>
          <w:rFonts w:cs="Times New Roman"/>
          <w:noProof/>
          <w:sz w:val="24"/>
          <w:szCs w:val="24"/>
        </w:rPr>
        <w:t>5</w:t>
      </w:r>
      <w:r w:rsidR="009062B5" w:rsidRPr="0062002F">
        <w:rPr>
          <w:rFonts w:cs="Times New Roman"/>
          <w:noProof/>
          <w:sz w:val="24"/>
          <w:szCs w:val="24"/>
        </w:rPr>
        <w:t xml:space="preserve"> concerning a clarification for psychological harm damages.</w:t>
      </w:r>
    </w:p>
    <w:p w14:paraId="77D3358D" w14:textId="4C484779" w:rsidR="00707642" w:rsidRDefault="00707642" w:rsidP="00DD3B24">
      <w:pPr>
        <w:pStyle w:val="Heading4"/>
        <w:numPr>
          <w:ilvl w:val="3"/>
          <w:numId w:val="30"/>
        </w:numPr>
        <w:ind w:left="720" w:hanging="720"/>
        <w:rPr>
          <w:noProof/>
        </w:rPr>
      </w:pPr>
      <w:r w:rsidRPr="00707642">
        <w:rPr>
          <w:noProof/>
        </w:rPr>
        <w:t>Liability rules unclear for refurbished/remanufactured products</w:t>
      </w:r>
    </w:p>
    <w:p w14:paraId="5860674C" w14:textId="7B9F2B6A" w:rsidR="002025EF" w:rsidRPr="00DC6F35" w:rsidRDefault="00D72F9A" w:rsidP="00DC6F35">
      <w:pPr>
        <w:spacing w:after="240" w:line="240" w:lineRule="auto"/>
        <w:jc w:val="both"/>
        <w:rPr>
          <w:rFonts w:cs="Times New Roman"/>
          <w:noProof/>
          <w:sz w:val="24"/>
          <w:szCs w:val="24"/>
          <w:lang w:val="en-IE"/>
        </w:rPr>
      </w:pPr>
      <w:r w:rsidRPr="00DC6F35">
        <w:rPr>
          <w:rFonts w:cs="Times New Roman"/>
          <w:noProof/>
          <w:sz w:val="24"/>
          <w:szCs w:val="24"/>
          <w:lang w:val="en-IE"/>
        </w:rPr>
        <w:t xml:space="preserve">Circular business models in which products are refurbished or </w:t>
      </w:r>
      <w:r w:rsidR="005B7EE1" w:rsidRPr="00DC6F35">
        <w:rPr>
          <w:rFonts w:cs="Times New Roman"/>
          <w:noProof/>
          <w:sz w:val="24"/>
          <w:szCs w:val="24"/>
          <w:lang w:val="en-IE"/>
        </w:rPr>
        <w:t>remanufactured</w:t>
      </w:r>
      <w:r w:rsidRPr="00DC6F35">
        <w:rPr>
          <w:rFonts w:cs="Times New Roman"/>
          <w:noProof/>
          <w:sz w:val="24"/>
          <w:szCs w:val="24"/>
          <w:lang w:val="en-IE"/>
        </w:rPr>
        <w:t xml:space="preserve"> are increasingly common and central to the EU’s efforts to achieve sustainability and waste-reduction goals. However, </w:t>
      </w:r>
      <w:r w:rsidR="0016285F" w:rsidRPr="00DC6F35">
        <w:rPr>
          <w:rFonts w:cs="Times New Roman"/>
          <w:noProof/>
          <w:sz w:val="24"/>
          <w:szCs w:val="24"/>
          <w:lang w:val="en-IE"/>
        </w:rPr>
        <w:t xml:space="preserve">as explained in section 2.2.1.1, </w:t>
      </w:r>
      <w:r w:rsidRPr="00DC6F35">
        <w:rPr>
          <w:rFonts w:cs="Times New Roman"/>
          <w:noProof/>
          <w:sz w:val="24"/>
          <w:szCs w:val="24"/>
          <w:lang w:val="en-IE"/>
        </w:rPr>
        <w:t xml:space="preserve">under the PLD </w:t>
      </w:r>
      <w:r w:rsidR="00995AA8" w:rsidRPr="00DC6F35">
        <w:rPr>
          <w:rFonts w:cs="Times New Roman"/>
          <w:noProof/>
          <w:sz w:val="24"/>
          <w:szCs w:val="24"/>
          <w:lang w:val="en-IE"/>
        </w:rPr>
        <w:t xml:space="preserve">the original manufacturer is </w:t>
      </w:r>
      <w:r w:rsidR="005B7EE1" w:rsidRPr="00DC6F35">
        <w:rPr>
          <w:rFonts w:cs="Times New Roman"/>
          <w:noProof/>
          <w:sz w:val="24"/>
          <w:szCs w:val="24"/>
          <w:lang w:val="en-IE"/>
        </w:rPr>
        <w:t xml:space="preserve">not liable for defects that emerge after </w:t>
      </w:r>
      <w:r w:rsidR="00995AA8" w:rsidRPr="00DC6F35">
        <w:rPr>
          <w:rFonts w:cs="Times New Roman"/>
          <w:noProof/>
          <w:sz w:val="24"/>
          <w:szCs w:val="24"/>
          <w:lang w:val="en-IE"/>
        </w:rPr>
        <w:t>a</w:t>
      </w:r>
      <w:r w:rsidR="005B7EE1" w:rsidRPr="00DC6F35">
        <w:rPr>
          <w:rFonts w:cs="Times New Roman"/>
          <w:noProof/>
          <w:sz w:val="24"/>
          <w:szCs w:val="24"/>
          <w:lang w:val="en-IE"/>
        </w:rPr>
        <w:t xml:space="preserve"> product is put into circulation</w:t>
      </w:r>
      <w:r w:rsidR="00995AA8" w:rsidRPr="00DC6F35">
        <w:rPr>
          <w:rFonts w:cs="Times New Roman"/>
          <w:noProof/>
          <w:sz w:val="24"/>
          <w:szCs w:val="24"/>
          <w:lang w:val="en-IE"/>
        </w:rPr>
        <w:t xml:space="preserve"> and the PLD is silent on whether </w:t>
      </w:r>
      <w:r w:rsidR="008D16D1" w:rsidRPr="00DC6F35">
        <w:rPr>
          <w:rFonts w:cs="Times New Roman"/>
          <w:noProof/>
          <w:sz w:val="24"/>
          <w:szCs w:val="24"/>
          <w:lang w:val="en-IE"/>
        </w:rPr>
        <w:t>economic operators who modify products and put them back on the market</w:t>
      </w:r>
      <w:r w:rsidR="00995AA8" w:rsidRPr="00DC6F35">
        <w:rPr>
          <w:rFonts w:cs="Times New Roman"/>
          <w:noProof/>
          <w:sz w:val="24"/>
          <w:szCs w:val="24"/>
          <w:lang w:val="en-IE"/>
        </w:rPr>
        <w:t xml:space="preserve"> can themselves be </w:t>
      </w:r>
      <w:r w:rsidR="002025EF" w:rsidRPr="00DC6F35">
        <w:rPr>
          <w:rFonts w:cs="Times New Roman"/>
          <w:noProof/>
          <w:sz w:val="24"/>
          <w:szCs w:val="24"/>
          <w:lang w:val="en-IE"/>
        </w:rPr>
        <w:t xml:space="preserve">treated </w:t>
      </w:r>
      <w:r w:rsidR="00995AA8" w:rsidRPr="00DC6F35">
        <w:rPr>
          <w:rFonts w:cs="Times New Roman"/>
          <w:noProof/>
          <w:sz w:val="24"/>
          <w:szCs w:val="24"/>
          <w:lang w:val="en-IE"/>
        </w:rPr>
        <w:t>as producers</w:t>
      </w:r>
      <w:r w:rsidR="002025EF" w:rsidRPr="00DC6F35">
        <w:rPr>
          <w:rFonts w:cs="Times New Roman"/>
          <w:noProof/>
          <w:sz w:val="24"/>
          <w:szCs w:val="24"/>
          <w:lang w:val="en-IE"/>
        </w:rPr>
        <w:t xml:space="preserve"> and therefore subject to no-fault liability</w:t>
      </w:r>
      <w:r w:rsidR="00995AA8" w:rsidRPr="00DC6F35">
        <w:rPr>
          <w:rFonts w:cs="Times New Roman"/>
          <w:noProof/>
          <w:sz w:val="24"/>
          <w:szCs w:val="24"/>
          <w:lang w:val="en-IE"/>
        </w:rPr>
        <w:t xml:space="preserve">. </w:t>
      </w:r>
      <w:r w:rsidR="008D16D1" w:rsidRPr="00DC6F35">
        <w:rPr>
          <w:rFonts w:cs="Times New Roman"/>
          <w:noProof/>
          <w:sz w:val="24"/>
          <w:szCs w:val="24"/>
        </w:rPr>
        <w:t>The aerospace, automotive and heavy-duty equipment sectors make up more than 80% of the European remanufacturing industry, and electrical and electronic as well as</w:t>
      </w:r>
      <w:r w:rsidR="008D16D1" w:rsidRPr="00DC6F35" w:rsidDel="00F36343">
        <w:rPr>
          <w:rFonts w:cs="Times New Roman"/>
          <w:noProof/>
          <w:sz w:val="24"/>
          <w:szCs w:val="24"/>
        </w:rPr>
        <w:t xml:space="preserve"> </w:t>
      </w:r>
      <w:r w:rsidR="008D16D1" w:rsidRPr="00DC6F35">
        <w:rPr>
          <w:rFonts w:cs="Times New Roman"/>
          <w:noProof/>
          <w:sz w:val="24"/>
          <w:szCs w:val="24"/>
        </w:rPr>
        <w:t>medical equipment have witnessed an expansion in demand</w:t>
      </w:r>
      <w:r w:rsidR="008D16D1" w:rsidRPr="00DC6F35">
        <w:rPr>
          <w:rStyle w:val="FootnoteReference"/>
          <w:noProof/>
          <w:sz w:val="24"/>
          <w:szCs w:val="24"/>
        </w:rPr>
        <w:footnoteReference w:id="92"/>
      </w:r>
      <w:r w:rsidR="008D16D1" w:rsidRPr="00DC6F35">
        <w:rPr>
          <w:rFonts w:cs="Times New Roman"/>
          <w:noProof/>
          <w:sz w:val="24"/>
          <w:szCs w:val="24"/>
        </w:rPr>
        <w:t xml:space="preserve">. </w:t>
      </w:r>
      <w:r w:rsidR="005E30A2" w:rsidRPr="00DC6F35">
        <w:rPr>
          <w:rFonts w:cs="Times New Roman"/>
          <w:noProof/>
          <w:sz w:val="24"/>
          <w:szCs w:val="24"/>
        </w:rPr>
        <w:t>In the medical devices sector alone, the market for refurbished and remanufactured products is estimated to be EUR 600 million/annum in the EU</w:t>
      </w:r>
      <w:r w:rsidR="00F52EF4" w:rsidRPr="00DC6F35">
        <w:rPr>
          <w:rFonts w:cs="Times New Roman"/>
          <w:noProof/>
          <w:sz w:val="24"/>
          <w:szCs w:val="24"/>
        </w:rPr>
        <w:t>, and is divided roughly equally between original equipment manufacturers and 3</w:t>
      </w:r>
      <w:r w:rsidR="00F52EF4" w:rsidRPr="00DC6F35">
        <w:rPr>
          <w:rFonts w:cs="Times New Roman"/>
          <w:noProof/>
          <w:sz w:val="24"/>
          <w:szCs w:val="24"/>
          <w:vertAlign w:val="superscript"/>
        </w:rPr>
        <w:t>rd</w:t>
      </w:r>
      <w:r w:rsidR="00F52EF4" w:rsidRPr="00DC6F35">
        <w:rPr>
          <w:rFonts w:cs="Times New Roman"/>
          <w:noProof/>
          <w:sz w:val="24"/>
          <w:szCs w:val="24"/>
        </w:rPr>
        <w:t>-party refurbishers</w:t>
      </w:r>
      <w:r w:rsidR="005E30A2" w:rsidRPr="00DC6F35">
        <w:rPr>
          <w:rStyle w:val="FootnoteReference"/>
          <w:noProof/>
          <w:sz w:val="24"/>
          <w:szCs w:val="24"/>
        </w:rPr>
        <w:footnoteReference w:id="93"/>
      </w:r>
      <w:r w:rsidR="005E30A2" w:rsidRPr="00DC6F35">
        <w:rPr>
          <w:rFonts w:cs="Times New Roman"/>
          <w:noProof/>
          <w:sz w:val="24"/>
          <w:szCs w:val="24"/>
        </w:rPr>
        <w:t>.</w:t>
      </w:r>
    </w:p>
    <w:p w14:paraId="11FD0F3B" w14:textId="0B3C5DF8" w:rsidR="003030ED" w:rsidRPr="00DC6F35" w:rsidRDefault="00745344" w:rsidP="00DC6F35">
      <w:pPr>
        <w:spacing w:after="240" w:line="240" w:lineRule="auto"/>
        <w:jc w:val="both"/>
        <w:rPr>
          <w:rFonts w:cs="Times New Roman"/>
          <w:noProof/>
          <w:sz w:val="24"/>
          <w:szCs w:val="24"/>
          <w:lang w:val="en-IE"/>
        </w:rPr>
      </w:pPr>
      <w:r w:rsidRPr="00DC6F35">
        <w:rPr>
          <w:rFonts w:cs="Times New Roman"/>
          <w:noProof/>
          <w:sz w:val="24"/>
          <w:szCs w:val="24"/>
          <w:lang w:val="en-IE"/>
        </w:rPr>
        <w:t>Remanufacturing</w:t>
      </w:r>
      <w:r w:rsidR="008D16D1" w:rsidRPr="00DC6F35">
        <w:rPr>
          <w:rFonts w:cs="Times New Roman"/>
          <w:noProof/>
          <w:sz w:val="24"/>
          <w:szCs w:val="24"/>
          <w:lang w:val="en-IE"/>
        </w:rPr>
        <w:t xml:space="preserve"> and refurbishing</w:t>
      </w:r>
      <w:r w:rsidRPr="00DC6F35">
        <w:rPr>
          <w:rFonts w:cs="Times New Roman"/>
          <w:noProof/>
          <w:sz w:val="24"/>
          <w:szCs w:val="24"/>
          <w:lang w:val="en-IE"/>
        </w:rPr>
        <w:t xml:space="preserve"> </w:t>
      </w:r>
      <w:r w:rsidR="008D16D1" w:rsidRPr="00DC6F35">
        <w:rPr>
          <w:rFonts w:cs="Times New Roman"/>
          <w:noProof/>
          <w:sz w:val="24"/>
          <w:szCs w:val="24"/>
          <w:lang w:val="en-IE"/>
        </w:rPr>
        <w:t xml:space="preserve">are </w:t>
      </w:r>
      <w:r w:rsidRPr="00DC6F35">
        <w:rPr>
          <w:rFonts w:cs="Times New Roman"/>
          <w:noProof/>
          <w:sz w:val="24"/>
          <w:szCs w:val="24"/>
          <w:lang w:val="en-IE"/>
        </w:rPr>
        <w:t xml:space="preserve">industrial </w:t>
      </w:r>
      <w:r w:rsidR="00D96FEB" w:rsidRPr="00DC6F35">
        <w:rPr>
          <w:rFonts w:cs="Times New Roman"/>
          <w:noProof/>
          <w:sz w:val="24"/>
          <w:szCs w:val="24"/>
          <w:lang w:val="en-IE"/>
        </w:rPr>
        <w:t>practice</w:t>
      </w:r>
      <w:r w:rsidR="008D16D1" w:rsidRPr="00DC6F35">
        <w:rPr>
          <w:rFonts w:cs="Times New Roman"/>
          <w:noProof/>
          <w:sz w:val="24"/>
          <w:szCs w:val="24"/>
          <w:lang w:val="en-IE"/>
        </w:rPr>
        <w:t>s</w:t>
      </w:r>
      <w:r w:rsidRPr="00DC6F35">
        <w:rPr>
          <w:rFonts w:cs="Times New Roman"/>
          <w:noProof/>
          <w:sz w:val="24"/>
          <w:szCs w:val="24"/>
          <w:lang w:val="en-IE"/>
        </w:rPr>
        <w:t xml:space="preserve"> in which a product is </w:t>
      </w:r>
      <w:r w:rsidR="00782FAB" w:rsidRPr="00DC6F35">
        <w:rPr>
          <w:rFonts w:cs="Times New Roman"/>
          <w:noProof/>
          <w:sz w:val="24"/>
          <w:szCs w:val="24"/>
          <w:lang w:val="en-IE"/>
        </w:rPr>
        <w:t>returned</w:t>
      </w:r>
      <w:r w:rsidR="00782FAB" w:rsidRPr="00DC6F35">
        <w:rPr>
          <w:rFonts w:cs="Times New Roman"/>
          <w:bCs/>
          <w:iCs/>
          <w:noProof/>
          <w:sz w:val="24"/>
          <w:szCs w:val="24"/>
          <w:lang w:val="en-IE"/>
        </w:rPr>
        <w:t xml:space="preserve"> to at least its original performance </w:t>
      </w:r>
      <w:r w:rsidR="008D16D1" w:rsidRPr="00DC6F35">
        <w:rPr>
          <w:rFonts w:cs="Times New Roman"/>
          <w:bCs/>
          <w:iCs/>
          <w:noProof/>
          <w:sz w:val="24"/>
          <w:szCs w:val="24"/>
          <w:lang w:val="en-IE"/>
        </w:rPr>
        <w:t>to match the original manufacturers’ specifications</w:t>
      </w:r>
      <w:r w:rsidRPr="00DC6F35">
        <w:rPr>
          <w:rStyle w:val="FootnoteReference"/>
          <w:noProof/>
          <w:sz w:val="24"/>
          <w:szCs w:val="24"/>
          <w:lang w:val="en-IE"/>
        </w:rPr>
        <w:footnoteReference w:id="94"/>
      </w:r>
      <w:r w:rsidRPr="00DC6F35">
        <w:rPr>
          <w:rFonts w:cs="Times New Roman"/>
          <w:noProof/>
          <w:sz w:val="24"/>
          <w:szCs w:val="24"/>
          <w:lang w:val="en-IE"/>
        </w:rPr>
        <w:t xml:space="preserve">, and involves </w:t>
      </w:r>
      <w:r w:rsidR="00D77F70" w:rsidRPr="00DC6F35">
        <w:rPr>
          <w:rFonts w:cs="Times New Roman"/>
          <w:noProof/>
          <w:sz w:val="24"/>
          <w:szCs w:val="24"/>
          <w:lang w:val="en-IE"/>
        </w:rPr>
        <w:t xml:space="preserve">various steps such as </w:t>
      </w:r>
      <w:r w:rsidRPr="00DC6F35">
        <w:rPr>
          <w:rFonts w:cs="Times New Roman"/>
          <w:noProof/>
          <w:sz w:val="24"/>
          <w:szCs w:val="24"/>
          <w:lang w:val="en-IE"/>
        </w:rPr>
        <w:t>disassembly, cleaning, repair/replacement of components, reassembly and testing, before the product is put back into circulation</w:t>
      </w:r>
      <w:r w:rsidR="008D16D1" w:rsidRPr="00DC6F35">
        <w:rPr>
          <w:rStyle w:val="FootnoteReference"/>
          <w:noProof/>
          <w:sz w:val="24"/>
          <w:szCs w:val="24"/>
          <w:lang w:val="en-IE"/>
        </w:rPr>
        <w:footnoteReference w:id="95"/>
      </w:r>
      <w:r w:rsidRPr="00DC6F35">
        <w:rPr>
          <w:rFonts w:cs="Times New Roman"/>
          <w:noProof/>
          <w:sz w:val="24"/>
          <w:szCs w:val="24"/>
          <w:lang w:val="en-IE"/>
        </w:rPr>
        <w:t xml:space="preserve">. </w:t>
      </w:r>
      <w:r w:rsidR="003030ED" w:rsidRPr="00DC6F35">
        <w:rPr>
          <w:rFonts w:cs="Times New Roman"/>
          <w:noProof/>
          <w:sz w:val="24"/>
          <w:szCs w:val="24"/>
          <w:lang w:val="en-IE"/>
        </w:rPr>
        <w:t>Stakeholder feedback confirmed that both original manufacturers and refurbishers/remanufacturers face legal uncertainty as to the extent of their liability exposure</w:t>
      </w:r>
      <w:r w:rsidR="00EE0B5B" w:rsidRPr="00DC6F35">
        <w:rPr>
          <w:rStyle w:val="FootnoteReference"/>
          <w:noProof/>
          <w:sz w:val="24"/>
          <w:szCs w:val="24"/>
          <w:lang w:val="en-IE"/>
        </w:rPr>
        <w:footnoteReference w:id="96"/>
      </w:r>
      <w:r w:rsidR="003030ED" w:rsidRPr="00DC6F35">
        <w:rPr>
          <w:rFonts w:cs="Times New Roman"/>
          <w:noProof/>
          <w:sz w:val="24"/>
          <w:szCs w:val="24"/>
          <w:lang w:val="en-IE"/>
        </w:rPr>
        <w:t>.</w:t>
      </w:r>
      <w:r w:rsidR="00825A8C" w:rsidRPr="00DC6F35">
        <w:rPr>
          <w:rFonts w:cs="Times New Roman"/>
          <w:noProof/>
          <w:sz w:val="24"/>
          <w:szCs w:val="24"/>
          <w:lang w:val="en-IE"/>
        </w:rPr>
        <w:t xml:space="preserve"> </w:t>
      </w:r>
      <w:r w:rsidR="00F52EF4" w:rsidRPr="00DC6F35">
        <w:rPr>
          <w:rFonts w:cs="Times New Roman"/>
          <w:noProof/>
          <w:sz w:val="24"/>
          <w:szCs w:val="24"/>
          <w:lang w:val="en-IE"/>
        </w:rPr>
        <w:t xml:space="preserve">The home appliance industry </w:t>
      </w:r>
      <w:r w:rsidR="00825A8C" w:rsidRPr="00DC6F35">
        <w:rPr>
          <w:rFonts w:cs="Times New Roman"/>
          <w:noProof/>
          <w:sz w:val="24"/>
          <w:szCs w:val="24"/>
          <w:lang w:val="en-IE"/>
        </w:rPr>
        <w:t>noted that clearer rules would give original manufacturers confidence to allow independent third-party operators to carry out refurbishments</w:t>
      </w:r>
      <w:r w:rsidR="00375ADB" w:rsidRPr="00DC6F35">
        <w:rPr>
          <w:rStyle w:val="FootnoteReference"/>
          <w:noProof/>
          <w:sz w:val="24"/>
          <w:szCs w:val="24"/>
          <w:lang w:val="en-IE"/>
        </w:rPr>
        <w:footnoteReference w:id="97"/>
      </w:r>
      <w:r w:rsidR="00825A8C" w:rsidRPr="00DC6F35">
        <w:rPr>
          <w:rFonts w:cs="Times New Roman"/>
          <w:noProof/>
          <w:sz w:val="24"/>
          <w:szCs w:val="24"/>
          <w:lang w:val="en-IE"/>
        </w:rPr>
        <w:t>.</w:t>
      </w:r>
    </w:p>
    <w:p w14:paraId="4D872E67" w14:textId="578DB823" w:rsidR="00BC1B63" w:rsidRDefault="00872AF4" w:rsidP="00DC6F35">
      <w:pPr>
        <w:spacing w:after="240" w:line="240" w:lineRule="auto"/>
        <w:jc w:val="both"/>
        <w:rPr>
          <w:rFonts w:cs="Times New Roman"/>
          <w:noProof/>
          <w:sz w:val="24"/>
          <w:szCs w:val="24"/>
          <w:lang w:val="en-IE"/>
        </w:rPr>
      </w:pPr>
      <w:r w:rsidRPr="00DC6F35">
        <w:rPr>
          <w:rFonts w:cs="Times New Roman"/>
          <w:noProof/>
          <w:sz w:val="24"/>
          <w:szCs w:val="24"/>
          <w:lang w:val="en-IE"/>
        </w:rPr>
        <w:t xml:space="preserve">The question of who is responsible for </w:t>
      </w:r>
      <w:r w:rsidR="00BC1B63" w:rsidRPr="00DC6F35">
        <w:rPr>
          <w:rFonts w:cs="Times New Roman"/>
          <w:noProof/>
          <w:sz w:val="24"/>
          <w:szCs w:val="24"/>
          <w:lang w:val="en-IE"/>
        </w:rPr>
        <w:t xml:space="preserve">the </w:t>
      </w:r>
      <w:r w:rsidRPr="00DC6F35">
        <w:rPr>
          <w:rFonts w:cs="Times New Roman"/>
          <w:noProof/>
          <w:sz w:val="24"/>
          <w:szCs w:val="24"/>
          <w:lang w:val="en-IE"/>
        </w:rPr>
        <w:t>safety of modified products has been addressed in t</w:t>
      </w:r>
      <w:r w:rsidR="00745344" w:rsidRPr="00DC6F35">
        <w:rPr>
          <w:rFonts w:cs="Times New Roman"/>
          <w:noProof/>
          <w:sz w:val="24"/>
          <w:szCs w:val="24"/>
          <w:lang w:val="en-IE"/>
        </w:rPr>
        <w:t xml:space="preserve">he Commission’s “Blue Guide” on the implementation of EU product </w:t>
      </w:r>
      <w:r w:rsidR="00635FFC" w:rsidRPr="00DC6F35">
        <w:rPr>
          <w:rFonts w:cs="Times New Roman"/>
          <w:noProof/>
          <w:sz w:val="24"/>
          <w:szCs w:val="24"/>
        </w:rPr>
        <w:t>safety legislation</w:t>
      </w:r>
      <w:r w:rsidR="00052C33" w:rsidRPr="00DC6F35">
        <w:rPr>
          <w:rFonts w:cs="Times New Roman"/>
          <w:noProof/>
          <w:sz w:val="24"/>
          <w:szCs w:val="24"/>
        </w:rPr>
        <w:t>:</w:t>
      </w:r>
      <w:r w:rsidRPr="00DC6F35">
        <w:rPr>
          <w:rFonts w:cs="Times New Roman"/>
          <w:noProof/>
          <w:sz w:val="24"/>
          <w:szCs w:val="24"/>
        </w:rPr>
        <w:t xml:space="preserve"> </w:t>
      </w:r>
      <w:r w:rsidR="00052C33" w:rsidRPr="00DC6F35">
        <w:rPr>
          <w:rFonts w:cs="Times New Roman"/>
          <w:noProof/>
          <w:sz w:val="24"/>
          <w:szCs w:val="24"/>
        </w:rPr>
        <w:t>a</w:t>
      </w:r>
      <w:r w:rsidRPr="00DC6F35">
        <w:rPr>
          <w:rFonts w:cs="Times New Roman"/>
          <w:noProof/>
          <w:sz w:val="24"/>
          <w:szCs w:val="24"/>
        </w:rPr>
        <w:t>n economic operator who makes important changes to or who overhauls a product should be seen as putting a new product into circulation and should be responsible for safety compliance</w:t>
      </w:r>
      <w:r w:rsidR="00635FFC" w:rsidRPr="00DC6F35">
        <w:rPr>
          <w:rFonts w:cs="Times New Roman"/>
          <w:noProof/>
          <w:sz w:val="24"/>
          <w:szCs w:val="24"/>
          <w:vertAlign w:val="superscript"/>
        </w:rPr>
        <w:footnoteReference w:id="98"/>
      </w:r>
      <w:r w:rsidR="00635FFC" w:rsidRPr="00DC6F35">
        <w:rPr>
          <w:rFonts w:cs="Times New Roman"/>
          <w:noProof/>
          <w:sz w:val="24"/>
          <w:szCs w:val="24"/>
        </w:rPr>
        <w:t>.</w:t>
      </w:r>
      <w:r w:rsidR="00745344" w:rsidRPr="00DC6F35">
        <w:rPr>
          <w:rFonts w:cs="Times New Roman"/>
          <w:noProof/>
          <w:sz w:val="24"/>
          <w:szCs w:val="24"/>
        </w:rPr>
        <w:t xml:space="preserve"> This concept of “substantial modification” has been integrated into </w:t>
      </w:r>
      <w:r w:rsidR="00FA2F94" w:rsidRPr="00DC6F35">
        <w:rPr>
          <w:rFonts w:cs="Times New Roman"/>
          <w:noProof/>
          <w:sz w:val="24"/>
          <w:szCs w:val="24"/>
        </w:rPr>
        <w:t>legislation and legislative proposals</w:t>
      </w:r>
      <w:r w:rsidRPr="00DC6F35">
        <w:rPr>
          <w:rFonts w:cs="Times New Roman"/>
          <w:noProof/>
          <w:sz w:val="24"/>
          <w:szCs w:val="24"/>
        </w:rPr>
        <w:t xml:space="preserve"> in recent years</w:t>
      </w:r>
      <w:r w:rsidRPr="00DC6F35">
        <w:rPr>
          <w:rStyle w:val="FootnoteReference"/>
          <w:noProof/>
          <w:sz w:val="24"/>
          <w:szCs w:val="24"/>
        </w:rPr>
        <w:footnoteReference w:id="99"/>
      </w:r>
      <w:r w:rsidR="00052C33" w:rsidRPr="00DC6F35">
        <w:rPr>
          <w:rFonts w:cs="Times New Roman"/>
          <w:noProof/>
          <w:sz w:val="24"/>
          <w:szCs w:val="24"/>
        </w:rPr>
        <w:t xml:space="preserve"> and the Medical Devices Regulation explicitly includes economic operators who fully refurbish devices in its definition of manufacturer</w:t>
      </w:r>
      <w:r w:rsidR="00052C33" w:rsidRPr="00DC6F35">
        <w:rPr>
          <w:rStyle w:val="FootnoteReference"/>
          <w:noProof/>
          <w:sz w:val="24"/>
          <w:szCs w:val="24"/>
        </w:rPr>
        <w:footnoteReference w:id="100"/>
      </w:r>
      <w:r w:rsidRPr="00DC6F35">
        <w:rPr>
          <w:rFonts w:cs="Times New Roman"/>
          <w:noProof/>
          <w:sz w:val="24"/>
          <w:szCs w:val="24"/>
        </w:rPr>
        <w:t xml:space="preserve">. </w:t>
      </w:r>
      <w:r w:rsidR="009E2BDC">
        <w:rPr>
          <w:rFonts w:cs="Times New Roman"/>
          <w:noProof/>
          <w:sz w:val="24"/>
          <w:szCs w:val="24"/>
          <w:lang w:val="en-IE"/>
        </w:rPr>
        <w:t xml:space="preserve">While there is no evidence of victims currently going uncompensated for damage caused by substantially modified products, the existing liability rules are not future proof or coherent with this legislation, as </w:t>
      </w:r>
      <w:r w:rsidR="00082D47" w:rsidRPr="00DC6F35">
        <w:rPr>
          <w:rFonts w:cs="Times New Roman"/>
          <w:noProof/>
          <w:sz w:val="24"/>
          <w:szCs w:val="24"/>
          <w:lang w:val="en-IE"/>
        </w:rPr>
        <w:t>the notion of substantial modification is absent from the PLD.</w:t>
      </w:r>
      <w:r w:rsidR="00825A8C" w:rsidRPr="00DC6F35" w:rsidDel="00082D47">
        <w:rPr>
          <w:rFonts w:cs="Times New Roman"/>
          <w:noProof/>
          <w:sz w:val="24"/>
          <w:szCs w:val="24"/>
          <w:lang w:val="en-IE"/>
        </w:rPr>
        <w:t xml:space="preserve"> </w:t>
      </w:r>
    </w:p>
    <w:p w14:paraId="72DE0A67" w14:textId="33EB7F91" w:rsidR="00A543B5" w:rsidRPr="00DC6F35" w:rsidRDefault="00A543B5" w:rsidP="00DC6F35">
      <w:pPr>
        <w:spacing w:after="240" w:line="240" w:lineRule="auto"/>
        <w:jc w:val="both"/>
        <w:rPr>
          <w:rFonts w:cs="Times New Roman"/>
          <w:noProof/>
          <w:sz w:val="24"/>
          <w:szCs w:val="24"/>
          <w:lang w:val="en-IE"/>
        </w:rPr>
      </w:pPr>
      <w:r>
        <w:rPr>
          <w:rFonts w:cs="Times New Roman"/>
          <w:noProof/>
          <w:sz w:val="24"/>
          <w:szCs w:val="24"/>
          <w:lang w:val="en-IE"/>
        </w:rPr>
        <w:t>In contrast to situations of substantial modification, t</w:t>
      </w:r>
      <w:r>
        <w:rPr>
          <w:noProof/>
          <w:sz w:val="24"/>
        </w:rPr>
        <w:t xml:space="preserve">he mere repair of products does not create uncertainty for the application of liability rules. A repair is rather an individualised service, in </w:t>
      </w:r>
      <w:r w:rsidRPr="00C33077">
        <w:rPr>
          <w:noProof/>
          <w:sz w:val="24"/>
        </w:rPr>
        <w:t xml:space="preserve">which </w:t>
      </w:r>
      <w:r>
        <w:rPr>
          <w:noProof/>
          <w:sz w:val="24"/>
        </w:rPr>
        <w:t>a</w:t>
      </w:r>
      <w:r w:rsidRPr="00C33077">
        <w:rPr>
          <w:noProof/>
          <w:sz w:val="24"/>
        </w:rPr>
        <w:t xml:space="preserve"> product is returned to working order and then typically given back to the owner.</w:t>
      </w:r>
      <w:r w:rsidRPr="00C33077">
        <w:rPr>
          <w:b/>
          <w:noProof/>
          <w:sz w:val="24"/>
        </w:rPr>
        <w:t xml:space="preserve"> </w:t>
      </w:r>
      <w:r w:rsidRPr="00C33077">
        <w:rPr>
          <w:noProof/>
          <w:sz w:val="24"/>
        </w:rPr>
        <w:t>There is no new product and there is no new distribution</w:t>
      </w:r>
      <w:r>
        <w:rPr>
          <w:noProof/>
          <w:sz w:val="24"/>
        </w:rPr>
        <w:t>, so no grounds for product liability to be triggered. Repairers can of course be found liable under national fault-based rules, however, for undertaking a faulty repair.</w:t>
      </w:r>
    </w:p>
    <w:p w14:paraId="2B8FB849" w14:textId="2ECD5917" w:rsidR="00E6490E" w:rsidRPr="00E6490E" w:rsidRDefault="00336CC3" w:rsidP="00DD3B24">
      <w:pPr>
        <w:pStyle w:val="Heading4"/>
        <w:numPr>
          <w:ilvl w:val="3"/>
          <w:numId w:val="30"/>
        </w:numPr>
        <w:ind w:left="720" w:hanging="720"/>
        <w:rPr>
          <w:noProof/>
        </w:rPr>
      </w:pPr>
      <w:r>
        <w:rPr>
          <w:noProof/>
        </w:rPr>
        <w:t xml:space="preserve"> </w:t>
      </w:r>
      <w:r w:rsidR="00E6490E" w:rsidRPr="00E6490E">
        <w:rPr>
          <w:noProof/>
        </w:rPr>
        <w:t>No liable person under the PLD when consumer purchases product from a 3rd country directly</w:t>
      </w:r>
    </w:p>
    <w:p w14:paraId="31DA3B07" w14:textId="58433370" w:rsidR="008334D2" w:rsidRPr="00DC6F35" w:rsidRDefault="00336CC3" w:rsidP="00DC6F35">
      <w:pPr>
        <w:spacing w:after="240" w:line="240" w:lineRule="auto"/>
        <w:jc w:val="both"/>
        <w:rPr>
          <w:noProof/>
          <w:sz w:val="24"/>
          <w:szCs w:val="24"/>
        </w:rPr>
      </w:pPr>
      <w:r w:rsidRPr="00DC6F35">
        <w:rPr>
          <w:noProof/>
          <w:sz w:val="24"/>
          <w:szCs w:val="24"/>
        </w:rPr>
        <w:t>Alongside the producer</w:t>
      </w:r>
      <w:r w:rsidR="00387F9B" w:rsidRPr="00DC6F35">
        <w:rPr>
          <w:noProof/>
          <w:sz w:val="24"/>
          <w:szCs w:val="24"/>
        </w:rPr>
        <w:t>, which includes own-branders</w:t>
      </w:r>
      <w:r w:rsidRPr="00DC6F35">
        <w:rPr>
          <w:noProof/>
          <w:sz w:val="24"/>
          <w:szCs w:val="24"/>
        </w:rPr>
        <w:t xml:space="preserve">, importers are also liable </w:t>
      </w:r>
      <w:r w:rsidR="008334D2" w:rsidRPr="00DC6F35">
        <w:rPr>
          <w:noProof/>
          <w:sz w:val="24"/>
          <w:szCs w:val="24"/>
        </w:rPr>
        <w:t xml:space="preserve">for product defects </w:t>
      </w:r>
      <w:r w:rsidRPr="00DC6F35">
        <w:rPr>
          <w:noProof/>
          <w:sz w:val="24"/>
          <w:szCs w:val="24"/>
        </w:rPr>
        <w:t>under the PLD. The rationale</w:t>
      </w:r>
      <w:r w:rsidR="008334D2" w:rsidRPr="00DC6F35">
        <w:rPr>
          <w:noProof/>
          <w:sz w:val="24"/>
          <w:szCs w:val="24"/>
        </w:rPr>
        <w:t xml:space="preserve"> for this</w:t>
      </w:r>
      <w:r w:rsidRPr="00DC6F35">
        <w:rPr>
          <w:noProof/>
          <w:sz w:val="24"/>
          <w:szCs w:val="24"/>
        </w:rPr>
        <w:t xml:space="preserve"> is that enforcing a compensation claim against a producer in a third country </w:t>
      </w:r>
      <w:r w:rsidR="008334D2" w:rsidRPr="00DC6F35">
        <w:rPr>
          <w:noProof/>
          <w:sz w:val="24"/>
          <w:szCs w:val="24"/>
        </w:rPr>
        <w:t xml:space="preserve">would </w:t>
      </w:r>
      <w:r w:rsidRPr="00DC6F35">
        <w:rPr>
          <w:noProof/>
          <w:sz w:val="24"/>
          <w:szCs w:val="24"/>
        </w:rPr>
        <w:t>present consumers with insurmountable difficulties.</w:t>
      </w:r>
      <w:r w:rsidRPr="00DC6F35">
        <w:rPr>
          <w:noProof/>
          <w:sz w:val="24"/>
          <w:szCs w:val="24"/>
          <w:vertAlign w:val="superscript"/>
        </w:rPr>
        <w:footnoteReference w:id="101"/>
      </w:r>
      <w:r w:rsidRPr="00DC6F35">
        <w:rPr>
          <w:noProof/>
          <w:sz w:val="24"/>
          <w:szCs w:val="24"/>
        </w:rPr>
        <w:t xml:space="preserve"> </w:t>
      </w:r>
    </w:p>
    <w:p w14:paraId="1C0AE902" w14:textId="72E3F509" w:rsidR="008334D2" w:rsidRPr="00DC6F35" w:rsidRDefault="008334D2" w:rsidP="00DC6F35">
      <w:pPr>
        <w:spacing w:after="240" w:line="240" w:lineRule="auto"/>
        <w:jc w:val="both"/>
        <w:rPr>
          <w:noProof/>
          <w:sz w:val="24"/>
          <w:szCs w:val="24"/>
        </w:rPr>
      </w:pPr>
      <w:r w:rsidRPr="00DC6F35">
        <w:rPr>
          <w:noProof/>
          <w:sz w:val="24"/>
          <w:szCs w:val="24"/>
        </w:rPr>
        <w:t xml:space="preserve">The emergence of e-commerce </w:t>
      </w:r>
      <w:r w:rsidR="002D350C" w:rsidRPr="00DC6F35">
        <w:rPr>
          <w:noProof/>
          <w:sz w:val="24"/>
          <w:szCs w:val="24"/>
        </w:rPr>
        <w:t>is a major global development of the last few decades, but for the most part buying online is analogous with buying offline and the PLD applies equally well</w:t>
      </w:r>
      <w:r w:rsidR="00366D88" w:rsidRPr="00DC6F35">
        <w:rPr>
          <w:noProof/>
          <w:sz w:val="24"/>
          <w:szCs w:val="24"/>
        </w:rPr>
        <w:t>: p</w:t>
      </w:r>
      <w:r w:rsidR="00075FEC" w:rsidRPr="00DC6F35">
        <w:rPr>
          <w:noProof/>
          <w:sz w:val="24"/>
          <w:szCs w:val="24"/>
        </w:rPr>
        <w:t xml:space="preserve">roducers and importers are treated the same whether a purchase was made online or offline. </w:t>
      </w:r>
      <w:r w:rsidR="007C734A" w:rsidRPr="00DC6F35">
        <w:rPr>
          <w:noProof/>
          <w:sz w:val="24"/>
          <w:szCs w:val="24"/>
        </w:rPr>
        <w:t>However, online marketplaces now also make it possible for consumers to purchase products directly from non-EU producers without the involvement of an EU-based importer. In such cases, if a product is defective and causes harm</w:t>
      </w:r>
      <w:r w:rsidR="00CE6590" w:rsidRPr="00DC6F35">
        <w:rPr>
          <w:noProof/>
          <w:sz w:val="24"/>
          <w:szCs w:val="24"/>
        </w:rPr>
        <w:t>,</w:t>
      </w:r>
      <w:r w:rsidR="00196FF8" w:rsidRPr="00DC6F35">
        <w:rPr>
          <w:noProof/>
          <w:sz w:val="24"/>
          <w:szCs w:val="24"/>
        </w:rPr>
        <w:t xml:space="preserve"> </w:t>
      </w:r>
      <w:r w:rsidR="0016260A" w:rsidRPr="00DC6F35">
        <w:rPr>
          <w:noProof/>
          <w:sz w:val="24"/>
          <w:szCs w:val="24"/>
        </w:rPr>
        <w:t>there is no EU-based liable person from whom to seek compensation under the PLD.</w:t>
      </w:r>
      <w:r w:rsidR="004308F2" w:rsidRPr="00DC6F35">
        <w:rPr>
          <w:noProof/>
          <w:sz w:val="24"/>
          <w:szCs w:val="24"/>
        </w:rPr>
        <w:t xml:space="preserve"> </w:t>
      </w:r>
      <w:r w:rsidR="00473D9B" w:rsidRPr="00D2302D">
        <w:rPr>
          <w:noProof/>
          <w:sz w:val="24"/>
          <w:szCs w:val="24"/>
        </w:rPr>
        <w:t>6</w:t>
      </w:r>
      <w:r w:rsidR="00B258DC" w:rsidRPr="00D2302D">
        <w:rPr>
          <w:noProof/>
          <w:sz w:val="24"/>
          <w:szCs w:val="24"/>
        </w:rPr>
        <w:t>4</w:t>
      </w:r>
      <w:r w:rsidR="00473D9B" w:rsidRPr="00D2302D">
        <w:rPr>
          <w:noProof/>
          <w:sz w:val="24"/>
          <w:szCs w:val="24"/>
        </w:rPr>
        <w:t xml:space="preserve">% of respondents </w:t>
      </w:r>
      <w:r w:rsidR="00FC2FF4" w:rsidRPr="00D2302D">
        <w:rPr>
          <w:noProof/>
          <w:sz w:val="24"/>
          <w:szCs w:val="24"/>
        </w:rPr>
        <w:t>in</w:t>
      </w:r>
      <w:r w:rsidR="00473D9B" w:rsidRPr="00D2302D">
        <w:rPr>
          <w:noProof/>
          <w:sz w:val="24"/>
          <w:szCs w:val="24"/>
        </w:rPr>
        <w:t xml:space="preserve"> the public consultation </w:t>
      </w:r>
      <w:r w:rsidR="00B258DC" w:rsidRPr="00D2302D">
        <w:rPr>
          <w:noProof/>
          <w:sz w:val="24"/>
          <w:szCs w:val="24"/>
        </w:rPr>
        <w:t xml:space="preserve">agreed there was </w:t>
      </w:r>
      <w:r w:rsidR="00473D9B" w:rsidRPr="00D2302D">
        <w:rPr>
          <w:noProof/>
          <w:sz w:val="24"/>
          <w:szCs w:val="24"/>
        </w:rPr>
        <w:t xml:space="preserve">a need to </w:t>
      </w:r>
      <w:r w:rsidR="00B258DC" w:rsidRPr="00D2302D">
        <w:rPr>
          <w:noProof/>
          <w:sz w:val="24"/>
          <w:szCs w:val="24"/>
        </w:rPr>
        <w:t xml:space="preserve">adapt </w:t>
      </w:r>
      <w:r w:rsidR="00473D9B" w:rsidRPr="00D2302D">
        <w:rPr>
          <w:noProof/>
          <w:sz w:val="24"/>
          <w:szCs w:val="24"/>
        </w:rPr>
        <w:t>liability rules where there is no EU importer</w:t>
      </w:r>
      <w:r w:rsidR="00473D9B" w:rsidRPr="00D2302D">
        <w:rPr>
          <w:rStyle w:val="FootnoteReference"/>
          <w:noProof/>
          <w:sz w:val="24"/>
          <w:szCs w:val="24"/>
        </w:rPr>
        <w:footnoteReference w:id="102"/>
      </w:r>
      <w:r w:rsidR="004308F2" w:rsidRPr="00D2302D">
        <w:rPr>
          <w:noProof/>
          <w:sz w:val="24"/>
          <w:szCs w:val="24"/>
        </w:rPr>
        <w:t>.</w:t>
      </w:r>
    </w:p>
    <w:p w14:paraId="1FE594EA" w14:textId="1512FD62" w:rsidR="006A6AED" w:rsidRDefault="005E042D" w:rsidP="00DC6F35">
      <w:pPr>
        <w:spacing w:after="240" w:line="240" w:lineRule="auto"/>
        <w:jc w:val="both"/>
        <w:rPr>
          <w:noProof/>
          <w:sz w:val="24"/>
          <w:szCs w:val="24"/>
        </w:rPr>
      </w:pPr>
      <w:r w:rsidRPr="00DC6F35">
        <w:rPr>
          <w:noProof/>
          <w:sz w:val="24"/>
          <w:szCs w:val="24"/>
        </w:rPr>
        <w:t>Such “direct imports” have increased in recent years: around 150 million small consignments are imported free of VAT into the EU each year</w:t>
      </w:r>
      <w:r w:rsidRPr="00DC6F35">
        <w:rPr>
          <w:rStyle w:val="FootnoteReference"/>
          <w:noProof/>
          <w:sz w:val="24"/>
          <w:szCs w:val="24"/>
        </w:rPr>
        <w:footnoteReference w:id="103"/>
      </w:r>
      <w:r w:rsidRPr="00DC6F35">
        <w:rPr>
          <w:noProof/>
          <w:sz w:val="24"/>
          <w:szCs w:val="24"/>
        </w:rPr>
        <w:t xml:space="preserve"> and it has been reported that in 2017 there were 150 000 private consignments coming from China to individual consumers per day</w:t>
      </w:r>
      <w:r w:rsidRPr="00DC6F35">
        <w:rPr>
          <w:rStyle w:val="FootnoteReference"/>
          <w:noProof/>
          <w:sz w:val="24"/>
          <w:szCs w:val="24"/>
        </w:rPr>
        <w:footnoteReference w:id="104"/>
      </w:r>
      <w:r w:rsidRPr="00DC6F35">
        <w:rPr>
          <w:noProof/>
          <w:sz w:val="24"/>
          <w:szCs w:val="24"/>
        </w:rPr>
        <w:t xml:space="preserve">. </w:t>
      </w:r>
      <w:r w:rsidR="00343FA0" w:rsidRPr="00DC6F35">
        <w:rPr>
          <w:noProof/>
          <w:sz w:val="24"/>
          <w:szCs w:val="24"/>
        </w:rPr>
        <w:t xml:space="preserve">The problem is expected to be mitigated by upcoming legislation. </w:t>
      </w:r>
      <w:r w:rsidR="00553E7B" w:rsidRPr="00DC6F35">
        <w:rPr>
          <w:noProof/>
          <w:sz w:val="24"/>
          <w:szCs w:val="24"/>
        </w:rPr>
        <w:t xml:space="preserve">To better ensure the </w:t>
      </w:r>
      <w:r w:rsidR="006B698B" w:rsidRPr="00DC6F35">
        <w:rPr>
          <w:noProof/>
          <w:sz w:val="24"/>
          <w:szCs w:val="24"/>
        </w:rPr>
        <w:t xml:space="preserve">safety </w:t>
      </w:r>
      <w:r w:rsidR="00553E7B" w:rsidRPr="00DC6F35">
        <w:rPr>
          <w:noProof/>
          <w:sz w:val="24"/>
          <w:szCs w:val="24"/>
        </w:rPr>
        <w:t xml:space="preserve">of </w:t>
      </w:r>
      <w:r w:rsidR="00491243" w:rsidRPr="00DC6F35">
        <w:rPr>
          <w:noProof/>
          <w:sz w:val="24"/>
          <w:szCs w:val="24"/>
        </w:rPr>
        <w:t xml:space="preserve">“directly imported” </w:t>
      </w:r>
      <w:r w:rsidR="00553E7B" w:rsidRPr="00DC6F35">
        <w:rPr>
          <w:noProof/>
          <w:sz w:val="24"/>
          <w:szCs w:val="24"/>
        </w:rPr>
        <w:t>products</w:t>
      </w:r>
      <w:r w:rsidR="00343FA0" w:rsidRPr="00DC6F35">
        <w:rPr>
          <w:noProof/>
          <w:sz w:val="24"/>
          <w:szCs w:val="24"/>
        </w:rPr>
        <w:t>, the draft Digital Services Act</w:t>
      </w:r>
      <w:r w:rsidR="00343FA0" w:rsidRPr="00DC6F35">
        <w:rPr>
          <w:rStyle w:val="FootnoteReference"/>
          <w:noProof/>
          <w:sz w:val="24"/>
          <w:szCs w:val="24"/>
        </w:rPr>
        <w:footnoteReference w:id="105"/>
      </w:r>
      <w:r w:rsidR="00553E7B" w:rsidRPr="00DC6F35">
        <w:rPr>
          <w:noProof/>
          <w:sz w:val="24"/>
          <w:szCs w:val="24"/>
        </w:rPr>
        <w:t xml:space="preserve"> </w:t>
      </w:r>
      <w:r w:rsidR="00343FA0" w:rsidRPr="00DC6F35">
        <w:rPr>
          <w:noProof/>
          <w:sz w:val="24"/>
          <w:szCs w:val="24"/>
        </w:rPr>
        <w:t xml:space="preserve">requires online marketplaces that intermediate sales between </w:t>
      </w:r>
      <w:r w:rsidR="00CE6590" w:rsidRPr="00DC6F35">
        <w:rPr>
          <w:noProof/>
          <w:sz w:val="24"/>
          <w:szCs w:val="24"/>
        </w:rPr>
        <w:t>sellers</w:t>
      </w:r>
      <w:r w:rsidR="00343FA0" w:rsidRPr="00DC6F35">
        <w:rPr>
          <w:noProof/>
          <w:sz w:val="24"/>
          <w:szCs w:val="24"/>
        </w:rPr>
        <w:t xml:space="preserve"> and consumers to </w:t>
      </w:r>
      <w:r w:rsidR="00CE6590" w:rsidRPr="00DC6F35">
        <w:rPr>
          <w:noProof/>
          <w:sz w:val="24"/>
          <w:szCs w:val="24"/>
        </w:rPr>
        <w:t xml:space="preserve">collect information on sellers </w:t>
      </w:r>
      <w:r w:rsidR="00343FA0" w:rsidRPr="00DC6F35">
        <w:rPr>
          <w:noProof/>
          <w:sz w:val="24"/>
          <w:szCs w:val="24"/>
        </w:rPr>
        <w:t xml:space="preserve">using their marketplace and suspend services to the </w:t>
      </w:r>
      <w:r w:rsidR="00CE6590" w:rsidRPr="00DC6F35">
        <w:rPr>
          <w:noProof/>
          <w:sz w:val="24"/>
          <w:szCs w:val="24"/>
        </w:rPr>
        <w:t xml:space="preserve">seller </w:t>
      </w:r>
      <w:r w:rsidR="00343FA0" w:rsidRPr="00DC6F35">
        <w:rPr>
          <w:noProof/>
          <w:sz w:val="24"/>
          <w:szCs w:val="24"/>
        </w:rPr>
        <w:t xml:space="preserve">if they fail to disclose requested information. </w:t>
      </w:r>
      <w:r w:rsidR="004455A4" w:rsidRPr="00DC6F35">
        <w:rPr>
          <w:noProof/>
          <w:sz w:val="24"/>
          <w:szCs w:val="24"/>
        </w:rPr>
        <w:t>The already in force</w:t>
      </w:r>
      <w:r w:rsidR="00553E7B" w:rsidRPr="00DC6F35">
        <w:rPr>
          <w:noProof/>
          <w:sz w:val="24"/>
          <w:szCs w:val="24"/>
        </w:rPr>
        <w:t xml:space="preserve"> Market Surveillance Regulation</w:t>
      </w:r>
      <w:r w:rsidR="001E7EAE" w:rsidRPr="00DC6F35">
        <w:rPr>
          <w:rStyle w:val="FootnoteReference"/>
          <w:noProof/>
          <w:sz w:val="24"/>
          <w:szCs w:val="24"/>
        </w:rPr>
        <w:footnoteReference w:id="106"/>
      </w:r>
      <w:r w:rsidR="00553E7B" w:rsidRPr="00DC6F35">
        <w:rPr>
          <w:noProof/>
          <w:sz w:val="24"/>
          <w:szCs w:val="24"/>
        </w:rPr>
        <w:t xml:space="preserve"> requires </w:t>
      </w:r>
      <w:r w:rsidR="002007F2" w:rsidRPr="00DC6F35">
        <w:rPr>
          <w:noProof/>
          <w:sz w:val="24"/>
          <w:szCs w:val="24"/>
        </w:rPr>
        <w:t xml:space="preserve">an </w:t>
      </w:r>
      <w:r w:rsidR="00551CB7">
        <w:rPr>
          <w:noProof/>
          <w:sz w:val="24"/>
          <w:szCs w:val="24"/>
        </w:rPr>
        <w:t>responsible person</w:t>
      </w:r>
      <w:r w:rsidR="002007F2" w:rsidRPr="00DC6F35">
        <w:rPr>
          <w:noProof/>
          <w:sz w:val="24"/>
          <w:szCs w:val="24"/>
        </w:rPr>
        <w:t xml:space="preserve"> (</w:t>
      </w:r>
      <w:r w:rsidR="00553E7B" w:rsidRPr="00DC6F35">
        <w:rPr>
          <w:noProof/>
          <w:sz w:val="24"/>
          <w:szCs w:val="24"/>
        </w:rPr>
        <w:t xml:space="preserve">either </w:t>
      </w:r>
      <w:r w:rsidR="002007F2" w:rsidRPr="00DC6F35">
        <w:rPr>
          <w:noProof/>
          <w:sz w:val="24"/>
          <w:szCs w:val="24"/>
        </w:rPr>
        <w:t xml:space="preserve">a manufacturer, importer, </w:t>
      </w:r>
      <w:r w:rsidR="00553E7B" w:rsidRPr="00DC6F35">
        <w:rPr>
          <w:noProof/>
          <w:sz w:val="24"/>
          <w:szCs w:val="24"/>
        </w:rPr>
        <w:t>authorised representative or fulfilment service provider</w:t>
      </w:r>
      <w:r w:rsidR="002007F2" w:rsidRPr="00DC6F35">
        <w:rPr>
          <w:noProof/>
          <w:sz w:val="24"/>
          <w:szCs w:val="24"/>
        </w:rPr>
        <w:t>)</w:t>
      </w:r>
      <w:r w:rsidR="00553E7B" w:rsidRPr="00DC6F35">
        <w:rPr>
          <w:noProof/>
          <w:sz w:val="24"/>
          <w:szCs w:val="24"/>
        </w:rPr>
        <w:t xml:space="preserve"> to be </w:t>
      </w:r>
      <w:r w:rsidR="002007F2" w:rsidRPr="00DC6F35">
        <w:rPr>
          <w:noProof/>
          <w:sz w:val="24"/>
          <w:szCs w:val="24"/>
        </w:rPr>
        <w:t>established</w:t>
      </w:r>
      <w:r w:rsidR="00CE6590" w:rsidRPr="00DC6F35">
        <w:rPr>
          <w:noProof/>
          <w:sz w:val="24"/>
          <w:szCs w:val="24"/>
        </w:rPr>
        <w:t xml:space="preserve"> </w:t>
      </w:r>
      <w:r w:rsidR="00553E7B" w:rsidRPr="00DC6F35">
        <w:rPr>
          <w:noProof/>
          <w:sz w:val="24"/>
          <w:szCs w:val="24"/>
        </w:rPr>
        <w:t xml:space="preserve">in the EU in order for </w:t>
      </w:r>
      <w:r w:rsidR="00CE6590" w:rsidRPr="00DC6F35">
        <w:rPr>
          <w:noProof/>
          <w:sz w:val="24"/>
          <w:szCs w:val="24"/>
        </w:rPr>
        <w:t xml:space="preserve">certain </w:t>
      </w:r>
      <w:r w:rsidR="00553E7B" w:rsidRPr="00DC6F35">
        <w:rPr>
          <w:noProof/>
          <w:sz w:val="24"/>
          <w:szCs w:val="24"/>
        </w:rPr>
        <w:t>product</w:t>
      </w:r>
      <w:r w:rsidR="001E7EAE" w:rsidRPr="00DC6F35">
        <w:rPr>
          <w:noProof/>
          <w:sz w:val="24"/>
          <w:szCs w:val="24"/>
        </w:rPr>
        <w:t>s</w:t>
      </w:r>
      <w:r w:rsidR="00553E7B" w:rsidRPr="00DC6F35">
        <w:rPr>
          <w:noProof/>
          <w:sz w:val="24"/>
          <w:szCs w:val="24"/>
        </w:rPr>
        <w:t xml:space="preserve"> </w:t>
      </w:r>
      <w:r w:rsidR="0061121A" w:rsidRPr="00DC6F35">
        <w:rPr>
          <w:noProof/>
          <w:sz w:val="24"/>
          <w:szCs w:val="24"/>
        </w:rPr>
        <w:t xml:space="preserve">within its scope </w:t>
      </w:r>
      <w:r w:rsidR="00553E7B" w:rsidRPr="00DC6F35">
        <w:rPr>
          <w:noProof/>
          <w:sz w:val="24"/>
          <w:szCs w:val="24"/>
        </w:rPr>
        <w:t>to be placed on the market</w:t>
      </w:r>
      <w:r w:rsidR="004455A4" w:rsidRPr="00DC6F35">
        <w:rPr>
          <w:noProof/>
          <w:sz w:val="24"/>
          <w:szCs w:val="24"/>
        </w:rPr>
        <w:t>, and t</w:t>
      </w:r>
      <w:r w:rsidR="00553E7B" w:rsidRPr="00DC6F35">
        <w:rPr>
          <w:noProof/>
          <w:sz w:val="24"/>
          <w:szCs w:val="24"/>
        </w:rPr>
        <w:t xml:space="preserve">he </w:t>
      </w:r>
      <w:r w:rsidR="00502FC6" w:rsidRPr="00DC6F35">
        <w:rPr>
          <w:noProof/>
          <w:sz w:val="24"/>
          <w:szCs w:val="24"/>
        </w:rPr>
        <w:t xml:space="preserve">proposal for </w:t>
      </w:r>
      <w:r w:rsidR="00553E7B" w:rsidRPr="00DC6F35">
        <w:rPr>
          <w:noProof/>
          <w:sz w:val="24"/>
          <w:szCs w:val="24"/>
        </w:rPr>
        <w:t xml:space="preserve">General Product Safety Regulation </w:t>
      </w:r>
      <w:r w:rsidR="00B10834" w:rsidRPr="00DC6F35">
        <w:rPr>
          <w:noProof/>
          <w:sz w:val="24"/>
          <w:szCs w:val="24"/>
        </w:rPr>
        <w:t>proposes to</w:t>
      </w:r>
      <w:r w:rsidR="00553E7B" w:rsidRPr="00DC6F35">
        <w:rPr>
          <w:noProof/>
          <w:sz w:val="24"/>
          <w:szCs w:val="24"/>
        </w:rPr>
        <w:t xml:space="preserve"> extend this </w:t>
      </w:r>
      <w:r w:rsidR="00CE6590" w:rsidRPr="00DC6F35">
        <w:rPr>
          <w:noProof/>
          <w:sz w:val="24"/>
          <w:szCs w:val="24"/>
        </w:rPr>
        <w:t xml:space="preserve">requirement </w:t>
      </w:r>
      <w:r w:rsidR="00553E7B" w:rsidRPr="00DC6F35">
        <w:rPr>
          <w:noProof/>
          <w:sz w:val="24"/>
          <w:szCs w:val="24"/>
        </w:rPr>
        <w:t xml:space="preserve">to all products. </w:t>
      </w:r>
      <w:r w:rsidR="00176A8D" w:rsidRPr="00DC6F35">
        <w:rPr>
          <w:noProof/>
          <w:sz w:val="24"/>
          <w:szCs w:val="24"/>
        </w:rPr>
        <w:t xml:space="preserve">These measures can be expected to reduce the risk of dangerous products reaching the internal market. </w:t>
      </w:r>
      <w:r w:rsidR="00B10834" w:rsidRPr="00DC6F35">
        <w:rPr>
          <w:noProof/>
          <w:sz w:val="24"/>
          <w:szCs w:val="24"/>
        </w:rPr>
        <w:t>However,</w:t>
      </w:r>
      <w:r w:rsidR="00176A8D" w:rsidRPr="00DC6F35">
        <w:rPr>
          <w:noProof/>
          <w:sz w:val="24"/>
          <w:szCs w:val="24"/>
        </w:rPr>
        <w:t xml:space="preserve"> if harm does occur, compensation </w:t>
      </w:r>
      <w:r w:rsidR="00226F55" w:rsidRPr="00DC6F35">
        <w:rPr>
          <w:noProof/>
          <w:sz w:val="24"/>
          <w:szCs w:val="24"/>
        </w:rPr>
        <w:t>wou</w:t>
      </w:r>
      <w:r w:rsidR="00176A8D" w:rsidRPr="00DC6F35">
        <w:rPr>
          <w:noProof/>
          <w:sz w:val="24"/>
          <w:szCs w:val="24"/>
        </w:rPr>
        <w:t>l</w:t>
      </w:r>
      <w:r w:rsidR="00226F55" w:rsidRPr="00DC6F35">
        <w:rPr>
          <w:noProof/>
          <w:sz w:val="24"/>
          <w:szCs w:val="24"/>
        </w:rPr>
        <w:t>d</w:t>
      </w:r>
      <w:r w:rsidR="00176A8D" w:rsidRPr="00DC6F35">
        <w:rPr>
          <w:noProof/>
          <w:sz w:val="24"/>
          <w:szCs w:val="24"/>
        </w:rPr>
        <w:t xml:space="preserve"> not be available under the PLD as</w:t>
      </w:r>
      <w:r w:rsidR="00B10834" w:rsidRPr="00DC6F35">
        <w:rPr>
          <w:noProof/>
          <w:sz w:val="24"/>
          <w:szCs w:val="24"/>
        </w:rPr>
        <w:t xml:space="preserve"> </w:t>
      </w:r>
      <w:r w:rsidR="00960D1F" w:rsidRPr="00DC6F35">
        <w:rPr>
          <w:noProof/>
          <w:sz w:val="24"/>
          <w:szCs w:val="24"/>
        </w:rPr>
        <w:t xml:space="preserve">authorised </w:t>
      </w:r>
      <w:r w:rsidR="002E42BA" w:rsidRPr="00DC6F35">
        <w:rPr>
          <w:noProof/>
          <w:sz w:val="24"/>
          <w:szCs w:val="24"/>
        </w:rPr>
        <w:t>representatives and fulfilment service providers</w:t>
      </w:r>
      <w:r w:rsidR="00960D1F" w:rsidRPr="00DC6F35">
        <w:rPr>
          <w:noProof/>
          <w:sz w:val="24"/>
          <w:szCs w:val="24"/>
        </w:rPr>
        <w:t xml:space="preserve"> </w:t>
      </w:r>
      <w:r w:rsidR="00553E7B" w:rsidRPr="00DC6F35">
        <w:rPr>
          <w:noProof/>
          <w:sz w:val="24"/>
          <w:szCs w:val="24"/>
        </w:rPr>
        <w:t xml:space="preserve">are not </w:t>
      </w:r>
      <w:r w:rsidR="001E7EAE" w:rsidRPr="00DC6F35">
        <w:rPr>
          <w:noProof/>
          <w:sz w:val="24"/>
          <w:szCs w:val="24"/>
        </w:rPr>
        <w:t xml:space="preserve">among </w:t>
      </w:r>
      <w:r w:rsidR="00226F55" w:rsidRPr="00DC6F35">
        <w:rPr>
          <w:noProof/>
          <w:sz w:val="24"/>
          <w:szCs w:val="24"/>
        </w:rPr>
        <w:t xml:space="preserve">the </w:t>
      </w:r>
      <w:r w:rsidR="001E7EAE" w:rsidRPr="00DC6F35">
        <w:rPr>
          <w:noProof/>
          <w:sz w:val="24"/>
          <w:szCs w:val="24"/>
        </w:rPr>
        <w:t xml:space="preserve">liable persons </w:t>
      </w:r>
      <w:r w:rsidR="00D55EAB" w:rsidRPr="00DC6F35">
        <w:rPr>
          <w:noProof/>
          <w:sz w:val="24"/>
          <w:szCs w:val="24"/>
        </w:rPr>
        <w:t>covered by</w:t>
      </w:r>
      <w:r w:rsidR="00226F55" w:rsidRPr="00DC6F35">
        <w:rPr>
          <w:noProof/>
          <w:sz w:val="24"/>
          <w:szCs w:val="24"/>
        </w:rPr>
        <w:t xml:space="preserve"> </w:t>
      </w:r>
      <w:r w:rsidR="001E7EAE" w:rsidRPr="00DC6F35">
        <w:rPr>
          <w:noProof/>
          <w:sz w:val="24"/>
          <w:szCs w:val="24"/>
        </w:rPr>
        <w:t>the PLD.</w:t>
      </w:r>
      <w:r w:rsidR="00D55EAB" w:rsidRPr="00DC6F35">
        <w:rPr>
          <w:noProof/>
          <w:sz w:val="24"/>
          <w:szCs w:val="24"/>
        </w:rPr>
        <w:t xml:space="preserve"> </w:t>
      </w:r>
      <w:r w:rsidR="001408E0" w:rsidRPr="00DC6F35">
        <w:rPr>
          <w:noProof/>
          <w:sz w:val="24"/>
          <w:szCs w:val="24"/>
        </w:rPr>
        <w:t xml:space="preserve">Other means of compensation </w:t>
      </w:r>
      <w:r w:rsidR="003F693F">
        <w:rPr>
          <w:noProof/>
          <w:sz w:val="24"/>
          <w:szCs w:val="24"/>
        </w:rPr>
        <w:t>could</w:t>
      </w:r>
      <w:r w:rsidR="001408E0" w:rsidRPr="00DC6F35">
        <w:rPr>
          <w:noProof/>
          <w:sz w:val="24"/>
          <w:szCs w:val="24"/>
        </w:rPr>
        <w:t xml:space="preserve"> be available under national </w:t>
      </w:r>
      <w:r w:rsidR="003F693F">
        <w:rPr>
          <w:noProof/>
          <w:sz w:val="24"/>
          <w:szCs w:val="24"/>
        </w:rPr>
        <w:t>liability rules, but only on grounds of fault or negligence</w:t>
      </w:r>
      <w:r w:rsidR="001408E0" w:rsidRPr="00DC6F35">
        <w:rPr>
          <w:noProof/>
          <w:sz w:val="24"/>
          <w:szCs w:val="24"/>
        </w:rPr>
        <w:t>.</w:t>
      </w:r>
      <w:r w:rsidR="00B12416">
        <w:rPr>
          <w:noProof/>
          <w:sz w:val="24"/>
          <w:szCs w:val="24"/>
        </w:rPr>
        <w:t xml:space="preserve"> </w:t>
      </w:r>
    </w:p>
    <w:p w14:paraId="043BE088" w14:textId="32F04FB5" w:rsidR="00781277" w:rsidRPr="00DC6F35" w:rsidRDefault="004E2BE3" w:rsidP="00DC6F35">
      <w:pPr>
        <w:spacing w:after="240" w:line="240" w:lineRule="auto"/>
        <w:jc w:val="both"/>
        <w:rPr>
          <w:noProof/>
          <w:sz w:val="24"/>
          <w:szCs w:val="24"/>
        </w:rPr>
      </w:pPr>
      <w:r>
        <w:rPr>
          <w:noProof/>
          <w:sz w:val="24"/>
          <w:szCs w:val="24"/>
        </w:rPr>
        <w:t xml:space="preserve">See Annex </w:t>
      </w:r>
      <w:r w:rsidR="00F23D15">
        <w:rPr>
          <w:noProof/>
          <w:sz w:val="24"/>
          <w:szCs w:val="24"/>
        </w:rPr>
        <w:t>5</w:t>
      </w:r>
      <w:r>
        <w:rPr>
          <w:noProof/>
          <w:sz w:val="24"/>
          <w:szCs w:val="24"/>
        </w:rPr>
        <w:t xml:space="preserve"> for details of clarifications needed on the role of online marketplaces.</w:t>
      </w:r>
      <w:r w:rsidR="00CE6590" w:rsidRPr="00DC6F35">
        <w:rPr>
          <w:noProof/>
          <w:sz w:val="24"/>
          <w:szCs w:val="24"/>
        </w:rPr>
        <w:t xml:space="preserve"> </w:t>
      </w:r>
    </w:p>
    <w:p w14:paraId="4E86CB1B" w14:textId="499B7196" w:rsidR="00DE4810" w:rsidRDefault="002E7937" w:rsidP="002E7937">
      <w:pPr>
        <w:pStyle w:val="Heading3"/>
        <w:rPr>
          <w:noProof/>
        </w:rPr>
      </w:pPr>
      <w:bookmarkStart w:id="190" w:name="_Toc93401432"/>
      <w:bookmarkStart w:id="191" w:name="_Toc94005527"/>
      <w:bookmarkStart w:id="192" w:name="_Toc95379855"/>
      <w:bookmarkStart w:id="193" w:name="_Toc95391347"/>
      <w:bookmarkStart w:id="194" w:name="_Toc95396416"/>
      <w:bookmarkStart w:id="195" w:name="_Toc95421514"/>
      <w:bookmarkStart w:id="196" w:name="_Toc95481963"/>
      <w:bookmarkStart w:id="197" w:name="_Toc96337756"/>
      <w:bookmarkStart w:id="198" w:name="_Toc96446235"/>
      <w:bookmarkStart w:id="199" w:name="_Toc96448008"/>
      <w:bookmarkStart w:id="200" w:name="_Toc96593957"/>
      <w:bookmarkStart w:id="201" w:name="_Toc96597248"/>
      <w:bookmarkStart w:id="202" w:name="_Toc96609183"/>
      <w:bookmarkStart w:id="203" w:name="_Toc97149212"/>
      <w:bookmarkStart w:id="204" w:name="_Toc97191258"/>
      <w:bookmarkStart w:id="205" w:name="_Toc107430068"/>
      <w:r w:rsidRPr="002E7937">
        <w:t>2.2.2.</w:t>
      </w:r>
      <w:r w:rsidRPr="002E7937">
        <w:tab/>
      </w:r>
      <w:r w:rsidR="00DE4810">
        <w:rPr>
          <w:noProof/>
        </w:rPr>
        <w:t xml:space="preserve">Problem 2: </w:t>
      </w:r>
      <w:r w:rsidR="00DE4810" w:rsidRPr="003F01BB">
        <w:rPr>
          <w:noProof/>
        </w:rPr>
        <w:t>Consumers face obstacles to getting compensation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26D6C6F" w14:textId="640E01BB" w:rsidR="00AD2454" w:rsidRDefault="00AD2454" w:rsidP="00DD3B24">
      <w:pPr>
        <w:pStyle w:val="Heading4"/>
        <w:numPr>
          <w:ilvl w:val="3"/>
          <w:numId w:val="30"/>
        </w:numPr>
        <w:ind w:left="720" w:hanging="720"/>
        <w:rPr>
          <w:noProof/>
        </w:rPr>
      </w:pPr>
      <w:r w:rsidRPr="00AD2454">
        <w:rPr>
          <w:noProof/>
        </w:rPr>
        <w:t>Proving defectiveness and causal link with damage is very difficult and costly for complex products</w:t>
      </w:r>
    </w:p>
    <w:p w14:paraId="3F027D22" w14:textId="7AE426E2" w:rsidR="00707642" w:rsidRPr="00C239F1" w:rsidRDefault="00F0152D" w:rsidP="00C239F1">
      <w:pPr>
        <w:spacing w:after="240" w:line="240" w:lineRule="auto"/>
        <w:jc w:val="both"/>
        <w:rPr>
          <w:noProof/>
          <w:sz w:val="24"/>
          <w:szCs w:val="24"/>
        </w:rPr>
      </w:pPr>
      <w:r w:rsidRPr="00C239F1">
        <w:rPr>
          <w:noProof/>
          <w:sz w:val="24"/>
          <w:szCs w:val="24"/>
        </w:rPr>
        <w:t xml:space="preserve">The most significant condition for an injured person to get compensation under the PLD is proving that the product was defective and that this defectiveness caused the damage suffered. </w:t>
      </w:r>
      <w:r w:rsidR="005F7A6B">
        <w:rPr>
          <w:noProof/>
          <w:sz w:val="24"/>
          <w:szCs w:val="24"/>
        </w:rPr>
        <w:t>F</w:t>
      </w:r>
      <w:r w:rsidRPr="00C239F1">
        <w:rPr>
          <w:noProof/>
          <w:sz w:val="24"/>
          <w:szCs w:val="24"/>
        </w:rPr>
        <w:t xml:space="preserve">ailure to discharge this burden </w:t>
      </w:r>
      <w:r w:rsidR="005F7A6B">
        <w:rPr>
          <w:noProof/>
          <w:sz w:val="24"/>
          <w:szCs w:val="24"/>
        </w:rPr>
        <w:t xml:space="preserve">of proof </w:t>
      </w:r>
      <w:r w:rsidRPr="00C239F1">
        <w:rPr>
          <w:noProof/>
          <w:sz w:val="24"/>
          <w:szCs w:val="24"/>
        </w:rPr>
        <w:t>is the most frequent reason for a claim to be rejected (accounting for 53% of total rejections)</w:t>
      </w:r>
      <w:r w:rsidRPr="00C239F1">
        <w:rPr>
          <w:noProof/>
          <w:sz w:val="24"/>
          <w:szCs w:val="24"/>
          <w:vertAlign w:val="superscript"/>
        </w:rPr>
        <w:footnoteReference w:id="107"/>
      </w:r>
      <w:r w:rsidR="005F7A6B">
        <w:rPr>
          <w:noProof/>
          <w:sz w:val="24"/>
          <w:szCs w:val="24"/>
        </w:rPr>
        <w:t>.</w:t>
      </w:r>
      <w:r w:rsidR="00E72EBE" w:rsidRPr="00C239F1">
        <w:rPr>
          <w:noProof/>
          <w:sz w:val="24"/>
          <w:szCs w:val="24"/>
        </w:rPr>
        <w:t xml:space="preserve"> </w:t>
      </w:r>
    </w:p>
    <w:p w14:paraId="528B5456" w14:textId="1DBF66E3" w:rsidR="00E72EBE" w:rsidRPr="00C239F1" w:rsidRDefault="00121A65" w:rsidP="00C239F1">
      <w:pPr>
        <w:spacing w:after="240" w:line="240" w:lineRule="auto"/>
        <w:jc w:val="both"/>
        <w:rPr>
          <w:noProof/>
          <w:sz w:val="24"/>
          <w:szCs w:val="18"/>
        </w:rPr>
      </w:pPr>
      <w:r w:rsidRPr="00C239F1">
        <w:rPr>
          <w:noProof/>
          <w:sz w:val="24"/>
          <w:szCs w:val="18"/>
        </w:rPr>
        <w:t xml:space="preserve">There is by and large consensus among stakeholders that the more complex a product is, the greater </w:t>
      </w:r>
      <w:r w:rsidR="00E72EBE" w:rsidRPr="00C239F1">
        <w:rPr>
          <w:noProof/>
          <w:sz w:val="24"/>
          <w:szCs w:val="18"/>
        </w:rPr>
        <w:t>the asymmetry of information between the producer and consumer</w:t>
      </w:r>
      <w:r w:rsidR="009F6466">
        <w:rPr>
          <w:noProof/>
          <w:sz w:val="24"/>
          <w:szCs w:val="18"/>
        </w:rPr>
        <w:t>. This can</w:t>
      </w:r>
      <w:r w:rsidR="00FB5445" w:rsidRPr="00C239F1">
        <w:rPr>
          <w:noProof/>
          <w:sz w:val="24"/>
          <w:szCs w:val="18"/>
        </w:rPr>
        <w:t xml:space="preserve"> make it harder for claimants to produce the evidence needed to prove the producer’s liability</w:t>
      </w:r>
      <w:r w:rsidR="009F6466">
        <w:rPr>
          <w:noProof/>
          <w:sz w:val="24"/>
          <w:szCs w:val="18"/>
        </w:rPr>
        <w:t>:</w:t>
      </w:r>
      <w:r w:rsidR="00E72EBE" w:rsidRPr="00C239F1">
        <w:rPr>
          <w:noProof/>
          <w:sz w:val="24"/>
          <w:szCs w:val="18"/>
        </w:rPr>
        <w:t xml:space="preserve"> </w:t>
      </w:r>
      <w:r w:rsidR="009F6466">
        <w:rPr>
          <w:noProof/>
          <w:sz w:val="24"/>
          <w:szCs w:val="18"/>
        </w:rPr>
        <w:t>w</w:t>
      </w:r>
      <w:r w:rsidR="009A47BC" w:rsidRPr="00C239F1">
        <w:rPr>
          <w:noProof/>
          <w:sz w:val="24"/>
          <w:szCs w:val="18"/>
        </w:rPr>
        <w:t xml:space="preserve">hereas proving a collapsed garden chair is defective might be straightforward, proving a pharmaceutical is defective </w:t>
      </w:r>
      <w:r w:rsidR="00491A8A">
        <w:rPr>
          <w:noProof/>
          <w:sz w:val="24"/>
          <w:szCs w:val="18"/>
        </w:rPr>
        <w:t xml:space="preserve">may </w:t>
      </w:r>
      <w:r w:rsidR="009A47BC" w:rsidRPr="00C239F1">
        <w:rPr>
          <w:noProof/>
          <w:sz w:val="24"/>
          <w:szCs w:val="18"/>
        </w:rPr>
        <w:t xml:space="preserve">require </w:t>
      </w:r>
      <w:r w:rsidR="00491A8A">
        <w:rPr>
          <w:noProof/>
          <w:sz w:val="24"/>
          <w:szCs w:val="18"/>
        </w:rPr>
        <w:t>considerable</w:t>
      </w:r>
      <w:r w:rsidR="006629FE" w:rsidRPr="00C239F1">
        <w:rPr>
          <w:noProof/>
          <w:sz w:val="24"/>
          <w:szCs w:val="18"/>
        </w:rPr>
        <w:t xml:space="preserve"> </w:t>
      </w:r>
      <w:r w:rsidR="009A47BC" w:rsidRPr="00C239F1">
        <w:rPr>
          <w:noProof/>
          <w:sz w:val="24"/>
          <w:szCs w:val="18"/>
        </w:rPr>
        <w:t>expertise, which the producer has</w:t>
      </w:r>
      <w:r w:rsidR="00CD3C88" w:rsidRPr="00C239F1">
        <w:rPr>
          <w:noProof/>
          <w:sz w:val="24"/>
          <w:szCs w:val="18"/>
        </w:rPr>
        <w:t xml:space="preserve"> at its disposal</w:t>
      </w:r>
      <w:r w:rsidR="009A47BC" w:rsidRPr="00C239F1">
        <w:rPr>
          <w:noProof/>
          <w:sz w:val="24"/>
          <w:szCs w:val="18"/>
        </w:rPr>
        <w:t xml:space="preserve"> but the claimant </w:t>
      </w:r>
      <w:r w:rsidR="00207401" w:rsidRPr="00C239F1">
        <w:rPr>
          <w:noProof/>
          <w:sz w:val="24"/>
          <w:szCs w:val="18"/>
        </w:rPr>
        <w:t>does not</w:t>
      </w:r>
      <w:r w:rsidR="009A47BC" w:rsidRPr="00C239F1">
        <w:rPr>
          <w:noProof/>
          <w:sz w:val="24"/>
          <w:szCs w:val="18"/>
        </w:rPr>
        <w:t>.</w:t>
      </w:r>
      <w:r w:rsidR="00C24050">
        <w:rPr>
          <w:noProof/>
          <w:sz w:val="24"/>
          <w:szCs w:val="18"/>
        </w:rPr>
        <w:t xml:space="preserve"> </w:t>
      </w:r>
      <w:r w:rsidR="009F6466">
        <w:rPr>
          <w:noProof/>
          <w:sz w:val="24"/>
          <w:szCs w:val="18"/>
        </w:rPr>
        <w:t>Stakeholders disagree on the extent of the problem</w:t>
      </w:r>
      <w:r w:rsidR="006D0C52">
        <w:rPr>
          <w:noProof/>
          <w:sz w:val="24"/>
          <w:szCs w:val="18"/>
        </w:rPr>
        <w:t xml:space="preserve">: </w:t>
      </w:r>
      <w:r w:rsidR="00563F8B" w:rsidRPr="00EF188F">
        <w:rPr>
          <w:noProof/>
          <w:sz w:val="24"/>
          <w:szCs w:val="18"/>
        </w:rPr>
        <w:t>9</w:t>
      </w:r>
      <w:r w:rsidR="00563F8B">
        <w:rPr>
          <w:noProof/>
          <w:sz w:val="24"/>
          <w:szCs w:val="18"/>
        </w:rPr>
        <w:t>8</w:t>
      </w:r>
      <w:r w:rsidR="006D0C52" w:rsidRPr="007B1DCD">
        <w:rPr>
          <w:noProof/>
          <w:sz w:val="24"/>
          <w:szCs w:val="18"/>
        </w:rPr>
        <w:t>% of consumer and NGO respondents and members of the public</w:t>
      </w:r>
      <w:r w:rsidR="009F6466" w:rsidRPr="007B1DCD">
        <w:rPr>
          <w:noProof/>
          <w:sz w:val="24"/>
          <w:szCs w:val="18"/>
        </w:rPr>
        <w:t xml:space="preserve"> consider that technically complex products present, to a large or very large extent, difficulties for proving liability, whereas as</w:t>
      </w:r>
      <w:r w:rsidR="006D0C52" w:rsidRPr="007B1DCD">
        <w:rPr>
          <w:noProof/>
          <w:sz w:val="24"/>
          <w:szCs w:val="18"/>
        </w:rPr>
        <w:t xml:space="preserve"> </w:t>
      </w:r>
      <w:r w:rsidR="009F6466" w:rsidRPr="007B1DCD">
        <w:rPr>
          <w:noProof/>
          <w:sz w:val="24"/>
          <w:szCs w:val="18"/>
        </w:rPr>
        <w:t xml:space="preserve">only </w:t>
      </w:r>
      <w:r w:rsidR="00401222" w:rsidRPr="0076592C">
        <w:rPr>
          <w:noProof/>
          <w:sz w:val="24"/>
          <w:szCs w:val="18"/>
        </w:rPr>
        <w:t>45</w:t>
      </w:r>
      <w:r w:rsidR="006D0C52" w:rsidRPr="007B1DCD">
        <w:rPr>
          <w:noProof/>
          <w:sz w:val="24"/>
          <w:szCs w:val="18"/>
        </w:rPr>
        <w:t>% of business respondents</w:t>
      </w:r>
      <w:r w:rsidR="009F6466" w:rsidRPr="007B1DCD">
        <w:rPr>
          <w:noProof/>
          <w:sz w:val="24"/>
          <w:szCs w:val="18"/>
        </w:rPr>
        <w:t xml:space="preserve"> do</w:t>
      </w:r>
      <w:r w:rsidR="00527215" w:rsidRPr="00EF188F">
        <w:rPr>
          <w:rStyle w:val="FootnoteReference"/>
          <w:noProof/>
          <w:sz w:val="24"/>
          <w:szCs w:val="18"/>
        </w:rPr>
        <w:footnoteReference w:id="108"/>
      </w:r>
      <w:r w:rsidR="009F6466" w:rsidRPr="007B1DCD">
        <w:rPr>
          <w:noProof/>
          <w:sz w:val="24"/>
          <w:szCs w:val="18"/>
        </w:rPr>
        <w:t>.</w:t>
      </w:r>
    </w:p>
    <w:p w14:paraId="7E8D961E" w14:textId="5F3CDEDF" w:rsidR="00680317" w:rsidRPr="00C239F1" w:rsidRDefault="00680317" w:rsidP="00C239F1">
      <w:pPr>
        <w:spacing w:after="240" w:line="240" w:lineRule="auto"/>
        <w:jc w:val="both"/>
        <w:rPr>
          <w:noProof/>
          <w:sz w:val="24"/>
          <w:szCs w:val="18"/>
        </w:rPr>
      </w:pPr>
      <w:r w:rsidRPr="00C239F1">
        <w:rPr>
          <w:noProof/>
          <w:sz w:val="24"/>
          <w:szCs w:val="18"/>
          <w:u w:val="single"/>
        </w:rPr>
        <w:t>Difficulties getting information</w:t>
      </w:r>
      <w:r w:rsidRPr="00C239F1">
        <w:rPr>
          <w:noProof/>
          <w:sz w:val="24"/>
          <w:szCs w:val="18"/>
        </w:rPr>
        <w:t xml:space="preserve">. </w:t>
      </w:r>
      <w:r w:rsidR="00C03BDA">
        <w:rPr>
          <w:noProof/>
          <w:sz w:val="24"/>
          <w:szCs w:val="18"/>
        </w:rPr>
        <w:t>C</w:t>
      </w:r>
      <w:r w:rsidR="006629FE" w:rsidRPr="00C239F1">
        <w:rPr>
          <w:noProof/>
          <w:sz w:val="24"/>
          <w:szCs w:val="18"/>
        </w:rPr>
        <w:t xml:space="preserve">laimants </w:t>
      </w:r>
      <w:r w:rsidR="00C03BDA">
        <w:rPr>
          <w:noProof/>
          <w:sz w:val="24"/>
          <w:szCs w:val="18"/>
        </w:rPr>
        <w:t>have</w:t>
      </w:r>
      <w:r w:rsidR="006629FE" w:rsidRPr="00C239F1">
        <w:rPr>
          <w:noProof/>
          <w:sz w:val="24"/>
          <w:szCs w:val="18"/>
        </w:rPr>
        <w:t xml:space="preserve"> no right </w:t>
      </w:r>
      <w:r w:rsidR="00C03BDA">
        <w:rPr>
          <w:noProof/>
          <w:sz w:val="24"/>
          <w:szCs w:val="18"/>
        </w:rPr>
        <w:t xml:space="preserve">under the PLD </w:t>
      </w:r>
      <w:r w:rsidR="006629FE" w:rsidRPr="00C239F1">
        <w:rPr>
          <w:noProof/>
          <w:sz w:val="24"/>
          <w:szCs w:val="18"/>
        </w:rPr>
        <w:t>to get technical information from producers in court</w:t>
      </w:r>
      <w:r w:rsidR="006629FE" w:rsidRPr="00C239F1">
        <w:rPr>
          <w:rStyle w:val="FootnoteReference"/>
          <w:noProof/>
          <w:sz w:val="24"/>
          <w:szCs w:val="18"/>
        </w:rPr>
        <w:footnoteReference w:id="109"/>
      </w:r>
      <w:r w:rsidR="00207401" w:rsidRPr="00C239F1">
        <w:rPr>
          <w:noProof/>
          <w:sz w:val="24"/>
          <w:szCs w:val="18"/>
        </w:rPr>
        <w:t>.</w:t>
      </w:r>
      <w:r w:rsidR="006629FE" w:rsidRPr="00C239F1">
        <w:rPr>
          <w:noProof/>
          <w:sz w:val="24"/>
          <w:szCs w:val="18"/>
        </w:rPr>
        <w:t xml:space="preserve"> </w:t>
      </w:r>
      <w:r w:rsidR="00207401" w:rsidRPr="00C239F1">
        <w:rPr>
          <w:noProof/>
          <w:sz w:val="24"/>
          <w:szCs w:val="18"/>
        </w:rPr>
        <w:t xml:space="preserve">However, </w:t>
      </w:r>
      <w:r w:rsidR="00C03BDA">
        <w:rPr>
          <w:noProof/>
          <w:sz w:val="24"/>
          <w:szCs w:val="18"/>
        </w:rPr>
        <w:t>the ECJ has noted that</w:t>
      </w:r>
      <w:r w:rsidR="00C03BDA" w:rsidRPr="00C03BDA">
        <w:rPr>
          <w:noProof/>
          <w:sz w:val="24"/>
          <w:szCs w:val="18"/>
        </w:rPr>
        <w:t xml:space="preserve"> </w:t>
      </w:r>
      <w:r w:rsidR="00C03BDA">
        <w:rPr>
          <w:noProof/>
          <w:sz w:val="24"/>
          <w:szCs w:val="18"/>
        </w:rPr>
        <w:t xml:space="preserve">access to information </w:t>
      </w:r>
      <w:r w:rsidR="00C03BDA" w:rsidRPr="00C239F1">
        <w:rPr>
          <w:noProof/>
          <w:sz w:val="24"/>
          <w:szCs w:val="18"/>
        </w:rPr>
        <w:t>makes it easier for a claimant to produce the necessary evidence to prove the producer’s liability</w:t>
      </w:r>
      <w:r w:rsidR="00C03BDA">
        <w:rPr>
          <w:noProof/>
          <w:sz w:val="24"/>
          <w:szCs w:val="18"/>
        </w:rPr>
        <w:t>, and has</w:t>
      </w:r>
      <w:r w:rsidR="00207401" w:rsidRPr="00C239F1">
        <w:rPr>
          <w:noProof/>
          <w:sz w:val="24"/>
          <w:szCs w:val="18"/>
        </w:rPr>
        <w:t xml:space="preserve"> endorsed national rules that give claimants this right</w:t>
      </w:r>
      <w:r w:rsidR="00CD3ED2">
        <w:rPr>
          <w:noProof/>
          <w:sz w:val="24"/>
          <w:szCs w:val="18"/>
        </w:rPr>
        <w:t>.</w:t>
      </w:r>
      <w:r w:rsidR="006D2730" w:rsidRPr="00C239F1">
        <w:rPr>
          <w:noProof/>
          <w:sz w:val="24"/>
          <w:szCs w:val="18"/>
        </w:rPr>
        <w:t xml:space="preserve"> </w:t>
      </w:r>
      <w:r w:rsidR="00E1077E" w:rsidRPr="00C239F1">
        <w:rPr>
          <w:noProof/>
          <w:sz w:val="24"/>
          <w:szCs w:val="18"/>
        </w:rPr>
        <w:t xml:space="preserve">Based on data from 24 Member States, the support study for this impact assessment found that all but one </w:t>
      </w:r>
      <w:r w:rsidR="0005789D" w:rsidRPr="00C239F1">
        <w:rPr>
          <w:noProof/>
          <w:sz w:val="24"/>
          <w:szCs w:val="18"/>
        </w:rPr>
        <w:t xml:space="preserve">(CZ) </w:t>
      </w:r>
      <w:r w:rsidR="00E1077E" w:rsidRPr="00C239F1">
        <w:rPr>
          <w:noProof/>
          <w:sz w:val="24"/>
          <w:szCs w:val="18"/>
        </w:rPr>
        <w:t>had some rules in place for disclosure of documents in court. The rules vary, however, in terms of what can be requested: in SE any document can be requested, whereas in DE, EL, IT, NL and P</w:t>
      </w:r>
      <w:r w:rsidR="00491530" w:rsidRPr="00C239F1">
        <w:rPr>
          <w:noProof/>
          <w:sz w:val="24"/>
          <w:szCs w:val="18"/>
        </w:rPr>
        <w:t>L</w:t>
      </w:r>
      <w:r w:rsidR="00E1077E" w:rsidRPr="00C239F1">
        <w:rPr>
          <w:noProof/>
          <w:sz w:val="24"/>
          <w:szCs w:val="18"/>
        </w:rPr>
        <w:t xml:space="preserve"> the specific document has to be named; failure to disclose information can result in a penalty in FR and PL, whereas in DE </w:t>
      </w:r>
      <w:r w:rsidR="00187712" w:rsidRPr="00C239F1">
        <w:rPr>
          <w:noProof/>
          <w:sz w:val="24"/>
          <w:szCs w:val="18"/>
        </w:rPr>
        <w:t>the element the claimant was seeking to prove can be presumed by the court</w:t>
      </w:r>
      <w:r w:rsidR="00E1077E" w:rsidRPr="00C239F1">
        <w:rPr>
          <w:noProof/>
          <w:sz w:val="24"/>
          <w:szCs w:val="18"/>
        </w:rPr>
        <w:t>.</w:t>
      </w:r>
      <w:r w:rsidR="00187712" w:rsidRPr="00C239F1">
        <w:rPr>
          <w:noProof/>
          <w:sz w:val="24"/>
          <w:szCs w:val="18"/>
        </w:rPr>
        <w:t xml:space="preserve"> The level of consumer protection in terms of information rights is therefore divergent across the EU</w:t>
      </w:r>
      <w:r w:rsidR="00C66AF7" w:rsidRPr="00C239F1">
        <w:rPr>
          <w:rStyle w:val="FootnoteReference"/>
          <w:noProof/>
          <w:sz w:val="24"/>
          <w:szCs w:val="18"/>
        </w:rPr>
        <w:footnoteReference w:id="110"/>
      </w:r>
      <w:r w:rsidR="00187712" w:rsidRPr="00C239F1">
        <w:rPr>
          <w:noProof/>
          <w:sz w:val="24"/>
          <w:szCs w:val="18"/>
        </w:rPr>
        <w:t>.</w:t>
      </w:r>
    </w:p>
    <w:p w14:paraId="43FCB647" w14:textId="387BE0DB" w:rsidR="00C03BDA" w:rsidRDefault="00680317" w:rsidP="00C239F1">
      <w:pPr>
        <w:spacing w:after="240" w:line="240" w:lineRule="auto"/>
        <w:jc w:val="both"/>
        <w:rPr>
          <w:noProof/>
          <w:sz w:val="24"/>
          <w:szCs w:val="18"/>
        </w:rPr>
      </w:pPr>
      <w:r w:rsidRPr="00C239F1">
        <w:rPr>
          <w:noProof/>
          <w:sz w:val="24"/>
          <w:szCs w:val="18"/>
          <w:u w:val="single"/>
        </w:rPr>
        <w:t xml:space="preserve">Difficulties </w:t>
      </w:r>
      <w:r w:rsidR="00B62D8E" w:rsidRPr="00C239F1">
        <w:rPr>
          <w:noProof/>
          <w:sz w:val="24"/>
          <w:szCs w:val="18"/>
          <w:u w:val="single"/>
        </w:rPr>
        <w:t>proving liability</w:t>
      </w:r>
      <w:r w:rsidRPr="00C239F1">
        <w:rPr>
          <w:noProof/>
          <w:sz w:val="24"/>
          <w:szCs w:val="18"/>
        </w:rPr>
        <w:t>.</w:t>
      </w:r>
      <w:r w:rsidR="007C0884" w:rsidRPr="00C239F1">
        <w:rPr>
          <w:noProof/>
          <w:sz w:val="24"/>
          <w:szCs w:val="18"/>
        </w:rPr>
        <w:t xml:space="preserve"> Even if a claimant gets the information</w:t>
      </w:r>
      <w:r w:rsidR="002E4D60" w:rsidRPr="00C239F1">
        <w:rPr>
          <w:noProof/>
          <w:sz w:val="24"/>
          <w:szCs w:val="18"/>
        </w:rPr>
        <w:t>, proving liability can still be difficult. This is demonstrated by the fact that national courts make use of various mechanisms to make it easier for claimants to come up with the proof</w:t>
      </w:r>
      <w:r w:rsidR="00D90F3C" w:rsidRPr="00C239F1">
        <w:rPr>
          <w:noProof/>
          <w:sz w:val="24"/>
          <w:szCs w:val="18"/>
        </w:rPr>
        <w:t>. National courts have</w:t>
      </w:r>
      <w:r w:rsidR="00805DDC" w:rsidRPr="00C239F1">
        <w:rPr>
          <w:noProof/>
          <w:sz w:val="24"/>
          <w:szCs w:val="18"/>
        </w:rPr>
        <w:t>, for example,</w:t>
      </w:r>
      <w:r w:rsidR="00D90F3C" w:rsidRPr="00C239F1">
        <w:rPr>
          <w:noProof/>
          <w:sz w:val="24"/>
          <w:szCs w:val="18"/>
        </w:rPr>
        <w:t xml:space="preserve"> held that products that do</w:t>
      </w:r>
      <w:r w:rsidR="002E4D60" w:rsidRPr="00C239F1">
        <w:rPr>
          <w:noProof/>
          <w:sz w:val="24"/>
          <w:szCs w:val="18"/>
        </w:rPr>
        <w:t xml:space="preserve"> not comply with safety requirements </w:t>
      </w:r>
      <w:r w:rsidR="00D90F3C" w:rsidRPr="00C239F1">
        <w:rPr>
          <w:noProof/>
          <w:sz w:val="24"/>
          <w:szCs w:val="18"/>
        </w:rPr>
        <w:t>can be presumed to be</w:t>
      </w:r>
      <w:r w:rsidR="002E4D60" w:rsidRPr="00C239F1">
        <w:rPr>
          <w:noProof/>
          <w:sz w:val="24"/>
          <w:szCs w:val="18"/>
        </w:rPr>
        <w:t xml:space="preserve"> defective</w:t>
      </w:r>
      <w:r w:rsidR="002E4D60" w:rsidRPr="00C239F1">
        <w:rPr>
          <w:noProof/>
          <w:sz w:val="24"/>
          <w:szCs w:val="18"/>
          <w:vertAlign w:val="superscript"/>
        </w:rPr>
        <w:footnoteReference w:id="111"/>
      </w:r>
      <w:r w:rsidR="00805DDC" w:rsidRPr="00C239F1">
        <w:rPr>
          <w:noProof/>
          <w:sz w:val="24"/>
          <w:szCs w:val="18"/>
        </w:rPr>
        <w:t>, and</w:t>
      </w:r>
      <w:r w:rsidR="00D90F3C" w:rsidRPr="00C239F1">
        <w:rPr>
          <w:noProof/>
          <w:sz w:val="24"/>
          <w:szCs w:val="18"/>
        </w:rPr>
        <w:t xml:space="preserve"> </w:t>
      </w:r>
      <w:r w:rsidR="00217F7D" w:rsidRPr="00C239F1">
        <w:rPr>
          <w:noProof/>
          <w:sz w:val="24"/>
          <w:szCs w:val="18"/>
        </w:rPr>
        <w:t xml:space="preserve">claimants do not need to show </w:t>
      </w:r>
      <w:r w:rsidR="00217F7D" w:rsidRPr="00C239F1">
        <w:rPr>
          <w:i/>
          <w:noProof/>
          <w:sz w:val="24"/>
          <w:szCs w:val="18"/>
        </w:rPr>
        <w:t>how</w:t>
      </w:r>
      <w:r w:rsidR="00217F7D" w:rsidRPr="00C239F1">
        <w:rPr>
          <w:noProof/>
          <w:sz w:val="24"/>
          <w:szCs w:val="18"/>
        </w:rPr>
        <w:t xml:space="preserve"> a defect was caused or what specific defect led to the lack of safety</w:t>
      </w:r>
      <w:r w:rsidR="00217F7D" w:rsidRPr="00C239F1">
        <w:rPr>
          <w:rStyle w:val="FootnoteReference"/>
          <w:noProof/>
          <w:sz w:val="24"/>
          <w:szCs w:val="18"/>
        </w:rPr>
        <w:footnoteReference w:id="112"/>
      </w:r>
      <w:r w:rsidR="00217F7D" w:rsidRPr="00C239F1">
        <w:rPr>
          <w:noProof/>
          <w:sz w:val="24"/>
          <w:szCs w:val="18"/>
        </w:rPr>
        <w:t>.</w:t>
      </w:r>
      <w:r w:rsidR="002E4D60" w:rsidRPr="00C239F1">
        <w:rPr>
          <w:noProof/>
          <w:sz w:val="24"/>
          <w:szCs w:val="18"/>
        </w:rPr>
        <w:t xml:space="preserve"> </w:t>
      </w:r>
      <w:r w:rsidR="00FA09C3" w:rsidRPr="00C239F1">
        <w:rPr>
          <w:noProof/>
          <w:sz w:val="24"/>
          <w:szCs w:val="18"/>
        </w:rPr>
        <w:t>National courts have referred questions on how to apply the PLD’s burden-of-proof rules three times in the last 10 years</w:t>
      </w:r>
      <w:r w:rsidR="00FA09C3" w:rsidRPr="00C239F1">
        <w:rPr>
          <w:rStyle w:val="FootnoteReference"/>
          <w:noProof/>
          <w:sz w:val="24"/>
          <w:szCs w:val="18"/>
        </w:rPr>
        <w:footnoteReference w:id="113"/>
      </w:r>
      <w:r w:rsidR="00FA09C3" w:rsidRPr="00C239F1">
        <w:rPr>
          <w:noProof/>
          <w:sz w:val="24"/>
          <w:szCs w:val="18"/>
        </w:rPr>
        <w:t>. In response, t</w:t>
      </w:r>
      <w:r w:rsidR="00217F7D" w:rsidRPr="00C239F1">
        <w:rPr>
          <w:noProof/>
          <w:sz w:val="24"/>
          <w:szCs w:val="18"/>
        </w:rPr>
        <w:t xml:space="preserve">he ECJ </w:t>
      </w:r>
      <w:r w:rsidR="00616BF6" w:rsidRPr="00C239F1">
        <w:rPr>
          <w:noProof/>
          <w:sz w:val="24"/>
          <w:szCs w:val="18"/>
        </w:rPr>
        <w:t>has endorsed national rules that allow courts to presume the existence of a causal link even if there is no conclusive evidence</w:t>
      </w:r>
      <w:r w:rsidR="00805DDC" w:rsidRPr="00C239F1">
        <w:rPr>
          <w:noProof/>
          <w:sz w:val="24"/>
          <w:szCs w:val="18"/>
        </w:rPr>
        <w:t>, so long as the factual evidence available was sufficiently robust</w:t>
      </w:r>
      <w:r w:rsidR="00805DDC" w:rsidRPr="00C239F1">
        <w:rPr>
          <w:rStyle w:val="FootnoteReference"/>
          <w:noProof/>
          <w:sz w:val="24"/>
          <w:szCs w:val="18"/>
        </w:rPr>
        <w:footnoteReference w:id="114"/>
      </w:r>
      <w:r w:rsidR="00805DDC" w:rsidRPr="00C239F1">
        <w:rPr>
          <w:noProof/>
          <w:sz w:val="24"/>
          <w:szCs w:val="18"/>
        </w:rPr>
        <w:t xml:space="preserve">. </w:t>
      </w:r>
      <w:r w:rsidR="00FA09C3" w:rsidRPr="00C239F1">
        <w:rPr>
          <w:noProof/>
          <w:sz w:val="24"/>
          <w:szCs w:val="18"/>
        </w:rPr>
        <w:t>It has</w:t>
      </w:r>
      <w:r w:rsidR="00805DDC" w:rsidRPr="00C239F1">
        <w:rPr>
          <w:noProof/>
          <w:sz w:val="24"/>
          <w:szCs w:val="18"/>
          <w:lang w:val="en-IE"/>
        </w:rPr>
        <w:t xml:space="preserve"> also ruled that a pacemaker could be considered defective</w:t>
      </w:r>
      <w:r w:rsidR="001B377D" w:rsidRPr="00C239F1">
        <w:rPr>
          <w:noProof/>
          <w:sz w:val="24"/>
          <w:szCs w:val="18"/>
          <w:lang w:val="en-IE"/>
        </w:rPr>
        <w:t xml:space="preserve"> without proof of actual defect</w:t>
      </w:r>
      <w:r w:rsidR="00805DDC" w:rsidRPr="00C239F1">
        <w:rPr>
          <w:noProof/>
          <w:sz w:val="24"/>
          <w:szCs w:val="18"/>
          <w:lang w:val="en-IE"/>
        </w:rPr>
        <w:t xml:space="preserve"> by virtue of being from the same production series as a</w:t>
      </w:r>
      <w:r w:rsidR="001B377D" w:rsidRPr="00C239F1">
        <w:rPr>
          <w:noProof/>
          <w:sz w:val="24"/>
          <w:szCs w:val="18"/>
          <w:lang w:val="en-IE"/>
        </w:rPr>
        <w:t>nother</w:t>
      </w:r>
      <w:r w:rsidR="00805DDC" w:rsidRPr="00C239F1">
        <w:rPr>
          <w:noProof/>
          <w:sz w:val="24"/>
          <w:szCs w:val="18"/>
          <w:lang w:val="en-IE"/>
        </w:rPr>
        <w:t xml:space="preserve"> pacemaker</w:t>
      </w:r>
      <w:r w:rsidR="001B377D" w:rsidRPr="00C239F1">
        <w:rPr>
          <w:noProof/>
          <w:sz w:val="24"/>
          <w:szCs w:val="18"/>
          <w:lang w:val="en-IE"/>
        </w:rPr>
        <w:t xml:space="preserve"> already proven to be defective</w:t>
      </w:r>
      <w:r w:rsidR="00805DDC" w:rsidRPr="00C239F1">
        <w:rPr>
          <w:rStyle w:val="FootnoteReference"/>
          <w:noProof/>
          <w:sz w:val="24"/>
          <w:szCs w:val="18"/>
          <w:lang w:val="en-IE"/>
        </w:rPr>
        <w:footnoteReference w:id="115"/>
      </w:r>
      <w:r w:rsidR="00805DDC" w:rsidRPr="00C239F1">
        <w:rPr>
          <w:noProof/>
          <w:sz w:val="24"/>
          <w:szCs w:val="18"/>
          <w:lang w:val="en-IE"/>
        </w:rPr>
        <w:t>.</w:t>
      </w:r>
      <w:r w:rsidR="00402CDB">
        <w:rPr>
          <w:noProof/>
          <w:sz w:val="24"/>
          <w:szCs w:val="18"/>
          <w:lang w:val="en-IE"/>
        </w:rPr>
        <w:t xml:space="preserve"> </w:t>
      </w:r>
      <w:r w:rsidR="00FA09C3" w:rsidRPr="00C239F1">
        <w:rPr>
          <w:noProof/>
          <w:sz w:val="24"/>
          <w:szCs w:val="18"/>
        </w:rPr>
        <w:t xml:space="preserve">The ECJ has therefore endorsed efforts of national courts to make it easier for claimants to produce the evidence needed to prove the producer’s liability. </w:t>
      </w:r>
    </w:p>
    <w:p w14:paraId="1F6787EE" w14:textId="593E6EC4" w:rsidR="00AA468E" w:rsidRPr="00C239F1" w:rsidRDefault="00F13857" w:rsidP="00C239F1">
      <w:pPr>
        <w:spacing w:after="240" w:line="240" w:lineRule="auto"/>
        <w:jc w:val="both"/>
        <w:rPr>
          <w:noProof/>
          <w:sz w:val="24"/>
          <w:szCs w:val="24"/>
        </w:rPr>
      </w:pPr>
      <w:r w:rsidRPr="00C239F1">
        <w:rPr>
          <w:noProof/>
          <w:sz w:val="24"/>
          <w:szCs w:val="18"/>
        </w:rPr>
        <w:t>Industry stakeholders</w:t>
      </w:r>
      <w:r w:rsidR="009A43A8" w:rsidRPr="00C239F1">
        <w:rPr>
          <w:noProof/>
          <w:sz w:val="24"/>
          <w:szCs w:val="18"/>
        </w:rPr>
        <w:t xml:space="preserve"> such as Business Europe</w:t>
      </w:r>
      <w:r w:rsidR="009A43A8" w:rsidRPr="00C239F1">
        <w:rPr>
          <w:rStyle w:val="FootnoteReference"/>
          <w:noProof/>
          <w:sz w:val="24"/>
          <w:szCs w:val="18"/>
        </w:rPr>
        <w:footnoteReference w:id="116"/>
      </w:r>
      <w:r w:rsidRPr="00C239F1">
        <w:rPr>
          <w:noProof/>
          <w:sz w:val="24"/>
          <w:szCs w:val="18"/>
        </w:rPr>
        <w:t xml:space="preserve"> </w:t>
      </w:r>
      <w:r w:rsidR="00240764" w:rsidRPr="00C239F1">
        <w:rPr>
          <w:noProof/>
          <w:sz w:val="24"/>
          <w:szCs w:val="18"/>
        </w:rPr>
        <w:t xml:space="preserve">argue that national courts have shown they </w:t>
      </w:r>
      <w:r w:rsidR="00550EC0" w:rsidRPr="00C239F1">
        <w:rPr>
          <w:noProof/>
          <w:sz w:val="24"/>
          <w:szCs w:val="18"/>
        </w:rPr>
        <w:t>have the tools they need to ease the burden of proof where necessary.</w:t>
      </w:r>
      <w:r w:rsidR="008C0108" w:rsidRPr="00C239F1">
        <w:rPr>
          <w:noProof/>
          <w:sz w:val="24"/>
          <w:szCs w:val="18"/>
        </w:rPr>
        <w:t xml:space="preserve"> </w:t>
      </w:r>
      <w:r w:rsidR="009A43A8" w:rsidRPr="00C239F1">
        <w:rPr>
          <w:noProof/>
          <w:sz w:val="24"/>
          <w:szCs w:val="18"/>
        </w:rPr>
        <w:t>EFPIA argues that some national courts have already gone too far in easing the burden of proof</w:t>
      </w:r>
      <w:r w:rsidR="006A7078" w:rsidRPr="00C239F1">
        <w:rPr>
          <w:noProof/>
          <w:sz w:val="24"/>
          <w:szCs w:val="18"/>
        </w:rPr>
        <w:t xml:space="preserve"> and the inconsistency of approaches is negative</w:t>
      </w:r>
      <w:r w:rsidR="009A43A8" w:rsidRPr="00C239F1">
        <w:rPr>
          <w:rStyle w:val="FootnoteReference"/>
          <w:noProof/>
          <w:sz w:val="24"/>
          <w:szCs w:val="18"/>
        </w:rPr>
        <w:footnoteReference w:id="117"/>
      </w:r>
      <w:r w:rsidR="009A43A8" w:rsidRPr="00C239F1">
        <w:rPr>
          <w:noProof/>
          <w:sz w:val="24"/>
          <w:szCs w:val="18"/>
        </w:rPr>
        <w:t xml:space="preserve">. </w:t>
      </w:r>
      <w:r w:rsidR="00550EC0" w:rsidRPr="00C239F1">
        <w:rPr>
          <w:noProof/>
          <w:sz w:val="24"/>
          <w:szCs w:val="18"/>
        </w:rPr>
        <w:t>Consumer organisations</w:t>
      </w:r>
      <w:r w:rsidR="009A43A8" w:rsidRPr="00C239F1">
        <w:rPr>
          <w:rStyle w:val="FootnoteReference"/>
          <w:noProof/>
          <w:sz w:val="24"/>
          <w:szCs w:val="18"/>
        </w:rPr>
        <w:footnoteReference w:id="118"/>
      </w:r>
      <w:r w:rsidR="00550EC0" w:rsidRPr="00C239F1">
        <w:rPr>
          <w:noProof/>
          <w:sz w:val="24"/>
          <w:szCs w:val="18"/>
        </w:rPr>
        <w:t xml:space="preserve"> argue </w:t>
      </w:r>
      <w:r w:rsidR="00C71514" w:rsidRPr="00C239F1">
        <w:rPr>
          <w:noProof/>
          <w:sz w:val="24"/>
          <w:szCs w:val="18"/>
        </w:rPr>
        <w:t xml:space="preserve">that while the ECJ judgments on </w:t>
      </w:r>
      <w:r w:rsidR="006A7078" w:rsidRPr="00C239F1">
        <w:rPr>
          <w:noProof/>
          <w:sz w:val="24"/>
          <w:szCs w:val="18"/>
        </w:rPr>
        <w:t xml:space="preserve">information obligations and easing the burden of proof </w:t>
      </w:r>
      <w:r w:rsidR="00C71514" w:rsidRPr="00C239F1">
        <w:rPr>
          <w:noProof/>
          <w:sz w:val="24"/>
          <w:szCs w:val="18"/>
        </w:rPr>
        <w:t xml:space="preserve">are to be welcomed, </w:t>
      </w:r>
      <w:r w:rsidR="006A7078" w:rsidRPr="00C239F1">
        <w:rPr>
          <w:noProof/>
          <w:sz w:val="24"/>
          <w:szCs w:val="18"/>
        </w:rPr>
        <w:t xml:space="preserve">they do not go far enough </w:t>
      </w:r>
      <w:r w:rsidR="00D82351">
        <w:rPr>
          <w:noProof/>
          <w:sz w:val="24"/>
          <w:szCs w:val="18"/>
        </w:rPr>
        <w:t>in helping</w:t>
      </w:r>
      <w:r w:rsidR="006A7078" w:rsidRPr="00C239F1">
        <w:rPr>
          <w:noProof/>
          <w:sz w:val="24"/>
          <w:szCs w:val="18"/>
        </w:rPr>
        <w:t xml:space="preserve"> consumers to prove liability</w:t>
      </w:r>
      <w:r w:rsidR="00C03BDA">
        <w:rPr>
          <w:noProof/>
          <w:sz w:val="24"/>
          <w:szCs w:val="18"/>
        </w:rPr>
        <w:t xml:space="preserve">, especially </w:t>
      </w:r>
      <w:r w:rsidR="006A7078" w:rsidRPr="00C239F1">
        <w:rPr>
          <w:noProof/>
          <w:sz w:val="24"/>
          <w:szCs w:val="18"/>
        </w:rPr>
        <w:t>in complex cases – c</w:t>
      </w:r>
      <w:r w:rsidR="00CB094E" w:rsidRPr="00C239F1">
        <w:rPr>
          <w:noProof/>
          <w:sz w:val="24"/>
          <w:szCs w:val="18"/>
        </w:rPr>
        <w:t>onsumer protection is therefore insufficient and uneven across the internal market</w:t>
      </w:r>
      <w:r w:rsidR="00C71514" w:rsidRPr="00C239F1">
        <w:rPr>
          <w:noProof/>
          <w:sz w:val="24"/>
          <w:szCs w:val="18"/>
        </w:rPr>
        <w:t xml:space="preserve">. </w:t>
      </w:r>
      <w:r w:rsidR="006A7078" w:rsidRPr="00C239F1">
        <w:rPr>
          <w:noProof/>
          <w:sz w:val="24"/>
          <w:szCs w:val="18"/>
        </w:rPr>
        <w:t>T</w:t>
      </w:r>
      <w:r w:rsidR="008C0108" w:rsidRPr="00C239F1">
        <w:rPr>
          <w:noProof/>
          <w:sz w:val="24"/>
          <w:szCs w:val="18"/>
        </w:rPr>
        <w:t>he European Group o</w:t>
      </w:r>
      <w:r w:rsidR="00ED0802">
        <w:rPr>
          <w:noProof/>
          <w:sz w:val="24"/>
          <w:szCs w:val="18"/>
        </w:rPr>
        <w:t>n</w:t>
      </w:r>
      <w:r w:rsidR="008C0108" w:rsidRPr="00C239F1">
        <w:rPr>
          <w:noProof/>
          <w:sz w:val="24"/>
          <w:szCs w:val="18"/>
        </w:rPr>
        <w:t xml:space="preserve"> Tort Law</w:t>
      </w:r>
      <w:r w:rsidR="006A7078" w:rsidRPr="00C239F1">
        <w:rPr>
          <w:noProof/>
          <w:sz w:val="24"/>
          <w:szCs w:val="18"/>
        </w:rPr>
        <w:t xml:space="preserve"> consider</w:t>
      </w:r>
      <w:r w:rsidR="008C0108" w:rsidRPr="00C239F1">
        <w:rPr>
          <w:noProof/>
          <w:sz w:val="24"/>
          <w:szCs w:val="18"/>
        </w:rPr>
        <w:t xml:space="preserve"> </w:t>
      </w:r>
      <w:r w:rsidR="00ED0802">
        <w:rPr>
          <w:noProof/>
          <w:sz w:val="24"/>
          <w:szCs w:val="18"/>
        </w:rPr>
        <w:t xml:space="preserve">the fact </w:t>
      </w:r>
      <w:r w:rsidR="008C0108" w:rsidRPr="00C239F1">
        <w:rPr>
          <w:noProof/>
          <w:sz w:val="24"/>
          <w:szCs w:val="18"/>
        </w:rPr>
        <w:t xml:space="preserve">that </w:t>
      </w:r>
      <w:r w:rsidR="00ED0802">
        <w:rPr>
          <w:noProof/>
          <w:sz w:val="24"/>
          <w:szCs w:val="18"/>
        </w:rPr>
        <w:t xml:space="preserve">courts take </w:t>
      </w:r>
      <w:r w:rsidR="006A7078" w:rsidRPr="00C239F1">
        <w:rPr>
          <w:noProof/>
          <w:sz w:val="24"/>
          <w:szCs w:val="18"/>
        </w:rPr>
        <w:t>divergen</w:t>
      </w:r>
      <w:r w:rsidR="00ED0802">
        <w:rPr>
          <w:noProof/>
          <w:sz w:val="24"/>
          <w:szCs w:val="18"/>
        </w:rPr>
        <w:t>t</w:t>
      </w:r>
      <w:r w:rsidR="00402CDB">
        <w:rPr>
          <w:noProof/>
          <w:sz w:val="24"/>
          <w:szCs w:val="18"/>
        </w:rPr>
        <w:t xml:space="preserve"> </w:t>
      </w:r>
      <w:r w:rsidR="006A7078" w:rsidRPr="00C239F1">
        <w:rPr>
          <w:noProof/>
          <w:sz w:val="24"/>
          <w:szCs w:val="18"/>
        </w:rPr>
        <w:t xml:space="preserve">approaches makes future </w:t>
      </w:r>
      <w:r w:rsidR="008C0108" w:rsidRPr="00C239F1">
        <w:rPr>
          <w:noProof/>
          <w:sz w:val="24"/>
          <w:szCs w:val="18"/>
        </w:rPr>
        <w:t>court decisions</w:t>
      </w:r>
      <w:r w:rsidR="006A7078" w:rsidRPr="00C239F1">
        <w:rPr>
          <w:noProof/>
          <w:sz w:val="24"/>
          <w:szCs w:val="18"/>
        </w:rPr>
        <w:t xml:space="preserve"> unpredictable, </w:t>
      </w:r>
      <w:r w:rsidR="00ED0802">
        <w:rPr>
          <w:noProof/>
          <w:sz w:val="24"/>
          <w:szCs w:val="18"/>
        </w:rPr>
        <w:t xml:space="preserve">which is a problem for </w:t>
      </w:r>
      <w:r w:rsidR="006A7078" w:rsidRPr="00C239F1">
        <w:rPr>
          <w:noProof/>
          <w:sz w:val="24"/>
          <w:szCs w:val="18"/>
        </w:rPr>
        <w:t>legal certainty</w:t>
      </w:r>
      <w:r w:rsidR="008C0108" w:rsidRPr="00C239F1">
        <w:rPr>
          <w:noProof/>
          <w:sz w:val="24"/>
          <w:szCs w:val="18"/>
        </w:rPr>
        <w:t>.</w:t>
      </w:r>
      <w:r w:rsidR="00D15534">
        <w:rPr>
          <w:noProof/>
          <w:sz w:val="24"/>
          <w:szCs w:val="18"/>
        </w:rPr>
        <w:t xml:space="preserve"> </w:t>
      </w:r>
      <w:r w:rsidR="00CC5B8D">
        <w:rPr>
          <w:noProof/>
          <w:sz w:val="24"/>
          <w:szCs w:val="18"/>
        </w:rPr>
        <w:t xml:space="preserve">See </w:t>
      </w:r>
      <w:r w:rsidR="00D15534">
        <w:rPr>
          <w:noProof/>
          <w:sz w:val="24"/>
          <w:szCs w:val="18"/>
        </w:rPr>
        <w:t xml:space="preserve">also </w:t>
      </w:r>
      <w:r w:rsidR="00CC5B8D">
        <w:rPr>
          <w:noProof/>
          <w:sz w:val="24"/>
          <w:szCs w:val="18"/>
        </w:rPr>
        <w:t xml:space="preserve">Annex 8 concerning products that </w:t>
      </w:r>
      <w:r w:rsidR="00D15534">
        <w:rPr>
          <w:noProof/>
          <w:sz w:val="24"/>
          <w:szCs w:val="18"/>
        </w:rPr>
        <w:t>carry risks</w:t>
      </w:r>
      <w:r w:rsidR="00CC5B8D">
        <w:rPr>
          <w:noProof/>
          <w:sz w:val="24"/>
          <w:szCs w:val="18"/>
        </w:rPr>
        <w:t xml:space="preserve"> but are not defective.</w:t>
      </w:r>
      <w:r w:rsidR="00E863B3" w:rsidRPr="00C239F1">
        <w:rPr>
          <w:noProof/>
          <w:sz w:val="24"/>
          <w:szCs w:val="24"/>
        </w:rPr>
        <w:t xml:space="preserve"> </w:t>
      </w:r>
    </w:p>
    <w:p w14:paraId="0B7C36A2" w14:textId="7490427F" w:rsidR="004E6390" w:rsidRPr="00C239F1" w:rsidRDefault="004E6390" w:rsidP="00C239F1">
      <w:pPr>
        <w:spacing w:after="240" w:line="240" w:lineRule="auto"/>
        <w:jc w:val="both"/>
        <w:rPr>
          <w:noProof/>
          <w:sz w:val="24"/>
          <w:szCs w:val="24"/>
        </w:rPr>
      </w:pPr>
      <w:r w:rsidRPr="00D15534">
        <w:rPr>
          <w:noProof/>
          <w:sz w:val="24"/>
          <w:szCs w:val="24"/>
          <w:u w:val="single"/>
        </w:rPr>
        <w:t>Development risk defence</w:t>
      </w:r>
      <w:r w:rsidR="00D15534">
        <w:rPr>
          <w:noProof/>
          <w:sz w:val="24"/>
          <w:szCs w:val="24"/>
          <w:u w:val="single"/>
        </w:rPr>
        <w:t xml:space="preserve">: </w:t>
      </w:r>
      <w:r w:rsidR="000A4099" w:rsidRPr="00C239F1">
        <w:rPr>
          <w:noProof/>
          <w:sz w:val="24"/>
          <w:szCs w:val="24"/>
        </w:rPr>
        <w:t xml:space="preserve">The development risk defence allows the producer to escape liability when the product was defective when put into circulation but the </w:t>
      </w:r>
      <w:r w:rsidR="000A4099" w:rsidRPr="00C239F1">
        <w:rPr>
          <w:i/>
          <w:iCs/>
          <w:noProof/>
          <w:sz w:val="24"/>
          <w:szCs w:val="24"/>
        </w:rPr>
        <w:t xml:space="preserve">‘state of scientific and technical knowledge’ at that time </w:t>
      </w:r>
      <w:r w:rsidR="000A4099" w:rsidRPr="00C239F1">
        <w:rPr>
          <w:noProof/>
          <w:sz w:val="24"/>
          <w:szCs w:val="24"/>
        </w:rPr>
        <w:t>did not allow for the particular defect to be discovered</w:t>
      </w:r>
      <w:r w:rsidR="000A4099" w:rsidRPr="00C239F1">
        <w:rPr>
          <w:rStyle w:val="FootnoteReference"/>
          <w:noProof/>
          <w:sz w:val="24"/>
          <w:szCs w:val="24"/>
        </w:rPr>
        <w:footnoteReference w:id="119"/>
      </w:r>
      <w:r w:rsidR="000A4099" w:rsidRPr="00C239F1">
        <w:rPr>
          <w:noProof/>
          <w:sz w:val="24"/>
          <w:szCs w:val="24"/>
        </w:rPr>
        <w:t>.</w:t>
      </w:r>
      <w:r w:rsidR="000B6280" w:rsidRPr="00C239F1">
        <w:rPr>
          <w:noProof/>
          <w:sz w:val="24"/>
          <w:szCs w:val="24"/>
        </w:rPr>
        <w:t xml:space="preserve"> The PLD allows Member States to derogate from applying the defence: Finland and Luxembourg derogate entirely, while Spain, France and Hungary derogate in respect of certain categories of product</w:t>
      </w:r>
      <w:r w:rsidR="000B6280" w:rsidRPr="00C239F1">
        <w:rPr>
          <w:rStyle w:val="FootnoteReference"/>
          <w:noProof/>
          <w:sz w:val="24"/>
          <w:szCs w:val="24"/>
        </w:rPr>
        <w:footnoteReference w:id="120"/>
      </w:r>
      <w:r w:rsidR="000B6280" w:rsidRPr="00C239F1">
        <w:rPr>
          <w:noProof/>
          <w:sz w:val="24"/>
          <w:szCs w:val="24"/>
        </w:rPr>
        <w:t>.</w:t>
      </w:r>
    </w:p>
    <w:p w14:paraId="6D833785" w14:textId="28F72586" w:rsidR="004E6390" w:rsidRPr="00C239F1" w:rsidRDefault="00CA26E9" w:rsidP="00C239F1">
      <w:pPr>
        <w:spacing w:after="240" w:line="240" w:lineRule="auto"/>
        <w:jc w:val="both"/>
        <w:rPr>
          <w:noProof/>
          <w:sz w:val="24"/>
          <w:szCs w:val="24"/>
        </w:rPr>
      </w:pPr>
      <w:r w:rsidRPr="00C239F1">
        <w:rPr>
          <w:noProof/>
          <w:sz w:val="24"/>
          <w:szCs w:val="24"/>
        </w:rPr>
        <w:t>Consumer organisations have, over many years, argued that the defence should be removed, since producers are always better placed than individual consumers to mitigate and insure against risks caused by their products, even if they were undiscoverable at the time the product was put into circulation</w:t>
      </w:r>
      <w:r w:rsidR="00F10C5A" w:rsidRPr="00C239F1">
        <w:rPr>
          <w:rStyle w:val="FootnoteReference"/>
          <w:noProof/>
          <w:sz w:val="24"/>
          <w:szCs w:val="24"/>
        </w:rPr>
        <w:footnoteReference w:id="121"/>
      </w:r>
      <w:r w:rsidRPr="00C239F1">
        <w:rPr>
          <w:noProof/>
          <w:sz w:val="24"/>
          <w:szCs w:val="24"/>
        </w:rPr>
        <w:t xml:space="preserve">. Industry stakeholders have argued equally strongly in support of the defence </w:t>
      </w:r>
      <w:r w:rsidR="00614117">
        <w:rPr>
          <w:noProof/>
          <w:sz w:val="24"/>
          <w:szCs w:val="24"/>
        </w:rPr>
        <w:t>designed to encourage innovation. The</w:t>
      </w:r>
      <w:r w:rsidRPr="00C239F1">
        <w:rPr>
          <w:noProof/>
          <w:sz w:val="24"/>
          <w:szCs w:val="24"/>
        </w:rPr>
        <w:t xml:space="preserve"> defence </w:t>
      </w:r>
      <w:r w:rsidR="00614117">
        <w:rPr>
          <w:noProof/>
          <w:sz w:val="24"/>
          <w:szCs w:val="24"/>
        </w:rPr>
        <w:t>itself</w:t>
      </w:r>
      <w:r w:rsidRPr="00C239F1">
        <w:rPr>
          <w:noProof/>
          <w:sz w:val="24"/>
          <w:szCs w:val="24"/>
        </w:rPr>
        <w:t xml:space="preserve"> has rarely been used in practice</w:t>
      </w:r>
      <w:r w:rsidR="00532616" w:rsidRPr="00C239F1">
        <w:rPr>
          <w:noProof/>
          <w:sz w:val="24"/>
          <w:szCs w:val="24"/>
        </w:rPr>
        <w:t xml:space="preserve"> </w:t>
      </w:r>
      <w:r w:rsidR="00614117">
        <w:rPr>
          <w:noProof/>
          <w:sz w:val="24"/>
          <w:szCs w:val="24"/>
        </w:rPr>
        <w:t xml:space="preserve">though </w:t>
      </w:r>
      <w:r w:rsidR="00532616" w:rsidRPr="00C239F1">
        <w:rPr>
          <w:noProof/>
          <w:sz w:val="24"/>
          <w:szCs w:val="24"/>
        </w:rPr>
        <w:t xml:space="preserve">– </w:t>
      </w:r>
      <w:r w:rsidR="00580DFC" w:rsidRPr="00C239F1">
        <w:rPr>
          <w:noProof/>
          <w:sz w:val="24"/>
          <w:szCs w:val="24"/>
        </w:rPr>
        <w:t>successful use of the defence accounted for 4% of rejected claims</w:t>
      </w:r>
      <w:r w:rsidR="00580DFC" w:rsidRPr="00C239F1">
        <w:rPr>
          <w:rStyle w:val="FootnoteReference"/>
          <w:noProof/>
          <w:sz w:val="24"/>
          <w:szCs w:val="24"/>
        </w:rPr>
        <w:t xml:space="preserve"> </w:t>
      </w:r>
      <w:r w:rsidRPr="00C239F1">
        <w:rPr>
          <w:rStyle w:val="FootnoteReference"/>
          <w:noProof/>
          <w:sz w:val="24"/>
          <w:szCs w:val="24"/>
        </w:rPr>
        <w:footnoteReference w:id="122"/>
      </w:r>
      <w:r w:rsidRPr="00C239F1">
        <w:rPr>
          <w:noProof/>
          <w:sz w:val="24"/>
          <w:szCs w:val="24"/>
        </w:rPr>
        <w:t>.</w:t>
      </w:r>
      <w:r w:rsidR="00180560">
        <w:rPr>
          <w:noProof/>
          <w:sz w:val="24"/>
          <w:szCs w:val="24"/>
        </w:rPr>
        <w:t xml:space="preserve"> </w:t>
      </w:r>
      <w:r w:rsidR="00B677AF">
        <w:rPr>
          <w:noProof/>
          <w:sz w:val="24"/>
          <w:szCs w:val="24"/>
        </w:rPr>
        <w:t>T</w:t>
      </w:r>
      <w:r w:rsidR="000B6280" w:rsidRPr="00C239F1">
        <w:rPr>
          <w:noProof/>
          <w:sz w:val="24"/>
          <w:szCs w:val="24"/>
        </w:rPr>
        <w:t xml:space="preserve">he 2018 evaluation found that the development risk </w:t>
      </w:r>
      <w:r w:rsidR="0009594E" w:rsidRPr="00C239F1">
        <w:rPr>
          <w:noProof/>
          <w:sz w:val="24"/>
          <w:szCs w:val="24"/>
        </w:rPr>
        <w:t xml:space="preserve">defence </w:t>
      </w:r>
      <w:r w:rsidR="000B6280" w:rsidRPr="00C239F1">
        <w:rPr>
          <w:noProof/>
          <w:sz w:val="24"/>
          <w:szCs w:val="24"/>
        </w:rPr>
        <w:t xml:space="preserve">was an important factor for guaranteeing the relative stability of product liability insurance costs within the </w:t>
      </w:r>
      <w:r w:rsidR="00532616" w:rsidRPr="00C239F1">
        <w:rPr>
          <w:noProof/>
          <w:sz w:val="24"/>
          <w:szCs w:val="24"/>
        </w:rPr>
        <w:t>internal market</w:t>
      </w:r>
      <w:r w:rsidR="000B6280" w:rsidRPr="00C239F1">
        <w:rPr>
          <w:noProof/>
          <w:sz w:val="24"/>
          <w:szCs w:val="24"/>
        </w:rPr>
        <w:t xml:space="preserve"> while avoiding significant increases in litigation levels. It also found that </w:t>
      </w:r>
      <w:r w:rsidR="00605A0B" w:rsidRPr="00C239F1">
        <w:rPr>
          <w:noProof/>
          <w:sz w:val="24"/>
          <w:szCs w:val="24"/>
        </w:rPr>
        <w:t xml:space="preserve">whether or not a Member State had a </w:t>
      </w:r>
      <w:r w:rsidR="000B6280" w:rsidRPr="00C239F1">
        <w:rPr>
          <w:noProof/>
          <w:sz w:val="24"/>
          <w:szCs w:val="24"/>
        </w:rPr>
        <w:t>derog</w:t>
      </w:r>
      <w:r w:rsidR="00605A0B" w:rsidRPr="00C239F1">
        <w:rPr>
          <w:noProof/>
          <w:sz w:val="24"/>
          <w:szCs w:val="24"/>
        </w:rPr>
        <w:t>ation</w:t>
      </w:r>
      <w:r w:rsidR="000B6280" w:rsidRPr="00C239F1">
        <w:rPr>
          <w:noProof/>
          <w:sz w:val="24"/>
          <w:szCs w:val="24"/>
        </w:rPr>
        <w:t xml:space="preserve"> </w:t>
      </w:r>
      <w:r w:rsidR="00605A0B" w:rsidRPr="00C239F1">
        <w:rPr>
          <w:noProof/>
          <w:sz w:val="24"/>
          <w:szCs w:val="24"/>
        </w:rPr>
        <w:t xml:space="preserve">had </w:t>
      </w:r>
      <w:r w:rsidR="000B6280" w:rsidRPr="00C239F1">
        <w:rPr>
          <w:noProof/>
          <w:sz w:val="24"/>
          <w:szCs w:val="24"/>
        </w:rPr>
        <w:t xml:space="preserve">little impact on </w:t>
      </w:r>
      <w:r w:rsidR="00605A0B" w:rsidRPr="00C239F1">
        <w:rPr>
          <w:noProof/>
          <w:sz w:val="24"/>
          <w:szCs w:val="24"/>
        </w:rPr>
        <w:t>the number of product liability cases in that country</w:t>
      </w:r>
      <w:r w:rsidR="00605A0B" w:rsidRPr="00C239F1">
        <w:rPr>
          <w:rStyle w:val="FootnoteReference"/>
          <w:noProof/>
          <w:sz w:val="24"/>
          <w:szCs w:val="24"/>
        </w:rPr>
        <w:footnoteReference w:id="123"/>
      </w:r>
      <w:r w:rsidR="00605A0B" w:rsidRPr="00C239F1">
        <w:rPr>
          <w:noProof/>
          <w:sz w:val="24"/>
          <w:szCs w:val="24"/>
        </w:rPr>
        <w:t xml:space="preserve">. </w:t>
      </w:r>
    </w:p>
    <w:p w14:paraId="4CDB6303" w14:textId="070433E8" w:rsidR="00CA26E9" w:rsidRPr="00C239F1" w:rsidRDefault="00FF721A" w:rsidP="00C239F1">
      <w:pPr>
        <w:spacing w:after="240" w:line="240" w:lineRule="auto"/>
        <w:jc w:val="both"/>
        <w:rPr>
          <w:noProof/>
          <w:sz w:val="24"/>
          <w:szCs w:val="24"/>
        </w:rPr>
      </w:pPr>
      <w:r w:rsidRPr="00C239F1">
        <w:rPr>
          <w:noProof/>
          <w:sz w:val="24"/>
          <w:szCs w:val="24"/>
        </w:rPr>
        <w:t xml:space="preserve">However, </w:t>
      </w:r>
      <w:r>
        <w:rPr>
          <w:noProof/>
          <w:sz w:val="24"/>
          <w:szCs w:val="24"/>
        </w:rPr>
        <w:t>the Expert Group pointed out that assessing the state of scientific knowledge at the moment of putting into circulation fails to take account of the fact that producers retain control over digital products beyond that moment and therefore have the means to address defects that become discoverable</w:t>
      </w:r>
      <w:r>
        <w:rPr>
          <w:rStyle w:val="FootnoteReference"/>
          <w:noProof/>
          <w:sz w:val="24"/>
          <w:szCs w:val="24"/>
        </w:rPr>
        <w:footnoteReference w:id="124"/>
      </w:r>
      <w:r>
        <w:rPr>
          <w:noProof/>
          <w:sz w:val="24"/>
          <w:szCs w:val="24"/>
        </w:rPr>
        <w:t xml:space="preserve">. This is true of many digital </w:t>
      </w:r>
      <w:r w:rsidRPr="006C4BFB">
        <w:rPr>
          <w:noProof/>
          <w:sz w:val="24"/>
          <w:szCs w:val="24"/>
        </w:rPr>
        <w:t>products, including IoT and AI-enabled products, as discussed in section 2.1.1.1.</w:t>
      </w:r>
    </w:p>
    <w:p w14:paraId="5410D9EC" w14:textId="77334C84" w:rsidR="00141818" w:rsidRDefault="00141818" w:rsidP="00DD3B24">
      <w:pPr>
        <w:pStyle w:val="Heading4"/>
        <w:numPr>
          <w:ilvl w:val="3"/>
          <w:numId w:val="30"/>
        </w:numPr>
        <w:ind w:left="720" w:hanging="720"/>
        <w:rPr>
          <w:noProof/>
        </w:rPr>
      </w:pPr>
      <w:r>
        <w:rPr>
          <w:noProof/>
        </w:rPr>
        <w:t xml:space="preserve"> </w:t>
      </w:r>
      <w:bookmarkStart w:id="206" w:name="_Toc88668056"/>
      <w:bookmarkStart w:id="207" w:name="_Toc90058703"/>
      <w:r w:rsidRPr="00141818">
        <w:rPr>
          <w:noProof/>
        </w:rPr>
        <w:t>Liability ends after 10 years; need to start legal proceedings 3 years after damage</w:t>
      </w:r>
      <w:bookmarkEnd w:id="206"/>
      <w:bookmarkEnd w:id="207"/>
    </w:p>
    <w:p w14:paraId="2967B77E" w14:textId="6B209B3F" w:rsidR="000D1999" w:rsidRPr="00C239F1" w:rsidRDefault="00EE4B50" w:rsidP="00C239F1">
      <w:pPr>
        <w:spacing w:after="240" w:line="240" w:lineRule="auto"/>
        <w:jc w:val="both"/>
        <w:rPr>
          <w:noProof/>
          <w:sz w:val="24"/>
          <w:szCs w:val="24"/>
        </w:rPr>
      </w:pPr>
      <w:r w:rsidRPr="00C239F1">
        <w:rPr>
          <w:noProof/>
          <w:sz w:val="24"/>
          <w:szCs w:val="24"/>
        </w:rPr>
        <w:t>Producers are released from liability under the PLD 10 years after putting the product into circulation</w:t>
      </w:r>
      <w:r w:rsidR="004A3D20">
        <w:rPr>
          <w:noProof/>
          <w:sz w:val="24"/>
          <w:szCs w:val="24"/>
        </w:rPr>
        <w:t xml:space="preserve">: an unlimited period </w:t>
      </w:r>
      <w:r w:rsidR="00096675" w:rsidRPr="00C239F1">
        <w:rPr>
          <w:noProof/>
          <w:sz w:val="24"/>
          <w:szCs w:val="24"/>
        </w:rPr>
        <w:t>would be unreasonable, given that products age and higher safety standards are developed over time</w:t>
      </w:r>
      <w:r w:rsidR="00F03387" w:rsidRPr="00C239F1">
        <w:rPr>
          <w:rStyle w:val="FootnoteReference"/>
          <w:noProof/>
          <w:sz w:val="24"/>
          <w:szCs w:val="24"/>
        </w:rPr>
        <w:footnoteReference w:id="125"/>
      </w:r>
      <w:r w:rsidR="00096675" w:rsidRPr="00C239F1">
        <w:rPr>
          <w:noProof/>
          <w:sz w:val="24"/>
          <w:szCs w:val="24"/>
        </w:rPr>
        <w:t xml:space="preserve">. </w:t>
      </w:r>
      <w:r w:rsidR="000D1999" w:rsidRPr="00C239F1">
        <w:rPr>
          <w:noProof/>
          <w:sz w:val="24"/>
          <w:szCs w:val="24"/>
        </w:rPr>
        <w:t xml:space="preserve">In addition, victims are required to start legal proceedings within three years of the day on which they became aware, or should reasonably have become aware, of the damage, the defect and the identity of the producer. </w:t>
      </w:r>
    </w:p>
    <w:p w14:paraId="77D3B44A" w14:textId="77777777" w:rsidR="00CB2952" w:rsidRDefault="00F03387" w:rsidP="00C239F1">
      <w:pPr>
        <w:spacing w:after="240" w:line="240" w:lineRule="auto"/>
        <w:jc w:val="both"/>
        <w:rPr>
          <w:noProof/>
          <w:sz w:val="24"/>
          <w:szCs w:val="24"/>
        </w:rPr>
      </w:pPr>
      <w:r w:rsidRPr="00C239F1">
        <w:rPr>
          <w:noProof/>
          <w:sz w:val="24"/>
          <w:szCs w:val="24"/>
        </w:rPr>
        <w:t>The length of the period</w:t>
      </w:r>
      <w:r w:rsidR="00DB0173" w:rsidRPr="00C239F1">
        <w:rPr>
          <w:noProof/>
          <w:sz w:val="24"/>
          <w:szCs w:val="24"/>
        </w:rPr>
        <w:t>s</w:t>
      </w:r>
      <w:r w:rsidRPr="00C239F1">
        <w:rPr>
          <w:noProof/>
          <w:sz w:val="24"/>
          <w:szCs w:val="24"/>
        </w:rPr>
        <w:t>, 10 years</w:t>
      </w:r>
      <w:r w:rsidR="00DB0173" w:rsidRPr="00C239F1">
        <w:rPr>
          <w:noProof/>
          <w:sz w:val="24"/>
          <w:szCs w:val="24"/>
        </w:rPr>
        <w:t xml:space="preserve"> and </w:t>
      </w:r>
      <w:r w:rsidR="00992FD5" w:rsidRPr="00C239F1">
        <w:rPr>
          <w:noProof/>
          <w:sz w:val="24"/>
          <w:szCs w:val="24"/>
        </w:rPr>
        <w:t>three</w:t>
      </w:r>
      <w:r w:rsidR="00DB0173" w:rsidRPr="00C239F1">
        <w:rPr>
          <w:noProof/>
          <w:sz w:val="24"/>
          <w:szCs w:val="24"/>
        </w:rPr>
        <w:t xml:space="preserve"> years</w:t>
      </w:r>
      <w:r w:rsidR="00992FD5" w:rsidRPr="00C239F1">
        <w:rPr>
          <w:noProof/>
          <w:sz w:val="24"/>
          <w:szCs w:val="24"/>
        </w:rPr>
        <w:t xml:space="preserve"> respectively</w:t>
      </w:r>
      <w:r w:rsidRPr="00C239F1">
        <w:rPr>
          <w:noProof/>
          <w:sz w:val="24"/>
          <w:szCs w:val="24"/>
        </w:rPr>
        <w:t xml:space="preserve">, </w:t>
      </w:r>
      <w:r w:rsidR="00992FD5" w:rsidRPr="00C239F1">
        <w:rPr>
          <w:noProof/>
          <w:sz w:val="24"/>
          <w:szCs w:val="24"/>
        </w:rPr>
        <w:t xml:space="preserve">represents an effort </w:t>
      </w:r>
      <w:r w:rsidRPr="00C239F1">
        <w:rPr>
          <w:noProof/>
          <w:sz w:val="24"/>
          <w:szCs w:val="24"/>
        </w:rPr>
        <w:t xml:space="preserve">to balance the interests of producers and consumers. </w:t>
      </w:r>
      <w:r w:rsidR="00772C1C" w:rsidRPr="00C239F1">
        <w:rPr>
          <w:noProof/>
          <w:sz w:val="24"/>
          <w:szCs w:val="24"/>
        </w:rPr>
        <w:t xml:space="preserve">In respect of most products, the </w:t>
      </w:r>
      <w:r w:rsidR="00DB0173" w:rsidRPr="00C239F1">
        <w:rPr>
          <w:noProof/>
          <w:sz w:val="24"/>
          <w:szCs w:val="24"/>
        </w:rPr>
        <w:t xml:space="preserve">time </w:t>
      </w:r>
      <w:r w:rsidR="00772C1C" w:rsidRPr="00C239F1">
        <w:rPr>
          <w:noProof/>
          <w:sz w:val="24"/>
          <w:szCs w:val="24"/>
        </w:rPr>
        <w:t>limit</w:t>
      </w:r>
      <w:r w:rsidR="00DB0173" w:rsidRPr="00C239F1">
        <w:rPr>
          <w:noProof/>
          <w:sz w:val="24"/>
          <w:szCs w:val="24"/>
        </w:rPr>
        <w:t>s</w:t>
      </w:r>
      <w:r w:rsidR="00772C1C" w:rsidRPr="00C239F1">
        <w:rPr>
          <w:noProof/>
          <w:sz w:val="24"/>
          <w:szCs w:val="24"/>
        </w:rPr>
        <w:t xml:space="preserve"> does not seem to hamper the effectiveness of the PLD. </w:t>
      </w:r>
      <w:r w:rsidR="00CB2952">
        <w:rPr>
          <w:noProof/>
          <w:sz w:val="24"/>
          <w:szCs w:val="24"/>
        </w:rPr>
        <w:t>T</w:t>
      </w:r>
      <w:r w:rsidR="00772C1C" w:rsidRPr="00C239F1">
        <w:rPr>
          <w:noProof/>
          <w:sz w:val="24"/>
          <w:szCs w:val="24"/>
        </w:rPr>
        <w:t xml:space="preserve">he </w:t>
      </w:r>
      <w:r w:rsidR="00992FD5" w:rsidRPr="00C239F1">
        <w:rPr>
          <w:noProof/>
          <w:sz w:val="24"/>
          <w:szCs w:val="24"/>
        </w:rPr>
        <w:t>percentage</w:t>
      </w:r>
      <w:r w:rsidR="00772C1C" w:rsidRPr="00C239F1">
        <w:rPr>
          <w:noProof/>
          <w:sz w:val="24"/>
          <w:szCs w:val="24"/>
        </w:rPr>
        <w:t xml:space="preserve"> of claims rejected once proceedings were started</w:t>
      </w:r>
      <w:r w:rsidR="00362352" w:rsidRPr="00C239F1">
        <w:rPr>
          <w:noProof/>
          <w:sz w:val="24"/>
          <w:szCs w:val="24"/>
        </w:rPr>
        <w:t xml:space="preserve"> is low: i</w:t>
      </w:r>
      <w:r w:rsidR="00DB0173" w:rsidRPr="00C239F1">
        <w:rPr>
          <w:noProof/>
          <w:sz w:val="24"/>
          <w:szCs w:val="24"/>
        </w:rPr>
        <w:t>n respect of the 3-year time limit, 4%, and in respect of the 10-year time limit, residual</w:t>
      </w:r>
      <w:r w:rsidR="00772C1C" w:rsidRPr="00C239F1">
        <w:rPr>
          <w:rStyle w:val="FootnoteReference"/>
          <w:noProof/>
          <w:sz w:val="24"/>
          <w:szCs w:val="24"/>
        </w:rPr>
        <w:footnoteReference w:id="126"/>
      </w:r>
      <w:r w:rsidR="003A0FD4" w:rsidRPr="00C239F1">
        <w:rPr>
          <w:noProof/>
          <w:sz w:val="24"/>
          <w:szCs w:val="24"/>
        </w:rPr>
        <w:t xml:space="preserve">. </w:t>
      </w:r>
      <w:r w:rsidR="00CB2952">
        <w:rPr>
          <w:noProof/>
          <w:sz w:val="24"/>
          <w:szCs w:val="24"/>
        </w:rPr>
        <w:t xml:space="preserve">However, this will certainly be an underestimate, </w:t>
      </w:r>
      <w:r w:rsidR="00CB2952" w:rsidRPr="00CB2952">
        <w:rPr>
          <w:noProof/>
          <w:sz w:val="24"/>
          <w:szCs w:val="24"/>
        </w:rPr>
        <w:t>since a claim would not be admissible in the first place if it could be shown that the 10-year period had expired</w:t>
      </w:r>
      <w:r w:rsidR="00CB2952">
        <w:rPr>
          <w:noProof/>
          <w:sz w:val="24"/>
          <w:szCs w:val="24"/>
        </w:rPr>
        <w:t>.</w:t>
      </w:r>
    </w:p>
    <w:p w14:paraId="70880761" w14:textId="33639CAD" w:rsidR="00141818" w:rsidRPr="00C239F1" w:rsidRDefault="00140397" w:rsidP="00C239F1">
      <w:pPr>
        <w:spacing w:after="240" w:line="240" w:lineRule="auto"/>
        <w:jc w:val="both"/>
        <w:rPr>
          <w:noProof/>
          <w:sz w:val="24"/>
          <w:szCs w:val="24"/>
        </w:rPr>
      </w:pPr>
      <w:r w:rsidRPr="00CB2952">
        <w:rPr>
          <w:noProof/>
          <w:sz w:val="24"/>
          <w:szCs w:val="24"/>
        </w:rPr>
        <w:t xml:space="preserve">In the public consultation </w:t>
      </w:r>
      <w:r w:rsidR="00D74CA2" w:rsidRPr="00CB2952">
        <w:rPr>
          <w:noProof/>
          <w:sz w:val="24"/>
          <w:szCs w:val="24"/>
        </w:rPr>
        <w:t>69% of non-business respondents argued the 10-year time limit presented obstacles to compensation to a moderate, large or very large extent, while 49%</w:t>
      </w:r>
      <w:r w:rsidR="00205E9A" w:rsidRPr="00CB2952">
        <w:rPr>
          <w:noProof/>
          <w:sz w:val="24"/>
          <w:szCs w:val="24"/>
        </w:rPr>
        <w:t xml:space="preserve"> </w:t>
      </w:r>
      <w:r w:rsidR="00D74CA2" w:rsidRPr="00CB2952">
        <w:rPr>
          <w:noProof/>
          <w:sz w:val="24"/>
          <w:szCs w:val="24"/>
        </w:rPr>
        <w:t>said the same of the 3-year time limit</w:t>
      </w:r>
      <w:r w:rsidR="00D15534" w:rsidRPr="00CB2952">
        <w:rPr>
          <w:rStyle w:val="FootnoteReference"/>
          <w:noProof/>
          <w:sz w:val="24"/>
          <w:szCs w:val="24"/>
        </w:rPr>
        <w:footnoteReference w:id="127"/>
      </w:r>
      <w:r w:rsidR="00D74CA2" w:rsidRPr="00CB2952">
        <w:rPr>
          <w:noProof/>
          <w:sz w:val="24"/>
          <w:szCs w:val="24"/>
        </w:rPr>
        <w:t>. For business respondents the figures were 14%</w:t>
      </w:r>
      <w:r w:rsidR="00AA3C82" w:rsidRPr="00CB2952">
        <w:rPr>
          <w:noProof/>
          <w:sz w:val="24"/>
          <w:szCs w:val="24"/>
        </w:rPr>
        <w:t xml:space="preserve"> </w:t>
      </w:r>
      <w:r w:rsidR="00D74CA2" w:rsidRPr="00CB2952">
        <w:rPr>
          <w:noProof/>
          <w:sz w:val="24"/>
          <w:szCs w:val="24"/>
        </w:rPr>
        <w:t>and 11% respectively</w:t>
      </w:r>
      <w:r w:rsidR="00D15534" w:rsidRPr="00CB2952">
        <w:rPr>
          <w:rStyle w:val="FootnoteReference"/>
          <w:noProof/>
          <w:sz w:val="24"/>
          <w:szCs w:val="24"/>
        </w:rPr>
        <w:footnoteReference w:id="128"/>
      </w:r>
      <w:r w:rsidR="00D74CA2" w:rsidRPr="00CB2952">
        <w:rPr>
          <w:noProof/>
          <w:sz w:val="24"/>
          <w:szCs w:val="24"/>
        </w:rPr>
        <w:t>.</w:t>
      </w:r>
      <w:r w:rsidR="00772C1C" w:rsidRPr="00C239F1">
        <w:rPr>
          <w:noProof/>
          <w:sz w:val="24"/>
          <w:szCs w:val="24"/>
        </w:rPr>
        <w:t xml:space="preserve"> </w:t>
      </w:r>
      <w:r w:rsidR="00524A96">
        <w:rPr>
          <w:noProof/>
          <w:sz w:val="24"/>
          <w:szCs w:val="24"/>
        </w:rPr>
        <w:t>BEUC and a French patient organisation</w:t>
      </w:r>
      <w:r w:rsidR="00524A96">
        <w:rPr>
          <w:rStyle w:val="FootnoteReference"/>
          <w:noProof/>
          <w:sz w:val="24"/>
          <w:szCs w:val="24"/>
        </w:rPr>
        <w:footnoteReference w:id="129"/>
      </w:r>
      <w:r w:rsidR="00715545" w:rsidRPr="00C239F1">
        <w:rPr>
          <w:noProof/>
          <w:sz w:val="24"/>
          <w:szCs w:val="24"/>
        </w:rPr>
        <w:t xml:space="preserve">argue </w:t>
      </w:r>
      <w:r w:rsidR="002350D6" w:rsidRPr="00C239F1">
        <w:rPr>
          <w:noProof/>
          <w:sz w:val="24"/>
          <w:szCs w:val="24"/>
        </w:rPr>
        <w:t xml:space="preserve">that </w:t>
      </w:r>
      <w:r w:rsidR="00BD58D9" w:rsidRPr="00C239F1">
        <w:rPr>
          <w:noProof/>
          <w:sz w:val="24"/>
          <w:szCs w:val="24"/>
        </w:rPr>
        <w:t>t</w:t>
      </w:r>
      <w:r w:rsidR="00615A92" w:rsidRPr="00C239F1">
        <w:rPr>
          <w:noProof/>
          <w:sz w:val="24"/>
          <w:szCs w:val="24"/>
        </w:rPr>
        <w:t>he 10-year time limit</w:t>
      </w:r>
      <w:r w:rsidR="00DB0173" w:rsidRPr="00C239F1">
        <w:rPr>
          <w:noProof/>
          <w:sz w:val="24"/>
          <w:szCs w:val="24"/>
        </w:rPr>
        <w:t xml:space="preserve"> </w:t>
      </w:r>
      <w:r w:rsidR="00615A92" w:rsidRPr="00C239F1">
        <w:rPr>
          <w:noProof/>
          <w:sz w:val="24"/>
          <w:szCs w:val="24"/>
        </w:rPr>
        <w:t xml:space="preserve">is </w:t>
      </w:r>
      <w:r w:rsidR="00715545" w:rsidRPr="00C239F1">
        <w:rPr>
          <w:noProof/>
          <w:sz w:val="24"/>
          <w:szCs w:val="24"/>
        </w:rPr>
        <w:t xml:space="preserve">too short in respect of products capable of </w:t>
      </w:r>
      <w:r w:rsidR="00615A92" w:rsidRPr="00C239F1">
        <w:rPr>
          <w:noProof/>
          <w:sz w:val="24"/>
          <w:szCs w:val="24"/>
        </w:rPr>
        <w:t>damage to health</w:t>
      </w:r>
      <w:r w:rsidR="00715545" w:rsidRPr="00C239F1">
        <w:rPr>
          <w:noProof/>
          <w:sz w:val="24"/>
          <w:szCs w:val="24"/>
        </w:rPr>
        <w:t xml:space="preserve"> that becomes evident only after a long time, such as pharmaceuticals</w:t>
      </w:r>
      <w:r w:rsidR="00CB2952">
        <w:rPr>
          <w:noProof/>
          <w:sz w:val="24"/>
          <w:szCs w:val="24"/>
        </w:rPr>
        <w:t>, chemicals</w:t>
      </w:r>
      <w:r w:rsidR="00131917">
        <w:rPr>
          <w:noProof/>
          <w:sz w:val="24"/>
          <w:szCs w:val="24"/>
        </w:rPr>
        <w:t>, foodstuffs</w:t>
      </w:r>
      <w:r w:rsidR="00961B9F" w:rsidRPr="00C239F1">
        <w:rPr>
          <w:noProof/>
          <w:sz w:val="24"/>
          <w:szCs w:val="24"/>
        </w:rPr>
        <w:t xml:space="preserve"> or construction materials</w:t>
      </w:r>
      <w:r w:rsidR="003A0FD4" w:rsidRPr="00C239F1">
        <w:rPr>
          <w:noProof/>
          <w:sz w:val="24"/>
          <w:szCs w:val="24"/>
        </w:rPr>
        <w:t xml:space="preserve"> like asbestos</w:t>
      </w:r>
      <w:r w:rsidR="00BE5DBE" w:rsidRPr="00C239F1">
        <w:rPr>
          <w:noProof/>
          <w:sz w:val="24"/>
          <w:szCs w:val="24"/>
        </w:rPr>
        <w:t>, and that this disproportionately limits access to justice</w:t>
      </w:r>
      <w:r w:rsidR="00715545" w:rsidRPr="00C239F1">
        <w:rPr>
          <w:noProof/>
          <w:sz w:val="24"/>
          <w:szCs w:val="24"/>
        </w:rPr>
        <w:t>.</w:t>
      </w:r>
      <w:r w:rsidR="00175AFE" w:rsidRPr="00C239F1">
        <w:rPr>
          <w:noProof/>
          <w:sz w:val="24"/>
          <w:szCs w:val="24"/>
        </w:rPr>
        <w:t xml:space="preserve"> </w:t>
      </w:r>
      <w:r w:rsidR="00131917" w:rsidRPr="00D2302D">
        <w:rPr>
          <w:noProof/>
          <w:sz w:val="24"/>
          <w:szCs w:val="24"/>
        </w:rPr>
        <w:t xml:space="preserve">Pharmaceuticals, </w:t>
      </w:r>
      <w:r w:rsidR="00CB2952" w:rsidRPr="00D2302D">
        <w:rPr>
          <w:noProof/>
          <w:sz w:val="24"/>
          <w:szCs w:val="24"/>
        </w:rPr>
        <w:t xml:space="preserve">chemicals </w:t>
      </w:r>
      <w:r w:rsidR="00131917" w:rsidRPr="00D2302D">
        <w:rPr>
          <w:noProof/>
          <w:sz w:val="24"/>
          <w:szCs w:val="24"/>
        </w:rPr>
        <w:t xml:space="preserve">and foodstuffs </w:t>
      </w:r>
      <w:r w:rsidR="00CB2952" w:rsidRPr="00D2302D">
        <w:rPr>
          <w:noProof/>
          <w:sz w:val="24"/>
          <w:szCs w:val="24"/>
        </w:rPr>
        <w:t xml:space="preserve">account for </w:t>
      </w:r>
      <w:r w:rsidR="009D6683" w:rsidRPr="00D2302D">
        <w:rPr>
          <w:noProof/>
          <w:sz w:val="24"/>
          <w:szCs w:val="24"/>
        </w:rPr>
        <w:t>2</w:t>
      </w:r>
      <w:r w:rsidR="006C405F" w:rsidRPr="00D2302D">
        <w:rPr>
          <w:noProof/>
          <w:sz w:val="24"/>
          <w:szCs w:val="24"/>
        </w:rPr>
        <w:t>6</w:t>
      </w:r>
      <w:r w:rsidR="009D6683" w:rsidRPr="00D2302D">
        <w:rPr>
          <w:noProof/>
          <w:sz w:val="24"/>
          <w:szCs w:val="24"/>
        </w:rPr>
        <w:t>.</w:t>
      </w:r>
      <w:r w:rsidR="006C405F" w:rsidRPr="00D2302D">
        <w:rPr>
          <w:noProof/>
          <w:sz w:val="24"/>
          <w:szCs w:val="24"/>
        </w:rPr>
        <w:t>3</w:t>
      </w:r>
      <w:r w:rsidR="00CB2952" w:rsidRPr="00D2302D">
        <w:rPr>
          <w:noProof/>
          <w:sz w:val="24"/>
          <w:szCs w:val="24"/>
        </w:rPr>
        <w:t xml:space="preserve">% of </w:t>
      </w:r>
      <w:r w:rsidR="005647AC" w:rsidRPr="00D2302D">
        <w:rPr>
          <w:noProof/>
          <w:sz w:val="24"/>
          <w:szCs w:val="24"/>
        </w:rPr>
        <w:t>product liability</w:t>
      </w:r>
      <w:r w:rsidR="00CB2952" w:rsidRPr="00D2302D">
        <w:rPr>
          <w:noProof/>
          <w:sz w:val="24"/>
          <w:szCs w:val="24"/>
        </w:rPr>
        <w:t xml:space="preserve"> cases</w:t>
      </w:r>
      <w:r w:rsidR="0036210D" w:rsidRPr="00D2302D">
        <w:rPr>
          <w:rStyle w:val="FootnoteReference"/>
          <w:noProof/>
          <w:sz w:val="24"/>
          <w:szCs w:val="24"/>
        </w:rPr>
        <w:footnoteReference w:id="130"/>
      </w:r>
      <w:r w:rsidR="00CB2952" w:rsidRPr="00D2302D">
        <w:rPr>
          <w:noProof/>
          <w:sz w:val="24"/>
          <w:szCs w:val="24"/>
        </w:rPr>
        <w:t xml:space="preserve">, or an average </w:t>
      </w:r>
      <w:r w:rsidR="004D147B" w:rsidRPr="00D2302D">
        <w:rPr>
          <w:noProof/>
          <w:sz w:val="24"/>
          <w:szCs w:val="24"/>
        </w:rPr>
        <w:t xml:space="preserve">12 </w:t>
      </w:r>
      <w:r w:rsidR="00CB2952" w:rsidRPr="00D2302D">
        <w:rPr>
          <w:noProof/>
          <w:sz w:val="24"/>
          <w:szCs w:val="24"/>
        </w:rPr>
        <w:t xml:space="preserve">cases per year, but long latency periods are </w:t>
      </w:r>
      <w:r w:rsidR="009D6683" w:rsidRPr="00D2302D">
        <w:rPr>
          <w:noProof/>
          <w:sz w:val="24"/>
          <w:szCs w:val="24"/>
        </w:rPr>
        <w:t xml:space="preserve">very </w:t>
      </w:r>
      <w:r w:rsidR="00CB2952" w:rsidRPr="00D2302D">
        <w:rPr>
          <w:noProof/>
          <w:sz w:val="24"/>
          <w:szCs w:val="24"/>
        </w:rPr>
        <w:t>rare</w:t>
      </w:r>
      <w:r w:rsidR="00CB2952" w:rsidRPr="00D2302D">
        <w:rPr>
          <w:rStyle w:val="FootnoteReference"/>
          <w:noProof/>
          <w:color w:val="242424"/>
          <w:sz w:val="24"/>
          <w:szCs w:val="24"/>
          <w:shd w:val="clear" w:color="auto" w:fill="FFFFFF"/>
        </w:rPr>
        <w:footnoteReference w:id="131"/>
      </w:r>
      <w:r w:rsidR="00CB2952" w:rsidRPr="00D2302D">
        <w:rPr>
          <w:noProof/>
          <w:sz w:val="24"/>
          <w:szCs w:val="24"/>
        </w:rPr>
        <w:t>.</w:t>
      </w:r>
      <w:r w:rsidR="00CB2952">
        <w:rPr>
          <w:noProof/>
          <w:sz w:val="24"/>
          <w:szCs w:val="24"/>
        </w:rPr>
        <w:t xml:space="preserve"> </w:t>
      </w:r>
      <w:r w:rsidR="00EF56D4" w:rsidRPr="00D2302D">
        <w:rPr>
          <w:noProof/>
          <w:sz w:val="24"/>
          <w:szCs w:val="24"/>
        </w:rPr>
        <w:t>One</w:t>
      </w:r>
      <w:r w:rsidR="00961B9F" w:rsidRPr="00C239F1">
        <w:rPr>
          <w:noProof/>
          <w:sz w:val="24"/>
          <w:szCs w:val="24"/>
        </w:rPr>
        <w:t xml:space="preserve"> example</w:t>
      </w:r>
      <w:r w:rsidR="00EF56D4">
        <w:rPr>
          <w:noProof/>
          <w:sz w:val="24"/>
          <w:szCs w:val="24"/>
        </w:rPr>
        <w:t xml:space="preserve"> that</w:t>
      </w:r>
      <w:r w:rsidR="00961B9F" w:rsidRPr="00C239F1">
        <w:rPr>
          <w:noProof/>
          <w:sz w:val="24"/>
          <w:szCs w:val="24"/>
        </w:rPr>
        <w:t xml:space="preserve"> representatives of pharmaceutical victims</w:t>
      </w:r>
      <w:r w:rsidR="00A75B49" w:rsidRPr="00C239F1">
        <w:rPr>
          <w:noProof/>
          <w:sz w:val="24"/>
          <w:szCs w:val="24"/>
        </w:rPr>
        <w:t xml:space="preserve"> have</w:t>
      </w:r>
      <w:r w:rsidR="00961B9F" w:rsidRPr="00C239F1">
        <w:rPr>
          <w:noProof/>
          <w:sz w:val="24"/>
          <w:szCs w:val="24"/>
        </w:rPr>
        <w:t xml:space="preserve"> point</w:t>
      </w:r>
      <w:r w:rsidR="00A75B49" w:rsidRPr="00C239F1">
        <w:rPr>
          <w:noProof/>
          <w:sz w:val="24"/>
          <w:szCs w:val="24"/>
        </w:rPr>
        <w:t>ed</w:t>
      </w:r>
      <w:r w:rsidR="00961B9F" w:rsidRPr="00C239F1">
        <w:rPr>
          <w:noProof/>
          <w:sz w:val="24"/>
          <w:szCs w:val="24"/>
        </w:rPr>
        <w:t xml:space="preserve"> </w:t>
      </w:r>
      <w:r w:rsidR="00EF56D4">
        <w:rPr>
          <w:noProof/>
          <w:sz w:val="24"/>
          <w:szCs w:val="24"/>
        </w:rPr>
        <w:t>to is</w:t>
      </w:r>
      <w:r w:rsidR="00961B9F" w:rsidRPr="00C239F1">
        <w:rPr>
          <w:noProof/>
          <w:sz w:val="24"/>
          <w:szCs w:val="24"/>
        </w:rPr>
        <w:t xml:space="preserve"> </w:t>
      </w:r>
      <w:r w:rsidR="00AB5CD4" w:rsidRPr="00C239F1">
        <w:rPr>
          <w:noProof/>
          <w:sz w:val="24"/>
          <w:szCs w:val="24"/>
        </w:rPr>
        <w:t>Sodium Valproate (Depakine)</w:t>
      </w:r>
      <w:r w:rsidR="00175AFE" w:rsidRPr="00C239F1">
        <w:rPr>
          <w:noProof/>
          <w:sz w:val="24"/>
          <w:szCs w:val="24"/>
        </w:rPr>
        <w:t xml:space="preserve">, </w:t>
      </w:r>
      <w:r w:rsidR="00961B9F" w:rsidRPr="00C239F1">
        <w:rPr>
          <w:noProof/>
          <w:sz w:val="24"/>
          <w:szCs w:val="24"/>
        </w:rPr>
        <w:t xml:space="preserve">a medicine prescribed to pregnant women until 1971, has severe adverse effects, including </w:t>
      </w:r>
      <w:r w:rsidR="00AC61AD" w:rsidRPr="00C239F1">
        <w:rPr>
          <w:noProof/>
          <w:sz w:val="24"/>
          <w:szCs w:val="24"/>
        </w:rPr>
        <w:t>for subsequent generations</w:t>
      </w:r>
      <w:r w:rsidR="000D1999" w:rsidRPr="00C239F1">
        <w:rPr>
          <w:noProof/>
          <w:sz w:val="24"/>
          <w:szCs w:val="24"/>
        </w:rPr>
        <w:t xml:space="preserve">, </w:t>
      </w:r>
      <w:r w:rsidR="00C239F1">
        <w:rPr>
          <w:noProof/>
          <w:sz w:val="24"/>
          <w:szCs w:val="24"/>
        </w:rPr>
        <w:t>which</w:t>
      </w:r>
      <w:r w:rsidR="000D1999" w:rsidRPr="00C239F1">
        <w:rPr>
          <w:noProof/>
          <w:sz w:val="24"/>
          <w:szCs w:val="24"/>
        </w:rPr>
        <w:t xml:space="preserve"> emerge after </w:t>
      </w:r>
      <w:r w:rsidR="00615A92" w:rsidRPr="00C239F1">
        <w:rPr>
          <w:noProof/>
          <w:sz w:val="24"/>
          <w:szCs w:val="24"/>
        </w:rPr>
        <w:t>expiry of the 10-year period</w:t>
      </w:r>
      <w:r w:rsidR="00AC61AD" w:rsidRPr="00C239F1">
        <w:rPr>
          <w:rStyle w:val="FootnoteReference"/>
          <w:noProof/>
          <w:sz w:val="24"/>
          <w:szCs w:val="24"/>
        </w:rPr>
        <w:footnoteReference w:id="132"/>
      </w:r>
      <w:r w:rsidR="00961B9F" w:rsidRPr="00C239F1">
        <w:rPr>
          <w:noProof/>
          <w:sz w:val="24"/>
          <w:szCs w:val="24"/>
        </w:rPr>
        <w:t>.</w:t>
      </w:r>
      <w:r w:rsidR="00615A92" w:rsidRPr="00C239F1">
        <w:rPr>
          <w:noProof/>
          <w:sz w:val="24"/>
          <w:szCs w:val="24"/>
        </w:rPr>
        <w:t xml:space="preserve"> </w:t>
      </w:r>
      <w:r w:rsidR="003A0FD4" w:rsidRPr="00C239F1">
        <w:rPr>
          <w:noProof/>
          <w:sz w:val="24"/>
          <w:szCs w:val="24"/>
        </w:rPr>
        <w:t xml:space="preserve">In such cases it is </w:t>
      </w:r>
      <w:r w:rsidR="00FE2B72" w:rsidRPr="00C239F1">
        <w:rPr>
          <w:noProof/>
          <w:sz w:val="24"/>
          <w:szCs w:val="24"/>
        </w:rPr>
        <w:t xml:space="preserve">not </w:t>
      </w:r>
      <w:r w:rsidR="003A0FD4" w:rsidRPr="00C239F1">
        <w:rPr>
          <w:noProof/>
          <w:sz w:val="24"/>
          <w:szCs w:val="24"/>
        </w:rPr>
        <w:t>possible to make a compensation claim under the PLD</w:t>
      </w:r>
      <w:r w:rsidR="00FE2B72" w:rsidRPr="00C239F1">
        <w:rPr>
          <w:noProof/>
          <w:sz w:val="24"/>
          <w:szCs w:val="24"/>
        </w:rPr>
        <w:t xml:space="preserve"> and a claimant would have to rely on fault-based national rules to seek compensation</w:t>
      </w:r>
      <w:r w:rsidR="003A0FD4" w:rsidRPr="00C239F1">
        <w:rPr>
          <w:noProof/>
          <w:sz w:val="24"/>
          <w:szCs w:val="24"/>
        </w:rPr>
        <w:t xml:space="preserve">. </w:t>
      </w:r>
      <w:r w:rsidR="00FE2B72" w:rsidRPr="00C239F1">
        <w:rPr>
          <w:noProof/>
          <w:sz w:val="24"/>
          <w:szCs w:val="24"/>
        </w:rPr>
        <w:t>T</w:t>
      </w:r>
      <w:r w:rsidR="003A0FD4" w:rsidRPr="00C239F1">
        <w:rPr>
          <w:noProof/>
          <w:sz w:val="24"/>
          <w:szCs w:val="24"/>
        </w:rPr>
        <w:t xml:space="preserve">he European Court on Human Rights </w:t>
      </w:r>
      <w:r w:rsidR="00FE2B72" w:rsidRPr="00C239F1">
        <w:rPr>
          <w:noProof/>
          <w:sz w:val="24"/>
          <w:szCs w:val="24"/>
        </w:rPr>
        <w:t xml:space="preserve">too </w:t>
      </w:r>
      <w:r w:rsidR="003A0FD4" w:rsidRPr="00C239F1">
        <w:rPr>
          <w:noProof/>
          <w:sz w:val="24"/>
          <w:szCs w:val="24"/>
        </w:rPr>
        <w:t>has ruled that time limits have consequences for</w:t>
      </w:r>
      <w:r w:rsidR="001727FF" w:rsidRPr="00C239F1">
        <w:rPr>
          <w:noProof/>
          <w:sz w:val="24"/>
          <w:szCs w:val="24"/>
        </w:rPr>
        <w:t xml:space="preserve"> access to justice. I</w:t>
      </w:r>
      <w:r w:rsidR="00A75B49" w:rsidRPr="00C239F1">
        <w:rPr>
          <w:noProof/>
          <w:sz w:val="24"/>
          <w:szCs w:val="24"/>
        </w:rPr>
        <w:t>n respect of a Swiss law that set a 10-year limit for claiming compensation for diseases caused by asbestos, the Court ruled that applying the time limit “to persons suffering from disease</w:t>
      </w:r>
      <w:r w:rsidR="000755C6" w:rsidRPr="00C239F1">
        <w:rPr>
          <w:noProof/>
          <w:sz w:val="24"/>
          <w:szCs w:val="24"/>
        </w:rPr>
        <w:t>s</w:t>
      </w:r>
      <w:r w:rsidR="00A75B49" w:rsidRPr="00C239F1">
        <w:rPr>
          <w:noProof/>
          <w:sz w:val="24"/>
          <w:szCs w:val="24"/>
        </w:rPr>
        <w:t xml:space="preserve"> </w:t>
      </w:r>
      <w:r w:rsidR="00A75B49" w:rsidRPr="00C239F1">
        <w:rPr>
          <w:noProof/>
          <w:sz w:val="24"/>
          <w:szCs w:val="24"/>
          <w:lang w:val="en-IE"/>
        </w:rPr>
        <w:t>which</w:t>
      </w:r>
      <w:r w:rsidR="00781277">
        <w:rPr>
          <w:noProof/>
          <w:sz w:val="24"/>
          <w:szCs w:val="24"/>
          <w:lang w:val="en-IE"/>
        </w:rPr>
        <w:t xml:space="preserve"> </w:t>
      </w:r>
      <w:r w:rsidR="00A75B49" w:rsidRPr="00C239F1">
        <w:rPr>
          <w:noProof/>
          <w:sz w:val="24"/>
          <w:szCs w:val="24"/>
          <w:lang w:val="en-IE"/>
        </w:rPr>
        <w:t>could not be diagnosed until many years after the triggering events, was liable to deprive those persons of the opportunity to assert their claims before the courts”</w:t>
      </w:r>
      <w:r w:rsidR="00A75B49" w:rsidRPr="00C239F1">
        <w:rPr>
          <w:rStyle w:val="FootnoteReference"/>
          <w:noProof/>
          <w:sz w:val="24"/>
          <w:szCs w:val="24"/>
          <w:lang w:val="en-IE"/>
        </w:rPr>
        <w:footnoteReference w:id="133"/>
      </w:r>
      <w:r w:rsidR="00A75B49" w:rsidRPr="00C239F1">
        <w:rPr>
          <w:noProof/>
          <w:sz w:val="24"/>
          <w:szCs w:val="24"/>
          <w:lang w:val="en-IE"/>
        </w:rPr>
        <w:t>.</w:t>
      </w:r>
      <w:r w:rsidR="003919AB" w:rsidRPr="00C239F1">
        <w:rPr>
          <w:noProof/>
          <w:sz w:val="24"/>
          <w:szCs w:val="24"/>
          <w:lang w:val="en-IE"/>
        </w:rPr>
        <w:t xml:space="preserve"> </w:t>
      </w:r>
    </w:p>
    <w:p w14:paraId="6CC7DACD" w14:textId="71D5A36F" w:rsidR="00FE2B72" w:rsidRPr="00C239F1" w:rsidRDefault="00895567" w:rsidP="00C239F1">
      <w:pPr>
        <w:spacing w:after="240" w:line="240" w:lineRule="auto"/>
        <w:jc w:val="both"/>
        <w:rPr>
          <w:noProof/>
          <w:sz w:val="24"/>
          <w:szCs w:val="24"/>
        </w:rPr>
      </w:pPr>
      <w:r>
        <w:rPr>
          <w:noProof/>
          <w:sz w:val="24"/>
          <w:szCs w:val="24"/>
        </w:rPr>
        <w:t>In respect of</w:t>
      </w:r>
      <w:r w:rsidR="003A0FD4" w:rsidRPr="00C239F1">
        <w:rPr>
          <w:noProof/>
          <w:sz w:val="24"/>
          <w:szCs w:val="24"/>
        </w:rPr>
        <w:t xml:space="preserve"> the three-year time limit to start legal proceedings</w:t>
      </w:r>
      <w:r>
        <w:rPr>
          <w:noProof/>
          <w:sz w:val="24"/>
          <w:szCs w:val="24"/>
        </w:rPr>
        <w:t>,</w:t>
      </w:r>
      <w:r w:rsidR="003A0FD4" w:rsidRPr="00C239F1">
        <w:rPr>
          <w:noProof/>
          <w:sz w:val="24"/>
          <w:szCs w:val="24"/>
        </w:rPr>
        <w:t xml:space="preserve"> </w:t>
      </w:r>
      <w:r>
        <w:rPr>
          <w:noProof/>
          <w:sz w:val="24"/>
          <w:szCs w:val="24"/>
        </w:rPr>
        <w:t>p</w:t>
      </w:r>
      <w:r w:rsidRPr="00C239F1">
        <w:rPr>
          <w:noProof/>
          <w:sz w:val="24"/>
          <w:szCs w:val="24"/>
        </w:rPr>
        <w:t>ersonal</w:t>
      </w:r>
      <w:r>
        <w:rPr>
          <w:noProof/>
          <w:sz w:val="24"/>
          <w:szCs w:val="24"/>
        </w:rPr>
        <w:t>-</w:t>
      </w:r>
      <w:r w:rsidR="00362352" w:rsidRPr="00C239F1">
        <w:rPr>
          <w:noProof/>
          <w:sz w:val="24"/>
          <w:szCs w:val="24"/>
        </w:rPr>
        <w:t>injury</w:t>
      </w:r>
      <w:r w:rsidR="002350D6" w:rsidRPr="00C239F1">
        <w:rPr>
          <w:noProof/>
          <w:sz w:val="24"/>
          <w:szCs w:val="24"/>
        </w:rPr>
        <w:t xml:space="preserve"> lawyers</w:t>
      </w:r>
      <w:r w:rsidR="001D143E" w:rsidRPr="00C239F1">
        <w:rPr>
          <w:rStyle w:val="FootnoteReference"/>
          <w:noProof/>
          <w:sz w:val="24"/>
          <w:szCs w:val="24"/>
        </w:rPr>
        <w:footnoteReference w:id="134"/>
      </w:r>
      <w:r w:rsidR="002350D6" w:rsidRPr="00C239F1">
        <w:rPr>
          <w:noProof/>
          <w:sz w:val="24"/>
          <w:szCs w:val="24"/>
        </w:rPr>
        <w:t xml:space="preserve"> </w:t>
      </w:r>
      <w:r>
        <w:rPr>
          <w:noProof/>
          <w:sz w:val="24"/>
          <w:szCs w:val="24"/>
        </w:rPr>
        <w:t>and a French patient organisation</w:t>
      </w:r>
      <w:r>
        <w:rPr>
          <w:rStyle w:val="FootnoteReference"/>
          <w:noProof/>
          <w:sz w:val="24"/>
          <w:szCs w:val="24"/>
        </w:rPr>
        <w:footnoteReference w:id="135"/>
      </w:r>
      <w:r>
        <w:rPr>
          <w:noProof/>
          <w:sz w:val="24"/>
          <w:szCs w:val="24"/>
        </w:rPr>
        <w:t xml:space="preserve"> argued</w:t>
      </w:r>
      <w:r w:rsidR="002350D6" w:rsidRPr="00C239F1">
        <w:rPr>
          <w:noProof/>
          <w:sz w:val="24"/>
          <w:szCs w:val="24"/>
        </w:rPr>
        <w:t xml:space="preserve"> </w:t>
      </w:r>
      <w:r w:rsidR="003919AB" w:rsidRPr="00C239F1">
        <w:rPr>
          <w:noProof/>
          <w:sz w:val="24"/>
          <w:szCs w:val="24"/>
        </w:rPr>
        <w:t xml:space="preserve">it can be too short in the case of </w:t>
      </w:r>
      <w:r>
        <w:rPr>
          <w:noProof/>
          <w:sz w:val="24"/>
          <w:szCs w:val="24"/>
        </w:rPr>
        <w:t>personal</w:t>
      </w:r>
      <w:r w:rsidR="003919AB" w:rsidRPr="00C239F1">
        <w:rPr>
          <w:noProof/>
          <w:sz w:val="24"/>
          <w:szCs w:val="24"/>
        </w:rPr>
        <w:t xml:space="preserve"> injuries, since </w:t>
      </w:r>
      <w:r w:rsidR="00362352" w:rsidRPr="00C239F1">
        <w:rPr>
          <w:noProof/>
          <w:sz w:val="24"/>
          <w:szCs w:val="24"/>
        </w:rPr>
        <w:t>gathering evidence before starting proc</w:t>
      </w:r>
      <w:r w:rsidR="003919AB" w:rsidRPr="00C239F1">
        <w:rPr>
          <w:noProof/>
          <w:sz w:val="24"/>
          <w:szCs w:val="24"/>
        </w:rPr>
        <w:t>eedings takes considerable time</w:t>
      </w:r>
      <w:r>
        <w:rPr>
          <w:noProof/>
          <w:sz w:val="24"/>
          <w:szCs w:val="24"/>
        </w:rPr>
        <w:t>, and</w:t>
      </w:r>
      <w:r w:rsidR="002350D6" w:rsidRPr="00C239F1">
        <w:rPr>
          <w:noProof/>
          <w:sz w:val="24"/>
          <w:szCs w:val="24"/>
        </w:rPr>
        <w:t xml:space="preserve"> victims </w:t>
      </w:r>
      <w:r>
        <w:rPr>
          <w:noProof/>
          <w:sz w:val="24"/>
          <w:szCs w:val="24"/>
        </w:rPr>
        <w:t>may be</w:t>
      </w:r>
      <w:r w:rsidR="002350D6" w:rsidRPr="00C239F1">
        <w:rPr>
          <w:noProof/>
          <w:sz w:val="24"/>
          <w:szCs w:val="24"/>
        </w:rPr>
        <w:t xml:space="preserve"> recovering from </w:t>
      </w:r>
      <w:r w:rsidR="00362352" w:rsidRPr="00C239F1">
        <w:rPr>
          <w:noProof/>
          <w:sz w:val="24"/>
          <w:szCs w:val="24"/>
        </w:rPr>
        <w:t>injuries</w:t>
      </w:r>
      <w:r w:rsidR="002350D6" w:rsidRPr="00C239F1">
        <w:rPr>
          <w:noProof/>
          <w:sz w:val="24"/>
          <w:szCs w:val="24"/>
        </w:rPr>
        <w:t xml:space="preserve"> during that period. </w:t>
      </w:r>
      <w:r w:rsidR="003919AB" w:rsidRPr="00C239F1">
        <w:rPr>
          <w:noProof/>
          <w:sz w:val="24"/>
          <w:szCs w:val="24"/>
        </w:rPr>
        <w:t xml:space="preserve">However, the extent of this problem is mitigated by the </w:t>
      </w:r>
      <w:r w:rsidR="00FE2B72" w:rsidRPr="00C239F1">
        <w:rPr>
          <w:noProof/>
          <w:sz w:val="24"/>
          <w:szCs w:val="24"/>
        </w:rPr>
        <w:t xml:space="preserve">fact that the PLD permits Member States to suspend or interrupt the </w:t>
      </w:r>
      <w:r w:rsidR="00362352" w:rsidRPr="00C239F1">
        <w:rPr>
          <w:noProof/>
          <w:sz w:val="24"/>
          <w:szCs w:val="24"/>
        </w:rPr>
        <w:t>three-year period</w:t>
      </w:r>
      <w:r w:rsidR="001E7EA4" w:rsidRPr="00C239F1">
        <w:rPr>
          <w:noProof/>
          <w:sz w:val="24"/>
          <w:szCs w:val="24"/>
        </w:rPr>
        <w:t xml:space="preserve"> according to their national rules</w:t>
      </w:r>
      <w:r w:rsidR="00FE2B72" w:rsidRPr="00C239F1">
        <w:rPr>
          <w:noProof/>
          <w:sz w:val="24"/>
          <w:szCs w:val="24"/>
        </w:rPr>
        <w:t>, for example in the case of disability or where it is otherwise equitable to do so. No such possibility exists to extend the 10-year time limit.</w:t>
      </w:r>
    </w:p>
    <w:p w14:paraId="131CB869" w14:textId="3B512A26" w:rsidR="00AA3A96" w:rsidRPr="003F01BB" w:rsidRDefault="00141818" w:rsidP="00DD3B24">
      <w:pPr>
        <w:pStyle w:val="Heading4"/>
        <w:numPr>
          <w:ilvl w:val="3"/>
          <w:numId w:val="30"/>
        </w:numPr>
        <w:ind w:left="720" w:hanging="720"/>
        <w:rPr>
          <w:noProof/>
        </w:rPr>
      </w:pPr>
      <w:r w:rsidRPr="003F01BB">
        <w:rPr>
          <w:noProof/>
        </w:rPr>
        <w:t xml:space="preserve"> </w:t>
      </w:r>
      <w:bookmarkStart w:id="208" w:name="_Toc88668057"/>
      <w:bookmarkStart w:id="209" w:name="_Toc90058704"/>
      <w:r w:rsidRPr="003F01BB">
        <w:rPr>
          <w:noProof/>
        </w:rPr>
        <w:t>No liability for property damage worth less than EUR 500</w:t>
      </w:r>
      <w:bookmarkEnd w:id="208"/>
      <w:bookmarkEnd w:id="209"/>
    </w:p>
    <w:p w14:paraId="40538743" w14:textId="236FD6E3" w:rsidR="00141818" w:rsidRPr="00C239F1" w:rsidRDefault="00A34B5B" w:rsidP="00C239F1">
      <w:pPr>
        <w:spacing w:after="240" w:line="240" w:lineRule="auto"/>
        <w:jc w:val="both"/>
        <w:rPr>
          <w:noProof/>
          <w:sz w:val="24"/>
          <w:szCs w:val="24"/>
        </w:rPr>
      </w:pPr>
      <w:r w:rsidRPr="00C239F1">
        <w:rPr>
          <w:noProof/>
          <w:sz w:val="24"/>
          <w:szCs w:val="24"/>
        </w:rPr>
        <w:t xml:space="preserve">Producers do not have to </w:t>
      </w:r>
      <w:r w:rsidR="0088069B" w:rsidRPr="00C239F1">
        <w:rPr>
          <w:noProof/>
          <w:sz w:val="24"/>
          <w:szCs w:val="24"/>
        </w:rPr>
        <w:t>provide compensation under the PLD for</w:t>
      </w:r>
      <w:r w:rsidRPr="00C239F1">
        <w:rPr>
          <w:noProof/>
          <w:sz w:val="24"/>
          <w:szCs w:val="24"/>
        </w:rPr>
        <w:t xml:space="preserve"> damage to consumer property amounting to less than EUR 500. The </w:t>
      </w:r>
      <w:r w:rsidR="0088069B" w:rsidRPr="00C239F1">
        <w:rPr>
          <w:noProof/>
          <w:sz w:val="24"/>
          <w:szCs w:val="24"/>
        </w:rPr>
        <w:t xml:space="preserve">purpose of </w:t>
      </w:r>
      <w:r w:rsidRPr="00C239F1">
        <w:rPr>
          <w:noProof/>
          <w:sz w:val="24"/>
          <w:szCs w:val="24"/>
        </w:rPr>
        <w:t>the threshold was to avoid excessive litigation</w:t>
      </w:r>
      <w:r w:rsidR="0088069B" w:rsidRPr="00C239F1">
        <w:rPr>
          <w:noProof/>
          <w:sz w:val="24"/>
          <w:szCs w:val="24"/>
        </w:rPr>
        <w:t xml:space="preserve"> and was conceived as part of the balance of producers’ and consumers’ interests. </w:t>
      </w:r>
      <w:r w:rsidR="004126F7">
        <w:rPr>
          <w:noProof/>
          <w:sz w:val="24"/>
          <w:szCs w:val="24"/>
        </w:rPr>
        <w:t>T</w:t>
      </w:r>
      <w:r w:rsidR="0088069B" w:rsidRPr="00C239F1">
        <w:rPr>
          <w:noProof/>
          <w:sz w:val="24"/>
          <w:szCs w:val="24"/>
        </w:rPr>
        <w:t xml:space="preserve">he 2018 evaluation found that </w:t>
      </w:r>
      <w:r w:rsidR="006E200A">
        <w:rPr>
          <w:noProof/>
          <w:sz w:val="24"/>
          <w:szCs w:val="24"/>
        </w:rPr>
        <w:t xml:space="preserve">the </w:t>
      </w:r>
      <w:r w:rsidR="004126F7">
        <w:rPr>
          <w:noProof/>
          <w:sz w:val="24"/>
          <w:szCs w:val="24"/>
        </w:rPr>
        <w:t xml:space="preserve">threshold overly limited claims for property damage, which </w:t>
      </w:r>
      <w:r w:rsidR="006B3E16" w:rsidRPr="00C239F1">
        <w:rPr>
          <w:noProof/>
          <w:sz w:val="24"/>
          <w:szCs w:val="24"/>
        </w:rPr>
        <w:t>undermine</w:t>
      </w:r>
      <w:r w:rsidR="006E200A">
        <w:rPr>
          <w:noProof/>
          <w:sz w:val="24"/>
          <w:szCs w:val="24"/>
        </w:rPr>
        <w:t>d</w:t>
      </w:r>
      <w:r w:rsidR="006B3E16" w:rsidRPr="00C239F1">
        <w:rPr>
          <w:noProof/>
          <w:sz w:val="24"/>
          <w:szCs w:val="24"/>
        </w:rPr>
        <w:t xml:space="preserve"> the effectiveness of the PLD in protecting consumer property</w:t>
      </w:r>
      <w:r w:rsidR="004126F7" w:rsidRPr="00C239F1">
        <w:rPr>
          <w:rStyle w:val="FootnoteReference"/>
          <w:noProof/>
          <w:sz w:val="24"/>
          <w:szCs w:val="24"/>
        </w:rPr>
        <w:footnoteReference w:id="136"/>
      </w:r>
      <w:r w:rsidR="006B3E16" w:rsidRPr="00C239F1">
        <w:rPr>
          <w:noProof/>
          <w:sz w:val="24"/>
          <w:szCs w:val="24"/>
        </w:rPr>
        <w:t>.</w:t>
      </w:r>
      <w:r w:rsidR="006E200A">
        <w:rPr>
          <w:noProof/>
          <w:sz w:val="24"/>
          <w:szCs w:val="24"/>
        </w:rPr>
        <w:t xml:space="preserve"> </w:t>
      </w:r>
    </w:p>
    <w:p w14:paraId="76F09D02" w14:textId="717B1656" w:rsidR="00490C77" w:rsidRPr="00C239F1" w:rsidRDefault="00490C77" w:rsidP="00C239F1">
      <w:pPr>
        <w:spacing w:after="240" w:line="240" w:lineRule="auto"/>
        <w:jc w:val="both"/>
        <w:rPr>
          <w:noProof/>
          <w:sz w:val="24"/>
          <w:szCs w:val="24"/>
        </w:rPr>
      </w:pPr>
      <w:r w:rsidRPr="00C239F1">
        <w:rPr>
          <w:noProof/>
          <w:sz w:val="24"/>
          <w:szCs w:val="24"/>
        </w:rPr>
        <w:t>BEUC</w:t>
      </w:r>
      <w:r w:rsidR="002176BD">
        <w:rPr>
          <w:rStyle w:val="FootnoteReference"/>
          <w:noProof/>
          <w:sz w:val="24"/>
          <w:szCs w:val="24"/>
        </w:rPr>
        <w:footnoteReference w:id="137"/>
      </w:r>
      <w:r w:rsidRPr="00C239F1">
        <w:rPr>
          <w:noProof/>
          <w:sz w:val="24"/>
          <w:szCs w:val="24"/>
        </w:rPr>
        <w:t>, the consumer organisation, has argued that the thres</w:t>
      </w:r>
      <w:r w:rsidR="006A624F" w:rsidRPr="00C239F1">
        <w:rPr>
          <w:noProof/>
          <w:sz w:val="24"/>
          <w:szCs w:val="24"/>
        </w:rPr>
        <w:t xml:space="preserve">hold denies </w:t>
      </w:r>
      <w:r w:rsidR="0082530C">
        <w:rPr>
          <w:noProof/>
          <w:sz w:val="24"/>
          <w:szCs w:val="24"/>
        </w:rPr>
        <w:t>victims of property damage</w:t>
      </w:r>
      <w:r w:rsidR="006A624F" w:rsidRPr="00C239F1">
        <w:rPr>
          <w:noProof/>
          <w:sz w:val="24"/>
          <w:szCs w:val="24"/>
        </w:rPr>
        <w:t xml:space="preserve"> an effective remedy, a right enshrined in Article 47 of the Charter of Fundamental rights. The threshold also </w:t>
      </w:r>
      <w:r w:rsidR="004126F7">
        <w:rPr>
          <w:noProof/>
          <w:sz w:val="24"/>
          <w:szCs w:val="24"/>
        </w:rPr>
        <w:t>appears to be</w:t>
      </w:r>
      <w:r w:rsidR="006A624F" w:rsidRPr="00C239F1">
        <w:rPr>
          <w:noProof/>
          <w:sz w:val="24"/>
          <w:szCs w:val="24"/>
        </w:rPr>
        <w:t xml:space="preserve"> at odds with </w:t>
      </w:r>
      <w:r w:rsidR="00745168">
        <w:rPr>
          <w:noProof/>
          <w:sz w:val="24"/>
          <w:szCs w:val="24"/>
        </w:rPr>
        <w:t xml:space="preserve">the objectives of the </w:t>
      </w:r>
      <w:r w:rsidR="006A624F" w:rsidRPr="00C239F1">
        <w:rPr>
          <w:noProof/>
          <w:sz w:val="24"/>
          <w:szCs w:val="24"/>
          <w:lang w:eastAsia="da-DK"/>
        </w:rPr>
        <w:t>Directive on representative actions</w:t>
      </w:r>
      <w:r w:rsidR="006A624F" w:rsidRPr="00C239F1">
        <w:rPr>
          <w:rStyle w:val="FootnoteReference"/>
          <w:noProof/>
          <w:sz w:val="24"/>
          <w:szCs w:val="24"/>
          <w:lang w:eastAsia="da-DK"/>
        </w:rPr>
        <w:footnoteReference w:id="138"/>
      </w:r>
      <w:r w:rsidR="00D31DED" w:rsidRPr="00C239F1">
        <w:rPr>
          <w:noProof/>
          <w:sz w:val="24"/>
          <w:szCs w:val="24"/>
          <w:lang w:eastAsia="da-DK"/>
        </w:rPr>
        <w:t>, which</w:t>
      </w:r>
      <w:r w:rsidR="006A624F" w:rsidRPr="00C239F1">
        <w:rPr>
          <w:noProof/>
          <w:sz w:val="24"/>
          <w:szCs w:val="24"/>
          <w:lang w:eastAsia="da-DK"/>
        </w:rPr>
        <w:t xml:space="preserve"> seeks to ensure an effective remedy for infringements that harm the collective interests of consumers, especially where individual claims might be considered small in isolation. </w:t>
      </w:r>
      <w:r w:rsidR="00745168">
        <w:rPr>
          <w:noProof/>
          <w:sz w:val="24"/>
          <w:szCs w:val="24"/>
          <w:lang w:eastAsia="da-DK"/>
        </w:rPr>
        <w:t>That Directive explicitly lists PLD claims as falling within its scope</w:t>
      </w:r>
      <w:r w:rsidR="00745168">
        <w:rPr>
          <w:rStyle w:val="FootnoteReference"/>
          <w:noProof/>
          <w:sz w:val="24"/>
          <w:szCs w:val="24"/>
          <w:lang w:eastAsia="da-DK"/>
        </w:rPr>
        <w:footnoteReference w:id="139"/>
      </w:r>
      <w:r w:rsidR="00745168">
        <w:rPr>
          <w:noProof/>
          <w:sz w:val="24"/>
          <w:szCs w:val="24"/>
          <w:lang w:eastAsia="da-DK"/>
        </w:rPr>
        <w:t>, and yet the EUR 500 threshold excludes smaller claims from the outset</w:t>
      </w:r>
      <w:r w:rsidR="006A624F" w:rsidRPr="00C239F1">
        <w:rPr>
          <w:noProof/>
          <w:sz w:val="24"/>
          <w:szCs w:val="24"/>
          <w:lang w:eastAsia="da-DK"/>
        </w:rPr>
        <w:t>.</w:t>
      </w:r>
    </w:p>
    <w:p w14:paraId="4C338088" w14:textId="155DF18C" w:rsidR="00141818" w:rsidRPr="00C239F1" w:rsidRDefault="00094776" w:rsidP="00C239F1">
      <w:pPr>
        <w:spacing w:after="240" w:line="240" w:lineRule="auto"/>
        <w:jc w:val="both"/>
        <w:rPr>
          <w:noProof/>
          <w:sz w:val="24"/>
          <w:szCs w:val="24"/>
        </w:rPr>
      </w:pPr>
      <w:r>
        <w:rPr>
          <w:noProof/>
          <w:sz w:val="24"/>
          <w:szCs w:val="24"/>
        </w:rPr>
        <w:t>In the public consultation, 78% of non-business respondents considered the threshold an obstacle to getting compensation to a moderate, large or very large extent, compared to only 16% of businesses respondents</w:t>
      </w:r>
      <w:r>
        <w:rPr>
          <w:rStyle w:val="FootnoteReference"/>
          <w:noProof/>
          <w:sz w:val="24"/>
          <w:szCs w:val="24"/>
        </w:rPr>
        <w:footnoteReference w:id="140"/>
      </w:r>
      <w:r>
        <w:rPr>
          <w:noProof/>
          <w:sz w:val="24"/>
          <w:szCs w:val="24"/>
        </w:rPr>
        <w:t>. Indeed industry stakeholders have</w:t>
      </w:r>
      <w:r w:rsidR="00D31DED" w:rsidRPr="00C239F1">
        <w:rPr>
          <w:noProof/>
          <w:sz w:val="24"/>
          <w:szCs w:val="24"/>
        </w:rPr>
        <w:t xml:space="preserve"> argue</w:t>
      </w:r>
      <w:r>
        <w:rPr>
          <w:noProof/>
          <w:sz w:val="24"/>
          <w:szCs w:val="24"/>
        </w:rPr>
        <w:t>d</w:t>
      </w:r>
      <w:r w:rsidR="00D31DED" w:rsidRPr="00C239F1">
        <w:rPr>
          <w:noProof/>
          <w:sz w:val="24"/>
          <w:szCs w:val="24"/>
        </w:rPr>
        <w:t xml:space="preserve"> that </w:t>
      </w:r>
      <w:r w:rsidR="006A624F" w:rsidRPr="00C239F1">
        <w:rPr>
          <w:noProof/>
          <w:sz w:val="24"/>
          <w:szCs w:val="24"/>
        </w:rPr>
        <w:t xml:space="preserve">consumers have other routes to </w:t>
      </w:r>
      <w:r w:rsidR="00FA140D" w:rsidRPr="00C239F1">
        <w:rPr>
          <w:noProof/>
          <w:sz w:val="24"/>
          <w:szCs w:val="24"/>
        </w:rPr>
        <w:t>effective remedies</w:t>
      </w:r>
      <w:r w:rsidR="006A624F" w:rsidRPr="00C239F1">
        <w:rPr>
          <w:noProof/>
          <w:sz w:val="24"/>
          <w:szCs w:val="24"/>
        </w:rPr>
        <w:t xml:space="preserve">, such as </w:t>
      </w:r>
      <w:r w:rsidR="00FA140D" w:rsidRPr="00C239F1">
        <w:rPr>
          <w:noProof/>
          <w:sz w:val="24"/>
          <w:szCs w:val="24"/>
        </w:rPr>
        <w:t xml:space="preserve">under </w:t>
      </w:r>
      <w:r w:rsidR="006A624F" w:rsidRPr="00C239F1">
        <w:rPr>
          <w:noProof/>
          <w:sz w:val="24"/>
          <w:szCs w:val="24"/>
        </w:rPr>
        <w:t>national tort law or contract law. This suggests</w:t>
      </w:r>
      <w:r w:rsidR="006B3E16" w:rsidRPr="00C239F1">
        <w:rPr>
          <w:noProof/>
          <w:sz w:val="24"/>
          <w:szCs w:val="24"/>
        </w:rPr>
        <w:t>, however,</w:t>
      </w:r>
      <w:r w:rsidR="006A624F" w:rsidRPr="00C239F1">
        <w:rPr>
          <w:noProof/>
          <w:sz w:val="24"/>
          <w:szCs w:val="24"/>
        </w:rPr>
        <w:t xml:space="preserve"> that the threshold has not achieved its aim of reducing overall litigation, but </w:t>
      </w:r>
      <w:r w:rsidR="006B3E16" w:rsidRPr="00C239F1">
        <w:rPr>
          <w:noProof/>
          <w:sz w:val="24"/>
          <w:szCs w:val="24"/>
        </w:rPr>
        <w:t xml:space="preserve">has </w:t>
      </w:r>
      <w:r w:rsidR="006A624F" w:rsidRPr="00C239F1">
        <w:rPr>
          <w:noProof/>
          <w:sz w:val="24"/>
          <w:szCs w:val="24"/>
        </w:rPr>
        <w:t>merely displaced it away from the PLD</w:t>
      </w:r>
      <w:r w:rsidR="00490D7D">
        <w:rPr>
          <w:rStyle w:val="FootnoteReference"/>
          <w:noProof/>
          <w:sz w:val="24"/>
          <w:szCs w:val="24"/>
        </w:rPr>
        <w:footnoteReference w:id="141"/>
      </w:r>
      <w:r w:rsidR="006A624F" w:rsidRPr="00C239F1">
        <w:rPr>
          <w:noProof/>
          <w:sz w:val="24"/>
          <w:szCs w:val="24"/>
        </w:rPr>
        <w:t xml:space="preserve">. </w:t>
      </w:r>
    </w:p>
    <w:p w14:paraId="617348E1" w14:textId="2E4ABA53" w:rsidR="00D31DED" w:rsidRPr="00C239F1" w:rsidRDefault="00676440" w:rsidP="00C239F1">
      <w:pPr>
        <w:spacing w:after="240" w:line="240" w:lineRule="auto"/>
        <w:jc w:val="both"/>
        <w:rPr>
          <w:noProof/>
          <w:sz w:val="24"/>
          <w:szCs w:val="24"/>
        </w:rPr>
      </w:pPr>
      <w:r>
        <w:rPr>
          <w:noProof/>
          <w:sz w:val="24"/>
          <w:szCs w:val="24"/>
        </w:rPr>
        <w:t xml:space="preserve">In terms of consequences for the internal market, Romanian authorities </w:t>
      </w:r>
      <w:r w:rsidR="00BE0E73">
        <w:rPr>
          <w:noProof/>
          <w:sz w:val="24"/>
          <w:szCs w:val="24"/>
        </w:rPr>
        <w:t>have raised the concern</w:t>
      </w:r>
      <w:r>
        <w:rPr>
          <w:noProof/>
          <w:sz w:val="24"/>
          <w:szCs w:val="24"/>
        </w:rPr>
        <w:t xml:space="preserve"> that </w:t>
      </w:r>
      <w:r w:rsidR="00180560">
        <w:rPr>
          <w:noProof/>
          <w:sz w:val="24"/>
          <w:szCs w:val="24"/>
        </w:rPr>
        <w:t xml:space="preserve">the impacts on consumer protection of </w:t>
      </w:r>
      <w:r>
        <w:rPr>
          <w:noProof/>
          <w:sz w:val="24"/>
          <w:szCs w:val="24"/>
        </w:rPr>
        <w:t xml:space="preserve">a </w:t>
      </w:r>
      <w:r w:rsidR="00BE0E73">
        <w:rPr>
          <w:noProof/>
          <w:sz w:val="24"/>
          <w:szCs w:val="24"/>
        </w:rPr>
        <w:t xml:space="preserve">single </w:t>
      </w:r>
      <w:r>
        <w:rPr>
          <w:noProof/>
          <w:sz w:val="24"/>
          <w:szCs w:val="24"/>
        </w:rPr>
        <w:t xml:space="preserve">fixed threshold </w:t>
      </w:r>
      <w:r w:rsidR="00BE0E73">
        <w:rPr>
          <w:noProof/>
          <w:sz w:val="24"/>
          <w:szCs w:val="24"/>
        </w:rPr>
        <w:t xml:space="preserve">across the EU </w:t>
      </w:r>
      <w:r w:rsidR="00DE49E1">
        <w:rPr>
          <w:noProof/>
          <w:sz w:val="24"/>
          <w:szCs w:val="24"/>
        </w:rPr>
        <w:t>vary</w:t>
      </w:r>
      <w:r w:rsidR="00180560">
        <w:rPr>
          <w:noProof/>
          <w:sz w:val="24"/>
          <w:szCs w:val="24"/>
        </w:rPr>
        <w:t xml:space="preserve"> widely </w:t>
      </w:r>
      <w:r w:rsidR="00DE49E1">
        <w:rPr>
          <w:noProof/>
          <w:sz w:val="24"/>
          <w:szCs w:val="24"/>
        </w:rPr>
        <w:t xml:space="preserve">depending on </w:t>
      </w:r>
      <w:r w:rsidR="0062647D" w:rsidRPr="00DE49E1">
        <w:rPr>
          <w:noProof/>
          <w:sz w:val="24"/>
          <w:szCs w:val="24"/>
        </w:rPr>
        <w:t>price levels for consumer goods</w:t>
      </w:r>
      <w:r>
        <w:rPr>
          <w:noProof/>
          <w:sz w:val="24"/>
          <w:szCs w:val="24"/>
        </w:rPr>
        <w:t xml:space="preserve"> </w:t>
      </w:r>
      <w:r w:rsidR="00DE49E1">
        <w:rPr>
          <w:noProof/>
          <w:sz w:val="24"/>
          <w:szCs w:val="24"/>
        </w:rPr>
        <w:t>in each Member State</w:t>
      </w:r>
      <w:r w:rsidR="006F5BB1" w:rsidRPr="00DE49E1">
        <w:rPr>
          <w:noProof/>
          <w:sz w:val="24"/>
          <w:szCs w:val="24"/>
        </w:rPr>
        <w:t xml:space="preserve">, </w:t>
      </w:r>
      <w:r w:rsidR="008F2A53">
        <w:rPr>
          <w:noProof/>
          <w:sz w:val="24"/>
          <w:szCs w:val="24"/>
        </w:rPr>
        <w:t xml:space="preserve">because more </w:t>
      </w:r>
      <w:r w:rsidR="008F2A53" w:rsidRPr="00063B2A">
        <w:rPr>
          <w:noProof/>
          <w:sz w:val="24"/>
          <w:szCs w:val="24"/>
        </w:rPr>
        <w:t xml:space="preserve">consumer property falls below the threshold </w:t>
      </w:r>
      <w:r w:rsidR="00DE49E1">
        <w:rPr>
          <w:noProof/>
          <w:sz w:val="24"/>
          <w:szCs w:val="24"/>
        </w:rPr>
        <w:t xml:space="preserve">in </w:t>
      </w:r>
      <w:r w:rsidR="008F2A53" w:rsidRPr="00063B2A">
        <w:rPr>
          <w:noProof/>
          <w:sz w:val="24"/>
          <w:szCs w:val="24"/>
        </w:rPr>
        <w:t>cheaper Member States.</w:t>
      </w:r>
      <w:r w:rsidR="006F5BB1" w:rsidRPr="00063B2A">
        <w:rPr>
          <w:noProof/>
          <w:sz w:val="24"/>
          <w:szCs w:val="24"/>
        </w:rPr>
        <w:t xml:space="preserve"> </w:t>
      </w:r>
      <w:r w:rsidR="008F2A53" w:rsidRPr="00063B2A">
        <w:rPr>
          <w:noProof/>
          <w:sz w:val="24"/>
          <w:szCs w:val="24"/>
        </w:rPr>
        <w:t>I</w:t>
      </w:r>
      <w:r w:rsidR="00DE49E1" w:rsidRPr="00063B2A">
        <w:rPr>
          <w:noProof/>
          <w:sz w:val="24"/>
          <w:szCs w:val="24"/>
        </w:rPr>
        <w:t>n</w:t>
      </w:r>
      <w:r w:rsidR="00DE49E1">
        <w:rPr>
          <w:noProof/>
          <w:sz w:val="24"/>
          <w:szCs w:val="24"/>
        </w:rPr>
        <w:t xml:space="preserve"> 2020 </w:t>
      </w:r>
      <w:r w:rsidR="008F2A53">
        <w:rPr>
          <w:noProof/>
          <w:sz w:val="24"/>
          <w:szCs w:val="24"/>
        </w:rPr>
        <w:t>prices levels of consumer goods</w:t>
      </w:r>
      <w:r w:rsidR="00DE49E1">
        <w:rPr>
          <w:noProof/>
          <w:sz w:val="24"/>
          <w:szCs w:val="24"/>
        </w:rPr>
        <w:t xml:space="preserve"> were</w:t>
      </w:r>
      <w:r w:rsidR="006F5BB1">
        <w:rPr>
          <w:noProof/>
          <w:sz w:val="24"/>
          <w:szCs w:val="24"/>
        </w:rPr>
        <w:t xml:space="preserve"> </w:t>
      </w:r>
      <w:r w:rsidR="006F5BB1" w:rsidRPr="00BE0E73">
        <w:rPr>
          <w:noProof/>
          <w:sz w:val="24"/>
          <w:szCs w:val="24"/>
        </w:rPr>
        <w:t>almost three times higher</w:t>
      </w:r>
      <w:r w:rsidR="006F5BB1" w:rsidRPr="00DE49E1">
        <w:rPr>
          <w:noProof/>
          <w:sz w:val="24"/>
          <w:szCs w:val="24"/>
        </w:rPr>
        <w:t xml:space="preserve"> in the most expensive Member State compared to the cheapest</w:t>
      </w:r>
      <w:r w:rsidRPr="00BE0E73">
        <w:rPr>
          <w:rStyle w:val="FootnoteReference"/>
          <w:noProof/>
          <w:sz w:val="24"/>
          <w:szCs w:val="24"/>
        </w:rPr>
        <w:footnoteReference w:id="142"/>
      </w:r>
      <w:r w:rsidRPr="00BE0E73">
        <w:rPr>
          <w:noProof/>
          <w:sz w:val="24"/>
          <w:szCs w:val="24"/>
        </w:rPr>
        <w:t xml:space="preserve">. </w:t>
      </w:r>
      <w:r w:rsidR="00FA140D" w:rsidRPr="00DE49E1">
        <w:rPr>
          <w:noProof/>
          <w:sz w:val="24"/>
          <w:szCs w:val="24"/>
        </w:rPr>
        <w:t>Besides</w:t>
      </w:r>
      <w:r w:rsidR="00FA140D" w:rsidRPr="00C239F1">
        <w:rPr>
          <w:noProof/>
          <w:sz w:val="24"/>
          <w:szCs w:val="24"/>
        </w:rPr>
        <w:t xml:space="preserve"> objections to the threshold per se, the provision has been transposed divergently at national level.</w:t>
      </w:r>
      <w:r w:rsidR="00FA140D" w:rsidRPr="00C239F1">
        <w:rPr>
          <w:noProof/>
          <w:sz w:val="24"/>
          <w:szCs w:val="24"/>
          <w:lang w:eastAsia="da-DK"/>
        </w:rPr>
        <w:t xml:space="preserve"> Most Member States allow the total amount of damages to be recovered once the claim exceeds EUR 500. Other Member States (AT, DE, DK, ES, FI, FR, IT) reduce all damages awarded by EUR 500.</w:t>
      </w:r>
      <w:r w:rsidR="00FA140D" w:rsidRPr="00C239F1">
        <w:rPr>
          <w:rFonts w:asciiTheme="minorHAnsi" w:eastAsia="Times New Roman" w:hAnsiTheme="minorHAnsi" w:cs="Times New Roman"/>
          <w:noProof/>
          <w:sz w:val="24"/>
          <w:szCs w:val="24"/>
          <w:lang w:eastAsia="da-DK"/>
        </w:rPr>
        <w:t xml:space="preserve"> </w:t>
      </w:r>
      <w:r w:rsidR="00FA140D" w:rsidRPr="00C239F1">
        <w:rPr>
          <w:noProof/>
          <w:sz w:val="24"/>
          <w:szCs w:val="24"/>
          <w:lang w:eastAsia="da-DK"/>
        </w:rPr>
        <w:t>On the former interpretation, a claimant who has suffered EUR 800 worth of damage would be compensated for the full amount; on the latter interpretation only EUR 300. The different interpretations of this threshold evidently create differing levels of consumer protection within the internal market</w:t>
      </w:r>
      <w:r w:rsidR="004706DB">
        <w:rPr>
          <w:noProof/>
          <w:sz w:val="24"/>
          <w:szCs w:val="24"/>
          <w:lang w:eastAsia="da-DK"/>
        </w:rPr>
        <w:t>. Business stakeholders did not raise the different interpretations as a problem for them</w:t>
      </w:r>
      <w:r w:rsidR="00FA140D" w:rsidRPr="00C239F1">
        <w:rPr>
          <w:noProof/>
          <w:sz w:val="24"/>
          <w:szCs w:val="24"/>
          <w:lang w:eastAsia="da-DK"/>
        </w:rPr>
        <w:t>.</w:t>
      </w:r>
    </w:p>
    <w:p w14:paraId="7A75AACC" w14:textId="653BFE66" w:rsidR="006B087E" w:rsidRPr="003F01BB" w:rsidRDefault="002E7937" w:rsidP="002E7937">
      <w:pPr>
        <w:pStyle w:val="Heading2"/>
        <w:rPr>
          <w:noProof/>
        </w:rPr>
      </w:pPr>
      <w:bookmarkStart w:id="210" w:name="_Toc93401434"/>
      <w:bookmarkStart w:id="211" w:name="_Toc94005529"/>
      <w:bookmarkStart w:id="212" w:name="_Toc95379857"/>
      <w:bookmarkStart w:id="213" w:name="_Toc95391348"/>
      <w:bookmarkStart w:id="214" w:name="_Toc95396417"/>
      <w:bookmarkStart w:id="215" w:name="_Toc95421515"/>
      <w:bookmarkStart w:id="216" w:name="_Toc95481964"/>
      <w:bookmarkStart w:id="217" w:name="_Toc96337757"/>
      <w:bookmarkStart w:id="218" w:name="_Toc96446236"/>
      <w:bookmarkStart w:id="219" w:name="_Toc96448009"/>
      <w:bookmarkStart w:id="220" w:name="_Toc96593958"/>
      <w:bookmarkStart w:id="221" w:name="_Toc96597249"/>
      <w:bookmarkStart w:id="222" w:name="_Toc96609184"/>
      <w:bookmarkStart w:id="223" w:name="_Toc97149213"/>
      <w:bookmarkStart w:id="224" w:name="_Toc97191259"/>
      <w:bookmarkStart w:id="225" w:name="_Toc107430069"/>
      <w:r w:rsidRPr="002E7937">
        <w:t>2.3.</w:t>
      </w:r>
      <w:r w:rsidRPr="002E7937">
        <w:tab/>
      </w:r>
      <w:r w:rsidR="006B087E" w:rsidRPr="003F01BB">
        <w:rPr>
          <w:noProof/>
        </w:rPr>
        <w:t>How will the problem</w:t>
      </w:r>
      <w:r w:rsidR="00AC1D58" w:rsidRPr="003F01BB">
        <w:rPr>
          <w:noProof/>
        </w:rPr>
        <w:t>s</w:t>
      </w:r>
      <w:r w:rsidR="006B087E" w:rsidRPr="003F01BB">
        <w:rPr>
          <w:noProof/>
        </w:rPr>
        <w:t xml:space="preserve"> evolve?</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A68E60F" w14:textId="444BD7BE" w:rsidR="00830BD2" w:rsidRPr="00C239F1" w:rsidRDefault="00AC1D58" w:rsidP="00C239F1">
      <w:pPr>
        <w:spacing w:after="240" w:line="240" w:lineRule="auto"/>
        <w:jc w:val="both"/>
        <w:rPr>
          <w:noProof/>
          <w:sz w:val="24"/>
          <w:szCs w:val="24"/>
        </w:rPr>
      </w:pPr>
      <w:r w:rsidRPr="00C239F1">
        <w:rPr>
          <w:noProof/>
          <w:sz w:val="24"/>
          <w:szCs w:val="24"/>
        </w:rPr>
        <w:t xml:space="preserve">The </w:t>
      </w:r>
      <w:r w:rsidR="00DE35B6" w:rsidRPr="00C239F1">
        <w:rPr>
          <w:noProof/>
          <w:sz w:val="24"/>
          <w:szCs w:val="24"/>
        </w:rPr>
        <w:t xml:space="preserve">transition to a digital economy is still in its infancy. </w:t>
      </w:r>
      <w:r w:rsidR="00B964F5" w:rsidRPr="00C239F1">
        <w:rPr>
          <w:noProof/>
          <w:sz w:val="24"/>
          <w:szCs w:val="24"/>
        </w:rPr>
        <w:t xml:space="preserve">As automation and digitalisation continue to advance, the role of </w:t>
      </w:r>
      <w:r w:rsidR="00830BD2" w:rsidRPr="00C239F1">
        <w:rPr>
          <w:noProof/>
          <w:sz w:val="24"/>
          <w:szCs w:val="24"/>
        </w:rPr>
        <w:t xml:space="preserve">software and digital services in determining the safety of products will increase. </w:t>
      </w:r>
      <w:r w:rsidR="00EE724F">
        <w:rPr>
          <w:noProof/>
          <w:sz w:val="24"/>
          <w:szCs w:val="24"/>
        </w:rPr>
        <w:t>For example, the global market for autonomous cars amounted to USD 508 billion in 2015 and has grown at a compound annual growth rate (CAGR) of 12.7% since then. The market is forecast to amount to USD 3195 billion by 2030</w:t>
      </w:r>
      <w:r w:rsidR="00EE724F">
        <w:rPr>
          <w:rStyle w:val="FootnoteReference"/>
          <w:noProof/>
          <w:sz w:val="24"/>
          <w:szCs w:val="24"/>
        </w:rPr>
        <w:footnoteReference w:id="143"/>
      </w:r>
      <w:r w:rsidR="00EE724F">
        <w:rPr>
          <w:noProof/>
          <w:sz w:val="24"/>
          <w:szCs w:val="24"/>
        </w:rPr>
        <w:t xml:space="preserve">. As automation increases in cars and numerous other products, an increasing proportion of accidents will be caused by defectiveness compared to the negligence or fault of a driver or user. </w:t>
      </w:r>
      <w:r w:rsidR="008A5BD1">
        <w:rPr>
          <w:noProof/>
          <w:sz w:val="24"/>
          <w:szCs w:val="24"/>
        </w:rPr>
        <w:t>T</w:t>
      </w:r>
      <w:r w:rsidR="00EE724F">
        <w:rPr>
          <w:noProof/>
          <w:sz w:val="24"/>
          <w:szCs w:val="24"/>
        </w:rPr>
        <w:t xml:space="preserve">he </w:t>
      </w:r>
      <w:r w:rsidR="008A5BD1">
        <w:rPr>
          <w:noProof/>
          <w:sz w:val="24"/>
          <w:szCs w:val="24"/>
        </w:rPr>
        <w:t xml:space="preserve">prominence of the </w:t>
      </w:r>
      <w:r w:rsidR="00EE724F">
        <w:rPr>
          <w:noProof/>
          <w:sz w:val="24"/>
          <w:szCs w:val="24"/>
        </w:rPr>
        <w:t>producer</w:t>
      </w:r>
      <w:r w:rsidR="008A5BD1">
        <w:rPr>
          <w:noProof/>
          <w:sz w:val="24"/>
          <w:szCs w:val="24"/>
        </w:rPr>
        <w:t xml:space="preserve"> for liability purposes will therefore increase</w:t>
      </w:r>
      <w:r w:rsidR="00B7546D">
        <w:rPr>
          <w:rStyle w:val="FootnoteReference"/>
          <w:noProof/>
          <w:sz w:val="24"/>
          <w:szCs w:val="24"/>
        </w:rPr>
        <w:footnoteReference w:id="144"/>
      </w:r>
      <w:r w:rsidR="008A5BD1">
        <w:rPr>
          <w:noProof/>
          <w:sz w:val="24"/>
          <w:szCs w:val="24"/>
        </w:rPr>
        <w:t xml:space="preserve">, and with it the importance of </w:t>
      </w:r>
      <w:r w:rsidR="00FF36EC">
        <w:rPr>
          <w:noProof/>
          <w:sz w:val="24"/>
          <w:szCs w:val="24"/>
        </w:rPr>
        <w:t>a future-proof</w:t>
      </w:r>
      <w:r w:rsidR="008A5BD1">
        <w:rPr>
          <w:noProof/>
          <w:sz w:val="24"/>
          <w:szCs w:val="24"/>
        </w:rPr>
        <w:t xml:space="preserve"> PLD. </w:t>
      </w:r>
      <w:r w:rsidR="0016402B" w:rsidRPr="00C239F1">
        <w:rPr>
          <w:noProof/>
          <w:sz w:val="24"/>
          <w:szCs w:val="24"/>
        </w:rPr>
        <w:t>The lack of</w:t>
      </w:r>
      <w:r w:rsidR="00830BD2" w:rsidRPr="00C239F1">
        <w:rPr>
          <w:noProof/>
          <w:sz w:val="24"/>
          <w:szCs w:val="24"/>
        </w:rPr>
        <w:t xml:space="preserve"> clari</w:t>
      </w:r>
      <w:r w:rsidR="00C31678" w:rsidRPr="00C239F1">
        <w:rPr>
          <w:noProof/>
          <w:sz w:val="24"/>
          <w:szCs w:val="24"/>
        </w:rPr>
        <w:t>t</w:t>
      </w:r>
      <w:r w:rsidR="00830BD2" w:rsidRPr="00C239F1">
        <w:rPr>
          <w:noProof/>
          <w:sz w:val="24"/>
          <w:szCs w:val="24"/>
        </w:rPr>
        <w:t>y</w:t>
      </w:r>
      <w:r w:rsidR="00C31678" w:rsidRPr="00C239F1">
        <w:rPr>
          <w:noProof/>
          <w:sz w:val="24"/>
          <w:szCs w:val="24"/>
        </w:rPr>
        <w:t xml:space="preserve"> on</w:t>
      </w:r>
      <w:r w:rsidR="00830BD2" w:rsidRPr="00C239F1">
        <w:rPr>
          <w:noProof/>
          <w:sz w:val="24"/>
          <w:szCs w:val="24"/>
        </w:rPr>
        <w:t xml:space="preserve"> what products</w:t>
      </w:r>
      <w:r w:rsidR="001A03D0">
        <w:rPr>
          <w:noProof/>
          <w:sz w:val="24"/>
          <w:szCs w:val="24"/>
        </w:rPr>
        <w:t>,</w:t>
      </w:r>
      <w:r w:rsidR="00F7299D" w:rsidRPr="00C239F1">
        <w:rPr>
          <w:noProof/>
          <w:sz w:val="24"/>
          <w:szCs w:val="24"/>
        </w:rPr>
        <w:t xml:space="preserve"> </w:t>
      </w:r>
      <w:r w:rsidR="00830BD2" w:rsidRPr="00C239F1">
        <w:rPr>
          <w:noProof/>
          <w:sz w:val="24"/>
          <w:szCs w:val="24"/>
        </w:rPr>
        <w:t xml:space="preserve">producers </w:t>
      </w:r>
      <w:r w:rsidR="001A03D0">
        <w:rPr>
          <w:noProof/>
          <w:sz w:val="24"/>
          <w:szCs w:val="24"/>
        </w:rPr>
        <w:t>and damage</w:t>
      </w:r>
      <w:r w:rsidR="00830BD2" w:rsidRPr="00C239F1">
        <w:rPr>
          <w:noProof/>
          <w:sz w:val="24"/>
          <w:szCs w:val="24"/>
        </w:rPr>
        <w:t xml:space="preserve"> fall within the PLD would exacerbate the lack of a level playing field</w:t>
      </w:r>
      <w:r w:rsidR="00F7299D" w:rsidRPr="00C239F1">
        <w:rPr>
          <w:noProof/>
          <w:sz w:val="24"/>
          <w:szCs w:val="24"/>
        </w:rPr>
        <w:t xml:space="preserve"> between economic operators who put hardware into circulation and those who put software into circulation. </w:t>
      </w:r>
      <w:r w:rsidR="0066672D" w:rsidRPr="00C239F1">
        <w:rPr>
          <w:noProof/>
          <w:sz w:val="24"/>
          <w:szCs w:val="24"/>
        </w:rPr>
        <w:t>As the EU product safety framework continues to be modernised to address new digital risks, the PLD would be left behind, no longer coherently mirroring safety rules</w:t>
      </w:r>
      <w:r w:rsidR="003818C6" w:rsidRPr="00C239F1">
        <w:rPr>
          <w:noProof/>
          <w:sz w:val="24"/>
          <w:szCs w:val="24"/>
        </w:rPr>
        <w:t>, and therefore no longer providing an effective safety net when harm involving digital technologies occurs</w:t>
      </w:r>
      <w:r w:rsidR="0066672D" w:rsidRPr="00C239F1">
        <w:rPr>
          <w:noProof/>
          <w:sz w:val="24"/>
          <w:szCs w:val="24"/>
        </w:rPr>
        <w:t xml:space="preserve">. </w:t>
      </w:r>
      <w:r w:rsidR="0016402B" w:rsidRPr="00C239F1">
        <w:rPr>
          <w:noProof/>
          <w:sz w:val="24"/>
          <w:szCs w:val="24"/>
        </w:rPr>
        <w:t>The growth of digital economy and the potential increase in the number of injuries related to th</w:t>
      </w:r>
      <w:r w:rsidR="00C31678" w:rsidRPr="00C239F1">
        <w:rPr>
          <w:noProof/>
          <w:sz w:val="24"/>
          <w:szCs w:val="24"/>
        </w:rPr>
        <w:t>ese</w:t>
      </w:r>
      <w:r w:rsidR="0016402B" w:rsidRPr="00C239F1">
        <w:rPr>
          <w:noProof/>
          <w:sz w:val="24"/>
          <w:szCs w:val="24"/>
        </w:rPr>
        <w:t xml:space="preserve"> product</w:t>
      </w:r>
      <w:r w:rsidR="00C31678" w:rsidRPr="00C239F1">
        <w:rPr>
          <w:noProof/>
          <w:sz w:val="24"/>
          <w:szCs w:val="24"/>
        </w:rPr>
        <w:t>s</w:t>
      </w:r>
      <w:r w:rsidR="0016402B" w:rsidRPr="00C239F1">
        <w:rPr>
          <w:noProof/>
          <w:sz w:val="24"/>
          <w:szCs w:val="24"/>
        </w:rPr>
        <w:t xml:space="preserve"> could </w:t>
      </w:r>
      <w:r w:rsidR="0066672D" w:rsidRPr="00C239F1">
        <w:rPr>
          <w:noProof/>
          <w:sz w:val="24"/>
          <w:szCs w:val="24"/>
        </w:rPr>
        <w:t xml:space="preserve">lead to greater divergence as </w:t>
      </w:r>
      <w:r w:rsidR="003818C6" w:rsidRPr="00C239F1">
        <w:rPr>
          <w:noProof/>
          <w:sz w:val="24"/>
          <w:szCs w:val="24"/>
        </w:rPr>
        <w:t xml:space="preserve">courts </w:t>
      </w:r>
      <w:r w:rsidR="0066672D" w:rsidRPr="00C239F1">
        <w:rPr>
          <w:noProof/>
          <w:sz w:val="24"/>
          <w:szCs w:val="24"/>
        </w:rPr>
        <w:t xml:space="preserve">adopt their own interpretations of outdated definitions or </w:t>
      </w:r>
      <w:r w:rsidR="003818C6" w:rsidRPr="00C239F1">
        <w:rPr>
          <w:noProof/>
          <w:sz w:val="24"/>
          <w:szCs w:val="24"/>
        </w:rPr>
        <w:t xml:space="preserve">Member States </w:t>
      </w:r>
      <w:r w:rsidR="00C31678" w:rsidRPr="00C239F1">
        <w:rPr>
          <w:noProof/>
          <w:sz w:val="24"/>
          <w:szCs w:val="24"/>
        </w:rPr>
        <w:t xml:space="preserve">or </w:t>
      </w:r>
      <w:r w:rsidR="0066672D" w:rsidRPr="00C239F1">
        <w:rPr>
          <w:noProof/>
          <w:sz w:val="24"/>
          <w:szCs w:val="24"/>
        </w:rPr>
        <w:t>introduce</w:t>
      </w:r>
      <w:r w:rsidR="003818C6" w:rsidRPr="00C239F1">
        <w:rPr>
          <w:noProof/>
          <w:sz w:val="24"/>
          <w:szCs w:val="24"/>
        </w:rPr>
        <w:t xml:space="preserve"> parallel liability regimes to cover defects that occur after a product is put into circulation.</w:t>
      </w:r>
    </w:p>
    <w:p w14:paraId="7B0ECE04" w14:textId="3236C877" w:rsidR="00B964F5" w:rsidRPr="00C239F1" w:rsidRDefault="003818C6" w:rsidP="00C239F1">
      <w:pPr>
        <w:spacing w:after="240" w:line="240" w:lineRule="auto"/>
        <w:jc w:val="both"/>
        <w:rPr>
          <w:noProof/>
          <w:sz w:val="24"/>
          <w:szCs w:val="24"/>
        </w:rPr>
      </w:pPr>
      <w:r w:rsidRPr="00C239F1">
        <w:rPr>
          <w:noProof/>
          <w:sz w:val="24"/>
          <w:szCs w:val="24"/>
        </w:rPr>
        <w:t xml:space="preserve">The transition to a circular economy is also in its infancy. </w:t>
      </w:r>
      <w:r w:rsidR="00897418" w:rsidRPr="00C239F1">
        <w:rPr>
          <w:noProof/>
          <w:sz w:val="24"/>
          <w:szCs w:val="24"/>
        </w:rPr>
        <w:t>A</w:t>
      </w:r>
      <w:r w:rsidR="0025122A" w:rsidRPr="00C239F1">
        <w:rPr>
          <w:noProof/>
          <w:sz w:val="24"/>
          <w:szCs w:val="24"/>
        </w:rPr>
        <w:t>s it becomes increasingly possible to extend the life of materials through industrial processes</w:t>
      </w:r>
      <w:r w:rsidR="00085A93" w:rsidRPr="00C239F1">
        <w:rPr>
          <w:noProof/>
          <w:sz w:val="24"/>
          <w:szCs w:val="24"/>
        </w:rPr>
        <w:t xml:space="preserve">, uncertainty about the liability of original manufacturers and remanufacturers could make it difficult for businesses to assess their liability exposure and get appropriate insurance. </w:t>
      </w:r>
    </w:p>
    <w:p w14:paraId="7AB538F2" w14:textId="0AA468AC" w:rsidR="00085A93" w:rsidRPr="00C239F1" w:rsidRDefault="00C31678" w:rsidP="00C239F1">
      <w:pPr>
        <w:spacing w:after="240" w:line="240" w:lineRule="auto"/>
        <w:jc w:val="both"/>
        <w:rPr>
          <w:noProof/>
          <w:sz w:val="24"/>
          <w:szCs w:val="24"/>
        </w:rPr>
      </w:pPr>
      <w:r w:rsidRPr="00C239F1">
        <w:rPr>
          <w:noProof/>
          <w:sz w:val="24"/>
          <w:szCs w:val="24"/>
        </w:rPr>
        <w:t>T</w:t>
      </w:r>
      <w:r w:rsidR="001D6EC3" w:rsidRPr="00C239F1">
        <w:rPr>
          <w:noProof/>
          <w:sz w:val="24"/>
          <w:szCs w:val="24"/>
        </w:rPr>
        <w:t xml:space="preserve">he </w:t>
      </w:r>
      <w:r w:rsidRPr="00C239F1">
        <w:rPr>
          <w:noProof/>
          <w:sz w:val="24"/>
          <w:szCs w:val="24"/>
        </w:rPr>
        <w:t xml:space="preserve">growing </w:t>
      </w:r>
      <w:r w:rsidR="001D6EC3" w:rsidRPr="00C239F1">
        <w:rPr>
          <w:noProof/>
          <w:sz w:val="24"/>
          <w:szCs w:val="24"/>
        </w:rPr>
        <w:t>trend of buying products directly from 3</w:t>
      </w:r>
      <w:r w:rsidR="001D6EC3" w:rsidRPr="00C239F1">
        <w:rPr>
          <w:noProof/>
          <w:sz w:val="24"/>
          <w:szCs w:val="24"/>
          <w:vertAlign w:val="superscript"/>
        </w:rPr>
        <w:t>rd</w:t>
      </w:r>
      <w:r w:rsidR="001D6EC3" w:rsidRPr="00C239F1">
        <w:rPr>
          <w:noProof/>
          <w:sz w:val="24"/>
          <w:szCs w:val="24"/>
        </w:rPr>
        <w:t xml:space="preserve"> countries, especially through online marketplaces,</w:t>
      </w:r>
      <w:r w:rsidRPr="00C239F1" w:rsidDel="00C31678">
        <w:rPr>
          <w:noProof/>
          <w:sz w:val="24"/>
          <w:szCs w:val="24"/>
        </w:rPr>
        <w:t xml:space="preserve"> </w:t>
      </w:r>
      <w:r w:rsidRPr="00C239F1">
        <w:rPr>
          <w:noProof/>
          <w:sz w:val="24"/>
          <w:szCs w:val="24"/>
        </w:rPr>
        <w:t xml:space="preserve">will compound </w:t>
      </w:r>
      <w:r w:rsidR="001D6EC3" w:rsidRPr="00C239F1">
        <w:rPr>
          <w:noProof/>
          <w:sz w:val="24"/>
          <w:szCs w:val="24"/>
        </w:rPr>
        <w:t xml:space="preserve">difficulties </w:t>
      </w:r>
      <w:r w:rsidRPr="00C239F1">
        <w:rPr>
          <w:noProof/>
          <w:sz w:val="24"/>
          <w:szCs w:val="24"/>
        </w:rPr>
        <w:t xml:space="preserve">getting compensation for lack of an </w:t>
      </w:r>
      <w:r w:rsidR="00917B51" w:rsidRPr="00C239F1">
        <w:rPr>
          <w:noProof/>
          <w:sz w:val="24"/>
          <w:szCs w:val="24"/>
        </w:rPr>
        <w:t xml:space="preserve">EU-based </w:t>
      </w:r>
      <w:r w:rsidRPr="00C239F1">
        <w:rPr>
          <w:noProof/>
          <w:sz w:val="24"/>
          <w:szCs w:val="24"/>
        </w:rPr>
        <w:t xml:space="preserve">liable </w:t>
      </w:r>
      <w:r w:rsidR="00917B51" w:rsidRPr="00C239F1">
        <w:rPr>
          <w:noProof/>
          <w:sz w:val="24"/>
          <w:szCs w:val="24"/>
        </w:rPr>
        <w:t xml:space="preserve">person </w:t>
      </w:r>
      <w:r w:rsidRPr="00C239F1">
        <w:rPr>
          <w:noProof/>
          <w:sz w:val="24"/>
          <w:szCs w:val="24"/>
        </w:rPr>
        <w:t xml:space="preserve">for consumers to turn to </w:t>
      </w:r>
      <w:r w:rsidR="00917B51" w:rsidRPr="00C239F1">
        <w:rPr>
          <w:noProof/>
          <w:sz w:val="24"/>
          <w:szCs w:val="24"/>
        </w:rPr>
        <w:t xml:space="preserve">under the PLD, </w:t>
      </w:r>
    </w:p>
    <w:p w14:paraId="644C1C78" w14:textId="626446B8" w:rsidR="000C6E35" w:rsidRPr="00C239F1" w:rsidRDefault="00085A93" w:rsidP="00C239F1">
      <w:pPr>
        <w:spacing w:after="240" w:line="240" w:lineRule="auto"/>
        <w:jc w:val="both"/>
        <w:rPr>
          <w:noProof/>
          <w:sz w:val="24"/>
          <w:szCs w:val="24"/>
          <w:lang w:eastAsia="da-DK"/>
        </w:rPr>
      </w:pPr>
      <w:r w:rsidRPr="00C239F1">
        <w:rPr>
          <w:noProof/>
          <w:sz w:val="24"/>
          <w:szCs w:val="24"/>
        </w:rPr>
        <w:t xml:space="preserve">As for the burden of proof, </w:t>
      </w:r>
      <w:r w:rsidR="001D6EC3" w:rsidRPr="00C239F1">
        <w:rPr>
          <w:noProof/>
          <w:sz w:val="24"/>
          <w:szCs w:val="24"/>
        </w:rPr>
        <w:t>the</w:t>
      </w:r>
      <w:r w:rsidR="00A71C5E" w:rsidRPr="00C239F1">
        <w:rPr>
          <w:noProof/>
          <w:sz w:val="24"/>
          <w:szCs w:val="24"/>
        </w:rPr>
        <w:t xml:space="preserve"> divergent approaches </w:t>
      </w:r>
      <w:r w:rsidR="000A0397" w:rsidRPr="00C239F1">
        <w:rPr>
          <w:noProof/>
          <w:sz w:val="24"/>
          <w:szCs w:val="24"/>
        </w:rPr>
        <w:t xml:space="preserve">to disclosure obligations and to easing the burden of proof in complex cases </w:t>
      </w:r>
      <w:r w:rsidR="00C31678" w:rsidRPr="00C239F1">
        <w:rPr>
          <w:noProof/>
          <w:sz w:val="24"/>
          <w:szCs w:val="24"/>
        </w:rPr>
        <w:t xml:space="preserve">would </w:t>
      </w:r>
      <w:r w:rsidR="000A0397" w:rsidRPr="00C239F1">
        <w:rPr>
          <w:noProof/>
          <w:sz w:val="24"/>
          <w:szCs w:val="24"/>
        </w:rPr>
        <w:t>continue to be taken by national courts. This would perpetuate an unequal level of consumer protection and undermine the predictability of court decisions. Importantly, c</w:t>
      </w:r>
      <w:r w:rsidR="006A7078" w:rsidRPr="00C239F1">
        <w:rPr>
          <w:noProof/>
          <w:sz w:val="24"/>
          <w:szCs w:val="24"/>
        </w:rPr>
        <w:t xml:space="preserve">onsumer organisations and legal academics </w:t>
      </w:r>
      <w:r w:rsidR="000A0397" w:rsidRPr="00C239F1">
        <w:rPr>
          <w:noProof/>
          <w:sz w:val="24"/>
          <w:szCs w:val="24"/>
        </w:rPr>
        <w:t>believe</w:t>
      </w:r>
      <w:r w:rsidR="006A7078" w:rsidRPr="00C239F1">
        <w:rPr>
          <w:noProof/>
          <w:sz w:val="24"/>
          <w:szCs w:val="24"/>
        </w:rPr>
        <w:t xml:space="preserve"> that emerging digital technologies </w:t>
      </w:r>
      <w:r w:rsidR="000A0397" w:rsidRPr="00C239F1">
        <w:rPr>
          <w:noProof/>
          <w:sz w:val="24"/>
          <w:szCs w:val="24"/>
        </w:rPr>
        <w:t xml:space="preserve">will </w:t>
      </w:r>
      <w:r w:rsidR="006A7078" w:rsidRPr="00C239F1">
        <w:rPr>
          <w:noProof/>
          <w:sz w:val="24"/>
          <w:szCs w:val="24"/>
        </w:rPr>
        <w:t>exacerbate existing difficulties</w:t>
      </w:r>
      <w:r w:rsidR="006A7078" w:rsidRPr="00C239F1">
        <w:rPr>
          <w:rStyle w:val="FootnoteReference"/>
          <w:noProof/>
          <w:sz w:val="24"/>
          <w:szCs w:val="24"/>
        </w:rPr>
        <w:footnoteReference w:id="145"/>
      </w:r>
      <w:r w:rsidR="006A7078" w:rsidRPr="00C239F1">
        <w:rPr>
          <w:noProof/>
          <w:sz w:val="24"/>
          <w:szCs w:val="24"/>
        </w:rPr>
        <w:t xml:space="preserve">. </w:t>
      </w:r>
      <w:r w:rsidR="00E81829" w:rsidRPr="00C239F1">
        <w:rPr>
          <w:noProof/>
          <w:sz w:val="24"/>
          <w:szCs w:val="24"/>
        </w:rPr>
        <w:t>The Commission’s Report on safety and liability implications of Artificial Intelligence, the Internet of Things and robotics</w:t>
      </w:r>
      <w:r w:rsidR="000C6E35" w:rsidRPr="00C239F1">
        <w:rPr>
          <w:noProof/>
          <w:sz w:val="24"/>
          <w:szCs w:val="24"/>
        </w:rPr>
        <w:t xml:space="preserve"> </w:t>
      </w:r>
      <w:r w:rsidR="00E81829" w:rsidRPr="00C239F1">
        <w:rPr>
          <w:noProof/>
          <w:sz w:val="24"/>
          <w:szCs w:val="24"/>
        </w:rPr>
        <w:t>identified the same concerns</w:t>
      </w:r>
      <w:r w:rsidR="000C6E35" w:rsidRPr="00C239F1">
        <w:rPr>
          <w:noProof/>
          <w:sz w:val="24"/>
          <w:szCs w:val="24"/>
          <w:vertAlign w:val="superscript"/>
        </w:rPr>
        <w:footnoteReference w:id="146"/>
      </w:r>
      <w:r w:rsidR="00E81829" w:rsidRPr="00C239F1">
        <w:rPr>
          <w:noProof/>
          <w:sz w:val="24"/>
          <w:szCs w:val="24"/>
        </w:rPr>
        <w:t xml:space="preserve">. </w:t>
      </w:r>
      <w:r w:rsidR="006A7078" w:rsidRPr="00C239F1">
        <w:rPr>
          <w:noProof/>
          <w:sz w:val="24"/>
          <w:szCs w:val="24"/>
        </w:rPr>
        <w:t xml:space="preserve">This may especially be the case in </w:t>
      </w:r>
      <w:r w:rsidR="006A7078" w:rsidRPr="00D709D5">
        <w:rPr>
          <w:noProof/>
          <w:sz w:val="24"/>
          <w:szCs w:val="24"/>
        </w:rPr>
        <w:t>complex IoT environments</w:t>
      </w:r>
      <w:r w:rsidR="00FF24CF" w:rsidRPr="00D709D5">
        <w:rPr>
          <w:noProof/>
          <w:sz w:val="24"/>
          <w:szCs w:val="24"/>
        </w:rPr>
        <w:t xml:space="preserve"> and</w:t>
      </w:r>
      <w:r w:rsidR="006A7078" w:rsidRPr="00D709D5">
        <w:rPr>
          <w:noProof/>
          <w:sz w:val="24"/>
          <w:szCs w:val="24"/>
        </w:rPr>
        <w:t xml:space="preserve"> cyberphysical systems, such as smart home systems where many different connected devices and </w:t>
      </w:r>
      <w:r w:rsidR="00320634" w:rsidRPr="00D709D5">
        <w:rPr>
          <w:noProof/>
          <w:sz w:val="24"/>
          <w:szCs w:val="24"/>
        </w:rPr>
        <w:t xml:space="preserve">related </w:t>
      </w:r>
      <w:r w:rsidR="006A7078" w:rsidRPr="00D709D5">
        <w:rPr>
          <w:noProof/>
          <w:sz w:val="24"/>
          <w:szCs w:val="24"/>
        </w:rPr>
        <w:t>services interact</w:t>
      </w:r>
      <w:r w:rsidR="00E81829" w:rsidRPr="00D709D5">
        <w:rPr>
          <w:noProof/>
          <w:sz w:val="24"/>
          <w:szCs w:val="24"/>
        </w:rPr>
        <w:t xml:space="preserve"> and </w:t>
      </w:r>
      <w:r w:rsidR="000C6E35" w:rsidRPr="00D709D5">
        <w:rPr>
          <w:noProof/>
          <w:sz w:val="24"/>
          <w:szCs w:val="24"/>
        </w:rPr>
        <w:t xml:space="preserve">AI-enabled products (see </w:t>
      </w:r>
      <w:r w:rsidR="00041401" w:rsidRPr="00D709D5">
        <w:rPr>
          <w:noProof/>
          <w:sz w:val="24"/>
          <w:szCs w:val="24"/>
        </w:rPr>
        <w:t xml:space="preserve">case study in section 2.2. of </w:t>
      </w:r>
      <w:r w:rsidR="000C6E35" w:rsidRPr="00D709D5">
        <w:rPr>
          <w:noProof/>
          <w:sz w:val="24"/>
          <w:szCs w:val="24"/>
        </w:rPr>
        <w:t>AI liability impact assessment).</w:t>
      </w:r>
      <w:r w:rsidR="00E81829" w:rsidRPr="00D709D5">
        <w:rPr>
          <w:noProof/>
          <w:sz w:val="24"/>
          <w:szCs w:val="24"/>
        </w:rPr>
        <w:t xml:space="preserve"> </w:t>
      </w:r>
      <w:r w:rsidR="000C6E35" w:rsidRPr="00D709D5">
        <w:rPr>
          <w:noProof/>
          <w:sz w:val="24"/>
          <w:szCs w:val="24"/>
        </w:rPr>
        <w:t xml:space="preserve">This view is not shared by </w:t>
      </w:r>
      <w:r w:rsidR="006A7078" w:rsidRPr="00D709D5">
        <w:rPr>
          <w:noProof/>
          <w:sz w:val="24"/>
          <w:szCs w:val="24"/>
        </w:rPr>
        <w:t>industry stakeholders</w:t>
      </w:r>
      <w:r w:rsidR="000C6E35" w:rsidRPr="00D709D5">
        <w:rPr>
          <w:noProof/>
          <w:sz w:val="24"/>
          <w:szCs w:val="24"/>
        </w:rPr>
        <w:t>, who</w:t>
      </w:r>
      <w:r w:rsidR="006A7078" w:rsidRPr="00D709D5">
        <w:rPr>
          <w:noProof/>
          <w:sz w:val="24"/>
          <w:szCs w:val="24"/>
        </w:rPr>
        <w:t xml:space="preserve"> point to </w:t>
      </w:r>
      <w:r w:rsidR="006A7078" w:rsidRPr="00D709D5">
        <w:rPr>
          <w:noProof/>
          <w:sz w:val="24"/>
          <w:szCs w:val="24"/>
          <w:lang w:eastAsia="da-DK"/>
        </w:rPr>
        <w:t>the absence of empirical</w:t>
      </w:r>
      <w:r w:rsidR="006A7078" w:rsidRPr="00C239F1">
        <w:rPr>
          <w:noProof/>
          <w:sz w:val="24"/>
          <w:szCs w:val="24"/>
          <w:lang w:eastAsia="da-DK"/>
        </w:rPr>
        <w:t xml:space="preserve"> evidence that new technologies will exacerbate evidentiary difficulties.</w:t>
      </w:r>
      <w:r w:rsidR="000C6E35" w:rsidRPr="00C239F1">
        <w:rPr>
          <w:noProof/>
          <w:sz w:val="24"/>
          <w:szCs w:val="24"/>
          <w:lang w:eastAsia="da-DK"/>
        </w:rPr>
        <w:t xml:space="preserve"> More information on evidentiary difficulties due to features specific to AI technologies</w:t>
      </w:r>
      <w:r w:rsidR="00FB54CC" w:rsidRPr="00C239F1">
        <w:rPr>
          <w:noProof/>
          <w:sz w:val="24"/>
          <w:szCs w:val="24"/>
          <w:lang w:eastAsia="da-DK"/>
        </w:rPr>
        <w:t xml:space="preserve"> can be found in the parallel AI liability impact assessment.</w:t>
      </w:r>
    </w:p>
    <w:p w14:paraId="481AC71E" w14:textId="3E6B1BD0" w:rsidR="006A7078" w:rsidRPr="00C239F1" w:rsidRDefault="008A77DB" w:rsidP="00C239F1">
      <w:pPr>
        <w:spacing w:after="240" w:line="240" w:lineRule="auto"/>
        <w:jc w:val="both"/>
        <w:rPr>
          <w:noProof/>
          <w:sz w:val="24"/>
          <w:szCs w:val="24"/>
        </w:rPr>
      </w:pPr>
      <w:r w:rsidRPr="00C239F1">
        <w:rPr>
          <w:noProof/>
          <w:sz w:val="24"/>
          <w:szCs w:val="24"/>
        </w:rPr>
        <w:t xml:space="preserve">The effects of </w:t>
      </w:r>
      <w:r w:rsidR="00085A93" w:rsidRPr="00C239F1">
        <w:rPr>
          <w:noProof/>
          <w:sz w:val="24"/>
          <w:szCs w:val="24"/>
        </w:rPr>
        <w:t>time limits and thresholds</w:t>
      </w:r>
      <w:r w:rsidRPr="00C239F1">
        <w:rPr>
          <w:noProof/>
          <w:sz w:val="24"/>
          <w:szCs w:val="24"/>
        </w:rPr>
        <w:t xml:space="preserve"> on limiting claims are not expected to evolve – these restrictions would simply continue.</w:t>
      </w:r>
      <w:r w:rsidR="00085A93" w:rsidRPr="00C239F1">
        <w:rPr>
          <w:noProof/>
          <w:sz w:val="24"/>
          <w:szCs w:val="24"/>
        </w:rPr>
        <w:t xml:space="preserve"> </w:t>
      </w:r>
    </w:p>
    <w:p w14:paraId="4938D85E" w14:textId="750F40F5" w:rsidR="006B087E" w:rsidRPr="00C239F1" w:rsidRDefault="002E7937" w:rsidP="002E7937">
      <w:pPr>
        <w:pStyle w:val="Heading1"/>
        <w:rPr>
          <w:noProof/>
        </w:rPr>
      </w:pPr>
      <w:bookmarkStart w:id="227" w:name="_Toc93401435"/>
      <w:bookmarkStart w:id="228" w:name="_Toc94005530"/>
      <w:bookmarkStart w:id="229" w:name="_Toc95379858"/>
      <w:bookmarkStart w:id="230" w:name="_Toc95391349"/>
      <w:bookmarkStart w:id="231" w:name="_Toc95396418"/>
      <w:bookmarkStart w:id="232" w:name="_Toc95421516"/>
      <w:bookmarkStart w:id="233" w:name="_Toc95481965"/>
      <w:bookmarkStart w:id="234" w:name="_Toc96337758"/>
      <w:bookmarkStart w:id="235" w:name="_Toc96446237"/>
      <w:bookmarkStart w:id="236" w:name="_Toc96448010"/>
      <w:bookmarkStart w:id="237" w:name="_Toc96593959"/>
      <w:bookmarkStart w:id="238" w:name="_Toc96597250"/>
      <w:bookmarkStart w:id="239" w:name="_Toc96609185"/>
      <w:bookmarkStart w:id="240" w:name="_Toc97149214"/>
      <w:bookmarkStart w:id="241" w:name="_Toc97191260"/>
      <w:bookmarkStart w:id="242" w:name="_Toc107430070"/>
      <w:r w:rsidRPr="002E7937">
        <w:t>3.</w:t>
      </w:r>
      <w:r w:rsidRPr="002E7937">
        <w:tab/>
      </w:r>
      <w:r w:rsidR="006B087E" w:rsidRPr="00C239F1">
        <w:rPr>
          <w:noProof/>
        </w:rPr>
        <w:t>Why should the EU act?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4D17181" w14:textId="6BFD721A" w:rsidR="006B087E" w:rsidRPr="00C239F1" w:rsidRDefault="002E7937" w:rsidP="002E7937">
      <w:pPr>
        <w:pStyle w:val="Heading2"/>
        <w:rPr>
          <w:noProof/>
        </w:rPr>
      </w:pPr>
      <w:bookmarkStart w:id="243" w:name="_Toc93401436"/>
      <w:bookmarkStart w:id="244" w:name="_Toc94005531"/>
      <w:bookmarkStart w:id="245" w:name="_Toc95379859"/>
      <w:bookmarkStart w:id="246" w:name="_Toc95391350"/>
      <w:bookmarkStart w:id="247" w:name="_Toc95396419"/>
      <w:bookmarkStart w:id="248" w:name="_Toc95421517"/>
      <w:bookmarkStart w:id="249" w:name="_Toc95481966"/>
      <w:bookmarkStart w:id="250" w:name="_Toc96337759"/>
      <w:bookmarkStart w:id="251" w:name="_Toc96446238"/>
      <w:bookmarkStart w:id="252" w:name="_Toc96448011"/>
      <w:bookmarkStart w:id="253" w:name="_Toc96593960"/>
      <w:bookmarkStart w:id="254" w:name="_Toc96597251"/>
      <w:bookmarkStart w:id="255" w:name="_Toc96609186"/>
      <w:bookmarkStart w:id="256" w:name="_Toc97149215"/>
      <w:bookmarkStart w:id="257" w:name="_Toc97191261"/>
      <w:bookmarkStart w:id="258" w:name="_Toc107430071"/>
      <w:r w:rsidRPr="002E7937">
        <w:t>3.1.</w:t>
      </w:r>
      <w:r w:rsidRPr="002E7937">
        <w:tab/>
      </w:r>
      <w:r w:rsidR="006B087E" w:rsidRPr="00C239F1">
        <w:rPr>
          <w:noProof/>
        </w:rPr>
        <w:t>Legal basis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5FEDC04" w14:textId="039F1A3B" w:rsidR="00CC5D3E" w:rsidRPr="00C239F1" w:rsidRDefault="00683F23" w:rsidP="00C239F1">
      <w:pPr>
        <w:spacing w:after="240" w:line="240" w:lineRule="auto"/>
        <w:jc w:val="both"/>
        <w:rPr>
          <w:noProof/>
          <w:sz w:val="24"/>
          <w:szCs w:val="24"/>
        </w:rPr>
      </w:pPr>
      <w:r w:rsidRPr="00C239F1">
        <w:rPr>
          <w:noProof/>
          <w:sz w:val="24"/>
          <w:szCs w:val="24"/>
        </w:rPr>
        <w:t xml:space="preserve">The PLD </w:t>
      </w:r>
      <w:r w:rsidR="00BB70FA" w:rsidRPr="00C239F1">
        <w:rPr>
          <w:noProof/>
          <w:sz w:val="24"/>
          <w:szCs w:val="24"/>
        </w:rPr>
        <w:t>fully harmonises the matters it explicitly covers and is</w:t>
      </w:r>
      <w:r w:rsidRPr="00C239F1">
        <w:rPr>
          <w:noProof/>
          <w:sz w:val="24"/>
          <w:szCs w:val="24"/>
        </w:rPr>
        <w:t xml:space="preserve"> based on Article 114 TFEU (ex-Article 95 TEC, ex-Article 100 EEC Treaty), the objective of which is the establishment and functioning of the internal market</w:t>
      </w:r>
      <w:r w:rsidR="00CC5D3E" w:rsidRPr="00C239F1">
        <w:rPr>
          <w:noProof/>
          <w:sz w:val="24"/>
          <w:szCs w:val="24"/>
        </w:rPr>
        <w:t xml:space="preserve"> by approximating national rules. Any revision of the PLD would build on the current objectives of free movement of goods and creating a level playing field for companies in the internal market, while ensuring consumer protection, and so would have the same legal basis.</w:t>
      </w:r>
    </w:p>
    <w:p w14:paraId="13B683A3" w14:textId="16378BDE" w:rsidR="006B087E" w:rsidRPr="003F01BB" w:rsidRDefault="002E7937" w:rsidP="002E7937">
      <w:pPr>
        <w:pStyle w:val="Heading2"/>
        <w:rPr>
          <w:noProof/>
        </w:rPr>
      </w:pPr>
      <w:bookmarkStart w:id="259" w:name="_Toc93401437"/>
      <w:bookmarkStart w:id="260" w:name="_Toc94005532"/>
      <w:bookmarkStart w:id="261" w:name="_Toc95379860"/>
      <w:bookmarkStart w:id="262" w:name="_Toc95391351"/>
      <w:bookmarkStart w:id="263" w:name="_Toc95396420"/>
      <w:bookmarkStart w:id="264" w:name="_Toc95421518"/>
      <w:bookmarkStart w:id="265" w:name="_Toc95481967"/>
      <w:bookmarkStart w:id="266" w:name="_Toc96337760"/>
      <w:bookmarkStart w:id="267" w:name="_Toc96446239"/>
      <w:bookmarkStart w:id="268" w:name="_Toc96448012"/>
      <w:bookmarkStart w:id="269" w:name="_Toc96593961"/>
      <w:bookmarkStart w:id="270" w:name="_Toc96597252"/>
      <w:bookmarkStart w:id="271" w:name="_Toc96609187"/>
      <w:bookmarkStart w:id="272" w:name="_Toc97149216"/>
      <w:bookmarkStart w:id="273" w:name="_Toc97191262"/>
      <w:bookmarkStart w:id="274" w:name="_Toc107430072"/>
      <w:r w:rsidRPr="002E7937">
        <w:t>3.2.</w:t>
      </w:r>
      <w:r w:rsidRPr="002E7937">
        <w:tab/>
      </w:r>
      <w:r w:rsidR="006B087E" w:rsidRPr="003F01BB">
        <w:rPr>
          <w:noProof/>
        </w:rPr>
        <w:t>Subsidiarity: Necessity of EU action</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BE4B54B" w14:textId="218B83C0" w:rsidR="006B087E" w:rsidRPr="00C239F1" w:rsidRDefault="00CC5D3E" w:rsidP="00C239F1">
      <w:pPr>
        <w:spacing w:after="240" w:line="240" w:lineRule="auto"/>
        <w:jc w:val="both"/>
        <w:rPr>
          <w:noProof/>
          <w:sz w:val="24"/>
        </w:rPr>
      </w:pPr>
      <w:r w:rsidRPr="00C239F1">
        <w:rPr>
          <w:noProof/>
          <w:sz w:val="24"/>
        </w:rPr>
        <w:t xml:space="preserve">This initiative </w:t>
      </w:r>
      <w:r w:rsidR="003B624A" w:rsidRPr="00C239F1">
        <w:rPr>
          <w:noProof/>
          <w:sz w:val="24"/>
        </w:rPr>
        <w:t>addresses the issues identified in the evaluation of the PLD, which was carried out as part of the Commission’s regulatory fitness and performance (REFIT) programme</w:t>
      </w:r>
      <w:r w:rsidR="00ED69DB" w:rsidRPr="00C239F1">
        <w:rPr>
          <w:rStyle w:val="FootnoteReference"/>
          <w:noProof/>
          <w:sz w:val="24"/>
        </w:rPr>
        <w:footnoteReference w:id="147"/>
      </w:r>
      <w:r w:rsidR="003B624A" w:rsidRPr="00C239F1">
        <w:rPr>
          <w:noProof/>
          <w:sz w:val="24"/>
        </w:rPr>
        <w:t>. The evaluation concluded that the PLD</w:t>
      </w:r>
      <w:r w:rsidR="00BD5717" w:rsidRPr="00C239F1">
        <w:rPr>
          <w:noProof/>
          <w:sz w:val="24"/>
        </w:rPr>
        <w:t xml:space="preserve"> was on the whole</w:t>
      </w:r>
      <w:r w:rsidR="00BB70FA" w:rsidRPr="00C239F1">
        <w:rPr>
          <w:noProof/>
          <w:sz w:val="24"/>
        </w:rPr>
        <w:t xml:space="preserve"> relevant, effective, efficient, coherent and had EU added value, despite some shortcomings concerning </w:t>
      </w:r>
      <w:r w:rsidR="00197B48" w:rsidRPr="00C239F1">
        <w:rPr>
          <w:noProof/>
          <w:sz w:val="24"/>
        </w:rPr>
        <w:t xml:space="preserve">ease of application in the </w:t>
      </w:r>
      <w:r w:rsidR="00BB70FA" w:rsidRPr="00C239F1">
        <w:rPr>
          <w:noProof/>
          <w:sz w:val="24"/>
        </w:rPr>
        <w:t>digital and circular economy</w:t>
      </w:r>
      <w:r w:rsidR="00197B48" w:rsidRPr="00C239F1">
        <w:rPr>
          <w:noProof/>
          <w:sz w:val="24"/>
        </w:rPr>
        <w:t xml:space="preserve"> and the balance of producer-consumer interests in some cases.</w:t>
      </w:r>
    </w:p>
    <w:p w14:paraId="66FBF1CF" w14:textId="649D3CF1" w:rsidR="00B46B4B" w:rsidRPr="00C239F1" w:rsidRDefault="00ED69DB" w:rsidP="00C239F1">
      <w:pPr>
        <w:spacing w:after="240" w:line="240" w:lineRule="auto"/>
        <w:jc w:val="both"/>
        <w:rPr>
          <w:noProof/>
          <w:sz w:val="24"/>
          <w:lang w:val="en-IE"/>
        </w:rPr>
      </w:pPr>
      <w:r w:rsidRPr="00C239F1">
        <w:rPr>
          <w:noProof/>
          <w:sz w:val="24"/>
          <w:lang w:val="en-IE"/>
        </w:rPr>
        <w:t xml:space="preserve">In the public consultation conducted for the evaluation, more than 85% of respondents considered the PLD was advantageous for consumers and producers, and </w:t>
      </w:r>
      <w:r w:rsidR="00A63D4A" w:rsidRPr="00C239F1">
        <w:rPr>
          <w:noProof/>
          <w:sz w:val="24"/>
          <w:lang w:val="en-IE"/>
        </w:rPr>
        <w:t xml:space="preserve">stakeholders across the board considered </w:t>
      </w:r>
      <w:r w:rsidR="00CD5910" w:rsidRPr="00C239F1">
        <w:rPr>
          <w:noProof/>
          <w:sz w:val="24"/>
          <w:lang w:val="en-IE"/>
        </w:rPr>
        <w:t xml:space="preserve">the advantages could not be achieved with national legislation alone. </w:t>
      </w:r>
      <w:r w:rsidR="002A64E2" w:rsidRPr="00C239F1">
        <w:rPr>
          <w:noProof/>
          <w:sz w:val="24"/>
          <w:lang w:val="en-IE"/>
        </w:rPr>
        <w:t xml:space="preserve">This is because goods </w:t>
      </w:r>
      <w:r w:rsidR="00CD5910" w:rsidRPr="00C239F1">
        <w:rPr>
          <w:noProof/>
          <w:sz w:val="24"/>
          <w:lang w:val="en-IE"/>
        </w:rPr>
        <w:t>circulate freely within the internal market</w:t>
      </w:r>
      <w:r w:rsidR="00C74B98" w:rsidRPr="00C239F1">
        <w:rPr>
          <w:noProof/>
          <w:sz w:val="24"/>
          <w:lang w:val="en-IE"/>
        </w:rPr>
        <w:t xml:space="preserve"> and are capable of being defective and causing harm irrespective of the Member State in which they were produced or used. </w:t>
      </w:r>
      <w:r w:rsidR="005A2E34" w:rsidRPr="00C239F1">
        <w:rPr>
          <w:noProof/>
          <w:sz w:val="24"/>
          <w:lang w:val="en-IE"/>
        </w:rPr>
        <w:t>Furthermore, t</w:t>
      </w:r>
      <w:r w:rsidR="00B46B4B" w:rsidRPr="00C239F1">
        <w:rPr>
          <w:noProof/>
          <w:sz w:val="24"/>
          <w:lang w:val="en-IE"/>
        </w:rPr>
        <w:t xml:space="preserve">he problems identified do not have any </w:t>
      </w:r>
      <w:r w:rsidR="00467DF3" w:rsidRPr="00C239F1">
        <w:rPr>
          <w:noProof/>
          <w:sz w:val="24"/>
          <w:lang w:val="en-IE"/>
        </w:rPr>
        <w:t xml:space="preserve">particular national or </w:t>
      </w:r>
      <w:r w:rsidR="00B46B4B" w:rsidRPr="00C239F1">
        <w:rPr>
          <w:noProof/>
          <w:sz w:val="24"/>
          <w:lang w:val="en-IE"/>
        </w:rPr>
        <w:t>sub-national specificities.</w:t>
      </w:r>
    </w:p>
    <w:p w14:paraId="7F93A002" w14:textId="74EBDEAF" w:rsidR="00652B56" w:rsidRPr="00C239F1" w:rsidRDefault="00F707FC" w:rsidP="00C239F1">
      <w:pPr>
        <w:spacing w:after="240" w:line="240" w:lineRule="auto"/>
        <w:jc w:val="both"/>
        <w:rPr>
          <w:noProof/>
          <w:sz w:val="24"/>
        </w:rPr>
      </w:pPr>
      <w:r w:rsidRPr="00C239F1">
        <w:rPr>
          <w:noProof/>
          <w:sz w:val="24"/>
        </w:rPr>
        <w:t xml:space="preserve">Since the PLD fully harmonises the matters it explicitly covers, Member States </w:t>
      </w:r>
      <w:r w:rsidR="0031476C" w:rsidRPr="00C239F1">
        <w:rPr>
          <w:noProof/>
          <w:sz w:val="24"/>
        </w:rPr>
        <w:t>are not</w:t>
      </w:r>
      <w:r w:rsidRPr="00C239F1">
        <w:rPr>
          <w:noProof/>
          <w:sz w:val="24"/>
        </w:rPr>
        <w:t xml:space="preserve"> allowed to make </w:t>
      </w:r>
      <w:r w:rsidRPr="00C239F1">
        <w:rPr>
          <w:noProof/>
          <w:sz w:val="24"/>
          <w:lang w:val="en-IE"/>
        </w:rPr>
        <w:t>changes to the scope</w:t>
      </w:r>
      <w:r w:rsidR="00FF24CF" w:rsidRPr="00C239F1">
        <w:rPr>
          <w:noProof/>
          <w:sz w:val="24"/>
          <w:lang w:val="en-IE"/>
        </w:rPr>
        <w:t>, outdated definitions</w:t>
      </w:r>
      <w:r w:rsidRPr="00C239F1">
        <w:rPr>
          <w:noProof/>
          <w:sz w:val="24"/>
          <w:lang w:val="en-IE"/>
        </w:rPr>
        <w:t xml:space="preserve"> or rules of the PLD: they must be made at EU level. </w:t>
      </w:r>
      <w:r w:rsidR="00A93F93" w:rsidRPr="00C239F1">
        <w:rPr>
          <w:noProof/>
          <w:sz w:val="24"/>
        </w:rPr>
        <w:t>In the absence of a uniform set of rules on compensating victims harmed by defective products, m</w:t>
      </w:r>
      <w:r w:rsidR="00652B56" w:rsidRPr="00C239F1">
        <w:rPr>
          <w:noProof/>
          <w:sz w:val="24"/>
        </w:rPr>
        <w:t>anufacturers would be faced with 27 different sets of rules, leading to</w:t>
      </w:r>
      <w:r w:rsidR="00782838">
        <w:rPr>
          <w:noProof/>
          <w:sz w:val="24"/>
        </w:rPr>
        <w:t xml:space="preserve"> </w:t>
      </w:r>
      <w:r w:rsidR="00652B56" w:rsidRPr="00C239F1">
        <w:rPr>
          <w:noProof/>
          <w:sz w:val="24"/>
        </w:rPr>
        <w:t>different levels of protection for consumers</w:t>
      </w:r>
      <w:r w:rsidR="00782838">
        <w:rPr>
          <w:noProof/>
          <w:sz w:val="24"/>
        </w:rPr>
        <w:t xml:space="preserve"> and</w:t>
      </w:r>
      <w:r w:rsidR="00652B56" w:rsidRPr="00C239F1">
        <w:rPr>
          <w:noProof/>
          <w:sz w:val="24"/>
        </w:rPr>
        <w:t xml:space="preserve"> distorted competition among market operators from different Member States. </w:t>
      </w:r>
    </w:p>
    <w:p w14:paraId="700BD71C" w14:textId="69B314F3" w:rsidR="006B087E" w:rsidRPr="00C239F1" w:rsidRDefault="002E7937" w:rsidP="002E7937">
      <w:pPr>
        <w:pStyle w:val="Heading2"/>
        <w:rPr>
          <w:noProof/>
        </w:rPr>
      </w:pPr>
      <w:bookmarkStart w:id="275" w:name="_Toc93401438"/>
      <w:bookmarkStart w:id="276" w:name="_Toc94005533"/>
      <w:bookmarkStart w:id="277" w:name="_Toc95379861"/>
      <w:bookmarkStart w:id="278" w:name="_Toc95391352"/>
      <w:bookmarkStart w:id="279" w:name="_Toc95396421"/>
      <w:bookmarkStart w:id="280" w:name="_Toc95421519"/>
      <w:bookmarkStart w:id="281" w:name="_Toc95481968"/>
      <w:bookmarkStart w:id="282" w:name="_Toc96337761"/>
      <w:bookmarkStart w:id="283" w:name="_Toc96446240"/>
      <w:bookmarkStart w:id="284" w:name="_Toc96448013"/>
      <w:bookmarkStart w:id="285" w:name="_Toc96593962"/>
      <w:bookmarkStart w:id="286" w:name="_Toc96597253"/>
      <w:bookmarkStart w:id="287" w:name="_Toc96609188"/>
      <w:bookmarkStart w:id="288" w:name="_Toc97149217"/>
      <w:bookmarkStart w:id="289" w:name="_Toc97191263"/>
      <w:bookmarkStart w:id="290" w:name="_Toc107430073"/>
      <w:r w:rsidRPr="002E7937">
        <w:t>3.3.</w:t>
      </w:r>
      <w:r w:rsidRPr="002E7937">
        <w:tab/>
      </w:r>
      <w:r w:rsidR="006B087E" w:rsidRPr="00C239F1">
        <w:rPr>
          <w:noProof/>
        </w:rPr>
        <w:t>Subsidiarity: Added value of EU action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E708E4B" w14:textId="2E00A0E9" w:rsidR="004F6682" w:rsidRPr="00C239F1" w:rsidRDefault="006339E8" w:rsidP="00C239F1">
      <w:pPr>
        <w:spacing w:after="240" w:line="240" w:lineRule="auto"/>
        <w:jc w:val="both"/>
        <w:rPr>
          <w:noProof/>
          <w:sz w:val="24"/>
          <w:szCs w:val="24"/>
          <w:lang w:val="en-IE"/>
        </w:rPr>
      </w:pPr>
      <w:r w:rsidRPr="00C239F1">
        <w:rPr>
          <w:noProof/>
          <w:sz w:val="24"/>
          <w:szCs w:val="24"/>
          <w:lang w:val="en-IE"/>
        </w:rPr>
        <w:t>The evaluation concluded that the added value of having EU-level product liability rules to complement EU-level product safety rules was uncontested</w:t>
      </w:r>
      <w:r w:rsidRPr="00C239F1">
        <w:rPr>
          <w:rStyle w:val="FootnoteReference"/>
          <w:noProof/>
          <w:sz w:val="24"/>
          <w:szCs w:val="24"/>
          <w:lang w:val="en-IE"/>
        </w:rPr>
        <w:footnoteReference w:id="148"/>
      </w:r>
      <w:r w:rsidRPr="00C239F1">
        <w:rPr>
          <w:noProof/>
          <w:sz w:val="24"/>
          <w:szCs w:val="24"/>
          <w:lang w:val="en-IE"/>
        </w:rPr>
        <w:t xml:space="preserve">. Indeed </w:t>
      </w:r>
      <w:r w:rsidR="008B28C8" w:rsidRPr="00C239F1">
        <w:rPr>
          <w:noProof/>
          <w:sz w:val="24"/>
          <w:szCs w:val="24"/>
          <w:lang w:val="en-IE"/>
        </w:rPr>
        <w:t>rules o</w:t>
      </w:r>
      <w:r w:rsidRPr="00C239F1">
        <w:rPr>
          <w:noProof/>
          <w:sz w:val="24"/>
          <w:szCs w:val="24"/>
          <w:lang w:val="en-IE"/>
        </w:rPr>
        <w:t>n compensating</w:t>
      </w:r>
      <w:r w:rsidR="008B28C8" w:rsidRPr="00C239F1">
        <w:rPr>
          <w:noProof/>
          <w:sz w:val="24"/>
          <w:szCs w:val="24"/>
          <w:lang w:val="en-IE"/>
        </w:rPr>
        <w:t xml:space="preserve"> </w:t>
      </w:r>
      <w:r w:rsidR="004F6682" w:rsidRPr="00C239F1">
        <w:rPr>
          <w:noProof/>
          <w:sz w:val="24"/>
          <w:szCs w:val="24"/>
          <w:lang w:val="en-IE"/>
        </w:rPr>
        <w:t>victims harmed by defective products</w:t>
      </w:r>
      <w:r w:rsidR="008B28C8" w:rsidRPr="00C239F1">
        <w:rPr>
          <w:noProof/>
          <w:sz w:val="24"/>
          <w:szCs w:val="24"/>
          <w:lang w:val="en-IE"/>
        </w:rPr>
        <w:t xml:space="preserve"> reinforce </w:t>
      </w:r>
      <w:r w:rsidRPr="00C239F1">
        <w:rPr>
          <w:noProof/>
          <w:sz w:val="24"/>
          <w:szCs w:val="24"/>
          <w:lang w:val="en-IE"/>
        </w:rPr>
        <w:t xml:space="preserve">EU </w:t>
      </w:r>
      <w:r w:rsidR="008B28C8" w:rsidRPr="00C239F1">
        <w:rPr>
          <w:noProof/>
          <w:sz w:val="24"/>
          <w:szCs w:val="24"/>
          <w:lang w:val="en-IE"/>
        </w:rPr>
        <w:t>product safety rules</w:t>
      </w:r>
      <w:r w:rsidRPr="00C239F1">
        <w:rPr>
          <w:noProof/>
          <w:sz w:val="24"/>
          <w:szCs w:val="24"/>
          <w:lang w:val="en-IE"/>
        </w:rPr>
        <w:t>, and both pursue the same policy goal of a functioning internal market for goods that ensures a high level of consumer protection.</w:t>
      </w:r>
    </w:p>
    <w:p w14:paraId="53BC313C" w14:textId="756A89D3" w:rsidR="00197B48" w:rsidRPr="00C239F1" w:rsidRDefault="004F6682" w:rsidP="00C239F1">
      <w:pPr>
        <w:spacing w:after="240" w:line="240" w:lineRule="auto"/>
        <w:jc w:val="both"/>
        <w:rPr>
          <w:noProof/>
          <w:sz w:val="24"/>
          <w:szCs w:val="24"/>
          <w:lang w:val="en-IE"/>
        </w:rPr>
      </w:pPr>
      <w:r w:rsidRPr="00C239F1">
        <w:rPr>
          <w:noProof/>
          <w:sz w:val="24"/>
          <w:szCs w:val="24"/>
          <w:lang w:val="en-IE"/>
        </w:rPr>
        <w:t xml:space="preserve">Regulatory action at EU level would ensure coherent implementation of product liability rules. </w:t>
      </w:r>
      <w:r w:rsidR="00197B48" w:rsidRPr="00C239F1">
        <w:rPr>
          <w:noProof/>
          <w:sz w:val="24"/>
          <w:szCs w:val="24"/>
          <w:lang w:val="en-IE"/>
        </w:rPr>
        <w:t xml:space="preserve">It would provide legal certainty about </w:t>
      </w:r>
      <w:r w:rsidR="00320AF5" w:rsidRPr="00C239F1">
        <w:rPr>
          <w:noProof/>
          <w:sz w:val="24"/>
          <w:szCs w:val="24"/>
          <w:lang w:val="en-IE"/>
        </w:rPr>
        <w:t xml:space="preserve">what products, economic operators and types of harm fall within the PLD’s scope, and about the appropriate balance of interests between producers and consumers across the EU. This would in turn </w:t>
      </w:r>
      <w:r w:rsidRPr="00C239F1">
        <w:rPr>
          <w:noProof/>
          <w:sz w:val="24"/>
          <w:szCs w:val="24"/>
          <w:lang w:val="en-IE"/>
        </w:rPr>
        <w:t>help</w:t>
      </w:r>
      <w:r w:rsidR="00320AF5" w:rsidRPr="00C239F1">
        <w:rPr>
          <w:noProof/>
          <w:sz w:val="24"/>
          <w:szCs w:val="24"/>
          <w:lang w:val="en-IE"/>
        </w:rPr>
        <w:t xml:space="preserve"> ensure the free movement of goods, a level playing field for all market operators, and </w:t>
      </w:r>
      <w:r w:rsidR="00ED69DB" w:rsidRPr="00C239F1">
        <w:rPr>
          <w:noProof/>
          <w:sz w:val="24"/>
          <w:szCs w:val="24"/>
          <w:lang w:val="en-IE"/>
        </w:rPr>
        <w:t>a high and consistent level of consumer protection.</w:t>
      </w:r>
    </w:p>
    <w:p w14:paraId="1A8013A5" w14:textId="24C6623A" w:rsidR="006B087E" w:rsidRPr="00C239F1" w:rsidRDefault="002E7937" w:rsidP="002E7937">
      <w:pPr>
        <w:pStyle w:val="Heading1"/>
        <w:rPr>
          <w:noProof/>
        </w:rPr>
      </w:pPr>
      <w:bookmarkStart w:id="291" w:name="_Toc93401439"/>
      <w:bookmarkStart w:id="292" w:name="_Toc94005534"/>
      <w:bookmarkStart w:id="293" w:name="_Toc95379862"/>
      <w:bookmarkStart w:id="294" w:name="_Toc95391353"/>
      <w:bookmarkStart w:id="295" w:name="_Toc95396422"/>
      <w:bookmarkStart w:id="296" w:name="_Toc95421520"/>
      <w:bookmarkStart w:id="297" w:name="_Toc95481969"/>
      <w:bookmarkStart w:id="298" w:name="_Toc96337762"/>
      <w:bookmarkStart w:id="299" w:name="_Toc96446241"/>
      <w:bookmarkStart w:id="300" w:name="_Toc96448014"/>
      <w:bookmarkStart w:id="301" w:name="_Toc96593963"/>
      <w:bookmarkStart w:id="302" w:name="_Toc96597254"/>
      <w:bookmarkStart w:id="303" w:name="_Toc96609189"/>
      <w:bookmarkStart w:id="304" w:name="_Toc97149218"/>
      <w:bookmarkStart w:id="305" w:name="_Toc97191264"/>
      <w:bookmarkStart w:id="306" w:name="_Toc107430074"/>
      <w:r w:rsidRPr="002E7937">
        <w:t>4.</w:t>
      </w:r>
      <w:r w:rsidRPr="002E7937">
        <w:tab/>
      </w:r>
      <w:r w:rsidR="006B087E" w:rsidRPr="00C239F1">
        <w:rPr>
          <w:noProof/>
        </w:rPr>
        <w:t>Objectives: What is to be achieved?</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3CC0CC1" w14:textId="28461CAA" w:rsidR="006B087E" w:rsidRPr="00C239F1" w:rsidRDefault="002E7937" w:rsidP="002E7937">
      <w:pPr>
        <w:pStyle w:val="Heading2"/>
        <w:rPr>
          <w:noProof/>
        </w:rPr>
      </w:pPr>
      <w:bookmarkStart w:id="307" w:name="_Toc93401440"/>
      <w:bookmarkStart w:id="308" w:name="_Toc94005535"/>
      <w:bookmarkStart w:id="309" w:name="_Toc95379863"/>
      <w:bookmarkStart w:id="310" w:name="_Toc95391354"/>
      <w:bookmarkStart w:id="311" w:name="_Toc95396423"/>
      <w:bookmarkStart w:id="312" w:name="_Toc95421521"/>
      <w:bookmarkStart w:id="313" w:name="_Toc95481970"/>
      <w:bookmarkStart w:id="314" w:name="_Toc96337763"/>
      <w:bookmarkStart w:id="315" w:name="_Toc96446242"/>
      <w:bookmarkStart w:id="316" w:name="_Toc96448015"/>
      <w:bookmarkStart w:id="317" w:name="_Toc96593964"/>
      <w:bookmarkStart w:id="318" w:name="_Toc96597255"/>
      <w:bookmarkStart w:id="319" w:name="_Toc96609190"/>
      <w:bookmarkStart w:id="320" w:name="_Toc97149219"/>
      <w:bookmarkStart w:id="321" w:name="_Toc97191265"/>
      <w:bookmarkStart w:id="322" w:name="_Toc107430075"/>
      <w:r w:rsidRPr="002E7937">
        <w:t>4.1.</w:t>
      </w:r>
      <w:r w:rsidRPr="002E7937">
        <w:tab/>
      </w:r>
      <w:r w:rsidR="006B087E" w:rsidRPr="00C239F1">
        <w:rPr>
          <w:noProof/>
        </w:rPr>
        <w:t>General objectives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5E84331" w14:textId="3F08A19F" w:rsidR="003F6DAD" w:rsidRPr="00C239F1" w:rsidRDefault="00C35881" w:rsidP="00C36852">
      <w:pPr>
        <w:spacing w:after="240" w:line="240" w:lineRule="auto"/>
        <w:jc w:val="both"/>
        <w:rPr>
          <w:rFonts w:cs="Times New Roman"/>
          <w:noProof/>
          <w:sz w:val="24"/>
          <w:szCs w:val="24"/>
        </w:rPr>
      </w:pPr>
      <w:r w:rsidRPr="00C239F1">
        <w:rPr>
          <w:noProof/>
          <w:sz w:val="24"/>
          <w:szCs w:val="24"/>
        </w:rPr>
        <w:t xml:space="preserve">The PLD fully harmonises the matters it explicitly covers and is based on Article 114 TFEU (ex-Article 95 TEC, ex-Article 100 EEC Treaty), the objective of which is the establishment and functioning of the internal market by approximating national rules. </w:t>
      </w:r>
      <w:r w:rsidR="003F6DAD" w:rsidRPr="00C239F1">
        <w:rPr>
          <w:noProof/>
          <w:sz w:val="24"/>
          <w:szCs w:val="24"/>
        </w:rPr>
        <w:t xml:space="preserve">The revision of the PLD pursues two general objectives to address the problems identified, both of </w:t>
      </w:r>
      <w:r w:rsidR="003F6DAD" w:rsidRPr="00C239F1">
        <w:rPr>
          <w:rFonts w:cs="Times New Roman"/>
          <w:noProof/>
          <w:sz w:val="24"/>
          <w:szCs w:val="24"/>
        </w:rPr>
        <w:t>which build on those of the current PLD:</w:t>
      </w:r>
    </w:p>
    <w:p w14:paraId="782C33B0" w14:textId="2EDB03F4" w:rsidR="003F6DAD" w:rsidRPr="00C239F1" w:rsidRDefault="003F6DAD" w:rsidP="00DD3B24">
      <w:pPr>
        <w:pStyle w:val="ListParagraph"/>
        <w:numPr>
          <w:ilvl w:val="0"/>
          <w:numId w:val="6"/>
        </w:numPr>
        <w:spacing w:after="120"/>
        <w:ind w:left="714" w:hanging="357"/>
        <w:jc w:val="both"/>
        <w:rPr>
          <w:noProof/>
          <w:sz w:val="24"/>
          <w:szCs w:val="24"/>
        </w:rPr>
      </w:pPr>
      <w:r w:rsidRPr="00C239F1">
        <w:rPr>
          <w:noProof/>
          <w:sz w:val="24"/>
          <w:szCs w:val="24"/>
        </w:rPr>
        <w:t>Continue to ensure the functioning of the internal market, free movement of goods and undistorted competition between market operators;</w:t>
      </w:r>
    </w:p>
    <w:p w14:paraId="161213CB" w14:textId="1576FB5C" w:rsidR="006B087E" w:rsidRPr="00C239F1" w:rsidRDefault="003F6DAD" w:rsidP="00DD3B24">
      <w:pPr>
        <w:pStyle w:val="ListParagraph"/>
        <w:numPr>
          <w:ilvl w:val="0"/>
          <w:numId w:val="6"/>
        </w:numPr>
        <w:spacing w:after="240"/>
        <w:ind w:left="714" w:hanging="357"/>
        <w:jc w:val="both"/>
        <w:rPr>
          <w:noProof/>
          <w:sz w:val="24"/>
          <w:szCs w:val="24"/>
        </w:rPr>
      </w:pPr>
      <w:r w:rsidRPr="00C239F1">
        <w:rPr>
          <w:noProof/>
          <w:sz w:val="24"/>
          <w:szCs w:val="24"/>
        </w:rPr>
        <w:t>Continue to ensure a high level of protection of consumers’ health and property.</w:t>
      </w:r>
    </w:p>
    <w:p w14:paraId="3E3B3806" w14:textId="5B92C2C0" w:rsidR="00291F57" w:rsidRPr="00C36852" w:rsidRDefault="002E7937" w:rsidP="002E7937">
      <w:pPr>
        <w:pStyle w:val="Heading2"/>
        <w:rPr>
          <w:noProof/>
        </w:rPr>
      </w:pPr>
      <w:bookmarkStart w:id="323" w:name="_Toc93401441"/>
      <w:bookmarkStart w:id="324" w:name="_Toc94005536"/>
      <w:bookmarkStart w:id="325" w:name="_Toc95379864"/>
      <w:bookmarkStart w:id="326" w:name="_Toc95391355"/>
      <w:bookmarkStart w:id="327" w:name="_Toc95396424"/>
      <w:bookmarkStart w:id="328" w:name="_Toc95421522"/>
      <w:bookmarkStart w:id="329" w:name="_Toc95481971"/>
      <w:bookmarkStart w:id="330" w:name="_Toc96337764"/>
      <w:bookmarkStart w:id="331" w:name="_Toc96446243"/>
      <w:bookmarkStart w:id="332" w:name="_Toc96448016"/>
      <w:bookmarkStart w:id="333" w:name="_Toc96593965"/>
      <w:bookmarkStart w:id="334" w:name="_Toc96597256"/>
      <w:bookmarkStart w:id="335" w:name="_Toc96609191"/>
      <w:bookmarkStart w:id="336" w:name="_Toc97149220"/>
      <w:bookmarkStart w:id="337" w:name="_Toc97191266"/>
      <w:bookmarkStart w:id="338" w:name="_Toc107430076"/>
      <w:r w:rsidRPr="002E7937">
        <w:t>4.2.</w:t>
      </w:r>
      <w:r w:rsidRPr="002E7937">
        <w:tab/>
      </w:r>
      <w:r w:rsidR="006B087E" w:rsidRPr="00C36852">
        <w:rPr>
          <w:noProof/>
        </w:rPr>
        <w:t>Specific objectives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268F766" w14:textId="7366C92B" w:rsidR="00B2499B" w:rsidRPr="00C36852" w:rsidRDefault="00B57BF2" w:rsidP="00C36852">
      <w:pPr>
        <w:pStyle w:val="Text2"/>
        <w:ind w:left="0"/>
        <w:rPr>
          <w:noProof/>
          <w:szCs w:val="24"/>
        </w:rPr>
      </w:pPr>
      <w:r>
        <w:rPr>
          <w:noProof/>
          <w:szCs w:val="24"/>
        </w:rPr>
        <w:t xml:space="preserve">This initiative </w:t>
      </w:r>
      <w:r w:rsidR="00B2499B" w:rsidRPr="00C36852">
        <w:rPr>
          <w:noProof/>
          <w:szCs w:val="24"/>
        </w:rPr>
        <w:t xml:space="preserve">pursues </w:t>
      </w:r>
      <w:r w:rsidR="00BA4594" w:rsidRPr="00C36852">
        <w:rPr>
          <w:noProof/>
          <w:szCs w:val="24"/>
        </w:rPr>
        <w:t>five</w:t>
      </w:r>
      <w:r w:rsidR="00B2499B" w:rsidRPr="00C36852">
        <w:rPr>
          <w:noProof/>
          <w:szCs w:val="24"/>
        </w:rPr>
        <w:t xml:space="preserve"> specific objectives (SOs).</w:t>
      </w:r>
    </w:p>
    <w:p w14:paraId="423CDFE0" w14:textId="49405DF2" w:rsidR="003F6DAD" w:rsidRPr="00C36852" w:rsidRDefault="00FE2645" w:rsidP="00C36852">
      <w:pPr>
        <w:pStyle w:val="Heading3"/>
        <w:tabs>
          <w:tab w:val="clear" w:pos="1920"/>
        </w:tabs>
        <w:ind w:left="0" w:firstLine="0"/>
        <w:rPr>
          <w:noProof/>
          <w:szCs w:val="24"/>
          <w:lang w:val="en-IE"/>
        </w:rPr>
      </w:pPr>
      <w:bookmarkStart w:id="339" w:name="_Toc93401442"/>
      <w:bookmarkStart w:id="340" w:name="_Toc94005537"/>
      <w:bookmarkStart w:id="341" w:name="_Toc95379865"/>
      <w:bookmarkStart w:id="342" w:name="_Toc95391356"/>
      <w:bookmarkStart w:id="343" w:name="_Toc95396425"/>
      <w:bookmarkStart w:id="344" w:name="_Toc95421523"/>
      <w:bookmarkStart w:id="345" w:name="_Toc95481972"/>
      <w:bookmarkStart w:id="346" w:name="_Toc96337765"/>
      <w:bookmarkStart w:id="347" w:name="_Toc96446244"/>
      <w:bookmarkStart w:id="348" w:name="_Toc96448017"/>
      <w:bookmarkStart w:id="349" w:name="_Toc96593966"/>
      <w:bookmarkStart w:id="350" w:name="_Toc96597257"/>
      <w:bookmarkStart w:id="351" w:name="_Toc96609192"/>
      <w:bookmarkStart w:id="352" w:name="_Toc97149221"/>
      <w:bookmarkStart w:id="353" w:name="_Toc97191267"/>
      <w:bookmarkStart w:id="354" w:name="_Toc107430077"/>
      <w:r w:rsidRPr="00C36852">
        <w:rPr>
          <w:noProof/>
          <w:szCs w:val="24"/>
        </w:rPr>
        <w:t>In order to a</w:t>
      </w:r>
      <w:r w:rsidR="00291F57" w:rsidRPr="00C36852">
        <w:rPr>
          <w:noProof/>
          <w:szCs w:val="24"/>
        </w:rPr>
        <w:t>dapt</w:t>
      </w:r>
      <w:r w:rsidR="00291F57" w:rsidRPr="00C36852">
        <w:rPr>
          <w:noProof/>
          <w:szCs w:val="24"/>
          <w:lang w:val="en-IE"/>
        </w:rPr>
        <w:t xml:space="preserve"> </w:t>
      </w:r>
      <w:r w:rsidR="00B57BF2">
        <w:rPr>
          <w:noProof/>
          <w:szCs w:val="24"/>
          <w:lang w:val="en-IE"/>
        </w:rPr>
        <w:t>product liability rules</w:t>
      </w:r>
      <w:r w:rsidR="00291F57" w:rsidRPr="00C36852">
        <w:rPr>
          <w:noProof/>
          <w:szCs w:val="24"/>
          <w:lang w:val="en-IE"/>
        </w:rPr>
        <w:t xml:space="preserve"> to the digital age </w:t>
      </w:r>
      <w:r w:rsidR="00B2499B" w:rsidRPr="00C36852">
        <w:rPr>
          <w:noProof/>
          <w:szCs w:val="24"/>
          <w:lang w:val="en-IE"/>
        </w:rPr>
        <w:t>and circular economy</w:t>
      </w:r>
      <w:r w:rsidRPr="00C36852">
        <w:rPr>
          <w:noProof/>
          <w:szCs w:val="24"/>
          <w:lang w:val="en-IE"/>
        </w:rPr>
        <w:t>:</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2544170" w14:textId="1825878D" w:rsidR="001A5E11" w:rsidRPr="00C36852" w:rsidRDefault="001A5E11" w:rsidP="00DD3B24">
      <w:pPr>
        <w:pStyle w:val="ListParagraph"/>
        <w:numPr>
          <w:ilvl w:val="0"/>
          <w:numId w:val="7"/>
        </w:numPr>
        <w:spacing w:after="240"/>
        <w:ind w:left="284" w:hanging="357"/>
        <w:jc w:val="both"/>
        <w:rPr>
          <w:b/>
          <w:noProof/>
          <w:sz w:val="24"/>
          <w:szCs w:val="24"/>
          <w:lang w:val="en-IE"/>
        </w:rPr>
      </w:pPr>
      <w:r w:rsidRPr="00C36852">
        <w:rPr>
          <w:b/>
          <w:noProof/>
          <w:sz w:val="24"/>
          <w:szCs w:val="24"/>
          <w:lang w:val="en-IE"/>
        </w:rPr>
        <w:t xml:space="preserve">SO 1: </w:t>
      </w:r>
      <w:r w:rsidR="00B57BF2">
        <w:rPr>
          <w:b/>
          <w:noProof/>
          <w:sz w:val="24"/>
          <w:szCs w:val="24"/>
          <w:lang w:val="en-IE"/>
        </w:rPr>
        <w:t>Ensure</w:t>
      </w:r>
      <w:r w:rsidR="00B57BF2" w:rsidRPr="00C36852">
        <w:rPr>
          <w:b/>
          <w:noProof/>
          <w:sz w:val="24"/>
          <w:szCs w:val="24"/>
          <w:lang w:val="en-IE"/>
        </w:rPr>
        <w:t xml:space="preserve"> </w:t>
      </w:r>
      <w:r w:rsidR="00B57BF2">
        <w:rPr>
          <w:b/>
          <w:noProof/>
          <w:sz w:val="24"/>
          <w:szCs w:val="24"/>
          <w:lang w:val="en-IE"/>
        </w:rPr>
        <w:t>liability rules</w:t>
      </w:r>
      <w:r w:rsidRPr="00C36852">
        <w:rPr>
          <w:b/>
          <w:noProof/>
          <w:sz w:val="24"/>
          <w:szCs w:val="24"/>
          <w:lang w:val="en-IE"/>
        </w:rPr>
        <w:t xml:space="preserve"> reflect nature </w:t>
      </w:r>
      <w:r w:rsidR="00D8192C" w:rsidRPr="00C36852">
        <w:rPr>
          <w:b/>
          <w:noProof/>
          <w:sz w:val="24"/>
          <w:szCs w:val="24"/>
          <w:lang w:val="en-IE"/>
        </w:rPr>
        <w:t xml:space="preserve">and risks </w:t>
      </w:r>
      <w:r w:rsidRPr="00C36852">
        <w:rPr>
          <w:b/>
          <w:noProof/>
          <w:sz w:val="24"/>
          <w:szCs w:val="24"/>
          <w:lang w:val="en-IE"/>
        </w:rPr>
        <w:t>of products in the digital age</w:t>
      </w:r>
    </w:p>
    <w:p w14:paraId="6ACA1F05" w14:textId="61532D72" w:rsidR="001A5E11" w:rsidRPr="00C36852" w:rsidRDefault="001A5E11" w:rsidP="00C36852">
      <w:pPr>
        <w:spacing w:after="240" w:line="240" w:lineRule="auto"/>
        <w:jc w:val="both"/>
        <w:rPr>
          <w:noProof/>
          <w:sz w:val="24"/>
          <w:szCs w:val="24"/>
          <w:lang w:val="en-IE"/>
        </w:rPr>
      </w:pPr>
      <w:r w:rsidRPr="00C36852">
        <w:rPr>
          <w:noProof/>
          <w:sz w:val="24"/>
          <w:szCs w:val="24"/>
          <w:lang w:val="en-IE"/>
        </w:rPr>
        <w:t xml:space="preserve">The aim here is to ensure that not only traditional products that were commonplace in the 1980s are adequately covered by </w:t>
      </w:r>
      <w:r w:rsidR="00B57BF2">
        <w:rPr>
          <w:noProof/>
          <w:sz w:val="24"/>
          <w:szCs w:val="24"/>
          <w:lang w:val="en-IE"/>
        </w:rPr>
        <w:t>product liability rules</w:t>
      </w:r>
      <w:r w:rsidRPr="00C36852">
        <w:rPr>
          <w:noProof/>
          <w:sz w:val="24"/>
          <w:szCs w:val="24"/>
          <w:lang w:val="en-IE"/>
        </w:rPr>
        <w:t xml:space="preserve">, but that </w:t>
      </w:r>
      <w:r w:rsidR="003D7331" w:rsidRPr="00C36852">
        <w:rPr>
          <w:noProof/>
          <w:sz w:val="24"/>
          <w:szCs w:val="24"/>
          <w:lang w:val="en-IE"/>
        </w:rPr>
        <w:t xml:space="preserve">digital products </w:t>
      </w:r>
      <w:r w:rsidRPr="00C36852">
        <w:rPr>
          <w:noProof/>
          <w:sz w:val="24"/>
          <w:szCs w:val="24"/>
          <w:lang w:val="en-IE"/>
        </w:rPr>
        <w:t>are too. Adapting</w:t>
      </w:r>
      <w:r w:rsidR="00C3139B">
        <w:rPr>
          <w:noProof/>
          <w:sz w:val="24"/>
          <w:szCs w:val="24"/>
          <w:lang w:val="en-IE"/>
        </w:rPr>
        <w:t xml:space="preserve"> or clarifying</w:t>
      </w:r>
      <w:r w:rsidRPr="00C36852">
        <w:rPr>
          <w:noProof/>
          <w:sz w:val="24"/>
          <w:szCs w:val="24"/>
          <w:lang w:val="en-IE"/>
        </w:rPr>
        <w:t xml:space="preserve"> definitions will bring </w:t>
      </w:r>
      <w:r w:rsidR="00B57BF2">
        <w:rPr>
          <w:noProof/>
          <w:sz w:val="24"/>
          <w:szCs w:val="24"/>
          <w:lang w:val="en-IE"/>
        </w:rPr>
        <w:t>product liability rules</w:t>
      </w:r>
      <w:r w:rsidRPr="00C36852">
        <w:rPr>
          <w:noProof/>
          <w:sz w:val="24"/>
          <w:szCs w:val="24"/>
          <w:lang w:val="en-IE"/>
        </w:rPr>
        <w:t xml:space="preserve"> into line with EU safety legislation already adapted to digital technologies, and will help reduce uncertainties in the implementation of the PLD</w:t>
      </w:r>
      <w:r w:rsidR="002D5258" w:rsidRPr="00C36852">
        <w:rPr>
          <w:noProof/>
          <w:sz w:val="24"/>
          <w:szCs w:val="24"/>
          <w:lang w:val="en-IE"/>
        </w:rPr>
        <w:t>.</w:t>
      </w:r>
      <w:r w:rsidRPr="00C36852">
        <w:rPr>
          <w:noProof/>
          <w:sz w:val="24"/>
          <w:szCs w:val="24"/>
          <w:lang w:val="en-IE"/>
        </w:rPr>
        <w:t xml:space="preserve"> </w:t>
      </w:r>
    </w:p>
    <w:p w14:paraId="31C2DEBE" w14:textId="77777777" w:rsidR="001A5E11" w:rsidRPr="00C36852" w:rsidRDefault="001A5E11" w:rsidP="00C36852">
      <w:pPr>
        <w:spacing w:after="240" w:line="240" w:lineRule="auto"/>
        <w:jc w:val="both"/>
        <w:rPr>
          <w:noProof/>
          <w:sz w:val="24"/>
          <w:szCs w:val="24"/>
          <w:lang w:val="en-IE"/>
        </w:rPr>
      </w:pPr>
      <w:r w:rsidRPr="00C36852">
        <w:rPr>
          <w:noProof/>
          <w:sz w:val="24"/>
          <w:szCs w:val="24"/>
          <w:lang w:val="en-IE"/>
        </w:rPr>
        <w:t xml:space="preserve">The aim is also to reflect the reality that product safety is nowadays impacted after the formal production process, including through updates/upgrades or through evolving cybersecurity threats. </w:t>
      </w:r>
    </w:p>
    <w:p w14:paraId="5968F74C" w14:textId="26FD8216" w:rsidR="001A5E11" w:rsidRPr="00C36852" w:rsidRDefault="001A5E11" w:rsidP="00C36852">
      <w:pPr>
        <w:spacing w:after="240" w:line="240" w:lineRule="auto"/>
        <w:jc w:val="both"/>
        <w:rPr>
          <w:noProof/>
          <w:sz w:val="24"/>
          <w:szCs w:val="24"/>
          <w:lang w:val="en-IE"/>
        </w:rPr>
      </w:pPr>
      <w:r w:rsidRPr="00C36852">
        <w:rPr>
          <w:noProof/>
          <w:sz w:val="24"/>
          <w:szCs w:val="24"/>
          <w:lang w:val="en-IE"/>
        </w:rPr>
        <w:t xml:space="preserve">The aim is also to ensure any new and relevant types of damage that products using digital technologies may cause are appropriately covered, with the </w:t>
      </w:r>
      <w:r w:rsidR="00E9371F">
        <w:rPr>
          <w:noProof/>
          <w:sz w:val="24"/>
          <w:szCs w:val="24"/>
          <w:lang w:val="en-IE"/>
        </w:rPr>
        <w:t>goal</w:t>
      </w:r>
      <w:r w:rsidR="00E9371F" w:rsidRPr="00C36852">
        <w:rPr>
          <w:noProof/>
          <w:sz w:val="24"/>
          <w:szCs w:val="24"/>
          <w:lang w:val="en-IE"/>
        </w:rPr>
        <w:t xml:space="preserve"> </w:t>
      </w:r>
      <w:r w:rsidRPr="00C36852">
        <w:rPr>
          <w:noProof/>
          <w:sz w:val="24"/>
          <w:szCs w:val="24"/>
          <w:lang w:val="en-IE"/>
        </w:rPr>
        <w:t>of ensuring consistent interpretation (e.g. of digital property) and avoiding overlaps with other regimes (e.g. GDPR</w:t>
      </w:r>
      <w:r w:rsidR="00BA4594" w:rsidRPr="00C36852">
        <w:rPr>
          <w:noProof/>
          <w:sz w:val="24"/>
          <w:szCs w:val="24"/>
          <w:lang w:val="en-IE"/>
        </w:rPr>
        <w:t>, non-discrimination legislation</w:t>
      </w:r>
      <w:r w:rsidRPr="00C36852">
        <w:rPr>
          <w:noProof/>
          <w:sz w:val="24"/>
          <w:szCs w:val="24"/>
          <w:lang w:val="en-IE"/>
        </w:rPr>
        <w:t>).</w:t>
      </w:r>
    </w:p>
    <w:p w14:paraId="5FCB6CC0" w14:textId="4148DFEE" w:rsidR="003D7331" w:rsidRPr="00C36852" w:rsidRDefault="003D7331" w:rsidP="00DD3B24">
      <w:pPr>
        <w:pStyle w:val="ListParagraph"/>
        <w:numPr>
          <w:ilvl w:val="0"/>
          <w:numId w:val="7"/>
        </w:numPr>
        <w:spacing w:after="240"/>
        <w:ind w:left="284" w:hanging="357"/>
        <w:jc w:val="both"/>
        <w:rPr>
          <w:b/>
          <w:noProof/>
          <w:sz w:val="24"/>
          <w:szCs w:val="24"/>
          <w:lang w:val="en-IE"/>
        </w:rPr>
      </w:pPr>
      <w:r w:rsidRPr="00C36852">
        <w:rPr>
          <w:b/>
          <w:noProof/>
          <w:sz w:val="24"/>
          <w:szCs w:val="24"/>
          <w:lang w:val="en-IE"/>
        </w:rPr>
        <w:t xml:space="preserve">SO 2: </w:t>
      </w:r>
      <w:r w:rsidR="00B57BF2">
        <w:rPr>
          <w:b/>
          <w:noProof/>
          <w:sz w:val="24"/>
          <w:szCs w:val="24"/>
          <w:lang w:val="en-IE"/>
        </w:rPr>
        <w:t>Ensure liability rules</w:t>
      </w:r>
      <w:r w:rsidRPr="00C36852">
        <w:rPr>
          <w:b/>
          <w:noProof/>
          <w:sz w:val="24"/>
          <w:szCs w:val="24"/>
          <w:lang w:val="en-IE"/>
        </w:rPr>
        <w:t xml:space="preserve"> reflect nature of products in the circular economy</w:t>
      </w:r>
    </w:p>
    <w:p w14:paraId="1C013D09" w14:textId="23C3879A" w:rsidR="003D7331" w:rsidRPr="00C36852" w:rsidRDefault="003D7331" w:rsidP="00C36852">
      <w:pPr>
        <w:kinsoku w:val="0"/>
        <w:overflowPunct w:val="0"/>
        <w:autoSpaceDE w:val="0"/>
        <w:autoSpaceDN w:val="0"/>
        <w:adjustRightInd w:val="0"/>
        <w:spacing w:after="240" w:line="240" w:lineRule="auto"/>
        <w:jc w:val="both"/>
        <w:rPr>
          <w:noProof/>
          <w:sz w:val="24"/>
          <w:szCs w:val="24"/>
          <w:lang w:val="en-IE"/>
        </w:rPr>
      </w:pPr>
      <w:r w:rsidRPr="00C36852">
        <w:rPr>
          <w:noProof/>
          <w:sz w:val="24"/>
          <w:szCs w:val="24"/>
          <w:lang w:val="en-IE"/>
        </w:rPr>
        <w:t>The aim here is to ensure that products produced according to circular business models and placed on the market are adequately covered</w:t>
      </w:r>
      <w:r w:rsidR="00C3139B">
        <w:rPr>
          <w:noProof/>
          <w:sz w:val="24"/>
          <w:szCs w:val="24"/>
          <w:lang w:val="en-IE"/>
        </w:rPr>
        <w:t>.</w:t>
      </w:r>
      <w:r w:rsidRPr="00C36852">
        <w:rPr>
          <w:noProof/>
          <w:sz w:val="24"/>
          <w:szCs w:val="24"/>
          <w:lang w:val="en-IE"/>
        </w:rPr>
        <w:t xml:space="preserve"> </w:t>
      </w:r>
    </w:p>
    <w:p w14:paraId="792A7495" w14:textId="1F35E621" w:rsidR="00291F57" w:rsidRPr="00C36852" w:rsidRDefault="00BF09BC" w:rsidP="00DD3B24">
      <w:pPr>
        <w:pStyle w:val="ListParagraph"/>
        <w:numPr>
          <w:ilvl w:val="0"/>
          <w:numId w:val="7"/>
        </w:numPr>
        <w:spacing w:after="240"/>
        <w:ind w:left="284" w:hanging="357"/>
        <w:jc w:val="both"/>
        <w:rPr>
          <w:b/>
          <w:noProof/>
          <w:sz w:val="24"/>
          <w:szCs w:val="24"/>
          <w:lang w:val="en-IE"/>
        </w:rPr>
      </w:pPr>
      <w:r w:rsidRPr="00C36852">
        <w:rPr>
          <w:b/>
          <w:noProof/>
          <w:sz w:val="24"/>
          <w:szCs w:val="24"/>
          <w:lang w:val="en-IE"/>
        </w:rPr>
        <w:t xml:space="preserve">SO </w:t>
      </w:r>
      <w:r w:rsidR="003D7331" w:rsidRPr="00C36852">
        <w:rPr>
          <w:b/>
          <w:noProof/>
          <w:sz w:val="24"/>
          <w:szCs w:val="24"/>
          <w:lang w:val="en-IE"/>
        </w:rPr>
        <w:t>3</w:t>
      </w:r>
      <w:r w:rsidRPr="00C36852">
        <w:rPr>
          <w:b/>
          <w:noProof/>
          <w:sz w:val="24"/>
          <w:szCs w:val="24"/>
          <w:lang w:val="en-IE"/>
        </w:rPr>
        <w:t xml:space="preserve">: </w:t>
      </w:r>
      <w:r w:rsidR="00291F57" w:rsidRPr="00C36852">
        <w:rPr>
          <w:b/>
          <w:noProof/>
          <w:sz w:val="24"/>
          <w:szCs w:val="24"/>
          <w:lang w:val="en-IE"/>
        </w:rPr>
        <w:t>Ensure there is always an EU-based liable person for defective products bought</w:t>
      </w:r>
      <w:r w:rsidR="00A401D8">
        <w:rPr>
          <w:b/>
          <w:noProof/>
          <w:sz w:val="24"/>
          <w:szCs w:val="24"/>
          <w:lang w:val="en-IE"/>
        </w:rPr>
        <w:t xml:space="preserve"> from producers</w:t>
      </w:r>
      <w:r w:rsidR="00291F57" w:rsidRPr="00C36852">
        <w:rPr>
          <w:b/>
          <w:noProof/>
          <w:sz w:val="24"/>
          <w:szCs w:val="24"/>
          <w:lang w:val="en-IE"/>
        </w:rPr>
        <w:t xml:space="preserve"> </w:t>
      </w:r>
      <w:r w:rsidR="00205A57">
        <w:rPr>
          <w:b/>
          <w:noProof/>
          <w:sz w:val="24"/>
          <w:szCs w:val="24"/>
          <w:lang w:val="en-IE"/>
        </w:rPr>
        <w:t>outside</w:t>
      </w:r>
      <w:r w:rsidR="00205A57" w:rsidRPr="00C36852">
        <w:rPr>
          <w:b/>
          <w:noProof/>
          <w:sz w:val="24"/>
          <w:szCs w:val="24"/>
          <w:lang w:val="en-IE"/>
        </w:rPr>
        <w:t xml:space="preserve"> </w:t>
      </w:r>
      <w:r w:rsidR="00291F57" w:rsidRPr="00C36852">
        <w:rPr>
          <w:b/>
          <w:noProof/>
          <w:sz w:val="24"/>
          <w:szCs w:val="24"/>
          <w:lang w:val="en-IE"/>
        </w:rPr>
        <w:t xml:space="preserve">the EU </w:t>
      </w:r>
    </w:p>
    <w:p w14:paraId="0E5829C8" w14:textId="7CF9012B" w:rsidR="00291F57" w:rsidRPr="00C36852" w:rsidRDefault="00BF09BC" w:rsidP="00C36852">
      <w:pPr>
        <w:spacing w:after="240" w:line="240" w:lineRule="auto"/>
        <w:jc w:val="both"/>
        <w:rPr>
          <w:noProof/>
          <w:sz w:val="24"/>
          <w:szCs w:val="24"/>
          <w:lang w:val="en-IE"/>
        </w:rPr>
      </w:pPr>
      <w:r w:rsidRPr="00C36852">
        <w:rPr>
          <w:noProof/>
          <w:sz w:val="24"/>
          <w:szCs w:val="24"/>
          <w:lang w:val="en-IE"/>
        </w:rPr>
        <w:t xml:space="preserve">The aim here is to ensure </w:t>
      </w:r>
      <w:r w:rsidR="000911A0" w:rsidRPr="00C36852">
        <w:rPr>
          <w:noProof/>
          <w:sz w:val="24"/>
          <w:szCs w:val="24"/>
          <w:lang w:val="en-IE"/>
        </w:rPr>
        <w:t xml:space="preserve">that when a consumer purchases a product directly from a non-EU producer, there is an economic operator based in the EU from whom to seek compensation if the product is defective and causes harm. The aim is </w:t>
      </w:r>
      <w:r w:rsidR="00E9371F">
        <w:rPr>
          <w:noProof/>
          <w:sz w:val="24"/>
          <w:szCs w:val="24"/>
          <w:lang w:val="en-IE"/>
        </w:rPr>
        <w:t>also</w:t>
      </w:r>
      <w:r w:rsidR="000911A0" w:rsidRPr="00C36852">
        <w:rPr>
          <w:noProof/>
          <w:sz w:val="24"/>
          <w:szCs w:val="24"/>
          <w:lang w:val="en-IE"/>
        </w:rPr>
        <w:t xml:space="preserve"> to ensure consumer protection no matter how a product is purchased and to </w:t>
      </w:r>
      <w:r w:rsidR="00E9371F" w:rsidRPr="00C36852">
        <w:rPr>
          <w:noProof/>
          <w:sz w:val="24"/>
          <w:szCs w:val="24"/>
          <w:lang w:val="en-IE"/>
        </w:rPr>
        <w:t>guarantee</w:t>
      </w:r>
      <w:r w:rsidR="0055317F" w:rsidRPr="00C36852">
        <w:rPr>
          <w:noProof/>
          <w:sz w:val="24"/>
          <w:szCs w:val="24"/>
          <w:lang w:val="en-IE"/>
        </w:rPr>
        <w:t xml:space="preserve"> a level playing field for EU and non-EU businesses alike.</w:t>
      </w:r>
    </w:p>
    <w:p w14:paraId="0EF8EB31" w14:textId="35C71F3D" w:rsidR="00291F57" w:rsidRPr="00C36852" w:rsidRDefault="00FE2645" w:rsidP="00C36852">
      <w:pPr>
        <w:pStyle w:val="Heading3"/>
        <w:tabs>
          <w:tab w:val="clear" w:pos="1920"/>
        </w:tabs>
        <w:ind w:left="0" w:firstLine="0"/>
        <w:rPr>
          <w:noProof/>
          <w:szCs w:val="24"/>
          <w:lang w:val="en-IE"/>
        </w:rPr>
      </w:pPr>
      <w:bookmarkStart w:id="355" w:name="_Toc93401443"/>
      <w:bookmarkStart w:id="356" w:name="_Toc94005538"/>
      <w:bookmarkStart w:id="357" w:name="_Toc95379866"/>
      <w:bookmarkStart w:id="358" w:name="_Toc95391357"/>
      <w:bookmarkStart w:id="359" w:name="_Toc95396426"/>
      <w:bookmarkStart w:id="360" w:name="_Toc95421524"/>
      <w:bookmarkStart w:id="361" w:name="_Toc95481973"/>
      <w:bookmarkStart w:id="362" w:name="_Toc96337766"/>
      <w:bookmarkStart w:id="363" w:name="_Toc96446245"/>
      <w:bookmarkStart w:id="364" w:name="_Toc96448018"/>
      <w:bookmarkStart w:id="365" w:name="_Toc96593967"/>
      <w:bookmarkStart w:id="366" w:name="_Toc96597258"/>
      <w:bookmarkStart w:id="367" w:name="_Toc96609193"/>
      <w:bookmarkStart w:id="368" w:name="_Toc97149222"/>
      <w:bookmarkStart w:id="369" w:name="_Toc97191268"/>
      <w:bookmarkStart w:id="370" w:name="_Toc107430078"/>
      <w:r w:rsidRPr="00C36852">
        <w:rPr>
          <w:noProof/>
          <w:szCs w:val="24"/>
          <w:lang w:val="en-IE"/>
        </w:rPr>
        <w:t>In order to r</w:t>
      </w:r>
      <w:r w:rsidR="00291F57" w:rsidRPr="00C36852">
        <w:rPr>
          <w:noProof/>
          <w:szCs w:val="24"/>
          <w:lang w:val="en-IE"/>
        </w:rPr>
        <w:t xml:space="preserve">educe </w:t>
      </w:r>
      <w:r w:rsidR="006D7BCA" w:rsidRPr="00C36852">
        <w:rPr>
          <w:noProof/>
          <w:szCs w:val="24"/>
          <w:lang w:val="en-IE"/>
        </w:rPr>
        <w:t xml:space="preserve">disproportionate </w:t>
      </w:r>
      <w:r w:rsidR="00291F57" w:rsidRPr="00C36852">
        <w:rPr>
          <w:noProof/>
          <w:szCs w:val="24"/>
          <w:lang w:val="en-IE"/>
        </w:rPr>
        <w:t>obstacles to getting compensation</w:t>
      </w:r>
      <w:r w:rsidRPr="00C36852">
        <w:rPr>
          <w:noProof/>
          <w:szCs w:val="24"/>
          <w:lang w:val="en-IE"/>
        </w:rPr>
        <w: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C95C43E" w14:textId="2858CB1E" w:rsidR="00291F57" w:rsidRPr="00C36852" w:rsidRDefault="00BF09BC" w:rsidP="00DD3B24">
      <w:pPr>
        <w:pStyle w:val="ListParagraph"/>
        <w:numPr>
          <w:ilvl w:val="0"/>
          <w:numId w:val="7"/>
        </w:numPr>
        <w:spacing w:after="240"/>
        <w:ind w:left="284" w:hanging="357"/>
        <w:jc w:val="both"/>
        <w:rPr>
          <w:b/>
          <w:noProof/>
          <w:sz w:val="24"/>
          <w:szCs w:val="24"/>
          <w:lang w:val="en-IE"/>
        </w:rPr>
      </w:pPr>
      <w:r w:rsidRPr="00C36852">
        <w:rPr>
          <w:b/>
          <w:noProof/>
          <w:sz w:val="24"/>
          <w:szCs w:val="24"/>
          <w:lang w:val="en-IE"/>
        </w:rPr>
        <w:t xml:space="preserve">SO </w:t>
      </w:r>
      <w:r w:rsidR="003D7331" w:rsidRPr="00C36852">
        <w:rPr>
          <w:b/>
          <w:noProof/>
          <w:sz w:val="24"/>
          <w:szCs w:val="24"/>
          <w:lang w:val="en-IE"/>
        </w:rPr>
        <w:t>4</w:t>
      </w:r>
      <w:r w:rsidRPr="00C36852">
        <w:rPr>
          <w:b/>
          <w:noProof/>
          <w:sz w:val="24"/>
          <w:szCs w:val="24"/>
          <w:lang w:val="en-IE"/>
        </w:rPr>
        <w:t>: E</w:t>
      </w:r>
      <w:r w:rsidR="00291F57" w:rsidRPr="00C36852">
        <w:rPr>
          <w:b/>
          <w:noProof/>
          <w:sz w:val="24"/>
          <w:szCs w:val="24"/>
          <w:lang w:val="en-IE"/>
        </w:rPr>
        <w:t>ase the burden of proof in the case of complex products and clarify liability for undiscoverable defects</w:t>
      </w:r>
      <w:r w:rsidR="00933C75">
        <w:rPr>
          <w:b/>
          <w:noProof/>
          <w:sz w:val="24"/>
          <w:szCs w:val="24"/>
          <w:lang w:val="en-IE"/>
        </w:rPr>
        <w:t>, while ensuring fair balance between producers and consumers</w:t>
      </w:r>
      <w:r w:rsidR="00291F57" w:rsidRPr="00C36852">
        <w:rPr>
          <w:b/>
          <w:noProof/>
          <w:sz w:val="24"/>
          <w:szCs w:val="24"/>
          <w:lang w:val="en-IE"/>
        </w:rPr>
        <w:t xml:space="preserve"> </w:t>
      </w:r>
    </w:p>
    <w:p w14:paraId="789670DC" w14:textId="7175174A" w:rsidR="00291F57" w:rsidRPr="00C36852" w:rsidRDefault="0055317F" w:rsidP="00C36852">
      <w:pPr>
        <w:spacing w:after="240" w:line="240" w:lineRule="auto"/>
        <w:jc w:val="both"/>
        <w:rPr>
          <w:noProof/>
          <w:sz w:val="24"/>
          <w:szCs w:val="24"/>
        </w:rPr>
      </w:pPr>
      <w:r w:rsidRPr="00C36852">
        <w:rPr>
          <w:noProof/>
          <w:sz w:val="24"/>
          <w:szCs w:val="24"/>
        </w:rPr>
        <w:t xml:space="preserve">The aim here is </w:t>
      </w:r>
      <w:r w:rsidR="006D1254" w:rsidRPr="00C36852">
        <w:rPr>
          <w:noProof/>
          <w:sz w:val="24"/>
          <w:szCs w:val="24"/>
        </w:rPr>
        <w:t xml:space="preserve">to </w:t>
      </w:r>
      <w:r w:rsidR="007256CB" w:rsidRPr="00C36852">
        <w:rPr>
          <w:noProof/>
          <w:sz w:val="24"/>
          <w:szCs w:val="24"/>
        </w:rPr>
        <w:t>alleviate</w:t>
      </w:r>
      <w:r w:rsidR="006D1254" w:rsidRPr="00C36852">
        <w:rPr>
          <w:noProof/>
          <w:sz w:val="24"/>
          <w:szCs w:val="24"/>
        </w:rPr>
        <w:t xml:space="preserve"> difficulties that consumers face in </w:t>
      </w:r>
      <w:r w:rsidR="007256CB" w:rsidRPr="00C36852">
        <w:rPr>
          <w:noProof/>
          <w:sz w:val="24"/>
          <w:szCs w:val="24"/>
        </w:rPr>
        <w:t>proving</w:t>
      </w:r>
      <w:r w:rsidR="006D1254" w:rsidRPr="00C36852">
        <w:rPr>
          <w:noProof/>
          <w:sz w:val="24"/>
          <w:szCs w:val="24"/>
        </w:rPr>
        <w:t xml:space="preserve"> </w:t>
      </w:r>
      <w:r w:rsidR="007256CB" w:rsidRPr="00C36852">
        <w:rPr>
          <w:noProof/>
          <w:sz w:val="24"/>
          <w:szCs w:val="24"/>
        </w:rPr>
        <w:t xml:space="preserve">producers’ </w:t>
      </w:r>
      <w:r w:rsidR="006D1254" w:rsidRPr="00C36852">
        <w:rPr>
          <w:noProof/>
          <w:sz w:val="24"/>
          <w:szCs w:val="24"/>
        </w:rPr>
        <w:t xml:space="preserve">liability </w:t>
      </w:r>
      <w:r w:rsidR="003F3228" w:rsidRPr="00C36852">
        <w:rPr>
          <w:noProof/>
          <w:sz w:val="24"/>
          <w:szCs w:val="24"/>
        </w:rPr>
        <w:t>in the case of complex products</w:t>
      </w:r>
      <w:r w:rsidR="003C13C6" w:rsidRPr="00C36852">
        <w:rPr>
          <w:noProof/>
          <w:sz w:val="24"/>
          <w:szCs w:val="24"/>
        </w:rPr>
        <w:t>, and so achieve a fairer balance of interests</w:t>
      </w:r>
      <w:r w:rsidR="006D1254" w:rsidRPr="00C36852">
        <w:rPr>
          <w:noProof/>
          <w:sz w:val="24"/>
          <w:szCs w:val="24"/>
        </w:rPr>
        <w:t>.</w:t>
      </w:r>
      <w:r w:rsidR="007256CB" w:rsidRPr="00C36852">
        <w:rPr>
          <w:noProof/>
          <w:sz w:val="24"/>
          <w:szCs w:val="24"/>
        </w:rPr>
        <w:t xml:space="preserve"> </w:t>
      </w:r>
      <w:r w:rsidR="00B41BA8" w:rsidRPr="00C36852">
        <w:rPr>
          <w:noProof/>
          <w:sz w:val="24"/>
          <w:szCs w:val="24"/>
        </w:rPr>
        <w:t>The aim is also to provide legal certainty regarding defects that were undiscoverable when the product was put into circulation.</w:t>
      </w:r>
    </w:p>
    <w:p w14:paraId="2FB85779" w14:textId="512F07C2" w:rsidR="00291F57" w:rsidRPr="00C36852" w:rsidRDefault="00BF09BC" w:rsidP="00DD3B24">
      <w:pPr>
        <w:pStyle w:val="ListParagraph"/>
        <w:numPr>
          <w:ilvl w:val="0"/>
          <w:numId w:val="7"/>
        </w:numPr>
        <w:spacing w:after="240"/>
        <w:ind w:left="284" w:hanging="357"/>
        <w:jc w:val="both"/>
        <w:rPr>
          <w:b/>
          <w:noProof/>
          <w:sz w:val="24"/>
          <w:szCs w:val="24"/>
          <w:lang w:val="en-IE"/>
        </w:rPr>
      </w:pPr>
      <w:r w:rsidRPr="00C36852">
        <w:rPr>
          <w:b/>
          <w:noProof/>
          <w:sz w:val="24"/>
          <w:szCs w:val="24"/>
          <w:lang w:val="en-IE"/>
        </w:rPr>
        <w:t xml:space="preserve">SO </w:t>
      </w:r>
      <w:r w:rsidR="003D7331" w:rsidRPr="00C36852">
        <w:rPr>
          <w:b/>
          <w:noProof/>
          <w:sz w:val="24"/>
          <w:szCs w:val="24"/>
          <w:lang w:val="en-IE"/>
        </w:rPr>
        <w:t>5</w:t>
      </w:r>
      <w:r w:rsidRPr="00C36852">
        <w:rPr>
          <w:b/>
          <w:noProof/>
          <w:sz w:val="24"/>
          <w:szCs w:val="24"/>
          <w:lang w:val="en-IE"/>
        </w:rPr>
        <w:t>:</w:t>
      </w:r>
      <w:r w:rsidR="00291F57" w:rsidRPr="00C36852">
        <w:rPr>
          <w:b/>
          <w:noProof/>
          <w:sz w:val="24"/>
          <w:szCs w:val="24"/>
          <w:lang w:val="en-IE"/>
        </w:rPr>
        <w:t xml:space="preserve"> Ease restrictions on making claims</w:t>
      </w:r>
      <w:r w:rsidR="00933C75">
        <w:rPr>
          <w:b/>
          <w:noProof/>
          <w:sz w:val="24"/>
          <w:szCs w:val="24"/>
          <w:lang w:val="en-IE"/>
        </w:rPr>
        <w:t>, while ensuring fair balance between producers and consumers</w:t>
      </w:r>
      <w:r w:rsidR="00291F57" w:rsidRPr="00C36852">
        <w:rPr>
          <w:b/>
          <w:noProof/>
          <w:sz w:val="24"/>
          <w:szCs w:val="24"/>
          <w:lang w:val="en-IE"/>
        </w:rPr>
        <w:t xml:space="preserve"> </w:t>
      </w:r>
    </w:p>
    <w:p w14:paraId="20D99ADD" w14:textId="37627864" w:rsidR="00291F57" w:rsidRDefault="00B41BA8" w:rsidP="00C36852">
      <w:pPr>
        <w:spacing w:after="240" w:line="240" w:lineRule="auto"/>
        <w:jc w:val="both"/>
        <w:rPr>
          <w:noProof/>
          <w:sz w:val="24"/>
          <w:szCs w:val="24"/>
          <w:lang w:val="en-IE"/>
        </w:rPr>
      </w:pPr>
      <w:r w:rsidRPr="00C36852">
        <w:rPr>
          <w:noProof/>
          <w:sz w:val="24"/>
          <w:szCs w:val="24"/>
          <w:lang w:val="en-IE"/>
        </w:rPr>
        <w:t xml:space="preserve">The aim here is to ease restrictions that currently </w:t>
      </w:r>
      <w:r w:rsidR="003C13C6" w:rsidRPr="00C36852">
        <w:rPr>
          <w:noProof/>
          <w:sz w:val="24"/>
          <w:szCs w:val="24"/>
          <w:lang w:val="en-IE"/>
        </w:rPr>
        <w:t xml:space="preserve">disproportionately </w:t>
      </w:r>
      <w:r w:rsidRPr="00C36852">
        <w:rPr>
          <w:noProof/>
          <w:sz w:val="24"/>
          <w:szCs w:val="24"/>
          <w:lang w:val="en-IE"/>
        </w:rPr>
        <w:t>limit consumers’ ability to make claims.</w:t>
      </w:r>
      <w:r w:rsidR="00402CDB">
        <w:rPr>
          <w:noProof/>
          <w:sz w:val="24"/>
          <w:szCs w:val="24"/>
          <w:lang w:val="en-IE"/>
        </w:rPr>
        <w:t xml:space="preserve"> </w:t>
      </w:r>
    </w:p>
    <w:p w14:paraId="128554BC" w14:textId="10E4623E" w:rsidR="008D025F" w:rsidRDefault="008D025F" w:rsidP="00C36852">
      <w:pPr>
        <w:spacing w:after="240" w:line="240" w:lineRule="auto"/>
        <w:jc w:val="both"/>
        <w:rPr>
          <w:noProof/>
          <w:sz w:val="24"/>
          <w:szCs w:val="24"/>
          <w:lang w:val="en-IE"/>
        </w:rPr>
      </w:pPr>
    </w:p>
    <w:p w14:paraId="24999887" w14:textId="77777777" w:rsidR="008D025F" w:rsidRDefault="008D025F" w:rsidP="00C36852">
      <w:pPr>
        <w:spacing w:after="240" w:line="240" w:lineRule="auto"/>
        <w:jc w:val="both"/>
        <w:rPr>
          <w:noProof/>
          <w:sz w:val="24"/>
          <w:szCs w:val="24"/>
          <w:lang w:val="en-IE"/>
        </w:rPr>
        <w:sectPr w:rsidR="008D025F" w:rsidSect="006C5B89">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sectPr>
      </w:pPr>
    </w:p>
    <w:p w14:paraId="2B7B85F6" w14:textId="61299089" w:rsidR="00E110CA" w:rsidRPr="00E110CA" w:rsidRDefault="00E110CA" w:rsidP="00E110CA">
      <w:pPr>
        <w:spacing w:after="240" w:line="240" w:lineRule="auto"/>
        <w:rPr>
          <w:b/>
          <w:noProof/>
          <w:sz w:val="24"/>
          <w:szCs w:val="24"/>
          <w:lang w:val="en-IE"/>
        </w:rPr>
      </w:pPr>
      <w:r w:rsidRPr="00E110CA">
        <w:rPr>
          <w:b/>
          <w:noProof/>
          <w:sz w:val="24"/>
          <w:szCs w:val="24"/>
          <w:lang w:val="en-IE"/>
        </w:rPr>
        <w:t>Intervention logic</w:t>
      </w:r>
    </w:p>
    <w:p w14:paraId="7EEED569" w14:textId="0A908A79" w:rsidR="008D025F" w:rsidRDefault="00E110CA" w:rsidP="00E110CA">
      <w:pPr>
        <w:spacing w:after="240" w:line="240" w:lineRule="auto"/>
        <w:rPr>
          <w:noProof/>
          <w:sz w:val="24"/>
          <w:szCs w:val="24"/>
          <w:lang w:val="en-IE"/>
        </w:rPr>
      </w:pPr>
      <w:r>
        <w:rPr>
          <w:noProof/>
          <w:lang w:eastAsia="en-GB"/>
        </w:rPr>
        <w:drawing>
          <wp:inline distT="0" distB="0" distL="0" distR="0" wp14:anchorId="6A1CBA46" wp14:editId="67E09C64">
            <wp:extent cx="9163456" cy="47061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209929" cy="4730061"/>
                    </a:xfrm>
                    <a:prstGeom prst="rect">
                      <a:avLst/>
                    </a:prstGeom>
                  </pic:spPr>
                </pic:pic>
              </a:graphicData>
            </a:graphic>
          </wp:inline>
        </w:drawing>
      </w:r>
    </w:p>
    <w:p w14:paraId="1415549E" w14:textId="77777777" w:rsidR="008D025F" w:rsidRDefault="008D025F" w:rsidP="008D025F">
      <w:pPr>
        <w:tabs>
          <w:tab w:val="left" w:pos="1844"/>
        </w:tabs>
        <w:spacing w:after="240" w:line="240" w:lineRule="auto"/>
        <w:jc w:val="both"/>
        <w:rPr>
          <w:noProof/>
          <w:sz w:val="24"/>
          <w:szCs w:val="24"/>
          <w:lang w:val="en-IE"/>
        </w:rPr>
        <w:sectPr w:rsidR="008D025F" w:rsidSect="008D025F">
          <w:headerReference w:type="even" r:id="rId25"/>
          <w:headerReference w:type="default" r:id="rId26"/>
          <w:footerReference w:type="even" r:id="rId27"/>
          <w:footerReference w:type="default" r:id="rId28"/>
          <w:headerReference w:type="first" r:id="rId29"/>
          <w:footerReference w:type="first" r:id="rId30"/>
          <w:pgSz w:w="16838" w:h="11906" w:orient="landscape"/>
          <w:pgMar w:top="1587" w:right="1020" w:bottom="1701" w:left="1020" w:header="601" w:footer="1077" w:gutter="0"/>
          <w:cols w:space="720"/>
          <w:titlePg/>
          <w:docGrid w:linePitch="299"/>
        </w:sectPr>
      </w:pPr>
    </w:p>
    <w:p w14:paraId="760EC3CA" w14:textId="2B7E1BED" w:rsidR="008D025F" w:rsidRPr="00C36852" w:rsidRDefault="008D025F" w:rsidP="00C36852">
      <w:pPr>
        <w:spacing w:after="240" w:line="240" w:lineRule="auto"/>
        <w:jc w:val="both"/>
        <w:rPr>
          <w:noProof/>
          <w:sz w:val="24"/>
          <w:szCs w:val="24"/>
          <w:lang w:val="en-IE"/>
        </w:rPr>
      </w:pPr>
    </w:p>
    <w:p w14:paraId="6BD34F0A" w14:textId="34953804" w:rsidR="006B087E" w:rsidRPr="003F01BB" w:rsidRDefault="002E7937" w:rsidP="002E7937">
      <w:pPr>
        <w:pStyle w:val="Heading1"/>
        <w:rPr>
          <w:noProof/>
        </w:rPr>
      </w:pPr>
      <w:bookmarkStart w:id="371" w:name="_Toc93401444"/>
      <w:bookmarkStart w:id="372" w:name="_Toc94005539"/>
      <w:bookmarkStart w:id="373" w:name="_Toc95379867"/>
      <w:bookmarkStart w:id="374" w:name="_Toc95391358"/>
      <w:bookmarkStart w:id="375" w:name="_Toc95396427"/>
      <w:bookmarkStart w:id="376" w:name="_Toc95421525"/>
      <w:bookmarkStart w:id="377" w:name="_Toc95481974"/>
      <w:bookmarkStart w:id="378" w:name="_Toc96337767"/>
      <w:bookmarkStart w:id="379" w:name="_Toc96446246"/>
      <w:bookmarkStart w:id="380" w:name="_Toc96448019"/>
      <w:bookmarkStart w:id="381" w:name="_Toc96593968"/>
      <w:bookmarkStart w:id="382" w:name="_Toc96597259"/>
      <w:bookmarkStart w:id="383" w:name="_Toc96609194"/>
      <w:bookmarkStart w:id="384" w:name="_Toc97149223"/>
      <w:bookmarkStart w:id="385" w:name="_Toc97191269"/>
      <w:bookmarkStart w:id="386" w:name="_Toc107430079"/>
      <w:r w:rsidRPr="002E7937">
        <w:t>5.</w:t>
      </w:r>
      <w:r w:rsidRPr="002E7937">
        <w:tab/>
      </w:r>
      <w:r w:rsidR="006B087E" w:rsidRPr="003F01BB">
        <w:rPr>
          <w:noProof/>
        </w:rPr>
        <w:t>What are the available policy options?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316D2EBB" w14:textId="558A4566" w:rsidR="006B087E" w:rsidRDefault="002E7937" w:rsidP="002E7937">
      <w:pPr>
        <w:pStyle w:val="Heading2"/>
        <w:rPr>
          <w:noProof/>
        </w:rPr>
      </w:pPr>
      <w:bookmarkStart w:id="387" w:name="_Toc93401445"/>
      <w:bookmarkStart w:id="388" w:name="_Toc94005540"/>
      <w:bookmarkStart w:id="389" w:name="_Toc95379868"/>
      <w:bookmarkStart w:id="390" w:name="_Toc95391359"/>
      <w:bookmarkStart w:id="391" w:name="_Toc95396428"/>
      <w:bookmarkStart w:id="392" w:name="_Toc95421526"/>
      <w:bookmarkStart w:id="393" w:name="_Toc95481975"/>
      <w:bookmarkStart w:id="394" w:name="_Toc96337768"/>
      <w:bookmarkStart w:id="395" w:name="_Toc96446247"/>
      <w:bookmarkStart w:id="396" w:name="_Toc96448020"/>
      <w:bookmarkStart w:id="397" w:name="_Toc96593969"/>
      <w:bookmarkStart w:id="398" w:name="_Toc96597260"/>
      <w:bookmarkStart w:id="399" w:name="_Toc96609195"/>
      <w:bookmarkStart w:id="400" w:name="_Toc97149224"/>
      <w:bookmarkStart w:id="401" w:name="_Toc97191270"/>
      <w:bookmarkStart w:id="402" w:name="_Toc107430080"/>
      <w:r w:rsidRPr="002E7937">
        <w:t>5.1.</w:t>
      </w:r>
      <w:r w:rsidRPr="002E7937">
        <w:tab/>
      </w:r>
      <w:r w:rsidR="006B087E">
        <w:rPr>
          <w:noProof/>
        </w:rPr>
        <w:t>What is the baseline from which options are assessed?</w:t>
      </w:r>
      <w:bookmarkEnd w:id="387"/>
      <w:bookmarkEnd w:id="388"/>
      <w:bookmarkEnd w:id="389"/>
      <w:bookmarkEnd w:id="390"/>
      <w:bookmarkEnd w:id="391"/>
      <w:bookmarkEnd w:id="392"/>
      <w:bookmarkEnd w:id="393"/>
      <w:bookmarkEnd w:id="394"/>
      <w:r w:rsidR="006B55FB">
        <w:rPr>
          <w:rStyle w:val="FootnoteReference"/>
          <w:noProof/>
        </w:rPr>
        <w:footnoteReference w:id="149"/>
      </w:r>
      <w:bookmarkEnd w:id="395"/>
      <w:bookmarkEnd w:id="396"/>
      <w:bookmarkEnd w:id="397"/>
      <w:bookmarkEnd w:id="398"/>
      <w:bookmarkEnd w:id="399"/>
      <w:bookmarkEnd w:id="400"/>
      <w:bookmarkEnd w:id="401"/>
      <w:bookmarkEnd w:id="402"/>
    </w:p>
    <w:p w14:paraId="0898831D" w14:textId="4BB47908" w:rsidR="00DE4C07" w:rsidRPr="00224009" w:rsidRDefault="00FD5704" w:rsidP="001E37C1">
      <w:pPr>
        <w:spacing w:after="240" w:line="240" w:lineRule="auto"/>
        <w:jc w:val="both"/>
        <w:rPr>
          <w:noProof/>
          <w:sz w:val="24"/>
          <w:szCs w:val="24"/>
          <w:lang w:val="en-IE"/>
        </w:rPr>
      </w:pPr>
      <w:r w:rsidRPr="00224009">
        <w:rPr>
          <w:noProof/>
          <w:sz w:val="24"/>
          <w:szCs w:val="24"/>
        </w:rPr>
        <w:t>The baseline</w:t>
      </w:r>
      <w:r w:rsidRPr="00224009">
        <w:rPr>
          <w:noProof/>
          <w:sz w:val="24"/>
          <w:szCs w:val="24"/>
          <w:lang w:val="en-IE"/>
        </w:rPr>
        <w:t xml:space="preserve"> </w:t>
      </w:r>
      <w:r w:rsidR="00251BF8" w:rsidRPr="00224009">
        <w:rPr>
          <w:noProof/>
          <w:sz w:val="24"/>
          <w:szCs w:val="24"/>
          <w:lang w:val="en-IE"/>
        </w:rPr>
        <w:t xml:space="preserve">– “policy option 0” – </w:t>
      </w:r>
      <w:r w:rsidRPr="00224009">
        <w:rPr>
          <w:noProof/>
          <w:sz w:val="24"/>
          <w:szCs w:val="24"/>
          <w:lang w:val="en-IE"/>
        </w:rPr>
        <w:t>consists in no EU action, meaning no change to the current PL</w:t>
      </w:r>
      <w:r w:rsidR="00251BF8" w:rsidRPr="00224009">
        <w:rPr>
          <w:noProof/>
          <w:sz w:val="24"/>
          <w:szCs w:val="24"/>
          <w:lang w:val="en-IE"/>
        </w:rPr>
        <w:t>D</w:t>
      </w:r>
      <w:r w:rsidRPr="00224009">
        <w:rPr>
          <w:noProof/>
          <w:sz w:val="24"/>
          <w:szCs w:val="24"/>
          <w:lang w:val="en-IE"/>
        </w:rPr>
        <w:t xml:space="preserve">. </w:t>
      </w:r>
      <w:r w:rsidR="007B0698" w:rsidRPr="00224009">
        <w:rPr>
          <w:noProof/>
          <w:sz w:val="24"/>
          <w:szCs w:val="24"/>
          <w:lang w:val="en-IE"/>
        </w:rPr>
        <w:t xml:space="preserve">This would lead to the continuation of the </w:t>
      </w:r>
      <w:r w:rsidR="00071B5B" w:rsidRPr="00224009">
        <w:rPr>
          <w:noProof/>
          <w:sz w:val="24"/>
          <w:szCs w:val="24"/>
          <w:lang w:val="en-IE"/>
        </w:rPr>
        <w:t>shortcomings identified in the evaluation of the PLD</w:t>
      </w:r>
      <w:r w:rsidR="00362E5F" w:rsidRPr="00224009">
        <w:rPr>
          <w:noProof/>
          <w:sz w:val="24"/>
          <w:szCs w:val="24"/>
          <w:lang w:val="en-IE"/>
        </w:rPr>
        <w:t>,</w:t>
      </w:r>
      <w:r w:rsidR="00071B5B" w:rsidRPr="00224009">
        <w:rPr>
          <w:noProof/>
          <w:sz w:val="24"/>
          <w:szCs w:val="24"/>
          <w:lang w:val="en-IE"/>
        </w:rPr>
        <w:t xml:space="preserve"> and the </w:t>
      </w:r>
      <w:r w:rsidR="007B0698" w:rsidRPr="00224009">
        <w:rPr>
          <w:noProof/>
          <w:sz w:val="24"/>
          <w:szCs w:val="24"/>
          <w:lang w:val="en-IE"/>
        </w:rPr>
        <w:t xml:space="preserve">problems and consequences </w:t>
      </w:r>
      <w:r w:rsidR="00071B5B" w:rsidRPr="00224009">
        <w:rPr>
          <w:noProof/>
          <w:sz w:val="24"/>
          <w:szCs w:val="24"/>
          <w:lang w:val="en-IE"/>
        </w:rPr>
        <w:t xml:space="preserve">described </w:t>
      </w:r>
      <w:r w:rsidR="007B0698" w:rsidRPr="00224009">
        <w:rPr>
          <w:noProof/>
          <w:sz w:val="24"/>
          <w:szCs w:val="24"/>
          <w:lang w:val="en-IE"/>
        </w:rPr>
        <w:t xml:space="preserve">in Section 2. </w:t>
      </w:r>
      <w:r w:rsidR="00362E5F" w:rsidRPr="00224009">
        <w:rPr>
          <w:noProof/>
          <w:sz w:val="24"/>
          <w:szCs w:val="24"/>
          <w:lang w:val="en-IE"/>
        </w:rPr>
        <w:t>It is assumed, however, that ongoing legislative proposals</w:t>
      </w:r>
      <w:r w:rsidR="002E57A6" w:rsidRPr="00224009">
        <w:rPr>
          <w:noProof/>
          <w:sz w:val="24"/>
          <w:szCs w:val="24"/>
          <w:lang w:val="en-IE"/>
        </w:rPr>
        <w:t xml:space="preserve"> would be enacted and implemented.</w:t>
      </w:r>
      <w:r w:rsidR="00362E5F" w:rsidRPr="00224009">
        <w:rPr>
          <w:noProof/>
          <w:sz w:val="24"/>
          <w:szCs w:val="24"/>
          <w:lang w:val="en-IE"/>
        </w:rPr>
        <w:t xml:space="preserve"> </w:t>
      </w:r>
      <w:r w:rsidR="002E57A6" w:rsidRPr="00224009">
        <w:rPr>
          <w:noProof/>
          <w:sz w:val="24"/>
          <w:szCs w:val="24"/>
          <w:lang w:val="en-IE"/>
        </w:rPr>
        <w:t xml:space="preserve">Proposals to make the </w:t>
      </w:r>
      <w:r w:rsidR="007C74EF" w:rsidRPr="00224009">
        <w:rPr>
          <w:noProof/>
          <w:sz w:val="24"/>
          <w:szCs w:val="24"/>
          <w:lang w:val="en-IE"/>
        </w:rPr>
        <w:t xml:space="preserve">product safety </w:t>
      </w:r>
      <w:r w:rsidR="00362E5F" w:rsidRPr="00224009">
        <w:rPr>
          <w:noProof/>
          <w:sz w:val="24"/>
          <w:szCs w:val="24"/>
          <w:lang w:val="en-IE"/>
        </w:rPr>
        <w:t>framework fit for the digital age (in particular the Machinery Regulation, GPSR and AI Act)</w:t>
      </w:r>
      <w:r w:rsidR="002E57A6" w:rsidRPr="00224009">
        <w:rPr>
          <w:noProof/>
          <w:sz w:val="24"/>
          <w:szCs w:val="24"/>
          <w:lang w:val="en-IE"/>
        </w:rPr>
        <w:t xml:space="preserve"> principally by setting safety requirements for placing products on the market,</w:t>
      </w:r>
      <w:r w:rsidR="00DE4C07" w:rsidRPr="00224009">
        <w:rPr>
          <w:noProof/>
          <w:sz w:val="24"/>
          <w:szCs w:val="24"/>
          <w:lang w:val="en-IE"/>
        </w:rPr>
        <w:t xml:space="preserve"> </w:t>
      </w:r>
      <w:r w:rsidR="002E57A6" w:rsidRPr="00224009">
        <w:rPr>
          <w:noProof/>
          <w:sz w:val="24"/>
          <w:szCs w:val="24"/>
          <w:lang w:val="en-IE"/>
        </w:rPr>
        <w:t xml:space="preserve">are expected </w:t>
      </w:r>
      <w:r w:rsidR="00DE4C07" w:rsidRPr="00224009">
        <w:rPr>
          <w:noProof/>
          <w:sz w:val="24"/>
          <w:szCs w:val="24"/>
          <w:lang w:val="en-IE"/>
        </w:rPr>
        <w:t>to improve product safety</w:t>
      </w:r>
      <w:r w:rsidR="005D11D2">
        <w:rPr>
          <w:noProof/>
          <w:sz w:val="24"/>
          <w:szCs w:val="24"/>
          <w:lang w:val="en-IE"/>
        </w:rPr>
        <w:t xml:space="preserve"> and therefore reduce product-related harm in real terms as well as </w:t>
      </w:r>
      <w:r w:rsidR="002756C0">
        <w:rPr>
          <w:noProof/>
          <w:sz w:val="24"/>
          <w:szCs w:val="24"/>
          <w:lang w:val="en-IE"/>
        </w:rPr>
        <w:t>avoiding</w:t>
      </w:r>
      <w:r w:rsidR="005D11D2">
        <w:rPr>
          <w:noProof/>
          <w:sz w:val="24"/>
          <w:szCs w:val="24"/>
          <w:lang w:val="en-IE"/>
        </w:rPr>
        <w:t xml:space="preserve"> a future rise in such harm due to novel risks brought about by digital technologies</w:t>
      </w:r>
      <w:r w:rsidR="007063ED" w:rsidRPr="00224009">
        <w:rPr>
          <w:noProof/>
          <w:sz w:val="24"/>
          <w:szCs w:val="24"/>
          <w:lang w:val="en-IE"/>
        </w:rPr>
        <w:t xml:space="preserve"> (see also section 1.2.4)</w:t>
      </w:r>
      <w:r w:rsidR="00DE4C07" w:rsidRPr="00224009">
        <w:rPr>
          <w:noProof/>
          <w:sz w:val="24"/>
          <w:szCs w:val="24"/>
          <w:lang w:val="en-IE"/>
        </w:rPr>
        <w:t xml:space="preserve">. </w:t>
      </w:r>
      <w:r w:rsidR="002E57A6" w:rsidRPr="00224009">
        <w:rPr>
          <w:noProof/>
          <w:sz w:val="24"/>
          <w:szCs w:val="24"/>
          <w:lang w:val="en-IE"/>
        </w:rPr>
        <w:t xml:space="preserve">These </w:t>
      </w:r>
      <w:r w:rsidR="00DE4C07" w:rsidRPr="00224009">
        <w:rPr>
          <w:noProof/>
          <w:sz w:val="24"/>
          <w:szCs w:val="24"/>
          <w:lang w:val="en-IE"/>
        </w:rPr>
        <w:t xml:space="preserve">safety requirements will help courts </w:t>
      </w:r>
      <w:r w:rsidR="002E57A6" w:rsidRPr="00224009">
        <w:rPr>
          <w:noProof/>
          <w:sz w:val="24"/>
          <w:szCs w:val="24"/>
          <w:lang w:val="en-IE"/>
        </w:rPr>
        <w:t xml:space="preserve">decide </w:t>
      </w:r>
      <w:r w:rsidR="00DE4C07" w:rsidRPr="00224009">
        <w:rPr>
          <w:noProof/>
          <w:sz w:val="24"/>
          <w:szCs w:val="24"/>
          <w:lang w:val="en-IE"/>
        </w:rPr>
        <w:t>whether a product is defective</w:t>
      </w:r>
      <w:r w:rsidR="002E57A6" w:rsidRPr="00224009">
        <w:rPr>
          <w:noProof/>
          <w:sz w:val="24"/>
          <w:szCs w:val="24"/>
          <w:lang w:val="en-IE"/>
        </w:rPr>
        <w:t>, i.e. whether it provided</w:t>
      </w:r>
      <w:r w:rsidR="00DE4C07" w:rsidRPr="00224009">
        <w:rPr>
          <w:noProof/>
          <w:sz w:val="24"/>
          <w:szCs w:val="24"/>
          <w:lang w:val="en-IE"/>
        </w:rPr>
        <w:t xml:space="preserve"> the level of safety the public </w:t>
      </w:r>
      <w:r w:rsidR="002E57A6" w:rsidRPr="00224009">
        <w:rPr>
          <w:noProof/>
          <w:sz w:val="24"/>
          <w:szCs w:val="24"/>
          <w:lang w:val="en-IE"/>
        </w:rPr>
        <w:t xml:space="preserve">was </w:t>
      </w:r>
      <w:r w:rsidR="00DE4C07" w:rsidRPr="00224009">
        <w:rPr>
          <w:noProof/>
          <w:sz w:val="24"/>
          <w:szCs w:val="24"/>
          <w:lang w:val="en-IE"/>
        </w:rPr>
        <w:t xml:space="preserve">entitled to expect. But victims of harm would still need to rely on the outdated PLD to seek compensation or fall back on national fault-based liability rules </w:t>
      </w:r>
      <w:r w:rsidR="002E57A6" w:rsidRPr="00224009">
        <w:rPr>
          <w:noProof/>
          <w:sz w:val="24"/>
          <w:szCs w:val="24"/>
          <w:lang w:val="en-IE"/>
        </w:rPr>
        <w:t>if the product, producer or harm falls out of the PLD’s scope.</w:t>
      </w:r>
    </w:p>
    <w:p w14:paraId="28A5CA05" w14:textId="65610517" w:rsidR="00521577" w:rsidRPr="00224009" w:rsidRDefault="00DF59FF" w:rsidP="001E37C1">
      <w:pPr>
        <w:spacing w:after="240" w:line="240" w:lineRule="auto"/>
        <w:jc w:val="both"/>
        <w:rPr>
          <w:noProof/>
          <w:sz w:val="24"/>
          <w:szCs w:val="24"/>
          <w:lang w:val="en-IE"/>
        </w:rPr>
      </w:pPr>
      <w:r w:rsidRPr="00224009">
        <w:rPr>
          <w:noProof/>
          <w:sz w:val="24"/>
          <w:szCs w:val="24"/>
          <w:lang w:val="en-IE"/>
        </w:rPr>
        <w:t>With respect to products from 3</w:t>
      </w:r>
      <w:r w:rsidRPr="00224009">
        <w:rPr>
          <w:noProof/>
          <w:sz w:val="24"/>
          <w:szCs w:val="24"/>
          <w:vertAlign w:val="superscript"/>
          <w:lang w:val="en-IE"/>
        </w:rPr>
        <w:t>rd</w:t>
      </w:r>
      <w:r w:rsidRPr="00224009">
        <w:rPr>
          <w:noProof/>
          <w:sz w:val="24"/>
          <w:szCs w:val="24"/>
          <w:lang w:val="en-IE"/>
        </w:rPr>
        <w:t xml:space="preserve"> countries, </w:t>
      </w:r>
      <w:r w:rsidR="00D65587" w:rsidRPr="00224009">
        <w:rPr>
          <w:noProof/>
          <w:sz w:val="24"/>
          <w:szCs w:val="24"/>
          <w:lang w:val="en-IE"/>
        </w:rPr>
        <w:t xml:space="preserve">it is similarly assumed that </w:t>
      </w:r>
      <w:r w:rsidRPr="00224009">
        <w:rPr>
          <w:noProof/>
          <w:sz w:val="24"/>
          <w:szCs w:val="24"/>
          <w:lang w:val="en-IE"/>
        </w:rPr>
        <w:t>t</w:t>
      </w:r>
      <w:r w:rsidR="00362E5F" w:rsidRPr="00224009">
        <w:rPr>
          <w:noProof/>
          <w:sz w:val="24"/>
          <w:szCs w:val="24"/>
          <w:lang w:val="en-IE"/>
        </w:rPr>
        <w:t>he proposed DSA</w:t>
      </w:r>
      <w:r w:rsidR="002E57A6" w:rsidRPr="00224009">
        <w:rPr>
          <w:noProof/>
          <w:sz w:val="24"/>
          <w:szCs w:val="24"/>
          <w:lang w:val="en-IE"/>
        </w:rPr>
        <w:t xml:space="preserve"> </w:t>
      </w:r>
      <w:r w:rsidRPr="00224009">
        <w:rPr>
          <w:noProof/>
          <w:sz w:val="24"/>
          <w:szCs w:val="24"/>
          <w:lang w:val="en-IE"/>
        </w:rPr>
        <w:t>and</w:t>
      </w:r>
      <w:r w:rsidR="00D65587" w:rsidRPr="00224009">
        <w:rPr>
          <w:noProof/>
          <w:sz w:val="24"/>
          <w:szCs w:val="24"/>
          <w:lang w:val="en-IE"/>
        </w:rPr>
        <w:t xml:space="preserve"> GPSR will be enacted and implemented</w:t>
      </w:r>
      <w:r w:rsidR="007063ED" w:rsidRPr="00224009">
        <w:rPr>
          <w:noProof/>
          <w:sz w:val="24"/>
          <w:szCs w:val="24"/>
          <w:lang w:val="en-IE"/>
        </w:rPr>
        <w:t xml:space="preserve"> (see also section 1.2.5)</w:t>
      </w:r>
      <w:r w:rsidR="00362E5F" w:rsidRPr="00224009">
        <w:rPr>
          <w:noProof/>
          <w:sz w:val="24"/>
          <w:szCs w:val="24"/>
          <w:lang w:val="en-IE"/>
        </w:rPr>
        <w:t>.</w:t>
      </w:r>
      <w:r w:rsidR="00D65587" w:rsidRPr="00224009">
        <w:rPr>
          <w:noProof/>
          <w:sz w:val="24"/>
          <w:szCs w:val="24"/>
          <w:lang w:val="en-IE"/>
        </w:rPr>
        <w:t xml:space="preserve"> Both proposals will set out due diligence obligations on online marketplaces and the GPSR will require there to be a responsible </w:t>
      </w:r>
      <w:r w:rsidR="00544D8B">
        <w:rPr>
          <w:noProof/>
          <w:sz w:val="24"/>
          <w:szCs w:val="24"/>
          <w:lang w:val="en-IE"/>
        </w:rPr>
        <w:t xml:space="preserve">person </w:t>
      </w:r>
      <w:r w:rsidR="00D65587" w:rsidRPr="00224009">
        <w:rPr>
          <w:noProof/>
          <w:sz w:val="24"/>
          <w:szCs w:val="24"/>
          <w:lang w:val="en-IE"/>
        </w:rPr>
        <w:t xml:space="preserve">for product safety </w:t>
      </w:r>
      <w:r w:rsidR="00220C7B">
        <w:rPr>
          <w:noProof/>
          <w:sz w:val="24"/>
          <w:szCs w:val="24"/>
          <w:lang w:val="en-IE"/>
        </w:rPr>
        <w:t xml:space="preserve">purposes </w:t>
      </w:r>
      <w:r w:rsidR="00D65587" w:rsidRPr="00224009">
        <w:rPr>
          <w:noProof/>
          <w:sz w:val="24"/>
          <w:szCs w:val="24"/>
          <w:lang w:val="en-IE"/>
        </w:rPr>
        <w:t xml:space="preserve">based in the EU. Neither proposal concerns the question of whether such economic operators should be treated as producers for product liability purposes. </w:t>
      </w:r>
    </w:p>
    <w:p w14:paraId="09B72E0D" w14:textId="3CAA9D2C" w:rsidR="005E5B40" w:rsidRDefault="00A16E3B" w:rsidP="000932A5">
      <w:pPr>
        <w:pStyle w:val="CommentText"/>
        <w:jc w:val="both"/>
        <w:rPr>
          <w:noProof/>
        </w:rPr>
      </w:pPr>
      <w:r w:rsidRPr="00224009">
        <w:rPr>
          <w:noProof/>
          <w:sz w:val="24"/>
          <w:szCs w:val="24"/>
          <w:lang w:val="en-IE"/>
        </w:rPr>
        <w:t>Th</w:t>
      </w:r>
      <w:r w:rsidR="000F5BA4" w:rsidRPr="00224009">
        <w:rPr>
          <w:noProof/>
          <w:sz w:val="24"/>
          <w:szCs w:val="24"/>
          <w:lang w:val="en-IE"/>
        </w:rPr>
        <w:t>is</w:t>
      </w:r>
      <w:r w:rsidRPr="00224009">
        <w:rPr>
          <w:noProof/>
          <w:sz w:val="24"/>
          <w:szCs w:val="24"/>
          <w:lang w:val="en-IE"/>
        </w:rPr>
        <w:t xml:space="preserve"> same baseline is used in the impact assessment on AI liability. To a small extent, the options analysed in that IA impact the evolution of the problems described in this IA. In cases where the PLD cannot </w:t>
      </w:r>
      <w:r w:rsidR="00053411" w:rsidRPr="00224009">
        <w:rPr>
          <w:noProof/>
          <w:sz w:val="24"/>
          <w:szCs w:val="24"/>
          <w:lang w:val="en-IE"/>
        </w:rPr>
        <w:t xml:space="preserve">currently </w:t>
      </w:r>
      <w:r w:rsidRPr="00224009">
        <w:rPr>
          <w:noProof/>
          <w:sz w:val="24"/>
          <w:szCs w:val="24"/>
          <w:lang w:val="en-IE"/>
        </w:rPr>
        <w:t xml:space="preserve">be used </w:t>
      </w:r>
      <w:r w:rsidR="00E00422" w:rsidRPr="00224009">
        <w:rPr>
          <w:noProof/>
          <w:sz w:val="24"/>
          <w:szCs w:val="24"/>
          <w:lang w:val="en-IE"/>
        </w:rPr>
        <w:t xml:space="preserve">effectively </w:t>
      </w:r>
      <w:r w:rsidRPr="00224009">
        <w:rPr>
          <w:noProof/>
          <w:sz w:val="24"/>
          <w:szCs w:val="24"/>
          <w:lang w:val="en-IE"/>
        </w:rPr>
        <w:t>(e.g. to get compensation from a</w:t>
      </w:r>
      <w:r w:rsidR="00053411" w:rsidRPr="00224009">
        <w:rPr>
          <w:noProof/>
          <w:sz w:val="24"/>
          <w:szCs w:val="24"/>
          <w:lang w:val="en-IE"/>
        </w:rPr>
        <w:t>n AI-system provider</w:t>
      </w:r>
      <w:r w:rsidRPr="00224009">
        <w:rPr>
          <w:noProof/>
          <w:sz w:val="24"/>
          <w:szCs w:val="24"/>
          <w:lang w:val="en-IE"/>
        </w:rPr>
        <w:t>)</w:t>
      </w:r>
      <w:r w:rsidR="00053411" w:rsidRPr="00224009">
        <w:rPr>
          <w:noProof/>
          <w:sz w:val="24"/>
          <w:szCs w:val="24"/>
          <w:lang w:val="en-IE"/>
        </w:rPr>
        <w:t xml:space="preserve">, </w:t>
      </w:r>
      <w:r w:rsidRPr="00224009">
        <w:rPr>
          <w:noProof/>
          <w:sz w:val="24"/>
          <w:szCs w:val="24"/>
          <w:lang w:val="en-IE"/>
        </w:rPr>
        <w:t xml:space="preserve">a victim of harm </w:t>
      </w:r>
      <w:r w:rsidR="00053411" w:rsidRPr="00224009">
        <w:rPr>
          <w:noProof/>
          <w:sz w:val="24"/>
          <w:szCs w:val="24"/>
          <w:lang w:val="en-IE"/>
        </w:rPr>
        <w:t>will have to use national liability rules requiring proof of fault. The challenge of proving fault would be mitigated by the measures considered in the AI impact assessment, by easing the burden of proof in limited circumstances. However, the AI impact assessment does not have any impact on how the options of this I</w:t>
      </w:r>
      <w:r w:rsidR="00FA6667" w:rsidRPr="00224009">
        <w:rPr>
          <w:noProof/>
          <w:sz w:val="24"/>
          <w:szCs w:val="24"/>
          <w:lang w:val="en-IE"/>
        </w:rPr>
        <w:t>A</w:t>
      </w:r>
      <w:r w:rsidR="00053411" w:rsidRPr="00224009">
        <w:rPr>
          <w:noProof/>
          <w:sz w:val="24"/>
          <w:szCs w:val="24"/>
          <w:lang w:val="en-IE"/>
        </w:rPr>
        <w:t xml:space="preserve"> are defined, since</w:t>
      </w:r>
      <w:r w:rsidR="000F5BA4" w:rsidRPr="00224009">
        <w:rPr>
          <w:noProof/>
          <w:sz w:val="24"/>
          <w:szCs w:val="24"/>
          <w:lang w:val="en-IE"/>
        </w:rPr>
        <w:t xml:space="preserve"> </w:t>
      </w:r>
      <w:r w:rsidR="00752486" w:rsidRPr="00224009">
        <w:rPr>
          <w:noProof/>
          <w:sz w:val="24"/>
          <w:szCs w:val="24"/>
          <w:lang w:val="en-IE"/>
        </w:rPr>
        <w:t>any change to national fault-based rules would only complement and not substitute a digitally fit PLD based on no-fault liability</w:t>
      </w:r>
      <w:r w:rsidR="00752486">
        <w:rPr>
          <w:noProof/>
          <w:sz w:val="24"/>
          <w:szCs w:val="24"/>
          <w:lang w:val="en-IE"/>
        </w:rPr>
        <w:t>.</w:t>
      </w:r>
      <w:r w:rsidR="00752486" w:rsidRPr="00224009">
        <w:rPr>
          <w:noProof/>
          <w:sz w:val="24"/>
          <w:szCs w:val="24"/>
          <w:lang w:val="en-IE"/>
        </w:rPr>
        <w:t xml:space="preserve"> </w:t>
      </w:r>
      <w:r w:rsidR="00752486">
        <w:rPr>
          <w:noProof/>
          <w:sz w:val="24"/>
          <w:szCs w:val="24"/>
          <w:lang w:val="en-IE"/>
        </w:rPr>
        <w:t xml:space="preserve">This is also because </w:t>
      </w:r>
      <w:r w:rsidR="00E00422" w:rsidRPr="00224009">
        <w:rPr>
          <w:noProof/>
          <w:sz w:val="24"/>
          <w:szCs w:val="24"/>
          <w:lang w:val="en-IE"/>
        </w:rPr>
        <w:t xml:space="preserve">this </w:t>
      </w:r>
      <w:r w:rsidR="00227C41">
        <w:rPr>
          <w:noProof/>
          <w:sz w:val="24"/>
          <w:szCs w:val="24"/>
          <w:lang w:val="en-IE"/>
        </w:rPr>
        <w:t>impact assessment</w:t>
      </w:r>
      <w:r w:rsidR="00E00422" w:rsidRPr="00224009">
        <w:rPr>
          <w:noProof/>
          <w:sz w:val="24"/>
          <w:szCs w:val="24"/>
          <w:lang w:val="en-IE"/>
        </w:rPr>
        <w:t xml:space="preserve"> is relevant not only for AI but for digital technologies in general (see section 1</w:t>
      </w:r>
      <w:r w:rsidR="00E00422" w:rsidRPr="00402CDB">
        <w:rPr>
          <w:noProof/>
          <w:sz w:val="24"/>
          <w:szCs w:val="24"/>
          <w:lang w:val="en-IE"/>
        </w:rPr>
        <w:t>.3).</w:t>
      </w:r>
      <w:r w:rsidR="005E5B40" w:rsidRPr="00402CDB">
        <w:rPr>
          <w:noProof/>
        </w:rPr>
        <w:t xml:space="preserve"> </w:t>
      </w:r>
    </w:p>
    <w:p w14:paraId="2A7A6991" w14:textId="60504BED" w:rsidR="00CE3AA1" w:rsidRDefault="00782838" w:rsidP="00645E0F">
      <w:pPr>
        <w:spacing w:after="240" w:line="240" w:lineRule="auto"/>
        <w:jc w:val="both"/>
        <w:rPr>
          <w:rFonts w:cs="Times New Roman"/>
          <w:noProof/>
          <w:sz w:val="24"/>
          <w:szCs w:val="24"/>
        </w:rPr>
      </w:pPr>
      <w:r>
        <w:rPr>
          <w:noProof/>
          <w:sz w:val="24"/>
          <w:szCs w:val="24"/>
          <w:lang w:val="en-IE"/>
        </w:rPr>
        <w:t>T</w:t>
      </w:r>
      <w:r w:rsidR="00645E0F" w:rsidRPr="00CE3AA1">
        <w:rPr>
          <w:rFonts w:eastAsia="Times New Roman" w:cs="Times New Roman"/>
          <w:noProof/>
          <w:color w:val="000000" w:themeColor="text1"/>
          <w:sz w:val="24"/>
          <w:szCs w:val="24"/>
        </w:rPr>
        <w:t xml:space="preserve">he </w:t>
      </w:r>
      <w:r w:rsidR="00645E0F" w:rsidRPr="005E5B40">
        <w:rPr>
          <w:rFonts w:eastAsia="Times New Roman" w:cs="Times New Roman"/>
          <w:noProof/>
          <w:color w:val="000000" w:themeColor="text1"/>
          <w:sz w:val="24"/>
          <w:szCs w:val="24"/>
        </w:rPr>
        <w:t>PLD</w:t>
      </w:r>
      <w:r w:rsidR="00645E0F" w:rsidRPr="00CE3AA1">
        <w:rPr>
          <w:rFonts w:eastAsia="Times New Roman" w:cs="Times New Roman"/>
          <w:noProof/>
          <w:color w:val="000000" w:themeColor="text1"/>
          <w:sz w:val="24"/>
          <w:szCs w:val="24"/>
        </w:rPr>
        <w:t xml:space="preserve"> potentially affect</w:t>
      </w:r>
      <w:r w:rsidR="00EC30F2">
        <w:rPr>
          <w:rFonts w:eastAsia="Times New Roman" w:cs="Times New Roman"/>
          <w:noProof/>
          <w:color w:val="000000" w:themeColor="text1"/>
          <w:sz w:val="24"/>
          <w:szCs w:val="24"/>
        </w:rPr>
        <w:t>s</w:t>
      </w:r>
      <w:r w:rsidR="00645E0F" w:rsidRPr="00CE3AA1">
        <w:rPr>
          <w:rFonts w:eastAsia="Times New Roman" w:cs="Times New Roman"/>
          <w:noProof/>
          <w:color w:val="000000" w:themeColor="text1"/>
          <w:sz w:val="24"/>
          <w:szCs w:val="24"/>
        </w:rPr>
        <w:t xml:space="preserve"> almost the entire manufacturing sector</w:t>
      </w:r>
      <w:r>
        <w:rPr>
          <w:rFonts w:eastAsia="Times New Roman" w:cs="Times New Roman"/>
          <w:noProof/>
          <w:color w:val="000000" w:themeColor="text1"/>
          <w:sz w:val="24"/>
          <w:szCs w:val="24"/>
        </w:rPr>
        <w:t xml:space="preserve"> (see section 2.1)</w:t>
      </w:r>
      <w:r w:rsidR="00645E0F" w:rsidRPr="00CE3AA1">
        <w:rPr>
          <w:rFonts w:eastAsia="Times New Roman" w:cs="Times New Roman"/>
          <w:noProof/>
          <w:color w:val="000000" w:themeColor="text1"/>
          <w:sz w:val="24"/>
          <w:szCs w:val="24"/>
        </w:rPr>
        <w:t xml:space="preserve">. However, </w:t>
      </w:r>
      <w:r w:rsidR="00645E0F" w:rsidRPr="00CE3AA1">
        <w:rPr>
          <w:rFonts w:cs="Times New Roman"/>
          <w:noProof/>
          <w:sz w:val="24"/>
          <w:szCs w:val="24"/>
        </w:rPr>
        <w:t xml:space="preserve">according to the </w:t>
      </w:r>
      <w:r w:rsidR="00645E0F" w:rsidRPr="00373E8D">
        <w:rPr>
          <w:rFonts w:cs="Times New Roman"/>
          <w:noProof/>
          <w:sz w:val="24"/>
          <w:szCs w:val="24"/>
        </w:rPr>
        <w:t xml:space="preserve">evaluation study, </w:t>
      </w:r>
      <w:r w:rsidR="00CE3AA1" w:rsidRPr="00CE3AA1">
        <w:rPr>
          <w:rFonts w:cs="Times New Roman"/>
          <w:noProof/>
          <w:sz w:val="24"/>
          <w:szCs w:val="24"/>
        </w:rPr>
        <w:t xml:space="preserve">there are </w:t>
      </w:r>
      <w:r>
        <w:rPr>
          <w:rFonts w:cs="Times New Roman"/>
          <w:noProof/>
          <w:sz w:val="24"/>
          <w:szCs w:val="24"/>
        </w:rPr>
        <w:t xml:space="preserve">only </w:t>
      </w:r>
      <w:r w:rsidR="00CE3AA1" w:rsidRPr="00CE3AA1">
        <w:rPr>
          <w:rFonts w:cs="Times New Roman"/>
          <w:noProof/>
          <w:sz w:val="24"/>
          <w:szCs w:val="24"/>
        </w:rPr>
        <w:t xml:space="preserve">around </w:t>
      </w:r>
      <w:r w:rsidR="00237375">
        <w:rPr>
          <w:rFonts w:cs="Times New Roman"/>
          <w:noProof/>
          <w:sz w:val="24"/>
          <w:szCs w:val="24"/>
        </w:rPr>
        <w:t>50-</w:t>
      </w:r>
      <w:r w:rsidR="00CE3AA1" w:rsidRPr="00CE3AA1">
        <w:rPr>
          <w:rFonts w:cs="Times New Roman"/>
          <w:noProof/>
          <w:sz w:val="24"/>
          <w:szCs w:val="24"/>
        </w:rPr>
        <w:t xml:space="preserve">60 court </w:t>
      </w:r>
      <w:r w:rsidR="00E730E9">
        <w:rPr>
          <w:rFonts w:eastAsia="Calibri"/>
          <w:noProof/>
          <w:sz w:val="24"/>
          <w:szCs w:val="24"/>
        </w:rPr>
        <w:t>cases</w:t>
      </w:r>
      <w:r w:rsidR="00E730E9" w:rsidRPr="00CE3AA1">
        <w:rPr>
          <w:rFonts w:eastAsia="Calibri"/>
          <w:noProof/>
          <w:sz w:val="24"/>
          <w:szCs w:val="24"/>
        </w:rPr>
        <w:t xml:space="preserve"> </w:t>
      </w:r>
      <w:r w:rsidR="00CE3AA1" w:rsidRPr="00CE3AA1">
        <w:rPr>
          <w:rFonts w:eastAsia="Calibri"/>
          <w:noProof/>
          <w:sz w:val="24"/>
          <w:szCs w:val="24"/>
        </w:rPr>
        <w:t xml:space="preserve">based on </w:t>
      </w:r>
      <w:r w:rsidR="009871C1">
        <w:rPr>
          <w:rFonts w:eastAsia="Calibri"/>
          <w:noProof/>
          <w:sz w:val="24"/>
          <w:szCs w:val="24"/>
        </w:rPr>
        <w:t>product liability rules</w:t>
      </w:r>
      <w:r>
        <w:rPr>
          <w:rFonts w:eastAsia="Calibri"/>
          <w:noProof/>
          <w:sz w:val="24"/>
          <w:szCs w:val="24"/>
        </w:rPr>
        <w:t xml:space="preserve"> </w:t>
      </w:r>
      <w:r w:rsidR="00CE3AA1" w:rsidRPr="00CE3AA1">
        <w:rPr>
          <w:rFonts w:eastAsia="Calibri"/>
          <w:noProof/>
          <w:sz w:val="24"/>
          <w:szCs w:val="24"/>
        </w:rPr>
        <w:t>per year in EU27</w:t>
      </w:r>
      <w:r w:rsidR="00645E0F" w:rsidRPr="00CE3AA1">
        <w:rPr>
          <w:rStyle w:val="FootnoteReference"/>
          <w:noProof/>
          <w:sz w:val="24"/>
          <w:szCs w:val="24"/>
        </w:rPr>
        <w:footnoteReference w:id="150"/>
      </w:r>
      <w:r w:rsidR="00645E0F" w:rsidRPr="00CE3AA1">
        <w:rPr>
          <w:rFonts w:cs="Times New Roman"/>
          <w:noProof/>
          <w:sz w:val="24"/>
          <w:szCs w:val="24"/>
        </w:rPr>
        <w:t xml:space="preserve">. </w:t>
      </w:r>
      <w:r w:rsidR="00645E0F" w:rsidRPr="00CE3AA1">
        <w:rPr>
          <w:rFonts w:eastAsia="Calibri"/>
          <w:noProof/>
          <w:sz w:val="24"/>
          <w:szCs w:val="24"/>
        </w:rPr>
        <w:t>As acknowledged by the study itself, t</w:t>
      </w:r>
      <w:r w:rsidR="00645E0F" w:rsidRPr="00CE3AA1">
        <w:rPr>
          <w:rFonts w:cs="Times New Roman"/>
          <w:noProof/>
          <w:sz w:val="24"/>
          <w:szCs w:val="24"/>
        </w:rPr>
        <w:t>h</w:t>
      </w:r>
      <w:r w:rsidR="003E0354">
        <w:rPr>
          <w:rFonts w:cs="Times New Roman"/>
          <w:noProof/>
          <w:sz w:val="24"/>
          <w:szCs w:val="24"/>
        </w:rPr>
        <w:t xml:space="preserve">is </w:t>
      </w:r>
      <w:r w:rsidR="00645E0F" w:rsidRPr="00CE3AA1">
        <w:rPr>
          <w:rFonts w:cs="Times New Roman"/>
          <w:noProof/>
          <w:sz w:val="24"/>
          <w:szCs w:val="24"/>
        </w:rPr>
        <w:t>number is likely not complete</w:t>
      </w:r>
      <w:r>
        <w:rPr>
          <w:rFonts w:cs="Times New Roman"/>
          <w:noProof/>
          <w:sz w:val="24"/>
          <w:szCs w:val="24"/>
        </w:rPr>
        <w:t>, and m</w:t>
      </w:r>
      <w:r w:rsidR="00645E0F" w:rsidRPr="00CE3AA1">
        <w:rPr>
          <w:rFonts w:cs="Times New Roman"/>
          <w:noProof/>
          <w:sz w:val="24"/>
          <w:szCs w:val="24"/>
        </w:rPr>
        <w:t>ore realistic figures have been extrapolated using information from selected Member States</w:t>
      </w:r>
      <w:r>
        <w:rPr>
          <w:rFonts w:cs="Times New Roman"/>
          <w:noProof/>
          <w:sz w:val="24"/>
          <w:szCs w:val="24"/>
        </w:rPr>
        <w:t>’ databases</w:t>
      </w:r>
      <w:r w:rsidR="00645E0F" w:rsidRPr="00CE3AA1">
        <w:rPr>
          <w:rFonts w:cs="Times New Roman"/>
          <w:noProof/>
          <w:sz w:val="24"/>
          <w:szCs w:val="24"/>
        </w:rPr>
        <w:t xml:space="preserve">, pointing to </w:t>
      </w:r>
      <w:r>
        <w:rPr>
          <w:rFonts w:cs="Times New Roman"/>
          <w:noProof/>
          <w:sz w:val="24"/>
          <w:szCs w:val="24"/>
        </w:rPr>
        <w:t xml:space="preserve">a </w:t>
      </w:r>
      <w:r w:rsidR="00645E0F" w:rsidRPr="00CE3AA1">
        <w:rPr>
          <w:rFonts w:cs="Times New Roman"/>
          <w:noProof/>
          <w:sz w:val="24"/>
          <w:szCs w:val="24"/>
        </w:rPr>
        <w:t xml:space="preserve">range between </w:t>
      </w:r>
      <w:r w:rsidR="009858A4">
        <w:rPr>
          <w:rFonts w:cs="Times New Roman"/>
          <w:b/>
          <w:noProof/>
          <w:sz w:val="24"/>
          <w:szCs w:val="24"/>
        </w:rPr>
        <w:t>209</w:t>
      </w:r>
      <w:r w:rsidR="00627D1D" w:rsidRPr="00CE3AA1">
        <w:rPr>
          <w:rFonts w:cs="Times New Roman"/>
          <w:b/>
          <w:noProof/>
          <w:sz w:val="24"/>
          <w:szCs w:val="24"/>
        </w:rPr>
        <w:t xml:space="preserve"> </w:t>
      </w:r>
      <w:r w:rsidR="00645E0F" w:rsidRPr="00CE3AA1">
        <w:rPr>
          <w:rFonts w:cs="Times New Roman"/>
          <w:b/>
          <w:noProof/>
          <w:sz w:val="24"/>
          <w:szCs w:val="24"/>
        </w:rPr>
        <w:t xml:space="preserve">and </w:t>
      </w:r>
      <w:r w:rsidR="009858A4">
        <w:rPr>
          <w:rFonts w:cs="Times New Roman"/>
          <w:b/>
          <w:noProof/>
          <w:sz w:val="24"/>
          <w:szCs w:val="24"/>
        </w:rPr>
        <w:t>452</w:t>
      </w:r>
      <w:r w:rsidR="00627D1D" w:rsidRPr="00CE3AA1">
        <w:rPr>
          <w:rFonts w:cs="Times New Roman"/>
          <w:b/>
          <w:noProof/>
          <w:sz w:val="24"/>
          <w:szCs w:val="24"/>
        </w:rPr>
        <w:t xml:space="preserve"> </w:t>
      </w:r>
      <w:r w:rsidR="00645E0F" w:rsidRPr="00CE3AA1">
        <w:rPr>
          <w:rFonts w:cs="Times New Roman"/>
          <w:b/>
          <w:noProof/>
          <w:sz w:val="24"/>
          <w:szCs w:val="24"/>
        </w:rPr>
        <w:t>for the annual number of court cases</w:t>
      </w:r>
      <w:r w:rsidR="00645E0F" w:rsidRPr="00373E8D">
        <w:rPr>
          <w:rFonts w:cs="Times New Roman"/>
          <w:noProof/>
          <w:sz w:val="24"/>
          <w:szCs w:val="24"/>
        </w:rPr>
        <w:t xml:space="preserve"> across the EU27. </w:t>
      </w:r>
      <w:r w:rsidR="00607BA7">
        <w:rPr>
          <w:rFonts w:cs="Times New Roman"/>
          <w:noProof/>
          <w:sz w:val="24"/>
          <w:szCs w:val="24"/>
        </w:rPr>
        <w:t>I</w:t>
      </w:r>
      <w:r w:rsidR="00996E33">
        <w:rPr>
          <w:rFonts w:cs="Times New Roman"/>
          <w:noProof/>
          <w:sz w:val="24"/>
          <w:szCs w:val="24"/>
        </w:rPr>
        <w:t xml:space="preserve">n extrapolating these figures, the </w:t>
      </w:r>
      <w:r w:rsidR="00607BA7">
        <w:rPr>
          <w:rFonts w:cs="Times New Roman"/>
          <w:noProof/>
          <w:sz w:val="24"/>
          <w:szCs w:val="24"/>
        </w:rPr>
        <w:t xml:space="preserve">expected </w:t>
      </w:r>
      <w:r w:rsidR="005E329F">
        <w:rPr>
          <w:rFonts w:cs="Times New Roman"/>
          <w:noProof/>
          <w:sz w:val="24"/>
          <w:szCs w:val="24"/>
        </w:rPr>
        <w:t xml:space="preserve">modest </w:t>
      </w:r>
      <w:r w:rsidR="00C47F3B">
        <w:rPr>
          <w:rFonts w:cs="Times New Roman"/>
          <w:noProof/>
          <w:sz w:val="24"/>
          <w:szCs w:val="24"/>
        </w:rPr>
        <w:t xml:space="preserve">reduction in product-related harm as a result of </w:t>
      </w:r>
      <w:r w:rsidR="00996E33">
        <w:rPr>
          <w:rFonts w:cs="Times New Roman"/>
          <w:noProof/>
          <w:sz w:val="24"/>
          <w:szCs w:val="24"/>
        </w:rPr>
        <w:t xml:space="preserve">ongoing product safety-related legislative proposals has been </w:t>
      </w:r>
      <w:r w:rsidR="00C47F3B">
        <w:rPr>
          <w:rFonts w:cs="Times New Roman"/>
          <w:noProof/>
          <w:sz w:val="24"/>
          <w:szCs w:val="24"/>
        </w:rPr>
        <w:t>taken into account</w:t>
      </w:r>
      <w:r w:rsidR="005E329F">
        <w:rPr>
          <w:rFonts w:cs="Times New Roman"/>
          <w:noProof/>
          <w:sz w:val="24"/>
          <w:szCs w:val="24"/>
        </w:rPr>
        <w:t xml:space="preserve"> by making conservative assumptions about the lower range</w:t>
      </w:r>
      <w:r w:rsidR="00C47F3B">
        <w:rPr>
          <w:rFonts w:cs="Times New Roman"/>
          <w:noProof/>
          <w:sz w:val="24"/>
          <w:szCs w:val="24"/>
        </w:rPr>
        <w:t xml:space="preserve">, even if </w:t>
      </w:r>
      <w:r w:rsidR="005E329F">
        <w:rPr>
          <w:rFonts w:cs="Times New Roman"/>
          <w:noProof/>
          <w:sz w:val="24"/>
          <w:szCs w:val="24"/>
        </w:rPr>
        <w:t xml:space="preserve">the reduction </w:t>
      </w:r>
      <w:r w:rsidR="00C47F3B">
        <w:rPr>
          <w:rFonts w:cs="Times New Roman"/>
          <w:noProof/>
          <w:sz w:val="24"/>
          <w:szCs w:val="24"/>
        </w:rPr>
        <w:t xml:space="preserve">is not directly </w:t>
      </w:r>
      <w:r w:rsidR="00996E33">
        <w:rPr>
          <w:rFonts w:cs="Times New Roman"/>
          <w:noProof/>
          <w:sz w:val="24"/>
          <w:szCs w:val="24"/>
        </w:rPr>
        <w:t>quantifiable</w:t>
      </w:r>
      <w:r w:rsidR="00821068">
        <w:rPr>
          <w:rFonts w:cs="Times New Roman"/>
          <w:noProof/>
          <w:sz w:val="24"/>
          <w:szCs w:val="24"/>
        </w:rPr>
        <w:t xml:space="preserve"> and does not directly affect the size of the remaining problem</w:t>
      </w:r>
      <w:r w:rsidR="002B5DB4">
        <w:rPr>
          <w:rFonts w:cs="Times New Roman"/>
          <w:noProof/>
          <w:sz w:val="24"/>
          <w:szCs w:val="24"/>
        </w:rPr>
        <w:t xml:space="preserve"> (see more details in Annex 4)</w:t>
      </w:r>
      <w:r w:rsidR="00C47F3B">
        <w:rPr>
          <w:rFonts w:cs="Times New Roman"/>
          <w:noProof/>
          <w:sz w:val="24"/>
          <w:szCs w:val="24"/>
        </w:rPr>
        <w:t>.</w:t>
      </w:r>
    </w:p>
    <w:p w14:paraId="2321605A" w14:textId="0B1E6FA7" w:rsidR="00E16AC0" w:rsidRDefault="00E16AC0" w:rsidP="00645E0F">
      <w:pPr>
        <w:spacing w:after="240" w:line="240" w:lineRule="auto"/>
        <w:jc w:val="both"/>
        <w:rPr>
          <w:rFonts w:cs="Times New Roman"/>
          <w:noProof/>
          <w:sz w:val="24"/>
          <w:szCs w:val="24"/>
          <w:lang w:eastAsia="fr-BE"/>
        </w:rPr>
      </w:pPr>
      <w:r>
        <w:rPr>
          <w:rFonts w:cs="Times New Roman"/>
          <w:noProof/>
          <w:sz w:val="24"/>
          <w:szCs w:val="24"/>
        </w:rPr>
        <w:t>T</w:t>
      </w:r>
      <w:r w:rsidR="00645E0F" w:rsidRPr="00CE3AA1">
        <w:rPr>
          <w:rFonts w:cs="Times New Roman"/>
          <w:noProof/>
          <w:sz w:val="24"/>
          <w:szCs w:val="24"/>
        </w:rPr>
        <w:t>he evaluation found that most liability-related c</w:t>
      </w:r>
      <w:r w:rsidR="006B55FB">
        <w:rPr>
          <w:rFonts w:cs="Times New Roman"/>
          <w:noProof/>
          <w:sz w:val="24"/>
          <w:szCs w:val="24"/>
        </w:rPr>
        <w:t>laims were settled out of court</w:t>
      </w:r>
      <w:r w:rsidR="00645E0F" w:rsidRPr="00CE3AA1">
        <w:rPr>
          <w:rStyle w:val="FootnoteReference"/>
          <w:noProof/>
          <w:sz w:val="24"/>
          <w:szCs w:val="24"/>
        </w:rPr>
        <w:footnoteReference w:id="151"/>
      </w:r>
      <w:r w:rsidR="006B55FB">
        <w:rPr>
          <w:rFonts w:cs="Times New Roman"/>
          <w:noProof/>
          <w:sz w:val="24"/>
          <w:szCs w:val="24"/>
        </w:rPr>
        <w:t xml:space="preserve"> and </w:t>
      </w:r>
      <w:r w:rsidR="006B55FB" w:rsidRPr="00CE3AA1">
        <w:rPr>
          <w:rFonts w:cs="Times New Roman"/>
          <w:noProof/>
          <w:sz w:val="24"/>
          <w:szCs w:val="24"/>
          <w:lang w:eastAsia="fr-BE"/>
        </w:rPr>
        <w:t>i</w:t>
      </w:r>
      <w:r w:rsidR="00645E0F" w:rsidRPr="00CE3AA1">
        <w:rPr>
          <w:rFonts w:cs="Times New Roman"/>
          <w:noProof/>
          <w:sz w:val="24"/>
          <w:szCs w:val="24"/>
          <w:lang w:eastAsia="fr-BE"/>
        </w:rPr>
        <w:t xml:space="preserve">nterviews with industry associations and product liability lawyers as part of the IA study </w:t>
      </w:r>
      <w:r w:rsidR="006B55FB">
        <w:rPr>
          <w:rFonts w:cs="Times New Roman"/>
          <w:noProof/>
          <w:sz w:val="24"/>
          <w:szCs w:val="24"/>
          <w:lang w:eastAsia="fr-BE"/>
        </w:rPr>
        <w:t>suggested</w:t>
      </w:r>
      <w:r w:rsidR="00645E0F" w:rsidRPr="00CE3AA1">
        <w:rPr>
          <w:rFonts w:cs="Times New Roman"/>
          <w:noProof/>
          <w:sz w:val="24"/>
          <w:szCs w:val="24"/>
          <w:lang w:eastAsia="fr-BE"/>
        </w:rPr>
        <w:t xml:space="preserve"> </w:t>
      </w:r>
      <w:r>
        <w:rPr>
          <w:rFonts w:cs="Times New Roman"/>
          <w:noProof/>
          <w:sz w:val="24"/>
          <w:szCs w:val="24"/>
          <w:lang w:eastAsia="fr-BE"/>
        </w:rPr>
        <w:t>that there might be as many as 6</w:t>
      </w:r>
      <w:r w:rsidR="00645E0F" w:rsidRPr="00CE3AA1">
        <w:rPr>
          <w:rFonts w:cs="Times New Roman"/>
          <w:noProof/>
          <w:sz w:val="24"/>
          <w:szCs w:val="24"/>
          <w:lang w:eastAsia="fr-BE"/>
        </w:rPr>
        <w:t>-7 times the number of cases settled out-of-court compared with cases that actually go to court</w:t>
      </w:r>
      <w:r w:rsidR="00645E0F" w:rsidRPr="00CE3AA1">
        <w:rPr>
          <w:rStyle w:val="FootnoteReference"/>
          <w:noProof/>
          <w:sz w:val="24"/>
          <w:szCs w:val="24"/>
          <w:lang w:eastAsia="fr-BE"/>
        </w:rPr>
        <w:footnoteReference w:id="152"/>
      </w:r>
      <w:r w:rsidR="00F4311E">
        <w:rPr>
          <w:rFonts w:cs="Times New Roman"/>
          <w:noProof/>
          <w:sz w:val="24"/>
          <w:szCs w:val="24"/>
          <w:lang w:eastAsia="fr-BE"/>
        </w:rPr>
        <w:t xml:space="preserve">. </w:t>
      </w:r>
      <w:r w:rsidR="00645E0F" w:rsidRPr="00CE3AA1">
        <w:rPr>
          <w:rFonts w:cs="Times New Roman"/>
          <w:noProof/>
          <w:sz w:val="24"/>
          <w:szCs w:val="24"/>
          <w:lang w:eastAsia="fr-BE"/>
        </w:rPr>
        <w:t xml:space="preserve">Thus, it is estimated a range between </w:t>
      </w:r>
      <w:r w:rsidR="001F6795">
        <w:rPr>
          <w:rFonts w:cs="Times New Roman"/>
          <w:b/>
          <w:noProof/>
          <w:sz w:val="24"/>
          <w:szCs w:val="24"/>
          <w:lang w:eastAsia="fr-BE"/>
        </w:rPr>
        <w:t>1</w:t>
      </w:r>
      <w:r w:rsidR="00E9797D">
        <w:rPr>
          <w:rFonts w:cs="Times New Roman"/>
          <w:b/>
          <w:noProof/>
          <w:sz w:val="24"/>
          <w:szCs w:val="24"/>
          <w:lang w:eastAsia="fr-BE"/>
        </w:rPr>
        <w:t>,</w:t>
      </w:r>
      <w:r w:rsidR="001F6795">
        <w:rPr>
          <w:rFonts w:cs="Times New Roman"/>
          <w:b/>
          <w:noProof/>
          <w:sz w:val="24"/>
          <w:szCs w:val="24"/>
          <w:lang w:eastAsia="fr-BE"/>
        </w:rPr>
        <w:t>255</w:t>
      </w:r>
      <w:r w:rsidR="00645E0F" w:rsidRPr="00CE3AA1">
        <w:rPr>
          <w:rFonts w:cs="Times New Roman"/>
          <w:b/>
          <w:noProof/>
          <w:sz w:val="24"/>
          <w:szCs w:val="24"/>
          <w:lang w:eastAsia="fr-BE"/>
        </w:rPr>
        <w:t xml:space="preserve"> and </w:t>
      </w:r>
      <w:r w:rsidR="001F6795">
        <w:rPr>
          <w:rFonts w:cs="Times New Roman"/>
          <w:b/>
          <w:noProof/>
          <w:sz w:val="24"/>
          <w:szCs w:val="24"/>
          <w:lang w:eastAsia="fr-BE"/>
        </w:rPr>
        <w:t>3</w:t>
      </w:r>
      <w:r w:rsidR="00E9797D">
        <w:rPr>
          <w:rFonts w:cs="Times New Roman"/>
          <w:b/>
          <w:noProof/>
          <w:sz w:val="24"/>
          <w:szCs w:val="24"/>
          <w:lang w:eastAsia="fr-BE"/>
        </w:rPr>
        <w:t>,</w:t>
      </w:r>
      <w:r w:rsidR="001F6795">
        <w:rPr>
          <w:rFonts w:cs="Times New Roman"/>
          <w:b/>
          <w:noProof/>
          <w:sz w:val="24"/>
          <w:szCs w:val="24"/>
          <w:lang w:eastAsia="fr-BE"/>
        </w:rPr>
        <w:t xml:space="preserve">165 </w:t>
      </w:r>
      <w:r w:rsidR="00645E0F" w:rsidRPr="00CE3AA1">
        <w:rPr>
          <w:rFonts w:cs="Times New Roman"/>
          <w:b/>
          <w:noProof/>
          <w:sz w:val="24"/>
          <w:szCs w:val="24"/>
          <w:lang w:eastAsia="fr-BE"/>
        </w:rPr>
        <w:t>for the annual number of out</w:t>
      </w:r>
      <w:r w:rsidR="00782838">
        <w:rPr>
          <w:rFonts w:cs="Times New Roman"/>
          <w:b/>
          <w:noProof/>
          <w:sz w:val="24"/>
          <w:szCs w:val="24"/>
          <w:lang w:eastAsia="fr-BE"/>
        </w:rPr>
        <w:t>-</w:t>
      </w:r>
      <w:r w:rsidR="00645E0F" w:rsidRPr="00CE3AA1">
        <w:rPr>
          <w:rFonts w:cs="Times New Roman"/>
          <w:b/>
          <w:noProof/>
          <w:sz w:val="24"/>
          <w:szCs w:val="24"/>
          <w:lang w:eastAsia="fr-BE"/>
        </w:rPr>
        <w:t>of</w:t>
      </w:r>
      <w:r w:rsidR="00782838">
        <w:rPr>
          <w:rFonts w:cs="Times New Roman"/>
          <w:b/>
          <w:noProof/>
          <w:sz w:val="24"/>
          <w:szCs w:val="24"/>
          <w:lang w:eastAsia="fr-BE"/>
        </w:rPr>
        <w:t>-</w:t>
      </w:r>
      <w:r w:rsidR="00645E0F" w:rsidRPr="00CE3AA1">
        <w:rPr>
          <w:rFonts w:cs="Times New Roman"/>
          <w:b/>
          <w:noProof/>
          <w:sz w:val="24"/>
          <w:szCs w:val="24"/>
          <w:lang w:eastAsia="fr-BE"/>
        </w:rPr>
        <w:t xml:space="preserve">court </w:t>
      </w:r>
      <w:r w:rsidR="00782838">
        <w:rPr>
          <w:rFonts w:cs="Times New Roman"/>
          <w:b/>
          <w:noProof/>
          <w:sz w:val="24"/>
          <w:szCs w:val="24"/>
          <w:lang w:eastAsia="fr-BE"/>
        </w:rPr>
        <w:t>proceedings</w:t>
      </w:r>
      <w:r w:rsidR="00645E0F" w:rsidRPr="00CE3AA1">
        <w:rPr>
          <w:rFonts w:cs="Times New Roman"/>
          <w:b/>
          <w:noProof/>
          <w:sz w:val="24"/>
          <w:szCs w:val="24"/>
          <w:lang w:eastAsia="fr-BE"/>
        </w:rPr>
        <w:t xml:space="preserve"> </w:t>
      </w:r>
      <w:r w:rsidR="00645E0F" w:rsidRPr="00CE3AA1">
        <w:rPr>
          <w:rFonts w:cs="Times New Roman"/>
          <w:noProof/>
          <w:sz w:val="24"/>
          <w:szCs w:val="24"/>
          <w:lang w:eastAsia="fr-BE"/>
        </w:rPr>
        <w:t>across the EU27</w:t>
      </w:r>
      <w:r w:rsidR="00645E0F" w:rsidRPr="00CE3AA1">
        <w:rPr>
          <w:noProof/>
          <w:sz w:val="24"/>
          <w:szCs w:val="24"/>
        </w:rPr>
        <w:t>.</w:t>
      </w:r>
      <w:r>
        <w:rPr>
          <w:rFonts w:cs="Times New Roman"/>
          <w:noProof/>
          <w:sz w:val="24"/>
          <w:szCs w:val="24"/>
          <w:lang w:eastAsia="fr-BE"/>
        </w:rPr>
        <w:t xml:space="preserve"> </w:t>
      </w:r>
    </w:p>
    <w:p w14:paraId="773E89E6" w14:textId="39040C39" w:rsidR="00536D2F" w:rsidRDefault="008E3B3E" w:rsidP="00536D2F">
      <w:pPr>
        <w:spacing w:after="240" w:line="240" w:lineRule="auto"/>
        <w:jc w:val="both"/>
        <w:rPr>
          <w:noProof/>
        </w:rPr>
      </w:pPr>
      <w:r w:rsidRPr="008E3B3E">
        <w:rPr>
          <w:rFonts w:cs="Times New Roman"/>
          <w:noProof/>
          <w:sz w:val="24"/>
          <w:szCs w:val="24"/>
          <w:lang w:eastAsia="fr-BE"/>
        </w:rPr>
        <w:t xml:space="preserve">Evidence collected through stakeholder consultation confirms the 2018 evaluation’s finding that </w:t>
      </w:r>
      <w:r>
        <w:rPr>
          <w:rFonts w:cs="Times New Roman"/>
          <w:noProof/>
          <w:sz w:val="24"/>
          <w:szCs w:val="24"/>
          <w:lang w:eastAsia="fr-BE"/>
        </w:rPr>
        <w:t xml:space="preserve">the </w:t>
      </w:r>
      <w:r w:rsidRPr="008E3B3E">
        <w:rPr>
          <w:rFonts w:cs="Times New Roman"/>
          <w:noProof/>
          <w:sz w:val="24"/>
          <w:szCs w:val="24"/>
          <w:lang w:eastAsia="fr-BE"/>
        </w:rPr>
        <w:t xml:space="preserve">financial size of compensations </w:t>
      </w:r>
      <w:r>
        <w:rPr>
          <w:rFonts w:cs="Times New Roman"/>
          <w:noProof/>
          <w:sz w:val="24"/>
          <w:szCs w:val="24"/>
          <w:lang w:eastAsia="fr-BE"/>
        </w:rPr>
        <w:t xml:space="preserve">to victims </w:t>
      </w:r>
      <w:r w:rsidRPr="008E3B3E">
        <w:rPr>
          <w:rFonts w:cs="Times New Roman"/>
          <w:noProof/>
          <w:sz w:val="24"/>
          <w:szCs w:val="24"/>
          <w:lang w:eastAsia="fr-BE"/>
        </w:rPr>
        <w:t xml:space="preserve">varies </w:t>
      </w:r>
      <w:r w:rsidR="00227C41">
        <w:rPr>
          <w:rFonts w:cs="Times New Roman"/>
          <w:noProof/>
          <w:sz w:val="24"/>
          <w:szCs w:val="24"/>
          <w:lang w:eastAsia="fr-BE"/>
        </w:rPr>
        <w:t xml:space="preserve">widely </w:t>
      </w:r>
      <w:r w:rsidRPr="008E3B3E">
        <w:rPr>
          <w:rFonts w:cs="Times New Roman"/>
          <w:noProof/>
          <w:sz w:val="24"/>
          <w:szCs w:val="24"/>
          <w:lang w:eastAsia="fr-BE"/>
        </w:rPr>
        <w:t>depending on the product and sector, the nature and extent of the damage, and the circumstances of individual cases</w:t>
      </w:r>
      <w:r>
        <w:rPr>
          <w:rFonts w:cs="Times New Roman"/>
          <w:noProof/>
          <w:sz w:val="24"/>
          <w:szCs w:val="24"/>
          <w:lang w:eastAsia="fr-BE"/>
        </w:rPr>
        <w:t xml:space="preserve">. </w:t>
      </w:r>
      <w:r w:rsidR="00536D2F">
        <w:rPr>
          <w:rFonts w:cs="Times New Roman"/>
          <w:noProof/>
          <w:sz w:val="24"/>
          <w:szCs w:val="24"/>
          <w:lang w:eastAsia="fr-BE"/>
        </w:rPr>
        <w:t>For the purpose of the impact assessment, the</w:t>
      </w:r>
      <w:r w:rsidR="00536D2F" w:rsidRPr="00536D2F">
        <w:rPr>
          <w:rFonts w:cs="Times New Roman"/>
          <w:noProof/>
          <w:sz w:val="24"/>
          <w:szCs w:val="24"/>
          <w:lang w:eastAsia="fr-BE"/>
        </w:rPr>
        <w:t xml:space="preserve"> compensation paid for deaths in the EU27 is estimated in the range of 20,000-1,500,000 EUR</w:t>
      </w:r>
      <w:r w:rsidR="00536D2F">
        <w:rPr>
          <w:rFonts w:cs="Times New Roman"/>
          <w:noProof/>
          <w:sz w:val="24"/>
          <w:szCs w:val="24"/>
          <w:lang w:eastAsia="fr-BE"/>
        </w:rPr>
        <w:t xml:space="preserve">; the compensation </w:t>
      </w:r>
      <w:r w:rsidR="00536D2F" w:rsidRPr="00536D2F">
        <w:rPr>
          <w:rFonts w:cs="Times New Roman"/>
          <w:noProof/>
          <w:sz w:val="24"/>
          <w:szCs w:val="24"/>
          <w:lang w:eastAsia="fr-BE"/>
        </w:rPr>
        <w:t>paid for personal injuries is estimated in the range 1,500-700,000 EUR</w:t>
      </w:r>
      <w:r w:rsidR="00536D2F">
        <w:rPr>
          <w:rFonts w:cs="Times New Roman"/>
          <w:noProof/>
          <w:sz w:val="24"/>
          <w:szCs w:val="24"/>
          <w:lang w:eastAsia="fr-BE"/>
        </w:rPr>
        <w:t xml:space="preserve">; and the </w:t>
      </w:r>
      <w:r w:rsidR="00536D2F" w:rsidRPr="00536D2F">
        <w:rPr>
          <w:rFonts w:cs="Times New Roman"/>
          <w:noProof/>
          <w:sz w:val="24"/>
          <w:szCs w:val="24"/>
          <w:lang w:eastAsia="fr-BE"/>
        </w:rPr>
        <w:t>compensation paid for property damages is estimated in the range 5,000-25,000 EUR</w:t>
      </w:r>
      <w:r w:rsidR="00536D2F">
        <w:rPr>
          <w:rFonts w:cs="Times New Roman"/>
          <w:noProof/>
          <w:sz w:val="24"/>
          <w:szCs w:val="24"/>
          <w:lang w:eastAsia="fr-BE"/>
        </w:rPr>
        <w:t>.</w:t>
      </w:r>
    </w:p>
    <w:p w14:paraId="0663E264" w14:textId="4A7E0815" w:rsidR="00DC24DD" w:rsidRDefault="006B55FB" w:rsidP="00645E0F">
      <w:pPr>
        <w:spacing w:after="240" w:line="240" w:lineRule="auto"/>
        <w:jc w:val="both"/>
        <w:rPr>
          <w:noProof/>
          <w:sz w:val="24"/>
          <w:szCs w:val="24"/>
          <w:lang w:val="en-IE"/>
        </w:rPr>
      </w:pPr>
      <w:r w:rsidRPr="00D46507">
        <w:rPr>
          <w:noProof/>
          <w:sz w:val="24"/>
          <w:szCs w:val="24"/>
          <w:lang w:val="en-IE"/>
        </w:rPr>
        <w:t>Economic operators covered by liability insurance would not have to directly compensate victims</w:t>
      </w:r>
      <w:r w:rsidR="005707E5">
        <w:rPr>
          <w:noProof/>
          <w:sz w:val="24"/>
          <w:szCs w:val="24"/>
          <w:lang w:val="en-IE"/>
        </w:rPr>
        <w:t xml:space="preserve"> since their liability insurance would cover </w:t>
      </w:r>
      <w:r w:rsidR="005707E5" w:rsidRPr="005707E5">
        <w:rPr>
          <w:noProof/>
          <w:sz w:val="24"/>
          <w:szCs w:val="24"/>
          <w:lang w:val="en-IE"/>
        </w:rPr>
        <w:t>pay-outs to victims in case they are found liable for a defective product</w:t>
      </w:r>
      <w:r>
        <w:rPr>
          <w:noProof/>
          <w:sz w:val="24"/>
          <w:szCs w:val="24"/>
          <w:lang w:val="en-IE"/>
        </w:rPr>
        <w:t xml:space="preserve">. </w:t>
      </w:r>
      <w:r w:rsidR="005707E5">
        <w:rPr>
          <w:noProof/>
          <w:sz w:val="24"/>
          <w:szCs w:val="24"/>
          <w:lang w:val="en-IE"/>
        </w:rPr>
        <w:t>The liability insurance premiums faced by these economic operators are, however, assumed to increase</w:t>
      </w:r>
      <w:r w:rsidR="005707E5">
        <w:rPr>
          <w:rStyle w:val="FootnoteReference"/>
          <w:noProof/>
          <w:sz w:val="24"/>
          <w:szCs w:val="24"/>
          <w:lang w:val="en-IE"/>
        </w:rPr>
        <w:footnoteReference w:id="153"/>
      </w:r>
      <w:r w:rsidR="005707E5">
        <w:rPr>
          <w:noProof/>
          <w:sz w:val="24"/>
          <w:szCs w:val="24"/>
          <w:lang w:val="en-IE"/>
        </w:rPr>
        <w:t xml:space="preserve">. </w:t>
      </w:r>
      <w:r w:rsidR="00227C41">
        <w:rPr>
          <w:noProof/>
          <w:sz w:val="24"/>
          <w:szCs w:val="24"/>
          <w:lang w:val="en-IE"/>
        </w:rPr>
        <w:t>The t</w:t>
      </w:r>
      <w:r w:rsidR="0087293D" w:rsidRPr="0087293D">
        <w:rPr>
          <w:noProof/>
          <w:sz w:val="24"/>
          <w:szCs w:val="24"/>
          <w:lang w:val="en-IE"/>
        </w:rPr>
        <w:t>otal value of product liability insurance premiums in the EU27</w:t>
      </w:r>
      <w:r w:rsidR="0087293D">
        <w:rPr>
          <w:noProof/>
          <w:sz w:val="24"/>
          <w:szCs w:val="24"/>
          <w:lang w:val="en-IE"/>
        </w:rPr>
        <w:t xml:space="preserve"> </w:t>
      </w:r>
      <w:r w:rsidR="0029383F">
        <w:rPr>
          <w:noProof/>
          <w:sz w:val="24"/>
          <w:szCs w:val="24"/>
          <w:lang w:val="en-IE"/>
        </w:rPr>
        <w:t xml:space="preserve">in 2021 </w:t>
      </w:r>
      <w:r w:rsidR="0087293D">
        <w:rPr>
          <w:noProof/>
          <w:sz w:val="24"/>
          <w:szCs w:val="24"/>
          <w:lang w:val="en-IE"/>
        </w:rPr>
        <w:t>is estimated t</w:t>
      </w:r>
      <w:r w:rsidR="0029383F">
        <w:rPr>
          <w:noProof/>
          <w:sz w:val="24"/>
          <w:szCs w:val="24"/>
          <w:lang w:val="en-IE"/>
        </w:rPr>
        <w:t xml:space="preserve">o be equal to </w:t>
      </w:r>
      <w:r w:rsidR="0029383F" w:rsidRPr="0029383F">
        <w:rPr>
          <w:noProof/>
          <w:sz w:val="24"/>
          <w:szCs w:val="24"/>
          <w:lang w:val="en-IE"/>
        </w:rPr>
        <w:t>33.38 billion EUR</w:t>
      </w:r>
      <w:r w:rsidR="0029383F">
        <w:rPr>
          <w:noProof/>
          <w:sz w:val="24"/>
          <w:szCs w:val="24"/>
          <w:lang w:val="en-IE"/>
        </w:rPr>
        <w:t xml:space="preserve">. Out of this, only a small share </w:t>
      </w:r>
      <w:r w:rsidR="00321418">
        <w:rPr>
          <w:noProof/>
          <w:sz w:val="24"/>
          <w:szCs w:val="24"/>
          <w:lang w:val="en-IE"/>
        </w:rPr>
        <w:t>relates the risk of</w:t>
      </w:r>
      <w:r w:rsidR="0029383F">
        <w:rPr>
          <w:noProof/>
          <w:sz w:val="24"/>
          <w:szCs w:val="24"/>
          <w:lang w:val="en-IE"/>
        </w:rPr>
        <w:t xml:space="preserve"> </w:t>
      </w:r>
      <w:r w:rsidR="00227C41">
        <w:rPr>
          <w:noProof/>
          <w:sz w:val="24"/>
          <w:szCs w:val="24"/>
          <w:lang w:val="en-IE"/>
        </w:rPr>
        <w:t>no-fault</w:t>
      </w:r>
      <w:r w:rsidR="00227C41" w:rsidRPr="0029383F">
        <w:rPr>
          <w:noProof/>
          <w:sz w:val="24"/>
          <w:szCs w:val="24"/>
          <w:lang w:val="en-IE"/>
        </w:rPr>
        <w:t xml:space="preserve"> </w:t>
      </w:r>
      <w:r w:rsidR="0029383F" w:rsidRPr="0029383F">
        <w:rPr>
          <w:noProof/>
          <w:sz w:val="24"/>
          <w:szCs w:val="24"/>
          <w:lang w:val="en-IE"/>
        </w:rPr>
        <w:t>liability under the PLD</w:t>
      </w:r>
      <w:r w:rsidR="0029383F">
        <w:rPr>
          <w:noProof/>
          <w:sz w:val="24"/>
          <w:szCs w:val="24"/>
          <w:lang w:val="en-IE"/>
        </w:rPr>
        <w:t xml:space="preserve"> (estimated around </w:t>
      </w:r>
      <w:r w:rsidR="0029383F" w:rsidRPr="0029383F">
        <w:rPr>
          <w:noProof/>
          <w:sz w:val="24"/>
          <w:szCs w:val="24"/>
          <w:lang w:val="en-IE"/>
        </w:rPr>
        <w:t>1-2% of the total premiums</w:t>
      </w:r>
      <w:r w:rsidR="0029383F">
        <w:rPr>
          <w:noProof/>
          <w:sz w:val="24"/>
          <w:szCs w:val="24"/>
          <w:lang w:val="en-IE"/>
        </w:rPr>
        <w:t xml:space="preserve">). </w:t>
      </w:r>
    </w:p>
    <w:p w14:paraId="16021EBC" w14:textId="1544BC40" w:rsidR="003E0354" w:rsidRDefault="00DC24DD" w:rsidP="00645E0F">
      <w:pPr>
        <w:spacing w:after="240" w:line="240" w:lineRule="auto"/>
        <w:jc w:val="both"/>
        <w:rPr>
          <w:noProof/>
          <w:sz w:val="24"/>
          <w:szCs w:val="24"/>
          <w:lang w:val="en-IE"/>
        </w:rPr>
      </w:pPr>
      <w:r w:rsidRPr="00E73799">
        <w:rPr>
          <w:noProof/>
          <w:sz w:val="24"/>
          <w:szCs w:val="24"/>
          <w:lang w:val="en-IE"/>
        </w:rPr>
        <w:t xml:space="preserve">Finally, </w:t>
      </w:r>
      <w:r w:rsidR="004673C3" w:rsidRPr="00E73799">
        <w:rPr>
          <w:noProof/>
          <w:sz w:val="24"/>
          <w:szCs w:val="24"/>
          <w:lang w:val="en-IE"/>
        </w:rPr>
        <w:t>t</w:t>
      </w:r>
      <w:r w:rsidRPr="00E73799">
        <w:rPr>
          <w:noProof/>
          <w:sz w:val="24"/>
          <w:szCs w:val="24"/>
          <w:lang w:val="en-IE"/>
        </w:rPr>
        <w:t xml:space="preserve">here is considerable variance in the costs of legal cases involving </w:t>
      </w:r>
      <w:r w:rsidR="00321418">
        <w:rPr>
          <w:noProof/>
          <w:sz w:val="24"/>
          <w:szCs w:val="24"/>
          <w:lang w:val="en-IE"/>
        </w:rPr>
        <w:t xml:space="preserve">PLD </w:t>
      </w:r>
      <w:r w:rsidRPr="00E73799">
        <w:rPr>
          <w:noProof/>
          <w:sz w:val="24"/>
          <w:szCs w:val="24"/>
          <w:lang w:val="en-IE"/>
        </w:rPr>
        <w:t>compensation</w:t>
      </w:r>
      <w:r w:rsidRPr="00DC24DD">
        <w:rPr>
          <w:noProof/>
          <w:sz w:val="24"/>
          <w:szCs w:val="24"/>
          <w:lang w:val="en-IE"/>
        </w:rPr>
        <w:t xml:space="preserve"> claims, depending on (1) the product and its complexity (2) the circumstances of the case and (3) the Member State concerned and the prevailing differences in legal costs</w:t>
      </w:r>
      <w:r w:rsidR="004673C3">
        <w:rPr>
          <w:noProof/>
          <w:sz w:val="24"/>
          <w:szCs w:val="24"/>
          <w:lang w:val="en-IE"/>
        </w:rPr>
        <w:t xml:space="preserve">. </w:t>
      </w:r>
      <w:r w:rsidR="007C3E2D">
        <w:rPr>
          <w:noProof/>
          <w:sz w:val="24"/>
          <w:szCs w:val="24"/>
          <w:lang w:val="en-IE"/>
        </w:rPr>
        <w:t>Legal cost</w:t>
      </w:r>
      <w:r w:rsidR="00321418">
        <w:rPr>
          <w:noProof/>
          <w:sz w:val="24"/>
          <w:szCs w:val="24"/>
          <w:lang w:val="en-IE"/>
        </w:rPr>
        <w:t>s</w:t>
      </w:r>
      <w:r w:rsidR="007C3E2D">
        <w:rPr>
          <w:noProof/>
          <w:sz w:val="24"/>
          <w:szCs w:val="24"/>
          <w:lang w:val="en-IE"/>
        </w:rPr>
        <w:t xml:space="preserve"> for </w:t>
      </w:r>
      <w:r w:rsidR="007C3E2D" w:rsidRPr="007C3E2D">
        <w:rPr>
          <w:noProof/>
          <w:sz w:val="24"/>
          <w:szCs w:val="24"/>
          <w:lang w:val="en-IE"/>
        </w:rPr>
        <w:t>court proceeding</w:t>
      </w:r>
      <w:r w:rsidR="00321418">
        <w:rPr>
          <w:noProof/>
          <w:sz w:val="24"/>
          <w:szCs w:val="24"/>
          <w:lang w:val="en-IE"/>
        </w:rPr>
        <w:t>s</w:t>
      </w:r>
      <w:r w:rsidR="007C3E2D" w:rsidRPr="007C3E2D">
        <w:rPr>
          <w:noProof/>
          <w:sz w:val="24"/>
          <w:szCs w:val="24"/>
          <w:lang w:val="en-IE"/>
        </w:rPr>
        <w:t xml:space="preserve"> across Europe is estimated in the range of </w:t>
      </w:r>
      <w:r w:rsidR="004673C3" w:rsidRPr="004673C3">
        <w:rPr>
          <w:noProof/>
          <w:sz w:val="24"/>
          <w:szCs w:val="24"/>
          <w:lang w:val="en-IE"/>
        </w:rPr>
        <w:t>500 EUR – 40,000 EUR</w:t>
      </w:r>
      <w:r w:rsidR="004673C3">
        <w:rPr>
          <w:noProof/>
          <w:sz w:val="24"/>
          <w:szCs w:val="24"/>
          <w:lang w:val="en-IE"/>
        </w:rPr>
        <w:t xml:space="preserve">. </w:t>
      </w:r>
      <w:r w:rsidR="007C3E2D">
        <w:rPr>
          <w:noProof/>
          <w:sz w:val="24"/>
          <w:szCs w:val="24"/>
          <w:lang w:val="en-IE"/>
        </w:rPr>
        <w:t>L</w:t>
      </w:r>
      <w:r w:rsidR="007C3E2D" w:rsidRPr="007C3E2D">
        <w:rPr>
          <w:noProof/>
          <w:sz w:val="24"/>
          <w:szCs w:val="24"/>
          <w:lang w:val="en-IE"/>
        </w:rPr>
        <w:t>egal cost per out-of-court proceeding</w:t>
      </w:r>
      <w:r w:rsidR="00321418">
        <w:rPr>
          <w:noProof/>
          <w:sz w:val="24"/>
          <w:szCs w:val="24"/>
          <w:lang w:val="en-IE"/>
        </w:rPr>
        <w:t>s</w:t>
      </w:r>
      <w:r w:rsidR="007C3E2D" w:rsidRPr="007C3E2D">
        <w:rPr>
          <w:noProof/>
          <w:sz w:val="24"/>
          <w:szCs w:val="24"/>
          <w:lang w:val="en-IE"/>
        </w:rPr>
        <w:t xml:space="preserve"> across Europe is estimated in the range of </w:t>
      </w:r>
      <w:r w:rsidR="004673C3">
        <w:rPr>
          <w:noProof/>
          <w:sz w:val="24"/>
          <w:szCs w:val="24"/>
          <w:lang w:val="en-IE"/>
        </w:rPr>
        <w:t>500 EUR – 25</w:t>
      </w:r>
      <w:r w:rsidR="004673C3" w:rsidRPr="004673C3">
        <w:rPr>
          <w:noProof/>
          <w:sz w:val="24"/>
          <w:szCs w:val="24"/>
          <w:lang w:val="en-IE"/>
        </w:rPr>
        <w:t>,000 EUR</w:t>
      </w:r>
      <w:r w:rsidR="00422609">
        <w:rPr>
          <w:noProof/>
          <w:sz w:val="24"/>
          <w:szCs w:val="24"/>
          <w:lang w:val="en-IE"/>
        </w:rPr>
        <w:t xml:space="preserve"> (proxies for the average values have been used in the calculation, </w:t>
      </w:r>
      <w:r w:rsidR="007C3E2D">
        <w:rPr>
          <w:noProof/>
          <w:sz w:val="24"/>
          <w:szCs w:val="24"/>
          <w:lang w:val="en-IE"/>
        </w:rPr>
        <w:t>only for the purpose of</w:t>
      </w:r>
      <w:r w:rsidR="00422609">
        <w:rPr>
          <w:noProof/>
          <w:sz w:val="24"/>
          <w:szCs w:val="24"/>
          <w:lang w:val="en-IE"/>
        </w:rPr>
        <w:t xml:space="preserve"> an overall rough estimation)</w:t>
      </w:r>
      <w:r w:rsidR="004673C3">
        <w:rPr>
          <w:noProof/>
          <w:sz w:val="24"/>
          <w:szCs w:val="24"/>
          <w:lang w:val="en-IE"/>
        </w:rPr>
        <w:t>.</w:t>
      </w:r>
      <w:r w:rsidR="005E5B40">
        <w:rPr>
          <w:noProof/>
          <w:sz w:val="24"/>
          <w:szCs w:val="24"/>
          <w:lang w:val="en-IE"/>
        </w:rPr>
        <w:t xml:space="preserve"> See annex </w:t>
      </w:r>
      <w:r w:rsidR="008D6EF7">
        <w:rPr>
          <w:noProof/>
          <w:sz w:val="24"/>
          <w:szCs w:val="24"/>
          <w:lang w:val="en-IE"/>
        </w:rPr>
        <w:t>4</w:t>
      </w:r>
      <w:r w:rsidR="005E5B40">
        <w:rPr>
          <w:noProof/>
          <w:sz w:val="24"/>
          <w:szCs w:val="24"/>
          <w:lang w:val="en-IE"/>
        </w:rPr>
        <w:t xml:space="preserve"> for details concerning baseline assumptions.</w:t>
      </w:r>
    </w:p>
    <w:p w14:paraId="41E16BBD" w14:textId="2C6FBBF4" w:rsidR="006B087E" w:rsidRPr="003F01BB" w:rsidRDefault="002E7937" w:rsidP="002E7937">
      <w:pPr>
        <w:pStyle w:val="Heading2"/>
        <w:rPr>
          <w:noProof/>
        </w:rPr>
      </w:pPr>
      <w:bookmarkStart w:id="403" w:name="_Toc93401446"/>
      <w:bookmarkStart w:id="404" w:name="_Toc94005541"/>
      <w:bookmarkStart w:id="405" w:name="_Toc95379869"/>
      <w:bookmarkStart w:id="406" w:name="_Toc95391360"/>
      <w:bookmarkStart w:id="407" w:name="_Toc95396429"/>
      <w:bookmarkStart w:id="408" w:name="_Toc95421527"/>
      <w:bookmarkStart w:id="409" w:name="_Toc95481976"/>
      <w:bookmarkStart w:id="410" w:name="_Toc96337769"/>
      <w:bookmarkStart w:id="411" w:name="_Toc96446248"/>
      <w:bookmarkStart w:id="412" w:name="_Toc96448021"/>
      <w:bookmarkStart w:id="413" w:name="_Toc96593970"/>
      <w:bookmarkStart w:id="414" w:name="_Toc96597261"/>
      <w:bookmarkStart w:id="415" w:name="_Toc96609196"/>
      <w:bookmarkStart w:id="416" w:name="_Toc97149225"/>
      <w:bookmarkStart w:id="417" w:name="_Toc97191271"/>
      <w:bookmarkStart w:id="418" w:name="_Toc107430081"/>
      <w:r w:rsidRPr="002E7937">
        <w:t>5.2.</w:t>
      </w:r>
      <w:r w:rsidRPr="002E7937">
        <w:tab/>
      </w:r>
      <w:r w:rsidR="006B087E" w:rsidRPr="003F01BB">
        <w:rPr>
          <w:noProof/>
        </w:rPr>
        <w:t>Description of the policy options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3DE6B12" w14:textId="66690051" w:rsidR="0082779F" w:rsidRDefault="00B27EB9" w:rsidP="001E37C1">
      <w:pPr>
        <w:spacing w:after="240" w:line="240" w:lineRule="auto"/>
        <w:jc w:val="both"/>
        <w:rPr>
          <w:noProof/>
          <w:sz w:val="24"/>
          <w:szCs w:val="24"/>
        </w:rPr>
      </w:pPr>
      <w:r w:rsidRPr="00224009">
        <w:rPr>
          <w:noProof/>
          <w:sz w:val="24"/>
          <w:szCs w:val="24"/>
        </w:rPr>
        <w:t>Three policy options were identified to address problem 1 and two policy options to address problem 2.</w:t>
      </w:r>
      <w:r w:rsidR="00980642" w:rsidRPr="00224009">
        <w:rPr>
          <w:noProof/>
          <w:sz w:val="24"/>
          <w:szCs w:val="24"/>
        </w:rPr>
        <w:t xml:space="preserve"> </w:t>
      </w:r>
      <w:r w:rsidR="007B0698" w:rsidRPr="00224009">
        <w:rPr>
          <w:noProof/>
          <w:sz w:val="24"/>
          <w:szCs w:val="24"/>
        </w:rPr>
        <w:t>In order to address all problem</w:t>
      </w:r>
      <w:r w:rsidR="007E659E">
        <w:rPr>
          <w:noProof/>
          <w:sz w:val="24"/>
          <w:szCs w:val="24"/>
        </w:rPr>
        <w:t>s that the initiative aims to tackle</w:t>
      </w:r>
      <w:r w:rsidR="007B0698" w:rsidRPr="00224009">
        <w:rPr>
          <w:noProof/>
          <w:sz w:val="24"/>
          <w:szCs w:val="24"/>
        </w:rPr>
        <w:t>, option 1a</w:t>
      </w:r>
      <w:r w:rsidR="00980642" w:rsidRPr="00224009">
        <w:rPr>
          <w:noProof/>
          <w:sz w:val="24"/>
          <w:szCs w:val="24"/>
        </w:rPr>
        <w:t xml:space="preserve">, </w:t>
      </w:r>
      <w:r w:rsidR="007B0698" w:rsidRPr="00224009">
        <w:rPr>
          <w:noProof/>
          <w:sz w:val="24"/>
          <w:szCs w:val="24"/>
        </w:rPr>
        <w:t>1b</w:t>
      </w:r>
      <w:r w:rsidR="00980642" w:rsidRPr="00224009">
        <w:rPr>
          <w:noProof/>
          <w:sz w:val="24"/>
          <w:szCs w:val="24"/>
        </w:rPr>
        <w:t xml:space="preserve"> or</w:t>
      </w:r>
      <w:r w:rsidR="001E37C1">
        <w:rPr>
          <w:noProof/>
          <w:sz w:val="24"/>
          <w:szCs w:val="24"/>
        </w:rPr>
        <w:t xml:space="preserve"> </w:t>
      </w:r>
      <w:r w:rsidR="007B0698" w:rsidRPr="00224009">
        <w:rPr>
          <w:noProof/>
          <w:sz w:val="24"/>
          <w:szCs w:val="24"/>
        </w:rPr>
        <w:t xml:space="preserve">1c </w:t>
      </w:r>
      <w:r w:rsidR="00980642" w:rsidRPr="00224009">
        <w:rPr>
          <w:noProof/>
          <w:sz w:val="24"/>
          <w:szCs w:val="24"/>
        </w:rPr>
        <w:t>(addressing problem 1 relat</w:t>
      </w:r>
      <w:r w:rsidR="002B6A45" w:rsidRPr="00224009">
        <w:rPr>
          <w:noProof/>
          <w:sz w:val="24"/>
          <w:szCs w:val="24"/>
        </w:rPr>
        <w:t>ing</w:t>
      </w:r>
      <w:r w:rsidR="00980642" w:rsidRPr="00224009">
        <w:rPr>
          <w:noProof/>
          <w:sz w:val="24"/>
          <w:szCs w:val="24"/>
        </w:rPr>
        <w:t xml:space="preserve"> to the digital age and circular economy</w:t>
      </w:r>
      <w:r w:rsidR="002E0A85">
        <w:rPr>
          <w:noProof/>
          <w:sz w:val="24"/>
          <w:szCs w:val="24"/>
        </w:rPr>
        <w:t xml:space="preserve"> and concerning mainly the </w:t>
      </w:r>
      <w:r w:rsidR="002E0A85" w:rsidRPr="002E0A85">
        <w:rPr>
          <w:b/>
          <w:noProof/>
          <w:sz w:val="24"/>
          <w:szCs w:val="24"/>
        </w:rPr>
        <w:t>scope of the regime</w:t>
      </w:r>
      <w:r w:rsidR="00980642" w:rsidRPr="00224009">
        <w:rPr>
          <w:noProof/>
          <w:sz w:val="24"/>
          <w:szCs w:val="24"/>
        </w:rPr>
        <w:t xml:space="preserve">) </w:t>
      </w:r>
      <w:r w:rsidR="007B0698" w:rsidRPr="00224009">
        <w:rPr>
          <w:noProof/>
          <w:sz w:val="24"/>
          <w:szCs w:val="24"/>
        </w:rPr>
        <w:t>would have to be combined with option 2a</w:t>
      </w:r>
      <w:r w:rsidR="00980642" w:rsidRPr="00224009">
        <w:rPr>
          <w:noProof/>
          <w:sz w:val="24"/>
          <w:szCs w:val="24"/>
        </w:rPr>
        <w:t xml:space="preserve"> or</w:t>
      </w:r>
      <w:r w:rsidR="002551D5">
        <w:rPr>
          <w:noProof/>
          <w:sz w:val="24"/>
          <w:szCs w:val="24"/>
        </w:rPr>
        <w:t xml:space="preserve"> </w:t>
      </w:r>
      <w:r w:rsidR="007B0698" w:rsidRPr="00224009">
        <w:rPr>
          <w:noProof/>
          <w:sz w:val="24"/>
          <w:szCs w:val="24"/>
        </w:rPr>
        <w:t>2b</w:t>
      </w:r>
      <w:r w:rsidR="00980642" w:rsidRPr="00224009">
        <w:rPr>
          <w:noProof/>
          <w:sz w:val="24"/>
          <w:szCs w:val="24"/>
        </w:rPr>
        <w:t xml:space="preserve"> (addressing problem 2 related to obstacles in getting compensation</w:t>
      </w:r>
      <w:r w:rsidR="002E0A85">
        <w:rPr>
          <w:noProof/>
          <w:sz w:val="24"/>
          <w:szCs w:val="24"/>
        </w:rPr>
        <w:t xml:space="preserve"> and concerning mainly the </w:t>
      </w:r>
      <w:r w:rsidR="002E0A85" w:rsidRPr="002E0A85">
        <w:rPr>
          <w:b/>
          <w:noProof/>
          <w:sz w:val="24"/>
          <w:szCs w:val="24"/>
        </w:rPr>
        <w:t>internal balance within the regime</w:t>
      </w:r>
      <w:r w:rsidR="00980642" w:rsidRPr="00224009">
        <w:rPr>
          <w:noProof/>
          <w:sz w:val="24"/>
          <w:szCs w:val="24"/>
        </w:rPr>
        <w:t>)</w:t>
      </w:r>
      <w:r w:rsidR="007B0698" w:rsidRPr="00224009">
        <w:rPr>
          <w:noProof/>
          <w:sz w:val="24"/>
          <w:szCs w:val="24"/>
        </w:rPr>
        <w:t>.</w:t>
      </w:r>
    </w:p>
    <w:p w14:paraId="653E1F81" w14:textId="5B69D500" w:rsidR="00BB556C" w:rsidRPr="00F91801" w:rsidRDefault="00BB556C" w:rsidP="001E37C1">
      <w:pPr>
        <w:spacing w:after="240" w:line="240" w:lineRule="auto"/>
        <w:jc w:val="both"/>
        <w:rPr>
          <w:noProof/>
          <w:sz w:val="24"/>
          <w:szCs w:val="24"/>
        </w:rPr>
      </w:pPr>
      <w:r>
        <w:rPr>
          <w:noProof/>
          <w:sz w:val="24"/>
          <w:szCs w:val="24"/>
        </w:rPr>
        <w:t xml:space="preserve">The combinations of measures in each policy option were developed </w:t>
      </w:r>
      <w:r w:rsidRPr="00BB556C">
        <w:rPr>
          <w:noProof/>
          <w:sz w:val="24"/>
          <w:szCs w:val="24"/>
        </w:rPr>
        <w:t xml:space="preserve">based on stakeholder input during the </w:t>
      </w:r>
      <w:r>
        <w:rPr>
          <w:noProof/>
          <w:sz w:val="24"/>
          <w:szCs w:val="24"/>
        </w:rPr>
        <w:t xml:space="preserve">impact assessment </w:t>
      </w:r>
      <w:r w:rsidRPr="00BB556C">
        <w:rPr>
          <w:noProof/>
          <w:sz w:val="24"/>
          <w:szCs w:val="24"/>
        </w:rPr>
        <w:t>study and were also presented to stakeholders, notably at the Stakeholder Workshop in December 2021</w:t>
      </w:r>
      <w:r w:rsidR="00546D99" w:rsidRPr="00F91801">
        <w:rPr>
          <w:noProof/>
          <w:sz w:val="24"/>
          <w:szCs w:val="24"/>
        </w:rPr>
        <w:t>, with no calls for exploring alternative combinations</w:t>
      </w:r>
      <w:r w:rsidRPr="00F91801">
        <w:rPr>
          <w:noProof/>
          <w:sz w:val="24"/>
          <w:szCs w:val="24"/>
        </w:rPr>
        <w:t>.</w:t>
      </w:r>
    </w:p>
    <w:p w14:paraId="152DCAE5" w14:textId="2C8EABFE" w:rsidR="00546D99" w:rsidRPr="00F91801" w:rsidRDefault="00546D99" w:rsidP="001E37C1">
      <w:pPr>
        <w:spacing w:after="240" w:line="240" w:lineRule="auto"/>
        <w:jc w:val="both"/>
        <w:rPr>
          <w:noProof/>
          <w:sz w:val="24"/>
          <w:szCs w:val="24"/>
        </w:rPr>
      </w:pPr>
      <w:r w:rsidRPr="00F91801">
        <w:rPr>
          <w:noProof/>
          <w:sz w:val="24"/>
          <w:szCs w:val="24"/>
        </w:rPr>
        <w:t xml:space="preserve">Each measure was analysed separately in the impact assessment study and this analysis informed the choice of combinations. </w:t>
      </w:r>
      <w:r w:rsidR="00567560">
        <w:rPr>
          <w:noProof/>
          <w:sz w:val="24"/>
          <w:szCs w:val="24"/>
        </w:rPr>
        <w:t xml:space="preserve">Since each problem is independent from the other, the options for each problem are analysed separately. </w:t>
      </w:r>
      <w:r w:rsidRPr="00F91801">
        <w:rPr>
          <w:noProof/>
          <w:sz w:val="24"/>
          <w:szCs w:val="24"/>
        </w:rPr>
        <w:t>For greater transparency on the impact of different elements within each option, the costs and benefits (increase of insurance premiums and compensations for victims) related to each measure are shown separately in section 6 of the impact assessment</w:t>
      </w:r>
      <w:r w:rsidR="000B170F">
        <w:rPr>
          <w:noProof/>
          <w:sz w:val="24"/>
          <w:szCs w:val="24"/>
        </w:rPr>
        <w:t>.</w:t>
      </w:r>
    </w:p>
    <w:p w14:paraId="5AC5FAA8" w14:textId="4C45CA53" w:rsidR="00B27EB9" w:rsidRDefault="002E7937" w:rsidP="002E7937">
      <w:pPr>
        <w:pStyle w:val="Heading3"/>
        <w:rPr>
          <w:noProof/>
        </w:rPr>
      </w:pPr>
      <w:bookmarkStart w:id="419" w:name="_Toc94005542"/>
      <w:bookmarkStart w:id="420" w:name="_Toc95379870"/>
      <w:bookmarkStart w:id="421" w:name="_Toc95391361"/>
      <w:bookmarkStart w:id="422" w:name="_Toc95396430"/>
      <w:bookmarkStart w:id="423" w:name="_Toc95421528"/>
      <w:bookmarkStart w:id="424" w:name="_Toc95481977"/>
      <w:bookmarkStart w:id="425" w:name="_Toc96337770"/>
      <w:bookmarkStart w:id="426" w:name="_Toc96446249"/>
      <w:bookmarkStart w:id="427" w:name="_Toc96448022"/>
      <w:bookmarkStart w:id="428" w:name="_Toc96593971"/>
      <w:bookmarkStart w:id="429" w:name="_Toc96597262"/>
      <w:bookmarkStart w:id="430" w:name="_Toc96609197"/>
      <w:bookmarkStart w:id="431" w:name="_Toc97149226"/>
      <w:bookmarkStart w:id="432" w:name="_Toc97191272"/>
      <w:bookmarkStart w:id="433" w:name="_Toc107430082"/>
      <w:r w:rsidRPr="002E7937">
        <w:t>5.2.1.</w:t>
      </w:r>
      <w:r w:rsidRPr="002E7937">
        <w:tab/>
      </w:r>
      <w:r w:rsidR="00B27EB9">
        <w:rPr>
          <w:noProof/>
        </w:rPr>
        <w:t xml:space="preserve">Policy options to </w:t>
      </w:r>
      <w:r w:rsidR="00A16A18">
        <w:rPr>
          <w:noProof/>
        </w:rPr>
        <w:t xml:space="preserve">adapt </w:t>
      </w:r>
      <w:r w:rsidR="00C50FD9">
        <w:rPr>
          <w:noProof/>
        </w:rPr>
        <w:t>liability rules</w:t>
      </w:r>
      <w:r w:rsidR="00A16A18">
        <w:rPr>
          <w:noProof/>
        </w:rPr>
        <w:t xml:space="preserve"> to the digital age and circular economy</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A0A141E" w14:textId="1B95AB70" w:rsidR="006A7DED" w:rsidRPr="001E37C1" w:rsidRDefault="00B27EB9" w:rsidP="001E37C1">
      <w:pPr>
        <w:spacing w:after="240" w:line="240" w:lineRule="auto"/>
        <w:jc w:val="both"/>
        <w:rPr>
          <w:b/>
          <w:noProof/>
          <w:sz w:val="24"/>
        </w:rPr>
      </w:pPr>
      <w:r w:rsidRPr="001E37C1">
        <w:rPr>
          <w:b/>
          <w:noProof/>
          <w:sz w:val="24"/>
        </w:rPr>
        <w:t>Option 1a –</w:t>
      </w:r>
      <w:r w:rsidR="00E9724D" w:rsidRPr="001E37C1">
        <w:rPr>
          <w:b/>
          <w:noProof/>
          <w:sz w:val="24"/>
        </w:rPr>
        <w:t xml:space="preserve"> </w:t>
      </w:r>
      <w:r w:rsidR="002C5F98" w:rsidRPr="001E37C1">
        <w:rPr>
          <w:b/>
          <w:noProof/>
          <w:sz w:val="24"/>
        </w:rPr>
        <w:t>Adaptations for products with digital elements</w:t>
      </w:r>
      <w:r w:rsidR="00E9724D" w:rsidRPr="001E37C1">
        <w:rPr>
          <w:b/>
          <w:noProof/>
          <w:sz w:val="24"/>
        </w:rPr>
        <w:t xml:space="preserve"> and circular economy</w:t>
      </w:r>
    </w:p>
    <w:p w14:paraId="0DD12EBC" w14:textId="60777288" w:rsidR="00850043" w:rsidRPr="001E37C1" w:rsidRDefault="006A7DED" w:rsidP="001E37C1">
      <w:pPr>
        <w:spacing w:after="240" w:line="240" w:lineRule="auto"/>
        <w:jc w:val="both"/>
        <w:rPr>
          <w:noProof/>
          <w:sz w:val="24"/>
        </w:rPr>
      </w:pPr>
      <w:r w:rsidRPr="001E37C1">
        <w:rPr>
          <w:b/>
          <w:noProof/>
          <w:sz w:val="24"/>
        </w:rPr>
        <w:t xml:space="preserve">Digital: </w:t>
      </w:r>
      <w:r w:rsidR="004F3C27">
        <w:rPr>
          <w:noProof/>
          <w:sz w:val="24"/>
          <w:szCs w:val="24"/>
        </w:rPr>
        <w:t xml:space="preserve">Under PO1a, manufacturers of </w:t>
      </w:r>
      <w:r w:rsidR="004F3C27" w:rsidRPr="000220C0">
        <w:rPr>
          <w:noProof/>
          <w:sz w:val="24"/>
          <w:szCs w:val="24"/>
        </w:rPr>
        <w:t>products with digital elements</w:t>
      </w:r>
      <w:r w:rsidR="004F3C27">
        <w:rPr>
          <w:noProof/>
          <w:sz w:val="24"/>
          <w:szCs w:val="24"/>
        </w:rPr>
        <w:t xml:space="preserve"> would be liable, as now, for defects in the overall product, but this would include liability for </w:t>
      </w:r>
      <w:r w:rsidR="00432398">
        <w:rPr>
          <w:noProof/>
          <w:sz w:val="24"/>
          <w:szCs w:val="24"/>
        </w:rPr>
        <w:t xml:space="preserve">updates to </w:t>
      </w:r>
      <w:r w:rsidR="004F3C27">
        <w:rPr>
          <w:noProof/>
          <w:sz w:val="24"/>
          <w:szCs w:val="24"/>
        </w:rPr>
        <w:t xml:space="preserve">software and </w:t>
      </w:r>
      <w:r w:rsidR="00432398">
        <w:rPr>
          <w:noProof/>
          <w:sz w:val="24"/>
          <w:szCs w:val="24"/>
        </w:rPr>
        <w:t xml:space="preserve">for </w:t>
      </w:r>
      <w:r w:rsidR="004F3C27">
        <w:rPr>
          <w:noProof/>
          <w:sz w:val="24"/>
          <w:szCs w:val="24"/>
        </w:rPr>
        <w:t>digital services</w:t>
      </w:r>
      <w:r w:rsidR="00432398">
        <w:rPr>
          <w:noProof/>
          <w:sz w:val="24"/>
          <w:szCs w:val="24"/>
        </w:rPr>
        <w:t xml:space="preserve"> that</w:t>
      </w:r>
      <w:r w:rsidR="006C7498">
        <w:rPr>
          <w:noProof/>
          <w:sz w:val="24"/>
          <w:szCs w:val="24"/>
        </w:rPr>
        <w:t xml:space="preserve"> are </w:t>
      </w:r>
      <w:r w:rsidR="004F3C27" w:rsidRPr="009D338E">
        <w:rPr>
          <w:i/>
          <w:noProof/>
          <w:sz w:val="24"/>
          <w:szCs w:val="24"/>
        </w:rPr>
        <w:t>necessary</w:t>
      </w:r>
      <w:r w:rsidR="004F3C27">
        <w:rPr>
          <w:noProof/>
          <w:sz w:val="24"/>
          <w:szCs w:val="24"/>
        </w:rPr>
        <w:t xml:space="preserve"> for the product to operate. They would also be liable if harm results from an unreasonable failure to provide a security update</w:t>
      </w:r>
      <w:r w:rsidR="00B272FC">
        <w:rPr>
          <w:rStyle w:val="FootnoteReference"/>
          <w:noProof/>
          <w:sz w:val="24"/>
        </w:rPr>
        <w:footnoteReference w:id="154"/>
      </w:r>
      <w:r w:rsidRPr="001E37C1">
        <w:rPr>
          <w:noProof/>
          <w:sz w:val="24"/>
        </w:rPr>
        <w:t xml:space="preserve">. </w:t>
      </w:r>
      <w:r w:rsidR="004F3C27">
        <w:rPr>
          <w:noProof/>
          <w:sz w:val="24"/>
        </w:rPr>
        <w:t xml:space="preserve">If the </w:t>
      </w:r>
      <w:r w:rsidR="004F3C27" w:rsidRPr="000220C0">
        <w:rPr>
          <w:noProof/>
          <w:sz w:val="24"/>
          <w:szCs w:val="24"/>
        </w:rPr>
        <w:t>defect l</w:t>
      </w:r>
      <w:r w:rsidR="004F3C27">
        <w:rPr>
          <w:noProof/>
          <w:sz w:val="24"/>
          <w:szCs w:val="24"/>
        </w:rPr>
        <w:t>ay in the digital elements themselves</w:t>
      </w:r>
      <w:r w:rsidR="004F3C27" w:rsidRPr="000220C0">
        <w:rPr>
          <w:noProof/>
          <w:sz w:val="24"/>
          <w:szCs w:val="24"/>
        </w:rPr>
        <w:t xml:space="preserve">, </w:t>
      </w:r>
      <w:r w:rsidR="004F3C27">
        <w:rPr>
          <w:noProof/>
          <w:sz w:val="24"/>
          <w:szCs w:val="24"/>
        </w:rPr>
        <w:t xml:space="preserve">a </w:t>
      </w:r>
      <w:r w:rsidR="004F3C27" w:rsidRPr="000220C0">
        <w:rPr>
          <w:noProof/>
          <w:sz w:val="24"/>
          <w:szCs w:val="24"/>
        </w:rPr>
        <w:t>v</w:t>
      </w:r>
      <w:r w:rsidR="004F3C27">
        <w:rPr>
          <w:noProof/>
          <w:sz w:val="24"/>
          <w:szCs w:val="24"/>
        </w:rPr>
        <w:t>ictim</w:t>
      </w:r>
      <w:r w:rsidR="004F3C27" w:rsidRPr="000220C0">
        <w:rPr>
          <w:noProof/>
          <w:sz w:val="24"/>
          <w:szCs w:val="24"/>
        </w:rPr>
        <w:t xml:space="preserve"> of harm would </w:t>
      </w:r>
      <w:r w:rsidR="004F3C27">
        <w:rPr>
          <w:noProof/>
          <w:sz w:val="24"/>
          <w:szCs w:val="24"/>
        </w:rPr>
        <w:t xml:space="preserve">also </w:t>
      </w:r>
      <w:r w:rsidR="004F3C27" w:rsidRPr="000220C0">
        <w:rPr>
          <w:noProof/>
          <w:sz w:val="24"/>
          <w:szCs w:val="24"/>
        </w:rPr>
        <w:t xml:space="preserve">be able to seek compensation directly from </w:t>
      </w:r>
      <w:r w:rsidR="004F3C27">
        <w:rPr>
          <w:noProof/>
          <w:sz w:val="24"/>
          <w:szCs w:val="24"/>
        </w:rPr>
        <w:t>the providers</w:t>
      </w:r>
      <w:r w:rsidR="004F3C27" w:rsidRPr="000220C0">
        <w:rPr>
          <w:noProof/>
          <w:sz w:val="24"/>
          <w:szCs w:val="24"/>
        </w:rPr>
        <w:t xml:space="preserve"> of </w:t>
      </w:r>
      <w:r w:rsidR="006C7498">
        <w:rPr>
          <w:noProof/>
          <w:sz w:val="24"/>
          <w:szCs w:val="24"/>
        </w:rPr>
        <w:t>such software or digital services</w:t>
      </w:r>
      <w:r w:rsidR="004F3C27">
        <w:rPr>
          <w:noProof/>
          <w:sz w:val="24"/>
          <w:szCs w:val="24"/>
        </w:rPr>
        <w:t xml:space="preserve"> – they would be treated as producers (</w:t>
      </w:r>
      <w:r w:rsidR="000644A7">
        <w:rPr>
          <w:noProof/>
          <w:sz w:val="24"/>
          <w:szCs w:val="24"/>
        </w:rPr>
        <w:t xml:space="preserve">like any other </w:t>
      </w:r>
      <w:r w:rsidR="004F3C27" w:rsidRPr="000220C0">
        <w:rPr>
          <w:noProof/>
          <w:sz w:val="24"/>
          <w:szCs w:val="24"/>
        </w:rPr>
        <w:t>manufacturers</w:t>
      </w:r>
      <w:r w:rsidR="000644A7">
        <w:rPr>
          <w:noProof/>
          <w:sz w:val="24"/>
          <w:szCs w:val="24"/>
        </w:rPr>
        <w:t xml:space="preserve"> of a </w:t>
      </w:r>
      <w:r w:rsidR="000644A7" w:rsidRPr="00231F71">
        <w:rPr>
          <w:i/>
          <w:noProof/>
          <w:sz w:val="24"/>
          <w:szCs w:val="24"/>
        </w:rPr>
        <w:t>tangible</w:t>
      </w:r>
      <w:r w:rsidR="000644A7">
        <w:rPr>
          <w:noProof/>
          <w:sz w:val="24"/>
          <w:szCs w:val="24"/>
        </w:rPr>
        <w:t xml:space="preserve"> components today</w:t>
      </w:r>
      <w:r w:rsidR="004F3C27">
        <w:rPr>
          <w:noProof/>
          <w:sz w:val="24"/>
          <w:szCs w:val="24"/>
        </w:rPr>
        <w:t xml:space="preserve">) </w:t>
      </w:r>
      <w:r w:rsidR="00614567">
        <w:rPr>
          <w:noProof/>
          <w:sz w:val="24"/>
          <w:szCs w:val="24"/>
        </w:rPr>
        <w:t>– or from the manufacturer of the overall product. Applying</w:t>
      </w:r>
      <w:r w:rsidR="004F3C27">
        <w:rPr>
          <w:noProof/>
          <w:sz w:val="24"/>
          <w:szCs w:val="24"/>
        </w:rPr>
        <w:t xml:space="preserve"> joint and several liab</w:t>
      </w:r>
      <w:r w:rsidR="00614567">
        <w:rPr>
          <w:noProof/>
          <w:sz w:val="24"/>
          <w:szCs w:val="24"/>
        </w:rPr>
        <w:t>i</w:t>
      </w:r>
      <w:r w:rsidR="004F3C27">
        <w:rPr>
          <w:noProof/>
          <w:sz w:val="24"/>
          <w:szCs w:val="24"/>
        </w:rPr>
        <w:t>l</w:t>
      </w:r>
      <w:r w:rsidR="00614567">
        <w:rPr>
          <w:noProof/>
          <w:sz w:val="24"/>
          <w:szCs w:val="24"/>
        </w:rPr>
        <w:t xml:space="preserve">ity would ensure a victim of harm does not have to </w:t>
      </w:r>
      <w:r w:rsidR="00157934">
        <w:rPr>
          <w:noProof/>
          <w:sz w:val="24"/>
          <w:szCs w:val="24"/>
        </w:rPr>
        <w:t xml:space="preserve">seek </w:t>
      </w:r>
      <w:r w:rsidR="00614567">
        <w:rPr>
          <w:noProof/>
          <w:sz w:val="24"/>
          <w:szCs w:val="24"/>
        </w:rPr>
        <w:t xml:space="preserve">compensation </w:t>
      </w:r>
      <w:r w:rsidR="00157934">
        <w:rPr>
          <w:noProof/>
          <w:sz w:val="24"/>
          <w:szCs w:val="24"/>
        </w:rPr>
        <w:t>from both parties</w:t>
      </w:r>
      <w:r w:rsidR="00157934">
        <w:rPr>
          <w:rStyle w:val="FootnoteReference"/>
          <w:noProof/>
          <w:sz w:val="24"/>
          <w:szCs w:val="24"/>
        </w:rPr>
        <w:footnoteReference w:id="155"/>
      </w:r>
      <w:r w:rsidR="00614567">
        <w:rPr>
          <w:noProof/>
          <w:sz w:val="24"/>
          <w:szCs w:val="24"/>
        </w:rPr>
        <w:t xml:space="preserve">. </w:t>
      </w:r>
      <w:r w:rsidRPr="001E37C1">
        <w:rPr>
          <w:noProof/>
          <w:sz w:val="24"/>
        </w:rPr>
        <w:t>There would be no change to the types of damage that are compensable: personal injury and damage to consumer property.</w:t>
      </w:r>
      <w:r w:rsidR="00964270">
        <w:rPr>
          <w:noProof/>
          <w:sz w:val="24"/>
        </w:rPr>
        <w:t xml:space="preserve"> The revised PLD would, however, </w:t>
      </w:r>
      <w:r w:rsidR="00117A67">
        <w:rPr>
          <w:noProof/>
          <w:sz w:val="24"/>
        </w:rPr>
        <w:t xml:space="preserve">in all policy options </w:t>
      </w:r>
      <w:r w:rsidR="00964270">
        <w:rPr>
          <w:noProof/>
          <w:sz w:val="24"/>
        </w:rPr>
        <w:t xml:space="preserve">clarify that medically diagnosed psychological damage is included in the concept of personal injury (see annex </w:t>
      </w:r>
      <w:r w:rsidR="00F23D15">
        <w:rPr>
          <w:noProof/>
          <w:sz w:val="24"/>
        </w:rPr>
        <w:t>5</w:t>
      </w:r>
      <w:r w:rsidR="00964270">
        <w:rPr>
          <w:noProof/>
          <w:sz w:val="24"/>
        </w:rPr>
        <w:t xml:space="preserve"> for details).</w:t>
      </w:r>
    </w:p>
    <w:p w14:paraId="20A1858B" w14:textId="7C16FF9D" w:rsidR="006A7DED" w:rsidRPr="001E37C1" w:rsidRDefault="006A7DED" w:rsidP="001E37C1">
      <w:pPr>
        <w:spacing w:after="240" w:line="240" w:lineRule="auto"/>
        <w:jc w:val="both"/>
        <w:rPr>
          <w:noProof/>
          <w:sz w:val="24"/>
        </w:rPr>
      </w:pPr>
      <w:r w:rsidRPr="001E37C1">
        <w:rPr>
          <w:b/>
          <w:noProof/>
          <w:sz w:val="24"/>
        </w:rPr>
        <w:t xml:space="preserve">Circular: </w:t>
      </w:r>
      <w:r w:rsidR="000A37E7" w:rsidRPr="001E37C1">
        <w:rPr>
          <w:noProof/>
          <w:sz w:val="24"/>
        </w:rPr>
        <w:t>The revised PLD would make explicit that economic operators that make a substantial modification to a product and place it back on the market, such as refurbishers and remanufacturers, fall within the concept of “producer”</w:t>
      </w:r>
      <w:r w:rsidR="002F37EA">
        <w:rPr>
          <w:noProof/>
          <w:sz w:val="24"/>
        </w:rPr>
        <w:t>.</w:t>
      </w:r>
      <w:r w:rsidR="004D657B">
        <w:rPr>
          <w:noProof/>
          <w:sz w:val="24"/>
        </w:rPr>
        <w:t xml:space="preserve"> </w:t>
      </w:r>
      <w:r w:rsidR="002F37EA">
        <w:rPr>
          <w:noProof/>
          <w:sz w:val="24"/>
        </w:rPr>
        <w:t>T</w:t>
      </w:r>
      <w:r w:rsidR="004D657B">
        <w:rPr>
          <w:noProof/>
          <w:sz w:val="24"/>
        </w:rPr>
        <w:t>he original producer would remain jointly and severally liable for its contribution</w:t>
      </w:r>
      <w:r w:rsidR="002F37EA">
        <w:rPr>
          <w:noProof/>
          <w:sz w:val="24"/>
        </w:rPr>
        <w:t>, in the same way that component manufacturers are liable for flaws in their components that make a product defective</w:t>
      </w:r>
      <w:r w:rsidR="00FE138A">
        <w:rPr>
          <w:noProof/>
          <w:sz w:val="24"/>
        </w:rPr>
        <w:t>.</w:t>
      </w:r>
      <w:r w:rsidR="000A37E7" w:rsidRPr="001E37C1">
        <w:rPr>
          <w:noProof/>
          <w:sz w:val="24"/>
        </w:rPr>
        <w:t xml:space="preserve"> </w:t>
      </w:r>
      <w:r w:rsidR="002F37EA">
        <w:rPr>
          <w:noProof/>
          <w:sz w:val="24"/>
        </w:rPr>
        <w:t>The option</w:t>
      </w:r>
      <w:r w:rsidR="000A37E7" w:rsidRPr="001E37C1">
        <w:rPr>
          <w:noProof/>
          <w:sz w:val="24"/>
        </w:rPr>
        <w:t xml:space="preserve"> would bring the PLD into line with the </w:t>
      </w:r>
      <w:r w:rsidR="00CD3ED2">
        <w:rPr>
          <w:noProof/>
          <w:sz w:val="24"/>
        </w:rPr>
        <w:t xml:space="preserve">trend in the </w:t>
      </w:r>
      <w:r w:rsidR="000A37E7" w:rsidRPr="001E37C1">
        <w:rPr>
          <w:noProof/>
          <w:sz w:val="24"/>
        </w:rPr>
        <w:t>product safety framework</w:t>
      </w:r>
      <w:r w:rsidR="00FE138A">
        <w:rPr>
          <w:noProof/>
          <w:sz w:val="24"/>
        </w:rPr>
        <w:t xml:space="preserve"> </w:t>
      </w:r>
      <w:r w:rsidR="00B272FC">
        <w:rPr>
          <w:noProof/>
          <w:sz w:val="24"/>
        </w:rPr>
        <w:t>to take account of substantial modifications</w:t>
      </w:r>
      <w:r w:rsidR="00FE138A">
        <w:rPr>
          <w:noProof/>
          <w:sz w:val="24"/>
        </w:rPr>
        <w:t xml:space="preserve"> (see section 2.2.1.2)</w:t>
      </w:r>
      <w:r w:rsidR="000A37E7" w:rsidRPr="001E37C1">
        <w:rPr>
          <w:noProof/>
          <w:sz w:val="24"/>
        </w:rPr>
        <w:t>.</w:t>
      </w:r>
      <w:r w:rsidR="00C33077">
        <w:rPr>
          <w:noProof/>
          <w:sz w:val="24"/>
        </w:rPr>
        <w:t xml:space="preserve"> </w:t>
      </w:r>
    </w:p>
    <w:p w14:paraId="55BA4E61" w14:textId="5C020D98" w:rsidR="00034E91" w:rsidRDefault="006A7DED" w:rsidP="001E37C1">
      <w:pPr>
        <w:spacing w:after="240" w:line="240" w:lineRule="auto"/>
        <w:jc w:val="both"/>
        <w:rPr>
          <w:noProof/>
          <w:sz w:val="24"/>
        </w:rPr>
      </w:pPr>
      <w:r w:rsidRPr="001E37C1">
        <w:rPr>
          <w:b/>
          <w:noProof/>
          <w:sz w:val="24"/>
        </w:rPr>
        <w:t>3</w:t>
      </w:r>
      <w:r w:rsidRPr="001E37C1">
        <w:rPr>
          <w:b/>
          <w:noProof/>
          <w:sz w:val="24"/>
          <w:vertAlign w:val="superscript"/>
        </w:rPr>
        <w:t>rd</w:t>
      </w:r>
      <w:r w:rsidRPr="001E37C1">
        <w:rPr>
          <w:b/>
          <w:noProof/>
          <w:sz w:val="24"/>
        </w:rPr>
        <w:t>-country products:</w:t>
      </w:r>
      <w:r w:rsidR="000A37E7" w:rsidRPr="001E37C1">
        <w:rPr>
          <w:noProof/>
          <w:sz w:val="24"/>
        </w:rPr>
        <w:t xml:space="preserve"> Under this option, when a </w:t>
      </w:r>
      <w:r w:rsidR="009A11C4" w:rsidRPr="001E37C1">
        <w:rPr>
          <w:noProof/>
          <w:sz w:val="24"/>
        </w:rPr>
        <w:t xml:space="preserve">defective </w:t>
      </w:r>
      <w:r w:rsidR="000A37E7" w:rsidRPr="001E37C1">
        <w:rPr>
          <w:noProof/>
          <w:sz w:val="24"/>
        </w:rPr>
        <w:t>product is bought from a 3</w:t>
      </w:r>
      <w:r w:rsidR="000A37E7" w:rsidRPr="001E37C1">
        <w:rPr>
          <w:noProof/>
          <w:sz w:val="24"/>
          <w:vertAlign w:val="superscript"/>
        </w:rPr>
        <w:t>rd</w:t>
      </w:r>
      <w:r w:rsidR="000A37E7" w:rsidRPr="001E37C1">
        <w:rPr>
          <w:noProof/>
          <w:sz w:val="24"/>
        </w:rPr>
        <w:t xml:space="preserve"> country in the absence of an importer, </w:t>
      </w:r>
      <w:r w:rsidR="009A11C4" w:rsidRPr="001E37C1">
        <w:rPr>
          <w:noProof/>
          <w:sz w:val="24"/>
        </w:rPr>
        <w:t xml:space="preserve">and it causes harm, </w:t>
      </w:r>
      <w:r w:rsidR="000A37E7" w:rsidRPr="001E37C1">
        <w:rPr>
          <w:noProof/>
          <w:sz w:val="24"/>
        </w:rPr>
        <w:t>it would be possible to hold the producer’s “authorised representative” liable</w:t>
      </w:r>
      <w:r w:rsidR="001102E2" w:rsidRPr="001E37C1">
        <w:rPr>
          <w:noProof/>
          <w:sz w:val="24"/>
        </w:rPr>
        <w:t xml:space="preserve"> if one has been appointed</w:t>
      </w:r>
      <w:r w:rsidR="00603067">
        <w:rPr>
          <w:noProof/>
          <w:sz w:val="24"/>
        </w:rPr>
        <w:t xml:space="preserve">. </w:t>
      </w:r>
      <w:r w:rsidR="001A577C">
        <w:rPr>
          <w:noProof/>
          <w:sz w:val="24"/>
        </w:rPr>
        <w:t xml:space="preserve">Authorised representatives are already subject to liability under the Medical Devices Regulation, and </w:t>
      </w:r>
      <w:r w:rsidR="00B94F03" w:rsidRPr="00B94F03">
        <w:rPr>
          <w:noProof/>
          <w:sz w:val="24"/>
        </w:rPr>
        <w:t xml:space="preserve">the Market Surveillance Regulation </w:t>
      </w:r>
      <w:r w:rsidR="001A577C">
        <w:rPr>
          <w:noProof/>
          <w:sz w:val="24"/>
        </w:rPr>
        <w:t>and</w:t>
      </w:r>
      <w:r w:rsidR="00B94F03" w:rsidRPr="00B94F03" w:rsidDel="001A577C">
        <w:rPr>
          <w:noProof/>
          <w:sz w:val="24"/>
        </w:rPr>
        <w:t xml:space="preserve"> </w:t>
      </w:r>
      <w:r w:rsidR="00B94F03" w:rsidRPr="00B94F03">
        <w:rPr>
          <w:noProof/>
          <w:sz w:val="24"/>
        </w:rPr>
        <w:t>proposed GSPR</w:t>
      </w:r>
      <w:r w:rsidR="001102E2" w:rsidRPr="001E37C1">
        <w:rPr>
          <w:rStyle w:val="FootnoteReference"/>
          <w:noProof/>
          <w:sz w:val="24"/>
        </w:rPr>
        <w:footnoteReference w:id="156"/>
      </w:r>
      <w:r w:rsidR="001A577C">
        <w:rPr>
          <w:noProof/>
          <w:sz w:val="24"/>
        </w:rPr>
        <w:t xml:space="preserve"> should ensure that when there is no importer an authorised representative is appointed in </w:t>
      </w:r>
      <w:r w:rsidR="00227C41">
        <w:rPr>
          <w:noProof/>
          <w:sz w:val="24"/>
        </w:rPr>
        <w:t>a majority of</w:t>
      </w:r>
      <w:r w:rsidR="001A577C">
        <w:rPr>
          <w:noProof/>
          <w:sz w:val="24"/>
        </w:rPr>
        <w:t xml:space="preserve"> cases</w:t>
      </w:r>
      <w:r w:rsidR="000A37E7" w:rsidRPr="001E37C1">
        <w:rPr>
          <w:noProof/>
          <w:sz w:val="24"/>
        </w:rPr>
        <w:t xml:space="preserve">. </w:t>
      </w:r>
    </w:p>
    <w:p w14:paraId="729D1B11" w14:textId="1A0DC0D5" w:rsidR="006A7DED" w:rsidRPr="001E37C1" w:rsidRDefault="000A37E7" w:rsidP="001E37C1">
      <w:pPr>
        <w:spacing w:after="240" w:line="240" w:lineRule="auto"/>
        <w:jc w:val="both"/>
        <w:rPr>
          <w:noProof/>
          <w:sz w:val="24"/>
        </w:rPr>
      </w:pPr>
      <w:r w:rsidRPr="001E37C1">
        <w:rPr>
          <w:noProof/>
          <w:sz w:val="24"/>
        </w:rPr>
        <w:t xml:space="preserve">The revised PLD </w:t>
      </w:r>
      <w:r w:rsidR="001102E2" w:rsidRPr="001E37C1">
        <w:rPr>
          <w:noProof/>
          <w:sz w:val="24"/>
        </w:rPr>
        <w:t xml:space="preserve">would </w:t>
      </w:r>
      <w:r w:rsidR="00117A67">
        <w:rPr>
          <w:noProof/>
          <w:sz w:val="24"/>
        </w:rPr>
        <w:t xml:space="preserve">in all policy options </w:t>
      </w:r>
      <w:r w:rsidR="001102E2" w:rsidRPr="001E37C1">
        <w:rPr>
          <w:noProof/>
          <w:sz w:val="24"/>
        </w:rPr>
        <w:t xml:space="preserve">clarify that </w:t>
      </w:r>
      <w:r w:rsidR="00227C41">
        <w:rPr>
          <w:noProof/>
          <w:sz w:val="24"/>
        </w:rPr>
        <w:t xml:space="preserve">while </w:t>
      </w:r>
      <w:r w:rsidR="00B6006E">
        <w:rPr>
          <w:noProof/>
          <w:sz w:val="24"/>
        </w:rPr>
        <w:t xml:space="preserve">providers of </w:t>
      </w:r>
      <w:r w:rsidR="001102E2" w:rsidRPr="001E37C1">
        <w:rPr>
          <w:noProof/>
          <w:sz w:val="24"/>
        </w:rPr>
        <w:t>online marketplaces</w:t>
      </w:r>
      <w:r w:rsidR="00227C41">
        <w:rPr>
          <w:noProof/>
          <w:sz w:val="24"/>
        </w:rPr>
        <w:t xml:space="preserve"> are subject to a liability exemption</w:t>
      </w:r>
      <w:r w:rsidR="00C03F00">
        <w:rPr>
          <w:noProof/>
          <w:sz w:val="24"/>
        </w:rPr>
        <w:t xml:space="preserve"> when they merely intermediate sales, if they play the role of</w:t>
      </w:r>
      <w:r w:rsidR="0012714F">
        <w:rPr>
          <w:noProof/>
          <w:sz w:val="24"/>
        </w:rPr>
        <w:t xml:space="preserve"> </w:t>
      </w:r>
      <w:r w:rsidR="001102E2" w:rsidRPr="001E37C1">
        <w:rPr>
          <w:noProof/>
          <w:sz w:val="24"/>
        </w:rPr>
        <w:t xml:space="preserve">producer, importer or seller </w:t>
      </w:r>
      <w:r w:rsidR="00C03F00">
        <w:rPr>
          <w:noProof/>
          <w:sz w:val="24"/>
        </w:rPr>
        <w:t>for a given product, they may be liable under the PLD</w:t>
      </w:r>
      <w:r w:rsidR="004D657B">
        <w:rPr>
          <w:noProof/>
          <w:sz w:val="24"/>
        </w:rPr>
        <w:t xml:space="preserve"> (see annex </w:t>
      </w:r>
      <w:r w:rsidR="00F23D15">
        <w:rPr>
          <w:noProof/>
          <w:sz w:val="24"/>
        </w:rPr>
        <w:t>5</w:t>
      </w:r>
      <w:r w:rsidR="004D657B">
        <w:rPr>
          <w:noProof/>
          <w:sz w:val="24"/>
        </w:rPr>
        <w:t xml:space="preserve"> for details)</w:t>
      </w:r>
      <w:r w:rsidR="001102E2" w:rsidRPr="001E37C1">
        <w:rPr>
          <w:noProof/>
          <w:sz w:val="24"/>
        </w:rPr>
        <w:t>.</w:t>
      </w:r>
    </w:p>
    <w:p w14:paraId="1F39C71C" w14:textId="2982BD68" w:rsidR="006A7DED" w:rsidRPr="001E37C1" w:rsidRDefault="00B27EB9" w:rsidP="001E37C1">
      <w:pPr>
        <w:spacing w:after="240" w:line="240" w:lineRule="auto"/>
        <w:jc w:val="both"/>
        <w:rPr>
          <w:b/>
          <w:noProof/>
          <w:sz w:val="24"/>
        </w:rPr>
      </w:pPr>
      <w:r w:rsidRPr="001E37C1">
        <w:rPr>
          <w:b/>
          <w:noProof/>
          <w:sz w:val="24"/>
        </w:rPr>
        <w:t>Option 1b –</w:t>
      </w:r>
      <w:r w:rsidR="00A16A18" w:rsidRPr="001E37C1">
        <w:rPr>
          <w:b/>
          <w:noProof/>
          <w:sz w:val="24"/>
        </w:rPr>
        <w:t xml:space="preserve"> </w:t>
      </w:r>
      <w:r w:rsidR="002C5F98" w:rsidRPr="001E37C1">
        <w:rPr>
          <w:b/>
          <w:noProof/>
          <w:sz w:val="24"/>
        </w:rPr>
        <w:t>Inclusion of safety-relevant software in its own right and adaptations for circular economy</w:t>
      </w:r>
    </w:p>
    <w:p w14:paraId="3C4605CE" w14:textId="18F1B44C" w:rsidR="00E9724D" w:rsidRPr="001E37C1" w:rsidRDefault="00E9724D" w:rsidP="001E37C1">
      <w:pPr>
        <w:spacing w:after="240" w:line="240" w:lineRule="auto"/>
        <w:jc w:val="both"/>
        <w:rPr>
          <w:b/>
          <w:noProof/>
          <w:sz w:val="24"/>
        </w:rPr>
      </w:pPr>
      <w:r w:rsidRPr="001E37C1">
        <w:rPr>
          <w:b/>
          <w:noProof/>
          <w:sz w:val="24"/>
        </w:rPr>
        <w:t xml:space="preserve">This option includes measures </w:t>
      </w:r>
      <w:r w:rsidR="002C5F98" w:rsidRPr="001E37C1">
        <w:rPr>
          <w:b/>
          <w:noProof/>
          <w:sz w:val="24"/>
        </w:rPr>
        <w:t>envisaged</w:t>
      </w:r>
      <w:r w:rsidRPr="001E37C1">
        <w:rPr>
          <w:b/>
          <w:noProof/>
          <w:sz w:val="24"/>
        </w:rPr>
        <w:t xml:space="preserve"> under option 1a.</w:t>
      </w:r>
    </w:p>
    <w:p w14:paraId="40C62206" w14:textId="13B6C291" w:rsidR="00227091" w:rsidRPr="001E37C1" w:rsidRDefault="006A7DED" w:rsidP="001E37C1">
      <w:pPr>
        <w:spacing w:after="240" w:line="240" w:lineRule="auto"/>
        <w:jc w:val="both"/>
        <w:rPr>
          <w:noProof/>
          <w:sz w:val="24"/>
        </w:rPr>
      </w:pPr>
      <w:r w:rsidRPr="001E37C1">
        <w:rPr>
          <w:b/>
          <w:noProof/>
          <w:sz w:val="24"/>
        </w:rPr>
        <w:t xml:space="preserve">Digital: </w:t>
      </w:r>
      <w:r w:rsidR="001102E2" w:rsidRPr="001E37C1">
        <w:rPr>
          <w:noProof/>
          <w:sz w:val="24"/>
        </w:rPr>
        <w:t xml:space="preserve">This option </w:t>
      </w:r>
      <w:r w:rsidR="00B459EB" w:rsidRPr="001E37C1">
        <w:rPr>
          <w:noProof/>
          <w:sz w:val="24"/>
        </w:rPr>
        <w:t>build</w:t>
      </w:r>
      <w:r w:rsidR="00943289">
        <w:rPr>
          <w:noProof/>
          <w:sz w:val="24"/>
        </w:rPr>
        <w:t>s</w:t>
      </w:r>
      <w:r w:rsidR="00B459EB" w:rsidRPr="001E37C1">
        <w:rPr>
          <w:noProof/>
          <w:sz w:val="24"/>
        </w:rPr>
        <w:t xml:space="preserve"> on option 1a and </w:t>
      </w:r>
      <w:r w:rsidR="001102E2" w:rsidRPr="001E37C1">
        <w:rPr>
          <w:noProof/>
          <w:sz w:val="24"/>
        </w:rPr>
        <w:t xml:space="preserve">would </w:t>
      </w:r>
      <w:r w:rsidR="007E05A6" w:rsidRPr="001E37C1">
        <w:rPr>
          <w:noProof/>
          <w:sz w:val="24"/>
        </w:rPr>
        <w:t>mean</w:t>
      </w:r>
      <w:r w:rsidR="001102E2" w:rsidRPr="001E37C1">
        <w:rPr>
          <w:noProof/>
          <w:sz w:val="24"/>
        </w:rPr>
        <w:t xml:space="preserve"> a </w:t>
      </w:r>
      <w:r w:rsidR="007E05A6" w:rsidRPr="001E37C1">
        <w:rPr>
          <w:noProof/>
          <w:sz w:val="24"/>
        </w:rPr>
        <w:t>broader</w:t>
      </w:r>
      <w:r w:rsidR="001102E2" w:rsidRPr="001E37C1">
        <w:rPr>
          <w:noProof/>
          <w:sz w:val="24"/>
        </w:rPr>
        <w:t xml:space="preserve"> scope of the PLD. </w:t>
      </w:r>
      <w:r w:rsidR="00943289">
        <w:rPr>
          <w:noProof/>
          <w:sz w:val="24"/>
        </w:rPr>
        <w:t xml:space="preserve">Whereas option 1a would cover only </w:t>
      </w:r>
      <w:r w:rsidR="00432398">
        <w:rPr>
          <w:noProof/>
          <w:sz w:val="24"/>
        </w:rPr>
        <w:t xml:space="preserve">component </w:t>
      </w:r>
      <w:r w:rsidR="00943289">
        <w:rPr>
          <w:noProof/>
          <w:sz w:val="24"/>
        </w:rPr>
        <w:t>software necessary for a tangible product to operate, option 1b would recognise s</w:t>
      </w:r>
      <w:r w:rsidR="001102E2" w:rsidRPr="001E37C1">
        <w:rPr>
          <w:noProof/>
          <w:sz w:val="24"/>
        </w:rPr>
        <w:t xml:space="preserve">afety-relevant </w:t>
      </w:r>
      <w:r w:rsidR="00A16A18" w:rsidRPr="001E37C1">
        <w:rPr>
          <w:noProof/>
          <w:sz w:val="24"/>
        </w:rPr>
        <w:t xml:space="preserve">software </w:t>
      </w:r>
      <w:r w:rsidR="001102E2" w:rsidRPr="001E37C1">
        <w:rPr>
          <w:noProof/>
          <w:sz w:val="24"/>
        </w:rPr>
        <w:t>as a product in its own right</w:t>
      </w:r>
      <w:r w:rsidR="00AA22C8" w:rsidRPr="001E37C1">
        <w:rPr>
          <w:noProof/>
          <w:sz w:val="24"/>
        </w:rPr>
        <w:t xml:space="preserve">. This would include </w:t>
      </w:r>
      <w:r w:rsidR="00FC349F">
        <w:rPr>
          <w:noProof/>
          <w:sz w:val="24"/>
        </w:rPr>
        <w:t>3</w:t>
      </w:r>
      <w:r w:rsidR="00FC349F" w:rsidRPr="001A577C">
        <w:rPr>
          <w:noProof/>
          <w:sz w:val="24"/>
          <w:vertAlign w:val="superscript"/>
        </w:rPr>
        <w:t>rd</w:t>
      </w:r>
      <w:r w:rsidR="00FC349F">
        <w:rPr>
          <w:noProof/>
          <w:sz w:val="24"/>
        </w:rPr>
        <w:t>-party</w:t>
      </w:r>
      <w:r w:rsidR="00AA22C8" w:rsidRPr="001E37C1">
        <w:rPr>
          <w:noProof/>
          <w:sz w:val="24"/>
        </w:rPr>
        <w:t xml:space="preserve"> add-on software that </w:t>
      </w:r>
      <w:r w:rsidR="00943289">
        <w:rPr>
          <w:noProof/>
          <w:sz w:val="24"/>
        </w:rPr>
        <w:t xml:space="preserve">is not necessary for, but nevertheless </w:t>
      </w:r>
      <w:r w:rsidR="00D233F1" w:rsidRPr="001E37C1">
        <w:rPr>
          <w:noProof/>
          <w:sz w:val="24"/>
        </w:rPr>
        <w:t>influences</w:t>
      </w:r>
      <w:r w:rsidR="00943289">
        <w:rPr>
          <w:noProof/>
          <w:sz w:val="24"/>
        </w:rPr>
        <w:t>,</w:t>
      </w:r>
      <w:r w:rsidR="00D233F1" w:rsidRPr="001E37C1">
        <w:rPr>
          <w:noProof/>
          <w:sz w:val="24"/>
        </w:rPr>
        <w:t xml:space="preserve"> the operation of </w:t>
      </w:r>
      <w:r w:rsidR="00943289">
        <w:rPr>
          <w:noProof/>
          <w:sz w:val="24"/>
        </w:rPr>
        <w:t>a tangible</w:t>
      </w:r>
      <w:r w:rsidR="00943289" w:rsidRPr="001E37C1">
        <w:rPr>
          <w:noProof/>
          <w:sz w:val="24"/>
        </w:rPr>
        <w:t xml:space="preserve"> </w:t>
      </w:r>
      <w:r w:rsidR="00D233F1" w:rsidRPr="001E37C1">
        <w:rPr>
          <w:noProof/>
          <w:sz w:val="24"/>
        </w:rPr>
        <w:t xml:space="preserve">product </w:t>
      </w:r>
      <w:r w:rsidR="002B6211" w:rsidRPr="001E37C1">
        <w:rPr>
          <w:noProof/>
          <w:sz w:val="24"/>
        </w:rPr>
        <w:t xml:space="preserve">(such as a downloaded </w:t>
      </w:r>
      <w:r w:rsidR="00B740A6">
        <w:rPr>
          <w:noProof/>
          <w:sz w:val="24"/>
        </w:rPr>
        <w:t>3</w:t>
      </w:r>
      <w:r w:rsidR="00B740A6" w:rsidRPr="00B740A6">
        <w:rPr>
          <w:noProof/>
          <w:sz w:val="24"/>
          <w:vertAlign w:val="superscript"/>
        </w:rPr>
        <w:t>rd</w:t>
      </w:r>
      <w:r w:rsidR="00B740A6">
        <w:rPr>
          <w:noProof/>
          <w:sz w:val="24"/>
        </w:rPr>
        <w:t xml:space="preserve">-party </w:t>
      </w:r>
      <w:r w:rsidR="002B6211" w:rsidRPr="001E37C1">
        <w:rPr>
          <w:noProof/>
          <w:sz w:val="24"/>
        </w:rPr>
        <w:t xml:space="preserve">software module for a service robot) </w:t>
      </w:r>
      <w:r w:rsidR="00D233F1" w:rsidRPr="001E37C1">
        <w:rPr>
          <w:noProof/>
          <w:sz w:val="24"/>
        </w:rPr>
        <w:t xml:space="preserve">and </w:t>
      </w:r>
      <w:r w:rsidR="007A2B91">
        <w:rPr>
          <w:noProof/>
          <w:sz w:val="24"/>
        </w:rPr>
        <w:t xml:space="preserve">standalone </w:t>
      </w:r>
      <w:r w:rsidR="00D233F1" w:rsidRPr="001E37C1">
        <w:rPr>
          <w:noProof/>
          <w:sz w:val="24"/>
        </w:rPr>
        <w:t xml:space="preserve">software that </w:t>
      </w:r>
      <w:r w:rsidR="002B6211" w:rsidRPr="001E37C1">
        <w:rPr>
          <w:noProof/>
          <w:sz w:val="24"/>
        </w:rPr>
        <w:t xml:space="preserve">itself </w:t>
      </w:r>
      <w:r w:rsidR="008710EB" w:rsidRPr="001E37C1">
        <w:rPr>
          <w:noProof/>
          <w:sz w:val="24"/>
        </w:rPr>
        <w:t>may cause</w:t>
      </w:r>
      <w:r w:rsidR="002B6211" w:rsidRPr="001E37C1">
        <w:rPr>
          <w:noProof/>
          <w:sz w:val="24"/>
        </w:rPr>
        <w:t xml:space="preserve"> harm (such as medical device software</w:t>
      </w:r>
      <w:r w:rsidR="008710EB" w:rsidRPr="001E37C1">
        <w:rPr>
          <w:noProof/>
          <w:sz w:val="24"/>
        </w:rPr>
        <w:t>).</w:t>
      </w:r>
      <w:r w:rsidR="00227091" w:rsidRPr="001E37C1">
        <w:rPr>
          <w:noProof/>
          <w:sz w:val="24"/>
        </w:rPr>
        <w:t xml:space="preserve"> </w:t>
      </w:r>
      <w:r w:rsidR="007A2B91">
        <w:rPr>
          <w:noProof/>
          <w:sz w:val="24"/>
        </w:rPr>
        <w:t xml:space="preserve">While a producer of add-on software and the manufacturer of the overall tangible product would be jointly and severally liable for harm caused by defective software, the manufacturer of the </w:t>
      </w:r>
      <w:r w:rsidR="0029135E">
        <w:rPr>
          <w:noProof/>
          <w:sz w:val="24"/>
        </w:rPr>
        <w:t xml:space="preserve">overall </w:t>
      </w:r>
      <w:r w:rsidR="007A2B91">
        <w:rPr>
          <w:noProof/>
          <w:sz w:val="24"/>
        </w:rPr>
        <w:t>product would</w:t>
      </w:r>
      <w:r w:rsidR="00310F75">
        <w:rPr>
          <w:noProof/>
          <w:sz w:val="24"/>
        </w:rPr>
        <w:t>, unlike under PO1a,</w:t>
      </w:r>
      <w:r w:rsidR="007A2B91">
        <w:rPr>
          <w:noProof/>
          <w:sz w:val="24"/>
        </w:rPr>
        <w:t xml:space="preserve"> be able to use the later-defect defence </w:t>
      </w:r>
      <w:r w:rsidR="00310F75">
        <w:rPr>
          <w:noProof/>
          <w:sz w:val="24"/>
        </w:rPr>
        <w:t xml:space="preserve">by showing that that add-on software was outside of its control. </w:t>
      </w:r>
      <w:r w:rsidR="00227091" w:rsidRPr="001E37C1">
        <w:rPr>
          <w:noProof/>
          <w:sz w:val="24"/>
        </w:rPr>
        <w:t xml:space="preserve">The types of damage that are compensable would remain limited to personal injury and damage to consumer property, but the text would clarify that </w:t>
      </w:r>
      <w:r w:rsidR="00993B2E">
        <w:rPr>
          <w:noProof/>
          <w:sz w:val="24"/>
        </w:rPr>
        <w:t>material loss</w:t>
      </w:r>
      <w:r w:rsidR="006C2F42">
        <w:rPr>
          <w:rStyle w:val="FootnoteReference"/>
          <w:noProof/>
          <w:sz w:val="24"/>
        </w:rPr>
        <w:footnoteReference w:id="157"/>
      </w:r>
      <w:r w:rsidR="00993B2E">
        <w:rPr>
          <w:noProof/>
          <w:sz w:val="24"/>
        </w:rPr>
        <w:t xml:space="preserve"> resulting from </w:t>
      </w:r>
      <w:r w:rsidR="00227091" w:rsidRPr="001E37C1">
        <w:rPr>
          <w:noProof/>
          <w:sz w:val="24"/>
        </w:rPr>
        <w:t xml:space="preserve">damage to digital property (such as </w:t>
      </w:r>
      <w:r w:rsidR="0044165E">
        <w:rPr>
          <w:noProof/>
          <w:sz w:val="24"/>
        </w:rPr>
        <w:t>digital content</w:t>
      </w:r>
      <w:r w:rsidR="0044165E" w:rsidRPr="001E37C1">
        <w:rPr>
          <w:noProof/>
          <w:sz w:val="24"/>
        </w:rPr>
        <w:t xml:space="preserve"> </w:t>
      </w:r>
      <w:r w:rsidR="00993B2E">
        <w:rPr>
          <w:noProof/>
          <w:sz w:val="24"/>
        </w:rPr>
        <w:t>wiped from</w:t>
      </w:r>
      <w:r w:rsidR="00993B2E" w:rsidRPr="001E37C1">
        <w:rPr>
          <w:noProof/>
          <w:sz w:val="24"/>
        </w:rPr>
        <w:t xml:space="preserve"> </w:t>
      </w:r>
      <w:r w:rsidR="00227091" w:rsidRPr="001E37C1">
        <w:rPr>
          <w:noProof/>
          <w:sz w:val="24"/>
        </w:rPr>
        <w:t>a hard drive)</w:t>
      </w:r>
      <w:r w:rsidR="00B459EB" w:rsidRPr="001E37C1">
        <w:rPr>
          <w:noProof/>
          <w:sz w:val="24"/>
        </w:rPr>
        <w:t xml:space="preserve"> is also compensable.</w:t>
      </w:r>
      <w:r w:rsidR="00993B2E">
        <w:rPr>
          <w:noProof/>
          <w:sz w:val="24"/>
        </w:rPr>
        <w:t xml:space="preserve"> </w:t>
      </w:r>
    </w:p>
    <w:p w14:paraId="70BAFAA0" w14:textId="368CEF5A" w:rsidR="006A7DED" w:rsidRPr="001E37C1" w:rsidRDefault="006A7DED" w:rsidP="001E37C1">
      <w:pPr>
        <w:spacing w:after="240" w:line="240" w:lineRule="auto"/>
        <w:jc w:val="both"/>
        <w:rPr>
          <w:b/>
          <w:noProof/>
          <w:sz w:val="24"/>
        </w:rPr>
      </w:pPr>
      <w:r w:rsidRPr="001E37C1">
        <w:rPr>
          <w:b/>
          <w:noProof/>
          <w:sz w:val="24"/>
        </w:rPr>
        <w:t xml:space="preserve">Circular: </w:t>
      </w:r>
      <w:r w:rsidR="001102E2" w:rsidRPr="001E37C1">
        <w:rPr>
          <w:noProof/>
          <w:sz w:val="24"/>
        </w:rPr>
        <w:t>Same</w:t>
      </w:r>
      <w:r w:rsidR="001102E2" w:rsidRPr="001E37C1">
        <w:rPr>
          <w:b/>
          <w:noProof/>
          <w:sz w:val="24"/>
        </w:rPr>
        <w:t xml:space="preserve"> </w:t>
      </w:r>
      <w:r w:rsidR="001102E2" w:rsidRPr="001E37C1">
        <w:rPr>
          <w:noProof/>
          <w:sz w:val="24"/>
        </w:rPr>
        <w:t>as option 1a.</w:t>
      </w:r>
      <w:r w:rsidRPr="001E37C1">
        <w:rPr>
          <w:b/>
          <w:noProof/>
          <w:sz w:val="24"/>
        </w:rPr>
        <w:t xml:space="preserve"> </w:t>
      </w:r>
    </w:p>
    <w:p w14:paraId="254B247F" w14:textId="61C7349B" w:rsidR="00B27EB9" w:rsidRPr="001E37C1" w:rsidRDefault="006A7DED" w:rsidP="001E37C1">
      <w:pPr>
        <w:spacing w:after="240" w:line="240" w:lineRule="auto"/>
        <w:jc w:val="both"/>
        <w:rPr>
          <w:noProof/>
          <w:sz w:val="24"/>
        </w:rPr>
      </w:pPr>
      <w:r w:rsidRPr="001E37C1">
        <w:rPr>
          <w:b/>
          <w:noProof/>
          <w:sz w:val="24"/>
        </w:rPr>
        <w:t>3</w:t>
      </w:r>
      <w:r w:rsidRPr="001E37C1">
        <w:rPr>
          <w:b/>
          <w:noProof/>
          <w:sz w:val="24"/>
          <w:vertAlign w:val="superscript"/>
        </w:rPr>
        <w:t>rd</w:t>
      </w:r>
      <w:r w:rsidRPr="001E37C1">
        <w:rPr>
          <w:b/>
          <w:noProof/>
          <w:sz w:val="24"/>
        </w:rPr>
        <w:t xml:space="preserve">-country products: </w:t>
      </w:r>
      <w:r w:rsidR="000C1659" w:rsidRPr="001E37C1">
        <w:rPr>
          <w:noProof/>
          <w:sz w:val="24"/>
        </w:rPr>
        <w:t>Under this option,</w:t>
      </w:r>
      <w:r w:rsidR="009A11C4" w:rsidRPr="001E37C1">
        <w:rPr>
          <w:noProof/>
          <w:sz w:val="24"/>
        </w:rPr>
        <w:t xml:space="preserve"> in the absence of an EU-based producer or importer, </w:t>
      </w:r>
      <w:r w:rsidR="00FC254D">
        <w:rPr>
          <w:noProof/>
          <w:sz w:val="24"/>
        </w:rPr>
        <w:t xml:space="preserve">and where a non-EU producer has not appointed an authorised representative, </w:t>
      </w:r>
      <w:r w:rsidR="009A11C4" w:rsidRPr="001E37C1">
        <w:rPr>
          <w:noProof/>
          <w:sz w:val="24"/>
        </w:rPr>
        <w:t xml:space="preserve">a victim of harm would be able to seek compensation from </w:t>
      </w:r>
      <w:r w:rsidR="00FC254D">
        <w:rPr>
          <w:noProof/>
          <w:sz w:val="24"/>
        </w:rPr>
        <w:t xml:space="preserve">a </w:t>
      </w:r>
      <w:r w:rsidR="009A11C4" w:rsidRPr="001E37C1">
        <w:rPr>
          <w:noProof/>
          <w:sz w:val="24"/>
        </w:rPr>
        <w:t>fulfilment service provider</w:t>
      </w:r>
      <w:r w:rsidR="0045405A">
        <w:rPr>
          <w:rStyle w:val="FootnoteReference"/>
          <w:noProof/>
          <w:sz w:val="24"/>
        </w:rPr>
        <w:footnoteReference w:id="158"/>
      </w:r>
      <w:r w:rsidR="00B459EB" w:rsidRPr="001E37C1">
        <w:rPr>
          <w:noProof/>
          <w:sz w:val="24"/>
        </w:rPr>
        <w:t xml:space="preserve">. </w:t>
      </w:r>
      <w:r w:rsidR="001A577C" w:rsidRPr="00C17FD6">
        <w:rPr>
          <w:noProof/>
          <w:sz w:val="24"/>
        </w:rPr>
        <w:t>Although there is no precedent for holding fulfilment service providers liable for defe</w:t>
      </w:r>
      <w:r w:rsidR="001A577C" w:rsidRPr="004C27A8">
        <w:rPr>
          <w:noProof/>
          <w:sz w:val="24"/>
        </w:rPr>
        <w:t>ctive products, t</w:t>
      </w:r>
      <w:r w:rsidR="00B459EB" w:rsidRPr="004C27A8">
        <w:rPr>
          <w:noProof/>
          <w:sz w:val="24"/>
        </w:rPr>
        <w:t xml:space="preserve">his </w:t>
      </w:r>
      <w:r w:rsidR="001A577C" w:rsidRPr="004C27A8">
        <w:rPr>
          <w:noProof/>
          <w:sz w:val="24"/>
        </w:rPr>
        <w:t xml:space="preserve">option </w:t>
      </w:r>
      <w:r w:rsidR="00B459EB" w:rsidRPr="004C27A8">
        <w:rPr>
          <w:noProof/>
          <w:sz w:val="24"/>
        </w:rPr>
        <w:t xml:space="preserve">would </w:t>
      </w:r>
      <w:r w:rsidR="000C1659" w:rsidRPr="004C27A8">
        <w:rPr>
          <w:noProof/>
          <w:sz w:val="24"/>
        </w:rPr>
        <w:t xml:space="preserve">provide an extra safeguard </w:t>
      </w:r>
      <w:r w:rsidR="00FC254D" w:rsidRPr="004C27A8">
        <w:rPr>
          <w:noProof/>
          <w:sz w:val="24"/>
        </w:rPr>
        <w:t>compared to option 1a,</w:t>
      </w:r>
      <w:r w:rsidR="00402CDB">
        <w:rPr>
          <w:noProof/>
          <w:sz w:val="24"/>
        </w:rPr>
        <w:t xml:space="preserve"> </w:t>
      </w:r>
      <w:r w:rsidR="001A577C" w:rsidRPr="009541B5">
        <w:rPr>
          <w:noProof/>
          <w:sz w:val="24"/>
        </w:rPr>
        <w:t xml:space="preserve"> justified by the fact that </w:t>
      </w:r>
      <w:r w:rsidR="00FC254D" w:rsidRPr="00A3472D">
        <w:rPr>
          <w:noProof/>
          <w:sz w:val="24"/>
        </w:rPr>
        <w:t>the</w:t>
      </w:r>
      <w:r w:rsidR="009A11C4" w:rsidRPr="00A3472D">
        <w:rPr>
          <w:noProof/>
          <w:sz w:val="24"/>
        </w:rPr>
        <w:t xml:space="preserve"> </w:t>
      </w:r>
      <w:r w:rsidR="00FC254D" w:rsidRPr="00A3472D">
        <w:rPr>
          <w:noProof/>
          <w:sz w:val="24"/>
        </w:rPr>
        <w:t>M</w:t>
      </w:r>
      <w:r w:rsidR="009A11C4" w:rsidRPr="00A3472D">
        <w:rPr>
          <w:noProof/>
          <w:sz w:val="24"/>
        </w:rPr>
        <w:t xml:space="preserve">arket </w:t>
      </w:r>
      <w:r w:rsidR="00FC254D" w:rsidRPr="00A3472D">
        <w:rPr>
          <w:noProof/>
          <w:sz w:val="24"/>
        </w:rPr>
        <w:t>S</w:t>
      </w:r>
      <w:r w:rsidR="009A11C4" w:rsidRPr="00A3472D">
        <w:rPr>
          <w:noProof/>
          <w:sz w:val="24"/>
        </w:rPr>
        <w:t xml:space="preserve">urveillance </w:t>
      </w:r>
      <w:r w:rsidR="00FC254D" w:rsidRPr="00A3472D">
        <w:rPr>
          <w:noProof/>
          <w:sz w:val="24"/>
        </w:rPr>
        <w:t>Regulation and proposed GPSR</w:t>
      </w:r>
      <w:r w:rsidR="001A577C" w:rsidRPr="006E6D12">
        <w:rPr>
          <w:noProof/>
          <w:sz w:val="24"/>
        </w:rPr>
        <w:t xml:space="preserve"> do envisage </w:t>
      </w:r>
      <w:r w:rsidR="00FC254D" w:rsidRPr="006E6D12">
        <w:rPr>
          <w:noProof/>
          <w:sz w:val="24"/>
        </w:rPr>
        <w:t xml:space="preserve">responsibilities </w:t>
      </w:r>
      <w:r w:rsidR="001A577C" w:rsidRPr="006E6D12">
        <w:rPr>
          <w:noProof/>
          <w:sz w:val="24"/>
        </w:rPr>
        <w:t>for</w:t>
      </w:r>
      <w:r w:rsidR="00FC254D" w:rsidRPr="006E6D12">
        <w:rPr>
          <w:noProof/>
          <w:sz w:val="24"/>
        </w:rPr>
        <w:t xml:space="preserve"> fulfilment service providers </w:t>
      </w:r>
      <w:r w:rsidR="001A577C" w:rsidRPr="006E6D12">
        <w:rPr>
          <w:noProof/>
          <w:sz w:val="24"/>
        </w:rPr>
        <w:t xml:space="preserve">in those cases where </w:t>
      </w:r>
      <w:r w:rsidR="00FC254D" w:rsidRPr="006E6D12">
        <w:rPr>
          <w:noProof/>
          <w:sz w:val="24"/>
        </w:rPr>
        <w:t>an authorised representative has not been appointed</w:t>
      </w:r>
      <w:r w:rsidR="009A11C4" w:rsidRPr="0073706C">
        <w:rPr>
          <w:noProof/>
          <w:sz w:val="24"/>
        </w:rPr>
        <w:t>.</w:t>
      </w:r>
    </w:p>
    <w:p w14:paraId="67F3B6BA" w14:textId="61CC611D" w:rsidR="000C1659" w:rsidRPr="001E37C1" w:rsidRDefault="00B27EB9" w:rsidP="001E37C1">
      <w:pPr>
        <w:spacing w:after="240" w:line="240" w:lineRule="auto"/>
        <w:jc w:val="both"/>
        <w:rPr>
          <w:noProof/>
          <w:sz w:val="24"/>
        </w:rPr>
      </w:pPr>
      <w:r w:rsidRPr="001E37C1">
        <w:rPr>
          <w:b/>
          <w:noProof/>
          <w:sz w:val="24"/>
        </w:rPr>
        <w:t>Option 1c –</w:t>
      </w:r>
      <w:r w:rsidR="002C5F98" w:rsidRPr="001E37C1">
        <w:rPr>
          <w:b/>
          <w:noProof/>
          <w:sz w:val="24"/>
        </w:rPr>
        <w:t xml:space="preserve"> Inclusion of software in its own right, new types of damage and adaptations for circular economy</w:t>
      </w:r>
    </w:p>
    <w:p w14:paraId="69631FCA" w14:textId="60316912" w:rsidR="00E9724D" w:rsidRPr="001E37C1" w:rsidRDefault="00E9724D" w:rsidP="001E37C1">
      <w:pPr>
        <w:spacing w:after="240" w:line="240" w:lineRule="auto"/>
        <w:jc w:val="both"/>
        <w:rPr>
          <w:noProof/>
          <w:sz w:val="24"/>
        </w:rPr>
      </w:pPr>
      <w:r w:rsidRPr="001E37C1">
        <w:rPr>
          <w:b/>
          <w:noProof/>
          <w:sz w:val="24"/>
        </w:rPr>
        <w:t xml:space="preserve">This option includes measures </w:t>
      </w:r>
      <w:r w:rsidR="002C5F98" w:rsidRPr="001E37C1">
        <w:rPr>
          <w:b/>
          <w:noProof/>
          <w:sz w:val="24"/>
        </w:rPr>
        <w:t xml:space="preserve">envisaged </w:t>
      </w:r>
      <w:r w:rsidRPr="001E37C1">
        <w:rPr>
          <w:b/>
          <w:noProof/>
          <w:sz w:val="24"/>
        </w:rPr>
        <w:t>under option 1b.</w:t>
      </w:r>
    </w:p>
    <w:p w14:paraId="567CB8E9" w14:textId="1F5BF3A0" w:rsidR="000C1659" w:rsidRPr="001E37C1" w:rsidRDefault="000C1659" w:rsidP="001E37C1">
      <w:pPr>
        <w:spacing w:after="240" w:line="240" w:lineRule="auto"/>
        <w:jc w:val="both"/>
        <w:rPr>
          <w:noProof/>
          <w:sz w:val="24"/>
        </w:rPr>
      </w:pPr>
      <w:r w:rsidRPr="001E37C1">
        <w:rPr>
          <w:b/>
          <w:noProof/>
          <w:sz w:val="24"/>
        </w:rPr>
        <w:t>Digital:</w:t>
      </w:r>
      <w:r w:rsidRPr="001E37C1">
        <w:rPr>
          <w:noProof/>
          <w:sz w:val="24"/>
        </w:rPr>
        <w:t xml:space="preserve"> This option would build on option 1b and would involve a </w:t>
      </w:r>
      <w:r w:rsidR="00494612" w:rsidRPr="001E37C1">
        <w:rPr>
          <w:noProof/>
          <w:sz w:val="24"/>
        </w:rPr>
        <w:t xml:space="preserve">more </w:t>
      </w:r>
      <w:r w:rsidRPr="001E37C1">
        <w:rPr>
          <w:noProof/>
          <w:sz w:val="24"/>
        </w:rPr>
        <w:t xml:space="preserve">significant expansion </w:t>
      </w:r>
      <w:r w:rsidR="00494612" w:rsidRPr="001E37C1">
        <w:rPr>
          <w:noProof/>
          <w:sz w:val="24"/>
        </w:rPr>
        <w:t>in the types of damage covered</w:t>
      </w:r>
      <w:r w:rsidRPr="001E37C1">
        <w:rPr>
          <w:noProof/>
          <w:sz w:val="24"/>
        </w:rPr>
        <w:t xml:space="preserve">. Not only safety-relevant software would be recognised as a product in its own right, but also software </w:t>
      </w:r>
      <w:r w:rsidR="00494612" w:rsidRPr="001E37C1">
        <w:rPr>
          <w:noProof/>
          <w:sz w:val="24"/>
        </w:rPr>
        <w:t xml:space="preserve">with fundamental rights implications, </w:t>
      </w:r>
      <w:r w:rsidR="00DE3BC3" w:rsidRPr="001E37C1">
        <w:rPr>
          <w:noProof/>
          <w:sz w:val="24"/>
        </w:rPr>
        <w:t xml:space="preserve">which would </w:t>
      </w:r>
      <w:r w:rsidR="00494612" w:rsidRPr="001E37C1">
        <w:rPr>
          <w:noProof/>
          <w:sz w:val="24"/>
        </w:rPr>
        <w:t xml:space="preserve">in particular </w:t>
      </w:r>
      <w:r w:rsidR="00DE3BC3" w:rsidRPr="001E37C1">
        <w:rPr>
          <w:noProof/>
          <w:sz w:val="24"/>
        </w:rPr>
        <w:t xml:space="preserve">be relevant for </w:t>
      </w:r>
      <w:r w:rsidR="00494612" w:rsidRPr="001E37C1">
        <w:rPr>
          <w:noProof/>
          <w:sz w:val="24"/>
        </w:rPr>
        <w:t>AI systems (such as discriminatory recruitment software). The types of damage that are compensable would be expanded to include material and non-material damage flowing from fundamental rights infringements: data protection breaches, privacy infringements or discrimination.</w:t>
      </w:r>
    </w:p>
    <w:p w14:paraId="3C554C65" w14:textId="368AAC23" w:rsidR="003F7594" w:rsidRPr="001E37C1" w:rsidRDefault="000C1659" w:rsidP="001E37C1">
      <w:pPr>
        <w:spacing w:after="240" w:line="240" w:lineRule="auto"/>
        <w:jc w:val="both"/>
        <w:rPr>
          <w:noProof/>
          <w:sz w:val="24"/>
        </w:rPr>
      </w:pPr>
      <w:r w:rsidRPr="001E37C1">
        <w:rPr>
          <w:b/>
          <w:noProof/>
          <w:sz w:val="24"/>
        </w:rPr>
        <w:t>Circular:</w:t>
      </w:r>
      <w:r w:rsidRPr="001E37C1">
        <w:rPr>
          <w:noProof/>
          <w:sz w:val="24"/>
        </w:rPr>
        <w:t xml:space="preserve"> Same as option 1a.</w:t>
      </w:r>
    </w:p>
    <w:p w14:paraId="63A39FAC" w14:textId="74281568" w:rsidR="000C1659" w:rsidRPr="001E37C1" w:rsidRDefault="000C1659" w:rsidP="001E37C1">
      <w:pPr>
        <w:spacing w:after="240" w:line="240" w:lineRule="auto"/>
        <w:jc w:val="both"/>
        <w:rPr>
          <w:noProof/>
          <w:sz w:val="24"/>
        </w:rPr>
      </w:pPr>
      <w:r w:rsidRPr="001E37C1">
        <w:rPr>
          <w:b/>
          <w:noProof/>
          <w:sz w:val="24"/>
        </w:rPr>
        <w:t>3</w:t>
      </w:r>
      <w:r w:rsidRPr="001E37C1">
        <w:rPr>
          <w:b/>
          <w:noProof/>
          <w:sz w:val="24"/>
          <w:vertAlign w:val="superscript"/>
        </w:rPr>
        <w:t>rd</w:t>
      </w:r>
      <w:r w:rsidRPr="001E37C1">
        <w:rPr>
          <w:b/>
          <w:noProof/>
          <w:sz w:val="24"/>
        </w:rPr>
        <w:t>-country products:</w:t>
      </w:r>
      <w:r w:rsidRPr="001E37C1">
        <w:rPr>
          <w:noProof/>
          <w:sz w:val="24"/>
        </w:rPr>
        <w:t xml:space="preserve"> Same as option 1b.</w:t>
      </w:r>
    </w:p>
    <w:p w14:paraId="2D7A1EE8" w14:textId="0ED63F44" w:rsidR="00FF7FE5" w:rsidRDefault="002E7937" w:rsidP="002E7937">
      <w:pPr>
        <w:pStyle w:val="Heading3"/>
        <w:rPr>
          <w:noProof/>
        </w:rPr>
      </w:pPr>
      <w:bookmarkStart w:id="434" w:name="_Toc94005543"/>
      <w:bookmarkStart w:id="435" w:name="_Toc95379871"/>
      <w:bookmarkStart w:id="436" w:name="_Toc95391362"/>
      <w:bookmarkStart w:id="437" w:name="_Toc95396431"/>
      <w:bookmarkStart w:id="438" w:name="_Toc95421529"/>
      <w:bookmarkStart w:id="439" w:name="_Toc95481978"/>
      <w:bookmarkStart w:id="440" w:name="_Toc96337771"/>
      <w:bookmarkStart w:id="441" w:name="_Toc96446250"/>
      <w:bookmarkStart w:id="442" w:name="_Toc96448023"/>
      <w:bookmarkStart w:id="443" w:name="_Toc96593972"/>
      <w:bookmarkStart w:id="444" w:name="_Toc96597263"/>
      <w:bookmarkStart w:id="445" w:name="_Toc96609198"/>
      <w:bookmarkStart w:id="446" w:name="_Toc97149227"/>
      <w:bookmarkStart w:id="447" w:name="_Toc97191273"/>
      <w:bookmarkStart w:id="448" w:name="_Toc107430083"/>
      <w:r w:rsidRPr="002E7937">
        <w:t>5.2.2.</w:t>
      </w:r>
      <w:r w:rsidRPr="002E7937">
        <w:tab/>
      </w:r>
      <w:r w:rsidR="003F7594" w:rsidRPr="002A6360">
        <w:rPr>
          <w:noProof/>
        </w:rPr>
        <w:t>Policy options to</w:t>
      </w:r>
      <w:r w:rsidR="00F64C94" w:rsidRPr="002A6360">
        <w:rPr>
          <w:noProof/>
        </w:rPr>
        <w:t xml:space="preserve"> reduce </w:t>
      </w:r>
      <w:r w:rsidR="006D7BCA" w:rsidRPr="002A6360">
        <w:rPr>
          <w:noProof/>
        </w:rPr>
        <w:t xml:space="preserve">disproportionate </w:t>
      </w:r>
      <w:r w:rsidR="00F64C94" w:rsidRPr="002A6360">
        <w:rPr>
          <w:noProof/>
        </w:rPr>
        <w:t>obstacles to getting compensation</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8911845" w14:textId="4E6DF078" w:rsidR="00916D97" w:rsidRPr="00517382" w:rsidRDefault="00916D97" w:rsidP="00517382">
      <w:pPr>
        <w:spacing w:after="240" w:line="240" w:lineRule="auto"/>
        <w:jc w:val="both"/>
        <w:rPr>
          <w:noProof/>
          <w:sz w:val="24"/>
          <w:szCs w:val="24"/>
        </w:rPr>
      </w:pPr>
      <w:r w:rsidRPr="00517382">
        <w:rPr>
          <w:noProof/>
          <w:sz w:val="24"/>
          <w:szCs w:val="24"/>
        </w:rPr>
        <w:t>In policy options 2a and 2b, measures to ease the burden of proof have been packaged together with measures to reduce restrictions on making claims according to the level of ambition of the potential intervention. However, for full transparency of the assessment, the specific impacts related to measures restricting on making claims are spelled out separately in section 6.</w:t>
      </w:r>
      <w:r w:rsidR="00402CDB">
        <w:rPr>
          <w:noProof/>
          <w:sz w:val="24"/>
          <w:szCs w:val="24"/>
        </w:rPr>
        <w:t xml:space="preserve"> </w:t>
      </w:r>
    </w:p>
    <w:p w14:paraId="3D4C92E1" w14:textId="16A49DC4" w:rsidR="00B27EB9" w:rsidRPr="001E37C1" w:rsidRDefault="00F64C94" w:rsidP="001E37C1">
      <w:pPr>
        <w:keepNext/>
        <w:spacing w:after="240" w:line="240" w:lineRule="auto"/>
        <w:jc w:val="both"/>
        <w:rPr>
          <w:b/>
          <w:noProof/>
          <w:sz w:val="24"/>
          <w:szCs w:val="24"/>
        </w:rPr>
      </w:pPr>
      <w:r w:rsidRPr="001E37C1">
        <w:rPr>
          <w:b/>
          <w:noProof/>
          <w:sz w:val="24"/>
          <w:szCs w:val="24"/>
        </w:rPr>
        <w:t>Option 2a –</w:t>
      </w:r>
      <w:r w:rsidR="002C5F98" w:rsidRPr="001E37C1">
        <w:rPr>
          <w:b/>
          <w:noProof/>
          <w:sz w:val="24"/>
          <w:szCs w:val="24"/>
        </w:rPr>
        <w:t>E</w:t>
      </w:r>
      <w:r w:rsidR="00E9724D" w:rsidRPr="001E37C1">
        <w:rPr>
          <w:b/>
          <w:noProof/>
          <w:sz w:val="24"/>
          <w:szCs w:val="24"/>
        </w:rPr>
        <w:t>asing the burden of proof and reducing</w:t>
      </w:r>
      <w:r w:rsidR="002C5F98" w:rsidRPr="001E37C1">
        <w:rPr>
          <w:b/>
          <w:noProof/>
          <w:sz w:val="24"/>
          <w:szCs w:val="24"/>
        </w:rPr>
        <w:t xml:space="preserve"> disproportionate</w:t>
      </w:r>
      <w:r w:rsidR="00E9724D" w:rsidRPr="001E37C1">
        <w:rPr>
          <w:b/>
          <w:noProof/>
          <w:sz w:val="24"/>
          <w:szCs w:val="24"/>
        </w:rPr>
        <w:t xml:space="preserve"> restrictions to mak</w:t>
      </w:r>
      <w:r w:rsidR="00E110CA">
        <w:rPr>
          <w:b/>
          <w:noProof/>
          <w:sz w:val="24"/>
          <w:szCs w:val="24"/>
        </w:rPr>
        <w:t>ing</w:t>
      </w:r>
      <w:r w:rsidR="00E9724D" w:rsidRPr="001E37C1">
        <w:rPr>
          <w:b/>
          <w:noProof/>
          <w:sz w:val="24"/>
          <w:szCs w:val="24"/>
        </w:rPr>
        <w:t xml:space="preserve"> claims</w:t>
      </w:r>
      <w:r w:rsidR="00C50FD9">
        <w:rPr>
          <w:b/>
          <w:noProof/>
          <w:sz w:val="24"/>
          <w:szCs w:val="24"/>
        </w:rPr>
        <w:t>, while ensuring a fair balance of interests</w:t>
      </w:r>
    </w:p>
    <w:p w14:paraId="78B1F598" w14:textId="5421AB8F" w:rsidR="00EA1D86" w:rsidRPr="001E37C1" w:rsidRDefault="002F329F" w:rsidP="001E37C1">
      <w:pPr>
        <w:spacing w:after="240" w:line="240" w:lineRule="auto"/>
        <w:jc w:val="both"/>
        <w:rPr>
          <w:noProof/>
          <w:sz w:val="24"/>
          <w:szCs w:val="24"/>
        </w:rPr>
      </w:pPr>
      <w:r w:rsidRPr="001E37C1">
        <w:rPr>
          <w:b/>
          <w:noProof/>
          <w:sz w:val="24"/>
          <w:szCs w:val="24"/>
        </w:rPr>
        <w:t>Easing the burden of proof</w:t>
      </w:r>
      <w:r w:rsidRPr="001E37C1">
        <w:rPr>
          <w:noProof/>
          <w:sz w:val="24"/>
          <w:szCs w:val="24"/>
        </w:rPr>
        <w:t>:</w:t>
      </w:r>
      <w:r w:rsidR="00402CDB">
        <w:rPr>
          <w:noProof/>
          <w:sz w:val="24"/>
          <w:szCs w:val="24"/>
        </w:rPr>
        <w:t xml:space="preserve"> </w:t>
      </w:r>
      <w:r w:rsidR="00D80071" w:rsidRPr="001E37C1">
        <w:rPr>
          <w:noProof/>
          <w:sz w:val="24"/>
          <w:szCs w:val="24"/>
        </w:rPr>
        <w:t xml:space="preserve">Under this option, </w:t>
      </w:r>
      <w:r w:rsidR="00B571EE" w:rsidRPr="001E37C1">
        <w:rPr>
          <w:noProof/>
          <w:sz w:val="24"/>
          <w:szCs w:val="24"/>
        </w:rPr>
        <w:t xml:space="preserve">a) </w:t>
      </w:r>
      <w:r w:rsidR="0013000C" w:rsidRPr="001E37C1">
        <w:rPr>
          <w:noProof/>
          <w:sz w:val="24"/>
          <w:szCs w:val="24"/>
        </w:rPr>
        <w:t>the revised PLD would harmonise rules on when producers</w:t>
      </w:r>
      <w:r w:rsidR="00D80071" w:rsidRPr="001E37C1">
        <w:rPr>
          <w:noProof/>
          <w:sz w:val="24"/>
          <w:szCs w:val="24"/>
        </w:rPr>
        <w:t xml:space="preserve"> </w:t>
      </w:r>
      <w:r w:rsidR="0013000C" w:rsidRPr="001E37C1">
        <w:rPr>
          <w:noProof/>
          <w:sz w:val="24"/>
          <w:szCs w:val="24"/>
        </w:rPr>
        <w:t xml:space="preserve">are obliged </w:t>
      </w:r>
      <w:r w:rsidR="00D80071" w:rsidRPr="001E37C1">
        <w:rPr>
          <w:noProof/>
          <w:sz w:val="24"/>
          <w:szCs w:val="24"/>
        </w:rPr>
        <w:t xml:space="preserve">to disclose necessary technical information </w:t>
      </w:r>
      <w:r w:rsidR="0013000C" w:rsidRPr="001E37C1">
        <w:rPr>
          <w:noProof/>
          <w:sz w:val="24"/>
          <w:szCs w:val="24"/>
        </w:rPr>
        <w:t xml:space="preserve">to the injured person in court </w:t>
      </w:r>
      <w:r w:rsidR="00D80071" w:rsidRPr="001E37C1">
        <w:rPr>
          <w:noProof/>
          <w:sz w:val="24"/>
          <w:szCs w:val="24"/>
        </w:rPr>
        <w:t xml:space="preserve">(e.g. clinical </w:t>
      </w:r>
      <w:r w:rsidR="0013000C" w:rsidRPr="001E37C1">
        <w:rPr>
          <w:noProof/>
          <w:sz w:val="24"/>
          <w:szCs w:val="24"/>
        </w:rPr>
        <w:t xml:space="preserve">trials </w:t>
      </w:r>
      <w:r w:rsidR="00D80071" w:rsidRPr="001E37C1">
        <w:rPr>
          <w:noProof/>
          <w:sz w:val="24"/>
          <w:szCs w:val="24"/>
        </w:rPr>
        <w:t xml:space="preserve">data </w:t>
      </w:r>
      <w:r w:rsidR="0013000C" w:rsidRPr="001E37C1">
        <w:rPr>
          <w:noProof/>
          <w:sz w:val="24"/>
          <w:szCs w:val="24"/>
        </w:rPr>
        <w:t xml:space="preserve">concerning a drug or data logs from an autonomous vehicle). The obligation would be limited to proportionate disclosure and would protect confidential information. In addition, </w:t>
      </w:r>
      <w:r w:rsidR="00B571EE" w:rsidRPr="001E37C1">
        <w:rPr>
          <w:noProof/>
          <w:sz w:val="24"/>
          <w:szCs w:val="24"/>
        </w:rPr>
        <w:t xml:space="preserve">b) </w:t>
      </w:r>
      <w:r w:rsidR="0013000C" w:rsidRPr="001E37C1">
        <w:rPr>
          <w:noProof/>
          <w:sz w:val="24"/>
          <w:szCs w:val="24"/>
        </w:rPr>
        <w:t>the revised PLD would harmonise rules on easing the burden of proof</w:t>
      </w:r>
      <w:r w:rsidR="00B571EE" w:rsidRPr="001E37C1">
        <w:rPr>
          <w:noProof/>
          <w:sz w:val="24"/>
          <w:szCs w:val="24"/>
        </w:rPr>
        <w:t xml:space="preserve">: defectiveness/causality would be presumed by courts on certain conditions (e.g. the product did not comply with safety standards, </w:t>
      </w:r>
      <w:r w:rsidR="004F375E" w:rsidRPr="001E37C1">
        <w:rPr>
          <w:noProof/>
          <w:sz w:val="24"/>
          <w:szCs w:val="24"/>
        </w:rPr>
        <w:t xml:space="preserve">if </w:t>
      </w:r>
      <w:r w:rsidR="00B571EE" w:rsidRPr="001E37C1">
        <w:rPr>
          <w:noProof/>
          <w:sz w:val="24"/>
          <w:szCs w:val="24"/>
        </w:rPr>
        <w:t>it clear</w:t>
      </w:r>
      <w:r w:rsidR="004F375E" w:rsidRPr="001E37C1">
        <w:rPr>
          <w:noProof/>
          <w:sz w:val="24"/>
          <w:szCs w:val="24"/>
        </w:rPr>
        <w:t>ly</w:t>
      </w:r>
      <w:r w:rsidR="00B571EE" w:rsidRPr="001E37C1">
        <w:rPr>
          <w:noProof/>
          <w:sz w:val="24"/>
          <w:szCs w:val="24"/>
        </w:rPr>
        <w:t xml:space="preserve"> malfunctioned or if it is disproportionately difficult to prove liability due to technical complexity</w:t>
      </w:r>
      <w:r w:rsidR="00BB0072">
        <w:rPr>
          <w:rStyle w:val="FootnoteReference"/>
          <w:noProof/>
          <w:sz w:val="24"/>
          <w:szCs w:val="24"/>
        </w:rPr>
        <w:footnoteReference w:id="159"/>
      </w:r>
      <w:r w:rsidR="00B571EE" w:rsidRPr="001E37C1">
        <w:rPr>
          <w:noProof/>
          <w:sz w:val="24"/>
          <w:szCs w:val="24"/>
        </w:rPr>
        <w:t xml:space="preserve">). </w:t>
      </w:r>
      <w:r w:rsidR="00045779" w:rsidRPr="001E37C1">
        <w:rPr>
          <w:noProof/>
          <w:sz w:val="24"/>
          <w:szCs w:val="24"/>
        </w:rPr>
        <w:t xml:space="preserve">The producer would have the opportunity to rebut any presumption. </w:t>
      </w:r>
      <w:r w:rsidR="00B571EE" w:rsidRPr="001E37C1">
        <w:rPr>
          <w:noProof/>
          <w:sz w:val="24"/>
          <w:szCs w:val="24"/>
        </w:rPr>
        <w:t xml:space="preserve">In addition, c) </w:t>
      </w:r>
      <w:r w:rsidR="005D2250" w:rsidRPr="001E37C1">
        <w:rPr>
          <w:noProof/>
          <w:sz w:val="24"/>
          <w:szCs w:val="24"/>
        </w:rPr>
        <w:t>the development risk defence</w:t>
      </w:r>
      <w:r w:rsidR="0035733C" w:rsidRPr="001E37C1">
        <w:rPr>
          <w:noProof/>
          <w:sz w:val="24"/>
          <w:szCs w:val="24"/>
        </w:rPr>
        <w:t>, which exempts producers from liability when a product</w:t>
      </w:r>
      <w:r w:rsidR="005953DC" w:rsidRPr="001E37C1">
        <w:rPr>
          <w:noProof/>
          <w:sz w:val="24"/>
          <w:szCs w:val="24"/>
        </w:rPr>
        <w:t xml:space="preserve">’s </w:t>
      </w:r>
      <w:r w:rsidR="0035733C" w:rsidRPr="001E37C1">
        <w:rPr>
          <w:noProof/>
          <w:sz w:val="24"/>
          <w:szCs w:val="24"/>
        </w:rPr>
        <w:t>defective</w:t>
      </w:r>
      <w:r w:rsidR="005953DC" w:rsidRPr="001E37C1">
        <w:rPr>
          <w:noProof/>
          <w:sz w:val="24"/>
          <w:szCs w:val="24"/>
        </w:rPr>
        <w:t xml:space="preserve"> nature was not discoverable </w:t>
      </w:r>
      <w:r w:rsidR="00B623D9">
        <w:rPr>
          <w:noProof/>
          <w:sz w:val="24"/>
          <w:szCs w:val="24"/>
        </w:rPr>
        <w:t xml:space="preserve">according to state-of-the-art knowledge </w:t>
      </w:r>
      <w:r w:rsidR="005953DC" w:rsidRPr="001E37C1">
        <w:rPr>
          <w:noProof/>
          <w:sz w:val="24"/>
          <w:szCs w:val="24"/>
        </w:rPr>
        <w:t>at the moment it</w:t>
      </w:r>
      <w:r w:rsidR="004428A9" w:rsidRPr="001E37C1">
        <w:rPr>
          <w:noProof/>
          <w:sz w:val="24"/>
          <w:szCs w:val="24"/>
        </w:rPr>
        <w:t xml:space="preserve"> was</w:t>
      </w:r>
      <w:r w:rsidR="0035733C" w:rsidRPr="001E37C1">
        <w:rPr>
          <w:noProof/>
          <w:sz w:val="24"/>
          <w:szCs w:val="24"/>
        </w:rPr>
        <w:t xml:space="preserve"> put into circulation, </w:t>
      </w:r>
      <w:r w:rsidR="005D2250" w:rsidRPr="001E37C1">
        <w:rPr>
          <w:noProof/>
          <w:sz w:val="24"/>
          <w:szCs w:val="24"/>
        </w:rPr>
        <w:t xml:space="preserve">would </w:t>
      </w:r>
      <w:r w:rsidR="002A4B66" w:rsidRPr="001E37C1">
        <w:rPr>
          <w:noProof/>
          <w:sz w:val="24"/>
          <w:szCs w:val="24"/>
        </w:rPr>
        <w:t>be adapted</w:t>
      </w:r>
      <w:r w:rsidR="00FF48CC" w:rsidRPr="001E37C1">
        <w:rPr>
          <w:noProof/>
          <w:sz w:val="24"/>
          <w:szCs w:val="24"/>
        </w:rPr>
        <w:t xml:space="preserve"> to take account of </w:t>
      </w:r>
      <w:r w:rsidR="00790EE1">
        <w:rPr>
          <w:noProof/>
          <w:sz w:val="24"/>
          <w:szCs w:val="24"/>
        </w:rPr>
        <w:t xml:space="preserve">producer control beyond </w:t>
      </w:r>
      <w:r w:rsidR="00AF36C2">
        <w:rPr>
          <w:noProof/>
          <w:sz w:val="24"/>
          <w:szCs w:val="24"/>
        </w:rPr>
        <w:t>that</w:t>
      </w:r>
      <w:r w:rsidR="00790EE1">
        <w:rPr>
          <w:noProof/>
          <w:sz w:val="24"/>
          <w:szCs w:val="24"/>
        </w:rPr>
        <w:t xml:space="preserve"> moment</w:t>
      </w:r>
      <w:r w:rsidR="00AF36C2">
        <w:rPr>
          <w:noProof/>
          <w:sz w:val="24"/>
          <w:szCs w:val="24"/>
        </w:rPr>
        <w:t xml:space="preserve">: for example, if a producer has provided a software update for an AI-enabled robot, then that should be the moment </w:t>
      </w:r>
      <w:r w:rsidR="00B623D9">
        <w:rPr>
          <w:noProof/>
          <w:sz w:val="24"/>
          <w:szCs w:val="24"/>
        </w:rPr>
        <w:t xml:space="preserve">taken into account </w:t>
      </w:r>
      <w:r w:rsidR="00AF36C2">
        <w:rPr>
          <w:noProof/>
          <w:sz w:val="24"/>
          <w:szCs w:val="24"/>
        </w:rPr>
        <w:t>when applying the defence</w:t>
      </w:r>
      <w:r w:rsidR="00790EE1">
        <w:rPr>
          <w:noProof/>
          <w:sz w:val="24"/>
          <w:szCs w:val="24"/>
        </w:rPr>
        <w:t xml:space="preserve">. </w:t>
      </w:r>
    </w:p>
    <w:p w14:paraId="3CD98A95" w14:textId="24941D6D" w:rsidR="002F329F" w:rsidRPr="001E37C1" w:rsidRDefault="002F329F" w:rsidP="001E37C1">
      <w:pPr>
        <w:spacing w:after="240" w:line="240" w:lineRule="auto"/>
        <w:jc w:val="both"/>
        <w:rPr>
          <w:b/>
          <w:noProof/>
          <w:sz w:val="24"/>
          <w:szCs w:val="24"/>
        </w:rPr>
      </w:pPr>
      <w:r w:rsidRPr="001E37C1">
        <w:rPr>
          <w:b/>
          <w:noProof/>
          <w:sz w:val="24"/>
          <w:szCs w:val="24"/>
        </w:rPr>
        <w:t xml:space="preserve">Restrictions on making claims: </w:t>
      </w:r>
      <w:r w:rsidR="00045779" w:rsidRPr="001E37C1">
        <w:rPr>
          <w:noProof/>
          <w:sz w:val="24"/>
          <w:szCs w:val="24"/>
        </w:rPr>
        <w:t xml:space="preserve">The EUR 500 threshold for property damage would be </w:t>
      </w:r>
      <w:r w:rsidR="003379C5" w:rsidRPr="001E37C1">
        <w:rPr>
          <w:noProof/>
          <w:sz w:val="24"/>
          <w:szCs w:val="24"/>
        </w:rPr>
        <w:t xml:space="preserve">removed. The 10-year period of producer liability would be </w:t>
      </w:r>
      <w:r w:rsidR="003379C5" w:rsidRPr="006E6D12">
        <w:rPr>
          <w:noProof/>
          <w:sz w:val="24"/>
          <w:szCs w:val="24"/>
        </w:rPr>
        <w:t xml:space="preserve">extended to </w:t>
      </w:r>
      <w:r w:rsidR="00A01E09" w:rsidRPr="006E6D12">
        <w:rPr>
          <w:noProof/>
          <w:sz w:val="24"/>
          <w:szCs w:val="24"/>
        </w:rPr>
        <w:t>15</w:t>
      </w:r>
      <w:r w:rsidR="003379C5" w:rsidRPr="006E6D12">
        <w:rPr>
          <w:noProof/>
          <w:sz w:val="24"/>
          <w:szCs w:val="24"/>
        </w:rPr>
        <w:t xml:space="preserve"> years,</w:t>
      </w:r>
      <w:r w:rsidR="003379C5" w:rsidRPr="001E37C1">
        <w:rPr>
          <w:noProof/>
          <w:sz w:val="24"/>
          <w:szCs w:val="24"/>
        </w:rPr>
        <w:t xml:space="preserve"> but only for latent </w:t>
      </w:r>
      <w:r w:rsidR="00945410" w:rsidRPr="001E37C1">
        <w:rPr>
          <w:noProof/>
          <w:sz w:val="24"/>
          <w:szCs w:val="24"/>
        </w:rPr>
        <w:t xml:space="preserve">personal </w:t>
      </w:r>
      <w:r w:rsidR="003379C5" w:rsidRPr="001E37C1">
        <w:rPr>
          <w:noProof/>
          <w:sz w:val="24"/>
          <w:szCs w:val="24"/>
        </w:rPr>
        <w:t>injur</w:t>
      </w:r>
      <w:r w:rsidR="00945410" w:rsidRPr="001E37C1">
        <w:rPr>
          <w:noProof/>
          <w:sz w:val="24"/>
          <w:szCs w:val="24"/>
        </w:rPr>
        <w:t>y</w:t>
      </w:r>
      <w:r w:rsidR="009871C1">
        <w:rPr>
          <w:rStyle w:val="FootnoteReference"/>
          <w:noProof/>
          <w:sz w:val="24"/>
          <w:szCs w:val="24"/>
        </w:rPr>
        <w:footnoteReference w:id="160"/>
      </w:r>
      <w:r w:rsidR="003379C5" w:rsidRPr="001E37C1">
        <w:rPr>
          <w:noProof/>
          <w:sz w:val="24"/>
          <w:szCs w:val="24"/>
        </w:rPr>
        <w:t xml:space="preserve">, meaning </w:t>
      </w:r>
      <w:r w:rsidR="00B623D9">
        <w:rPr>
          <w:noProof/>
          <w:sz w:val="24"/>
          <w:szCs w:val="24"/>
        </w:rPr>
        <w:t>injury that existed but</w:t>
      </w:r>
      <w:r w:rsidR="003379C5" w:rsidRPr="001E37C1">
        <w:rPr>
          <w:noProof/>
          <w:sz w:val="24"/>
          <w:szCs w:val="24"/>
        </w:rPr>
        <w:t xml:space="preserve"> did not become apparent in the first 10 years.</w:t>
      </w:r>
      <w:r w:rsidR="00970F26" w:rsidRPr="001E37C1">
        <w:rPr>
          <w:noProof/>
          <w:sz w:val="24"/>
          <w:szCs w:val="24"/>
        </w:rPr>
        <w:t xml:space="preserve"> The 3-year limit for starting legal proceedings would not be changed.</w:t>
      </w:r>
      <w:r w:rsidR="007F7412">
        <w:rPr>
          <w:noProof/>
          <w:sz w:val="24"/>
          <w:szCs w:val="24"/>
        </w:rPr>
        <w:t xml:space="preserve"> </w:t>
      </w:r>
    </w:p>
    <w:p w14:paraId="343520C2" w14:textId="16E3243D" w:rsidR="00F64C94" w:rsidRPr="001E37C1" w:rsidRDefault="00F64C94" w:rsidP="001E37C1">
      <w:pPr>
        <w:spacing w:after="240" w:line="240" w:lineRule="auto"/>
        <w:jc w:val="both"/>
        <w:rPr>
          <w:b/>
          <w:noProof/>
          <w:sz w:val="24"/>
          <w:szCs w:val="24"/>
        </w:rPr>
      </w:pPr>
      <w:r w:rsidRPr="001E37C1">
        <w:rPr>
          <w:b/>
          <w:noProof/>
          <w:sz w:val="24"/>
          <w:szCs w:val="24"/>
        </w:rPr>
        <w:t xml:space="preserve">Option 2b – </w:t>
      </w:r>
      <w:r w:rsidR="002C5F98" w:rsidRPr="001E37C1">
        <w:rPr>
          <w:b/>
          <w:noProof/>
          <w:sz w:val="24"/>
          <w:szCs w:val="24"/>
        </w:rPr>
        <w:t>R</w:t>
      </w:r>
      <w:r w:rsidR="00E9724D" w:rsidRPr="001E37C1">
        <w:rPr>
          <w:b/>
          <w:noProof/>
          <w:sz w:val="24"/>
          <w:szCs w:val="24"/>
        </w:rPr>
        <w:t>eversing the burden of proof</w:t>
      </w:r>
    </w:p>
    <w:p w14:paraId="6CC2FA08" w14:textId="3292DC07" w:rsidR="00F64C94" w:rsidRPr="001E37C1" w:rsidRDefault="004F375E" w:rsidP="001E37C1">
      <w:pPr>
        <w:spacing w:after="240" w:line="240" w:lineRule="auto"/>
        <w:jc w:val="both"/>
        <w:rPr>
          <w:noProof/>
          <w:sz w:val="24"/>
          <w:szCs w:val="24"/>
        </w:rPr>
      </w:pPr>
      <w:r w:rsidRPr="001E37C1">
        <w:rPr>
          <w:b/>
          <w:noProof/>
          <w:sz w:val="24"/>
          <w:szCs w:val="24"/>
        </w:rPr>
        <w:t xml:space="preserve">Reversing </w:t>
      </w:r>
      <w:r w:rsidR="003379C5" w:rsidRPr="001E37C1">
        <w:rPr>
          <w:b/>
          <w:noProof/>
          <w:sz w:val="24"/>
          <w:szCs w:val="24"/>
        </w:rPr>
        <w:t>the burden of proof:</w:t>
      </w:r>
      <w:r w:rsidR="003379C5" w:rsidRPr="001E37C1">
        <w:rPr>
          <w:noProof/>
          <w:sz w:val="24"/>
          <w:szCs w:val="24"/>
        </w:rPr>
        <w:t xml:space="preserve"> Under this option, </w:t>
      </w:r>
      <w:r w:rsidR="002822D6" w:rsidRPr="001E37C1">
        <w:rPr>
          <w:noProof/>
          <w:sz w:val="24"/>
          <w:szCs w:val="24"/>
        </w:rPr>
        <w:t xml:space="preserve">a) </w:t>
      </w:r>
      <w:r w:rsidR="007B5CF3" w:rsidRPr="001E37C1">
        <w:rPr>
          <w:noProof/>
          <w:sz w:val="24"/>
          <w:szCs w:val="24"/>
        </w:rPr>
        <w:t>in the event of harm</w:t>
      </w:r>
      <w:r w:rsidR="0027079A" w:rsidRPr="001E37C1">
        <w:rPr>
          <w:noProof/>
          <w:sz w:val="24"/>
          <w:szCs w:val="24"/>
        </w:rPr>
        <w:t xml:space="preserve"> </w:t>
      </w:r>
      <w:r w:rsidR="009A7210" w:rsidRPr="001E37C1">
        <w:rPr>
          <w:noProof/>
          <w:sz w:val="24"/>
          <w:szCs w:val="24"/>
        </w:rPr>
        <w:t xml:space="preserve">caused by a </w:t>
      </w:r>
      <w:r w:rsidR="002822D6" w:rsidRPr="001E37C1">
        <w:rPr>
          <w:noProof/>
          <w:sz w:val="24"/>
          <w:szCs w:val="24"/>
        </w:rPr>
        <w:t xml:space="preserve">product, </w:t>
      </w:r>
      <w:r w:rsidR="007B5CF3" w:rsidRPr="001E37C1">
        <w:rPr>
          <w:noProof/>
          <w:sz w:val="24"/>
          <w:szCs w:val="24"/>
        </w:rPr>
        <w:t xml:space="preserve">it would be for </w:t>
      </w:r>
      <w:r w:rsidRPr="001E37C1">
        <w:rPr>
          <w:noProof/>
          <w:sz w:val="24"/>
          <w:szCs w:val="24"/>
        </w:rPr>
        <w:t xml:space="preserve">the </w:t>
      </w:r>
      <w:r w:rsidR="0027079A" w:rsidRPr="001E37C1">
        <w:rPr>
          <w:noProof/>
          <w:sz w:val="24"/>
          <w:szCs w:val="24"/>
        </w:rPr>
        <w:t xml:space="preserve">producer </w:t>
      </w:r>
      <w:r w:rsidR="007B5CF3" w:rsidRPr="001E37C1">
        <w:rPr>
          <w:noProof/>
          <w:sz w:val="24"/>
          <w:szCs w:val="24"/>
        </w:rPr>
        <w:t xml:space="preserve">to </w:t>
      </w:r>
      <w:r w:rsidR="0027079A" w:rsidRPr="001E37C1">
        <w:rPr>
          <w:noProof/>
          <w:sz w:val="24"/>
          <w:szCs w:val="24"/>
        </w:rPr>
        <w:t>prove the product was not defective</w:t>
      </w:r>
      <w:r w:rsidR="002822D6" w:rsidRPr="001E37C1">
        <w:rPr>
          <w:noProof/>
          <w:sz w:val="24"/>
          <w:szCs w:val="24"/>
        </w:rPr>
        <w:t xml:space="preserve"> and did not cause the harm. In addition b) the development risk defence would be removed, meaning that producers would be liable when a product was defective, even if the defectiveness was not discoverable according to state-of-the-art knowledge.</w:t>
      </w:r>
      <w:r w:rsidR="001E4B02">
        <w:rPr>
          <w:noProof/>
          <w:sz w:val="24"/>
          <w:szCs w:val="24"/>
        </w:rPr>
        <w:t xml:space="preserve"> Elements a) and b) were combined as a coherent higher-intervention alternative to option 2a, in light of the fact that both stakeholders in favour of the option and those against saw the two elements as interconnected. </w:t>
      </w:r>
    </w:p>
    <w:p w14:paraId="5D201DEE" w14:textId="05DEED98" w:rsidR="009655B2" w:rsidRPr="001E37C1" w:rsidRDefault="003379C5" w:rsidP="001E37C1">
      <w:pPr>
        <w:spacing w:after="240" w:line="240" w:lineRule="auto"/>
        <w:jc w:val="both"/>
        <w:rPr>
          <w:noProof/>
          <w:sz w:val="24"/>
          <w:szCs w:val="24"/>
        </w:rPr>
      </w:pPr>
      <w:r w:rsidRPr="001E37C1">
        <w:rPr>
          <w:b/>
          <w:noProof/>
          <w:sz w:val="24"/>
          <w:szCs w:val="24"/>
        </w:rPr>
        <w:t xml:space="preserve">Restrictions on making claims: </w:t>
      </w:r>
      <w:r w:rsidR="00945410" w:rsidRPr="001E37C1">
        <w:rPr>
          <w:noProof/>
          <w:sz w:val="24"/>
          <w:szCs w:val="24"/>
        </w:rPr>
        <w:t xml:space="preserve">As in option 2a, the EUR 500 threshold would be removed. </w:t>
      </w:r>
      <w:r w:rsidR="00A01E09">
        <w:rPr>
          <w:noProof/>
          <w:sz w:val="24"/>
          <w:szCs w:val="24"/>
        </w:rPr>
        <w:t>But the time limits would be extended more generously</w:t>
      </w:r>
      <w:r w:rsidR="002E1BC2">
        <w:rPr>
          <w:noProof/>
          <w:sz w:val="24"/>
          <w:szCs w:val="24"/>
        </w:rPr>
        <w:t xml:space="preserve"> than under option 2a</w:t>
      </w:r>
      <w:r w:rsidR="00A01E09">
        <w:rPr>
          <w:noProof/>
          <w:sz w:val="24"/>
          <w:szCs w:val="24"/>
        </w:rPr>
        <w:t>: t</w:t>
      </w:r>
      <w:r w:rsidR="00945410" w:rsidRPr="001E37C1">
        <w:rPr>
          <w:noProof/>
          <w:sz w:val="24"/>
          <w:szCs w:val="24"/>
        </w:rPr>
        <w:t>he 10-year period of producer liability would be extended for all personal injury, not only latent personal injury</w:t>
      </w:r>
      <w:r w:rsidR="002E1BC2">
        <w:rPr>
          <w:noProof/>
          <w:sz w:val="24"/>
          <w:szCs w:val="24"/>
        </w:rPr>
        <w:t>; and</w:t>
      </w:r>
      <w:r w:rsidR="00945410" w:rsidRPr="001E37C1">
        <w:rPr>
          <w:noProof/>
          <w:sz w:val="24"/>
          <w:szCs w:val="24"/>
        </w:rPr>
        <w:t xml:space="preserve"> </w:t>
      </w:r>
      <w:r w:rsidR="002E1BC2">
        <w:rPr>
          <w:noProof/>
          <w:sz w:val="24"/>
          <w:szCs w:val="24"/>
        </w:rPr>
        <w:t>t</w:t>
      </w:r>
      <w:r w:rsidR="009655B2" w:rsidRPr="001E37C1">
        <w:rPr>
          <w:noProof/>
          <w:sz w:val="24"/>
          <w:szCs w:val="24"/>
        </w:rPr>
        <w:t>he 3-year limit would be extended to 5 years</w:t>
      </w:r>
      <w:r w:rsidR="00A01E09">
        <w:rPr>
          <w:noProof/>
          <w:sz w:val="24"/>
          <w:szCs w:val="24"/>
        </w:rPr>
        <w:t xml:space="preserve"> </w:t>
      </w:r>
      <w:r w:rsidR="002E1BC2">
        <w:rPr>
          <w:noProof/>
          <w:sz w:val="24"/>
          <w:szCs w:val="24"/>
        </w:rPr>
        <w:t xml:space="preserve">to </w:t>
      </w:r>
      <w:r w:rsidR="00481BCA">
        <w:rPr>
          <w:noProof/>
          <w:sz w:val="24"/>
          <w:szCs w:val="24"/>
        </w:rPr>
        <w:t>give</w:t>
      </w:r>
      <w:r w:rsidR="00481BCA" w:rsidRPr="002E1BC2">
        <w:rPr>
          <w:noProof/>
          <w:sz w:val="24"/>
          <w:szCs w:val="24"/>
        </w:rPr>
        <w:t xml:space="preserve"> </w:t>
      </w:r>
      <w:r w:rsidR="002E1BC2" w:rsidRPr="002E1BC2">
        <w:rPr>
          <w:noProof/>
          <w:sz w:val="24"/>
          <w:szCs w:val="24"/>
        </w:rPr>
        <w:t xml:space="preserve">victims </w:t>
      </w:r>
      <w:r w:rsidR="002E1BC2">
        <w:rPr>
          <w:noProof/>
          <w:sz w:val="24"/>
          <w:szCs w:val="24"/>
        </w:rPr>
        <w:t xml:space="preserve">of harm </w:t>
      </w:r>
      <w:r w:rsidR="00481BCA">
        <w:rPr>
          <w:noProof/>
          <w:sz w:val="24"/>
          <w:szCs w:val="24"/>
        </w:rPr>
        <w:t xml:space="preserve">more </w:t>
      </w:r>
      <w:r w:rsidR="002E1BC2">
        <w:rPr>
          <w:noProof/>
          <w:sz w:val="24"/>
          <w:szCs w:val="24"/>
        </w:rPr>
        <w:t>time to start legal proceedings.</w:t>
      </w:r>
    </w:p>
    <w:p w14:paraId="0D9981B5" w14:textId="11F56953" w:rsidR="006B087E" w:rsidRPr="003F01BB" w:rsidRDefault="002E7937" w:rsidP="002E7937">
      <w:pPr>
        <w:pStyle w:val="Heading2"/>
        <w:rPr>
          <w:noProof/>
        </w:rPr>
      </w:pPr>
      <w:bookmarkStart w:id="449" w:name="_Toc93401447"/>
      <w:bookmarkStart w:id="450" w:name="_Toc94005544"/>
      <w:bookmarkStart w:id="451" w:name="_Toc95379872"/>
      <w:bookmarkStart w:id="452" w:name="_Toc95391363"/>
      <w:bookmarkStart w:id="453" w:name="_Toc95396432"/>
      <w:bookmarkStart w:id="454" w:name="_Toc95421530"/>
      <w:bookmarkStart w:id="455" w:name="_Toc95481979"/>
      <w:bookmarkStart w:id="456" w:name="_Toc96337772"/>
      <w:bookmarkStart w:id="457" w:name="_Toc96446251"/>
      <w:bookmarkStart w:id="458" w:name="_Toc96448024"/>
      <w:bookmarkStart w:id="459" w:name="_Toc96593973"/>
      <w:bookmarkStart w:id="460" w:name="_Toc96597264"/>
      <w:bookmarkStart w:id="461" w:name="_Toc96609199"/>
      <w:bookmarkStart w:id="462" w:name="_Toc97149228"/>
      <w:bookmarkStart w:id="463" w:name="_Toc97191274"/>
      <w:bookmarkStart w:id="464" w:name="_Toc107430084"/>
      <w:r w:rsidRPr="002E7937">
        <w:t>5.3.</w:t>
      </w:r>
      <w:r w:rsidRPr="002E7937">
        <w:tab/>
      </w:r>
      <w:r w:rsidR="006B087E" w:rsidRPr="003F01BB">
        <w:rPr>
          <w:noProof/>
        </w:rPr>
        <w:t>Options discarded at an early stage</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511A3A4" w14:textId="5B91E48A" w:rsidR="006B087E" w:rsidRPr="001E37C1" w:rsidRDefault="00251BF8" w:rsidP="001E37C1">
      <w:pPr>
        <w:spacing w:after="240" w:line="240" w:lineRule="auto"/>
        <w:jc w:val="both"/>
        <w:rPr>
          <w:noProof/>
          <w:sz w:val="24"/>
          <w:szCs w:val="24"/>
        </w:rPr>
      </w:pPr>
      <w:r w:rsidRPr="001E37C1">
        <w:rPr>
          <w:noProof/>
          <w:sz w:val="24"/>
          <w:szCs w:val="24"/>
        </w:rPr>
        <w:t>Several other potential policy options were discarded at an early stage.</w:t>
      </w:r>
    </w:p>
    <w:p w14:paraId="06F97BD2" w14:textId="165B83D2" w:rsidR="00251BF8" w:rsidRPr="001E37C1" w:rsidRDefault="00251BF8" w:rsidP="001E37C1">
      <w:pPr>
        <w:spacing w:after="240" w:line="240" w:lineRule="auto"/>
        <w:jc w:val="both"/>
        <w:rPr>
          <w:noProof/>
          <w:sz w:val="24"/>
          <w:szCs w:val="24"/>
        </w:rPr>
      </w:pPr>
      <w:r w:rsidRPr="001E37C1">
        <w:rPr>
          <w:b/>
          <w:noProof/>
          <w:sz w:val="24"/>
          <w:szCs w:val="24"/>
        </w:rPr>
        <w:t>Guidance</w:t>
      </w:r>
      <w:r w:rsidR="00B27649" w:rsidRPr="001E37C1">
        <w:rPr>
          <w:b/>
          <w:noProof/>
          <w:sz w:val="24"/>
          <w:szCs w:val="24"/>
        </w:rPr>
        <w:t xml:space="preserve"> only: </w:t>
      </w:r>
      <w:r w:rsidR="0064332E" w:rsidRPr="001E37C1">
        <w:rPr>
          <w:noProof/>
          <w:sz w:val="24"/>
          <w:szCs w:val="24"/>
        </w:rPr>
        <w:t>Although</w:t>
      </w:r>
      <w:r w:rsidR="0064332E" w:rsidRPr="001E37C1">
        <w:rPr>
          <w:b/>
          <w:noProof/>
          <w:sz w:val="24"/>
          <w:szCs w:val="24"/>
        </w:rPr>
        <w:t xml:space="preserve"> </w:t>
      </w:r>
      <w:r w:rsidR="00737024" w:rsidRPr="001E37C1">
        <w:rPr>
          <w:noProof/>
          <w:sz w:val="24"/>
          <w:szCs w:val="24"/>
        </w:rPr>
        <w:t>a</w:t>
      </w:r>
      <w:r w:rsidR="004142D5" w:rsidRPr="001E37C1">
        <w:rPr>
          <w:noProof/>
          <w:sz w:val="24"/>
          <w:szCs w:val="24"/>
        </w:rPr>
        <w:t>n overall</w:t>
      </w:r>
      <w:r w:rsidR="00737024" w:rsidRPr="001E37C1">
        <w:rPr>
          <w:noProof/>
          <w:sz w:val="24"/>
          <w:szCs w:val="24"/>
        </w:rPr>
        <w:t xml:space="preserve"> majority</w:t>
      </w:r>
      <w:r w:rsidR="00737024" w:rsidRPr="001E37C1">
        <w:rPr>
          <w:b/>
          <w:noProof/>
          <w:sz w:val="24"/>
          <w:szCs w:val="24"/>
        </w:rPr>
        <w:t xml:space="preserve"> </w:t>
      </w:r>
      <w:r w:rsidR="00737024" w:rsidRPr="001E37C1">
        <w:rPr>
          <w:noProof/>
          <w:sz w:val="24"/>
          <w:szCs w:val="24"/>
        </w:rPr>
        <w:t xml:space="preserve">of </w:t>
      </w:r>
      <w:r w:rsidR="004142D5" w:rsidRPr="001E37C1">
        <w:rPr>
          <w:noProof/>
          <w:sz w:val="24"/>
          <w:szCs w:val="24"/>
        </w:rPr>
        <w:t xml:space="preserve">all </w:t>
      </w:r>
      <w:r w:rsidR="00737024" w:rsidRPr="001E37C1">
        <w:rPr>
          <w:noProof/>
          <w:sz w:val="24"/>
          <w:szCs w:val="24"/>
        </w:rPr>
        <w:t xml:space="preserve">respondents to the public consultation were in </w:t>
      </w:r>
      <w:r w:rsidR="00737024" w:rsidRPr="00716401">
        <w:rPr>
          <w:noProof/>
          <w:sz w:val="24"/>
          <w:szCs w:val="24"/>
        </w:rPr>
        <w:t xml:space="preserve">favour of legislative change to adapt the </w:t>
      </w:r>
      <w:r w:rsidR="0064332E" w:rsidRPr="00716401">
        <w:rPr>
          <w:noProof/>
          <w:sz w:val="24"/>
          <w:szCs w:val="24"/>
        </w:rPr>
        <w:t xml:space="preserve">PLD to </w:t>
      </w:r>
      <w:r w:rsidR="00737024" w:rsidRPr="00716401">
        <w:rPr>
          <w:noProof/>
          <w:sz w:val="24"/>
          <w:szCs w:val="24"/>
        </w:rPr>
        <w:t xml:space="preserve">the </w:t>
      </w:r>
      <w:r w:rsidR="0064332E" w:rsidRPr="00716401">
        <w:rPr>
          <w:noProof/>
          <w:sz w:val="24"/>
          <w:szCs w:val="24"/>
        </w:rPr>
        <w:t xml:space="preserve">digital and circular economy, </w:t>
      </w:r>
      <w:r w:rsidR="00737024" w:rsidRPr="00716401">
        <w:rPr>
          <w:noProof/>
          <w:sz w:val="24"/>
          <w:szCs w:val="24"/>
        </w:rPr>
        <w:t>65% of businesses or business associations</w:t>
      </w:r>
      <w:r w:rsidR="00B27649" w:rsidRPr="00716401">
        <w:rPr>
          <w:noProof/>
          <w:sz w:val="24"/>
          <w:szCs w:val="24"/>
        </w:rPr>
        <w:t xml:space="preserve"> </w:t>
      </w:r>
      <w:r w:rsidR="00737024" w:rsidRPr="00716401">
        <w:rPr>
          <w:noProof/>
          <w:sz w:val="24"/>
          <w:szCs w:val="24"/>
        </w:rPr>
        <w:t>were opposed</w:t>
      </w:r>
      <w:r w:rsidR="00B02FD3" w:rsidRPr="00716401">
        <w:rPr>
          <w:rStyle w:val="FootnoteReference"/>
          <w:noProof/>
          <w:sz w:val="24"/>
          <w:szCs w:val="24"/>
        </w:rPr>
        <w:footnoteReference w:id="161"/>
      </w:r>
      <w:r w:rsidR="00737024" w:rsidRPr="00716401">
        <w:rPr>
          <w:noProof/>
          <w:sz w:val="24"/>
          <w:szCs w:val="24"/>
        </w:rPr>
        <w:t>.</w:t>
      </w:r>
      <w:r w:rsidR="00737024" w:rsidRPr="001E37C1">
        <w:rPr>
          <w:noProof/>
          <w:sz w:val="24"/>
          <w:szCs w:val="24"/>
        </w:rPr>
        <w:t xml:space="preserve"> A number of them </w:t>
      </w:r>
      <w:r w:rsidR="0064332E" w:rsidRPr="001E37C1">
        <w:rPr>
          <w:noProof/>
          <w:sz w:val="24"/>
          <w:szCs w:val="24"/>
        </w:rPr>
        <w:t>called for guidance</w:t>
      </w:r>
      <w:r w:rsidR="000E6B70" w:rsidRPr="001E37C1">
        <w:rPr>
          <w:noProof/>
          <w:sz w:val="24"/>
          <w:szCs w:val="24"/>
        </w:rPr>
        <w:t xml:space="preserve"> </w:t>
      </w:r>
      <w:r w:rsidR="00737024" w:rsidRPr="001E37C1">
        <w:rPr>
          <w:noProof/>
          <w:sz w:val="24"/>
          <w:szCs w:val="24"/>
        </w:rPr>
        <w:t>instead</w:t>
      </w:r>
      <w:r w:rsidR="00737024" w:rsidRPr="001E37C1">
        <w:rPr>
          <w:rStyle w:val="FootnoteReference"/>
          <w:noProof/>
          <w:sz w:val="24"/>
          <w:szCs w:val="24"/>
        </w:rPr>
        <w:footnoteReference w:id="162"/>
      </w:r>
      <w:r w:rsidR="0064332E" w:rsidRPr="001E37C1">
        <w:rPr>
          <w:noProof/>
          <w:sz w:val="24"/>
          <w:szCs w:val="24"/>
        </w:rPr>
        <w:t>.</w:t>
      </w:r>
      <w:r w:rsidR="000E6B70" w:rsidRPr="001E37C1">
        <w:rPr>
          <w:noProof/>
          <w:sz w:val="24"/>
          <w:szCs w:val="24"/>
        </w:rPr>
        <w:t xml:space="preserve"> Guidance would, however, require consensus by all stakeholders and would therefore be limited to minimum changes. In 2018 the Commission set up the Expert Group on liability and new technologies (PLD formation)</w:t>
      </w:r>
      <w:r w:rsidR="000C1659" w:rsidRPr="001E37C1">
        <w:rPr>
          <w:rStyle w:val="FootnoteReference"/>
          <w:noProof/>
          <w:sz w:val="24"/>
          <w:szCs w:val="24"/>
        </w:rPr>
        <w:footnoteReference w:id="163"/>
      </w:r>
      <w:r w:rsidR="000E6B70" w:rsidRPr="001E37C1">
        <w:rPr>
          <w:noProof/>
          <w:sz w:val="24"/>
          <w:szCs w:val="24"/>
        </w:rPr>
        <w:t xml:space="preserve"> to develop such guidance. However, experts </w:t>
      </w:r>
      <w:r w:rsidR="008D2D9A" w:rsidRPr="001E37C1">
        <w:rPr>
          <w:noProof/>
          <w:sz w:val="24"/>
          <w:szCs w:val="24"/>
        </w:rPr>
        <w:t>had</w:t>
      </w:r>
      <w:r w:rsidR="000E6B70" w:rsidRPr="001E37C1">
        <w:rPr>
          <w:noProof/>
          <w:sz w:val="24"/>
          <w:szCs w:val="24"/>
        </w:rPr>
        <w:t xml:space="preserve"> conflicting interpretations of the current text of the PLD, particularly on the extent to which software and digital elements are within scope, how to deal updates or other </w:t>
      </w:r>
      <w:r w:rsidR="008D2D9A" w:rsidRPr="001E37C1">
        <w:rPr>
          <w:noProof/>
          <w:sz w:val="24"/>
          <w:szCs w:val="24"/>
        </w:rPr>
        <w:t xml:space="preserve">product </w:t>
      </w:r>
      <w:r w:rsidR="000E6B70" w:rsidRPr="001E37C1">
        <w:rPr>
          <w:noProof/>
          <w:sz w:val="24"/>
          <w:szCs w:val="24"/>
        </w:rPr>
        <w:t>changes and the extent to which presumptions could be used to ease the burden of proof</w:t>
      </w:r>
      <w:r w:rsidR="008D2D9A" w:rsidRPr="001E37C1">
        <w:rPr>
          <w:noProof/>
          <w:sz w:val="24"/>
          <w:szCs w:val="24"/>
        </w:rPr>
        <w:t xml:space="preserve">. As a result, </w:t>
      </w:r>
      <w:r w:rsidR="000E6B70" w:rsidRPr="001E37C1">
        <w:rPr>
          <w:noProof/>
          <w:sz w:val="24"/>
          <w:szCs w:val="24"/>
        </w:rPr>
        <w:t>no consensus could be reached</w:t>
      </w:r>
      <w:r w:rsidR="00FD592B" w:rsidRPr="001E37C1">
        <w:rPr>
          <w:rStyle w:val="FootnoteReference"/>
          <w:noProof/>
          <w:sz w:val="24"/>
          <w:szCs w:val="24"/>
        </w:rPr>
        <w:footnoteReference w:id="164"/>
      </w:r>
      <w:r w:rsidR="000E6B70" w:rsidRPr="001E37C1">
        <w:rPr>
          <w:noProof/>
          <w:sz w:val="24"/>
          <w:szCs w:val="24"/>
        </w:rPr>
        <w:t xml:space="preserve"> and the guidance was not completed. </w:t>
      </w:r>
      <w:r w:rsidR="003F7594" w:rsidRPr="001E37C1">
        <w:rPr>
          <w:noProof/>
          <w:sz w:val="24"/>
          <w:szCs w:val="24"/>
        </w:rPr>
        <w:t>S</w:t>
      </w:r>
      <w:r w:rsidR="004E746B" w:rsidRPr="001E37C1">
        <w:rPr>
          <w:noProof/>
          <w:sz w:val="24"/>
          <w:szCs w:val="24"/>
        </w:rPr>
        <w:t xml:space="preserve">ubstantive changes, such as </w:t>
      </w:r>
      <w:r w:rsidR="003F7594" w:rsidRPr="001E37C1">
        <w:rPr>
          <w:noProof/>
          <w:sz w:val="24"/>
          <w:szCs w:val="24"/>
        </w:rPr>
        <w:t xml:space="preserve">recognising software as a product in its own right, </w:t>
      </w:r>
      <w:r w:rsidR="004E746B" w:rsidRPr="001E37C1">
        <w:rPr>
          <w:noProof/>
          <w:sz w:val="24"/>
          <w:szCs w:val="24"/>
        </w:rPr>
        <w:t>changes to time limits and the EUR 500 threshold, would in any event not be possible through guidance.</w:t>
      </w:r>
      <w:r w:rsidR="00C6799C">
        <w:rPr>
          <w:noProof/>
          <w:sz w:val="24"/>
          <w:szCs w:val="24"/>
        </w:rPr>
        <w:t xml:space="preserve"> Despite being discarded, g</w:t>
      </w:r>
      <w:r w:rsidR="001776B9">
        <w:rPr>
          <w:noProof/>
          <w:sz w:val="24"/>
          <w:szCs w:val="24"/>
        </w:rPr>
        <w:t xml:space="preserve">iven </w:t>
      </w:r>
      <w:r w:rsidR="00C6799C">
        <w:rPr>
          <w:noProof/>
          <w:sz w:val="24"/>
          <w:szCs w:val="24"/>
        </w:rPr>
        <w:t xml:space="preserve">there was </w:t>
      </w:r>
      <w:r w:rsidR="001776B9">
        <w:rPr>
          <w:noProof/>
          <w:sz w:val="24"/>
          <w:szCs w:val="24"/>
        </w:rPr>
        <w:t>st</w:t>
      </w:r>
      <w:r w:rsidR="00E333EF">
        <w:rPr>
          <w:noProof/>
          <w:sz w:val="24"/>
          <w:szCs w:val="24"/>
        </w:rPr>
        <w:t>akeholder support for guidance,</w:t>
      </w:r>
      <w:r w:rsidR="001776B9">
        <w:rPr>
          <w:noProof/>
          <w:sz w:val="24"/>
          <w:szCs w:val="24"/>
        </w:rPr>
        <w:t xml:space="preserve"> the assessment of this option is presented in Annex 6.</w:t>
      </w:r>
    </w:p>
    <w:p w14:paraId="0BB7B131" w14:textId="0781B90D" w:rsidR="00B27649" w:rsidRDefault="00B27649" w:rsidP="001E37C1">
      <w:pPr>
        <w:spacing w:after="240" w:line="240" w:lineRule="auto"/>
        <w:jc w:val="both"/>
        <w:rPr>
          <w:noProof/>
          <w:sz w:val="24"/>
          <w:szCs w:val="24"/>
          <w:lang w:val="en-IE"/>
        </w:rPr>
      </w:pPr>
      <w:r w:rsidRPr="001E37C1">
        <w:rPr>
          <w:b/>
          <w:noProof/>
          <w:sz w:val="24"/>
          <w:szCs w:val="24"/>
        </w:rPr>
        <w:t>Repeal of the PLD:</w:t>
      </w:r>
      <w:r w:rsidR="00402CDB">
        <w:rPr>
          <w:noProof/>
          <w:sz w:val="24"/>
          <w:szCs w:val="24"/>
        </w:rPr>
        <w:t xml:space="preserve"> </w:t>
      </w:r>
      <w:r w:rsidRPr="001E37C1">
        <w:rPr>
          <w:noProof/>
          <w:sz w:val="24"/>
          <w:szCs w:val="24"/>
        </w:rPr>
        <w:t xml:space="preserve">The Evaluation of the PLD concluded that the PLD </w:t>
      </w:r>
      <w:r w:rsidRPr="001E37C1">
        <w:rPr>
          <w:noProof/>
          <w:sz w:val="24"/>
          <w:szCs w:val="24"/>
          <w:lang w:val="en-IE"/>
        </w:rPr>
        <w:t xml:space="preserve">provides EU added value and no stakeholder suggested repealing it. Repeal would mean that each Member State would </w:t>
      </w:r>
      <w:r w:rsidR="00ED22B9" w:rsidRPr="001E37C1">
        <w:rPr>
          <w:noProof/>
          <w:sz w:val="24"/>
          <w:szCs w:val="24"/>
          <w:lang w:val="en-IE"/>
        </w:rPr>
        <w:t xml:space="preserve">design </w:t>
      </w:r>
      <w:r w:rsidRPr="001E37C1">
        <w:rPr>
          <w:noProof/>
          <w:sz w:val="24"/>
          <w:szCs w:val="24"/>
          <w:lang w:val="en-IE"/>
        </w:rPr>
        <w:t>their own national rules on producers’ liability for harm caused by defective products. A majority of businesses agree that the level playing field achieved would not be possible with individual Member State action. In addition, almost all consumer associations considered that the protection of consumers achieved would not be feasible with only national action. The vast majority of public authorities and civil society representatives deem that the Directive added value to the EU legal framework and policies</w:t>
      </w:r>
      <w:r w:rsidR="00BF1A6F" w:rsidRPr="001E37C1">
        <w:rPr>
          <w:rStyle w:val="FootnoteReference"/>
          <w:noProof/>
          <w:sz w:val="24"/>
          <w:szCs w:val="24"/>
        </w:rPr>
        <w:footnoteReference w:id="165"/>
      </w:r>
      <w:r w:rsidRPr="001E37C1">
        <w:rPr>
          <w:noProof/>
          <w:sz w:val="24"/>
          <w:szCs w:val="24"/>
          <w:lang w:val="en-IE"/>
        </w:rPr>
        <w:t>.</w:t>
      </w:r>
    </w:p>
    <w:p w14:paraId="675ACF24" w14:textId="0B0C064D" w:rsidR="00E77876" w:rsidRDefault="00E77876" w:rsidP="001E37C1">
      <w:pPr>
        <w:spacing w:after="240" w:line="240" w:lineRule="auto"/>
        <w:jc w:val="both"/>
        <w:rPr>
          <w:noProof/>
          <w:sz w:val="24"/>
          <w:szCs w:val="24"/>
          <w:lang w:val="en-IE"/>
        </w:rPr>
      </w:pPr>
      <w:r w:rsidRPr="00A46ADB">
        <w:rPr>
          <w:b/>
          <w:noProof/>
          <w:sz w:val="24"/>
          <w:szCs w:val="24"/>
          <w:lang w:val="en-IE"/>
        </w:rPr>
        <w:t xml:space="preserve">Converting the PLD into a </w:t>
      </w:r>
      <w:r w:rsidR="00225825">
        <w:rPr>
          <w:b/>
          <w:noProof/>
          <w:sz w:val="24"/>
          <w:szCs w:val="24"/>
          <w:lang w:val="en-IE"/>
        </w:rPr>
        <w:t>r</w:t>
      </w:r>
      <w:r w:rsidRPr="00A46ADB">
        <w:rPr>
          <w:b/>
          <w:noProof/>
          <w:sz w:val="24"/>
          <w:szCs w:val="24"/>
          <w:lang w:val="en-IE"/>
        </w:rPr>
        <w:t>egulation:</w:t>
      </w:r>
      <w:r>
        <w:rPr>
          <w:noProof/>
          <w:sz w:val="24"/>
          <w:szCs w:val="24"/>
          <w:lang w:val="en-IE"/>
        </w:rPr>
        <w:t xml:space="preserve"> </w:t>
      </w:r>
      <w:r w:rsidR="00A46ADB">
        <w:rPr>
          <w:noProof/>
          <w:sz w:val="24"/>
          <w:szCs w:val="24"/>
          <w:lang w:val="en-IE"/>
        </w:rPr>
        <w:t xml:space="preserve">Given </w:t>
      </w:r>
      <w:r w:rsidR="00225825">
        <w:rPr>
          <w:noProof/>
          <w:sz w:val="24"/>
          <w:szCs w:val="24"/>
          <w:lang w:val="en-IE"/>
        </w:rPr>
        <w:t>that the PLD’s liability rules interact closely with national civil codes and are</w:t>
      </w:r>
      <w:r w:rsidR="00A46ADB">
        <w:rPr>
          <w:noProof/>
          <w:sz w:val="24"/>
          <w:szCs w:val="24"/>
          <w:lang w:val="en-IE"/>
        </w:rPr>
        <w:t xml:space="preserve"> deeply embedded into </w:t>
      </w:r>
      <w:r w:rsidR="00225825">
        <w:rPr>
          <w:noProof/>
          <w:sz w:val="24"/>
          <w:szCs w:val="24"/>
          <w:lang w:val="en-IE"/>
        </w:rPr>
        <w:t xml:space="preserve">diverse national legal </w:t>
      </w:r>
      <w:r w:rsidR="00023E1D">
        <w:rPr>
          <w:noProof/>
          <w:sz w:val="24"/>
          <w:szCs w:val="24"/>
          <w:lang w:val="en-IE"/>
        </w:rPr>
        <w:t>systems</w:t>
      </w:r>
      <w:r w:rsidR="00225825">
        <w:rPr>
          <w:noProof/>
          <w:sz w:val="24"/>
          <w:szCs w:val="24"/>
          <w:lang w:val="en-IE"/>
        </w:rPr>
        <w:t xml:space="preserve">, the option of converting the PLD into a regulation was discarded. A </w:t>
      </w:r>
      <w:r w:rsidR="00023E1D">
        <w:rPr>
          <w:noProof/>
          <w:sz w:val="24"/>
          <w:szCs w:val="24"/>
          <w:lang w:val="en-IE"/>
        </w:rPr>
        <w:t xml:space="preserve">directive allows more </w:t>
      </w:r>
      <w:r w:rsidR="00225825">
        <w:rPr>
          <w:noProof/>
          <w:sz w:val="24"/>
          <w:szCs w:val="24"/>
          <w:lang w:val="en-IE"/>
        </w:rPr>
        <w:t xml:space="preserve">flexibility to seamlessly </w:t>
      </w:r>
      <w:r w:rsidR="00023E1D">
        <w:rPr>
          <w:noProof/>
          <w:sz w:val="24"/>
          <w:szCs w:val="24"/>
          <w:lang w:val="en-IE"/>
        </w:rPr>
        <w:t xml:space="preserve">embed the PLD’s rules into national systems. Neither the evaluation nor the impact assessment study identified </w:t>
      </w:r>
      <w:r w:rsidR="00225825">
        <w:rPr>
          <w:noProof/>
          <w:sz w:val="24"/>
          <w:szCs w:val="24"/>
          <w:lang w:val="en-IE"/>
        </w:rPr>
        <w:t>additional benefit</w:t>
      </w:r>
      <w:r w:rsidR="00023E1D">
        <w:rPr>
          <w:noProof/>
          <w:sz w:val="24"/>
          <w:szCs w:val="24"/>
          <w:lang w:val="en-IE"/>
        </w:rPr>
        <w:t>s of a regulation</w:t>
      </w:r>
      <w:r w:rsidR="00225825">
        <w:rPr>
          <w:noProof/>
          <w:sz w:val="24"/>
          <w:szCs w:val="24"/>
          <w:lang w:val="en-IE"/>
        </w:rPr>
        <w:t xml:space="preserve">. </w:t>
      </w:r>
      <w:r w:rsidR="0063171C">
        <w:rPr>
          <w:noProof/>
          <w:sz w:val="24"/>
          <w:szCs w:val="24"/>
          <w:lang w:val="en-IE"/>
        </w:rPr>
        <w:t>There is also no stakeholder support for converting the PLD into a regulation.</w:t>
      </w:r>
    </w:p>
    <w:p w14:paraId="17A07493" w14:textId="6A46136C" w:rsidR="00AD7835" w:rsidRPr="00A6599F" w:rsidRDefault="00AD7835" w:rsidP="001E37C1">
      <w:pPr>
        <w:spacing w:after="240" w:line="240" w:lineRule="auto"/>
        <w:jc w:val="both"/>
        <w:rPr>
          <w:noProof/>
          <w:sz w:val="24"/>
          <w:szCs w:val="24"/>
        </w:rPr>
      </w:pPr>
      <w:r w:rsidRPr="00A30701">
        <w:rPr>
          <w:b/>
          <w:noProof/>
          <w:sz w:val="24"/>
          <w:szCs w:val="24"/>
        </w:rPr>
        <w:t>Sector-</w:t>
      </w:r>
      <w:r w:rsidR="00A30701">
        <w:rPr>
          <w:b/>
          <w:noProof/>
          <w:sz w:val="24"/>
          <w:szCs w:val="24"/>
        </w:rPr>
        <w:t xml:space="preserve"> or technology-</w:t>
      </w:r>
      <w:r w:rsidRPr="00A30701">
        <w:rPr>
          <w:b/>
          <w:noProof/>
          <w:sz w:val="24"/>
          <w:szCs w:val="24"/>
        </w:rPr>
        <w:t xml:space="preserve">specific approach to easing the burden of proof: </w:t>
      </w:r>
      <w:r w:rsidRPr="00AD7835">
        <w:rPr>
          <w:noProof/>
          <w:sz w:val="24"/>
          <w:szCs w:val="24"/>
        </w:rPr>
        <w:t xml:space="preserve">The measures on easing the burden of proof </w:t>
      </w:r>
      <w:r w:rsidR="00A30701">
        <w:rPr>
          <w:noProof/>
          <w:sz w:val="24"/>
          <w:szCs w:val="24"/>
        </w:rPr>
        <w:t xml:space="preserve">(PO2a and PO2b) </w:t>
      </w:r>
      <w:r w:rsidRPr="00AD7835">
        <w:rPr>
          <w:noProof/>
          <w:sz w:val="24"/>
          <w:szCs w:val="24"/>
        </w:rPr>
        <w:t xml:space="preserve">could </w:t>
      </w:r>
      <w:r w:rsidR="00A30701">
        <w:rPr>
          <w:noProof/>
          <w:sz w:val="24"/>
          <w:szCs w:val="24"/>
        </w:rPr>
        <w:t xml:space="preserve">have </w:t>
      </w:r>
      <w:r w:rsidRPr="00AD7835">
        <w:rPr>
          <w:noProof/>
          <w:sz w:val="24"/>
          <w:szCs w:val="24"/>
        </w:rPr>
        <w:t>be</w:t>
      </w:r>
      <w:r w:rsidR="00A30701">
        <w:rPr>
          <w:noProof/>
          <w:sz w:val="24"/>
          <w:szCs w:val="24"/>
        </w:rPr>
        <w:t>en</w:t>
      </w:r>
      <w:r w:rsidRPr="00AD7835">
        <w:rPr>
          <w:noProof/>
          <w:sz w:val="24"/>
          <w:szCs w:val="24"/>
        </w:rPr>
        <w:t xml:space="preserve"> applied only to certain specific product types identified as creating difficulties to prove liability. The PLD evaluation identified pharmaceuticals as such a product type, and the expert group on liability and new technologies identified AI-enabled products and other emerging digital technologies like IoT products as problematic</w:t>
      </w:r>
      <w:r w:rsidRPr="00AD7835">
        <w:rPr>
          <w:noProof/>
          <w:sz w:val="24"/>
          <w:szCs w:val="24"/>
          <w:vertAlign w:val="superscript"/>
        </w:rPr>
        <w:footnoteReference w:id="166"/>
      </w:r>
      <w:r w:rsidRPr="00AD7835">
        <w:rPr>
          <w:noProof/>
          <w:sz w:val="24"/>
          <w:szCs w:val="24"/>
        </w:rPr>
        <w:t>.</w:t>
      </w:r>
      <w:r w:rsidR="00A30701">
        <w:rPr>
          <w:noProof/>
          <w:sz w:val="24"/>
          <w:szCs w:val="24"/>
        </w:rPr>
        <w:t xml:space="preserve"> </w:t>
      </w:r>
      <w:r w:rsidRPr="00AD7835">
        <w:rPr>
          <w:noProof/>
          <w:sz w:val="24"/>
          <w:szCs w:val="24"/>
        </w:rPr>
        <w:t xml:space="preserve">Indeed, a French patients’ association called for </w:t>
      </w:r>
      <w:r w:rsidR="00A30701">
        <w:rPr>
          <w:noProof/>
          <w:sz w:val="24"/>
          <w:szCs w:val="24"/>
        </w:rPr>
        <w:t xml:space="preserve">stricter rules </w:t>
      </w:r>
      <w:r w:rsidRPr="00AD7835">
        <w:rPr>
          <w:noProof/>
          <w:sz w:val="24"/>
          <w:szCs w:val="24"/>
        </w:rPr>
        <w:t>for pharmaceuticals products</w:t>
      </w:r>
      <w:r w:rsidRPr="00AD7835">
        <w:rPr>
          <w:noProof/>
          <w:sz w:val="24"/>
          <w:szCs w:val="24"/>
          <w:vertAlign w:val="superscript"/>
        </w:rPr>
        <w:footnoteReference w:id="167"/>
      </w:r>
      <w:r w:rsidR="00A30701">
        <w:rPr>
          <w:noProof/>
          <w:sz w:val="24"/>
          <w:szCs w:val="24"/>
        </w:rPr>
        <w:t xml:space="preserve"> and s</w:t>
      </w:r>
      <w:r w:rsidRPr="00AD7835">
        <w:rPr>
          <w:noProof/>
          <w:sz w:val="24"/>
          <w:szCs w:val="24"/>
        </w:rPr>
        <w:t xml:space="preserve">everal NGOs called for </w:t>
      </w:r>
      <w:r w:rsidR="00A30701">
        <w:rPr>
          <w:noProof/>
          <w:sz w:val="24"/>
          <w:szCs w:val="24"/>
        </w:rPr>
        <w:t xml:space="preserve">stricter rules for </w:t>
      </w:r>
      <w:r w:rsidRPr="00AD7835">
        <w:rPr>
          <w:noProof/>
          <w:sz w:val="24"/>
          <w:szCs w:val="24"/>
        </w:rPr>
        <w:t>harm caused by AI systems</w:t>
      </w:r>
      <w:r w:rsidRPr="00AD7835">
        <w:rPr>
          <w:noProof/>
          <w:sz w:val="24"/>
          <w:szCs w:val="24"/>
          <w:vertAlign w:val="superscript"/>
        </w:rPr>
        <w:footnoteReference w:id="168"/>
      </w:r>
      <w:r w:rsidRPr="00AD7835">
        <w:rPr>
          <w:noProof/>
          <w:sz w:val="24"/>
          <w:szCs w:val="24"/>
        </w:rPr>
        <w:t xml:space="preserve">. However, most stakeholders expressed support for a product liability regime that applies neutrally to all product types. This was reflected in the public consultation: </w:t>
      </w:r>
      <w:r w:rsidR="00597FFB">
        <w:rPr>
          <w:noProof/>
          <w:sz w:val="24"/>
          <w:szCs w:val="24"/>
        </w:rPr>
        <w:t>w</w:t>
      </w:r>
      <w:r w:rsidRPr="00AD7835">
        <w:rPr>
          <w:noProof/>
          <w:sz w:val="24"/>
          <w:szCs w:val="24"/>
        </w:rPr>
        <w:t>hile very clear majorities of respondents did identify AI-enabled products, IoT products and pharmaceuticals as examples of products for which it is difficult to prove liability, 77% of respondents</w:t>
      </w:r>
      <w:r w:rsidRPr="00AD7835">
        <w:rPr>
          <w:noProof/>
          <w:sz w:val="24"/>
          <w:szCs w:val="24"/>
          <w:vertAlign w:val="superscript"/>
        </w:rPr>
        <w:footnoteReference w:id="169"/>
      </w:r>
      <w:r w:rsidRPr="00AD7835">
        <w:rPr>
          <w:noProof/>
          <w:sz w:val="24"/>
          <w:szCs w:val="24"/>
        </w:rPr>
        <w:t xml:space="preserve"> also replied that it was (to a moderate, large or very large extent) technical complexity, as a product characteristic in general, that made it difficult to prove liability. </w:t>
      </w:r>
      <w:r w:rsidR="005B2672">
        <w:rPr>
          <w:noProof/>
          <w:sz w:val="24"/>
          <w:szCs w:val="24"/>
        </w:rPr>
        <w:t xml:space="preserve">Focussing on pre-defined </w:t>
      </w:r>
      <w:r w:rsidR="00A6599F">
        <w:rPr>
          <w:noProof/>
          <w:sz w:val="24"/>
          <w:szCs w:val="24"/>
        </w:rPr>
        <w:t>sectors</w:t>
      </w:r>
      <w:r w:rsidR="005B2672">
        <w:rPr>
          <w:noProof/>
          <w:sz w:val="24"/>
          <w:szCs w:val="24"/>
        </w:rPr>
        <w:t xml:space="preserve"> or technologies would be too rigid an approach, leading to </w:t>
      </w:r>
      <w:r w:rsidR="00597FFB">
        <w:rPr>
          <w:noProof/>
          <w:sz w:val="24"/>
          <w:szCs w:val="24"/>
        </w:rPr>
        <w:t>over</w:t>
      </w:r>
      <w:r w:rsidR="005B2672">
        <w:rPr>
          <w:noProof/>
          <w:sz w:val="24"/>
          <w:szCs w:val="24"/>
        </w:rPr>
        <w:t xml:space="preserve">-inclusion, since not all products in a given category are highly complex (e.g. an AI-enabled toothbrush) and under-inclusion, since technical complexity can be a feature of many </w:t>
      </w:r>
      <w:r w:rsidR="00A6599F">
        <w:rPr>
          <w:noProof/>
          <w:sz w:val="24"/>
          <w:szCs w:val="24"/>
        </w:rPr>
        <w:t xml:space="preserve">other </w:t>
      </w:r>
      <w:r w:rsidR="005B2672">
        <w:rPr>
          <w:noProof/>
          <w:sz w:val="24"/>
          <w:szCs w:val="24"/>
        </w:rPr>
        <w:t>different products types</w:t>
      </w:r>
      <w:r w:rsidR="00A6599F">
        <w:rPr>
          <w:noProof/>
          <w:sz w:val="24"/>
          <w:szCs w:val="24"/>
        </w:rPr>
        <w:t xml:space="preserve"> (e.g. chemicals, machinery)</w:t>
      </w:r>
      <w:r w:rsidR="005B2672">
        <w:rPr>
          <w:noProof/>
          <w:sz w:val="24"/>
          <w:szCs w:val="24"/>
        </w:rPr>
        <w:t xml:space="preserve">. </w:t>
      </w:r>
      <w:r w:rsidR="00A6599F">
        <w:rPr>
          <w:noProof/>
          <w:sz w:val="24"/>
          <w:szCs w:val="24"/>
        </w:rPr>
        <w:t>It risks not being future proof and unfairly benefitting some victims of harm and not others</w:t>
      </w:r>
      <w:r w:rsidR="000674A5">
        <w:rPr>
          <w:rStyle w:val="FootnoteReference"/>
          <w:noProof/>
          <w:sz w:val="24"/>
          <w:szCs w:val="24"/>
        </w:rPr>
        <w:footnoteReference w:id="170"/>
      </w:r>
      <w:r w:rsidR="00A6599F">
        <w:rPr>
          <w:noProof/>
          <w:sz w:val="24"/>
          <w:szCs w:val="24"/>
        </w:rPr>
        <w:t xml:space="preserve">. </w:t>
      </w:r>
    </w:p>
    <w:p w14:paraId="2B9DD699" w14:textId="43BC1F30" w:rsidR="002401D0" w:rsidRDefault="00855DCF" w:rsidP="001E37C1">
      <w:pPr>
        <w:spacing w:after="240" w:line="240" w:lineRule="auto"/>
        <w:jc w:val="both"/>
        <w:rPr>
          <w:noProof/>
          <w:sz w:val="24"/>
          <w:szCs w:val="24"/>
        </w:rPr>
      </w:pPr>
      <w:r w:rsidRPr="001E37C1">
        <w:rPr>
          <w:b/>
          <w:noProof/>
          <w:sz w:val="24"/>
          <w:szCs w:val="24"/>
        </w:rPr>
        <w:t>L</w:t>
      </w:r>
      <w:r w:rsidR="00440595" w:rsidRPr="001E37C1">
        <w:rPr>
          <w:b/>
          <w:noProof/>
          <w:sz w:val="24"/>
          <w:szCs w:val="24"/>
        </w:rPr>
        <w:t>owering the EUR 500 threshold:</w:t>
      </w:r>
      <w:r w:rsidR="00440595" w:rsidRPr="001E37C1">
        <w:rPr>
          <w:noProof/>
          <w:sz w:val="24"/>
          <w:szCs w:val="24"/>
        </w:rPr>
        <w:t xml:space="preserve"> </w:t>
      </w:r>
      <w:r w:rsidR="00A33F9E" w:rsidRPr="001E37C1">
        <w:rPr>
          <w:noProof/>
          <w:sz w:val="24"/>
          <w:szCs w:val="24"/>
        </w:rPr>
        <w:t>S</w:t>
      </w:r>
      <w:r w:rsidR="00440595" w:rsidRPr="001E37C1">
        <w:rPr>
          <w:noProof/>
          <w:sz w:val="24"/>
          <w:szCs w:val="24"/>
        </w:rPr>
        <w:t xml:space="preserve">takeholders </w:t>
      </w:r>
      <w:r w:rsidR="00A33F9E" w:rsidRPr="001E37C1">
        <w:rPr>
          <w:noProof/>
          <w:sz w:val="24"/>
          <w:szCs w:val="24"/>
        </w:rPr>
        <w:t xml:space="preserve">were either in </w:t>
      </w:r>
      <w:r w:rsidR="00440595" w:rsidRPr="001E37C1">
        <w:rPr>
          <w:noProof/>
          <w:sz w:val="24"/>
          <w:szCs w:val="24"/>
        </w:rPr>
        <w:t xml:space="preserve">favour of keeping the threshold </w:t>
      </w:r>
      <w:r w:rsidR="00716401">
        <w:rPr>
          <w:noProof/>
          <w:sz w:val="24"/>
          <w:szCs w:val="24"/>
        </w:rPr>
        <w:t xml:space="preserve">for damage to consumer property </w:t>
      </w:r>
      <w:r w:rsidR="00440595" w:rsidRPr="001E37C1">
        <w:rPr>
          <w:noProof/>
          <w:sz w:val="24"/>
          <w:szCs w:val="24"/>
        </w:rPr>
        <w:t>unchanged</w:t>
      </w:r>
      <w:r w:rsidR="00676440">
        <w:rPr>
          <w:rStyle w:val="FootnoteReference"/>
          <w:noProof/>
          <w:sz w:val="24"/>
          <w:szCs w:val="24"/>
        </w:rPr>
        <w:footnoteReference w:id="171"/>
      </w:r>
      <w:r w:rsidR="00440595" w:rsidRPr="001E37C1">
        <w:rPr>
          <w:noProof/>
          <w:sz w:val="24"/>
          <w:szCs w:val="24"/>
        </w:rPr>
        <w:t xml:space="preserve"> or removing it altogether</w:t>
      </w:r>
      <w:r w:rsidR="00676440">
        <w:rPr>
          <w:rStyle w:val="FootnoteReference"/>
          <w:noProof/>
          <w:sz w:val="24"/>
          <w:szCs w:val="24"/>
        </w:rPr>
        <w:footnoteReference w:id="172"/>
      </w:r>
      <w:r w:rsidR="00A33F9E" w:rsidRPr="001E37C1">
        <w:rPr>
          <w:noProof/>
          <w:sz w:val="24"/>
          <w:szCs w:val="24"/>
        </w:rPr>
        <w:t>, although one industry association asked for the option of lowering the threshold to be examined</w:t>
      </w:r>
      <w:r w:rsidR="00A33F9E" w:rsidRPr="001E37C1">
        <w:rPr>
          <w:rStyle w:val="FootnoteReference"/>
          <w:noProof/>
          <w:sz w:val="24"/>
          <w:szCs w:val="24"/>
        </w:rPr>
        <w:footnoteReference w:id="173"/>
      </w:r>
      <w:r w:rsidR="00440595" w:rsidRPr="001E37C1">
        <w:rPr>
          <w:noProof/>
          <w:sz w:val="24"/>
          <w:szCs w:val="24"/>
        </w:rPr>
        <w:t xml:space="preserve">. </w:t>
      </w:r>
      <w:r w:rsidR="00A33F9E" w:rsidRPr="001E37C1">
        <w:rPr>
          <w:noProof/>
          <w:sz w:val="24"/>
          <w:szCs w:val="24"/>
        </w:rPr>
        <w:t xml:space="preserve">That option </w:t>
      </w:r>
      <w:r w:rsidR="00440595" w:rsidRPr="001E37C1">
        <w:rPr>
          <w:noProof/>
          <w:sz w:val="24"/>
          <w:szCs w:val="24"/>
        </w:rPr>
        <w:t xml:space="preserve">was discarded, </w:t>
      </w:r>
      <w:r w:rsidRPr="001E37C1">
        <w:rPr>
          <w:noProof/>
          <w:sz w:val="24"/>
          <w:szCs w:val="24"/>
        </w:rPr>
        <w:t xml:space="preserve">because </w:t>
      </w:r>
      <w:r w:rsidR="009408FD">
        <w:rPr>
          <w:noProof/>
          <w:sz w:val="24"/>
          <w:szCs w:val="24"/>
        </w:rPr>
        <w:t>the same internal market objections would apply: any other fixed EU-wide threshold would impact consumers more significantly in Member States where consumer goods</w:t>
      </w:r>
      <w:r w:rsidR="007C14E8">
        <w:rPr>
          <w:noProof/>
          <w:sz w:val="24"/>
          <w:szCs w:val="24"/>
        </w:rPr>
        <w:t xml:space="preserve"> </w:t>
      </w:r>
      <w:r w:rsidR="00103B68">
        <w:rPr>
          <w:noProof/>
          <w:sz w:val="24"/>
          <w:szCs w:val="24"/>
        </w:rPr>
        <w:t>are</w:t>
      </w:r>
      <w:r w:rsidR="009408FD">
        <w:rPr>
          <w:noProof/>
          <w:sz w:val="24"/>
          <w:szCs w:val="24"/>
        </w:rPr>
        <w:t xml:space="preserve"> cheaper</w:t>
      </w:r>
      <w:r w:rsidR="00103B68">
        <w:rPr>
          <w:noProof/>
          <w:sz w:val="24"/>
          <w:szCs w:val="24"/>
        </w:rPr>
        <w:t xml:space="preserve"> </w:t>
      </w:r>
      <w:r w:rsidR="00103B68" w:rsidRPr="005911DC">
        <w:rPr>
          <w:noProof/>
          <w:sz w:val="24"/>
          <w:szCs w:val="24"/>
        </w:rPr>
        <w:t>(i.e. where more consumer property falls below the threshold)</w:t>
      </w:r>
      <w:r w:rsidR="009408FD" w:rsidRPr="005911DC">
        <w:rPr>
          <w:noProof/>
          <w:sz w:val="24"/>
          <w:szCs w:val="24"/>
        </w:rPr>
        <w:t>.</w:t>
      </w:r>
    </w:p>
    <w:p w14:paraId="2305521A" w14:textId="00862062" w:rsidR="005A3181" w:rsidRPr="001E37C1" w:rsidRDefault="005A3181" w:rsidP="001E37C1">
      <w:pPr>
        <w:spacing w:after="240" w:line="240" w:lineRule="auto"/>
        <w:jc w:val="both"/>
        <w:rPr>
          <w:noProof/>
          <w:sz w:val="24"/>
          <w:szCs w:val="24"/>
        </w:rPr>
      </w:pPr>
      <w:r w:rsidRPr="005A3181">
        <w:rPr>
          <w:b/>
          <w:noProof/>
          <w:sz w:val="24"/>
          <w:szCs w:val="24"/>
        </w:rPr>
        <w:t>Extending the 10-year limit to 20 years:</w:t>
      </w:r>
      <w:r>
        <w:rPr>
          <w:noProof/>
          <w:sz w:val="24"/>
          <w:szCs w:val="24"/>
        </w:rPr>
        <w:t xml:space="preserve"> </w:t>
      </w:r>
      <w:r w:rsidR="00305218">
        <w:rPr>
          <w:noProof/>
          <w:sz w:val="24"/>
          <w:szCs w:val="24"/>
        </w:rPr>
        <w:t>Holding producers liable for up to 20 years after they put a product into circulation was considered. BEUC, the consumer organisation, called for this, while a French patient organisation called for the limit to be removed altogether</w:t>
      </w:r>
      <w:r w:rsidR="009457C6">
        <w:rPr>
          <w:rStyle w:val="FootnoteReference"/>
          <w:noProof/>
          <w:sz w:val="24"/>
          <w:szCs w:val="24"/>
        </w:rPr>
        <w:footnoteReference w:id="174"/>
      </w:r>
      <w:r w:rsidR="00305218">
        <w:rPr>
          <w:noProof/>
          <w:sz w:val="24"/>
          <w:szCs w:val="24"/>
        </w:rPr>
        <w:t xml:space="preserve">. </w:t>
      </w:r>
      <w:r w:rsidR="00215DBB">
        <w:rPr>
          <w:noProof/>
          <w:sz w:val="24"/>
          <w:szCs w:val="24"/>
        </w:rPr>
        <w:t xml:space="preserve">However, </w:t>
      </w:r>
      <w:r w:rsidR="00305218">
        <w:rPr>
          <w:noProof/>
          <w:sz w:val="24"/>
          <w:szCs w:val="24"/>
        </w:rPr>
        <w:t>industry stakeholders</w:t>
      </w:r>
      <w:r w:rsidR="008B5B0E">
        <w:rPr>
          <w:noProof/>
          <w:sz w:val="24"/>
          <w:szCs w:val="24"/>
        </w:rPr>
        <w:t xml:space="preserve"> and insurers</w:t>
      </w:r>
      <w:r w:rsidR="00215DBB">
        <w:rPr>
          <w:noProof/>
          <w:sz w:val="24"/>
          <w:szCs w:val="24"/>
        </w:rPr>
        <w:t xml:space="preserve"> were opposed to any change.</w:t>
      </w:r>
      <w:r w:rsidR="00305218">
        <w:rPr>
          <w:noProof/>
          <w:sz w:val="24"/>
          <w:szCs w:val="24"/>
        </w:rPr>
        <w:t xml:space="preserve"> </w:t>
      </w:r>
      <w:r w:rsidR="00215DBB">
        <w:rPr>
          <w:noProof/>
          <w:sz w:val="24"/>
          <w:szCs w:val="24"/>
        </w:rPr>
        <w:t>This longer extension was discarded in favour of a shorter extension with a view to striking a fair balance between all stakeholders</w:t>
      </w:r>
      <w:r w:rsidRPr="005A3181">
        <w:rPr>
          <w:bCs/>
          <w:noProof/>
          <w:sz w:val="24"/>
          <w:szCs w:val="24"/>
        </w:rPr>
        <w:t>.</w:t>
      </w:r>
      <w:r w:rsidR="00BA7F1E">
        <w:rPr>
          <w:bCs/>
          <w:noProof/>
          <w:sz w:val="24"/>
          <w:szCs w:val="24"/>
        </w:rPr>
        <w:t xml:space="preserve"> </w:t>
      </w:r>
    </w:p>
    <w:p w14:paraId="20BFAED6" w14:textId="59EA70C7" w:rsidR="006B087E" w:rsidRPr="00F86164" w:rsidRDefault="002E7937" w:rsidP="002E7937">
      <w:pPr>
        <w:pStyle w:val="Heading1"/>
        <w:rPr>
          <w:noProof/>
        </w:rPr>
      </w:pPr>
      <w:bookmarkStart w:id="465" w:name="_Toc93401448"/>
      <w:bookmarkStart w:id="466" w:name="_Toc94005545"/>
      <w:bookmarkStart w:id="467" w:name="_Toc95379873"/>
      <w:bookmarkStart w:id="468" w:name="_Toc95391364"/>
      <w:bookmarkStart w:id="469" w:name="_Toc95396433"/>
      <w:bookmarkStart w:id="470" w:name="_Toc95421531"/>
      <w:bookmarkStart w:id="471" w:name="_Toc95481980"/>
      <w:bookmarkStart w:id="472" w:name="_Toc96446252"/>
      <w:bookmarkStart w:id="473" w:name="_Toc96448025"/>
      <w:bookmarkStart w:id="474" w:name="_Toc96337773"/>
      <w:bookmarkStart w:id="475" w:name="_Toc96593974"/>
      <w:bookmarkStart w:id="476" w:name="_Toc96597265"/>
      <w:bookmarkStart w:id="477" w:name="_Toc96609200"/>
      <w:bookmarkStart w:id="478" w:name="_Toc97149229"/>
      <w:bookmarkStart w:id="479" w:name="_Toc97191275"/>
      <w:bookmarkStart w:id="480" w:name="_Toc107430085"/>
      <w:r w:rsidRPr="002E7937">
        <w:t>6.</w:t>
      </w:r>
      <w:r w:rsidRPr="002E7937">
        <w:tab/>
      </w:r>
      <w:r w:rsidR="006B087E" w:rsidRPr="00F86164">
        <w:rPr>
          <w:noProof/>
        </w:rPr>
        <w:t>What are the impacts of the policy options?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098B1B9" w14:textId="1B47D491" w:rsidR="00E23538" w:rsidRDefault="00FC3216" w:rsidP="00E23538">
      <w:pPr>
        <w:pBdr>
          <w:top w:val="single" w:sz="4" w:space="1" w:color="auto"/>
          <w:left w:val="single" w:sz="4" w:space="4" w:color="auto"/>
          <w:bottom w:val="single" w:sz="4" w:space="1" w:color="auto"/>
          <w:right w:val="single" w:sz="4" w:space="4" w:color="auto"/>
        </w:pBdr>
        <w:spacing w:after="240" w:line="240" w:lineRule="auto"/>
        <w:jc w:val="both"/>
        <w:rPr>
          <w:rFonts w:eastAsia="Times New Roman" w:cs="Times New Roman"/>
          <w:noProof/>
          <w:color w:val="000000" w:themeColor="text1"/>
          <w:sz w:val="24"/>
          <w:szCs w:val="20"/>
        </w:rPr>
      </w:pPr>
      <w:r>
        <w:rPr>
          <w:rFonts w:eastAsia="Times New Roman" w:cs="Times New Roman"/>
          <w:noProof/>
          <w:color w:val="000000" w:themeColor="text1"/>
          <w:sz w:val="24"/>
          <w:szCs w:val="20"/>
        </w:rPr>
        <w:t xml:space="preserve">The </w:t>
      </w:r>
      <w:r w:rsidR="003C4595">
        <w:rPr>
          <w:rFonts w:eastAsia="Times New Roman" w:cs="Times New Roman"/>
          <w:noProof/>
          <w:color w:val="000000" w:themeColor="text1"/>
          <w:sz w:val="24"/>
          <w:szCs w:val="20"/>
        </w:rPr>
        <w:t xml:space="preserve">following </w:t>
      </w:r>
      <w:r>
        <w:rPr>
          <w:rFonts w:eastAsia="Times New Roman" w:cs="Times New Roman"/>
          <w:noProof/>
          <w:color w:val="000000" w:themeColor="text1"/>
          <w:sz w:val="24"/>
          <w:szCs w:val="20"/>
        </w:rPr>
        <w:t xml:space="preserve">assessment provides </w:t>
      </w:r>
      <w:r w:rsidR="003C4595">
        <w:rPr>
          <w:rFonts w:eastAsia="Times New Roman" w:cs="Times New Roman"/>
          <w:noProof/>
          <w:color w:val="000000" w:themeColor="text1"/>
          <w:sz w:val="24"/>
          <w:szCs w:val="20"/>
        </w:rPr>
        <w:t xml:space="preserve">a </w:t>
      </w:r>
      <w:r w:rsidRPr="00475BA9">
        <w:rPr>
          <w:rFonts w:eastAsia="Times New Roman" w:cs="Times New Roman"/>
          <w:noProof/>
          <w:color w:val="000000" w:themeColor="text1"/>
          <w:sz w:val="24"/>
          <w:szCs w:val="20"/>
        </w:rPr>
        <w:t xml:space="preserve">qualitative </w:t>
      </w:r>
      <w:r w:rsidR="003C4595">
        <w:rPr>
          <w:rFonts w:eastAsia="Times New Roman" w:cs="Times New Roman"/>
          <w:noProof/>
          <w:color w:val="000000" w:themeColor="text1"/>
          <w:sz w:val="24"/>
          <w:szCs w:val="20"/>
        </w:rPr>
        <w:t xml:space="preserve">analysis of </w:t>
      </w:r>
      <w:r w:rsidRPr="00475BA9">
        <w:rPr>
          <w:rFonts w:eastAsia="Times New Roman" w:cs="Times New Roman"/>
          <w:noProof/>
          <w:color w:val="000000" w:themeColor="text1"/>
          <w:sz w:val="24"/>
          <w:szCs w:val="20"/>
        </w:rPr>
        <w:t xml:space="preserve">the impacts generated by each </w:t>
      </w:r>
      <w:r w:rsidR="007C7AC6">
        <w:rPr>
          <w:rFonts w:eastAsia="Times New Roman" w:cs="Times New Roman"/>
          <w:noProof/>
          <w:color w:val="000000" w:themeColor="text1"/>
          <w:sz w:val="24"/>
          <w:szCs w:val="20"/>
        </w:rPr>
        <w:t>policy option</w:t>
      </w:r>
      <w:r>
        <w:rPr>
          <w:rFonts w:eastAsia="Times New Roman" w:cs="Times New Roman"/>
          <w:noProof/>
          <w:color w:val="000000" w:themeColor="text1"/>
          <w:sz w:val="24"/>
          <w:szCs w:val="20"/>
        </w:rPr>
        <w:t xml:space="preserve">, based </w:t>
      </w:r>
      <w:r w:rsidRPr="00475BA9">
        <w:rPr>
          <w:rFonts w:eastAsia="Times New Roman" w:cs="Times New Roman"/>
          <w:noProof/>
          <w:color w:val="000000" w:themeColor="text1"/>
          <w:sz w:val="24"/>
          <w:szCs w:val="20"/>
        </w:rPr>
        <w:t xml:space="preserve">on the evidence gathered </w:t>
      </w:r>
      <w:r>
        <w:rPr>
          <w:rFonts w:eastAsia="Times New Roman" w:cs="Times New Roman"/>
          <w:noProof/>
          <w:color w:val="000000" w:themeColor="text1"/>
          <w:sz w:val="24"/>
          <w:szCs w:val="20"/>
        </w:rPr>
        <w:t>from multiple sources.</w:t>
      </w:r>
      <w:r w:rsidR="003C4595">
        <w:rPr>
          <w:rFonts w:eastAsia="Times New Roman" w:cs="Times New Roman"/>
          <w:noProof/>
          <w:color w:val="000000" w:themeColor="text1"/>
          <w:sz w:val="24"/>
          <w:szCs w:val="20"/>
        </w:rPr>
        <w:t xml:space="preserve"> </w:t>
      </w:r>
      <w:r w:rsidR="00E23538">
        <w:rPr>
          <w:rFonts w:eastAsia="Times New Roman" w:cs="Times New Roman"/>
          <w:noProof/>
          <w:color w:val="000000" w:themeColor="text1"/>
          <w:sz w:val="24"/>
          <w:szCs w:val="20"/>
        </w:rPr>
        <w:t>Whenever possible, i</w:t>
      </w:r>
      <w:r w:rsidR="003C4595">
        <w:rPr>
          <w:rFonts w:eastAsia="Times New Roman" w:cs="Times New Roman"/>
          <w:noProof/>
          <w:color w:val="000000" w:themeColor="text1"/>
          <w:sz w:val="24"/>
          <w:szCs w:val="20"/>
        </w:rPr>
        <w:t xml:space="preserve">t also provides a </w:t>
      </w:r>
      <w:r w:rsidRPr="00315A5D">
        <w:rPr>
          <w:rFonts w:eastAsia="Times New Roman" w:cs="Times New Roman"/>
          <w:noProof/>
          <w:color w:val="000000" w:themeColor="text1"/>
          <w:sz w:val="24"/>
          <w:szCs w:val="20"/>
        </w:rPr>
        <w:t xml:space="preserve">quantitative </w:t>
      </w:r>
      <w:r w:rsidR="003C4595">
        <w:rPr>
          <w:rFonts w:eastAsia="Times New Roman" w:cs="Times New Roman"/>
          <w:noProof/>
          <w:color w:val="000000" w:themeColor="text1"/>
          <w:sz w:val="24"/>
          <w:szCs w:val="20"/>
        </w:rPr>
        <w:t>analysis</w:t>
      </w:r>
      <w:r w:rsidR="00AB4BF0">
        <w:rPr>
          <w:rFonts w:eastAsia="Times New Roman" w:cs="Times New Roman"/>
          <w:noProof/>
          <w:color w:val="000000" w:themeColor="text1"/>
          <w:sz w:val="24"/>
          <w:szCs w:val="20"/>
        </w:rPr>
        <w:t xml:space="preserve"> of</w:t>
      </w:r>
      <w:r w:rsidR="003C4595">
        <w:rPr>
          <w:rFonts w:eastAsia="Times New Roman" w:cs="Times New Roman"/>
          <w:noProof/>
          <w:color w:val="000000" w:themeColor="text1"/>
          <w:sz w:val="24"/>
          <w:szCs w:val="20"/>
        </w:rPr>
        <w:t xml:space="preserve"> </w:t>
      </w:r>
      <w:r w:rsidR="0028106E" w:rsidRPr="00475BA9">
        <w:rPr>
          <w:rFonts w:eastAsia="Times New Roman" w:cs="Times New Roman"/>
          <w:noProof/>
          <w:color w:val="000000" w:themeColor="text1"/>
          <w:sz w:val="24"/>
          <w:szCs w:val="20"/>
        </w:rPr>
        <w:t>benefits and costs</w:t>
      </w:r>
      <w:r w:rsidR="0028106E">
        <w:rPr>
          <w:rFonts w:eastAsia="Times New Roman" w:cs="Times New Roman"/>
          <w:noProof/>
          <w:color w:val="000000" w:themeColor="text1"/>
          <w:sz w:val="24"/>
          <w:szCs w:val="20"/>
        </w:rPr>
        <w:t xml:space="preserve"> relat</w:t>
      </w:r>
      <w:r w:rsidR="007C7AC6">
        <w:rPr>
          <w:rFonts w:eastAsia="Times New Roman" w:cs="Times New Roman"/>
          <w:noProof/>
          <w:color w:val="000000" w:themeColor="text1"/>
          <w:sz w:val="24"/>
          <w:szCs w:val="20"/>
        </w:rPr>
        <w:t>ing</w:t>
      </w:r>
      <w:r w:rsidR="0028106E">
        <w:rPr>
          <w:rFonts w:eastAsia="Times New Roman" w:cs="Times New Roman"/>
          <w:noProof/>
          <w:color w:val="000000" w:themeColor="text1"/>
          <w:sz w:val="24"/>
          <w:szCs w:val="20"/>
        </w:rPr>
        <w:t xml:space="preserve"> to</w:t>
      </w:r>
      <w:r w:rsidR="00AE5AEC">
        <w:rPr>
          <w:rFonts w:eastAsia="Times New Roman" w:cs="Times New Roman"/>
          <w:noProof/>
          <w:color w:val="000000" w:themeColor="text1"/>
          <w:sz w:val="24"/>
          <w:szCs w:val="20"/>
        </w:rPr>
        <w:t xml:space="preserve"> </w:t>
      </w:r>
      <w:r w:rsidR="007C7AC6">
        <w:rPr>
          <w:rFonts w:eastAsia="Times New Roman" w:cs="Times New Roman"/>
          <w:noProof/>
          <w:color w:val="000000" w:themeColor="text1"/>
          <w:sz w:val="24"/>
          <w:szCs w:val="20"/>
        </w:rPr>
        <w:t xml:space="preserve">the main </w:t>
      </w:r>
      <w:r w:rsidR="00AE5AEC">
        <w:rPr>
          <w:rFonts w:eastAsia="Times New Roman" w:cs="Times New Roman"/>
          <w:noProof/>
          <w:color w:val="000000" w:themeColor="text1"/>
          <w:sz w:val="24"/>
          <w:szCs w:val="20"/>
        </w:rPr>
        <w:t>economic</w:t>
      </w:r>
      <w:r w:rsidR="0028106E">
        <w:rPr>
          <w:rFonts w:eastAsia="Times New Roman" w:cs="Times New Roman"/>
          <w:noProof/>
          <w:color w:val="000000" w:themeColor="text1"/>
          <w:sz w:val="24"/>
          <w:szCs w:val="20"/>
        </w:rPr>
        <w:t xml:space="preserve"> and </w:t>
      </w:r>
      <w:r w:rsidR="00AE5AEC">
        <w:rPr>
          <w:rFonts w:eastAsia="Times New Roman" w:cs="Times New Roman"/>
          <w:noProof/>
          <w:color w:val="000000" w:themeColor="text1"/>
          <w:sz w:val="24"/>
          <w:szCs w:val="20"/>
        </w:rPr>
        <w:t>social</w:t>
      </w:r>
      <w:r w:rsidR="0028106E">
        <w:rPr>
          <w:rFonts w:eastAsia="Times New Roman" w:cs="Times New Roman"/>
          <w:noProof/>
          <w:color w:val="000000" w:themeColor="text1"/>
          <w:sz w:val="24"/>
          <w:szCs w:val="20"/>
        </w:rPr>
        <w:t xml:space="preserve"> impacts</w:t>
      </w:r>
      <w:r w:rsidR="00E23538">
        <w:rPr>
          <w:rFonts w:eastAsia="Times New Roman" w:cs="Times New Roman"/>
          <w:noProof/>
          <w:color w:val="000000" w:themeColor="text1"/>
          <w:sz w:val="24"/>
          <w:szCs w:val="20"/>
        </w:rPr>
        <w:t>. The cost/benefits analysis</w:t>
      </w:r>
      <w:r w:rsidR="00AE5AEC" w:rsidDel="00E23538">
        <w:rPr>
          <w:rFonts w:eastAsia="Times New Roman" w:cs="Times New Roman"/>
          <w:noProof/>
          <w:color w:val="000000" w:themeColor="text1"/>
          <w:sz w:val="24"/>
          <w:szCs w:val="20"/>
        </w:rPr>
        <w:t xml:space="preserve">, </w:t>
      </w:r>
      <w:r w:rsidR="00AE5AEC">
        <w:rPr>
          <w:rFonts w:eastAsia="Times New Roman" w:cs="Times New Roman"/>
          <w:noProof/>
          <w:color w:val="000000" w:themeColor="text1"/>
          <w:sz w:val="24"/>
          <w:szCs w:val="20"/>
        </w:rPr>
        <w:t>however, is not fully comprehensive due to significant data gaps and limitations</w:t>
      </w:r>
      <w:r>
        <w:rPr>
          <w:rFonts w:eastAsia="Times New Roman" w:cs="Times New Roman"/>
          <w:noProof/>
          <w:color w:val="000000" w:themeColor="text1"/>
          <w:sz w:val="24"/>
          <w:szCs w:val="20"/>
        </w:rPr>
        <w:t xml:space="preserve">. </w:t>
      </w:r>
      <w:r w:rsidR="00E23538">
        <w:rPr>
          <w:rFonts w:eastAsia="Times New Roman" w:cs="Times New Roman"/>
          <w:noProof/>
          <w:color w:val="000000" w:themeColor="text1"/>
          <w:sz w:val="24"/>
          <w:szCs w:val="20"/>
        </w:rPr>
        <w:t xml:space="preserve">The </w:t>
      </w:r>
      <w:r w:rsidR="00E23538" w:rsidRPr="00E23538">
        <w:rPr>
          <w:rFonts w:eastAsia="Times New Roman" w:cs="Times New Roman"/>
          <w:noProof/>
          <w:color w:val="000000" w:themeColor="text1"/>
          <w:sz w:val="24"/>
          <w:szCs w:val="20"/>
        </w:rPr>
        <w:t xml:space="preserve">quantification of costs and benefits </w:t>
      </w:r>
      <w:r w:rsidR="0013248C">
        <w:rPr>
          <w:rFonts w:eastAsia="Times New Roman" w:cs="Times New Roman"/>
          <w:noProof/>
          <w:color w:val="000000" w:themeColor="text1"/>
          <w:sz w:val="24"/>
          <w:szCs w:val="20"/>
        </w:rPr>
        <w:t>is</w:t>
      </w:r>
      <w:r w:rsidR="0013248C" w:rsidRPr="00E23538">
        <w:rPr>
          <w:rFonts w:eastAsia="Times New Roman" w:cs="Times New Roman"/>
          <w:noProof/>
          <w:color w:val="000000" w:themeColor="text1"/>
          <w:sz w:val="24"/>
          <w:szCs w:val="20"/>
        </w:rPr>
        <w:t xml:space="preserve"> </w:t>
      </w:r>
      <w:r w:rsidR="00E23538" w:rsidRPr="00E23538">
        <w:rPr>
          <w:rFonts w:eastAsia="Times New Roman" w:cs="Times New Roman"/>
          <w:noProof/>
          <w:color w:val="000000" w:themeColor="text1"/>
          <w:sz w:val="24"/>
          <w:szCs w:val="20"/>
        </w:rPr>
        <w:t xml:space="preserve">based on </w:t>
      </w:r>
      <w:r w:rsidR="00E23538">
        <w:rPr>
          <w:rFonts w:eastAsia="Times New Roman" w:cs="Times New Roman"/>
          <w:noProof/>
          <w:color w:val="000000" w:themeColor="text1"/>
          <w:sz w:val="24"/>
          <w:szCs w:val="20"/>
        </w:rPr>
        <w:t xml:space="preserve">a </w:t>
      </w:r>
      <w:r w:rsidR="00E23538" w:rsidRPr="00E23538">
        <w:rPr>
          <w:rFonts w:eastAsia="Times New Roman" w:cs="Times New Roman"/>
          <w:noProof/>
          <w:color w:val="000000" w:themeColor="text1"/>
          <w:sz w:val="24"/>
          <w:szCs w:val="20"/>
        </w:rPr>
        <w:t>number of assumptions coming from stakeholder feedback and expert knowledge of the contractor</w:t>
      </w:r>
      <w:r w:rsidR="00E23538">
        <w:rPr>
          <w:rFonts w:eastAsia="Times New Roman" w:cs="Times New Roman"/>
          <w:noProof/>
          <w:color w:val="000000" w:themeColor="text1"/>
          <w:sz w:val="24"/>
          <w:szCs w:val="20"/>
        </w:rPr>
        <w:t xml:space="preserve">. The aim of this assessment is to provide </w:t>
      </w:r>
      <w:r w:rsidR="00E23538" w:rsidRPr="00E23538">
        <w:rPr>
          <w:rFonts w:eastAsia="Times New Roman" w:cs="Times New Roman"/>
          <w:noProof/>
          <w:color w:val="000000" w:themeColor="text1"/>
          <w:sz w:val="24"/>
          <w:szCs w:val="20"/>
        </w:rPr>
        <w:t xml:space="preserve">ranges of </w:t>
      </w:r>
      <w:r w:rsidR="00E23538">
        <w:rPr>
          <w:rFonts w:eastAsia="Times New Roman" w:cs="Times New Roman"/>
          <w:noProof/>
          <w:color w:val="000000" w:themeColor="text1"/>
          <w:sz w:val="24"/>
          <w:szCs w:val="20"/>
        </w:rPr>
        <w:t xml:space="preserve">the </w:t>
      </w:r>
      <w:r w:rsidR="00E23538" w:rsidRPr="00E23538">
        <w:rPr>
          <w:rFonts w:eastAsia="Times New Roman" w:cs="Times New Roman"/>
          <w:noProof/>
          <w:color w:val="000000" w:themeColor="text1"/>
          <w:sz w:val="24"/>
          <w:szCs w:val="20"/>
        </w:rPr>
        <w:t xml:space="preserve">magnitude of potential impacts </w:t>
      </w:r>
      <w:r w:rsidR="00E23538">
        <w:rPr>
          <w:rFonts w:eastAsia="Times New Roman" w:cs="Times New Roman"/>
          <w:noProof/>
          <w:color w:val="000000" w:themeColor="text1"/>
          <w:sz w:val="24"/>
          <w:szCs w:val="20"/>
        </w:rPr>
        <w:t xml:space="preserve">generated by each policy option, </w:t>
      </w:r>
      <w:r w:rsidR="00E23538" w:rsidRPr="00E23538">
        <w:rPr>
          <w:rFonts w:eastAsia="Times New Roman" w:cs="Times New Roman"/>
          <w:noProof/>
          <w:color w:val="000000" w:themeColor="text1"/>
          <w:sz w:val="24"/>
          <w:szCs w:val="20"/>
        </w:rPr>
        <w:t>rather than exact monetisation</w:t>
      </w:r>
      <w:r w:rsidR="00E23538" w:rsidRPr="00C80854">
        <w:rPr>
          <w:rStyle w:val="FootnoteReference"/>
          <w:noProof/>
          <w:sz w:val="24"/>
        </w:rPr>
        <w:footnoteReference w:id="175"/>
      </w:r>
      <w:r w:rsidR="00E23538">
        <w:rPr>
          <w:rFonts w:eastAsia="Times New Roman" w:cs="Times New Roman"/>
          <w:noProof/>
          <w:color w:val="000000" w:themeColor="text1"/>
          <w:sz w:val="24"/>
          <w:szCs w:val="20"/>
        </w:rPr>
        <w:t>.</w:t>
      </w:r>
    </w:p>
    <w:p w14:paraId="45002C6E" w14:textId="6976FCD2" w:rsidR="002A5804" w:rsidRPr="00B5765A" w:rsidRDefault="00810D05" w:rsidP="00B47DC2">
      <w:pPr>
        <w:pStyle w:val="BodyText"/>
        <w:spacing w:after="240"/>
        <w:rPr>
          <w:noProof/>
          <w:sz w:val="24"/>
        </w:rPr>
      </w:pPr>
      <w:r>
        <w:rPr>
          <w:noProof/>
          <w:sz w:val="24"/>
        </w:rPr>
        <w:t>P</w:t>
      </w:r>
      <w:r w:rsidRPr="00FC3216">
        <w:rPr>
          <w:noProof/>
          <w:sz w:val="24"/>
        </w:rPr>
        <w:t xml:space="preserve">olicy options </w:t>
      </w:r>
      <w:r>
        <w:rPr>
          <w:noProof/>
          <w:sz w:val="24"/>
        </w:rPr>
        <w:t xml:space="preserve">mainly involve a </w:t>
      </w:r>
      <w:r w:rsidRPr="00FC3216">
        <w:rPr>
          <w:noProof/>
          <w:sz w:val="24"/>
        </w:rPr>
        <w:t>re-attribut</w:t>
      </w:r>
      <w:r>
        <w:rPr>
          <w:noProof/>
          <w:sz w:val="24"/>
        </w:rPr>
        <w:t>ion of</w:t>
      </w:r>
      <w:r w:rsidRPr="00FC3216">
        <w:rPr>
          <w:noProof/>
          <w:sz w:val="24"/>
        </w:rPr>
        <w:t xml:space="preserve"> costs between stakeholders</w:t>
      </w:r>
      <w:r>
        <w:rPr>
          <w:noProof/>
          <w:sz w:val="24"/>
        </w:rPr>
        <w:t xml:space="preserve">, either </w:t>
      </w:r>
      <w:r w:rsidRPr="007D2A1A">
        <w:rPr>
          <w:noProof/>
          <w:sz w:val="24"/>
        </w:rPr>
        <w:t xml:space="preserve">from victims to the producers whose defective products caused the costs, or </w:t>
      </w:r>
      <w:r>
        <w:rPr>
          <w:noProof/>
          <w:sz w:val="24"/>
        </w:rPr>
        <w:t xml:space="preserve">between economic operators by enlarging the </w:t>
      </w:r>
      <w:r w:rsidR="00A13F5D">
        <w:rPr>
          <w:noProof/>
          <w:sz w:val="24"/>
        </w:rPr>
        <w:t>notion of “producer”</w:t>
      </w:r>
      <w:r>
        <w:rPr>
          <w:rStyle w:val="FootnoteReference"/>
          <w:noProof/>
          <w:sz w:val="24"/>
        </w:rPr>
        <w:footnoteReference w:id="176"/>
      </w:r>
      <w:r w:rsidRPr="009A48C3">
        <w:rPr>
          <w:noProof/>
          <w:sz w:val="24"/>
        </w:rPr>
        <w:t>.</w:t>
      </w:r>
      <w:r w:rsidR="00A13F5D">
        <w:rPr>
          <w:noProof/>
          <w:sz w:val="24"/>
        </w:rPr>
        <w:t xml:space="preserve"> </w:t>
      </w:r>
    </w:p>
    <w:p w14:paraId="0428ACFB" w14:textId="506327EE" w:rsidR="00EA36CC" w:rsidRPr="00EA3223" w:rsidRDefault="00F93AEF" w:rsidP="00AA1A26">
      <w:pPr>
        <w:pStyle w:val="BodyText"/>
        <w:spacing w:after="240"/>
        <w:rPr>
          <w:noProof/>
          <w:sz w:val="24"/>
          <w:szCs w:val="24"/>
          <w:lang w:val="en-IE"/>
        </w:rPr>
      </w:pPr>
      <w:r w:rsidRPr="00EA3223">
        <w:rPr>
          <w:noProof/>
          <w:sz w:val="24"/>
        </w:rPr>
        <w:t xml:space="preserve">The </w:t>
      </w:r>
      <w:r w:rsidRPr="00EA3223">
        <w:rPr>
          <w:b/>
          <w:noProof/>
          <w:sz w:val="24"/>
        </w:rPr>
        <w:t xml:space="preserve">main </w:t>
      </w:r>
      <w:r w:rsidR="00A13F5D" w:rsidRPr="00EA3223">
        <w:rPr>
          <w:b/>
          <w:noProof/>
          <w:sz w:val="24"/>
        </w:rPr>
        <w:t xml:space="preserve">measurable </w:t>
      </w:r>
      <w:r w:rsidRPr="00EA3223">
        <w:rPr>
          <w:b/>
          <w:noProof/>
          <w:sz w:val="24"/>
        </w:rPr>
        <w:t>benefit</w:t>
      </w:r>
      <w:r w:rsidRPr="00EA3223">
        <w:rPr>
          <w:noProof/>
          <w:sz w:val="24"/>
        </w:rPr>
        <w:t xml:space="preserve"> </w:t>
      </w:r>
      <w:r w:rsidR="00A13F5D" w:rsidRPr="00EA3223">
        <w:rPr>
          <w:noProof/>
          <w:sz w:val="24"/>
        </w:rPr>
        <w:t>for consumers is</w:t>
      </w:r>
      <w:r w:rsidRPr="00EA3223">
        <w:rPr>
          <w:noProof/>
          <w:sz w:val="24"/>
        </w:rPr>
        <w:t xml:space="preserve"> </w:t>
      </w:r>
      <w:r w:rsidR="008F5F32" w:rsidRPr="00EA3223">
        <w:rPr>
          <w:noProof/>
          <w:sz w:val="24"/>
        </w:rPr>
        <w:t>the amount of compensation to be paid to injured parties</w:t>
      </w:r>
      <w:r w:rsidRPr="00EA3223">
        <w:rPr>
          <w:noProof/>
          <w:sz w:val="24"/>
        </w:rPr>
        <w:t>.</w:t>
      </w:r>
      <w:r w:rsidR="00AA1A26" w:rsidRPr="00EA3223">
        <w:rPr>
          <w:noProof/>
          <w:sz w:val="24"/>
        </w:rPr>
        <w:t xml:space="preserve"> </w:t>
      </w:r>
      <w:r w:rsidR="00E61520" w:rsidRPr="00EA3223">
        <w:rPr>
          <w:noProof/>
          <w:sz w:val="24"/>
        </w:rPr>
        <w:t xml:space="preserve">The analysis assesses the impacts of </w:t>
      </w:r>
      <w:r w:rsidR="00EA36CC" w:rsidRPr="00EA3223">
        <w:rPr>
          <w:noProof/>
          <w:sz w:val="24"/>
          <w:szCs w:val="24"/>
          <w:lang w:val="en-IE"/>
        </w:rPr>
        <w:t>the policy optio</w:t>
      </w:r>
      <w:r w:rsidR="00EA36CC" w:rsidRPr="00E236D5">
        <w:rPr>
          <w:noProof/>
          <w:sz w:val="24"/>
          <w:szCs w:val="24"/>
          <w:lang w:val="en-IE"/>
        </w:rPr>
        <w:t xml:space="preserve">ns </w:t>
      </w:r>
      <w:r w:rsidR="00E61520" w:rsidRPr="00E236D5">
        <w:rPr>
          <w:noProof/>
          <w:sz w:val="24"/>
          <w:szCs w:val="24"/>
          <w:lang w:val="en-IE"/>
        </w:rPr>
        <w:t>on</w:t>
      </w:r>
      <w:r w:rsidR="00EA36CC" w:rsidRPr="00E236D5">
        <w:rPr>
          <w:noProof/>
          <w:sz w:val="24"/>
          <w:szCs w:val="24"/>
          <w:lang w:val="en-IE"/>
        </w:rPr>
        <w:t xml:space="preserve"> the annual number of in</w:t>
      </w:r>
      <w:r w:rsidR="00E61520" w:rsidRPr="00E236D5">
        <w:rPr>
          <w:noProof/>
          <w:sz w:val="24"/>
          <w:szCs w:val="24"/>
          <w:lang w:val="en-IE"/>
        </w:rPr>
        <w:t>-</w:t>
      </w:r>
      <w:r w:rsidR="00EA36CC" w:rsidRPr="00E236D5">
        <w:rPr>
          <w:noProof/>
          <w:sz w:val="24"/>
          <w:szCs w:val="24"/>
          <w:lang w:val="en-IE"/>
        </w:rPr>
        <w:t>court cases (</w:t>
      </w:r>
      <w:r w:rsidR="00EA36CC" w:rsidRPr="00E236D5">
        <w:rPr>
          <w:noProof/>
          <w:sz w:val="24"/>
          <w:szCs w:val="24"/>
        </w:rPr>
        <w:t xml:space="preserve">estimated </w:t>
      </w:r>
      <w:r w:rsidR="00EA36CC" w:rsidRPr="00EA3223">
        <w:rPr>
          <w:noProof/>
          <w:sz w:val="24"/>
          <w:szCs w:val="24"/>
        </w:rPr>
        <w:t xml:space="preserve">between </w:t>
      </w:r>
      <w:r w:rsidR="000F57C5">
        <w:rPr>
          <w:b/>
          <w:noProof/>
          <w:sz w:val="24"/>
          <w:szCs w:val="24"/>
        </w:rPr>
        <w:t xml:space="preserve">209 and 452 </w:t>
      </w:r>
      <w:r w:rsidR="00EA36CC" w:rsidRPr="00EA3223">
        <w:rPr>
          <w:noProof/>
          <w:sz w:val="24"/>
          <w:szCs w:val="24"/>
        </w:rPr>
        <w:t>across the EU27)</w:t>
      </w:r>
      <w:r w:rsidR="00EA36CC" w:rsidRPr="00EA3223">
        <w:rPr>
          <w:noProof/>
          <w:sz w:val="24"/>
          <w:szCs w:val="24"/>
          <w:lang w:val="en-IE"/>
        </w:rPr>
        <w:t xml:space="preserve"> </w:t>
      </w:r>
      <w:r w:rsidR="00E61520" w:rsidRPr="00EA3223">
        <w:rPr>
          <w:noProof/>
          <w:sz w:val="24"/>
          <w:szCs w:val="24"/>
          <w:lang w:val="en-IE"/>
        </w:rPr>
        <w:t xml:space="preserve">and </w:t>
      </w:r>
      <w:r w:rsidR="00EA36CC" w:rsidRPr="00EA3223">
        <w:rPr>
          <w:noProof/>
          <w:sz w:val="24"/>
          <w:szCs w:val="24"/>
          <w:lang w:val="en-IE"/>
        </w:rPr>
        <w:t>out</w:t>
      </w:r>
      <w:r w:rsidR="00E61520" w:rsidRPr="00EA3223">
        <w:rPr>
          <w:noProof/>
          <w:sz w:val="24"/>
          <w:szCs w:val="24"/>
          <w:lang w:val="en-IE"/>
        </w:rPr>
        <w:t>–</w:t>
      </w:r>
      <w:r w:rsidR="00EA36CC" w:rsidRPr="00EA3223">
        <w:rPr>
          <w:noProof/>
          <w:sz w:val="24"/>
          <w:szCs w:val="24"/>
          <w:lang w:val="en-IE"/>
        </w:rPr>
        <w:t>of</w:t>
      </w:r>
      <w:r w:rsidR="00E61520" w:rsidRPr="00EA3223">
        <w:rPr>
          <w:noProof/>
          <w:sz w:val="24"/>
          <w:szCs w:val="24"/>
          <w:lang w:val="en-IE"/>
        </w:rPr>
        <w:t>-</w:t>
      </w:r>
      <w:r w:rsidR="00EA36CC" w:rsidRPr="00EA3223">
        <w:rPr>
          <w:noProof/>
          <w:sz w:val="24"/>
          <w:szCs w:val="24"/>
          <w:lang w:val="en-IE"/>
        </w:rPr>
        <w:t>court cases (</w:t>
      </w:r>
      <w:r w:rsidR="000F57C5">
        <w:rPr>
          <w:b/>
          <w:noProof/>
          <w:sz w:val="24"/>
          <w:szCs w:val="24"/>
          <w:lang w:eastAsia="fr-BE"/>
        </w:rPr>
        <w:t>1,255 and 3,165</w:t>
      </w:r>
      <w:r w:rsidR="00EA36CC" w:rsidRPr="00EA3223">
        <w:rPr>
          <w:b/>
          <w:noProof/>
          <w:sz w:val="24"/>
          <w:szCs w:val="24"/>
          <w:lang w:eastAsia="fr-BE"/>
        </w:rPr>
        <w:t xml:space="preserve">) </w:t>
      </w:r>
      <w:r w:rsidR="00EA36CC" w:rsidRPr="00EA3223">
        <w:rPr>
          <w:rFonts w:eastAsia="Calibri"/>
          <w:noProof/>
          <w:sz w:val="24"/>
          <w:szCs w:val="24"/>
        </w:rPr>
        <w:t xml:space="preserve">based on </w:t>
      </w:r>
      <w:r w:rsidR="003324A1" w:rsidRPr="00EA3223">
        <w:rPr>
          <w:rFonts w:eastAsia="Calibri"/>
          <w:noProof/>
          <w:sz w:val="24"/>
          <w:szCs w:val="24"/>
        </w:rPr>
        <w:t>product liability rules</w:t>
      </w:r>
      <w:r w:rsidR="000F57C5" w:rsidRPr="000F57C5">
        <w:rPr>
          <w:noProof/>
        </w:rPr>
        <w:t xml:space="preserve"> </w:t>
      </w:r>
      <w:r w:rsidR="000F57C5" w:rsidRPr="000F57C5">
        <w:rPr>
          <w:rFonts w:eastAsia="Calibri"/>
          <w:noProof/>
          <w:sz w:val="24"/>
          <w:szCs w:val="24"/>
        </w:rPr>
        <w:t>In line with the 2018 PLD evaluation, the share of successful cases (for injured parties) over total cases is estimated to be 60%, for both in-court and out-of-court cases.</w:t>
      </w:r>
      <w:r w:rsidR="00EA36CC" w:rsidRPr="00EA3223">
        <w:rPr>
          <w:rFonts w:eastAsia="Calibri"/>
          <w:noProof/>
          <w:sz w:val="24"/>
          <w:szCs w:val="24"/>
        </w:rPr>
        <w:t xml:space="preserve"> </w:t>
      </w:r>
      <w:r w:rsidR="004908EC" w:rsidRPr="00EA3223">
        <w:rPr>
          <w:rFonts w:eastAsia="Calibri"/>
          <w:noProof/>
          <w:sz w:val="24"/>
          <w:szCs w:val="24"/>
        </w:rPr>
        <w:t xml:space="preserve">The measures proposed by each policy option might affect the proportion of cases brought under the PLD and/or the success rate of claims. </w:t>
      </w:r>
      <w:r w:rsidR="00EA36CC" w:rsidRPr="00EA3223">
        <w:rPr>
          <w:rFonts w:eastAsia="Calibri"/>
          <w:noProof/>
          <w:sz w:val="24"/>
          <w:szCs w:val="24"/>
        </w:rPr>
        <w:t xml:space="preserve">This increase, multiplied by the </w:t>
      </w:r>
      <w:r w:rsidR="00AA1A26" w:rsidRPr="00EA3223">
        <w:rPr>
          <w:noProof/>
          <w:sz w:val="24"/>
          <w:szCs w:val="24"/>
          <w:lang w:val="en-IE"/>
        </w:rPr>
        <w:t>average</w:t>
      </w:r>
      <w:r w:rsidR="00EA36CC" w:rsidRPr="00EA3223">
        <w:rPr>
          <w:noProof/>
          <w:sz w:val="24"/>
          <w:szCs w:val="24"/>
          <w:lang w:val="en-IE"/>
        </w:rPr>
        <w:t xml:space="preserve"> compensation pay-outs</w:t>
      </w:r>
      <w:r w:rsidR="00E61520" w:rsidRPr="00EA3223">
        <w:rPr>
          <w:noProof/>
          <w:sz w:val="24"/>
          <w:szCs w:val="24"/>
          <w:lang w:val="en-IE"/>
        </w:rPr>
        <w:t>,</w:t>
      </w:r>
      <w:r w:rsidR="00EA36CC" w:rsidRPr="00EA3223">
        <w:rPr>
          <w:noProof/>
          <w:sz w:val="24"/>
          <w:szCs w:val="24"/>
          <w:lang w:val="en-IE"/>
        </w:rPr>
        <w:t xml:space="preserve"> will provide </w:t>
      </w:r>
      <w:r w:rsidR="00831047" w:rsidRPr="00EA3223">
        <w:rPr>
          <w:noProof/>
          <w:sz w:val="24"/>
          <w:szCs w:val="24"/>
          <w:lang w:val="en-IE"/>
        </w:rPr>
        <w:t xml:space="preserve">ranges for the </w:t>
      </w:r>
      <w:r w:rsidR="00EA36CC" w:rsidRPr="00EA3223">
        <w:rPr>
          <w:noProof/>
          <w:sz w:val="24"/>
          <w:szCs w:val="24"/>
          <w:lang w:val="en-IE"/>
        </w:rPr>
        <w:t>estimates on the benefits for consumers.</w:t>
      </w:r>
    </w:p>
    <w:p w14:paraId="360843B2" w14:textId="6266600F" w:rsidR="00F93AEF" w:rsidRPr="008D43D6" w:rsidRDefault="00F93AEF" w:rsidP="00F93AEF">
      <w:pPr>
        <w:pStyle w:val="BodyText"/>
        <w:spacing w:after="240"/>
        <w:rPr>
          <w:noProof/>
          <w:sz w:val="24"/>
        </w:rPr>
      </w:pPr>
      <w:r w:rsidRPr="00F93AEF">
        <w:rPr>
          <w:noProof/>
          <w:sz w:val="24"/>
        </w:rPr>
        <w:t xml:space="preserve">The </w:t>
      </w:r>
      <w:r w:rsidRPr="00F93AEF">
        <w:rPr>
          <w:b/>
          <w:noProof/>
          <w:sz w:val="24"/>
        </w:rPr>
        <w:t>main indirect costs</w:t>
      </w:r>
      <w:r w:rsidRPr="00F93AEF">
        <w:rPr>
          <w:noProof/>
          <w:sz w:val="24"/>
        </w:rPr>
        <w:t xml:space="preserve"> generated by the PLD are liability insurance costs attributable to strict liability under the PLD</w:t>
      </w:r>
      <w:r>
        <w:rPr>
          <w:noProof/>
          <w:sz w:val="24"/>
        </w:rPr>
        <w:t xml:space="preserve"> as well as</w:t>
      </w:r>
      <w:r w:rsidRPr="00F93AEF">
        <w:rPr>
          <w:noProof/>
          <w:sz w:val="24"/>
        </w:rPr>
        <w:t xml:space="preserve"> </w:t>
      </w:r>
      <w:r w:rsidRPr="00E56399">
        <w:rPr>
          <w:noProof/>
          <w:sz w:val="24"/>
        </w:rPr>
        <w:t>legal</w:t>
      </w:r>
      <w:r w:rsidRPr="00F93AEF" w:rsidDel="00010AB5">
        <w:rPr>
          <w:noProof/>
          <w:sz w:val="24"/>
        </w:rPr>
        <w:t xml:space="preserve"> costs</w:t>
      </w:r>
      <w:r w:rsidRPr="00E56399">
        <w:rPr>
          <w:noProof/>
          <w:sz w:val="24"/>
        </w:rPr>
        <w:t xml:space="preserve"> that producers and consumers have to bear in</w:t>
      </w:r>
      <w:r w:rsidR="00616D5E">
        <w:rPr>
          <w:noProof/>
          <w:sz w:val="24"/>
        </w:rPr>
        <w:t xml:space="preserve"> the</w:t>
      </w:r>
      <w:r w:rsidRPr="00E56399">
        <w:rPr>
          <w:noProof/>
          <w:sz w:val="24"/>
        </w:rPr>
        <w:t xml:space="preserve"> </w:t>
      </w:r>
      <w:r w:rsidRPr="008D43D6">
        <w:rPr>
          <w:noProof/>
          <w:sz w:val="24"/>
        </w:rPr>
        <w:t>case of a product liability claim</w:t>
      </w:r>
      <w:r w:rsidR="00616D5E" w:rsidRPr="008D43D6">
        <w:rPr>
          <w:noProof/>
          <w:sz w:val="24"/>
        </w:rPr>
        <w:t xml:space="preserve">, </w:t>
      </w:r>
      <w:r w:rsidRPr="008D43D6">
        <w:rPr>
          <w:noProof/>
          <w:sz w:val="24"/>
        </w:rPr>
        <w:t xml:space="preserve">whether </w:t>
      </w:r>
      <w:r w:rsidR="00616D5E" w:rsidRPr="008D43D6">
        <w:rPr>
          <w:noProof/>
          <w:sz w:val="24"/>
        </w:rPr>
        <w:t xml:space="preserve">in-court or </w:t>
      </w:r>
      <w:r w:rsidRPr="008D43D6">
        <w:rPr>
          <w:noProof/>
          <w:sz w:val="24"/>
        </w:rPr>
        <w:t>out-of-court.</w:t>
      </w:r>
    </w:p>
    <w:p w14:paraId="6C23CDB6" w14:textId="5F1E48CD" w:rsidR="00B5765A" w:rsidRDefault="00DE5295" w:rsidP="00843D4E">
      <w:pPr>
        <w:pStyle w:val="BodyText"/>
        <w:spacing w:after="240"/>
        <w:rPr>
          <w:noProof/>
          <w:sz w:val="24"/>
        </w:rPr>
      </w:pPr>
      <w:r w:rsidRPr="001838A0">
        <w:rPr>
          <w:noProof/>
          <w:sz w:val="24"/>
        </w:rPr>
        <w:t>The</w:t>
      </w:r>
      <w:r w:rsidRPr="008D43D6">
        <w:rPr>
          <w:noProof/>
          <w:sz w:val="24"/>
        </w:rPr>
        <w:t xml:space="preserve"> large majority of </w:t>
      </w:r>
      <w:r w:rsidR="00664589" w:rsidRPr="008D43D6">
        <w:rPr>
          <w:noProof/>
          <w:sz w:val="24"/>
        </w:rPr>
        <w:t>e</w:t>
      </w:r>
      <w:r w:rsidR="00B5765A" w:rsidRPr="008D43D6">
        <w:rPr>
          <w:noProof/>
          <w:sz w:val="24"/>
        </w:rPr>
        <w:t>conomic operator</w:t>
      </w:r>
      <w:r w:rsidRPr="008D43D6">
        <w:rPr>
          <w:noProof/>
          <w:sz w:val="24"/>
        </w:rPr>
        <w:t>s</w:t>
      </w:r>
      <w:r w:rsidR="00664589" w:rsidRPr="008D43D6">
        <w:rPr>
          <w:noProof/>
          <w:sz w:val="24"/>
        </w:rPr>
        <w:t xml:space="preserve"> that faces </w:t>
      </w:r>
      <w:r w:rsidR="00DA6502" w:rsidRPr="008D43D6">
        <w:rPr>
          <w:noProof/>
          <w:sz w:val="24"/>
        </w:rPr>
        <w:t xml:space="preserve">any </w:t>
      </w:r>
      <w:r w:rsidR="00664589" w:rsidRPr="008D43D6">
        <w:rPr>
          <w:noProof/>
          <w:sz w:val="24"/>
        </w:rPr>
        <w:t>additional claims as a result of</w:t>
      </w:r>
      <w:r w:rsidR="00ED123E" w:rsidRPr="008D43D6">
        <w:rPr>
          <w:noProof/>
          <w:sz w:val="24"/>
        </w:rPr>
        <w:t xml:space="preserve"> </w:t>
      </w:r>
      <w:r w:rsidR="00664589" w:rsidRPr="008D43D6">
        <w:rPr>
          <w:noProof/>
          <w:sz w:val="24"/>
        </w:rPr>
        <w:t xml:space="preserve">a </w:t>
      </w:r>
      <w:r w:rsidR="00ED123E" w:rsidRPr="008D43D6">
        <w:rPr>
          <w:noProof/>
          <w:sz w:val="24"/>
        </w:rPr>
        <w:t>policy option</w:t>
      </w:r>
      <w:r w:rsidR="00ED123E">
        <w:rPr>
          <w:noProof/>
          <w:sz w:val="24"/>
        </w:rPr>
        <w:t xml:space="preserve"> </w:t>
      </w:r>
      <w:r w:rsidR="00B5765A">
        <w:rPr>
          <w:noProof/>
          <w:sz w:val="24"/>
        </w:rPr>
        <w:t xml:space="preserve">would not </w:t>
      </w:r>
      <w:r w:rsidR="00ED123E">
        <w:rPr>
          <w:noProof/>
          <w:sz w:val="24"/>
        </w:rPr>
        <w:t xml:space="preserve">face increased </w:t>
      </w:r>
      <w:r w:rsidR="002C4B3E">
        <w:rPr>
          <w:noProof/>
          <w:sz w:val="24"/>
        </w:rPr>
        <w:t>compensation</w:t>
      </w:r>
      <w:r w:rsidR="00ED123E">
        <w:rPr>
          <w:noProof/>
          <w:sz w:val="24"/>
        </w:rPr>
        <w:t xml:space="preserve"> </w:t>
      </w:r>
      <w:r w:rsidR="00664589">
        <w:rPr>
          <w:noProof/>
          <w:sz w:val="24"/>
        </w:rPr>
        <w:t xml:space="preserve">costs </w:t>
      </w:r>
      <w:r w:rsidR="00ED123E">
        <w:rPr>
          <w:noProof/>
          <w:sz w:val="24"/>
        </w:rPr>
        <w:t>vis-à-vis victims</w:t>
      </w:r>
      <w:r w:rsidR="002C4B3E">
        <w:rPr>
          <w:noProof/>
          <w:sz w:val="24"/>
        </w:rPr>
        <w:t>,</w:t>
      </w:r>
      <w:r w:rsidR="00B5765A">
        <w:rPr>
          <w:noProof/>
          <w:sz w:val="24"/>
        </w:rPr>
        <w:t xml:space="preserve"> </w:t>
      </w:r>
      <w:r w:rsidR="002C4B3E">
        <w:rPr>
          <w:noProof/>
          <w:sz w:val="24"/>
        </w:rPr>
        <w:t xml:space="preserve">but </w:t>
      </w:r>
      <w:r w:rsidR="00CD4A3B">
        <w:rPr>
          <w:noProof/>
          <w:sz w:val="24"/>
        </w:rPr>
        <w:t xml:space="preserve">would </w:t>
      </w:r>
      <w:r w:rsidR="002C4B3E">
        <w:rPr>
          <w:noProof/>
          <w:sz w:val="24"/>
        </w:rPr>
        <w:t xml:space="preserve">rather </w:t>
      </w:r>
      <w:r w:rsidR="00B5765A">
        <w:rPr>
          <w:noProof/>
          <w:sz w:val="24"/>
        </w:rPr>
        <w:t xml:space="preserve">face </w:t>
      </w:r>
      <w:r w:rsidR="00B5765A" w:rsidRPr="004D28D9">
        <w:rPr>
          <w:noProof/>
          <w:sz w:val="24"/>
        </w:rPr>
        <w:t xml:space="preserve">a marginal increase in </w:t>
      </w:r>
      <w:r w:rsidR="00B5765A">
        <w:rPr>
          <w:noProof/>
          <w:sz w:val="24"/>
        </w:rPr>
        <w:t xml:space="preserve">their </w:t>
      </w:r>
      <w:r w:rsidR="00B5765A" w:rsidRPr="004D28D9">
        <w:rPr>
          <w:noProof/>
          <w:sz w:val="24"/>
        </w:rPr>
        <w:t>insurance premiums</w:t>
      </w:r>
      <w:r>
        <w:rPr>
          <w:rStyle w:val="FootnoteReference"/>
          <w:noProof/>
          <w:sz w:val="24"/>
        </w:rPr>
        <w:footnoteReference w:id="177"/>
      </w:r>
      <w:r w:rsidR="00B5765A">
        <w:rPr>
          <w:noProof/>
          <w:sz w:val="24"/>
        </w:rPr>
        <w:t>.</w:t>
      </w:r>
      <w:r w:rsidR="00AA1A26">
        <w:rPr>
          <w:noProof/>
          <w:sz w:val="24"/>
        </w:rPr>
        <w:t xml:space="preserve"> </w:t>
      </w:r>
      <w:r>
        <w:rPr>
          <w:noProof/>
          <w:sz w:val="24"/>
        </w:rPr>
        <w:t xml:space="preserve">The minority of </w:t>
      </w:r>
      <w:r>
        <w:rPr>
          <w:noProof/>
          <w:sz w:val="24"/>
          <w:szCs w:val="24"/>
        </w:rPr>
        <w:t>e</w:t>
      </w:r>
      <w:r w:rsidR="004C17A4" w:rsidRPr="006737BE">
        <w:rPr>
          <w:noProof/>
          <w:sz w:val="24"/>
          <w:szCs w:val="24"/>
        </w:rPr>
        <w:t>conomic operator</w:t>
      </w:r>
      <w:r w:rsidR="004C17A4">
        <w:rPr>
          <w:noProof/>
          <w:sz w:val="24"/>
          <w:szCs w:val="24"/>
        </w:rPr>
        <w:t>s</w:t>
      </w:r>
      <w:r w:rsidR="004C17A4" w:rsidRPr="006737BE">
        <w:rPr>
          <w:noProof/>
          <w:sz w:val="24"/>
          <w:szCs w:val="24"/>
        </w:rPr>
        <w:t xml:space="preserve"> </w:t>
      </w:r>
      <w:r w:rsidR="004C17A4">
        <w:rPr>
          <w:noProof/>
          <w:sz w:val="24"/>
          <w:szCs w:val="24"/>
        </w:rPr>
        <w:t xml:space="preserve">without </w:t>
      </w:r>
      <w:r w:rsidR="004C17A4" w:rsidRPr="006737BE">
        <w:rPr>
          <w:noProof/>
          <w:sz w:val="24"/>
          <w:szCs w:val="24"/>
        </w:rPr>
        <w:t xml:space="preserve">product liability insurance </w:t>
      </w:r>
      <w:r>
        <w:rPr>
          <w:noProof/>
          <w:sz w:val="24"/>
          <w:szCs w:val="24"/>
        </w:rPr>
        <w:t xml:space="preserve">and </w:t>
      </w:r>
      <w:r w:rsidR="004C17A4">
        <w:rPr>
          <w:noProof/>
          <w:sz w:val="24"/>
          <w:szCs w:val="24"/>
        </w:rPr>
        <w:t xml:space="preserve">that face </w:t>
      </w:r>
      <w:r w:rsidR="00DA6502">
        <w:rPr>
          <w:noProof/>
          <w:sz w:val="24"/>
          <w:szCs w:val="24"/>
        </w:rPr>
        <w:t xml:space="preserve">any </w:t>
      </w:r>
      <w:r w:rsidR="004C17A4">
        <w:rPr>
          <w:noProof/>
          <w:sz w:val="24"/>
          <w:szCs w:val="24"/>
        </w:rPr>
        <w:t xml:space="preserve">additional claims </w:t>
      </w:r>
      <w:r w:rsidR="004C17A4" w:rsidRPr="006737BE">
        <w:rPr>
          <w:noProof/>
          <w:sz w:val="24"/>
          <w:szCs w:val="24"/>
        </w:rPr>
        <w:t>would</w:t>
      </w:r>
      <w:r w:rsidR="004C17A4">
        <w:rPr>
          <w:noProof/>
          <w:sz w:val="24"/>
          <w:szCs w:val="24"/>
        </w:rPr>
        <w:t>, on the other hand,</w:t>
      </w:r>
      <w:r w:rsidR="004C17A4" w:rsidRPr="006737BE">
        <w:rPr>
          <w:noProof/>
          <w:sz w:val="24"/>
          <w:szCs w:val="24"/>
        </w:rPr>
        <w:t xml:space="preserve"> face increased compensation costs</w:t>
      </w:r>
      <w:r w:rsidR="004C17A4">
        <w:rPr>
          <w:noProof/>
          <w:sz w:val="24"/>
          <w:szCs w:val="24"/>
        </w:rPr>
        <w:t xml:space="preserve"> vis-à-vis</w:t>
      </w:r>
      <w:r w:rsidR="004C17A4">
        <w:rPr>
          <w:noProof/>
          <w:sz w:val="24"/>
        </w:rPr>
        <w:t xml:space="preserve"> victims</w:t>
      </w:r>
      <w:r w:rsidR="004C17A4" w:rsidRPr="006737BE">
        <w:rPr>
          <w:noProof/>
          <w:sz w:val="24"/>
          <w:szCs w:val="24"/>
        </w:rPr>
        <w:t xml:space="preserve">. </w:t>
      </w:r>
      <w:r w:rsidR="00843D4E">
        <w:rPr>
          <w:noProof/>
          <w:sz w:val="24"/>
          <w:szCs w:val="24"/>
        </w:rPr>
        <w:t>In the analysis, t</w:t>
      </w:r>
      <w:r w:rsidR="00AA1A26" w:rsidRPr="00AA1A26">
        <w:rPr>
          <w:noProof/>
          <w:sz w:val="24"/>
        </w:rPr>
        <w:t xml:space="preserve">he cost of liability insurance is assessed and quantified </w:t>
      </w:r>
      <w:r w:rsidR="007133D2">
        <w:rPr>
          <w:noProof/>
          <w:sz w:val="24"/>
        </w:rPr>
        <w:t>as a cost for producers</w:t>
      </w:r>
      <w:r w:rsidR="00843D4E">
        <w:rPr>
          <w:noProof/>
          <w:sz w:val="24"/>
        </w:rPr>
        <w:t>, whereas compensation costs are assessed as a benefit for victims</w:t>
      </w:r>
      <w:r w:rsidR="007133D2">
        <w:rPr>
          <w:noProof/>
          <w:sz w:val="24"/>
        </w:rPr>
        <w:t>.</w:t>
      </w:r>
      <w:r w:rsidR="00843D4E">
        <w:rPr>
          <w:noProof/>
          <w:sz w:val="24"/>
        </w:rPr>
        <w:t xml:space="preserve"> </w:t>
      </w:r>
      <w:r>
        <w:rPr>
          <w:noProof/>
          <w:sz w:val="24"/>
        </w:rPr>
        <w:t xml:space="preserve">Compensation </w:t>
      </w:r>
      <w:r w:rsidR="00843D4E">
        <w:rPr>
          <w:noProof/>
          <w:sz w:val="24"/>
        </w:rPr>
        <w:t>costs are not assessed as costs for producers</w:t>
      </w:r>
      <w:r w:rsidR="00645013">
        <w:rPr>
          <w:noProof/>
          <w:sz w:val="24"/>
        </w:rPr>
        <w:t xml:space="preserve">, because adding them to the </w:t>
      </w:r>
      <w:r w:rsidR="00D46507">
        <w:rPr>
          <w:noProof/>
          <w:sz w:val="24"/>
        </w:rPr>
        <w:t xml:space="preserve">increased </w:t>
      </w:r>
      <w:r w:rsidR="00645013">
        <w:rPr>
          <w:noProof/>
          <w:sz w:val="24"/>
        </w:rPr>
        <w:t xml:space="preserve">cost of liability insurance </w:t>
      </w:r>
      <w:r w:rsidR="00D46507">
        <w:rPr>
          <w:noProof/>
          <w:sz w:val="24"/>
        </w:rPr>
        <w:t xml:space="preserve">premiums </w:t>
      </w:r>
      <w:r w:rsidR="00645013">
        <w:rPr>
          <w:noProof/>
          <w:sz w:val="24"/>
        </w:rPr>
        <w:t>would have led to</w:t>
      </w:r>
      <w:r w:rsidR="00AA1A26" w:rsidRPr="00AA1A26">
        <w:rPr>
          <w:noProof/>
          <w:sz w:val="24"/>
        </w:rPr>
        <w:t xml:space="preserve"> double counting</w:t>
      </w:r>
      <w:r w:rsidR="00645013">
        <w:rPr>
          <w:noProof/>
          <w:sz w:val="24"/>
        </w:rPr>
        <w:t xml:space="preserve"> and no data was available to make estimates about which producers have insurance and which do not</w:t>
      </w:r>
      <w:r w:rsidR="00AA1A26" w:rsidRPr="00AA1A26">
        <w:rPr>
          <w:noProof/>
          <w:sz w:val="24"/>
        </w:rPr>
        <w:t>.</w:t>
      </w:r>
      <w:r w:rsidR="00B5765A" w:rsidRPr="00B5765A">
        <w:rPr>
          <w:noProof/>
          <w:sz w:val="24"/>
          <w:szCs w:val="24"/>
        </w:rPr>
        <w:t xml:space="preserve"> </w:t>
      </w:r>
      <w:r w:rsidR="00645013">
        <w:rPr>
          <w:noProof/>
          <w:sz w:val="24"/>
          <w:szCs w:val="24"/>
        </w:rPr>
        <w:t>To assume</w:t>
      </w:r>
      <w:r w:rsidR="00290EF9">
        <w:rPr>
          <w:noProof/>
          <w:sz w:val="24"/>
          <w:szCs w:val="24"/>
        </w:rPr>
        <w:t xml:space="preserve"> that the 21% of producers without insurance are spread across all manufacturing sectors would entail a high risk of </w:t>
      </w:r>
      <w:r w:rsidR="007D7B66">
        <w:rPr>
          <w:noProof/>
          <w:sz w:val="24"/>
          <w:szCs w:val="24"/>
        </w:rPr>
        <w:t xml:space="preserve">overestimating costs </w:t>
      </w:r>
      <w:r w:rsidR="00290EF9">
        <w:rPr>
          <w:noProof/>
          <w:sz w:val="24"/>
          <w:szCs w:val="24"/>
        </w:rPr>
        <w:t xml:space="preserve">for producers, since interviews with the insurance industry suggest that the 21% represents mainly producers of lower-risk products that are rarely subject to compensation claims. In contrast, </w:t>
      </w:r>
      <w:r w:rsidR="00645013" w:rsidRPr="00645013">
        <w:rPr>
          <w:noProof/>
          <w:sz w:val="24"/>
          <w:szCs w:val="24"/>
        </w:rPr>
        <w:t xml:space="preserve">producers of the sorts of products </w:t>
      </w:r>
      <w:r w:rsidR="00645013">
        <w:rPr>
          <w:noProof/>
          <w:sz w:val="24"/>
          <w:szCs w:val="24"/>
        </w:rPr>
        <w:t>covered by options 1a, 1b and 1c</w:t>
      </w:r>
      <w:r w:rsidR="00645013" w:rsidRPr="00645013">
        <w:rPr>
          <w:noProof/>
          <w:sz w:val="24"/>
          <w:szCs w:val="24"/>
        </w:rPr>
        <w:t xml:space="preserve"> (e.g. autonomous vehicles, robots) or for which the burden of proof is currently challenging (e.g. complex products like pharmaceuticals or Internet of Things devices) are more likely to have liability insurance at present, since there is a higher risk of those products being subject to compensation claims. </w:t>
      </w:r>
      <w:r w:rsidR="00645013">
        <w:rPr>
          <w:noProof/>
          <w:sz w:val="24"/>
          <w:szCs w:val="24"/>
        </w:rPr>
        <w:t>It is acknowledged that not assessing compensation costs as a cost for producers may lead to a small underestimat</w:t>
      </w:r>
      <w:r w:rsidR="008E5409">
        <w:rPr>
          <w:noProof/>
          <w:sz w:val="24"/>
          <w:szCs w:val="24"/>
        </w:rPr>
        <w:t>ion</w:t>
      </w:r>
      <w:r w:rsidR="00645013">
        <w:rPr>
          <w:noProof/>
          <w:sz w:val="24"/>
          <w:szCs w:val="24"/>
        </w:rPr>
        <w:t xml:space="preserve"> of costs.</w:t>
      </w:r>
    </w:p>
    <w:p w14:paraId="7E39BE72" w14:textId="418A7B22" w:rsidR="00EC30F2" w:rsidRDefault="00F93AEF" w:rsidP="00E56399">
      <w:pPr>
        <w:pStyle w:val="BodyText"/>
        <w:spacing w:after="240"/>
        <w:rPr>
          <w:noProof/>
          <w:sz w:val="24"/>
        </w:rPr>
      </w:pPr>
      <w:r>
        <w:rPr>
          <w:noProof/>
          <w:sz w:val="24"/>
          <w:szCs w:val="24"/>
        </w:rPr>
        <w:t>T</w:t>
      </w:r>
      <w:r w:rsidR="00CF39CF">
        <w:rPr>
          <w:noProof/>
          <w:sz w:val="24"/>
          <w:szCs w:val="24"/>
        </w:rPr>
        <w:t>here are no</w:t>
      </w:r>
      <w:r w:rsidR="00A75A0F">
        <w:rPr>
          <w:noProof/>
          <w:sz w:val="24"/>
          <w:szCs w:val="24"/>
        </w:rPr>
        <w:t xml:space="preserve"> relevant</w:t>
      </w:r>
      <w:r w:rsidR="00CF39CF">
        <w:rPr>
          <w:noProof/>
          <w:sz w:val="24"/>
          <w:szCs w:val="24"/>
        </w:rPr>
        <w:t xml:space="preserve"> </w:t>
      </w:r>
      <w:r w:rsidR="005F7946">
        <w:rPr>
          <w:noProof/>
          <w:sz w:val="24"/>
          <w:szCs w:val="24"/>
        </w:rPr>
        <w:t>a</w:t>
      </w:r>
      <w:r w:rsidR="00FC3216" w:rsidRPr="00310C5D">
        <w:rPr>
          <w:noProof/>
          <w:sz w:val="24"/>
          <w:szCs w:val="24"/>
        </w:rPr>
        <w:t xml:space="preserve">dministrative costs under the PLD </w:t>
      </w:r>
      <w:r w:rsidR="00664589">
        <w:rPr>
          <w:noProof/>
          <w:sz w:val="24"/>
          <w:szCs w:val="24"/>
        </w:rPr>
        <w:t xml:space="preserve">in contrast to much product safety </w:t>
      </w:r>
      <w:r w:rsidR="00FC3216" w:rsidRPr="00310C5D">
        <w:rPr>
          <w:noProof/>
          <w:sz w:val="24"/>
          <w:szCs w:val="24"/>
        </w:rPr>
        <w:t>legislation</w:t>
      </w:r>
      <w:r w:rsidR="00AE5AEC">
        <w:rPr>
          <w:noProof/>
          <w:sz w:val="24"/>
          <w:szCs w:val="24"/>
        </w:rPr>
        <w:t xml:space="preserve">, </w:t>
      </w:r>
      <w:r w:rsidR="00FC3216" w:rsidRPr="00310C5D">
        <w:rPr>
          <w:noProof/>
          <w:sz w:val="24"/>
          <w:szCs w:val="24"/>
        </w:rPr>
        <w:t xml:space="preserve">as </w:t>
      </w:r>
      <w:r w:rsidR="00AE5AEC">
        <w:rPr>
          <w:noProof/>
          <w:sz w:val="24"/>
          <w:szCs w:val="24"/>
        </w:rPr>
        <w:t xml:space="preserve">there are </w:t>
      </w:r>
      <w:r w:rsidR="00FC3216" w:rsidRPr="00310C5D">
        <w:rPr>
          <w:noProof/>
          <w:sz w:val="24"/>
          <w:szCs w:val="24"/>
        </w:rPr>
        <w:t xml:space="preserve">no specific obligations or information requirements </w:t>
      </w:r>
      <w:r w:rsidR="00AE5AEC">
        <w:rPr>
          <w:noProof/>
          <w:sz w:val="24"/>
          <w:szCs w:val="24"/>
        </w:rPr>
        <w:t xml:space="preserve">for </w:t>
      </w:r>
      <w:r w:rsidR="00FC3216" w:rsidRPr="00310C5D">
        <w:rPr>
          <w:noProof/>
          <w:sz w:val="24"/>
          <w:szCs w:val="24"/>
        </w:rPr>
        <w:t xml:space="preserve">economic operators. There will be </w:t>
      </w:r>
      <w:r w:rsidR="00F4298C">
        <w:rPr>
          <w:noProof/>
          <w:sz w:val="24"/>
          <w:szCs w:val="24"/>
        </w:rPr>
        <w:t>one-off</w:t>
      </w:r>
      <w:r w:rsidR="00FC3216" w:rsidRPr="00310C5D">
        <w:rPr>
          <w:noProof/>
          <w:sz w:val="24"/>
          <w:szCs w:val="24"/>
        </w:rPr>
        <w:t xml:space="preserve"> </w:t>
      </w:r>
      <w:r w:rsidR="00FC3216" w:rsidRPr="00310C5D">
        <w:rPr>
          <w:b/>
          <w:noProof/>
          <w:sz w:val="24"/>
          <w:szCs w:val="24"/>
        </w:rPr>
        <w:t>familiarisation costs</w:t>
      </w:r>
      <w:r w:rsidR="00FC3216" w:rsidRPr="00310C5D">
        <w:rPr>
          <w:noProof/>
          <w:sz w:val="24"/>
          <w:szCs w:val="24"/>
        </w:rPr>
        <w:t xml:space="preserve"> </w:t>
      </w:r>
      <w:r w:rsidR="00E56399">
        <w:rPr>
          <w:noProof/>
          <w:sz w:val="24"/>
          <w:szCs w:val="24"/>
        </w:rPr>
        <w:t>for economic operators</w:t>
      </w:r>
      <w:r w:rsidR="00DF3F59">
        <w:rPr>
          <w:noProof/>
          <w:sz w:val="24"/>
          <w:szCs w:val="24"/>
        </w:rPr>
        <w:t xml:space="preserve"> not previously covered as producers under the PLD</w:t>
      </w:r>
      <w:r w:rsidR="00FC3216" w:rsidRPr="00310C5D">
        <w:rPr>
          <w:noProof/>
          <w:sz w:val="24"/>
          <w:szCs w:val="24"/>
        </w:rPr>
        <w:t>, which are minimal.</w:t>
      </w:r>
    </w:p>
    <w:p w14:paraId="2B3F82B4" w14:textId="28317DF7" w:rsidR="00387231" w:rsidRDefault="00387231" w:rsidP="00E56399">
      <w:pPr>
        <w:pStyle w:val="BodyText"/>
        <w:spacing w:after="240"/>
        <w:rPr>
          <w:noProof/>
          <w:sz w:val="24"/>
        </w:rPr>
      </w:pPr>
      <w:r>
        <w:rPr>
          <w:noProof/>
          <w:sz w:val="24"/>
        </w:rPr>
        <w:t xml:space="preserve">The estimates </w:t>
      </w:r>
      <w:r w:rsidR="00F91801">
        <w:rPr>
          <w:noProof/>
          <w:sz w:val="24"/>
        </w:rPr>
        <w:t>were developed on the basis of</w:t>
      </w:r>
      <w:r>
        <w:rPr>
          <w:noProof/>
          <w:sz w:val="24"/>
        </w:rPr>
        <w:t xml:space="preserve"> interviews with experts. They </w:t>
      </w:r>
      <w:r w:rsidR="00F91801">
        <w:rPr>
          <w:noProof/>
          <w:sz w:val="24"/>
        </w:rPr>
        <w:t>were</w:t>
      </w:r>
      <w:r>
        <w:rPr>
          <w:noProof/>
          <w:sz w:val="24"/>
        </w:rPr>
        <w:t xml:space="preserve"> validated during the </w:t>
      </w:r>
      <w:r w:rsidR="00F91801">
        <w:rPr>
          <w:noProof/>
          <w:sz w:val="24"/>
        </w:rPr>
        <w:t xml:space="preserve">Stakeholder </w:t>
      </w:r>
      <w:r>
        <w:rPr>
          <w:noProof/>
          <w:sz w:val="24"/>
        </w:rPr>
        <w:t>workshop</w:t>
      </w:r>
      <w:r w:rsidR="0010299F">
        <w:rPr>
          <w:noProof/>
          <w:sz w:val="24"/>
        </w:rPr>
        <w:t xml:space="preserve"> in December 2021</w:t>
      </w:r>
      <w:r>
        <w:rPr>
          <w:noProof/>
          <w:sz w:val="24"/>
        </w:rPr>
        <w:t>.</w:t>
      </w:r>
    </w:p>
    <w:p w14:paraId="7EFA5C84" w14:textId="70D5ECCD" w:rsidR="00C80854" w:rsidRPr="00C80854" w:rsidRDefault="002E7937" w:rsidP="002E7937">
      <w:pPr>
        <w:pStyle w:val="Heading2"/>
        <w:rPr>
          <w:noProof/>
        </w:rPr>
      </w:pPr>
      <w:bookmarkStart w:id="481" w:name="_Toc95477758"/>
      <w:bookmarkStart w:id="482" w:name="_Toc95477952"/>
      <w:bookmarkStart w:id="483" w:name="_Toc95480910"/>
      <w:bookmarkStart w:id="484" w:name="_Toc95481308"/>
      <w:bookmarkStart w:id="485" w:name="_Toc95481568"/>
      <w:bookmarkStart w:id="486" w:name="_Toc94837821"/>
      <w:bookmarkStart w:id="487" w:name="_Toc95379875"/>
      <w:bookmarkStart w:id="488" w:name="_Toc95391366"/>
      <w:bookmarkStart w:id="489" w:name="_Toc95396435"/>
      <w:bookmarkStart w:id="490" w:name="_Toc95421533"/>
      <w:bookmarkStart w:id="491" w:name="_Toc95481981"/>
      <w:bookmarkStart w:id="492" w:name="_Toc96337774"/>
      <w:bookmarkStart w:id="493" w:name="_Toc96446253"/>
      <w:bookmarkStart w:id="494" w:name="_Toc96448026"/>
      <w:bookmarkStart w:id="495" w:name="_Toc96593975"/>
      <w:bookmarkStart w:id="496" w:name="_Toc96597266"/>
      <w:bookmarkStart w:id="497" w:name="_Toc96609201"/>
      <w:bookmarkStart w:id="498" w:name="_Toc97149230"/>
      <w:bookmarkStart w:id="499" w:name="_Toc97191276"/>
      <w:bookmarkStart w:id="500" w:name="_Toc107430086"/>
      <w:bookmarkEnd w:id="481"/>
      <w:bookmarkEnd w:id="482"/>
      <w:bookmarkEnd w:id="483"/>
      <w:bookmarkEnd w:id="484"/>
      <w:bookmarkEnd w:id="485"/>
      <w:r w:rsidRPr="002E7937">
        <w:t>6.1.</w:t>
      </w:r>
      <w:r w:rsidRPr="002E7937">
        <w:tab/>
      </w:r>
      <w:r w:rsidR="00C80854" w:rsidRPr="00BA10F8">
        <w:rPr>
          <w:noProof/>
        </w:rPr>
        <w:t>Policy option 1a</w:t>
      </w:r>
      <w:r w:rsidR="00C80854" w:rsidRPr="00C80854">
        <w:rPr>
          <w:noProof/>
        </w:rPr>
        <w:t xml:space="preserve"> – Adaptations for products with digital elements and circular economy</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0E92D1D1" w14:textId="77777777" w:rsidR="00C80854" w:rsidRPr="00C80854" w:rsidRDefault="00C80854" w:rsidP="008E7764">
      <w:pPr>
        <w:spacing w:after="240" w:line="240" w:lineRule="auto"/>
        <w:jc w:val="both"/>
        <w:rPr>
          <w:rFonts w:cstheme="minorHAnsi"/>
          <w:b/>
          <w:bCs/>
          <w:noProof/>
          <w:color w:val="242424"/>
          <w:sz w:val="24"/>
          <w:szCs w:val="24"/>
          <w:u w:val="single"/>
          <w:shd w:val="clear" w:color="auto" w:fill="FFFFFF"/>
        </w:rPr>
      </w:pPr>
      <w:r w:rsidRPr="00C80854">
        <w:rPr>
          <w:rFonts w:cstheme="minorHAnsi"/>
          <w:b/>
          <w:bCs/>
          <w:noProof/>
          <w:color w:val="242424"/>
          <w:sz w:val="24"/>
          <w:szCs w:val="24"/>
          <w:u w:val="single"/>
          <w:shd w:val="clear" w:color="auto" w:fill="FFFFFF"/>
        </w:rPr>
        <w:t>Economic impacts</w:t>
      </w:r>
    </w:p>
    <w:p w14:paraId="318805E2" w14:textId="77777777" w:rsidR="00C80854" w:rsidRPr="00DD184F" w:rsidRDefault="00C80854" w:rsidP="00DD3B24">
      <w:pPr>
        <w:pStyle w:val="ListParagraph"/>
        <w:numPr>
          <w:ilvl w:val="0"/>
          <w:numId w:val="10"/>
        </w:numPr>
        <w:spacing w:after="120"/>
        <w:ind w:left="714" w:hanging="357"/>
        <w:jc w:val="both"/>
        <w:rPr>
          <w:rFonts w:cstheme="minorHAnsi"/>
          <w:b/>
          <w:bCs/>
          <w:noProof/>
          <w:color w:val="242424"/>
          <w:sz w:val="24"/>
          <w:szCs w:val="24"/>
          <w:shd w:val="clear" w:color="auto" w:fill="FFFFFF"/>
        </w:rPr>
      </w:pPr>
      <w:r w:rsidRPr="00DD184F">
        <w:rPr>
          <w:rFonts w:cstheme="minorHAnsi"/>
          <w:b/>
          <w:bCs/>
          <w:noProof/>
          <w:color w:val="242424"/>
          <w:sz w:val="24"/>
          <w:szCs w:val="24"/>
          <w:shd w:val="clear" w:color="auto" w:fill="FFFFFF"/>
        </w:rPr>
        <w:t xml:space="preserve">Impacts on economic operators </w:t>
      </w:r>
    </w:p>
    <w:p w14:paraId="74E47650" w14:textId="3D833ABA" w:rsidR="00C80854" w:rsidRPr="006737BE" w:rsidRDefault="003F55C7" w:rsidP="00DD184F">
      <w:pPr>
        <w:spacing w:after="240" w:line="240" w:lineRule="auto"/>
        <w:jc w:val="both"/>
        <w:rPr>
          <w:noProof/>
          <w:sz w:val="24"/>
          <w:szCs w:val="24"/>
        </w:rPr>
      </w:pPr>
      <w:r>
        <w:rPr>
          <w:noProof/>
          <w:sz w:val="24"/>
          <w:szCs w:val="24"/>
        </w:rPr>
        <w:t xml:space="preserve">Under PO1a, </w:t>
      </w:r>
      <w:r w:rsidR="00B648D0">
        <w:rPr>
          <w:noProof/>
          <w:sz w:val="24"/>
          <w:szCs w:val="24"/>
        </w:rPr>
        <w:t>t</w:t>
      </w:r>
      <w:r w:rsidR="00453FD9">
        <w:rPr>
          <w:noProof/>
          <w:sz w:val="24"/>
          <w:szCs w:val="24"/>
        </w:rPr>
        <w:t xml:space="preserve">he liability exposure of manufacturers of products with digital elements would increase. </w:t>
      </w:r>
      <w:r w:rsidR="00D6360F">
        <w:rPr>
          <w:noProof/>
          <w:sz w:val="24"/>
          <w:szCs w:val="24"/>
        </w:rPr>
        <w:t>Explicitly making</w:t>
      </w:r>
      <w:r w:rsidR="00B648D0">
        <w:rPr>
          <w:noProof/>
          <w:sz w:val="24"/>
          <w:szCs w:val="24"/>
        </w:rPr>
        <w:t xml:space="preserve"> providers of software, updates and digital services </w:t>
      </w:r>
      <w:r w:rsidR="00D6360F">
        <w:rPr>
          <w:noProof/>
          <w:sz w:val="24"/>
          <w:szCs w:val="24"/>
        </w:rPr>
        <w:t>“</w:t>
      </w:r>
      <w:r w:rsidR="00B648D0">
        <w:rPr>
          <w:noProof/>
          <w:sz w:val="24"/>
          <w:szCs w:val="24"/>
        </w:rPr>
        <w:t>producers</w:t>
      </w:r>
      <w:r w:rsidR="00D6360F">
        <w:rPr>
          <w:noProof/>
          <w:sz w:val="24"/>
          <w:szCs w:val="24"/>
        </w:rPr>
        <w:t>”</w:t>
      </w:r>
      <w:r w:rsidR="00B648D0">
        <w:rPr>
          <w:noProof/>
          <w:sz w:val="24"/>
          <w:szCs w:val="24"/>
        </w:rPr>
        <w:t xml:space="preserve"> would </w:t>
      </w:r>
      <w:r w:rsidR="00D764C1">
        <w:rPr>
          <w:noProof/>
          <w:sz w:val="24"/>
          <w:szCs w:val="24"/>
        </w:rPr>
        <w:t xml:space="preserve">also </w:t>
      </w:r>
      <w:r w:rsidR="00B648D0">
        <w:rPr>
          <w:noProof/>
          <w:sz w:val="24"/>
          <w:szCs w:val="24"/>
        </w:rPr>
        <w:t>slightly increase their liability exposure, although victims are likely to s</w:t>
      </w:r>
      <w:r w:rsidR="000644A7">
        <w:rPr>
          <w:noProof/>
          <w:sz w:val="24"/>
          <w:szCs w:val="24"/>
        </w:rPr>
        <w:t>eek compensation from the manufacturer of the overall product</w:t>
      </w:r>
      <w:r w:rsidR="00EB61C2">
        <w:rPr>
          <w:rStyle w:val="FootnoteReference"/>
          <w:noProof/>
          <w:sz w:val="24"/>
          <w:szCs w:val="24"/>
        </w:rPr>
        <w:footnoteReference w:id="178"/>
      </w:r>
      <w:r w:rsidR="000644A7">
        <w:rPr>
          <w:noProof/>
          <w:sz w:val="24"/>
          <w:szCs w:val="24"/>
        </w:rPr>
        <w:t xml:space="preserve">. Because PO1a could create </w:t>
      </w:r>
      <w:r w:rsidR="000644A7" w:rsidRPr="00CF60CB">
        <w:rPr>
          <w:noProof/>
          <w:sz w:val="24"/>
          <w:szCs w:val="24"/>
        </w:rPr>
        <w:t xml:space="preserve">an incentive to </w:t>
      </w:r>
      <w:r w:rsidR="000644A7">
        <w:rPr>
          <w:noProof/>
          <w:sz w:val="24"/>
          <w:szCs w:val="24"/>
        </w:rPr>
        <w:t>provide security updates</w:t>
      </w:r>
      <w:r w:rsidR="000644A7" w:rsidRPr="00CF60CB">
        <w:rPr>
          <w:noProof/>
          <w:sz w:val="24"/>
          <w:szCs w:val="24"/>
        </w:rPr>
        <w:t xml:space="preserve"> to avoid liability</w:t>
      </w:r>
      <w:r w:rsidR="000644A7">
        <w:rPr>
          <w:noProof/>
          <w:sz w:val="24"/>
          <w:szCs w:val="24"/>
        </w:rPr>
        <w:t>,</w:t>
      </w:r>
      <w:r w:rsidR="000644A7" w:rsidRPr="00CF60CB">
        <w:rPr>
          <w:noProof/>
          <w:sz w:val="24"/>
          <w:szCs w:val="24"/>
        </w:rPr>
        <w:t xml:space="preserve"> </w:t>
      </w:r>
      <w:r w:rsidR="000644A7">
        <w:rPr>
          <w:noProof/>
          <w:sz w:val="24"/>
          <w:szCs w:val="24"/>
        </w:rPr>
        <w:t>this could</w:t>
      </w:r>
      <w:r w:rsidR="000644A7" w:rsidRPr="00CF60CB">
        <w:rPr>
          <w:noProof/>
          <w:sz w:val="24"/>
          <w:szCs w:val="24"/>
        </w:rPr>
        <w:t xml:space="preserve"> indirectly generate </w:t>
      </w:r>
      <w:r w:rsidR="000644A7">
        <w:rPr>
          <w:noProof/>
          <w:sz w:val="24"/>
          <w:szCs w:val="24"/>
        </w:rPr>
        <w:t xml:space="preserve">software </w:t>
      </w:r>
      <w:r w:rsidR="000644A7" w:rsidRPr="00CF60CB">
        <w:rPr>
          <w:noProof/>
          <w:sz w:val="24"/>
          <w:szCs w:val="24"/>
        </w:rPr>
        <w:t>development costs</w:t>
      </w:r>
      <w:r w:rsidR="000644A7">
        <w:rPr>
          <w:noProof/>
          <w:sz w:val="24"/>
          <w:szCs w:val="24"/>
        </w:rPr>
        <w:t>.</w:t>
      </w:r>
      <w:r w:rsidR="000644A7" w:rsidDel="000644A7">
        <w:rPr>
          <w:noProof/>
          <w:sz w:val="24"/>
          <w:szCs w:val="24"/>
        </w:rPr>
        <w:t xml:space="preserve"> </w:t>
      </w:r>
      <w:r w:rsidR="00627E50">
        <w:rPr>
          <w:noProof/>
          <w:sz w:val="24"/>
          <w:szCs w:val="24"/>
        </w:rPr>
        <w:t>Stakeholders most impacted are m</w:t>
      </w:r>
      <w:r w:rsidR="00627E50" w:rsidRPr="00627E50">
        <w:rPr>
          <w:noProof/>
          <w:sz w:val="24"/>
          <w:szCs w:val="24"/>
        </w:rPr>
        <w:t>anufacturers of IoT or AI-enabled products, such as robots, connected and autonomous vehicles, machinery</w:t>
      </w:r>
      <w:r w:rsidR="00627E50">
        <w:rPr>
          <w:noProof/>
          <w:sz w:val="24"/>
          <w:szCs w:val="24"/>
        </w:rPr>
        <w:t xml:space="preserve"> and</w:t>
      </w:r>
      <w:r w:rsidR="00627E50" w:rsidRPr="00627E50">
        <w:rPr>
          <w:noProof/>
          <w:sz w:val="24"/>
          <w:szCs w:val="24"/>
        </w:rPr>
        <w:t xml:space="preserve"> domestic appliances.</w:t>
      </w:r>
      <w:r w:rsidR="00453FD9">
        <w:rPr>
          <w:noProof/>
          <w:sz w:val="24"/>
          <w:szCs w:val="24"/>
        </w:rPr>
        <w:t xml:space="preserve"> </w:t>
      </w:r>
    </w:p>
    <w:p w14:paraId="7B9BE454" w14:textId="6059DFF2" w:rsidR="00C80854" w:rsidRPr="00DD184F" w:rsidRDefault="00C80854" w:rsidP="00DD184F">
      <w:pPr>
        <w:spacing w:after="240" w:line="240" w:lineRule="auto"/>
        <w:jc w:val="both"/>
        <w:rPr>
          <w:rFonts w:cstheme="minorHAnsi"/>
          <w:bCs/>
          <w:noProof/>
          <w:color w:val="242424"/>
          <w:sz w:val="24"/>
          <w:szCs w:val="24"/>
          <w:shd w:val="clear" w:color="auto" w:fill="FFFFFF"/>
        </w:rPr>
      </w:pPr>
      <w:r w:rsidRPr="00DD184F">
        <w:rPr>
          <w:rFonts w:cstheme="minorHAnsi"/>
          <w:bCs/>
          <w:noProof/>
          <w:color w:val="242424"/>
          <w:sz w:val="24"/>
          <w:szCs w:val="24"/>
          <w:shd w:val="clear" w:color="auto" w:fill="FFFFFF"/>
        </w:rPr>
        <w:t xml:space="preserve">78% </w:t>
      </w:r>
      <w:r w:rsidR="00AC2FD5" w:rsidRPr="00DD184F">
        <w:rPr>
          <w:rFonts w:cstheme="minorHAnsi"/>
          <w:bCs/>
          <w:noProof/>
          <w:color w:val="242424"/>
          <w:sz w:val="24"/>
          <w:szCs w:val="24"/>
          <w:shd w:val="clear" w:color="auto" w:fill="FFFFFF"/>
        </w:rPr>
        <w:t>(122 out of 155)</w:t>
      </w:r>
      <w:r w:rsidRPr="00DD184F">
        <w:rPr>
          <w:rFonts w:cstheme="minorHAnsi"/>
          <w:bCs/>
          <w:noProof/>
          <w:color w:val="242424"/>
          <w:sz w:val="24"/>
          <w:szCs w:val="24"/>
          <w:shd w:val="clear" w:color="auto" w:fill="FFFFFF"/>
        </w:rPr>
        <w:t xml:space="preserve"> </w:t>
      </w:r>
      <w:r w:rsidR="00B106E1">
        <w:rPr>
          <w:rFonts w:cstheme="minorHAnsi"/>
          <w:bCs/>
          <w:noProof/>
          <w:color w:val="242424"/>
          <w:sz w:val="24"/>
          <w:szCs w:val="24"/>
          <w:shd w:val="clear" w:color="auto" w:fill="FFFFFF"/>
        </w:rPr>
        <w:t xml:space="preserve">of respondents </w:t>
      </w:r>
      <w:r w:rsidR="00117A67">
        <w:rPr>
          <w:rFonts w:cstheme="minorHAnsi"/>
          <w:bCs/>
          <w:noProof/>
          <w:color w:val="242424"/>
          <w:sz w:val="24"/>
          <w:szCs w:val="24"/>
          <w:shd w:val="clear" w:color="auto" w:fill="FFFFFF"/>
        </w:rPr>
        <w:t xml:space="preserve">to the public consultation, </w:t>
      </w:r>
      <w:r w:rsidR="00B106E1" w:rsidRPr="00AE2D7C">
        <w:rPr>
          <w:noProof/>
          <w:sz w:val="24"/>
          <w:lang w:eastAsia="en-GB"/>
        </w:rPr>
        <w:t>excluding citizens</w:t>
      </w:r>
      <w:r w:rsidR="00117A67">
        <w:rPr>
          <w:rFonts w:cstheme="minorHAnsi"/>
          <w:bCs/>
          <w:noProof/>
          <w:color w:val="242424"/>
          <w:sz w:val="24"/>
          <w:szCs w:val="24"/>
          <w:shd w:val="clear" w:color="auto" w:fill="FFFFFF"/>
        </w:rPr>
        <w:t>,</w:t>
      </w:r>
      <w:r w:rsidRPr="00DD184F">
        <w:rPr>
          <w:rFonts w:cstheme="minorHAnsi"/>
          <w:bCs/>
          <w:noProof/>
          <w:color w:val="242424"/>
          <w:sz w:val="24"/>
          <w:szCs w:val="24"/>
          <w:shd w:val="clear" w:color="auto" w:fill="FFFFFF"/>
        </w:rPr>
        <w:t xml:space="preserve"> agree</w:t>
      </w:r>
      <w:r w:rsidR="00117A67">
        <w:rPr>
          <w:rFonts w:cstheme="minorHAnsi"/>
          <w:bCs/>
          <w:noProof/>
          <w:color w:val="242424"/>
          <w:sz w:val="24"/>
          <w:szCs w:val="24"/>
          <w:shd w:val="clear" w:color="auto" w:fill="FFFFFF"/>
        </w:rPr>
        <w:t>d</w:t>
      </w:r>
      <w:r w:rsidRPr="00DD184F">
        <w:rPr>
          <w:rFonts w:cstheme="minorHAnsi"/>
          <w:bCs/>
          <w:noProof/>
          <w:color w:val="242424"/>
          <w:sz w:val="24"/>
          <w:szCs w:val="24"/>
          <w:shd w:val="clear" w:color="auto" w:fill="FFFFFF"/>
        </w:rPr>
        <w:t xml:space="preserve"> or strongly agree</w:t>
      </w:r>
      <w:r w:rsidR="00117A67">
        <w:rPr>
          <w:rFonts w:cstheme="minorHAnsi"/>
          <w:bCs/>
          <w:noProof/>
          <w:color w:val="242424"/>
          <w:sz w:val="24"/>
          <w:szCs w:val="24"/>
          <w:shd w:val="clear" w:color="auto" w:fill="FFFFFF"/>
        </w:rPr>
        <w:t>d</w:t>
      </w:r>
      <w:r w:rsidRPr="00DD184F">
        <w:rPr>
          <w:rFonts w:cstheme="minorHAnsi"/>
          <w:bCs/>
          <w:noProof/>
          <w:color w:val="242424"/>
          <w:sz w:val="24"/>
          <w:szCs w:val="24"/>
          <w:shd w:val="clear" w:color="auto" w:fill="FFFFFF"/>
        </w:rPr>
        <w:t xml:space="preserve"> that software controlling how a product works should be included in the scope of the </w:t>
      </w:r>
      <w:r w:rsidR="004511CF" w:rsidRPr="00DD184F">
        <w:rPr>
          <w:rFonts w:cstheme="minorHAnsi"/>
          <w:bCs/>
          <w:noProof/>
          <w:color w:val="242424"/>
          <w:sz w:val="24"/>
          <w:szCs w:val="24"/>
          <w:shd w:val="clear" w:color="auto" w:fill="FFFFFF"/>
        </w:rPr>
        <w:t>PLD. Another 66% (102 out of 154</w:t>
      </w:r>
      <w:r w:rsidRPr="00DD184F">
        <w:rPr>
          <w:rFonts w:cstheme="minorHAnsi"/>
          <w:bCs/>
          <w:noProof/>
          <w:color w:val="242424"/>
          <w:sz w:val="24"/>
          <w:szCs w:val="24"/>
          <w:shd w:val="clear" w:color="auto" w:fill="FFFFFF"/>
        </w:rPr>
        <w:t>) agree</w:t>
      </w:r>
      <w:r w:rsidR="00117A67">
        <w:rPr>
          <w:rFonts w:cstheme="minorHAnsi"/>
          <w:bCs/>
          <w:noProof/>
          <w:color w:val="242424"/>
          <w:sz w:val="24"/>
          <w:szCs w:val="24"/>
          <w:shd w:val="clear" w:color="auto" w:fill="FFFFFF"/>
        </w:rPr>
        <w:t>d</w:t>
      </w:r>
      <w:r w:rsidRPr="00DD184F">
        <w:rPr>
          <w:rFonts w:cstheme="minorHAnsi"/>
          <w:bCs/>
          <w:noProof/>
          <w:color w:val="242424"/>
          <w:sz w:val="24"/>
          <w:szCs w:val="24"/>
          <w:shd w:val="clear" w:color="auto" w:fill="FFFFFF"/>
        </w:rPr>
        <w:t xml:space="preserve"> or strongly agree</w:t>
      </w:r>
      <w:r w:rsidR="00117A67">
        <w:rPr>
          <w:rFonts w:cstheme="minorHAnsi"/>
          <w:bCs/>
          <w:noProof/>
          <w:color w:val="242424"/>
          <w:sz w:val="24"/>
          <w:szCs w:val="24"/>
          <w:shd w:val="clear" w:color="auto" w:fill="FFFFFF"/>
        </w:rPr>
        <w:t>d</w:t>
      </w:r>
      <w:r w:rsidRPr="00DD184F">
        <w:rPr>
          <w:rFonts w:cstheme="minorHAnsi"/>
          <w:bCs/>
          <w:noProof/>
          <w:color w:val="242424"/>
          <w:sz w:val="24"/>
          <w:szCs w:val="24"/>
          <w:shd w:val="clear" w:color="auto" w:fill="FFFFFF"/>
        </w:rPr>
        <w:t xml:space="preserve"> that software upgrades and updates should be included.</w:t>
      </w:r>
      <w:r w:rsidR="007252CD" w:rsidRPr="00DD184F">
        <w:rPr>
          <w:rStyle w:val="FootnoteReference"/>
          <w:bCs/>
          <w:noProof/>
          <w:color w:val="242424"/>
          <w:sz w:val="24"/>
          <w:szCs w:val="24"/>
          <w:shd w:val="clear" w:color="auto" w:fill="FFFFFF"/>
        </w:rPr>
        <w:footnoteReference w:id="179"/>
      </w:r>
      <w:r w:rsidRPr="00DD184F">
        <w:rPr>
          <w:rFonts w:cstheme="minorHAnsi"/>
          <w:bCs/>
          <w:noProof/>
          <w:color w:val="242424"/>
          <w:sz w:val="24"/>
          <w:szCs w:val="24"/>
          <w:shd w:val="clear" w:color="auto" w:fill="FFFFFF"/>
        </w:rPr>
        <w:t xml:space="preserve"> </w:t>
      </w:r>
      <w:r w:rsidR="00EC3D6B" w:rsidRPr="00DD184F">
        <w:rPr>
          <w:rFonts w:cstheme="minorHAnsi"/>
          <w:bCs/>
          <w:noProof/>
          <w:color w:val="242424"/>
          <w:sz w:val="24"/>
          <w:szCs w:val="24"/>
          <w:shd w:val="clear" w:color="auto" w:fill="FFFFFF"/>
        </w:rPr>
        <w:t>EU and non-EU citizens</w:t>
      </w:r>
      <w:r w:rsidRPr="00DD184F">
        <w:rPr>
          <w:rFonts w:cstheme="minorHAnsi"/>
          <w:bCs/>
          <w:noProof/>
          <w:color w:val="242424"/>
          <w:sz w:val="24"/>
          <w:szCs w:val="24"/>
          <w:shd w:val="clear" w:color="auto" w:fill="FFFFFF"/>
        </w:rPr>
        <w:t xml:space="preserve"> showed even stronger agreement, with over 90% </w:t>
      </w:r>
      <w:r w:rsidR="00B106E1">
        <w:rPr>
          <w:rFonts w:cstheme="minorHAnsi"/>
          <w:bCs/>
          <w:noProof/>
          <w:color w:val="242424"/>
          <w:sz w:val="24"/>
          <w:szCs w:val="24"/>
          <w:shd w:val="clear" w:color="auto" w:fill="FFFFFF"/>
        </w:rPr>
        <w:t xml:space="preserve">(117 out of 122) </w:t>
      </w:r>
      <w:r w:rsidRPr="00DD184F">
        <w:rPr>
          <w:rFonts w:cstheme="minorHAnsi"/>
          <w:bCs/>
          <w:noProof/>
          <w:color w:val="242424"/>
          <w:sz w:val="24"/>
          <w:szCs w:val="24"/>
          <w:shd w:val="clear" w:color="auto" w:fill="FFFFFF"/>
        </w:rPr>
        <w:t>replying that consumers should get compensation if damaged is caused by defective software or digital services that control how a product works and software upgrades/updates. See annex 2 for details.</w:t>
      </w:r>
    </w:p>
    <w:p w14:paraId="248BD754" w14:textId="7BA301F8" w:rsidR="000D0E80" w:rsidRPr="00C80854" w:rsidRDefault="00D764C1" w:rsidP="000D0E80">
      <w:pPr>
        <w:spacing w:after="240" w:line="240" w:lineRule="auto"/>
        <w:jc w:val="both"/>
        <w:rPr>
          <w:noProof/>
          <w:sz w:val="24"/>
          <w:szCs w:val="24"/>
        </w:rPr>
      </w:pPr>
      <w:r>
        <w:rPr>
          <w:rFonts w:cstheme="minorHAnsi"/>
          <w:bCs/>
          <w:noProof/>
          <w:color w:val="242424"/>
          <w:sz w:val="24"/>
          <w:szCs w:val="24"/>
          <w:shd w:val="clear" w:color="auto" w:fill="FFFFFF"/>
        </w:rPr>
        <w:t xml:space="preserve">Explicitly clarifying that </w:t>
      </w:r>
      <w:r w:rsidR="000D0E80" w:rsidRPr="00C80854">
        <w:rPr>
          <w:noProof/>
          <w:sz w:val="24"/>
          <w:szCs w:val="24"/>
        </w:rPr>
        <w:t>economic operators who ma</w:t>
      </w:r>
      <w:r w:rsidR="000D0E80">
        <w:rPr>
          <w:noProof/>
          <w:sz w:val="24"/>
          <w:szCs w:val="24"/>
        </w:rPr>
        <w:t>k</w:t>
      </w:r>
      <w:r w:rsidR="000D0E80" w:rsidRPr="00C80854">
        <w:rPr>
          <w:noProof/>
          <w:sz w:val="24"/>
          <w:szCs w:val="24"/>
        </w:rPr>
        <w:t xml:space="preserve">e substantial modifications to a product and place it back on the market </w:t>
      </w:r>
      <w:r w:rsidR="002F37EA">
        <w:rPr>
          <w:noProof/>
          <w:sz w:val="24"/>
          <w:szCs w:val="24"/>
        </w:rPr>
        <w:t>are</w:t>
      </w:r>
      <w:r w:rsidR="00666701">
        <w:rPr>
          <w:noProof/>
          <w:sz w:val="24"/>
          <w:szCs w:val="24"/>
        </w:rPr>
        <w:t xml:space="preserve"> also</w:t>
      </w:r>
      <w:r w:rsidR="000D0E80" w:rsidRPr="00C80854">
        <w:rPr>
          <w:noProof/>
          <w:sz w:val="24"/>
          <w:szCs w:val="24"/>
        </w:rPr>
        <w:t xml:space="preserve"> “producers”</w:t>
      </w:r>
      <w:r>
        <w:rPr>
          <w:noProof/>
          <w:sz w:val="24"/>
          <w:szCs w:val="24"/>
        </w:rPr>
        <w:t xml:space="preserve"> </w:t>
      </w:r>
      <w:r w:rsidR="009E6AC9">
        <w:rPr>
          <w:noProof/>
          <w:sz w:val="24"/>
          <w:szCs w:val="24"/>
        </w:rPr>
        <w:t>would slightly increase their liability exposure</w:t>
      </w:r>
      <w:r w:rsidR="000D0E80" w:rsidRPr="00C80854">
        <w:rPr>
          <w:noProof/>
          <w:sz w:val="24"/>
          <w:szCs w:val="24"/>
        </w:rPr>
        <w:t xml:space="preserve">. Sectors likely to be impacted are </w:t>
      </w:r>
      <w:r w:rsidR="000D0E80" w:rsidRPr="00DC6F35">
        <w:rPr>
          <w:rFonts w:cs="Times New Roman"/>
          <w:noProof/>
          <w:sz w:val="24"/>
          <w:szCs w:val="24"/>
        </w:rPr>
        <w:t>electrical and electronic as well as</w:t>
      </w:r>
      <w:r w:rsidR="000D0E80" w:rsidRPr="00DC6F35" w:rsidDel="00F36343">
        <w:rPr>
          <w:rFonts w:cs="Times New Roman"/>
          <w:noProof/>
          <w:sz w:val="24"/>
          <w:szCs w:val="24"/>
        </w:rPr>
        <w:t xml:space="preserve"> </w:t>
      </w:r>
      <w:r w:rsidR="000D0E80" w:rsidRPr="00DC6F35">
        <w:rPr>
          <w:rFonts w:cs="Times New Roman"/>
          <w:noProof/>
          <w:sz w:val="24"/>
          <w:szCs w:val="24"/>
        </w:rPr>
        <w:t>medical equipment</w:t>
      </w:r>
      <w:r w:rsidR="00FC12AA">
        <w:rPr>
          <w:rFonts w:cs="Times New Roman"/>
          <w:noProof/>
          <w:sz w:val="24"/>
          <w:szCs w:val="24"/>
        </w:rPr>
        <w:t xml:space="preserve"> and</w:t>
      </w:r>
      <w:r w:rsidR="000D0E80" w:rsidRPr="00C80854">
        <w:rPr>
          <w:noProof/>
          <w:sz w:val="24"/>
          <w:szCs w:val="24"/>
        </w:rPr>
        <w:t xml:space="preserve"> machinery</w:t>
      </w:r>
      <w:r w:rsidR="00DB441D">
        <w:rPr>
          <w:noProof/>
          <w:sz w:val="24"/>
          <w:szCs w:val="24"/>
        </w:rPr>
        <w:t xml:space="preserve"> sectors</w:t>
      </w:r>
      <w:r w:rsidR="000D0E80" w:rsidRPr="00C80854">
        <w:rPr>
          <w:noProof/>
          <w:sz w:val="24"/>
          <w:szCs w:val="24"/>
        </w:rPr>
        <w:t>.</w:t>
      </w:r>
      <w:r w:rsidR="000D0E80" w:rsidRPr="00C80854">
        <w:rPr>
          <w:rStyle w:val="CommentReference"/>
          <w:noProof/>
          <w:sz w:val="24"/>
          <w:szCs w:val="24"/>
        </w:rPr>
        <w:t xml:space="preserve"> </w:t>
      </w:r>
      <w:r w:rsidR="0009055F">
        <w:rPr>
          <w:noProof/>
          <w:sz w:val="24"/>
          <w:szCs w:val="24"/>
        </w:rPr>
        <w:t>As is the case today, i</w:t>
      </w:r>
      <w:r w:rsidR="009E72B7">
        <w:rPr>
          <w:noProof/>
          <w:sz w:val="24"/>
          <w:szCs w:val="24"/>
        </w:rPr>
        <w:t xml:space="preserve">f a victim sought compensation from the original manufacturer, the latter would be able to </w:t>
      </w:r>
      <w:r w:rsidR="0009055F">
        <w:rPr>
          <w:noProof/>
          <w:sz w:val="24"/>
          <w:szCs w:val="24"/>
        </w:rPr>
        <w:t>escape liability by proving the defect emerged after he put the product into circulation.</w:t>
      </w:r>
      <w:r w:rsidR="009E72B7">
        <w:rPr>
          <w:noProof/>
          <w:sz w:val="24"/>
          <w:szCs w:val="24"/>
        </w:rPr>
        <w:t xml:space="preserve"> </w:t>
      </w:r>
      <w:r w:rsidR="0009055F">
        <w:rPr>
          <w:noProof/>
          <w:sz w:val="24"/>
          <w:szCs w:val="24"/>
        </w:rPr>
        <w:t>Equally, if a</w:t>
      </w:r>
      <w:r w:rsidR="00AC0525">
        <w:rPr>
          <w:noProof/>
          <w:sz w:val="24"/>
          <w:szCs w:val="24"/>
        </w:rPr>
        <w:t xml:space="preserve"> </w:t>
      </w:r>
      <w:r w:rsidR="00957B46">
        <w:rPr>
          <w:noProof/>
          <w:sz w:val="24"/>
          <w:szCs w:val="24"/>
        </w:rPr>
        <w:t xml:space="preserve">remanufacturer or refurbisher </w:t>
      </w:r>
      <w:r w:rsidR="0009055F">
        <w:rPr>
          <w:noProof/>
          <w:sz w:val="24"/>
          <w:szCs w:val="24"/>
        </w:rPr>
        <w:t xml:space="preserve">were held liable, but </w:t>
      </w:r>
      <w:r w:rsidR="00957B46">
        <w:rPr>
          <w:noProof/>
          <w:sz w:val="24"/>
          <w:szCs w:val="24"/>
        </w:rPr>
        <w:t xml:space="preserve">the original manufacturer </w:t>
      </w:r>
      <w:r w:rsidR="009D2948">
        <w:rPr>
          <w:noProof/>
          <w:sz w:val="24"/>
          <w:szCs w:val="24"/>
        </w:rPr>
        <w:t>were ultimately responsible for the defect</w:t>
      </w:r>
      <w:r w:rsidR="0009055F">
        <w:rPr>
          <w:noProof/>
          <w:sz w:val="24"/>
          <w:szCs w:val="24"/>
        </w:rPr>
        <w:t>, they could make a recourse claim against the original manufacturer</w:t>
      </w:r>
      <w:r w:rsidR="008F7152">
        <w:rPr>
          <w:rStyle w:val="FootnoteReference"/>
          <w:noProof/>
          <w:sz w:val="24"/>
          <w:szCs w:val="24"/>
        </w:rPr>
        <w:footnoteReference w:id="180"/>
      </w:r>
      <w:r w:rsidR="00B94F03">
        <w:rPr>
          <w:noProof/>
          <w:sz w:val="24"/>
          <w:szCs w:val="24"/>
        </w:rPr>
        <w:t xml:space="preserve"> </w:t>
      </w:r>
      <w:r w:rsidR="0013248C">
        <w:rPr>
          <w:noProof/>
          <w:sz w:val="24"/>
          <w:szCs w:val="24"/>
        </w:rPr>
        <w:t>to recoup the costs of</w:t>
      </w:r>
      <w:r w:rsidR="00B94F03">
        <w:rPr>
          <w:noProof/>
          <w:sz w:val="24"/>
          <w:szCs w:val="24"/>
        </w:rPr>
        <w:t xml:space="preserve"> compensati</w:t>
      </w:r>
      <w:r w:rsidR="0013248C">
        <w:rPr>
          <w:noProof/>
          <w:sz w:val="24"/>
          <w:szCs w:val="24"/>
        </w:rPr>
        <w:t>ng the victim</w:t>
      </w:r>
      <w:r w:rsidR="009D2948">
        <w:rPr>
          <w:noProof/>
          <w:sz w:val="24"/>
          <w:szCs w:val="24"/>
        </w:rPr>
        <w:t>.</w:t>
      </w:r>
      <w:r w:rsidR="00957B46">
        <w:rPr>
          <w:noProof/>
          <w:sz w:val="24"/>
          <w:szCs w:val="24"/>
        </w:rPr>
        <w:t xml:space="preserve"> </w:t>
      </w:r>
    </w:p>
    <w:p w14:paraId="23D070FB" w14:textId="070E9E3C" w:rsidR="000D0E80" w:rsidRPr="00C80854" w:rsidRDefault="000D0E80" w:rsidP="000D0E80">
      <w:pPr>
        <w:spacing w:after="240" w:line="240" w:lineRule="auto"/>
        <w:jc w:val="both"/>
        <w:rPr>
          <w:noProof/>
          <w:sz w:val="24"/>
          <w:szCs w:val="24"/>
        </w:rPr>
      </w:pPr>
      <w:r>
        <w:rPr>
          <w:noProof/>
          <w:sz w:val="24"/>
          <w:szCs w:val="24"/>
        </w:rPr>
        <w:t xml:space="preserve">Business associations, including representatives </w:t>
      </w:r>
      <w:r w:rsidR="00895F5C">
        <w:rPr>
          <w:noProof/>
          <w:sz w:val="24"/>
          <w:szCs w:val="24"/>
        </w:rPr>
        <w:t xml:space="preserve">from </w:t>
      </w:r>
      <w:r>
        <w:rPr>
          <w:noProof/>
          <w:sz w:val="24"/>
          <w:szCs w:val="24"/>
        </w:rPr>
        <w:t xml:space="preserve">the </w:t>
      </w:r>
      <w:r w:rsidR="00895F5C">
        <w:rPr>
          <w:noProof/>
          <w:sz w:val="24"/>
          <w:szCs w:val="24"/>
        </w:rPr>
        <w:t xml:space="preserve">refurbishment and </w:t>
      </w:r>
      <w:r>
        <w:rPr>
          <w:noProof/>
          <w:sz w:val="24"/>
          <w:szCs w:val="24"/>
        </w:rPr>
        <w:t>remanufacturing industr</w:t>
      </w:r>
      <w:r w:rsidR="00895F5C">
        <w:rPr>
          <w:noProof/>
          <w:sz w:val="24"/>
          <w:szCs w:val="24"/>
        </w:rPr>
        <w:t>ies</w:t>
      </w:r>
      <w:r>
        <w:rPr>
          <w:noProof/>
          <w:sz w:val="24"/>
          <w:szCs w:val="24"/>
        </w:rPr>
        <w:t xml:space="preserve">, </w:t>
      </w:r>
      <w:r w:rsidRPr="00C80854">
        <w:rPr>
          <w:noProof/>
          <w:sz w:val="24"/>
          <w:szCs w:val="24"/>
        </w:rPr>
        <w:t xml:space="preserve">supported </w:t>
      </w:r>
      <w:r w:rsidR="00895F5C">
        <w:rPr>
          <w:noProof/>
          <w:sz w:val="24"/>
          <w:szCs w:val="24"/>
        </w:rPr>
        <w:t xml:space="preserve">extending </w:t>
      </w:r>
      <w:r>
        <w:rPr>
          <w:noProof/>
          <w:sz w:val="24"/>
          <w:szCs w:val="24"/>
        </w:rPr>
        <w:t>liability</w:t>
      </w:r>
      <w:r w:rsidR="008F7152">
        <w:rPr>
          <w:noProof/>
          <w:sz w:val="24"/>
          <w:szCs w:val="24"/>
        </w:rPr>
        <w:t xml:space="preserve"> </w:t>
      </w:r>
      <w:r w:rsidR="00957B46">
        <w:rPr>
          <w:noProof/>
          <w:sz w:val="24"/>
          <w:szCs w:val="24"/>
        </w:rPr>
        <w:t xml:space="preserve">only </w:t>
      </w:r>
      <w:r>
        <w:rPr>
          <w:noProof/>
          <w:sz w:val="24"/>
          <w:szCs w:val="24"/>
        </w:rPr>
        <w:t>to cases where</w:t>
      </w:r>
      <w:r w:rsidRPr="00C80854">
        <w:rPr>
          <w:noProof/>
          <w:sz w:val="24"/>
          <w:szCs w:val="24"/>
        </w:rPr>
        <w:t xml:space="preserve"> </w:t>
      </w:r>
      <w:r w:rsidR="00895F5C">
        <w:rPr>
          <w:noProof/>
          <w:sz w:val="24"/>
          <w:szCs w:val="24"/>
        </w:rPr>
        <w:t xml:space="preserve">a </w:t>
      </w:r>
      <w:r w:rsidRPr="00C80854">
        <w:rPr>
          <w:noProof/>
          <w:sz w:val="24"/>
          <w:szCs w:val="24"/>
        </w:rPr>
        <w:t>"substantial modification"</w:t>
      </w:r>
      <w:r>
        <w:rPr>
          <w:noProof/>
          <w:sz w:val="24"/>
          <w:szCs w:val="24"/>
        </w:rPr>
        <w:t xml:space="preserve"> was undertaken</w:t>
      </w:r>
      <w:r>
        <w:rPr>
          <w:rStyle w:val="FootnoteReference"/>
          <w:noProof/>
          <w:sz w:val="24"/>
          <w:szCs w:val="24"/>
        </w:rPr>
        <w:footnoteReference w:id="181"/>
      </w:r>
      <w:r w:rsidR="008F7152">
        <w:rPr>
          <w:noProof/>
          <w:sz w:val="24"/>
          <w:szCs w:val="24"/>
        </w:rPr>
        <w:t>. This would be in line with recent legislation</w:t>
      </w:r>
      <w:r w:rsidR="0013248C">
        <w:rPr>
          <w:noProof/>
          <w:sz w:val="24"/>
          <w:szCs w:val="24"/>
        </w:rPr>
        <w:t xml:space="preserve"> and</w:t>
      </w:r>
      <w:r w:rsidR="008F7152">
        <w:rPr>
          <w:noProof/>
          <w:sz w:val="24"/>
          <w:szCs w:val="24"/>
        </w:rPr>
        <w:t xml:space="preserve"> legislative proposals</w:t>
      </w:r>
      <w:r w:rsidR="008F7152">
        <w:rPr>
          <w:rStyle w:val="FootnoteReference"/>
          <w:noProof/>
          <w:sz w:val="24"/>
          <w:szCs w:val="24"/>
        </w:rPr>
        <w:footnoteReference w:id="182"/>
      </w:r>
      <w:r w:rsidR="008F7152">
        <w:rPr>
          <w:noProof/>
          <w:sz w:val="24"/>
          <w:szCs w:val="24"/>
        </w:rPr>
        <w:t>, according to which an</w:t>
      </w:r>
      <w:r w:rsidRPr="00C80854">
        <w:rPr>
          <w:noProof/>
          <w:sz w:val="24"/>
          <w:szCs w:val="24"/>
        </w:rPr>
        <w:t xml:space="preserve"> economic operator making the modification </w:t>
      </w:r>
      <w:r w:rsidR="00895F5C">
        <w:rPr>
          <w:noProof/>
          <w:sz w:val="24"/>
          <w:szCs w:val="24"/>
        </w:rPr>
        <w:t>plac</w:t>
      </w:r>
      <w:r w:rsidR="008F7152">
        <w:rPr>
          <w:noProof/>
          <w:sz w:val="24"/>
          <w:szCs w:val="24"/>
        </w:rPr>
        <w:t>es</w:t>
      </w:r>
      <w:r w:rsidR="00895F5C">
        <w:rPr>
          <w:noProof/>
          <w:sz w:val="24"/>
          <w:szCs w:val="24"/>
        </w:rPr>
        <w:t xml:space="preserve"> a new product on the market, and therefore </w:t>
      </w:r>
      <w:r w:rsidR="008F7152" w:rsidRPr="00C80854">
        <w:rPr>
          <w:noProof/>
          <w:sz w:val="24"/>
          <w:szCs w:val="24"/>
        </w:rPr>
        <w:t xml:space="preserve">assumes responsibility for </w:t>
      </w:r>
      <w:r w:rsidR="00895F5C">
        <w:rPr>
          <w:noProof/>
          <w:sz w:val="24"/>
          <w:szCs w:val="24"/>
        </w:rPr>
        <w:t>the</w:t>
      </w:r>
      <w:r w:rsidRPr="00C80854">
        <w:rPr>
          <w:noProof/>
          <w:sz w:val="24"/>
          <w:szCs w:val="24"/>
        </w:rPr>
        <w:t xml:space="preserve"> safety of the product or part of a product.</w:t>
      </w:r>
      <w:r w:rsidR="00957B46">
        <w:rPr>
          <w:noProof/>
          <w:sz w:val="24"/>
          <w:szCs w:val="24"/>
        </w:rPr>
        <w:t xml:space="preserve"> </w:t>
      </w:r>
    </w:p>
    <w:p w14:paraId="138CF59B" w14:textId="757F04C8" w:rsidR="00CF14CA" w:rsidRDefault="009452F8" w:rsidP="00A05359">
      <w:pPr>
        <w:spacing w:after="240" w:line="240" w:lineRule="auto"/>
        <w:jc w:val="both"/>
        <w:rPr>
          <w:noProof/>
          <w:sz w:val="24"/>
          <w:szCs w:val="24"/>
        </w:rPr>
      </w:pPr>
      <w:r w:rsidRPr="00DD184F">
        <w:rPr>
          <w:noProof/>
          <w:sz w:val="24"/>
          <w:szCs w:val="24"/>
        </w:rPr>
        <w:t>Finally, under PO1a, “</w:t>
      </w:r>
      <w:r w:rsidR="00357C7A" w:rsidRPr="00BC0D2B">
        <w:rPr>
          <w:noProof/>
          <w:sz w:val="24"/>
          <w:szCs w:val="24"/>
        </w:rPr>
        <w:t>a</w:t>
      </w:r>
      <w:r w:rsidRPr="00BC0D2B">
        <w:rPr>
          <w:noProof/>
          <w:sz w:val="24"/>
          <w:szCs w:val="24"/>
        </w:rPr>
        <w:t xml:space="preserve">uthorised </w:t>
      </w:r>
      <w:r w:rsidR="00357C7A" w:rsidRPr="00BC0D2B">
        <w:rPr>
          <w:noProof/>
          <w:sz w:val="24"/>
          <w:szCs w:val="24"/>
        </w:rPr>
        <w:t>r</w:t>
      </w:r>
      <w:r w:rsidRPr="00BC0D2B">
        <w:rPr>
          <w:noProof/>
          <w:sz w:val="24"/>
          <w:szCs w:val="24"/>
        </w:rPr>
        <w:t>epresentative</w:t>
      </w:r>
      <w:r w:rsidR="00357C7A" w:rsidRPr="00BC0D2B">
        <w:rPr>
          <w:noProof/>
          <w:sz w:val="24"/>
          <w:szCs w:val="24"/>
        </w:rPr>
        <w:t>s</w:t>
      </w:r>
      <w:r w:rsidRPr="00DD184F">
        <w:rPr>
          <w:noProof/>
          <w:sz w:val="24"/>
          <w:szCs w:val="24"/>
        </w:rPr>
        <w:t>”</w:t>
      </w:r>
      <w:r w:rsidR="0016083C">
        <w:rPr>
          <w:rStyle w:val="FootnoteReference"/>
          <w:noProof/>
          <w:sz w:val="24"/>
          <w:szCs w:val="24"/>
        </w:rPr>
        <w:footnoteReference w:id="183"/>
      </w:r>
      <w:r w:rsidR="00C62F14">
        <w:rPr>
          <w:noProof/>
          <w:sz w:val="24"/>
          <w:szCs w:val="24"/>
        </w:rPr>
        <w:t xml:space="preserve"> would be exposed to product liability </w:t>
      </w:r>
      <w:r w:rsidR="008F7164">
        <w:rPr>
          <w:noProof/>
          <w:sz w:val="24"/>
          <w:szCs w:val="24"/>
        </w:rPr>
        <w:t>in cases where</w:t>
      </w:r>
      <w:r w:rsidR="00C62F14">
        <w:rPr>
          <w:noProof/>
          <w:sz w:val="24"/>
          <w:szCs w:val="24"/>
        </w:rPr>
        <w:t xml:space="preserve"> there is no EU-based importer</w:t>
      </w:r>
      <w:r w:rsidR="008F7164">
        <w:rPr>
          <w:noProof/>
          <w:sz w:val="24"/>
          <w:szCs w:val="24"/>
        </w:rPr>
        <w:t xml:space="preserve">. </w:t>
      </w:r>
    </w:p>
    <w:p w14:paraId="6A633BA9" w14:textId="594A5DDA" w:rsidR="003F2F13" w:rsidRDefault="009452F8" w:rsidP="00F84CBD">
      <w:pPr>
        <w:spacing w:after="240" w:line="240" w:lineRule="auto"/>
        <w:jc w:val="both"/>
        <w:rPr>
          <w:noProof/>
          <w:sz w:val="24"/>
          <w:szCs w:val="24"/>
        </w:rPr>
      </w:pPr>
      <w:r w:rsidRPr="00DD184F">
        <w:rPr>
          <w:noProof/>
          <w:sz w:val="24"/>
          <w:szCs w:val="24"/>
        </w:rPr>
        <w:t xml:space="preserve">In terms of indirect costs, </w:t>
      </w:r>
      <w:r w:rsidR="00E1636B">
        <w:rPr>
          <w:noProof/>
          <w:sz w:val="24"/>
          <w:szCs w:val="24"/>
        </w:rPr>
        <w:t xml:space="preserve">annual </w:t>
      </w:r>
      <w:r w:rsidR="00C81D6B" w:rsidRPr="0076592C">
        <w:rPr>
          <w:noProof/>
          <w:sz w:val="24"/>
          <w:szCs w:val="24"/>
        </w:rPr>
        <w:t>p</w:t>
      </w:r>
      <w:r w:rsidRPr="0076592C">
        <w:rPr>
          <w:noProof/>
          <w:sz w:val="24"/>
          <w:szCs w:val="24"/>
        </w:rPr>
        <w:t>roduct liability insurance costs</w:t>
      </w:r>
      <w:r w:rsidR="00E1636B">
        <w:rPr>
          <w:b/>
          <w:noProof/>
          <w:sz w:val="24"/>
          <w:szCs w:val="24"/>
        </w:rPr>
        <w:t xml:space="preserve"> </w:t>
      </w:r>
      <w:r w:rsidR="00E1636B" w:rsidRPr="00244A24">
        <w:rPr>
          <w:noProof/>
          <w:sz w:val="24"/>
          <w:szCs w:val="24"/>
        </w:rPr>
        <w:t>are assumed to</w:t>
      </w:r>
      <w:r w:rsidR="00742041">
        <w:rPr>
          <w:noProof/>
          <w:sz w:val="24"/>
          <w:szCs w:val="24"/>
        </w:rPr>
        <w:t xml:space="preserve"> </w:t>
      </w:r>
      <w:r w:rsidRPr="00DD184F">
        <w:rPr>
          <w:noProof/>
          <w:sz w:val="24"/>
          <w:szCs w:val="24"/>
        </w:rPr>
        <w:t>increase</w:t>
      </w:r>
      <w:r w:rsidR="000A3D33" w:rsidRPr="00BC0D2B">
        <w:rPr>
          <w:rStyle w:val="FootnoteReference"/>
          <w:noProof/>
          <w:sz w:val="24"/>
          <w:szCs w:val="24"/>
        </w:rPr>
        <w:footnoteReference w:id="184"/>
      </w:r>
      <w:r w:rsidRPr="00DD184F">
        <w:rPr>
          <w:noProof/>
          <w:sz w:val="24"/>
          <w:szCs w:val="24"/>
        </w:rPr>
        <w:t xml:space="preserve"> </w:t>
      </w:r>
      <w:r w:rsidR="008931C3">
        <w:rPr>
          <w:noProof/>
          <w:sz w:val="24"/>
          <w:szCs w:val="24"/>
        </w:rPr>
        <w:t xml:space="preserve">by 3% </w:t>
      </w:r>
      <w:r w:rsidR="00824990">
        <w:rPr>
          <w:noProof/>
          <w:sz w:val="24"/>
          <w:szCs w:val="24"/>
        </w:rPr>
        <w:t>for producers of products with digital elements</w:t>
      </w:r>
      <w:r w:rsidR="008931C3">
        <w:rPr>
          <w:noProof/>
          <w:sz w:val="24"/>
          <w:szCs w:val="24"/>
        </w:rPr>
        <w:t>,</w:t>
      </w:r>
      <w:r w:rsidR="00824990">
        <w:rPr>
          <w:noProof/>
          <w:sz w:val="24"/>
          <w:szCs w:val="24"/>
        </w:rPr>
        <w:t xml:space="preserve"> producers of digital elements themselves </w:t>
      </w:r>
      <w:r w:rsidR="00A45A7F">
        <w:rPr>
          <w:noProof/>
          <w:sz w:val="24"/>
          <w:szCs w:val="24"/>
        </w:rPr>
        <w:t xml:space="preserve">as well as </w:t>
      </w:r>
      <w:r w:rsidR="00824990">
        <w:rPr>
          <w:noProof/>
          <w:sz w:val="24"/>
          <w:szCs w:val="24"/>
        </w:rPr>
        <w:t>for refurbishers and remanufacturers</w:t>
      </w:r>
      <w:r w:rsidR="000A3D33">
        <w:rPr>
          <w:rStyle w:val="FootnoteReference"/>
          <w:noProof/>
          <w:sz w:val="24"/>
          <w:szCs w:val="24"/>
        </w:rPr>
        <w:footnoteReference w:id="185"/>
      </w:r>
      <w:r w:rsidR="00824990" w:rsidRPr="00BC0D2B">
        <w:rPr>
          <w:noProof/>
          <w:sz w:val="24"/>
          <w:szCs w:val="24"/>
        </w:rPr>
        <w:t>.</w:t>
      </w:r>
      <w:r w:rsidR="00824990">
        <w:rPr>
          <w:noProof/>
          <w:sz w:val="24"/>
          <w:szCs w:val="24"/>
        </w:rPr>
        <w:t xml:space="preserve"> </w:t>
      </w:r>
    </w:p>
    <w:p w14:paraId="718BE696" w14:textId="7711504B" w:rsidR="00C80854" w:rsidRDefault="00824990" w:rsidP="00F84CBD">
      <w:pPr>
        <w:spacing w:after="120" w:line="240" w:lineRule="auto"/>
        <w:jc w:val="both"/>
        <w:rPr>
          <w:noProof/>
          <w:sz w:val="24"/>
          <w:szCs w:val="24"/>
        </w:rPr>
      </w:pPr>
      <w:r>
        <w:rPr>
          <w:noProof/>
          <w:sz w:val="24"/>
          <w:szCs w:val="24"/>
        </w:rPr>
        <w:t xml:space="preserve">Authorised </w:t>
      </w:r>
      <w:r w:rsidR="009452F8" w:rsidRPr="00244A24">
        <w:rPr>
          <w:noProof/>
          <w:sz w:val="24"/>
          <w:szCs w:val="24"/>
        </w:rPr>
        <w:t>representatives would have an incentive to take out product liability insurance</w:t>
      </w:r>
      <w:r w:rsidR="003065F5">
        <w:rPr>
          <w:noProof/>
          <w:sz w:val="24"/>
          <w:szCs w:val="24"/>
        </w:rPr>
        <w:t>, in case they do</w:t>
      </w:r>
      <w:r w:rsidR="002F5D90">
        <w:rPr>
          <w:noProof/>
          <w:sz w:val="24"/>
          <w:szCs w:val="24"/>
        </w:rPr>
        <w:t xml:space="preserve"> </w:t>
      </w:r>
      <w:r w:rsidR="003065F5">
        <w:rPr>
          <w:noProof/>
          <w:sz w:val="24"/>
          <w:szCs w:val="24"/>
        </w:rPr>
        <w:t>n</w:t>
      </w:r>
      <w:r w:rsidR="002F5D90">
        <w:rPr>
          <w:noProof/>
          <w:sz w:val="24"/>
          <w:szCs w:val="24"/>
        </w:rPr>
        <w:t>o</w:t>
      </w:r>
      <w:r w:rsidR="003065F5">
        <w:rPr>
          <w:noProof/>
          <w:sz w:val="24"/>
          <w:szCs w:val="24"/>
        </w:rPr>
        <w:t>t already</w:t>
      </w:r>
      <w:r w:rsidR="00454070">
        <w:rPr>
          <w:noProof/>
          <w:sz w:val="24"/>
          <w:szCs w:val="24"/>
        </w:rPr>
        <w:t>, to cover their liability exposure</w:t>
      </w:r>
      <w:r w:rsidR="00077043">
        <w:rPr>
          <w:rStyle w:val="FootnoteReference"/>
          <w:noProof/>
          <w:sz w:val="24"/>
          <w:szCs w:val="24"/>
        </w:rPr>
        <w:footnoteReference w:id="186"/>
      </w:r>
      <w:r>
        <w:rPr>
          <w:noProof/>
          <w:sz w:val="24"/>
          <w:szCs w:val="24"/>
        </w:rPr>
        <w:t xml:space="preserve">. Product liability insurance costs are assumed to increase by </w:t>
      </w:r>
      <w:r w:rsidRPr="00BC0D2B">
        <w:rPr>
          <w:noProof/>
          <w:sz w:val="24"/>
          <w:szCs w:val="24"/>
        </w:rPr>
        <w:t>15%</w:t>
      </w:r>
      <w:r w:rsidR="0013248C">
        <w:rPr>
          <w:noProof/>
          <w:sz w:val="24"/>
          <w:szCs w:val="24"/>
        </w:rPr>
        <w:t>.</w:t>
      </w:r>
      <w:r w:rsidR="003065F5">
        <w:rPr>
          <w:noProof/>
          <w:sz w:val="24"/>
          <w:szCs w:val="24"/>
        </w:rPr>
        <w:t xml:space="preserve"> </w:t>
      </w:r>
      <w:r w:rsidR="0013248C">
        <w:rPr>
          <w:noProof/>
          <w:sz w:val="24"/>
          <w:szCs w:val="24"/>
        </w:rPr>
        <w:t>A</w:t>
      </w:r>
      <w:r w:rsidR="002F5D90">
        <w:rPr>
          <w:noProof/>
          <w:sz w:val="24"/>
          <w:szCs w:val="24"/>
        </w:rPr>
        <w:t xml:space="preserve">s is the case for importers, it is expected that </w:t>
      </w:r>
      <w:r w:rsidR="009452F8" w:rsidRPr="00244A24">
        <w:rPr>
          <w:noProof/>
          <w:sz w:val="24"/>
          <w:szCs w:val="24"/>
        </w:rPr>
        <w:t xml:space="preserve">this cost </w:t>
      </w:r>
      <w:r w:rsidR="002F5D90">
        <w:rPr>
          <w:noProof/>
          <w:sz w:val="24"/>
          <w:szCs w:val="24"/>
        </w:rPr>
        <w:t>w</w:t>
      </w:r>
      <w:r w:rsidR="009452F8" w:rsidRPr="00244A24">
        <w:rPr>
          <w:noProof/>
          <w:sz w:val="24"/>
          <w:szCs w:val="24"/>
        </w:rPr>
        <w:t>ould be passed on to the non-EU producers they represent, as part of the cost of their service</w:t>
      </w:r>
      <w:r w:rsidR="002F5D90">
        <w:rPr>
          <w:rStyle w:val="FootnoteReference"/>
          <w:noProof/>
          <w:sz w:val="24"/>
          <w:szCs w:val="24"/>
        </w:rPr>
        <w:footnoteReference w:id="187"/>
      </w:r>
      <w:r w:rsidR="009452F8" w:rsidRPr="00244A24">
        <w:rPr>
          <w:noProof/>
          <w:sz w:val="24"/>
          <w:szCs w:val="24"/>
        </w:rPr>
        <w:t>.</w:t>
      </w:r>
      <w:r w:rsidR="00402CDB">
        <w:rPr>
          <w:noProof/>
          <w:sz w:val="24"/>
          <w:szCs w:val="24"/>
        </w:rPr>
        <w:t xml:space="preserve"> </w:t>
      </w:r>
    </w:p>
    <w:p w14:paraId="64372157" w14:textId="5A6A82C5" w:rsidR="00C80854" w:rsidRPr="00DD184F" w:rsidRDefault="00EE7DA7" w:rsidP="00A45A7F">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Taking all this into account, u</w:t>
      </w:r>
      <w:r w:rsidR="00F81E4C" w:rsidRPr="00B4261C">
        <w:rPr>
          <w:noProof/>
          <w:sz w:val="24"/>
          <w:szCs w:val="24"/>
        </w:rPr>
        <w:t xml:space="preserve">nder PO1a </w:t>
      </w:r>
      <w:r>
        <w:rPr>
          <w:noProof/>
          <w:sz w:val="24"/>
          <w:szCs w:val="24"/>
        </w:rPr>
        <w:t xml:space="preserve">the </w:t>
      </w:r>
      <w:r w:rsidR="00F81E4C" w:rsidRPr="00B4261C">
        <w:rPr>
          <w:noProof/>
          <w:sz w:val="24"/>
          <w:szCs w:val="24"/>
        </w:rPr>
        <w:t xml:space="preserve">total </w:t>
      </w:r>
      <w:r w:rsidR="006B4AC5" w:rsidRPr="0076592C">
        <w:rPr>
          <w:b/>
          <w:noProof/>
          <w:sz w:val="24"/>
          <w:szCs w:val="24"/>
        </w:rPr>
        <w:t xml:space="preserve">annual </w:t>
      </w:r>
      <w:r w:rsidR="00F81E4C" w:rsidRPr="0076592C">
        <w:rPr>
          <w:b/>
          <w:noProof/>
          <w:sz w:val="24"/>
          <w:szCs w:val="24"/>
        </w:rPr>
        <w:t>product liability insurance costs</w:t>
      </w:r>
      <w:r w:rsidR="00F81E4C" w:rsidRPr="00B4261C">
        <w:rPr>
          <w:noProof/>
          <w:sz w:val="24"/>
          <w:szCs w:val="24"/>
        </w:rPr>
        <w:t xml:space="preserve"> are </w:t>
      </w:r>
      <w:r w:rsidR="00742041">
        <w:rPr>
          <w:noProof/>
          <w:sz w:val="24"/>
          <w:szCs w:val="24"/>
        </w:rPr>
        <w:t>assessed</w:t>
      </w:r>
      <w:r w:rsidR="00742041" w:rsidRPr="00B4261C">
        <w:rPr>
          <w:noProof/>
          <w:sz w:val="24"/>
          <w:szCs w:val="24"/>
        </w:rPr>
        <w:t xml:space="preserve"> </w:t>
      </w:r>
      <w:r w:rsidR="00F81E4C" w:rsidRPr="00B4261C">
        <w:rPr>
          <w:noProof/>
          <w:sz w:val="24"/>
          <w:szCs w:val="24"/>
        </w:rPr>
        <w:t>to increase incrementally</w:t>
      </w:r>
      <w:r w:rsidR="00733FC2" w:rsidRPr="00733FC2">
        <w:rPr>
          <w:noProof/>
        </w:rPr>
        <w:t xml:space="preserve"> </w:t>
      </w:r>
      <w:r w:rsidR="00733FC2" w:rsidRPr="00733FC2">
        <w:rPr>
          <w:noProof/>
          <w:sz w:val="24"/>
          <w:szCs w:val="24"/>
        </w:rPr>
        <w:t xml:space="preserve">compared to the baseline, with an increase ranging between 1.21 and 2.41 EUR </w:t>
      </w:r>
      <w:r w:rsidR="00733FC2" w:rsidRPr="00EA3223">
        <w:rPr>
          <w:noProof/>
          <w:sz w:val="24"/>
          <w:szCs w:val="24"/>
        </w:rPr>
        <w:t>million</w:t>
      </w:r>
      <w:r w:rsidR="00F81E4C" w:rsidRPr="00EA3223">
        <w:rPr>
          <w:noProof/>
          <w:sz w:val="24"/>
          <w:szCs w:val="24"/>
        </w:rPr>
        <w:t>.</w:t>
      </w:r>
      <w:r w:rsidR="000A3D33">
        <w:rPr>
          <w:noProof/>
          <w:sz w:val="24"/>
          <w:szCs w:val="24"/>
        </w:rPr>
        <w:t xml:space="preserve"> T</w:t>
      </w:r>
      <w:r w:rsidR="000A3D33" w:rsidRPr="000A3D33">
        <w:rPr>
          <w:noProof/>
          <w:sz w:val="24"/>
          <w:szCs w:val="24"/>
        </w:rPr>
        <w:t>hese increases in product liability insurance costs are extra revenues for the insurance companies.</w:t>
      </w:r>
    </w:p>
    <w:p w14:paraId="40364F51" w14:textId="77777777" w:rsidR="00C80854" w:rsidRPr="00C80854" w:rsidRDefault="00C80854" w:rsidP="00DD3B24">
      <w:pPr>
        <w:pStyle w:val="ListParagraph"/>
        <w:numPr>
          <w:ilvl w:val="0"/>
          <w:numId w:val="10"/>
        </w:numPr>
        <w:spacing w:after="120"/>
        <w:ind w:left="714" w:hanging="357"/>
        <w:jc w:val="both"/>
        <w:rPr>
          <w:rFonts w:cstheme="minorHAnsi"/>
          <w:b/>
          <w:bCs/>
          <w:noProof/>
          <w:color w:val="242424"/>
          <w:sz w:val="24"/>
          <w:szCs w:val="24"/>
          <w:shd w:val="clear" w:color="auto" w:fill="FFFFFF"/>
        </w:rPr>
      </w:pPr>
      <w:r w:rsidRPr="00C80854">
        <w:rPr>
          <w:rFonts w:cstheme="minorHAnsi"/>
          <w:b/>
          <w:bCs/>
          <w:noProof/>
          <w:color w:val="242424"/>
          <w:sz w:val="24"/>
          <w:szCs w:val="24"/>
          <w:shd w:val="clear" w:color="auto" w:fill="FFFFFF"/>
        </w:rPr>
        <w:t>Impacts on SMEs</w:t>
      </w:r>
    </w:p>
    <w:p w14:paraId="32C6356B" w14:textId="1C8E2AF9" w:rsidR="00915312" w:rsidRDefault="00B34DAF" w:rsidP="008E7764">
      <w:pPr>
        <w:spacing w:after="240" w:line="240" w:lineRule="auto"/>
        <w:jc w:val="both"/>
        <w:rPr>
          <w:noProof/>
          <w:sz w:val="24"/>
          <w:szCs w:val="24"/>
        </w:rPr>
      </w:pPr>
      <w:r>
        <w:rPr>
          <w:noProof/>
          <w:sz w:val="24"/>
          <w:szCs w:val="24"/>
        </w:rPr>
        <w:t>The views of SMEs expressed in the course of consultation activities</w:t>
      </w:r>
      <w:r w:rsidR="00915312">
        <w:rPr>
          <w:rStyle w:val="FootnoteReference"/>
          <w:noProof/>
          <w:sz w:val="24"/>
          <w:szCs w:val="24"/>
        </w:rPr>
        <w:footnoteReference w:id="188"/>
      </w:r>
      <w:r>
        <w:rPr>
          <w:noProof/>
          <w:sz w:val="24"/>
          <w:szCs w:val="24"/>
        </w:rPr>
        <w:t xml:space="preserve"> did not </w:t>
      </w:r>
      <w:r w:rsidR="00FB3434">
        <w:rPr>
          <w:noProof/>
          <w:sz w:val="24"/>
          <w:szCs w:val="24"/>
        </w:rPr>
        <w:t xml:space="preserve">particularly </w:t>
      </w:r>
      <w:r>
        <w:rPr>
          <w:noProof/>
          <w:sz w:val="24"/>
          <w:szCs w:val="24"/>
        </w:rPr>
        <w:t xml:space="preserve">diverge from the overall views of business respondents. </w:t>
      </w:r>
      <w:r w:rsidR="00915312">
        <w:rPr>
          <w:noProof/>
          <w:sz w:val="24"/>
          <w:szCs w:val="24"/>
        </w:rPr>
        <w:t>The impact assessment study did, however, conclude that clearer liability rules, particularly regarding software and refurbished products, would particularly benefit SMEs, which have fewer resources than larger companies to devote to understanding unclear rules</w:t>
      </w:r>
      <w:r w:rsidR="00915312">
        <w:rPr>
          <w:rStyle w:val="FootnoteReference"/>
          <w:noProof/>
          <w:sz w:val="24"/>
          <w:szCs w:val="24"/>
        </w:rPr>
        <w:footnoteReference w:id="189"/>
      </w:r>
      <w:r w:rsidR="00915312" w:rsidRPr="00C80854">
        <w:rPr>
          <w:noProof/>
          <w:sz w:val="24"/>
          <w:szCs w:val="24"/>
        </w:rPr>
        <w:t>.</w:t>
      </w:r>
    </w:p>
    <w:p w14:paraId="64353ABB" w14:textId="16276DAF" w:rsidR="00DA15C9" w:rsidRPr="00C80854" w:rsidRDefault="00915312" w:rsidP="008E7764">
      <w:pPr>
        <w:spacing w:after="240" w:line="240" w:lineRule="auto"/>
        <w:jc w:val="both"/>
        <w:rPr>
          <w:noProof/>
          <w:sz w:val="24"/>
          <w:szCs w:val="24"/>
        </w:rPr>
      </w:pPr>
      <w:r>
        <w:rPr>
          <w:noProof/>
          <w:sz w:val="24"/>
          <w:szCs w:val="24"/>
          <w:lang w:val="en-IE"/>
        </w:rPr>
        <w:t>On the other hand</w:t>
      </w:r>
      <w:r w:rsidR="00E21BE4">
        <w:rPr>
          <w:noProof/>
          <w:sz w:val="24"/>
          <w:szCs w:val="24"/>
          <w:lang w:val="en-IE"/>
        </w:rPr>
        <w:t>, t</w:t>
      </w:r>
      <w:r w:rsidR="00DA15C9" w:rsidRPr="00C5029F">
        <w:rPr>
          <w:noProof/>
          <w:sz w:val="24"/>
          <w:szCs w:val="24"/>
          <w:lang w:val="en-IE"/>
        </w:rPr>
        <w:t xml:space="preserve">he 2018 evaluation found that 31% </w:t>
      </w:r>
      <w:r w:rsidR="009F4022">
        <w:rPr>
          <w:noProof/>
          <w:sz w:val="24"/>
          <w:szCs w:val="24"/>
          <w:lang w:val="en-IE"/>
        </w:rPr>
        <w:t xml:space="preserve">of small enterprises </w:t>
      </w:r>
      <w:r w:rsidR="00DA15C9" w:rsidRPr="00C5029F">
        <w:rPr>
          <w:noProof/>
          <w:sz w:val="24"/>
          <w:szCs w:val="24"/>
          <w:lang w:val="en-IE"/>
        </w:rPr>
        <w:t xml:space="preserve">do not have </w:t>
      </w:r>
      <w:r w:rsidR="009F4022">
        <w:rPr>
          <w:noProof/>
          <w:sz w:val="24"/>
          <w:szCs w:val="24"/>
          <w:lang w:val="en-IE"/>
        </w:rPr>
        <w:t xml:space="preserve">liability </w:t>
      </w:r>
      <w:r w:rsidR="00DA15C9" w:rsidRPr="00C5029F">
        <w:rPr>
          <w:noProof/>
          <w:sz w:val="24"/>
          <w:szCs w:val="24"/>
          <w:lang w:val="en-IE"/>
        </w:rPr>
        <w:t>insurance</w:t>
      </w:r>
      <w:r w:rsidR="009469B2">
        <w:rPr>
          <w:noProof/>
          <w:sz w:val="24"/>
          <w:szCs w:val="24"/>
          <w:lang w:val="en-IE"/>
        </w:rPr>
        <w:t xml:space="preserve">, whereas among </w:t>
      </w:r>
      <w:r w:rsidR="00DA15C9" w:rsidRPr="00C5029F">
        <w:rPr>
          <w:noProof/>
          <w:sz w:val="24"/>
          <w:szCs w:val="24"/>
          <w:lang w:val="en-IE"/>
        </w:rPr>
        <w:t>medium and large firms</w:t>
      </w:r>
      <w:r w:rsidR="009469B2">
        <w:rPr>
          <w:noProof/>
          <w:sz w:val="24"/>
          <w:szCs w:val="24"/>
          <w:lang w:val="en-IE"/>
        </w:rPr>
        <w:t xml:space="preserve"> the figure is only 15%</w:t>
      </w:r>
      <w:r w:rsidR="00DA15C9">
        <w:rPr>
          <w:noProof/>
          <w:sz w:val="24"/>
          <w:szCs w:val="24"/>
          <w:lang w:val="en-IE"/>
        </w:rPr>
        <w:t xml:space="preserve">. Thus, SMEs could be more exposed </w:t>
      </w:r>
      <w:r w:rsidR="00844F19">
        <w:rPr>
          <w:noProof/>
          <w:sz w:val="24"/>
          <w:szCs w:val="24"/>
          <w:lang w:val="en-IE"/>
        </w:rPr>
        <w:t xml:space="preserve">than larger firms </w:t>
      </w:r>
      <w:r w:rsidR="00DA15C9">
        <w:rPr>
          <w:noProof/>
          <w:sz w:val="24"/>
          <w:szCs w:val="24"/>
          <w:lang w:val="en-IE"/>
        </w:rPr>
        <w:t xml:space="preserve">to compensation pay-outs </w:t>
      </w:r>
      <w:r w:rsidR="00844F19">
        <w:rPr>
          <w:noProof/>
          <w:sz w:val="24"/>
          <w:szCs w:val="24"/>
          <w:lang w:val="en-IE"/>
        </w:rPr>
        <w:t>not covered by insurance</w:t>
      </w:r>
      <w:r w:rsidR="00DA15C9">
        <w:rPr>
          <w:noProof/>
          <w:sz w:val="24"/>
          <w:szCs w:val="24"/>
          <w:lang w:val="en-IE"/>
        </w:rPr>
        <w:t>.</w:t>
      </w:r>
      <w:r>
        <w:rPr>
          <w:noProof/>
          <w:sz w:val="24"/>
          <w:szCs w:val="24"/>
          <w:lang w:val="en-IE"/>
        </w:rPr>
        <w:t xml:space="preserve"> </w:t>
      </w:r>
      <w:r w:rsidR="00844F19">
        <w:rPr>
          <w:noProof/>
          <w:sz w:val="24"/>
          <w:szCs w:val="24"/>
        </w:rPr>
        <w:t xml:space="preserve">Also, </w:t>
      </w:r>
      <w:r w:rsidR="00C80854" w:rsidRPr="00C80854">
        <w:rPr>
          <w:noProof/>
          <w:sz w:val="24"/>
          <w:szCs w:val="24"/>
        </w:rPr>
        <w:t xml:space="preserve">higher product liability </w:t>
      </w:r>
      <w:r w:rsidR="00447FE6">
        <w:rPr>
          <w:noProof/>
          <w:sz w:val="24"/>
          <w:szCs w:val="24"/>
        </w:rPr>
        <w:t xml:space="preserve">insurance </w:t>
      </w:r>
      <w:r w:rsidR="00C80854" w:rsidRPr="00C80854">
        <w:rPr>
          <w:noProof/>
          <w:sz w:val="24"/>
          <w:szCs w:val="24"/>
        </w:rPr>
        <w:t xml:space="preserve">costs might affect </w:t>
      </w:r>
      <w:r w:rsidR="009F4022">
        <w:rPr>
          <w:noProof/>
          <w:sz w:val="24"/>
          <w:szCs w:val="24"/>
        </w:rPr>
        <w:t>SMEs more than</w:t>
      </w:r>
      <w:r w:rsidR="00505009">
        <w:rPr>
          <w:noProof/>
          <w:sz w:val="24"/>
          <w:szCs w:val="24"/>
        </w:rPr>
        <w:t xml:space="preserve"> </w:t>
      </w:r>
      <w:r w:rsidR="00C80854" w:rsidRPr="00C80854">
        <w:rPr>
          <w:noProof/>
          <w:sz w:val="24"/>
          <w:szCs w:val="24"/>
        </w:rPr>
        <w:t xml:space="preserve">larger companies, as </w:t>
      </w:r>
      <w:r w:rsidR="00505009">
        <w:rPr>
          <w:noProof/>
          <w:sz w:val="24"/>
          <w:szCs w:val="24"/>
        </w:rPr>
        <w:t>SMEs</w:t>
      </w:r>
      <w:r w:rsidR="00C80854" w:rsidRPr="00C80854">
        <w:rPr>
          <w:noProof/>
          <w:sz w:val="24"/>
          <w:szCs w:val="24"/>
        </w:rPr>
        <w:t xml:space="preserve"> have less ability to absorb the costs</w:t>
      </w:r>
      <w:r w:rsidR="00DC587C">
        <w:rPr>
          <w:noProof/>
          <w:sz w:val="24"/>
          <w:szCs w:val="24"/>
        </w:rPr>
        <w:t xml:space="preserve"> and might have less favourable insurance conditions</w:t>
      </w:r>
      <w:r w:rsidR="00595C8C">
        <w:rPr>
          <w:noProof/>
          <w:sz w:val="24"/>
          <w:szCs w:val="24"/>
        </w:rPr>
        <w:t xml:space="preserve">. </w:t>
      </w:r>
    </w:p>
    <w:p w14:paraId="6FE4810A" w14:textId="77777777" w:rsidR="00C80854" w:rsidRPr="00C80854" w:rsidRDefault="00C80854" w:rsidP="00DD3B24">
      <w:pPr>
        <w:pStyle w:val="ListParagraph"/>
        <w:numPr>
          <w:ilvl w:val="0"/>
          <w:numId w:val="10"/>
        </w:numPr>
        <w:spacing w:after="120"/>
        <w:ind w:left="714" w:hanging="357"/>
        <w:jc w:val="both"/>
        <w:rPr>
          <w:rFonts w:cstheme="minorHAnsi"/>
          <w:b/>
          <w:bCs/>
          <w:noProof/>
          <w:color w:val="242424"/>
          <w:sz w:val="24"/>
          <w:szCs w:val="24"/>
          <w:shd w:val="clear" w:color="auto" w:fill="FFFFFF"/>
        </w:rPr>
      </w:pPr>
      <w:r w:rsidRPr="00C80854">
        <w:rPr>
          <w:rFonts w:cstheme="minorHAnsi"/>
          <w:b/>
          <w:bCs/>
          <w:noProof/>
          <w:color w:val="242424"/>
          <w:sz w:val="24"/>
          <w:szCs w:val="24"/>
          <w:shd w:val="clear" w:color="auto" w:fill="FFFFFF"/>
        </w:rPr>
        <w:t xml:space="preserve">Impacts on the internal market and competitiveness </w:t>
      </w:r>
    </w:p>
    <w:p w14:paraId="6378697C" w14:textId="154703D5" w:rsidR="00C80854" w:rsidRPr="00C80854" w:rsidRDefault="00721652" w:rsidP="003D7A66">
      <w:pPr>
        <w:spacing w:after="240" w:line="240" w:lineRule="auto"/>
        <w:jc w:val="both"/>
        <w:rPr>
          <w:noProof/>
          <w:sz w:val="24"/>
          <w:szCs w:val="24"/>
        </w:rPr>
      </w:pPr>
      <w:r w:rsidRPr="00C80854">
        <w:rPr>
          <w:noProof/>
          <w:sz w:val="24"/>
          <w:szCs w:val="24"/>
        </w:rPr>
        <w:t xml:space="preserve">PO1a would increase regulatory clarity </w:t>
      </w:r>
      <w:r>
        <w:rPr>
          <w:noProof/>
          <w:sz w:val="24"/>
          <w:szCs w:val="24"/>
        </w:rPr>
        <w:t xml:space="preserve">and close liability gaps </w:t>
      </w:r>
      <w:r w:rsidRPr="00C80854">
        <w:rPr>
          <w:noProof/>
          <w:sz w:val="24"/>
          <w:szCs w:val="24"/>
        </w:rPr>
        <w:t xml:space="preserve">by </w:t>
      </w:r>
      <w:r>
        <w:rPr>
          <w:noProof/>
          <w:sz w:val="24"/>
          <w:szCs w:val="24"/>
        </w:rPr>
        <w:t>making explicit</w:t>
      </w:r>
      <w:r w:rsidRPr="00C80854">
        <w:rPr>
          <w:noProof/>
          <w:sz w:val="24"/>
          <w:szCs w:val="24"/>
        </w:rPr>
        <w:t xml:space="preserve"> that software and digital </w:t>
      </w:r>
      <w:r>
        <w:rPr>
          <w:noProof/>
          <w:sz w:val="24"/>
          <w:szCs w:val="24"/>
        </w:rPr>
        <w:t>services necessary for a tangible product</w:t>
      </w:r>
      <w:r w:rsidRPr="00C80854">
        <w:rPr>
          <w:noProof/>
          <w:sz w:val="24"/>
          <w:szCs w:val="24"/>
        </w:rPr>
        <w:t xml:space="preserve"> </w:t>
      </w:r>
      <w:r>
        <w:rPr>
          <w:noProof/>
          <w:sz w:val="24"/>
          <w:szCs w:val="24"/>
        </w:rPr>
        <w:t xml:space="preserve">to operate </w:t>
      </w:r>
      <w:r w:rsidRPr="00C80854">
        <w:rPr>
          <w:noProof/>
          <w:sz w:val="24"/>
          <w:szCs w:val="24"/>
        </w:rPr>
        <w:t>are included in the scope of the PLD</w:t>
      </w:r>
      <w:r>
        <w:rPr>
          <w:noProof/>
          <w:sz w:val="24"/>
          <w:szCs w:val="24"/>
        </w:rPr>
        <w:t xml:space="preserve"> as component parts of those tangible products. It would create a more level playing field among market operators, because not only producers of tangible parts</w:t>
      </w:r>
      <w:r w:rsidR="00260AA7">
        <w:rPr>
          <w:noProof/>
          <w:sz w:val="24"/>
          <w:szCs w:val="24"/>
        </w:rPr>
        <w:t xml:space="preserve"> but also producers of intangible parts </w:t>
      </w:r>
      <w:r>
        <w:rPr>
          <w:noProof/>
          <w:sz w:val="24"/>
          <w:szCs w:val="24"/>
        </w:rPr>
        <w:t>would be potentially liable.</w:t>
      </w:r>
      <w:r w:rsidR="00402CDB">
        <w:rPr>
          <w:noProof/>
          <w:sz w:val="24"/>
          <w:szCs w:val="24"/>
        </w:rPr>
        <w:t xml:space="preserve"> </w:t>
      </w:r>
      <w:r w:rsidR="003D7A66">
        <w:rPr>
          <w:noProof/>
          <w:sz w:val="24"/>
          <w:szCs w:val="24"/>
        </w:rPr>
        <w:t>Ensuring no-fault liability applies to updates and failure to update</w:t>
      </w:r>
      <w:r w:rsidR="00C80854" w:rsidRPr="00C80854">
        <w:rPr>
          <w:noProof/>
          <w:sz w:val="24"/>
          <w:szCs w:val="24"/>
        </w:rPr>
        <w:t xml:space="preserve"> </w:t>
      </w:r>
      <w:r w:rsidR="00EF647A">
        <w:rPr>
          <w:noProof/>
          <w:sz w:val="24"/>
          <w:szCs w:val="24"/>
        </w:rPr>
        <w:t>w</w:t>
      </w:r>
      <w:r w:rsidR="00C80854" w:rsidRPr="00C80854">
        <w:rPr>
          <w:noProof/>
          <w:sz w:val="24"/>
          <w:szCs w:val="24"/>
        </w:rPr>
        <w:t>ould</w:t>
      </w:r>
      <w:r w:rsidR="001F1D1A">
        <w:rPr>
          <w:noProof/>
          <w:sz w:val="24"/>
          <w:szCs w:val="24"/>
        </w:rPr>
        <w:t>, thanks to the deterrent effect of no-fault liability,</w:t>
      </w:r>
      <w:r w:rsidR="00C80854" w:rsidRPr="00C80854">
        <w:rPr>
          <w:noProof/>
          <w:sz w:val="24"/>
          <w:szCs w:val="24"/>
        </w:rPr>
        <w:t xml:space="preserve"> also incentivise </w:t>
      </w:r>
      <w:r w:rsidR="00E46F07">
        <w:rPr>
          <w:noProof/>
          <w:sz w:val="24"/>
          <w:szCs w:val="24"/>
        </w:rPr>
        <w:t xml:space="preserve">final producers and software developers to </w:t>
      </w:r>
      <w:r w:rsidR="00C80854" w:rsidRPr="00C80854">
        <w:rPr>
          <w:noProof/>
          <w:sz w:val="24"/>
          <w:szCs w:val="24"/>
        </w:rPr>
        <w:t>plac</w:t>
      </w:r>
      <w:r w:rsidR="00E46F07">
        <w:rPr>
          <w:noProof/>
          <w:sz w:val="24"/>
          <w:szCs w:val="24"/>
        </w:rPr>
        <w:t>e</w:t>
      </w:r>
      <w:r w:rsidR="00C80854" w:rsidRPr="00C80854">
        <w:rPr>
          <w:noProof/>
          <w:sz w:val="24"/>
          <w:szCs w:val="24"/>
        </w:rPr>
        <w:t xml:space="preserve"> safer software on the market and </w:t>
      </w:r>
      <w:r w:rsidR="00E46F07">
        <w:rPr>
          <w:noProof/>
          <w:sz w:val="24"/>
          <w:szCs w:val="24"/>
        </w:rPr>
        <w:t xml:space="preserve">to </w:t>
      </w:r>
      <w:r w:rsidR="00C80854" w:rsidRPr="00C80854">
        <w:rPr>
          <w:noProof/>
          <w:sz w:val="24"/>
          <w:szCs w:val="24"/>
        </w:rPr>
        <w:t xml:space="preserve">invest in safety-relevant cybersecurity </w:t>
      </w:r>
      <w:r w:rsidR="003D7A66">
        <w:rPr>
          <w:noProof/>
          <w:sz w:val="24"/>
          <w:szCs w:val="24"/>
        </w:rPr>
        <w:t>beyond the moment a product is put into circulation</w:t>
      </w:r>
      <w:r w:rsidR="00C80854" w:rsidRPr="00C80854">
        <w:rPr>
          <w:noProof/>
          <w:sz w:val="24"/>
          <w:szCs w:val="24"/>
        </w:rPr>
        <w:t>.</w:t>
      </w:r>
    </w:p>
    <w:p w14:paraId="1D739F81" w14:textId="35FA33E3" w:rsidR="00C80854" w:rsidRPr="00C80854" w:rsidRDefault="003D7A66" w:rsidP="008E7764">
      <w:pPr>
        <w:spacing w:after="240" w:line="240" w:lineRule="auto"/>
        <w:jc w:val="both"/>
        <w:rPr>
          <w:noProof/>
          <w:sz w:val="24"/>
          <w:szCs w:val="24"/>
        </w:rPr>
      </w:pPr>
      <w:r>
        <w:rPr>
          <w:noProof/>
          <w:sz w:val="24"/>
          <w:szCs w:val="24"/>
        </w:rPr>
        <w:t xml:space="preserve">By </w:t>
      </w:r>
      <w:r w:rsidR="00C80854" w:rsidRPr="00C80854">
        <w:rPr>
          <w:noProof/>
          <w:sz w:val="24"/>
          <w:szCs w:val="24"/>
        </w:rPr>
        <w:t xml:space="preserve">clarifying </w:t>
      </w:r>
      <w:r w:rsidR="003317F2">
        <w:rPr>
          <w:noProof/>
          <w:sz w:val="24"/>
          <w:szCs w:val="24"/>
        </w:rPr>
        <w:t>that</w:t>
      </w:r>
      <w:r w:rsidR="00C80854" w:rsidRPr="00C80854">
        <w:rPr>
          <w:noProof/>
          <w:sz w:val="24"/>
          <w:szCs w:val="24"/>
        </w:rPr>
        <w:t xml:space="preserve"> remanufacturers and refurbishers</w:t>
      </w:r>
      <w:r w:rsidR="003317F2">
        <w:rPr>
          <w:noProof/>
          <w:sz w:val="24"/>
          <w:szCs w:val="24"/>
        </w:rPr>
        <w:t xml:space="preserve"> may be liable, but only for substantial modifications</w:t>
      </w:r>
      <w:r>
        <w:rPr>
          <w:noProof/>
          <w:sz w:val="24"/>
          <w:szCs w:val="24"/>
        </w:rPr>
        <w:t>, PO1a would reduce liability gaps</w:t>
      </w:r>
      <w:r w:rsidR="00744EB2">
        <w:rPr>
          <w:noProof/>
          <w:sz w:val="24"/>
          <w:szCs w:val="24"/>
        </w:rPr>
        <w:t>, create legal certainty</w:t>
      </w:r>
      <w:r>
        <w:rPr>
          <w:noProof/>
          <w:sz w:val="24"/>
          <w:szCs w:val="24"/>
        </w:rPr>
        <w:t xml:space="preserve"> and</w:t>
      </w:r>
      <w:r w:rsidR="001C72B7">
        <w:rPr>
          <w:noProof/>
          <w:sz w:val="24"/>
          <w:szCs w:val="24"/>
        </w:rPr>
        <w:t xml:space="preserve"> contribute to </w:t>
      </w:r>
      <w:r w:rsidR="00D93C78">
        <w:rPr>
          <w:noProof/>
          <w:sz w:val="24"/>
          <w:szCs w:val="24"/>
        </w:rPr>
        <w:t xml:space="preserve">the </w:t>
      </w:r>
      <w:r w:rsidR="001C72B7">
        <w:rPr>
          <w:noProof/>
          <w:sz w:val="24"/>
          <w:szCs w:val="24"/>
        </w:rPr>
        <w:t xml:space="preserve">broader EU policy objectives </w:t>
      </w:r>
      <w:r w:rsidR="00D93C78">
        <w:rPr>
          <w:noProof/>
          <w:sz w:val="24"/>
          <w:szCs w:val="24"/>
        </w:rPr>
        <w:t xml:space="preserve">of </w:t>
      </w:r>
      <w:r w:rsidR="001C72B7">
        <w:rPr>
          <w:noProof/>
          <w:sz w:val="24"/>
          <w:szCs w:val="24"/>
        </w:rPr>
        <w:t>the Circular Economy Action Plan</w:t>
      </w:r>
      <w:r w:rsidR="001C72B7">
        <w:rPr>
          <w:rStyle w:val="FootnoteReference"/>
          <w:noProof/>
          <w:sz w:val="24"/>
          <w:szCs w:val="24"/>
        </w:rPr>
        <w:footnoteReference w:id="190"/>
      </w:r>
      <w:r w:rsidR="001C72B7">
        <w:rPr>
          <w:noProof/>
          <w:sz w:val="24"/>
          <w:szCs w:val="24"/>
        </w:rPr>
        <w:t>.</w:t>
      </w:r>
    </w:p>
    <w:p w14:paraId="77BAC917" w14:textId="71C2D73B" w:rsidR="00C80854" w:rsidRPr="00C80854" w:rsidRDefault="00C80854" w:rsidP="003317F2">
      <w:pPr>
        <w:spacing w:after="240" w:line="240" w:lineRule="auto"/>
        <w:jc w:val="both"/>
        <w:rPr>
          <w:rFonts w:cs="Times New Roman"/>
          <w:noProof/>
          <w:sz w:val="24"/>
          <w:szCs w:val="24"/>
        </w:rPr>
      </w:pPr>
      <w:r w:rsidRPr="00C80854">
        <w:rPr>
          <w:noProof/>
          <w:sz w:val="24"/>
          <w:szCs w:val="24"/>
        </w:rPr>
        <w:t xml:space="preserve">PO1a would also promote a </w:t>
      </w:r>
      <w:r w:rsidR="00D93C78">
        <w:rPr>
          <w:noProof/>
          <w:sz w:val="24"/>
          <w:szCs w:val="24"/>
        </w:rPr>
        <w:t xml:space="preserve">more </w:t>
      </w:r>
      <w:r w:rsidRPr="00C80854">
        <w:rPr>
          <w:noProof/>
          <w:sz w:val="24"/>
          <w:szCs w:val="24"/>
        </w:rPr>
        <w:t xml:space="preserve">level playing field between </w:t>
      </w:r>
      <w:r w:rsidR="00D93C78">
        <w:rPr>
          <w:noProof/>
          <w:sz w:val="24"/>
          <w:szCs w:val="24"/>
        </w:rPr>
        <w:t xml:space="preserve">EU and non-EU </w:t>
      </w:r>
      <w:r w:rsidRPr="00C80854">
        <w:rPr>
          <w:noProof/>
          <w:sz w:val="24"/>
          <w:szCs w:val="24"/>
        </w:rPr>
        <w:t>producers</w:t>
      </w:r>
      <w:r w:rsidR="00C52189">
        <w:rPr>
          <w:noProof/>
          <w:sz w:val="24"/>
          <w:szCs w:val="24"/>
        </w:rPr>
        <w:t xml:space="preserve"> </w:t>
      </w:r>
      <w:r w:rsidR="00D93C78">
        <w:rPr>
          <w:noProof/>
          <w:sz w:val="24"/>
          <w:szCs w:val="24"/>
        </w:rPr>
        <w:t>by making the latter’s authorised representative liable, who are then expected to pass the costs on to the non-EU producer</w:t>
      </w:r>
      <w:r w:rsidR="00AE7212">
        <w:rPr>
          <w:noProof/>
          <w:sz w:val="24"/>
          <w:szCs w:val="24"/>
        </w:rPr>
        <w:t xml:space="preserve"> in their service fees</w:t>
      </w:r>
      <w:r w:rsidRPr="00C80854">
        <w:rPr>
          <w:noProof/>
          <w:sz w:val="24"/>
          <w:szCs w:val="24"/>
        </w:rPr>
        <w:t xml:space="preserve">. </w:t>
      </w:r>
      <w:r w:rsidR="00D93C78">
        <w:rPr>
          <w:noProof/>
          <w:sz w:val="24"/>
          <w:szCs w:val="24"/>
        </w:rPr>
        <w:t xml:space="preserve">It should be noted that </w:t>
      </w:r>
      <w:r w:rsidRPr="00EF647A">
        <w:rPr>
          <w:noProof/>
          <w:sz w:val="24"/>
          <w:szCs w:val="24"/>
        </w:rPr>
        <w:t>one authorised representative interview</w:t>
      </w:r>
      <w:r w:rsidR="00D93C78">
        <w:rPr>
          <w:noProof/>
          <w:sz w:val="24"/>
          <w:szCs w:val="24"/>
        </w:rPr>
        <w:t>ed</w:t>
      </w:r>
      <w:r w:rsidR="00EF647A" w:rsidRPr="00EF647A">
        <w:rPr>
          <w:noProof/>
          <w:sz w:val="24"/>
          <w:szCs w:val="24"/>
        </w:rPr>
        <w:t xml:space="preserve"> </w:t>
      </w:r>
      <w:r w:rsidRPr="00EF647A">
        <w:rPr>
          <w:noProof/>
          <w:sz w:val="24"/>
          <w:szCs w:val="24"/>
        </w:rPr>
        <w:t xml:space="preserve">raised the </w:t>
      </w:r>
      <w:r w:rsidR="00D93C78">
        <w:rPr>
          <w:noProof/>
          <w:sz w:val="24"/>
          <w:szCs w:val="24"/>
        </w:rPr>
        <w:t>prospect</w:t>
      </w:r>
      <w:r w:rsidR="00D93C78" w:rsidRPr="00EF647A">
        <w:rPr>
          <w:noProof/>
          <w:sz w:val="24"/>
          <w:szCs w:val="24"/>
        </w:rPr>
        <w:t xml:space="preserve"> </w:t>
      </w:r>
      <w:r w:rsidRPr="00EF647A">
        <w:rPr>
          <w:noProof/>
          <w:sz w:val="24"/>
          <w:szCs w:val="24"/>
        </w:rPr>
        <w:t xml:space="preserve">that non-EU producers </w:t>
      </w:r>
      <w:r w:rsidR="00E913B9">
        <w:rPr>
          <w:noProof/>
          <w:sz w:val="24"/>
          <w:szCs w:val="24"/>
        </w:rPr>
        <w:t xml:space="preserve">might in turn raise the price of their products and that some </w:t>
      </w:r>
      <w:r w:rsidRPr="00EF647A">
        <w:rPr>
          <w:noProof/>
          <w:sz w:val="24"/>
          <w:szCs w:val="24"/>
        </w:rPr>
        <w:t xml:space="preserve">might be </w:t>
      </w:r>
      <w:r w:rsidR="00D93C78">
        <w:rPr>
          <w:noProof/>
          <w:sz w:val="24"/>
          <w:szCs w:val="24"/>
        </w:rPr>
        <w:t>un</w:t>
      </w:r>
      <w:r w:rsidRPr="00EF647A">
        <w:rPr>
          <w:noProof/>
          <w:sz w:val="24"/>
          <w:szCs w:val="24"/>
        </w:rPr>
        <w:t xml:space="preserve">willing to pay </w:t>
      </w:r>
      <w:r w:rsidR="00D93C78">
        <w:rPr>
          <w:noProof/>
          <w:sz w:val="24"/>
          <w:szCs w:val="24"/>
        </w:rPr>
        <w:t xml:space="preserve">higher </w:t>
      </w:r>
      <w:r w:rsidRPr="00EF647A">
        <w:rPr>
          <w:noProof/>
          <w:sz w:val="24"/>
          <w:szCs w:val="24"/>
        </w:rPr>
        <w:t>authorised representative</w:t>
      </w:r>
      <w:r w:rsidR="00D93C78">
        <w:rPr>
          <w:noProof/>
          <w:sz w:val="24"/>
          <w:szCs w:val="24"/>
        </w:rPr>
        <w:t xml:space="preserve"> fees</w:t>
      </w:r>
      <w:r w:rsidRPr="00EF647A">
        <w:rPr>
          <w:noProof/>
          <w:sz w:val="24"/>
          <w:szCs w:val="24"/>
        </w:rPr>
        <w:t xml:space="preserve"> to cover the liability </w:t>
      </w:r>
      <w:r w:rsidR="00D93C78">
        <w:rPr>
          <w:noProof/>
          <w:sz w:val="24"/>
          <w:szCs w:val="24"/>
        </w:rPr>
        <w:t>cost</w:t>
      </w:r>
      <w:r w:rsidRPr="00EF647A">
        <w:rPr>
          <w:noProof/>
          <w:sz w:val="24"/>
          <w:szCs w:val="24"/>
        </w:rPr>
        <w:t xml:space="preserve">, </w:t>
      </w:r>
      <w:r w:rsidR="00D93C78">
        <w:rPr>
          <w:noProof/>
          <w:sz w:val="24"/>
          <w:szCs w:val="24"/>
        </w:rPr>
        <w:t>and decide not to offer their product on the internal market at all</w:t>
      </w:r>
      <w:r w:rsidR="00E913B9">
        <w:rPr>
          <w:rStyle w:val="FootnoteReference"/>
          <w:noProof/>
          <w:sz w:val="24"/>
          <w:szCs w:val="24"/>
        </w:rPr>
        <w:footnoteReference w:id="191"/>
      </w:r>
      <w:r w:rsidRPr="00EF647A">
        <w:rPr>
          <w:noProof/>
          <w:sz w:val="24"/>
          <w:szCs w:val="24"/>
        </w:rPr>
        <w:t>.</w:t>
      </w:r>
      <w:r w:rsidRPr="00EF647A">
        <w:rPr>
          <w:rStyle w:val="CommentReference"/>
          <w:noProof/>
          <w:sz w:val="24"/>
          <w:szCs w:val="24"/>
        </w:rPr>
        <w:t xml:space="preserve"> </w:t>
      </w:r>
      <w:r w:rsidR="00A3748A">
        <w:rPr>
          <w:rStyle w:val="CommentReference"/>
          <w:noProof/>
          <w:sz w:val="24"/>
          <w:szCs w:val="24"/>
        </w:rPr>
        <w:t>On the other hand, PO1a would ensure that t</w:t>
      </w:r>
      <w:r w:rsidR="00A3748A">
        <w:rPr>
          <w:noProof/>
          <w:sz w:val="24"/>
          <w:szCs w:val="24"/>
        </w:rPr>
        <w:t>he deterrent effect of no-fault liability, which encourages producers to place only safe products on the market, indirectly reaches non-EU producers too, which would reinforce ongoing efforts to improve the safety of products imported directly online</w:t>
      </w:r>
      <w:r w:rsidR="00A3748A">
        <w:rPr>
          <w:rStyle w:val="FootnoteReference"/>
          <w:noProof/>
          <w:sz w:val="24"/>
          <w:szCs w:val="24"/>
        </w:rPr>
        <w:footnoteReference w:id="192"/>
      </w:r>
      <w:r w:rsidR="00A3748A">
        <w:rPr>
          <w:noProof/>
          <w:sz w:val="24"/>
          <w:szCs w:val="24"/>
        </w:rPr>
        <w:t>.</w:t>
      </w:r>
    </w:p>
    <w:p w14:paraId="53C15E28" w14:textId="7235F674" w:rsidR="00C80854" w:rsidRPr="008E7764" w:rsidRDefault="00C80854" w:rsidP="00DD3B24">
      <w:pPr>
        <w:pStyle w:val="ListParagraph"/>
        <w:numPr>
          <w:ilvl w:val="0"/>
          <w:numId w:val="10"/>
        </w:numPr>
        <w:spacing w:after="120"/>
        <w:ind w:left="714" w:hanging="357"/>
        <w:jc w:val="both"/>
        <w:rPr>
          <w:rFonts w:cstheme="minorHAnsi"/>
          <w:b/>
          <w:bCs/>
          <w:noProof/>
          <w:color w:val="242424"/>
          <w:sz w:val="24"/>
          <w:szCs w:val="24"/>
          <w:shd w:val="clear" w:color="auto" w:fill="FFFFFF"/>
        </w:rPr>
      </w:pPr>
      <w:r w:rsidRPr="008E7764">
        <w:rPr>
          <w:rFonts w:cstheme="minorHAnsi"/>
          <w:b/>
          <w:bCs/>
          <w:noProof/>
          <w:color w:val="242424"/>
          <w:sz w:val="24"/>
          <w:szCs w:val="24"/>
          <w:shd w:val="clear" w:color="auto" w:fill="FFFFFF"/>
        </w:rPr>
        <w:t xml:space="preserve">Impacts on the judicial system and </w:t>
      </w:r>
      <w:r w:rsidR="00E21BE4">
        <w:rPr>
          <w:rFonts w:cstheme="minorHAnsi"/>
          <w:b/>
          <w:bCs/>
          <w:noProof/>
          <w:color w:val="242424"/>
          <w:sz w:val="24"/>
          <w:szCs w:val="24"/>
          <w:shd w:val="clear" w:color="auto" w:fill="FFFFFF"/>
        </w:rPr>
        <w:t>legal</w:t>
      </w:r>
      <w:r w:rsidR="00E21BE4" w:rsidRPr="008E7764">
        <w:rPr>
          <w:rFonts w:cstheme="minorHAnsi"/>
          <w:b/>
          <w:bCs/>
          <w:noProof/>
          <w:color w:val="242424"/>
          <w:sz w:val="24"/>
          <w:szCs w:val="24"/>
          <w:shd w:val="clear" w:color="auto" w:fill="FFFFFF"/>
        </w:rPr>
        <w:t xml:space="preserve"> </w:t>
      </w:r>
      <w:r w:rsidRPr="008E7764">
        <w:rPr>
          <w:rFonts w:cstheme="minorHAnsi"/>
          <w:b/>
          <w:bCs/>
          <w:noProof/>
          <w:color w:val="242424"/>
          <w:sz w:val="24"/>
          <w:szCs w:val="24"/>
          <w:shd w:val="clear" w:color="auto" w:fill="FFFFFF"/>
        </w:rPr>
        <w:t>costs</w:t>
      </w:r>
    </w:p>
    <w:p w14:paraId="420F9C38" w14:textId="6047A347" w:rsidR="00B411F2" w:rsidRPr="00C80854" w:rsidRDefault="00622F5B" w:rsidP="00DD184F">
      <w:pPr>
        <w:spacing w:after="240" w:line="240" w:lineRule="auto"/>
        <w:jc w:val="both"/>
        <w:rPr>
          <w:noProof/>
          <w:sz w:val="24"/>
          <w:szCs w:val="24"/>
        </w:rPr>
      </w:pPr>
      <w:r>
        <w:rPr>
          <w:noProof/>
          <w:sz w:val="24"/>
          <w:szCs w:val="24"/>
        </w:rPr>
        <w:t>Whereas</w:t>
      </w:r>
      <w:r w:rsidR="00DF7A98">
        <w:rPr>
          <w:noProof/>
          <w:sz w:val="24"/>
          <w:szCs w:val="24"/>
        </w:rPr>
        <w:t>, based on the current text of the PLD,</w:t>
      </w:r>
      <w:r>
        <w:rPr>
          <w:noProof/>
          <w:sz w:val="24"/>
          <w:szCs w:val="24"/>
        </w:rPr>
        <w:t xml:space="preserve"> </w:t>
      </w:r>
      <w:r w:rsidR="00DF7A98">
        <w:rPr>
          <w:noProof/>
          <w:sz w:val="24"/>
          <w:szCs w:val="24"/>
        </w:rPr>
        <w:t>courts may have applied fault-based liability rules to software updates</w:t>
      </w:r>
      <w:r>
        <w:rPr>
          <w:noProof/>
          <w:sz w:val="24"/>
          <w:szCs w:val="24"/>
        </w:rPr>
        <w:t xml:space="preserve"> </w:t>
      </w:r>
      <w:r w:rsidR="00DF7A98">
        <w:rPr>
          <w:noProof/>
          <w:sz w:val="24"/>
          <w:szCs w:val="24"/>
        </w:rPr>
        <w:t>and digital services, PO1a would make clear that the PLD’s no-fault regime appl</w:t>
      </w:r>
      <w:r w:rsidR="0020457B">
        <w:rPr>
          <w:noProof/>
          <w:sz w:val="24"/>
          <w:szCs w:val="24"/>
        </w:rPr>
        <w:t>ies</w:t>
      </w:r>
      <w:r w:rsidR="00C80854" w:rsidRPr="00C80854">
        <w:rPr>
          <w:noProof/>
          <w:sz w:val="24"/>
          <w:szCs w:val="24"/>
        </w:rPr>
        <w:t>.</w:t>
      </w:r>
      <w:r w:rsidR="00065D9C">
        <w:rPr>
          <w:noProof/>
          <w:sz w:val="24"/>
          <w:szCs w:val="24"/>
        </w:rPr>
        <w:t xml:space="preserve"> </w:t>
      </w:r>
      <w:r w:rsidR="00F74A63">
        <w:rPr>
          <w:noProof/>
          <w:sz w:val="24"/>
          <w:szCs w:val="24"/>
        </w:rPr>
        <w:t xml:space="preserve">There should </w:t>
      </w:r>
      <w:r w:rsidR="001E54D3">
        <w:rPr>
          <w:noProof/>
          <w:sz w:val="24"/>
          <w:szCs w:val="24"/>
        </w:rPr>
        <w:t>only a very small</w:t>
      </w:r>
      <w:r w:rsidR="00F74A63">
        <w:rPr>
          <w:noProof/>
          <w:sz w:val="24"/>
          <w:szCs w:val="24"/>
        </w:rPr>
        <w:t xml:space="preserve"> increase in overall cases (either in-court or out-of-court)</w:t>
      </w:r>
      <w:r w:rsidR="001E54D3">
        <w:rPr>
          <w:noProof/>
          <w:sz w:val="24"/>
          <w:szCs w:val="24"/>
        </w:rPr>
        <w:t xml:space="preserve"> </w:t>
      </w:r>
      <w:r w:rsidR="001E54D3" w:rsidRPr="001E54D3">
        <w:rPr>
          <w:noProof/>
          <w:sz w:val="24"/>
          <w:szCs w:val="24"/>
        </w:rPr>
        <w:t>for producers of products with digital elements, producers of digital elements (</w:t>
      </w:r>
      <w:r w:rsidR="001E54D3">
        <w:rPr>
          <w:noProof/>
          <w:sz w:val="24"/>
          <w:szCs w:val="24"/>
        </w:rPr>
        <w:t xml:space="preserve">assumed 1% increase, </w:t>
      </w:r>
      <w:r w:rsidR="001E54D3" w:rsidRPr="001E54D3">
        <w:rPr>
          <w:noProof/>
          <w:sz w:val="24"/>
          <w:szCs w:val="24"/>
        </w:rPr>
        <w:t>reflecting future-proofing as software-related cases are likely to increase</w:t>
      </w:r>
      <w:r w:rsidR="001E54D3">
        <w:rPr>
          <w:noProof/>
          <w:sz w:val="24"/>
          <w:szCs w:val="24"/>
        </w:rPr>
        <w:t>)</w:t>
      </w:r>
      <w:r w:rsidR="001E54D3">
        <w:rPr>
          <w:rStyle w:val="FootnoteReference"/>
          <w:noProof/>
          <w:sz w:val="24"/>
          <w:szCs w:val="24"/>
        </w:rPr>
        <w:footnoteReference w:id="193"/>
      </w:r>
      <w:r w:rsidR="001E54D3">
        <w:rPr>
          <w:noProof/>
          <w:sz w:val="24"/>
          <w:szCs w:val="24"/>
        </w:rPr>
        <w:t xml:space="preserve">. However, it is foreseen that </w:t>
      </w:r>
      <w:r w:rsidR="00F74A63">
        <w:rPr>
          <w:noProof/>
          <w:sz w:val="24"/>
          <w:szCs w:val="24"/>
        </w:rPr>
        <w:t xml:space="preserve">a greater proportion </w:t>
      </w:r>
      <w:r w:rsidR="001E54D3">
        <w:rPr>
          <w:noProof/>
          <w:sz w:val="24"/>
          <w:szCs w:val="24"/>
        </w:rPr>
        <w:t xml:space="preserve">of cases would be now </w:t>
      </w:r>
      <w:r w:rsidR="00F74A63">
        <w:rPr>
          <w:noProof/>
          <w:sz w:val="24"/>
          <w:szCs w:val="24"/>
        </w:rPr>
        <w:t>brought under the PLD. Those c</w:t>
      </w:r>
      <w:r w:rsidR="00C80854" w:rsidRPr="00C80854">
        <w:rPr>
          <w:noProof/>
          <w:sz w:val="24"/>
          <w:szCs w:val="24"/>
        </w:rPr>
        <w:t xml:space="preserve">ourt cases </w:t>
      </w:r>
      <w:r w:rsidR="007366F2">
        <w:rPr>
          <w:noProof/>
          <w:sz w:val="24"/>
          <w:szCs w:val="24"/>
        </w:rPr>
        <w:t>should</w:t>
      </w:r>
      <w:r w:rsidR="007366F2" w:rsidRPr="00C80854">
        <w:rPr>
          <w:noProof/>
          <w:sz w:val="24"/>
          <w:szCs w:val="24"/>
        </w:rPr>
        <w:t xml:space="preserve"> </w:t>
      </w:r>
      <w:r w:rsidR="00C80854" w:rsidRPr="00C80854">
        <w:rPr>
          <w:noProof/>
          <w:sz w:val="24"/>
          <w:szCs w:val="24"/>
        </w:rPr>
        <w:t>be shorter</w:t>
      </w:r>
      <w:r w:rsidR="00C51A57">
        <w:rPr>
          <w:noProof/>
          <w:sz w:val="24"/>
          <w:szCs w:val="24"/>
        </w:rPr>
        <w:t>,</w:t>
      </w:r>
      <w:r w:rsidR="00C80854" w:rsidRPr="00C80854">
        <w:rPr>
          <w:noProof/>
          <w:sz w:val="24"/>
          <w:szCs w:val="24"/>
        </w:rPr>
        <w:t xml:space="preserve"> </w:t>
      </w:r>
      <w:r w:rsidR="00C51A57">
        <w:rPr>
          <w:noProof/>
          <w:sz w:val="24"/>
          <w:szCs w:val="24"/>
        </w:rPr>
        <w:t xml:space="preserve">because the victim only has to prove </w:t>
      </w:r>
      <w:r w:rsidR="00744EB2">
        <w:rPr>
          <w:noProof/>
          <w:sz w:val="24"/>
          <w:szCs w:val="24"/>
        </w:rPr>
        <w:t xml:space="preserve">the product’s </w:t>
      </w:r>
      <w:r w:rsidR="00C51A57">
        <w:rPr>
          <w:noProof/>
          <w:sz w:val="24"/>
          <w:szCs w:val="24"/>
        </w:rPr>
        <w:t>defect</w:t>
      </w:r>
      <w:r w:rsidR="00744EB2">
        <w:rPr>
          <w:noProof/>
          <w:sz w:val="24"/>
          <w:szCs w:val="24"/>
        </w:rPr>
        <w:t>iveness</w:t>
      </w:r>
      <w:r w:rsidR="00C51A57">
        <w:rPr>
          <w:noProof/>
          <w:sz w:val="24"/>
          <w:szCs w:val="24"/>
        </w:rPr>
        <w:t xml:space="preserve"> and not </w:t>
      </w:r>
      <w:r w:rsidR="00744EB2">
        <w:rPr>
          <w:noProof/>
          <w:sz w:val="24"/>
          <w:szCs w:val="24"/>
        </w:rPr>
        <w:t xml:space="preserve">the producer’s </w:t>
      </w:r>
      <w:r w:rsidR="00C80854" w:rsidRPr="00C80854">
        <w:rPr>
          <w:noProof/>
          <w:sz w:val="24"/>
          <w:szCs w:val="24"/>
        </w:rPr>
        <w:t>fault.</w:t>
      </w:r>
      <w:r w:rsidR="00B411F2">
        <w:rPr>
          <w:noProof/>
          <w:sz w:val="24"/>
          <w:szCs w:val="24"/>
        </w:rPr>
        <w:t xml:space="preserve"> Thus</w:t>
      </w:r>
      <w:r w:rsidR="00065D9C">
        <w:rPr>
          <w:noProof/>
          <w:sz w:val="24"/>
          <w:szCs w:val="24"/>
        </w:rPr>
        <w:t xml:space="preserve">, </w:t>
      </w:r>
      <w:r w:rsidR="00B411F2">
        <w:rPr>
          <w:noProof/>
          <w:sz w:val="24"/>
          <w:szCs w:val="24"/>
        </w:rPr>
        <w:t xml:space="preserve">a </w:t>
      </w:r>
      <w:r w:rsidR="00B411F2" w:rsidRPr="00BC0D2B">
        <w:rPr>
          <w:noProof/>
          <w:sz w:val="24"/>
          <w:szCs w:val="24"/>
        </w:rPr>
        <w:t>2%</w:t>
      </w:r>
      <w:r w:rsidR="006D6D74">
        <w:rPr>
          <w:rStyle w:val="FootnoteReference"/>
          <w:noProof/>
          <w:sz w:val="24"/>
          <w:szCs w:val="24"/>
        </w:rPr>
        <w:footnoteReference w:id="194"/>
      </w:r>
      <w:r w:rsidR="00B411F2">
        <w:rPr>
          <w:noProof/>
          <w:sz w:val="24"/>
          <w:szCs w:val="24"/>
        </w:rPr>
        <w:t xml:space="preserve"> </w:t>
      </w:r>
      <w:r w:rsidR="00E21BE4">
        <w:rPr>
          <w:noProof/>
          <w:sz w:val="24"/>
          <w:szCs w:val="24"/>
        </w:rPr>
        <w:t xml:space="preserve">legal </w:t>
      </w:r>
      <w:r w:rsidR="00B411F2">
        <w:rPr>
          <w:noProof/>
          <w:sz w:val="24"/>
          <w:szCs w:val="24"/>
        </w:rPr>
        <w:t xml:space="preserve">cost reduction </w:t>
      </w:r>
      <w:r w:rsidR="007366F2">
        <w:rPr>
          <w:noProof/>
          <w:sz w:val="24"/>
          <w:szCs w:val="24"/>
        </w:rPr>
        <w:t xml:space="preserve">is assumed </w:t>
      </w:r>
      <w:r w:rsidR="00B411F2">
        <w:rPr>
          <w:noProof/>
          <w:sz w:val="24"/>
          <w:szCs w:val="24"/>
        </w:rPr>
        <w:t xml:space="preserve">for </w:t>
      </w:r>
      <w:r w:rsidR="00B411F2" w:rsidRPr="00B411F2">
        <w:rPr>
          <w:noProof/>
          <w:sz w:val="24"/>
          <w:szCs w:val="24"/>
        </w:rPr>
        <w:t xml:space="preserve">software </w:t>
      </w:r>
      <w:r w:rsidR="00C218C5">
        <w:rPr>
          <w:noProof/>
          <w:sz w:val="24"/>
          <w:szCs w:val="24"/>
        </w:rPr>
        <w:t>producers</w:t>
      </w:r>
      <w:r w:rsidR="00C218C5" w:rsidRPr="00B411F2">
        <w:rPr>
          <w:noProof/>
          <w:sz w:val="24"/>
          <w:szCs w:val="24"/>
        </w:rPr>
        <w:t xml:space="preserve"> </w:t>
      </w:r>
      <w:r w:rsidR="00B411F2" w:rsidRPr="00B411F2">
        <w:rPr>
          <w:noProof/>
          <w:sz w:val="24"/>
          <w:szCs w:val="24"/>
        </w:rPr>
        <w:t xml:space="preserve">and related </w:t>
      </w:r>
      <w:r w:rsidR="007366F2">
        <w:rPr>
          <w:noProof/>
          <w:sz w:val="24"/>
          <w:szCs w:val="24"/>
        </w:rPr>
        <w:t>victims of harm</w:t>
      </w:r>
      <w:r w:rsidR="00E21BE4">
        <w:rPr>
          <w:rStyle w:val="FootnoteReference"/>
          <w:noProof/>
          <w:sz w:val="24"/>
          <w:szCs w:val="24"/>
        </w:rPr>
        <w:footnoteReference w:id="195"/>
      </w:r>
      <w:r w:rsidR="00250613">
        <w:rPr>
          <w:noProof/>
          <w:sz w:val="24"/>
          <w:szCs w:val="24"/>
        </w:rPr>
        <w:t>.</w:t>
      </w:r>
      <w:r w:rsidR="00E21BE4">
        <w:rPr>
          <w:noProof/>
          <w:sz w:val="24"/>
          <w:szCs w:val="24"/>
        </w:rPr>
        <w:t xml:space="preserve"> </w:t>
      </w:r>
    </w:p>
    <w:p w14:paraId="6572C637" w14:textId="4540A836" w:rsidR="00C80854" w:rsidRDefault="00C80854" w:rsidP="008E7764">
      <w:pPr>
        <w:spacing w:after="240" w:line="240" w:lineRule="auto"/>
        <w:jc w:val="both"/>
        <w:rPr>
          <w:noProof/>
          <w:sz w:val="24"/>
          <w:szCs w:val="24"/>
        </w:rPr>
      </w:pPr>
      <w:r w:rsidRPr="00C80854">
        <w:rPr>
          <w:noProof/>
          <w:sz w:val="24"/>
          <w:szCs w:val="24"/>
        </w:rPr>
        <w:t xml:space="preserve">On the other hand, </w:t>
      </w:r>
      <w:r w:rsidR="00C51A57">
        <w:rPr>
          <w:noProof/>
          <w:sz w:val="24"/>
          <w:szCs w:val="24"/>
        </w:rPr>
        <w:t>making authorised representatives liable</w:t>
      </w:r>
      <w:r w:rsidRPr="00C80854">
        <w:rPr>
          <w:noProof/>
          <w:sz w:val="24"/>
          <w:szCs w:val="24"/>
        </w:rPr>
        <w:t xml:space="preserve"> would </w:t>
      </w:r>
      <w:r w:rsidR="00CA4E9D">
        <w:rPr>
          <w:noProof/>
          <w:sz w:val="24"/>
          <w:szCs w:val="24"/>
        </w:rPr>
        <w:t xml:space="preserve">potentially lead to an </w:t>
      </w:r>
      <w:r w:rsidRPr="00C80854">
        <w:rPr>
          <w:noProof/>
          <w:sz w:val="24"/>
          <w:szCs w:val="24"/>
        </w:rPr>
        <w:t xml:space="preserve">increase </w:t>
      </w:r>
      <w:r w:rsidR="00DF4DD0">
        <w:rPr>
          <w:noProof/>
          <w:sz w:val="24"/>
          <w:szCs w:val="24"/>
        </w:rPr>
        <w:t xml:space="preserve">of 1% </w:t>
      </w:r>
      <w:r w:rsidR="00CA4E9D">
        <w:rPr>
          <w:noProof/>
          <w:sz w:val="24"/>
          <w:szCs w:val="24"/>
        </w:rPr>
        <w:t xml:space="preserve">in </w:t>
      </w:r>
      <w:r w:rsidR="00E21BE4">
        <w:rPr>
          <w:noProof/>
          <w:sz w:val="24"/>
          <w:szCs w:val="24"/>
        </w:rPr>
        <w:t xml:space="preserve">the </w:t>
      </w:r>
      <w:r w:rsidR="00E913B9">
        <w:rPr>
          <w:noProof/>
          <w:sz w:val="24"/>
          <w:szCs w:val="24"/>
        </w:rPr>
        <w:t xml:space="preserve">annual </w:t>
      </w:r>
      <w:r w:rsidR="00E21BE4">
        <w:rPr>
          <w:noProof/>
          <w:sz w:val="24"/>
          <w:szCs w:val="24"/>
        </w:rPr>
        <w:t xml:space="preserve">number of </w:t>
      </w:r>
      <w:r w:rsidR="00DF4DD0">
        <w:rPr>
          <w:noProof/>
          <w:sz w:val="24"/>
          <w:szCs w:val="24"/>
        </w:rPr>
        <w:t>in-court and out-of-court cases</w:t>
      </w:r>
      <w:r w:rsidRPr="00C80854">
        <w:rPr>
          <w:noProof/>
          <w:sz w:val="24"/>
          <w:szCs w:val="24"/>
        </w:rPr>
        <w:t xml:space="preserve">. </w:t>
      </w:r>
      <w:r w:rsidR="00EB2668">
        <w:rPr>
          <w:noProof/>
          <w:sz w:val="24"/>
          <w:szCs w:val="24"/>
        </w:rPr>
        <w:t>V</w:t>
      </w:r>
      <w:r w:rsidRPr="00C80854">
        <w:rPr>
          <w:noProof/>
          <w:sz w:val="24"/>
          <w:szCs w:val="24"/>
        </w:rPr>
        <w:t xml:space="preserve">ictims who could not </w:t>
      </w:r>
      <w:r w:rsidR="00EB2668">
        <w:rPr>
          <w:noProof/>
          <w:sz w:val="24"/>
          <w:szCs w:val="24"/>
        </w:rPr>
        <w:t>have claimed</w:t>
      </w:r>
      <w:r w:rsidRPr="00C80854">
        <w:rPr>
          <w:noProof/>
          <w:sz w:val="24"/>
          <w:szCs w:val="24"/>
        </w:rPr>
        <w:t xml:space="preserve"> compensation under the current PLD</w:t>
      </w:r>
      <w:r w:rsidR="00EB2668">
        <w:rPr>
          <w:noProof/>
          <w:sz w:val="24"/>
          <w:szCs w:val="24"/>
        </w:rPr>
        <w:t>, and who may well not have had any enforceable claim against</w:t>
      </w:r>
      <w:r w:rsidRPr="00C80854">
        <w:rPr>
          <w:noProof/>
          <w:sz w:val="24"/>
          <w:szCs w:val="24"/>
        </w:rPr>
        <w:t xml:space="preserve"> </w:t>
      </w:r>
      <w:r w:rsidR="00EB2668">
        <w:rPr>
          <w:noProof/>
          <w:sz w:val="24"/>
          <w:szCs w:val="24"/>
        </w:rPr>
        <w:t xml:space="preserve">any wrongdoer under national rules, </w:t>
      </w:r>
      <w:r w:rsidRPr="00C80854">
        <w:rPr>
          <w:noProof/>
          <w:sz w:val="24"/>
          <w:szCs w:val="24"/>
        </w:rPr>
        <w:t xml:space="preserve">would be entitled </w:t>
      </w:r>
      <w:r w:rsidR="00CB59E5">
        <w:rPr>
          <w:noProof/>
          <w:sz w:val="24"/>
          <w:szCs w:val="24"/>
        </w:rPr>
        <w:t xml:space="preserve">to make </w:t>
      </w:r>
      <w:r w:rsidRPr="00C80854">
        <w:rPr>
          <w:noProof/>
          <w:sz w:val="24"/>
          <w:szCs w:val="24"/>
        </w:rPr>
        <w:t xml:space="preserve">a claim </w:t>
      </w:r>
      <w:r w:rsidR="00CB59E5">
        <w:rPr>
          <w:noProof/>
          <w:sz w:val="24"/>
          <w:szCs w:val="24"/>
        </w:rPr>
        <w:t>under</w:t>
      </w:r>
      <w:r w:rsidRPr="00C80854">
        <w:rPr>
          <w:noProof/>
          <w:sz w:val="24"/>
          <w:szCs w:val="24"/>
        </w:rPr>
        <w:t xml:space="preserve"> PO1a.</w:t>
      </w:r>
    </w:p>
    <w:p w14:paraId="373FB9FF" w14:textId="394E4964" w:rsidR="00112212" w:rsidRPr="00C80854" w:rsidRDefault="00EE7DA7"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Taking all this into account, u</w:t>
      </w:r>
      <w:r w:rsidR="00112212" w:rsidRPr="005833F7">
        <w:rPr>
          <w:noProof/>
          <w:sz w:val="24"/>
          <w:szCs w:val="24"/>
        </w:rPr>
        <w:t>nder PO1a</w:t>
      </w:r>
      <w:r>
        <w:rPr>
          <w:noProof/>
          <w:sz w:val="24"/>
          <w:szCs w:val="24"/>
        </w:rPr>
        <w:t xml:space="preserve"> the</w:t>
      </w:r>
      <w:r w:rsidR="00112212" w:rsidRPr="005833F7">
        <w:rPr>
          <w:noProof/>
          <w:sz w:val="24"/>
          <w:szCs w:val="24"/>
        </w:rPr>
        <w:t xml:space="preserve"> total </w:t>
      </w:r>
      <w:r w:rsidR="00112212" w:rsidRPr="0086429B">
        <w:rPr>
          <w:b/>
          <w:noProof/>
          <w:sz w:val="24"/>
          <w:szCs w:val="24"/>
        </w:rPr>
        <w:t>annual</w:t>
      </w:r>
      <w:r w:rsidR="00112212">
        <w:rPr>
          <w:noProof/>
          <w:sz w:val="24"/>
          <w:szCs w:val="24"/>
        </w:rPr>
        <w:t xml:space="preserve"> </w:t>
      </w:r>
      <w:r w:rsidR="00112212">
        <w:rPr>
          <w:b/>
          <w:noProof/>
          <w:sz w:val="24"/>
          <w:szCs w:val="24"/>
        </w:rPr>
        <w:t>legal</w:t>
      </w:r>
      <w:r w:rsidR="00112212" w:rsidRPr="00C94C14">
        <w:rPr>
          <w:b/>
          <w:noProof/>
          <w:sz w:val="24"/>
          <w:szCs w:val="24"/>
        </w:rPr>
        <w:t xml:space="preserve"> costs</w:t>
      </w:r>
      <w:r w:rsidR="00112212">
        <w:rPr>
          <w:noProof/>
          <w:sz w:val="24"/>
          <w:szCs w:val="24"/>
        </w:rPr>
        <w:t xml:space="preserve"> </w:t>
      </w:r>
      <w:r w:rsidR="00112212" w:rsidRPr="005833F7">
        <w:rPr>
          <w:noProof/>
          <w:sz w:val="24"/>
          <w:szCs w:val="24"/>
        </w:rPr>
        <w:t xml:space="preserve">are </w:t>
      </w:r>
      <w:r w:rsidR="00F34687">
        <w:rPr>
          <w:noProof/>
          <w:sz w:val="24"/>
          <w:szCs w:val="24"/>
        </w:rPr>
        <w:t>assessed</w:t>
      </w:r>
      <w:r w:rsidR="00112212" w:rsidRPr="005833F7">
        <w:rPr>
          <w:noProof/>
          <w:sz w:val="24"/>
          <w:szCs w:val="24"/>
        </w:rPr>
        <w:t xml:space="preserve"> to </w:t>
      </w:r>
      <w:r w:rsidR="00112212">
        <w:rPr>
          <w:noProof/>
          <w:sz w:val="24"/>
          <w:szCs w:val="24"/>
        </w:rPr>
        <w:t xml:space="preserve">slightly </w:t>
      </w:r>
      <w:r w:rsidR="006D6D74">
        <w:rPr>
          <w:noProof/>
          <w:sz w:val="24"/>
          <w:szCs w:val="24"/>
        </w:rPr>
        <w:t>increase</w:t>
      </w:r>
      <w:r w:rsidR="006D6D74" w:rsidRPr="005833F7">
        <w:rPr>
          <w:noProof/>
          <w:sz w:val="24"/>
          <w:szCs w:val="24"/>
        </w:rPr>
        <w:t xml:space="preserve"> </w:t>
      </w:r>
      <w:r w:rsidR="00112212" w:rsidRPr="005833F7">
        <w:rPr>
          <w:noProof/>
          <w:sz w:val="24"/>
          <w:szCs w:val="24"/>
        </w:rPr>
        <w:t>incrementally compared to the baseline</w:t>
      </w:r>
      <w:r w:rsidR="00962B7B">
        <w:rPr>
          <w:noProof/>
          <w:sz w:val="24"/>
          <w:szCs w:val="24"/>
        </w:rPr>
        <w:t xml:space="preserve">, with an increase ranging </w:t>
      </w:r>
      <w:r w:rsidR="00284428">
        <w:rPr>
          <w:noProof/>
          <w:sz w:val="24"/>
          <w:szCs w:val="24"/>
        </w:rPr>
        <w:t>between</w:t>
      </w:r>
      <w:r w:rsidR="00284428" w:rsidRPr="00613A3D">
        <w:rPr>
          <w:noProof/>
          <w:sz w:val="24"/>
          <w:szCs w:val="24"/>
        </w:rPr>
        <w:t xml:space="preserve"> </w:t>
      </w:r>
      <w:r w:rsidR="00112212">
        <w:rPr>
          <w:noProof/>
          <w:sz w:val="24"/>
          <w:szCs w:val="24"/>
        </w:rPr>
        <w:t>0.</w:t>
      </w:r>
      <w:r w:rsidR="00D33490">
        <w:rPr>
          <w:noProof/>
          <w:sz w:val="24"/>
          <w:szCs w:val="24"/>
        </w:rPr>
        <w:t>41</w:t>
      </w:r>
      <w:r w:rsidR="00D33490" w:rsidRPr="00F04479">
        <w:rPr>
          <w:noProof/>
          <w:sz w:val="24"/>
          <w:szCs w:val="24"/>
        </w:rPr>
        <w:t xml:space="preserve"> </w:t>
      </w:r>
      <w:r w:rsidR="00112212" w:rsidRPr="00F04479">
        <w:rPr>
          <w:noProof/>
          <w:sz w:val="24"/>
          <w:szCs w:val="24"/>
        </w:rPr>
        <w:t xml:space="preserve">to </w:t>
      </w:r>
      <w:r w:rsidR="00D33490">
        <w:rPr>
          <w:noProof/>
          <w:sz w:val="24"/>
          <w:szCs w:val="24"/>
        </w:rPr>
        <w:t>1.02</w:t>
      </w:r>
      <w:r w:rsidR="006D6D74" w:rsidRPr="00394F43">
        <w:rPr>
          <w:noProof/>
          <w:sz w:val="24"/>
          <w:szCs w:val="24"/>
        </w:rPr>
        <w:t xml:space="preserve"> </w:t>
      </w:r>
      <w:r w:rsidR="00112212" w:rsidRPr="00394F43">
        <w:rPr>
          <w:noProof/>
          <w:sz w:val="24"/>
          <w:szCs w:val="24"/>
        </w:rPr>
        <w:t>EUR</w:t>
      </w:r>
      <w:r w:rsidR="00112212" w:rsidRPr="005833F7">
        <w:rPr>
          <w:noProof/>
          <w:sz w:val="24"/>
          <w:szCs w:val="24"/>
        </w:rPr>
        <w:t xml:space="preserve"> million</w:t>
      </w:r>
      <w:r w:rsidR="00112212">
        <w:rPr>
          <w:noProof/>
          <w:sz w:val="24"/>
          <w:szCs w:val="24"/>
        </w:rPr>
        <w:t>.</w:t>
      </w:r>
      <w:r w:rsidR="009D2530" w:rsidRPr="009D2530">
        <w:rPr>
          <w:noProof/>
          <w:sz w:val="24"/>
          <w:szCs w:val="24"/>
        </w:rPr>
        <w:t xml:space="preserve"> </w:t>
      </w:r>
    </w:p>
    <w:p w14:paraId="7F2B14A7" w14:textId="77777777" w:rsidR="00C80854" w:rsidRPr="00C80854" w:rsidRDefault="00C80854" w:rsidP="008E7764">
      <w:pPr>
        <w:spacing w:after="240" w:line="240" w:lineRule="auto"/>
        <w:jc w:val="both"/>
        <w:rPr>
          <w:rFonts w:cstheme="minorHAnsi"/>
          <w:b/>
          <w:bCs/>
          <w:noProof/>
          <w:color w:val="242424"/>
          <w:sz w:val="24"/>
          <w:szCs w:val="24"/>
          <w:u w:val="single"/>
          <w:shd w:val="clear" w:color="auto" w:fill="FFFFFF"/>
        </w:rPr>
      </w:pPr>
      <w:r w:rsidRPr="00C80854">
        <w:rPr>
          <w:rFonts w:cstheme="minorHAnsi"/>
          <w:b/>
          <w:bCs/>
          <w:noProof/>
          <w:color w:val="242424"/>
          <w:sz w:val="24"/>
          <w:szCs w:val="24"/>
          <w:u w:val="single"/>
          <w:shd w:val="clear" w:color="auto" w:fill="FFFFFF"/>
        </w:rPr>
        <w:t>Social impacts</w:t>
      </w:r>
    </w:p>
    <w:p w14:paraId="32C4415B" w14:textId="77777777" w:rsidR="00C80854" w:rsidRPr="008E7764" w:rsidRDefault="00C80854" w:rsidP="00DD3B24">
      <w:pPr>
        <w:pStyle w:val="ListParagraph"/>
        <w:numPr>
          <w:ilvl w:val="0"/>
          <w:numId w:val="11"/>
        </w:numPr>
        <w:spacing w:after="120"/>
        <w:jc w:val="both"/>
        <w:rPr>
          <w:rFonts w:cstheme="minorHAnsi"/>
          <w:b/>
          <w:bCs/>
          <w:noProof/>
          <w:color w:val="242424"/>
          <w:sz w:val="24"/>
          <w:szCs w:val="24"/>
          <w:shd w:val="clear" w:color="auto" w:fill="FFFFFF"/>
        </w:rPr>
      </w:pPr>
      <w:r w:rsidRPr="008E7764">
        <w:rPr>
          <w:rFonts w:cstheme="minorHAnsi"/>
          <w:b/>
          <w:bCs/>
          <w:noProof/>
          <w:color w:val="242424"/>
          <w:sz w:val="24"/>
          <w:szCs w:val="24"/>
          <w:shd w:val="clear" w:color="auto" w:fill="FFFFFF"/>
        </w:rPr>
        <w:t>Impacts on consumers</w:t>
      </w:r>
    </w:p>
    <w:p w14:paraId="688F869D" w14:textId="2798FCC8" w:rsidR="0011642D" w:rsidRDefault="00C80854" w:rsidP="0011642D">
      <w:pPr>
        <w:spacing w:after="240" w:line="240" w:lineRule="auto"/>
        <w:jc w:val="both"/>
        <w:rPr>
          <w:noProof/>
          <w:sz w:val="24"/>
          <w:szCs w:val="24"/>
        </w:rPr>
      </w:pPr>
      <w:r w:rsidRPr="00C80854">
        <w:rPr>
          <w:rFonts w:cs="Times New Roman"/>
          <w:noProof/>
          <w:sz w:val="24"/>
          <w:szCs w:val="24"/>
        </w:rPr>
        <w:t>PO1a would benefit consumers</w:t>
      </w:r>
      <w:r w:rsidR="009A7D48">
        <w:rPr>
          <w:rFonts w:cs="Times New Roman"/>
          <w:noProof/>
          <w:sz w:val="24"/>
          <w:szCs w:val="24"/>
        </w:rPr>
        <w:t xml:space="preserve"> and indeed any person harmed by a defective product</w:t>
      </w:r>
      <w:r w:rsidR="00CB59E5">
        <w:rPr>
          <w:rFonts w:cs="Times New Roman"/>
          <w:noProof/>
          <w:sz w:val="24"/>
          <w:szCs w:val="24"/>
        </w:rPr>
        <w:t xml:space="preserve">, as they would have a </w:t>
      </w:r>
      <w:r w:rsidR="00FE2089">
        <w:rPr>
          <w:rFonts w:cs="Times New Roman"/>
          <w:noProof/>
          <w:sz w:val="24"/>
          <w:szCs w:val="24"/>
        </w:rPr>
        <w:t xml:space="preserve">clear </w:t>
      </w:r>
      <w:r w:rsidR="00CB59E5">
        <w:rPr>
          <w:rFonts w:cs="Times New Roman"/>
          <w:noProof/>
          <w:sz w:val="24"/>
          <w:szCs w:val="24"/>
        </w:rPr>
        <w:t>route to compensation without having to prove fault</w:t>
      </w:r>
      <w:r w:rsidR="00FE2089">
        <w:rPr>
          <w:rFonts w:cs="Times New Roman"/>
          <w:noProof/>
          <w:sz w:val="24"/>
          <w:szCs w:val="24"/>
        </w:rPr>
        <w:t>:</w:t>
      </w:r>
      <w:r w:rsidR="00CB59E5">
        <w:rPr>
          <w:rFonts w:cs="Times New Roman"/>
          <w:noProof/>
          <w:sz w:val="24"/>
          <w:szCs w:val="24"/>
        </w:rPr>
        <w:t xml:space="preserve"> </w:t>
      </w:r>
      <w:r w:rsidR="002D18B6">
        <w:rPr>
          <w:rFonts w:cs="Times New Roman"/>
          <w:noProof/>
          <w:sz w:val="24"/>
          <w:szCs w:val="24"/>
        </w:rPr>
        <w:t xml:space="preserve">i) </w:t>
      </w:r>
      <w:r w:rsidR="001351FD">
        <w:rPr>
          <w:rFonts w:cs="Times New Roman"/>
          <w:noProof/>
          <w:sz w:val="24"/>
          <w:szCs w:val="24"/>
        </w:rPr>
        <w:t xml:space="preserve">where </w:t>
      </w:r>
      <w:r w:rsidR="009A7D48">
        <w:rPr>
          <w:rFonts w:cs="Times New Roman"/>
          <w:noProof/>
          <w:sz w:val="24"/>
          <w:szCs w:val="24"/>
        </w:rPr>
        <w:t>defects relating to</w:t>
      </w:r>
      <w:r w:rsidR="00CB59E5">
        <w:rPr>
          <w:rFonts w:cs="Times New Roman"/>
          <w:noProof/>
          <w:sz w:val="24"/>
          <w:szCs w:val="24"/>
        </w:rPr>
        <w:t xml:space="preserve"> software or digital service</w:t>
      </w:r>
      <w:r w:rsidR="009A7D48">
        <w:rPr>
          <w:rFonts w:cs="Times New Roman"/>
          <w:noProof/>
          <w:sz w:val="24"/>
          <w:szCs w:val="24"/>
        </w:rPr>
        <w:t xml:space="preserve">s </w:t>
      </w:r>
      <w:r w:rsidR="00CB59E5">
        <w:rPr>
          <w:rFonts w:cs="Times New Roman"/>
          <w:noProof/>
          <w:sz w:val="24"/>
          <w:szCs w:val="24"/>
        </w:rPr>
        <w:t>emerged after the product was put into circulation</w:t>
      </w:r>
      <w:r w:rsidRPr="00C80854">
        <w:rPr>
          <w:rStyle w:val="FootnoteReference"/>
          <w:noProof/>
          <w:sz w:val="24"/>
          <w:szCs w:val="24"/>
        </w:rPr>
        <w:footnoteReference w:id="196"/>
      </w:r>
      <w:r w:rsidR="002D18B6">
        <w:rPr>
          <w:rFonts w:cs="Times New Roman"/>
          <w:noProof/>
          <w:sz w:val="24"/>
          <w:szCs w:val="24"/>
        </w:rPr>
        <w:t xml:space="preserve">, ii) in the case of </w:t>
      </w:r>
      <w:r w:rsidR="00E8217F">
        <w:rPr>
          <w:rFonts w:cs="Times New Roman"/>
          <w:noProof/>
          <w:sz w:val="24"/>
          <w:szCs w:val="24"/>
        </w:rPr>
        <w:t>defect</w:t>
      </w:r>
      <w:r w:rsidR="00B350E6">
        <w:rPr>
          <w:rFonts w:cs="Times New Roman"/>
          <w:noProof/>
          <w:sz w:val="24"/>
          <w:szCs w:val="24"/>
        </w:rPr>
        <w:t>ive</w:t>
      </w:r>
      <w:r w:rsidR="00E8217F">
        <w:rPr>
          <w:rFonts w:cs="Times New Roman"/>
          <w:noProof/>
          <w:sz w:val="24"/>
          <w:szCs w:val="24"/>
        </w:rPr>
        <w:t xml:space="preserve"> refurbished or remanufactured products</w:t>
      </w:r>
      <w:r w:rsidR="002D18B6">
        <w:rPr>
          <w:rFonts w:cs="Times New Roman"/>
          <w:noProof/>
          <w:sz w:val="24"/>
          <w:szCs w:val="24"/>
        </w:rPr>
        <w:t>; iii) in the case of</w:t>
      </w:r>
      <w:r w:rsidR="00FE2089">
        <w:rPr>
          <w:rFonts w:cs="Times New Roman"/>
          <w:noProof/>
          <w:sz w:val="24"/>
          <w:szCs w:val="24"/>
        </w:rPr>
        <w:t xml:space="preserve"> </w:t>
      </w:r>
      <w:r w:rsidR="002D18B6">
        <w:rPr>
          <w:rFonts w:cs="Times New Roman"/>
          <w:noProof/>
          <w:sz w:val="24"/>
          <w:szCs w:val="24"/>
        </w:rPr>
        <w:t xml:space="preserve">defective </w:t>
      </w:r>
      <w:r w:rsidR="00FE2089">
        <w:rPr>
          <w:rFonts w:cs="Times New Roman"/>
          <w:noProof/>
          <w:sz w:val="24"/>
          <w:szCs w:val="24"/>
        </w:rPr>
        <w:t>products purchased directly from third-country producers</w:t>
      </w:r>
      <w:r w:rsidR="002D18B6">
        <w:rPr>
          <w:rFonts w:cs="Times New Roman"/>
          <w:noProof/>
          <w:sz w:val="24"/>
          <w:szCs w:val="24"/>
        </w:rPr>
        <w:t>.</w:t>
      </w:r>
      <w:r w:rsidR="00FE2089">
        <w:rPr>
          <w:rFonts w:cs="Times New Roman"/>
          <w:noProof/>
          <w:sz w:val="24"/>
          <w:szCs w:val="24"/>
        </w:rPr>
        <w:t xml:space="preserve"> </w:t>
      </w:r>
      <w:r w:rsidR="0092003F">
        <w:rPr>
          <w:noProof/>
          <w:sz w:val="24"/>
          <w:szCs w:val="24"/>
        </w:rPr>
        <w:t>In line with the impacts on the judicial system described above,</w:t>
      </w:r>
      <w:r w:rsidR="00B676B2">
        <w:rPr>
          <w:noProof/>
          <w:sz w:val="24"/>
          <w:szCs w:val="24"/>
        </w:rPr>
        <w:t xml:space="preserve"> </w:t>
      </w:r>
      <w:r w:rsidR="0092003F">
        <w:rPr>
          <w:noProof/>
          <w:sz w:val="24"/>
          <w:szCs w:val="24"/>
        </w:rPr>
        <w:t xml:space="preserve">the </w:t>
      </w:r>
      <w:r w:rsidR="00B676B2">
        <w:rPr>
          <w:noProof/>
          <w:sz w:val="24"/>
          <w:szCs w:val="24"/>
        </w:rPr>
        <w:t xml:space="preserve">greater proportion </w:t>
      </w:r>
      <w:r w:rsidR="0092003F">
        <w:rPr>
          <w:noProof/>
          <w:sz w:val="24"/>
          <w:szCs w:val="24"/>
        </w:rPr>
        <w:t xml:space="preserve">of cases </w:t>
      </w:r>
      <w:r w:rsidR="00B676B2">
        <w:rPr>
          <w:noProof/>
          <w:sz w:val="24"/>
          <w:szCs w:val="24"/>
        </w:rPr>
        <w:t>brought under the PLD</w:t>
      </w:r>
      <w:r w:rsidR="0092003F">
        <w:rPr>
          <w:noProof/>
          <w:sz w:val="24"/>
          <w:szCs w:val="24"/>
        </w:rPr>
        <w:t xml:space="preserve"> would mean greater</w:t>
      </w:r>
      <w:r w:rsidR="00B676B2">
        <w:rPr>
          <w:noProof/>
          <w:sz w:val="24"/>
          <w:szCs w:val="24"/>
        </w:rPr>
        <w:t xml:space="preserve"> chance</w:t>
      </w:r>
      <w:r w:rsidR="004A608E">
        <w:rPr>
          <w:noProof/>
          <w:sz w:val="24"/>
          <w:szCs w:val="24"/>
        </w:rPr>
        <w:t>s</w:t>
      </w:r>
      <w:r w:rsidR="00B676B2">
        <w:rPr>
          <w:noProof/>
          <w:sz w:val="24"/>
          <w:szCs w:val="24"/>
        </w:rPr>
        <w:t xml:space="preserve"> of </w:t>
      </w:r>
      <w:r w:rsidR="00F040D6">
        <w:rPr>
          <w:noProof/>
          <w:sz w:val="24"/>
          <w:szCs w:val="24"/>
        </w:rPr>
        <w:t xml:space="preserve">getting compensation </w:t>
      </w:r>
      <w:r w:rsidR="00B676B2">
        <w:rPr>
          <w:noProof/>
          <w:sz w:val="24"/>
          <w:szCs w:val="24"/>
        </w:rPr>
        <w:t>thanks to not having to prove fault.</w:t>
      </w:r>
      <w:r w:rsidR="00402CDB">
        <w:rPr>
          <w:noProof/>
          <w:sz w:val="24"/>
          <w:szCs w:val="24"/>
        </w:rPr>
        <w:t xml:space="preserve"> </w:t>
      </w:r>
      <w:r w:rsidR="006A780E">
        <w:rPr>
          <w:rFonts w:cs="Times New Roman"/>
          <w:noProof/>
          <w:sz w:val="24"/>
          <w:szCs w:val="24"/>
        </w:rPr>
        <w:t>The deterrent effect of no-fault liability can be expected to have a positive impact on product safety and therefore consumer protection</w:t>
      </w:r>
      <w:r w:rsidR="00E047F6">
        <w:rPr>
          <w:rFonts w:cs="Times New Roman"/>
          <w:noProof/>
          <w:sz w:val="24"/>
          <w:szCs w:val="24"/>
        </w:rPr>
        <w:t xml:space="preserve"> – this is </w:t>
      </w:r>
      <w:r w:rsidR="004F0DA2">
        <w:rPr>
          <w:rFonts w:cs="Times New Roman"/>
          <w:noProof/>
          <w:sz w:val="24"/>
          <w:szCs w:val="24"/>
        </w:rPr>
        <w:t xml:space="preserve">further reflected </w:t>
      </w:r>
      <w:r w:rsidR="006A780E">
        <w:rPr>
          <w:rFonts w:cs="Times New Roman"/>
          <w:noProof/>
          <w:sz w:val="24"/>
          <w:szCs w:val="24"/>
        </w:rPr>
        <w:t>under ‘impacts on internal market and competitiveness’ above</w:t>
      </w:r>
      <w:r w:rsidR="004F0DA2">
        <w:rPr>
          <w:rStyle w:val="FootnoteReference"/>
          <w:noProof/>
          <w:sz w:val="24"/>
          <w:szCs w:val="24"/>
        </w:rPr>
        <w:footnoteReference w:id="197"/>
      </w:r>
      <w:r w:rsidR="006A780E">
        <w:rPr>
          <w:rFonts w:cs="Times New Roman"/>
          <w:noProof/>
          <w:sz w:val="24"/>
          <w:szCs w:val="24"/>
        </w:rPr>
        <w:t xml:space="preserve">. </w:t>
      </w:r>
      <w:r w:rsidR="0011642D">
        <w:rPr>
          <w:noProof/>
          <w:sz w:val="24"/>
          <w:szCs w:val="24"/>
        </w:rPr>
        <w:t xml:space="preserve">PO1a would not affect the average compensation pay-outs to victims. </w:t>
      </w:r>
    </w:p>
    <w:p w14:paraId="5569483A" w14:textId="71BDEB2D" w:rsidR="009543CC" w:rsidRPr="00C42E15" w:rsidRDefault="00EE7DA7"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Taking all this into account, u</w:t>
      </w:r>
      <w:r w:rsidR="009543CC" w:rsidRPr="00613A3D">
        <w:rPr>
          <w:noProof/>
          <w:sz w:val="24"/>
          <w:szCs w:val="24"/>
        </w:rPr>
        <w:t xml:space="preserve">nder PO1a the total </w:t>
      </w:r>
      <w:r w:rsidR="009543CC" w:rsidRPr="00613A3D">
        <w:rPr>
          <w:b/>
          <w:noProof/>
          <w:sz w:val="24"/>
          <w:szCs w:val="24"/>
        </w:rPr>
        <w:t xml:space="preserve">annual compensation paid to victims </w:t>
      </w:r>
      <w:r w:rsidR="007161A6" w:rsidRPr="007161A6">
        <w:rPr>
          <w:noProof/>
          <w:sz w:val="24"/>
          <w:szCs w:val="24"/>
        </w:rPr>
        <w:t>is</w:t>
      </w:r>
      <w:r w:rsidR="009543CC" w:rsidRPr="00613A3D">
        <w:rPr>
          <w:noProof/>
          <w:sz w:val="24"/>
          <w:szCs w:val="24"/>
        </w:rPr>
        <w:t xml:space="preserve"> </w:t>
      </w:r>
      <w:r w:rsidR="00F34687">
        <w:rPr>
          <w:noProof/>
          <w:sz w:val="24"/>
          <w:szCs w:val="24"/>
        </w:rPr>
        <w:t>assessed</w:t>
      </w:r>
      <w:r w:rsidR="009543CC" w:rsidRPr="00613A3D">
        <w:rPr>
          <w:noProof/>
          <w:sz w:val="24"/>
          <w:szCs w:val="24"/>
        </w:rPr>
        <w:t xml:space="preserve"> to increase incrementally compared to the baseline, </w:t>
      </w:r>
      <w:r w:rsidR="009543CC">
        <w:rPr>
          <w:noProof/>
          <w:sz w:val="24"/>
          <w:szCs w:val="24"/>
        </w:rPr>
        <w:t>with an increase ranging between</w:t>
      </w:r>
      <w:r w:rsidR="009543CC" w:rsidRPr="00613A3D">
        <w:rPr>
          <w:noProof/>
          <w:sz w:val="24"/>
          <w:szCs w:val="24"/>
        </w:rPr>
        <w:t xml:space="preserve"> </w:t>
      </w:r>
      <w:r w:rsidR="009543CC" w:rsidRPr="006C16FA">
        <w:rPr>
          <w:noProof/>
          <w:sz w:val="24"/>
          <w:szCs w:val="24"/>
        </w:rPr>
        <w:t>0.0</w:t>
      </w:r>
      <w:r w:rsidR="00D33490">
        <w:rPr>
          <w:noProof/>
          <w:sz w:val="24"/>
          <w:szCs w:val="24"/>
        </w:rPr>
        <w:t>7</w:t>
      </w:r>
      <w:r w:rsidR="009543CC" w:rsidRPr="006C16FA">
        <w:rPr>
          <w:noProof/>
          <w:sz w:val="24"/>
          <w:szCs w:val="24"/>
        </w:rPr>
        <w:t xml:space="preserve"> to </w:t>
      </w:r>
      <w:r w:rsidR="00BC7222">
        <w:rPr>
          <w:noProof/>
          <w:sz w:val="24"/>
          <w:szCs w:val="24"/>
        </w:rPr>
        <w:t>1</w:t>
      </w:r>
      <w:r w:rsidR="00D33490">
        <w:rPr>
          <w:noProof/>
          <w:sz w:val="24"/>
          <w:szCs w:val="24"/>
        </w:rPr>
        <w:t>4.47</w:t>
      </w:r>
      <w:r w:rsidR="009543CC" w:rsidRPr="006C16FA">
        <w:rPr>
          <w:noProof/>
          <w:sz w:val="24"/>
          <w:szCs w:val="24"/>
        </w:rPr>
        <w:t xml:space="preserve"> EUR million</w:t>
      </w:r>
      <w:r w:rsidR="00853983">
        <w:rPr>
          <w:rStyle w:val="FootnoteReference"/>
          <w:noProof/>
          <w:sz w:val="24"/>
          <w:szCs w:val="24"/>
        </w:rPr>
        <w:footnoteReference w:id="198"/>
      </w:r>
      <w:r w:rsidR="008E2E0F" w:rsidRPr="008E2E0F">
        <w:rPr>
          <w:noProof/>
          <w:sz w:val="24"/>
          <w:szCs w:val="24"/>
        </w:rPr>
        <w:t>.</w:t>
      </w:r>
      <w:r w:rsidR="00B4261C">
        <w:rPr>
          <w:noProof/>
          <w:sz w:val="24"/>
          <w:szCs w:val="24"/>
        </w:rPr>
        <w:t xml:space="preserve"> </w:t>
      </w:r>
    </w:p>
    <w:p w14:paraId="00E13957" w14:textId="77777777" w:rsidR="00C80854" w:rsidRPr="00C80854" w:rsidRDefault="00C80854" w:rsidP="00DD3B24">
      <w:pPr>
        <w:pStyle w:val="ListParagraph"/>
        <w:numPr>
          <w:ilvl w:val="0"/>
          <w:numId w:val="11"/>
        </w:numPr>
        <w:spacing w:after="120"/>
        <w:jc w:val="both"/>
        <w:rPr>
          <w:rFonts w:cstheme="minorHAnsi"/>
          <w:b/>
          <w:bCs/>
          <w:noProof/>
          <w:color w:val="242424"/>
          <w:sz w:val="24"/>
          <w:szCs w:val="24"/>
          <w:shd w:val="clear" w:color="auto" w:fill="FFFFFF"/>
        </w:rPr>
      </w:pPr>
      <w:r w:rsidRPr="00C80854">
        <w:rPr>
          <w:rFonts w:cstheme="minorHAnsi"/>
          <w:b/>
          <w:bCs/>
          <w:noProof/>
          <w:color w:val="242424"/>
          <w:sz w:val="24"/>
          <w:szCs w:val="24"/>
          <w:shd w:val="clear" w:color="auto" w:fill="FFFFFF"/>
        </w:rPr>
        <w:t xml:space="preserve">Impacts on employment and fundamental rights </w:t>
      </w:r>
    </w:p>
    <w:p w14:paraId="5B616C3C" w14:textId="064F70B2" w:rsidR="00C80854" w:rsidRPr="00C80854" w:rsidRDefault="00A57884" w:rsidP="008E7764">
      <w:pPr>
        <w:spacing w:after="240" w:line="240" w:lineRule="auto"/>
        <w:jc w:val="both"/>
        <w:rPr>
          <w:noProof/>
          <w:sz w:val="24"/>
          <w:szCs w:val="24"/>
        </w:rPr>
      </w:pPr>
      <w:r>
        <w:rPr>
          <w:noProof/>
          <w:sz w:val="24"/>
          <w:szCs w:val="24"/>
        </w:rPr>
        <w:t xml:space="preserve">No </w:t>
      </w:r>
      <w:r w:rsidRPr="0039114B">
        <w:rPr>
          <w:noProof/>
          <w:sz w:val="24"/>
          <w:szCs w:val="24"/>
        </w:rPr>
        <w:t>impact</w:t>
      </w:r>
      <w:r>
        <w:rPr>
          <w:noProof/>
          <w:sz w:val="24"/>
          <w:szCs w:val="24"/>
        </w:rPr>
        <w:t>s</w:t>
      </w:r>
      <w:r w:rsidRPr="0039114B">
        <w:rPr>
          <w:noProof/>
          <w:sz w:val="24"/>
          <w:szCs w:val="24"/>
        </w:rPr>
        <w:t xml:space="preserve"> </w:t>
      </w:r>
      <w:r>
        <w:rPr>
          <w:noProof/>
          <w:sz w:val="24"/>
          <w:szCs w:val="24"/>
        </w:rPr>
        <w:t>on</w:t>
      </w:r>
      <w:r w:rsidRPr="0039114B">
        <w:rPr>
          <w:noProof/>
          <w:sz w:val="24"/>
          <w:szCs w:val="24"/>
        </w:rPr>
        <w:t xml:space="preserve"> </w:t>
      </w:r>
      <w:r>
        <w:rPr>
          <w:noProof/>
          <w:sz w:val="24"/>
          <w:szCs w:val="24"/>
        </w:rPr>
        <w:t xml:space="preserve">employment or </w:t>
      </w:r>
      <w:r w:rsidRPr="0039114B">
        <w:rPr>
          <w:noProof/>
          <w:sz w:val="24"/>
          <w:szCs w:val="24"/>
        </w:rPr>
        <w:t>fundamental rights</w:t>
      </w:r>
      <w:r>
        <w:rPr>
          <w:noProof/>
          <w:sz w:val="24"/>
          <w:szCs w:val="24"/>
        </w:rPr>
        <w:t xml:space="preserve"> were identified under PO1</w:t>
      </w:r>
      <w:r w:rsidR="00DA278D">
        <w:rPr>
          <w:noProof/>
          <w:sz w:val="24"/>
          <w:szCs w:val="24"/>
        </w:rPr>
        <w:t>a</w:t>
      </w:r>
      <w:r w:rsidRPr="0039114B">
        <w:rPr>
          <w:noProof/>
          <w:sz w:val="24"/>
          <w:szCs w:val="24"/>
        </w:rPr>
        <w:t>.</w:t>
      </w:r>
      <w:r w:rsidR="00402CDB">
        <w:rPr>
          <w:noProof/>
          <w:sz w:val="24"/>
          <w:szCs w:val="24"/>
        </w:rPr>
        <w:t xml:space="preserve"> </w:t>
      </w:r>
    </w:p>
    <w:p w14:paraId="43822B64" w14:textId="77777777" w:rsidR="00C80854" w:rsidRPr="00C80854" w:rsidRDefault="00C80854" w:rsidP="008E7764">
      <w:pPr>
        <w:spacing w:after="240" w:line="240" w:lineRule="auto"/>
        <w:jc w:val="both"/>
        <w:rPr>
          <w:rFonts w:cstheme="minorHAnsi"/>
          <w:b/>
          <w:bCs/>
          <w:noProof/>
          <w:color w:val="242424"/>
          <w:sz w:val="24"/>
          <w:szCs w:val="24"/>
          <w:u w:val="single"/>
          <w:shd w:val="clear" w:color="auto" w:fill="FFFFFF"/>
        </w:rPr>
      </w:pPr>
      <w:r w:rsidRPr="00C80854">
        <w:rPr>
          <w:rFonts w:cstheme="minorHAnsi"/>
          <w:b/>
          <w:bCs/>
          <w:noProof/>
          <w:color w:val="242424"/>
          <w:sz w:val="24"/>
          <w:szCs w:val="24"/>
          <w:u w:val="single"/>
          <w:shd w:val="clear" w:color="auto" w:fill="FFFFFF"/>
        </w:rPr>
        <w:t>Environmental impacts</w:t>
      </w:r>
    </w:p>
    <w:p w14:paraId="43FB3A68" w14:textId="516FF305" w:rsidR="00C80854" w:rsidRPr="00C80854" w:rsidRDefault="004F240A" w:rsidP="008E7764">
      <w:pPr>
        <w:spacing w:after="240" w:line="240" w:lineRule="auto"/>
        <w:jc w:val="both"/>
        <w:rPr>
          <w:noProof/>
          <w:sz w:val="24"/>
          <w:szCs w:val="24"/>
        </w:rPr>
      </w:pPr>
      <w:r w:rsidRPr="00946E7C">
        <w:rPr>
          <w:noProof/>
          <w:sz w:val="24"/>
          <w:szCs w:val="24"/>
        </w:rPr>
        <w:t>Measures relating to the circular economy are expected to have a positive environmental impact</w:t>
      </w:r>
      <w:r w:rsidR="000248B3">
        <w:rPr>
          <w:noProof/>
          <w:sz w:val="24"/>
          <w:szCs w:val="24"/>
        </w:rPr>
        <w:t>,</w:t>
      </w:r>
      <w:r w:rsidRPr="00946E7C">
        <w:rPr>
          <w:noProof/>
          <w:sz w:val="24"/>
          <w:szCs w:val="24"/>
        </w:rPr>
        <w:t xml:space="preserve"> </w:t>
      </w:r>
      <w:r w:rsidR="000248B3">
        <w:rPr>
          <w:noProof/>
          <w:sz w:val="24"/>
          <w:szCs w:val="24"/>
        </w:rPr>
        <w:t>since clearer liability rules should help promote</w:t>
      </w:r>
      <w:r w:rsidR="00956E88" w:rsidRPr="00946E7C">
        <w:rPr>
          <w:noProof/>
          <w:sz w:val="24"/>
          <w:szCs w:val="24"/>
        </w:rPr>
        <w:t xml:space="preserve"> circular business models</w:t>
      </w:r>
      <w:r w:rsidR="000248B3">
        <w:rPr>
          <w:noProof/>
          <w:sz w:val="24"/>
          <w:szCs w:val="24"/>
        </w:rPr>
        <w:t xml:space="preserve"> </w:t>
      </w:r>
      <w:r w:rsidR="003F3B23">
        <w:rPr>
          <w:noProof/>
          <w:sz w:val="24"/>
          <w:szCs w:val="24"/>
        </w:rPr>
        <w:t xml:space="preserve">which would </w:t>
      </w:r>
      <w:r w:rsidR="000248B3">
        <w:rPr>
          <w:noProof/>
          <w:sz w:val="24"/>
          <w:szCs w:val="24"/>
        </w:rPr>
        <w:t>in turn improve product sustainability and reduc</w:t>
      </w:r>
      <w:r w:rsidR="003F3B23">
        <w:rPr>
          <w:noProof/>
          <w:sz w:val="24"/>
          <w:szCs w:val="24"/>
        </w:rPr>
        <w:t>e</w:t>
      </w:r>
      <w:r w:rsidR="000248B3">
        <w:rPr>
          <w:noProof/>
          <w:sz w:val="24"/>
          <w:szCs w:val="24"/>
        </w:rPr>
        <w:t xml:space="preserve"> waste</w:t>
      </w:r>
      <w:r w:rsidRPr="00946E7C">
        <w:rPr>
          <w:noProof/>
          <w:sz w:val="24"/>
          <w:szCs w:val="24"/>
        </w:rPr>
        <w:t xml:space="preserve">. </w:t>
      </w:r>
      <w:r w:rsidR="00CE0551">
        <w:rPr>
          <w:noProof/>
          <w:sz w:val="24"/>
          <w:szCs w:val="24"/>
        </w:rPr>
        <w:t>Firstly, c</w:t>
      </w:r>
      <w:r w:rsidR="00CE0551" w:rsidRPr="00CE0551">
        <w:rPr>
          <w:noProof/>
          <w:sz w:val="24"/>
          <w:szCs w:val="24"/>
          <w:lang w:val="en-IE"/>
        </w:rPr>
        <w:t>larifying that economic operators who substantially modify products are producers under the PLD w</w:t>
      </w:r>
      <w:r w:rsidR="00CE0551">
        <w:rPr>
          <w:noProof/>
          <w:sz w:val="24"/>
          <w:szCs w:val="24"/>
          <w:lang w:val="en-IE"/>
        </w:rPr>
        <w:t>ould</w:t>
      </w:r>
      <w:r w:rsidR="00CE0551" w:rsidRPr="00CE0551">
        <w:rPr>
          <w:noProof/>
          <w:sz w:val="24"/>
          <w:szCs w:val="24"/>
          <w:lang w:val="en-IE"/>
        </w:rPr>
        <w:t xml:space="preserve"> address </w:t>
      </w:r>
      <w:r w:rsidR="00CE0551">
        <w:rPr>
          <w:noProof/>
          <w:sz w:val="24"/>
          <w:szCs w:val="24"/>
          <w:lang w:val="en-IE"/>
        </w:rPr>
        <w:t>original equipment manufacturers</w:t>
      </w:r>
      <w:r w:rsidR="00215DBB">
        <w:rPr>
          <w:noProof/>
          <w:sz w:val="24"/>
          <w:szCs w:val="24"/>
          <w:lang w:val="en-IE"/>
        </w:rPr>
        <w:t>’ fear of</w:t>
      </w:r>
      <w:r w:rsidR="00CE0551">
        <w:rPr>
          <w:noProof/>
          <w:sz w:val="24"/>
          <w:szCs w:val="24"/>
          <w:lang w:val="en-IE"/>
        </w:rPr>
        <w:t xml:space="preserve"> be</w:t>
      </w:r>
      <w:r w:rsidR="00215DBB">
        <w:rPr>
          <w:noProof/>
          <w:sz w:val="24"/>
          <w:szCs w:val="24"/>
          <w:lang w:val="en-IE"/>
        </w:rPr>
        <w:t>ing</w:t>
      </w:r>
      <w:r w:rsidR="00CE0551">
        <w:rPr>
          <w:noProof/>
          <w:sz w:val="24"/>
          <w:szCs w:val="24"/>
          <w:lang w:val="en-IE"/>
        </w:rPr>
        <w:t xml:space="preserve"> held liable for changes outside of their control </w:t>
      </w:r>
      <w:r w:rsidR="00CE0551" w:rsidRPr="00CE0551">
        <w:rPr>
          <w:noProof/>
          <w:sz w:val="24"/>
          <w:szCs w:val="24"/>
          <w:lang w:val="en-IE"/>
        </w:rPr>
        <w:t xml:space="preserve">and </w:t>
      </w:r>
      <w:r w:rsidR="00CE0551">
        <w:rPr>
          <w:noProof/>
          <w:sz w:val="24"/>
          <w:szCs w:val="24"/>
          <w:lang w:val="en-IE"/>
        </w:rPr>
        <w:t xml:space="preserve">would therefore </w:t>
      </w:r>
      <w:r w:rsidR="00CE0551" w:rsidRPr="00CE0551">
        <w:rPr>
          <w:noProof/>
          <w:sz w:val="24"/>
          <w:szCs w:val="24"/>
          <w:lang w:val="en-IE"/>
        </w:rPr>
        <w:t>help promote the independent refurbishing sector</w:t>
      </w:r>
      <w:r w:rsidR="00215DBB">
        <w:rPr>
          <w:rStyle w:val="FootnoteReference"/>
          <w:noProof/>
          <w:sz w:val="24"/>
          <w:szCs w:val="24"/>
          <w:lang w:val="en-IE"/>
        </w:rPr>
        <w:footnoteReference w:id="199"/>
      </w:r>
      <w:r w:rsidR="00CE0551" w:rsidRPr="00CE0551">
        <w:rPr>
          <w:noProof/>
          <w:sz w:val="24"/>
          <w:szCs w:val="24"/>
          <w:lang w:val="en-IE"/>
        </w:rPr>
        <w:t>. Secondly, from the consumer’s perspective a refurbisher/remanufacturer is the same as the producer of a new product, as both are expected to have been in control of the safety features of the product before distributing it. Giving consumers the same protection should promote trust in such products. These benefits to the sector and the knock-on benefits for the environment are expected to outweigh the small increase in annual liability insurance premiums associated with no-fault liability. This increase will be small, because refurbishers/remanufacturers are already liable for fault or negligence under national rules, and would qualify as producers under the PLD only if the modification they make is substantial enough to warrant treating it like a new product, in line with product safety rules.</w:t>
      </w:r>
      <w:r w:rsidR="00402CDB">
        <w:rPr>
          <w:noProof/>
          <w:sz w:val="24"/>
          <w:szCs w:val="24"/>
        </w:rPr>
        <w:t xml:space="preserve"> </w:t>
      </w:r>
      <w:r w:rsidR="00030C20">
        <w:rPr>
          <w:noProof/>
          <w:sz w:val="24"/>
          <w:szCs w:val="24"/>
        </w:rPr>
        <w:t>The measures are consistent with the Union’s climate-neutral objectives set out in the European Climate Law</w:t>
      </w:r>
      <w:r w:rsidR="00030C20">
        <w:rPr>
          <w:rStyle w:val="FootnoteReference"/>
          <w:noProof/>
          <w:sz w:val="24"/>
          <w:szCs w:val="24"/>
        </w:rPr>
        <w:footnoteReference w:id="200"/>
      </w:r>
      <w:r w:rsidR="00030C20">
        <w:rPr>
          <w:noProof/>
          <w:sz w:val="24"/>
          <w:szCs w:val="24"/>
        </w:rPr>
        <w:t xml:space="preserve">. </w:t>
      </w:r>
      <w:r w:rsidR="00FB144E" w:rsidRPr="00946E7C">
        <w:rPr>
          <w:noProof/>
          <w:sz w:val="24"/>
          <w:szCs w:val="24"/>
        </w:rPr>
        <w:t>Environmental impacts are the same in PO1b and PO1c too</w:t>
      </w:r>
      <w:r w:rsidR="00FB144E">
        <w:rPr>
          <w:noProof/>
          <w:sz w:val="24"/>
          <w:szCs w:val="24"/>
        </w:rPr>
        <w:t>.</w:t>
      </w:r>
    </w:p>
    <w:p w14:paraId="7C7F3D3B" w14:textId="7CE824BA" w:rsidR="0039114B" w:rsidRPr="0039114B" w:rsidRDefault="002E7937" w:rsidP="002E7937">
      <w:pPr>
        <w:pStyle w:val="Heading2"/>
        <w:rPr>
          <w:noProof/>
        </w:rPr>
      </w:pPr>
      <w:bookmarkStart w:id="501" w:name="_Toc95345684"/>
      <w:bookmarkStart w:id="502" w:name="_Toc95477760"/>
      <w:bookmarkStart w:id="503" w:name="_Toc95477954"/>
      <w:bookmarkStart w:id="504" w:name="_Toc95480912"/>
      <w:bookmarkStart w:id="505" w:name="_Toc95481310"/>
      <w:bookmarkStart w:id="506" w:name="_Toc95481570"/>
      <w:bookmarkStart w:id="507" w:name="_Toc95345685"/>
      <w:bookmarkStart w:id="508" w:name="_Toc95477761"/>
      <w:bookmarkStart w:id="509" w:name="_Toc95477955"/>
      <w:bookmarkStart w:id="510" w:name="_Toc95480913"/>
      <w:bookmarkStart w:id="511" w:name="_Toc95481311"/>
      <w:bookmarkStart w:id="512" w:name="_Toc95481571"/>
      <w:bookmarkStart w:id="513" w:name="_Toc95345686"/>
      <w:bookmarkStart w:id="514" w:name="_Toc95477762"/>
      <w:bookmarkStart w:id="515" w:name="_Toc95477956"/>
      <w:bookmarkStart w:id="516" w:name="_Toc95480914"/>
      <w:bookmarkStart w:id="517" w:name="_Toc95481312"/>
      <w:bookmarkStart w:id="518" w:name="_Toc95481572"/>
      <w:bookmarkStart w:id="519" w:name="_Toc95345687"/>
      <w:bookmarkStart w:id="520" w:name="_Toc95477763"/>
      <w:bookmarkStart w:id="521" w:name="_Toc95477957"/>
      <w:bookmarkStart w:id="522" w:name="_Toc95480915"/>
      <w:bookmarkStart w:id="523" w:name="_Toc95481313"/>
      <w:bookmarkStart w:id="524" w:name="_Toc95481573"/>
      <w:bookmarkStart w:id="525" w:name="_Toc94837822"/>
      <w:bookmarkStart w:id="526" w:name="_Toc95379876"/>
      <w:bookmarkStart w:id="527" w:name="_Toc95391367"/>
      <w:bookmarkStart w:id="528" w:name="_Toc95396436"/>
      <w:bookmarkStart w:id="529" w:name="_Toc95421534"/>
      <w:bookmarkStart w:id="530" w:name="_Toc95481982"/>
      <w:bookmarkStart w:id="531" w:name="_Toc96337775"/>
      <w:bookmarkStart w:id="532" w:name="_Toc96446254"/>
      <w:bookmarkStart w:id="533" w:name="_Toc96448027"/>
      <w:bookmarkStart w:id="534" w:name="_Toc96593976"/>
      <w:bookmarkStart w:id="535" w:name="_Toc96597267"/>
      <w:bookmarkStart w:id="536" w:name="_Toc96609202"/>
      <w:bookmarkStart w:id="537" w:name="_Toc97149231"/>
      <w:bookmarkStart w:id="538" w:name="_Toc97191277"/>
      <w:bookmarkStart w:id="539" w:name="_Toc107430087"/>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2E7937">
        <w:t>6.2.</w:t>
      </w:r>
      <w:r w:rsidRPr="002E7937">
        <w:tab/>
      </w:r>
      <w:r w:rsidR="0039114B" w:rsidRPr="0039114B">
        <w:rPr>
          <w:noProof/>
        </w:rPr>
        <w:t>Policy option 1b – Inclusion of safety-relevant software in its own right and adaptations for circular economy</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AEB542B" w14:textId="77777777" w:rsidR="0039114B" w:rsidRPr="0039114B" w:rsidRDefault="0039114B" w:rsidP="0039114B">
      <w:pPr>
        <w:pStyle w:val="BodyText"/>
        <w:keepNext/>
        <w:spacing w:after="240"/>
        <w:rPr>
          <w:b/>
          <w:noProof/>
          <w:sz w:val="24"/>
          <w:szCs w:val="24"/>
          <w:u w:val="single"/>
        </w:rPr>
      </w:pPr>
      <w:r w:rsidRPr="0039114B">
        <w:rPr>
          <w:b/>
          <w:noProof/>
          <w:sz w:val="24"/>
          <w:szCs w:val="24"/>
          <w:u w:val="single"/>
        </w:rPr>
        <w:t>Economic impacts</w:t>
      </w:r>
    </w:p>
    <w:p w14:paraId="4108CBF0" w14:textId="77777777" w:rsidR="0039114B" w:rsidRPr="0039114B" w:rsidRDefault="0039114B" w:rsidP="00DD3B24">
      <w:pPr>
        <w:pStyle w:val="ListParagraph"/>
        <w:keepNext/>
        <w:numPr>
          <w:ilvl w:val="0"/>
          <w:numId w:val="12"/>
        </w:numPr>
        <w:spacing w:after="120"/>
        <w:ind w:left="714" w:hanging="357"/>
        <w:jc w:val="both"/>
        <w:rPr>
          <w:b/>
          <w:noProof/>
          <w:sz w:val="24"/>
          <w:szCs w:val="24"/>
        </w:rPr>
      </w:pPr>
      <w:r w:rsidRPr="0039114B">
        <w:rPr>
          <w:rFonts w:cstheme="minorHAnsi"/>
          <w:b/>
          <w:bCs/>
          <w:noProof/>
          <w:color w:val="242424"/>
          <w:sz w:val="24"/>
          <w:szCs w:val="24"/>
          <w:shd w:val="clear" w:color="auto" w:fill="FFFFFF"/>
        </w:rPr>
        <w:t>Impacts</w:t>
      </w:r>
      <w:r w:rsidRPr="0039114B">
        <w:rPr>
          <w:b/>
          <w:noProof/>
          <w:sz w:val="24"/>
          <w:szCs w:val="24"/>
        </w:rPr>
        <w:t xml:space="preserve"> on economic operators</w:t>
      </w:r>
    </w:p>
    <w:p w14:paraId="5A3638C9" w14:textId="13915750" w:rsidR="005B6FFD" w:rsidRDefault="0039114B" w:rsidP="00C03F0F">
      <w:pPr>
        <w:pStyle w:val="BodyText"/>
        <w:spacing w:after="240"/>
        <w:rPr>
          <w:noProof/>
          <w:sz w:val="24"/>
          <w:szCs w:val="24"/>
        </w:rPr>
      </w:pPr>
      <w:r w:rsidRPr="0039114B">
        <w:rPr>
          <w:noProof/>
          <w:sz w:val="24"/>
          <w:szCs w:val="24"/>
        </w:rPr>
        <w:t xml:space="preserve">PO1b would have the same impacts in respect of </w:t>
      </w:r>
      <w:r w:rsidR="00C33787">
        <w:rPr>
          <w:noProof/>
          <w:sz w:val="24"/>
          <w:szCs w:val="24"/>
        </w:rPr>
        <w:t xml:space="preserve">circular economy aspects and </w:t>
      </w:r>
      <w:r w:rsidRPr="0039114B">
        <w:rPr>
          <w:noProof/>
          <w:sz w:val="24"/>
          <w:szCs w:val="24"/>
        </w:rPr>
        <w:t>products with digital elements</w:t>
      </w:r>
      <w:r w:rsidR="00943289">
        <w:rPr>
          <w:noProof/>
          <w:sz w:val="24"/>
          <w:szCs w:val="24"/>
        </w:rPr>
        <w:t xml:space="preserve"> as PO1a</w:t>
      </w:r>
      <w:r w:rsidRPr="0039114B">
        <w:rPr>
          <w:noProof/>
          <w:sz w:val="24"/>
          <w:szCs w:val="24"/>
        </w:rPr>
        <w:t xml:space="preserve">. But </w:t>
      </w:r>
      <w:r w:rsidR="00943289">
        <w:rPr>
          <w:noProof/>
          <w:sz w:val="24"/>
          <w:szCs w:val="24"/>
        </w:rPr>
        <w:t xml:space="preserve">under PO1b </w:t>
      </w:r>
      <w:r w:rsidR="00126A41">
        <w:rPr>
          <w:noProof/>
          <w:sz w:val="24"/>
          <w:szCs w:val="24"/>
        </w:rPr>
        <w:t xml:space="preserve">software producers </w:t>
      </w:r>
      <w:r w:rsidRPr="0039114B">
        <w:rPr>
          <w:noProof/>
          <w:sz w:val="24"/>
          <w:szCs w:val="24"/>
        </w:rPr>
        <w:t>would be more exposed to liability</w:t>
      </w:r>
      <w:r w:rsidR="005B6FFD">
        <w:rPr>
          <w:noProof/>
          <w:sz w:val="24"/>
          <w:szCs w:val="24"/>
        </w:rPr>
        <w:t xml:space="preserve"> </w:t>
      </w:r>
      <w:r w:rsidR="002B410A">
        <w:rPr>
          <w:noProof/>
          <w:sz w:val="24"/>
          <w:szCs w:val="24"/>
        </w:rPr>
        <w:t>because of the inclusion in scope of</w:t>
      </w:r>
      <w:r w:rsidR="005B6FFD">
        <w:rPr>
          <w:noProof/>
          <w:sz w:val="24"/>
          <w:szCs w:val="24"/>
        </w:rPr>
        <w:t xml:space="preserve"> add-on software</w:t>
      </w:r>
      <w:r w:rsidR="002B410A">
        <w:rPr>
          <w:noProof/>
          <w:sz w:val="24"/>
          <w:szCs w:val="24"/>
        </w:rPr>
        <w:t xml:space="preserve"> that is not necessary for a tangible product to operate</w:t>
      </w:r>
      <w:r w:rsidRPr="0039114B">
        <w:rPr>
          <w:noProof/>
          <w:sz w:val="24"/>
          <w:szCs w:val="24"/>
        </w:rPr>
        <w:t xml:space="preserve">, </w:t>
      </w:r>
      <w:r w:rsidR="002B410A">
        <w:rPr>
          <w:noProof/>
          <w:sz w:val="24"/>
          <w:szCs w:val="24"/>
        </w:rPr>
        <w:t xml:space="preserve">and </w:t>
      </w:r>
      <w:r w:rsidR="005B6FFD">
        <w:rPr>
          <w:noProof/>
          <w:sz w:val="24"/>
          <w:szCs w:val="24"/>
        </w:rPr>
        <w:t>where</w:t>
      </w:r>
      <w:r w:rsidRPr="0039114B">
        <w:rPr>
          <w:noProof/>
          <w:sz w:val="24"/>
          <w:szCs w:val="24"/>
        </w:rPr>
        <w:t xml:space="preserve"> the manufacturer </w:t>
      </w:r>
      <w:r w:rsidR="005B6FFD">
        <w:rPr>
          <w:noProof/>
          <w:sz w:val="24"/>
          <w:szCs w:val="24"/>
        </w:rPr>
        <w:t xml:space="preserve">of the overall tangible product </w:t>
      </w:r>
      <w:r w:rsidRPr="0039114B">
        <w:rPr>
          <w:noProof/>
          <w:sz w:val="24"/>
          <w:szCs w:val="24"/>
        </w:rPr>
        <w:t>may be able to use the later-defect defence</w:t>
      </w:r>
      <w:r w:rsidR="005B6FFD">
        <w:rPr>
          <w:noProof/>
          <w:sz w:val="24"/>
          <w:szCs w:val="24"/>
        </w:rPr>
        <w:t>,</w:t>
      </w:r>
      <w:r w:rsidRPr="0039114B">
        <w:rPr>
          <w:noProof/>
          <w:sz w:val="24"/>
          <w:szCs w:val="24"/>
        </w:rPr>
        <w:t xml:space="preserve"> </w:t>
      </w:r>
      <w:r w:rsidR="005B6FFD">
        <w:rPr>
          <w:noProof/>
          <w:sz w:val="24"/>
          <w:szCs w:val="24"/>
        </w:rPr>
        <w:t xml:space="preserve">and </w:t>
      </w:r>
      <w:r w:rsidR="002B410A">
        <w:rPr>
          <w:noProof/>
          <w:sz w:val="24"/>
          <w:szCs w:val="24"/>
        </w:rPr>
        <w:t xml:space="preserve">of </w:t>
      </w:r>
      <w:r w:rsidR="005B6FFD">
        <w:rPr>
          <w:noProof/>
          <w:sz w:val="24"/>
          <w:szCs w:val="24"/>
        </w:rPr>
        <w:t>safety-relevant standalone software</w:t>
      </w:r>
      <w:r w:rsidRPr="0039114B">
        <w:rPr>
          <w:noProof/>
          <w:sz w:val="24"/>
          <w:szCs w:val="24"/>
        </w:rPr>
        <w:t>.</w:t>
      </w:r>
      <w:r w:rsidR="00BF5E70">
        <w:rPr>
          <w:noProof/>
          <w:sz w:val="24"/>
          <w:szCs w:val="24"/>
        </w:rPr>
        <w:t xml:space="preserve"> </w:t>
      </w:r>
    </w:p>
    <w:p w14:paraId="74008D01" w14:textId="0F8F2643" w:rsidR="00710D89" w:rsidRDefault="002B410A" w:rsidP="00C03F0F">
      <w:pPr>
        <w:pStyle w:val="BodyText"/>
        <w:spacing w:after="240"/>
        <w:rPr>
          <w:noProof/>
          <w:sz w:val="24"/>
          <w:szCs w:val="24"/>
        </w:rPr>
      </w:pPr>
      <w:r>
        <w:rPr>
          <w:noProof/>
          <w:sz w:val="24"/>
          <w:szCs w:val="24"/>
        </w:rPr>
        <w:t xml:space="preserve">In terms of the sector affected, </w:t>
      </w:r>
      <w:r w:rsidR="005B6FFD" w:rsidRPr="0039114B">
        <w:rPr>
          <w:noProof/>
          <w:sz w:val="24"/>
          <w:szCs w:val="24"/>
        </w:rPr>
        <w:t xml:space="preserve">the number of software companies in Europe </w:t>
      </w:r>
      <w:r w:rsidR="005B6FFD">
        <w:rPr>
          <w:noProof/>
          <w:sz w:val="24"/>
          <w:szCs w:val="24"/>
        </w:rPr>
        <w:t xml:space="preserve">producing either component or standalone software </w:t>
      </w:r>
      <w:r w:rsidR="005B6FFD" w:rsidRPr="0039114B">
        <w:rPr>
          <w:noProof/>
          <w:sz w:val="24"/>
          <w:szCs w:val="24"/>
        </w:rPr>
        <w:t>is over one million</w:t>
      </w:r>
      <w:r w:rsidR="005B6FFD" w:rsidRPr="0039114B">
        <w:rPr>
          <w:noProof/>
          <w:sz w:val="24"/>
          <w:szCs w:val="24"/>
          <w:vertAlign w:val="superscript"/>
        </w:rPr>
        <w:footnoteReference w:id="201"/>
      </w:r>
      <w:r w:rsidR="005B6FFD">
        <w:rPr>
          <w:noProof/>
          <w:sz w:val="24"/>
          <w:szCs w:val="24"/>
        </w:rPr>
        <w:t>.</w:t>
      </w:r>
      <w:r w:rsidR="007B4E9D">
        <w:rPr>
          <w:noProof/>
          <w:sz w:val="24"/>
          <w:szCs w:val="24"/>
        </w:rPr>
        <w:t xml:space="preserve"> </w:t>
      </w:r>
      <w:r w:rsidR="0039114B" w:rsidRPr="0039114B">
        <w:rPr>
          <w:noProof/>
          <w:sz w:val="24"/>
          <w:szCs w:val="24"/>
        </w:rPr>
        <w:t>While most “standalone” software will rarely cause physical injury</w:t>
      </w:r>
      <w:r w:rsidR="0039114B" w:rsidRPr="0039114B">
        <w:rPr>
          <w:rStyle w:val="FootnoteReference"/>
          <w:noProof/>
          <w:sz w:val="24"/>
          <w:szCs w:val="24"/>
        </w:rPr>
        <w:footnoteReference w:id="202"/>
      </w:r>
      <w:r w:rsidR="0039114B" w:rsidRPr="0039114B">
        <w:rPr>
          <w:noProof/>
          <w:sz w:val="24"/>
          <w:szCs w:val="24"/>
        </w:rPr>
        <w:t>, defective medical device software could</w:t>
      </w:r>
      <w:r>
        <w:rPr>
          <w:noProof/>
          <w:sz w:val="24"/>
          <w:szCs w:val="24"/>
        </w:rPr>
        <w:t xml:space="preserve"> do so</w:t>
      </w:r>
      <w:r w:rsidR="0039114B" w:rsidRPr="0039114B">
        <w:rPr>
          <w:noProof/>
          <w:sz w:val="24"/>
          <w:szCs w:val="24"/>
        </w:rPr>
        <w:t xml:space="preserve">, and defective apps could cause </w:t>
      </w:r>
      <w:r>
        <w:rPr>
          <w:noProof/>
          <w:sz w:val="24"/>
          <w:szCs w:val="24"/>
        </w:rPr>
        <w:t xml:space="preserve">potentially </w:t>
      </w:r>
      <w:r w:rsidR="0039114B" w:rsidRPr="0039114B">
        <w:rPr>
          <w:noProof/>
          <w:sz w:val="24"/>
          <w:szCs w:val="24"/>
        </w:rPr>
        <w:t xml:space="preserve">damage </w:t>
      </w:r>
      <w:r>
        <w:rPr>
          <w:noProof/>
          <w:sz w:val="24"/>
          <w:szCs w:val="24"/>
        </w:rPr>
        <w:t xml:space="preserve">the device on which they are </w:t>
      </w:r>
      <w:r w:rsidR="00570183">
        <w:rPr>
          <w:noProof/>
          <w:sz w:val="24"/>
          <w:szCs w:val="24"/>
        </w:rPr>
        <w:t>downloaded</w:t>
      </w:r>
      <w:r w:rsidR="0039114B" w:rsidRPr="0039114B">
        <w:rPr>
          <w:noProof/>
          <w:sz w:val="24"/>
          <w:szCs w:val="24"/>
        </w:rPr>
        <w:t xml:space="preserve">. </w:t>
      </w:r>
    </w:p>
    <w:p w14:paraId="46369DB1" w14:textId="09B46C6E" w:rsidR="0039114B" w:rsidRDefault="0039114B" w:rsidP="00C03F0F">
      <w:pPr>
        <w:pStyle w:val="BodyText"/>
        <w:spacing w:after="240"/>
        <w:rPr>
          <w:noProof/>
          <w:sz w:val="24"/>
          <w:szCs w:val="24"/>
        </w:rPr>
      </w:pPr>
      <w:r w:rsidRPr="0039114B">
        <w:rPr>
          <w:noProof/>
          <w:sz w:val="24"/>
          <w:szCs w:val="24"/>
        </w:rPr>
        <w:t xml:space="preserve">Representatives of the medical device sector considered that </w:t>
      </w:r>
      <w:r w:rsidR="00FC349F">
        <w:rPr>
          <w:noProof/>
          <w:sz w:val="24"/>
          <w:szCs w:val="24"/>
        </w:rPr>
        <w:t>since</w:t>
      </w:r>
      <w:r w:rsidRPr="0039114B">
        <w:rPr>
          <w:noProof/>
          <w:sz w:val="24"/>
          <w:szCs w:val="24"/>
        </w:rPr>
        <w:t xml:space="preserve"> medical device software </w:t>
      </w:r>
      <w:r w:rsidR="00FC349F">
        <w:rPr>
          <w:noProof/>
          <w:sz w:val="24"/>
          <w:szCs w:val="24"/>
        </w:rPr>
        <w:t>is regulated as</w:t>
      </w:r>
      <w:r w:rsidRPr="0039114B">
        <w:rPr>
          <w:noProof/>
          <w:sz w:val="24"/>
          <w:szCs w:val="24"/>
        </w:rPr>
        <w:t xml:space="preserve"> a product</w:t>
      </w:r>
      <w:r w:rsidR="00FC349F">
        <w:rPr>
          <w:noProof/>
          <w:sz w:val="24"/>
          <w:szCs w:val="24"/>
        </w:rPr>
        <w:t>, PO1b would be</w:t>
      </w:r>
      <w:r w:rsidRPr="0039114B">
        <w:rPr>
          <w:noProof/>
          <w:sz w:val="24"/>
          <w:szCs w:val="24"/>
        </w:rPr>
        <w:t xml:space="preserve"> </w:t>
      </w:r>
      <w:r w:rsidR="00FC349F">
        <w:rPr>
          <w:noProof/>
          <w:sz w:val="24"/>
          <w:szCs w:val="24"/>
        </w:rPr>
        <w:t>in line</w:t>
      </w:r>
      <w:r w:rsidRPr="0039114B">
        <w:rPr>
          <w:noProof/>
          <w:sz w:val="24"/>
          <w:szCs w:val="24"/>
        </w:rPr>
        <w:t xml:space="preserve"> </w:t>
      </w:r>
      <w:r w:rsidR="00FC349F">
        <w:rPr>
          <w:noProof/>
          <w:sz w:val="24"/>
          <w:szCs w:val="24"/>
        </w:rPr>
        <w:t xml:space="preserve">with </w:t>
      </w:r>
      <w:r w:rsidR="000C54EA">
        <w:rPr>
          <w:noProof/>
          <w:sz w:val="24"/>
          <w:szCs w:val="24"/>
        </w:rPr>
        <w:t>the Medical Devices Regulation</w:t>
      </w:r>
      <w:r w:rsidRPr="0039114B">
        <w:rPr>
          <w:rStyle w:val="FootnoteReference"/>
          <w:noProof/>
          <w:sz w:val="24"/>
          <w:szCs w:val="24"/>
        </w:rPr>
        <w:footnoteReference w:id="203"/>
      </w:r>
      <w:r w:rsidR="009677CD">
        <w:rPr>
          <w:noProof/>
          <w:sz w:val="24"/>
          <w:szCs w:val="24"/>
        </w:rPr>
        <w:t>, and therefore provide more legal certainty</w:t>
      </w:r>
      <w:r w:rsidRPr="0039114B">
        <w:rPr>
          <w:noProof/>
          <w:sz w:val="24"/>
          <w:szCs w:val="24"/>
        </w:rPr>
        <w:t xml:space="preserve">. </w:t>
      </w:r>
      <w:r w:rsidR="00FC349F">
        <w:rPr>
          <w:noProof/>
          <w:sz w:val="24"/>
          <w:szCs w:val="24"/>
        </w:rPr>
        <w:t>Representatives of the s</w:t>
      </w:r>
      <w:r w:rsidRPr="0039114B">
        <w:rPr>
          <w:noProof/>
          <w:sz w:val="24"/>
          <w:szCs w:val="24"/>
        </w:rPr>
        <w:t xml:space="preserve">oftware </w:t>
      </w:r>
      <w:r w:rsidR="00FC349F">
        <w:rPr>
          <w:noProof/>
          <w:sz w:val="24"/>
          <w:szCs w:val="24"/>
        </w:rPr>
        <w:t>industry itself</w:t>
      </w:r>
      <w:r w:rsidRPr="0039114B">
        <w:rPr>
          <w:noProof/>
          <w:sz w:val="24"/>
          <w:szCs w:val="24"/>
        </w:rPr>
        <w:t xml:space="preserve"> were hesitant about treating software as a product in its own right, partly for fear of over-inclusion of software that does not cause physical harm or where the service element is more important than the software, for example </w:t>
      </w:r>
      <w:r w:rsidR="00F5460C">
        <w:rPr>
          <w:noProof/>
          <w:sz w:val="24"/>
          <w:szCs w:val="24"/>
        </w:rPr>
        <w:t xml:space="preserve">a </w:t>
      </w:r>
      <w:r w:rsidRPr="0039114B">
        <w:rPr>
          <w:noProof/>
          <w:sz w:val="24"/>
          <w:szCs w:val="24"/>
        </w:rPr>
        <w:t xml:space="preserve">facial-recognition systems used in a bank or </w:t>
      </w:r>
      <w:r w:rsidR="00F5460C">
        <w:rPr>
          <w:noProof/>
          <w:sz w:val="24"/>
          <w:szCs w:val="24"/>
        </w:rPr>
        <w:t xml:space="preserve">an </w:t>
      </w:r>
      <w:r w:rsidRPr="0039114B">
        <w:rPr>
          <w:noProof/>
          <w:sz w:val="24"/>
          <w:szCs w:val="24"/>
        </w:rPr>
        <w:t xml:space="preserve">AI-system </w:t>
      </w:r>
      <w:r w:rsidR="00F5460C">
        <w:rPr>
          <w:noProof/>
          <w:sz w:val="24"/>
          <w:szCs w:val="24"/>
        </w:rPr>
        <w:t xml:space="preserve">used </w:t>
      </w:r>
      <w:r w:rsidRPr="0039114B">
        <w:rPr>
          <w:noProof/>
          <w:sz w:val="24"/>
          <w:szCs w:val="24"/>
        </w:rPr>
        <w:t>to generate consumer credit ratings</w:t>
      </w:r>
      <w:r w:rsidRPr="0039114B">
        <w:rPr>
          <w:rStyle w:val="FootnoteReference"/>
          <w:noProof/>
          <w:sz w:val="24"/>
          <w:szCs w:val="24"/>
        </w:rPr>
        <w:footnoteReference w:id="204"/>
      </w:r>
      <w:r w:rsidR="00F5460C">
        <w:rPr>
          <w:noProof/>
          <w:sz w:val="24"/>
          <w:szCs w:val="24"/>
        </w:rPr>
        <w:t>. However, these</w:t>
      </w:r>
      <w:r w:rsidR="00F5460C" w:rsidRPr="0039114B">
        <w:rPr>
          <w:noProof/>
          <w:sz w:val="24"/>
          <w:szCs w:val="24"/>
        </w:rPr>
        <w:t xml:space="preserve"> </w:t>
      </w:r>
      <w:r w:rsidRPr="0039114B">
        <w:rPr>
          <w:noProof/>
          <w:sz w:val="24"/>
          <w:szCs w:val="24"/>
        </w:rPr>
        <w:t xml:space="preserve">would not be </w:t>
      </w:r>
      <w:r w:rsidR="000C54EA">
        <w:rPr>
          <w:noProof/>
          <w:sz w:val="24"/>
          <w:szCs w:val="24"/>
        </w:rPr>
        <w:t>covered</w:t>
      </w:r>
      <w:r w:rsidRPr="0039114B">
        <w:rPr>
          <w:noProof/>
          <w:sz w:val="24"/>
          <w:szCs w:val="24"/>
        </w:rPr>
        <w:t xml:space="preserve"> under PO1b</w:t>
      </w:r>
      <w:r w:rsidR="00F5460C">
        <w:rPr>
          <w:noProof/>
          <w:sz w:val="24"/>
          <w:szCs w:val="24"/>
        </w:rPr>
        <w:t xml:space="preserve"> as they are not relevant to safety</w:t>
      </w:r>
      <w:r w:rsidRPr="0039114B">
        <w:rPr>
          <w:noProof/>
          <w:sz w:val="24"/>
          <w:szCs w:val="24"/>
        </w:rPr>
        <w:t xml:space="preserve">. </w:t>
      </w:r>
      <w:r w:rsidR="00FC349F">
        <w:rPr>
          <w:noProof/>
          <w:sz w:val="24"/>
          <w:szCs w:val="24"/>
        </w:rPr>
        <w:t>They were nevertheless</w:t>
      </w:r>
      <w:r w:rsidRPr="0039114B">
        <w:rPr>
          <w:noProof/>
          <w:sz w:val="24"/>
          <w:szCs w:val="24"/>
        </w:rPr>
        <w:t xml:space="preserve"> open to treating software that has the potential to cause harm as a product, even if some stakeholders believed this was possible to achieve by guidelines</w:t>
      </w:r>
      <w:r w:rsidRPr="0039114B">
        <w:rPr>
          <w:rStyle w:val="FootnoteReference"/>
          <w:noProof/>
          <w:sz w:val="24"/>
          <w:szCs w:val="24"/>
        </w:rPr>
        <w:footnoteReference w:id="205"/>
      </w:r>
      <w:r w:rsidRPr="0039114B">
        <w:rPr>
          <w:noProof/>
          <w:sz w:val="24"/>
          <w:szCs w:val="24"/>
        </w:rPr>
        <w:t xml:space="preserve">. As discussed in section </w:t>
      </w:r>
      <w:r w:rsidRPr="0056515B">
        <w:rPr>
          <w:noProof/>
          <w:sz w:val="24"/>
          <w:szCs w:val="24"/>
        </w:rPr>
        <w:t>5.3</w:t>
      </w:r>
      <w:r w:rsidR="000C54EA">
        <w:rPr>
          <w:noProof/>
          <w:sz w:val="24"/>
          <w:szCs w:val="24"/>
        </w:rPr>
        <w:t xml:space="preserve"> and annex 6</w:t>
      </w:r>
      <w:r w:rsidRPr="0039114B">
        <w:rPr>
          <w:noProof/>
          <w:sz w:val="24"/>
          <w:szCs w:val="24"/>
        </w:rPr>
        <w:t>, however, guidelines would not provide legal certainty.</w:t>
      </w:r>
    </w:p>
    <w:p w14:paraId="384C64A5" w14:textId="0F7BFE51" w:rsidR="0039114B" w:rsidRDefault="00E746C6" w:rsidP="00804944">
      <w:pPr>
        <w:pStyle w:val="BodyText"/>
        <w:spacing w:after="240"/>
        <w:rPr>
          <w:noProof/>
          <w:sz w:val="24"/>
          <w:szCs w:val="24"/>
        </w:rPr>
      </w:pPr>
      <w:r>
        <w:rPr>
          <w:noProof/>
          <w:sz w:val="24"/>
          <w:szCs w:val="24"/>
        </w:rPr>
        <w:t>C</w:t>
      </w:r>
      <w:r w:rsidRPr="001E37C1">
        <w:rPr>
          <w:noProof/>
          <w:sz w:val="24"/>
        </w:rPr>
        <w:t>larify</w:t>
      </w:r>
      <w:r>
        <w:rPr>
          <w:noProof/>
          <w:sz w:val="24"/>
        </w:rPr>
        <w:t>ing</w:t>
      </w:r>
      <w:r w:rsidRPr="001E37C1">
        <w:rPr>
          <w:noProof/>
          <w:sz w:val="24"/>
        </w:rPr>
        <w:t xml:space="preserve"> that </w:t>
      </w:r>
      <w:r>
        <w:rPr>
          <w:noProof/>
          <w:sz w:val="24"/>
        </w:rPr>
        <w:t xml:space="preserve">material loss resulting from </w:t>
      </w:r>
      <w:r w:rsidRPr="001E37C1">
        <w:rPr>
          <w:noProof/>
          <w:sz w:val="24"/>
        </w:rPr>
        <w:t>damage to digital property is also compensable</w:t>
      </w:r>
      <w:r>
        <w:rPr>
          <w:noProof/>
          <w:sz w:val="24"/>
        </w:rPr>
        <w:t xml:space="preserve"> as property damage would impact producers of electronic devices, in particular data storage devices and hard drives</w:t>
      </w:r>
      <w:r w:rsidR="0034455B">
        <w:rPr>
          <w:noProof/>
          <w:sz w:val="24"/>
        </w:rPr>
        <w:t>, and software producers</w:t>
      </w:r>
      <w:r>
        <w:rPr>
          <w:noProof/>
          <w:sz w:val="24"/>
        </w:rPr>
        <w:t>.</w:t>
      </w:r>
      <w:r w:rsidR="0039114B" w:rsidRPr="0039114B">
        <w:rPr>
          <w:noProof/>
          <w:sz w:val="24"/>
          <w:szCs w:val="24"/>
        </w:rPr>
        <w:t xml:space="preserve"> Although damage to such digital property may currently be covered by liability insurance</w:t>
      </w:r>
      <w:r w:rsidR="0039114B" w:rsidRPr="0039114B">
        <w:rPr>
          <w:rStyle w:val="FootnoteReference"/>
          <w:noProof/>
          <w:sz w:val="24"/>
          <w:szCs w:val="24"/>
        </w:rPr>
        <w:footnoteReference w:id="206"/>
      </w:r>
      <w:r w:rsidR="0039114B" w:rsidRPr="0039114B">
        <w:rPr>
          <w:noProof/>
          <w:sz w:val="24"/>
          <w:szCs w:val="24"/>
        </w:rPr>
        <w:t xml:space="preserve">, it usually requires physical damage of the data storage device </w:t>
      </w:r>
      <w:r w:rsidR="00570183">
        <w:rPr>
          <w:noProof/>
          <w:sz w:val="24"/>
          <w:szCs w:val="24"/>
        </w:rPr>
        <w:t xml:space="preserve">first </w:t>
      </w:r>
      <w:r w:rsidR="0059425A">
        <w:rPr>
          <w:noProof/>
          <w:sz w:val="24"/>
          <w:szCs w:val="24"/>
        </w:rPr>
        <w:t xml:space="preserve">in order </w:t>
      </w:r>
      <w:r w:rsidR="0039114B" w:rsidRPr="0039114B">
        <w:rPr>
          <w:noProof/>
          <w:sz w:val="24"/>
          <w:szCs w:val="24"/>
        </w:rPr>
        <w:t xml:space="preserve">to be recoverable. </w:t>
      </w:r>
      <w:r w:rsidR="00E21FCD">
        <w:rPr>
          <w:noProof/>
          <w:sz w:val="24"/>
          <w:szCs w:val="24"/>
        </w:rPr>
        <w:t>In the public consultation, 60% of respondents agreed or strongly agreed that producers should be liable for “damage to data” (87% among consumer representatives and citizens; only 18% among industry representatives)</w:t>
      </w:r>
      <w:r w:rsidR="00A23C7D">
        <w:rPr>
          <w:rStyle w:val="FootnoteReference"/>
          <w:noProof/>
          <w:sz w:val="24"/>
          <w:szCs w:val="24"/>
        </w:rPr>
        <w:footnoteReference w:id="207"/>
      </w:r>
      <w:r w:rsidR="00B46D32">
        <w:rPr>
          <w:noProof/>
          <w:sz w:val="24"/>
          <w:szCs w:val="24"/>
        </w:rPr>
        <w:t>.</w:t>
      </w:r>
      <w:r w:rsidR="00E21FCD">
        <w:rPr>
          <w:noProof/>
          <w:sz w:val="24"/>
          <w:szCs w:val="24"/>
        </w:rPr>
        <w:t xml:space="preserve"> </w:t>
      </w:r>
    </w:p>
    <w:p w14:paraId="3F02BCEA" w14:textId="628462C2" w:rsidR="00C42E15" w:rsidRPr="0039114B" w:rsidRDefault="00C42E15" w:rsidP="00C42E15">
      <w:pPr>
        <w:spacing w:after="240" w:line="240" w:lineRule="auto"/>
        <w:jc w:val="both"/>
        <w:rPr>
          <w:noProof/>
          <w:sz w:val="24"/>
          <w:szCs w:val="24"/>
        </w:rPr>
      </w:pPr>
      <w:r>
        <w:rPr>
          <w:noProof/>
          <w:sz w:val="24"/>
          <w:szCs w:val="24"/>
        </w:rPr>
        <w:t>Finally, u</w:t>
      </w:r>
      <w:r w:rsidRPr="0039114B">
        <w:rPr>
          <w:noProof/>
          <w:sz w:val="24"/>
          <w:szCs w:val="24"/>
        </w:rPr>
        <w:t>nder PO1b, fulfilment service providers</w:t>
      </w:r>
      <w:r w:rsidR="008262D8">
        <w:rPr>
          <w:rStyle w:val="FootnoteReference"/>
          <w:noProof/>
          <w:sz w:val="24"/>
          <w:szCs w:val="24"/>
        </w:rPr>
        <w:footnoteReference w:id="208"/>
      </w:r>
      <w:r w:rsidRPr="0039114B">
        <w:rPr>
          <w:noProof/>
          <w:sz w:val="24"/>
          <w:szCs w:val="24"/>
        </w:rPr>
        <w:t xml:space="preserve"> would </w:t>
      </w:r>
      <w:r w:rsidR="009144CB">
        <w:rPr>
          <w:noProof/>
          <w:sz w:val="24"/>
          <w:szCs w:val="24"/>
        </w:rPr>
        <w:t xml:space="preserve">be </w:t>
      </w:r>
      <w:r w:rsidR="002E002F">
        <w:rPr>
          <w:noProof/>
          <w:sz w:val="24"/>
          <w:szCs w:val="24"/>
        </w:rPr>
        <w:t>potentially</w:t>
      </w:r>
      <w:r w:rsidRPr="0039114B">
        <w:rPr>
          <w:noProof/>
          <w:sz w:val="24"/>
          <w:szCs w:val="24"/>
        </w:rPr>
        <w:t xml:space="preserve"> liable under the PLD </w:t>
      </w:r>
      <w:r w:rsidR="003E4C44">
        <w:rPr>
          <w:noProof/>
          <w:sz w:val="24"/>
          <w:szCs w:val="24"/>
        </w:rPr>
        <w:t>in cases where</w:t>
      </w:r>
      <w:r w:rsidRPr="0039114B">
        <w:rPr>
          <w:noProof/>
          <w:sz w:val="24"/>
          <w:szCs w:val="24"/>
        </w:rPr>
        <w:t xml:space="preserve"> there is no EU-based producer</w:t>
      </w:r>
      <w:r w:rsidR="009144CB">
        <w:rPr>
          <w:noProof/>
          <w:sz w:val="24"/>
          <w:szCs w:val="24"/>
        </w:rPr>
        <w:t xml:space="preserve">, </w:t>
      </w:r>
      <w:r w:rsidRPr="0039114B">
        <w:rPr>
          <w:noProof/>
          <w:sz w:val="24"/>
          <w:szCs w:val="24"/>
        </w:rPr>
        <w:t>importer</w:t>
      </w:r>
      <w:r w:rsidR="009144CB">
        <w:rPr>
          <w:noProof/>
          <w:sz w:val="24"/>
          <w:szCs w:val="24"/>
        </w:rPr>
        <w:t xml:space="preserve"> or authorised representative</w:t>
      </w:r>
      <w:r w:rsidRPr="0039114B">
        <w:rPr>
          <w:noProof/>
          <w:sz w:val="24"/>
          <w:szCs w:val="24"/>
        </w:rPr>
        <w:t xml:space="preserve">. </w:t>
      </w:r>
      <w:r w:rsidR="00B86B29">
        <w:rPr>
          <w:noProof/>
          <w:sz w:val="24"/>
          <w:szCs w:val="24"/>
        </w:rPr>
        <w:t xml:space="preserve">These cases are expected to be </w:t>
      </w:r>
      <w:r w:rsidR="00A52731">
        <w:rPr>
          <w:noProof/>
          <w:sz w:val="24"/>
          <w:szCs w:val="24"/>
        </w:rPr>
        <w:t xml:space="preserve">less </w:t>
      </w:r>
      <w:r w:rsidR="00B86B29">
        <w:rPr>
          <w:noProof/>
          <w:sz w:val="24"/>
          <w:szCs w:val="24"/>
        </w:rPr>
        <w:t xml:space="preserve">common, </w:t>
      </w:r>
      <w:r w:rsidR="00A52731">
        <w:rPr>
          <w:noProof/>
          <w:sz w:val="24"/>
          <w:szCs w:val="24"/>
        </w:rPr>
        <w:t xml:space="preserve">as in a majority of cases an authorised representative will be appointed, </w:t>
      </w:r>
      <w:r w:rsidR="00B86B29">
        <w:rPr>
          <w:noProof/>
          <w:sz w:val="24"/>
          <w:szCs w:val="24"/>
        </w:rPr>
        <w:t xml:space="preserve">although it is not possible to quantify this given that the Market Surveillance Regulation </w:t>
      </w:r>
      <w:r w:rsidR="00A52731">
        <w:rPr>
          <w:noProof/>
          <w:sz w:val="24"/>
          <w:szCs w:val="24"/>
        </w:rPr>
        <w:t>started to apply</w:t>
      </w:r>
      <w:r w:rsidR="00B86B29">
        <w:rPr>
          <w:noProof/>
          <w:sz w:val="24"/>
          <w:szCs w:val="24"/>
        </w:rPr>
        <w:t xml:space="preserve"> only in </w:t>
      </w:r>
      <w:r w:rsidR="00A52731">
        <w:rPr>
          <w:noProof/>
          <w:sz w:val="24"/>
          <w:szCs w:val="24"/>
        </w:rPr>
        <w:t xml:space="preserve">July </w:t>
      </w:r>
      <w:r w:rsidR="00B86B29">
        <w:rPr>
          <w:noProof/>
          <w:sz w:val="24"/>
          <w:szCs w:val="24"/>
        </w:rPr>
        <w:t xml:space="preserve">2021. </w:t>
      </w:r>
      <w:r w:rsidR="00C232CB">
        <w:rPr>
          <w:noProof/>
          <w:sz w:val="24"/>
          <w:szCs w:val="24"/>
        </w:rPr>
        <w:t xml:space="preserve">Fulfilment service providers are often the fulfilment branch of an online marketplace (e.g. Amazon has over 40 fulfilment centres in Europe), </w:t>
      </w:r>
      <w:r w:rsidR="003E4C44">
        <w:rPr>
          <w:noProof/>
          <w:sz w:val="24"/>
          <w:szCs w:val="24"/>
        </w:rPr>
        <w:t>or</w:t>
      </w:r>
      <w:r w:rsidR="00C232CB">
        <w:rPr>
          <w:noProof/>
          <w:sz w:val="24"/>
          <w:szCs w:val="24"/>
        </w:rPr>
        <w:t xml:space="preserve"> have contracts with producers directly</w:t>
      </w:r>
      <w:r w:rsidR="00C232CB">
        <w:rPr>
          <w:rStyle w:val="FootnoteReference"/>
          <w:noProof/>
          <w:sz w:val="24"/>
          <w:szCs w:val="24"/>
        </w:rPr>
        <w:footnoteReference w:id="209"/>
      </w:r>
      <w:r w:rsidR="00C232CB">
        <w:rPr>
          <w:noProof/>
          <w:sz w:val="24"/>
          <w:szCs w:val="24"/>
        </w:rPr>
        <w:t xml:space="preserve">. </w:t>
      </w:r>
      <w:r w:rsidR="00B1161C">
        <w:rPr>
          <w:noProof/>
          <w:sz w:val="24"/>
          <w:szCs w:val="24"/>
        </w:rPr>
        <w:t>In Europe, the market size of warehousing and storage businesses</w:t>
      </w:r>
      <w:r w:rsidR="00D0119F">
        <w:rPr>
          <w:noProof/>
          <w:sz w:val="24"/>
          <w:szCs w:val="24"/>
        </w:rPr>
        <w:t xml:space="preserve">, two activities that fulfilment service provider may </w:t>
      </w:r>
      <w:r w:rsidR="00C232CB">
        <w:rPr>
          <w:noProof/>
          <w:sz w:val="24"/>
          <w:szCs w:val="24"/>
        </w:rPr>
        <w:t>carry out</w:t>
      </w:r>
      <w:r w:rsidR="00D0119F">
        <w:rPr>
          <w:noProof/>
          <w:sz w:val="24"/>
          <w:szCs w:val="24"/>
        </w:rPr>
        <w:t>,</w:t>
      </w:r>
      <w:r w:rsidR="00B1161C">
        <w:rPr>
          <w:noProof/>
          <w:sz w:val="24"/>
          <w:szCs w:val="24"/>
        </w:rPr>
        <w:t xml:space="preserve"> is estimated to be EUR 54 billion</w:t>
      </w:r>
      <w:r w:rsidR="00B1161C">
        <w:rPr>
          <w:rStyle w:val="FootnoteReference"/>
          <w:noProof/>
          <w:sz w:val="24"/>
          <w:szCs w:val="24"/>
        </w:rPr>
        <w:footnoteReference w:id="210"/>
      </w:r>
      <w:r w:rsidR="00B1161C">
        <w:rPr>
          <w:noProof/>
          <w:sz w:val="24"/>
          <w:szCs w:val="24"/>
        </w:rPr>
        <w:t xml:space="preserve">. </w:t>
      </w:r>
      <w:r w:rsidR="00077043">
        <w:rPr>
          <w:noProof/>
          <w:sz w:val="24"/>
          <w:szCs w:val="24"/>
        </w:rPr>
        <w:t>Analogously with authorised representatives under PO1a, t</w:t>
      </w:r>
      <w:r w:rsidR="00077043" w:rsidRPr="00DD184F">
        <w:rPr>
          <w:noProof/>
          <w:sz w:val="24"/>
          <w:szCs w:val="24"/>
        </w:rPr>
        <w:t xml:space="preserve">hird-country producers could expect to face an increase in the cost of </w:t>
      </w:r>
      <w:r w:rsidR="00077043">
        <w:rPr>
          <w:noProof/>
          <w:sz w:val="24"/>
          <w:szCs w:val="24"/>
        </w:rPr>
        <w:t xml:space="preserve">fulfilment </w:t>
      </w:r>
      <w:r w:rsidR="00077043" w:rsidRPr="00DD184F">
        <w:rPr>
          <w:noProof/>
          <w:sz w:val="24"/>
          <w:szCs w:val="24"/>
        </w:rPr>
        <w:t xml:space="preserve">services to cover </w:t>
      </w:r>
      <w:r w:rsidR="00077043">
        <w:rPr>
          <w:noProof/>
          <w:sz w:val="24"/>
          <w:szCs w:val="24"/>
        </w:rPr>
        <w:t>this</w:t>
      </w:r>
      <w:r w:rsidR="00077043" w:rsidRPr="00DD184F">
        <w:rPr>
          <w:noProof/>
          <w:sz w:val="24"/>
          <w:szCs w:val="24"/>
        </w:rPr>
        <w:t xml:space="preserve"> exposure</w:t>
      </w:r>
      <w:r w:rsidR="003317DD">
        <w:rPr>
          <w:noProof/>
          <w:sz w:val="24"/>
          <w:szCs w:val="24"/>
        </w:rPr>
        <w:t xml:space="preserve"> liability</w:t>
      </w:r>
      <w:r w:rsidR="00077043" w:rsidRPr="00DD184F">
        <w:rPr>
          <w:noProof/>
          <w:sz w:val="24"/>
          <w:szCs w:val="24"/>
        </w:rPr>
        <w:t>.</w:t>
      </w:r>
      <w:r w:rsidR="005048A2">
        <w:rPr>
          <w:noProof/>
          <w:sz w:val="24"/>
          <w:szCs w:val="24"/>
        </w:rPr>
        <w:t xml:space="preserve"> </w:t>
      </w:r>
    </w:p>
    <w:p w14:paraId="664989AB" w14:textId="31799FA5" w:rsidR="00651198" w:rsidRDefault="00FA3B40" w:rsidP="008E4ED6">
      <w:pPr>
        <w:spacing w:after="120" w:line="240" w:lineRule="auto"/>
        <w:jc w:val="both"/>
        <w:rPr>
          <w:noProof/>
          <w:sz w:val="24"/>
          <w:szCs w:val="24"/>
        </w:rPr>
      </w:pPr>
      <w:r w:rsidRPr="00DD184F">
        <w:rPr>
          <w:noProof/>
          <w:sz w:val="24"/>
          <w:szCs w:val="24"/>
        </w:rPr>
        <w:t xml:space="preserve">In terms of indirect costs, </w:t>
      </w:r>
      <w:r w:rsidR="004476DD" w:rsidRPr="00F04479">
        <w:rPr>
          <w:noProof/>
          <w:sz w:val="24"/>
          <w:szCs w:val="24"/>
        </w:rPr>
        <w:t>PO1b builds</w:t>
      </w:r>
      <w:r w:rsidR="004476DD">
        <w:rPr>
          <w:b/>
          <w:noProof/>
          <w:sz w:val="24"/>
          <w:szCs w:val="24"/>
        </w:rPr>
        <w:t xml:space="preserve"> </w:t>
      </w:r>
      <w:r w:rsidR="004476DD" w:rsidRPr="004476DD">
        <w:rPr>
          <w:noProof/>
          <w:sz w:val="24"/>
          <w:szCs w:val="24"/>
        </w:rPr>
        <w:t>on PO1a but</w:t>
      </w:r>
      <w:r w:rsidR="004476DD">
        <w:rPr>
          <w:b/>
          <w:noProof/>
          <w:sz w:val="24"/>
          <w:szCs w:val="24"/>
        </w:rPr>
        <w:t xml:space="preserve"> </w:t>
      </w:r>
      <w:r w:rsidR="004476DD">
        <w:rPr>
          <w:noProof/>
          <w:sz w:val="24"/>
          <w:szCs w:val="24"/>
        </w:rPr>
        <w:t>the</w:t>
      </w:r>
      <w:r w:rsidR="004476DD" w:rsidRPr="004476DD">
        <w:rPr>
          <w:noProof/>
          <w:sz w:val="24"/>
          <w:szCs w:val="24"/>
        </w:rPr>
        <w:t xml:space="preserve"> </w:t>
      </w:r>
      <w:r>
        <w:rPr>
          <w:noProof/>
          <w:sz w:val="24"/>
          <w:szCs w:val="24"/>
        </w:rPr>
        <w:t xml:space="preserve">annual </w:t>
      </w:r>
      <w:r w:rsidRPr="0073706C">
        <w:rPr>
          <w:noProof/>
          <w:sz w:val="24"/>
          <w:szCs w:val="24"/>
        </w:rPr>
        <w:t>product liability insurance costs</w:t>
      </w:r>
      <w:r w:rsidR="004476DD" w:rsidRPr="0073706C">
        <w:rPr>
          <w:noProof/>
          <w:sz w:val="24"/>
          <w:szCs w:val="24"/>
        </w:rPr>
        <w:t xml:space="preserve"> </w:t>
      </w:r>
      <w:r w:rsidR="004476DD">
        <w:rPr>
          <w:noProof/>
          <w:sz w:val="24"/>
          <w:szCs w:val="24"/>
        </w:rPr>
        <w:t xml:space="preserve">for software </w:t>
      </w:r>
      <w:r w:rsidR="00C218C5">
        <w:rPr>
          <w:noProof/>
          <w:sz w:val="24"/>
          <w:szCs w:val="24"/>
        </w:rPr>
        <w:t xml:space="preserve">producers </w:t>
      </w:r>
      <w:r w:rsidR="00A742CC" w:rsidRPr="004476DD">
        <w:rPr>
          <w:noProof/>
          <w:sz w:val="24"/>
          <w:szCs w:val="24"/>
        </w:rPr>
        <w:t xml:space="preserve">would </w:t>
      </w:r>
      <w:r w:rsidR="004D18D4">
        <w:rPr>
          <w:noProof/>
          <w:sz w:val="24"/>
          <w:szCs w:val="24"/>
        </w:rPr>
        <w:t>increase</w:t>
      </w:r>
      <w:r w:rsidR="00A742CC" w:rsidRPr="004476DD">
        <w:rPr>
          <w:noProof/>
          <w:sz w:val="24"/>
          <w:szCs w:val="24"/>
        </w:rPr>
        <w:t xml:space="preserve"> </w:t>
      </w:r>
      <w:r w:rsidR="004476DD">
        <w:rPr>
          <w:noProof/>
          <w:sz w:val="24"/>
          <w:szCs w:val="24"/>
        </w:rPr>
        <w:t>by 10%,</w:t>
      </w:r>
      <w:r w:rsidR="000F377C">
        <w:rPr>
          <w:rStyle w:val="FootnoteReference"/>
          <w:noProof/>
          <w:sz w:val="24"/>
          <w:szCs w:val="24"/>
        </w:rPr>
        <w:footnoteReference w:id="211"/>
      </w:r>
      <w:r w:rsidR="004476DD">
        <w:rPr>
          <w:noProof/>
          <w:sz w:val="24"/>
          <w:szCs w:val="24"/>
        </w:rPr>
        <w:t xml:space="preserve"> </w:t>
      </w:r>
      <w:r w:rsidR="0057653B">
        <w:rPr>
          <w:noProof/>
          <w:sz w:val="24"/>
          <w:szCs w:val="24"/>
        </w:rPr>
        <w:t xml:space="preserve">to cover the wider scope of the measures (inclusion of add-on software, standalone software with </w:t>
      </w:r>
      <w:r w:rsidR="0057653B" w:rsidRPr="0039114B">
        <w:rPr>
          <w:noProof/>
          <w:sz w:val="24"/>
          <w:szCs w:val="24"/>
        </w:rPr>
        <w:t>safety relevance</w:t>
      </w:r>
      <w:r w:rsidR="0057653B">
        <w:rPr>
          <w:noProof/>
          <w:sz w:val="24"/>
          <w:szCs w:val="24"/>
        </w:rPr>
        <w:t>)</w:t>
      </w:r>
      <w:r>
        <w:rPr>
          <w:noProof/>
          <w:sz w:val="24"/>
          <w:szCs w:val="24"/>
        </w:rPr>
        <w:t xml:space="preserve">. </w:t>
      </w:r>
      <w:r w:rsidR="00DA278D">
        <w:rPr>
          <w:noProof/>
          <w:sz w:val="24"/>
          <w:szCs w:val="24"/>
        </w:rPr>
        <w:t>Effects on as well as for refurbishers and remanufacturers</w:t>
      </w:r>
      <w:r w:rsidR="00DA278D" w:rsidRPr="00651198">
        <w:rPr>
          <w:noProof/>
          <w:sz w:val="24"/>
          <w:szCs w:val="24"/>
        </w:rPr>
        <w:t xml:space="preserve"> </w:t>
      </w:r>
      <w:r w:rsidR="00DA278D">
        <w:rPr>
          <w:noProof/>
          <w:sz w:val="24"/>
          <w:szCs w:val="24"/>
        </w:rPr>
        <w:t>would remain as in PO1a. T</w:t>
      </w:r>
      <w:r w:rsidR="00651198" w:rsidRPr="00651198">
        <w:rPr>
          <w:noProof/>
          <w:sz w:val="24"/>
          <w:szCs w:val="24"/>
        </w:rPr>
        <w:t xml:space="preserve">he annual product liability insurance costs are assumed to increase by 1-2% </w:t>
      </w:r>
      <w:r w:rsidR="00651198" w:rsidRPr="00651198">
        <w:rPr>
          <w:rFonts w:eastAsia="Calibri" w:cs="Times New Roman"/>
          <w:noProof/>
          <w:sz w:val="24"/>
          <w:szCs w:val="24"/>
        </w:rPr>
        <w:t xml:space="preserve">for manufacturers of </w:t>
      </w:r>
      <w:r w:rsidR="00195C8A">
        <w:rPr>
          <w:rFonts w:eastAsia="Calibri" w:cs="Times New Roman"/>
          <w:noProof/>
          <w:sz w:val="24"/>
          <w:szCs w:val="24"/>
        </w:rPr>
        <w:t>electronic devices</w:t>
      </w:r>
      <w:r w:rsidR="00651198" w:rsidRPr="00651198">
        <w:rPr>
          <w:rFonts w:eastAsia="Calibri" w:cs="Times New Roman"/>
          <w:noProof/>
          <w:sz w:val="24"/>
          <w:szCs w:val="24"/>
        </w:rPr>
        <w:t xml:space="preserve"> (including PCs, laptops, </w:t>
      </w:r>
      <w:r w:rsidR="00AC2E3E">
        <w:rPr>
          <w:rFonts w:eastAsia="Calibri" w:cs="Times New Roman"/>
          <w:noProof/>
          <w:sz w:val="24"/>
          <w:szCs w:val="24"/>
        </w:rPr>
        <w:t xml:space="preserve">IoT products and </w:t>
      </w:r>
      <w:r w:rsidR="00651198" w:rsidRPr="00651198">
        <w:rPr>
          <w:rFonts w:eastAsia="Calibri" w:cs="Times New Roman"/>
          <w:noProof/>
          <w:sz w:val="24"/>
          <w:szCs w:val="24"/>
        </w:rPr>
        <w:t>external data storage dev</w:t>
      </w:r>
      <w:r w:rsidR="00033045">
        <w:rPr>
          <w:rFonts w:eastAsia="Calibri" w:cs="Times New Roman"/>
          <w:noProof/>
          <w:sz w:val="24"/>
          <w:szCs w:val="24"/>
        </w:rPr>
        <w:t>ices)</w:t>
      </w:r>
      <w:r w:rsidR="00AC2E3E" w:rsidRPr="00AC2E3E">
        <w:rPr>
          <w:noProof/>
          <w:sz w:val="24"/>
          <w:szCs w:val="24"/>
        </w:rPr>
        <w:t xml:space="preserve"> </w:t>
      </w:r>
      <w:r w:rsidR="00AC2E3E">
        <w:rPr>
          <w:noProof/>
          <w:sz w:val="24"/>
          <w:szCs w:val="24"/>
        </w:rPr>
        <w:t>to cover digital property in the notion of property damage</w:t>
      </w:r>
      <w:r w:rsidR="00651198" w:rsidRPr="00651198">
        <w:rPr>
          <w:rFonts w:eastAsia="Calibri" w:cs="Times New Roman"/>
          <w:noProof/>
          <w:sz w:val="24"/>
          <w:szCs w:val="24"/>
        </w:rPr>
        <w:t>.</w:t>
      </w:r>
      <w:r w:rsidR="00651198">
        <w:rPr>
          <w:noProof/>
          <w:sz w:val="24"/>
          <w:szCs w:val="24"/>
        </w:rPr>
        <w:t xml:space="preserve"> </w:t>
      </w:r>
    </w:p>
    <w:p w14:paraId="2A4DF85A" w14:textId="4B4EB783" w:rsidR="00FA3B40" w:rsidRDefault="00FA3B40" w:rsidP="008E4ED6">
      <w:pPr>
        <w:spacing w:after="240" w:line="240" w:lineRule="auto"/>
        <w:jc w:val="both"/>
        <w:rPr>
          <w:noProof/>
          <w:sz w:val="24"/>
          <w:szCs w:val="24"/>
        </w:rPr>
      </w:pPr>
      <w:r>
        <w:rPr>
          <w:noProof/>
          <w:sz w:val="24"/>
          <w:szCs w:val="24"/>
        </w:rPr>
        <w:t xml:space="preserve">Compared to PO1a, </w:t>
      </w:r>
      <w:r w:rsidRPr="0009166F">
        <w:rPr>
          <w:noProof/>
          <w:sz w:val="24"/>
          <w:szCs w:val="24"/>
        </w:rPr>
        <w:t>fulfilment service providers</w:t>
      </w:r>
      <w:r w:rsidRPr="00244A24">
        <w:rPr>
          <w:noProof/>
          <w:sz w:val="24"/>
          <w:szCs w:val="24"/>
        </w:rPr>
        <w:t xml:space="preserve"> would </w:t>
      </w:r>
      <w:r>
        <w:rPr>
          <w:noProof/>
          <w:sz w:val="24"/>
          <w:szCs w:val="24"/>
        </w:rPr>
        <w:t xml:space="preserve">also </w:t>
      </w:r>
      <w:r w:rsidRPr="00244A24">
        <w:rPr>
          <w:noProof/>
          <w:sz w:val="24"/>
          <w:szCs w:val="24"/>
        </w:rPr>
        <w:t>have an incentive to take out product liability insurance</w:t>
      </w:r>
      <w:r>
        <w:rPr>
          <w:noProof/>
          <w:sz w:val="24"/>
          <w:szCs w:val="24"/>
        </w:rPr>
        <w:t xml:space="preserve">, </w:t>
      </w:r>
      <w:r w:rsidR="006B2D6D">
        <w:rPr>
          <w:noProof/>
          <w:sz w:val="24"/>
          <w:szCs w:val="24"/>
        </w:rPr>
        <w:t>if</w:t>
      </w:r>
      <w:r>
        <w:rPr>
          <w:noProof/>
          <w:sz w:val="24"/>
          <w:szCs w:val="24"/>
        </w:rPr>
        <w:t xml:space="preserve"> they do</w:t>
      </w:r>
      <w:r w:rsidR="006B2D6D">
        <w:rPr>
          <w:noProof/>
          <w:sz w:val="24"/>
          <w:szCs w:val="24"/>
        </w:rPr>
        <w:t xml:space="preserve"> </w:t>
      </w:r>
      <w:r>
        <w:rPr>
          <w:noProof/>
          <w:sz w:val="24"/>
          <w:szCs w:val="24"/>
        </w:rPr>
        <w:t>n</w:t>
      </w:r>
      <w:r w:rsidR="006B2D6D">
        <w:rPr>
          <w:noProof/>
          <w:sz w:val="24"/>
          <w:szCs w:val="24"/>
        </w:rPr>
        <w:t>o</w:t>
      </w:r>
      <w:r>
        <w:rPr>
          <w:noProof/>
          <w:sz w:val="24"/>
          <w:szCs w:val="24"/>
        </w:rPr>
        <w:t xml:space="preserve">t </w:t>
      </w:r>
      <w:r w:rsidR="006B2D6D">
        <w:rPr>
          <w:noProof/>
          <w:sz w:val="24"/>
          <w:szCs w:val="24"/>
        </w:rPr>
        <w:t xml:space="preserve">do so </w:t>
      </w:r>
      <w:r>
        <w:rPr>
          <w:noProof/>
          <w:sz w:val="24"/>
          <w:szCs w:val="24"/>
        </w:rPr>
        <w:t>already</w:t>
      </w:r>
      <w:r w:rsidR="003614F9">
        <w:rPr>
          <w:rStyle w:val="FootnoteReference"/>
          <w:noProof/>
          <w:sz w:val="24"/>
          <w:szCs w:val="24"/>
        </w:rPr>
        <w:footnoteReference w:id="212"/>
      </w:r>
      <w:r>
        <w:rPr>
          <w:noProof/>
          <w:sz w:val="24"/>
          <w:szCs w:val="24"/>
        </w:rPr>
        <w:t xml:space="preserve">. Product liability insurance costs </w:t>
      </w:r>
      <w:r w:rsidR="003149DC">
        <w:rPr>
          <w:noProof/>
          <w:sz w:val="24"/>
          <w:szCs w:val="24"/>
        </w:rPr>
        <w:t>for these economic operators</w:t>
      </w:r>
      <w:r>
        <w:rPr>
          <w:noProof/>
          <w:sz w:val="24"/>
          <w:szCs w:val="24"/>
        </w:rPr>
        <w:t xml:space="preserve"> are assumed to increase by </w:t>
      </w:r>
      <w:r w:rsidRPr="002F7143">
        <w:rPr>
          <w:noProof/>
          <w:sz w:val="24"/>
          <w:szCs w:val="24"/>
        </w:rPr>
        <w:t>5%.</w:t>
      </w:r>
      <w:r w:rsidRPr="00FA3B40">
        <w:rPr>
          <w:noProof/>
          <w:sz w:val="24"/>
          <w:szCs w:val="24"/>
        </w:rPr>
        <w:t xml:space="preserve"> </w:t>
      </w:r>
    </w:p>
    <w:p w14:paraId="43E179A4" w14:textId="25E2F695" w:rsidR="0064589E" w:rsidRDefault="00EE373C" w:rsidP="001E1DE0">
      <w:pPr>
        <w:pStyle w:val="BodyText"/>
        <w:pBdr>
          <w:top w:val="single" w:sz="4" w:space="1" w:color="auto"/>
          <w:left w:val="single" w:sz="4" w:space="4" w:color="auto"/>
          <w:bottom w:val="single" w:sz="4" w:space="1" w:color="auto"/>
          <w:right w:val="single" w:sz="4" w:space="4" w:color="auto"/>
        </w:pBdr>
        <w:spacing w:after="240"/>
        <w:rPr>
          <w:noProof/>
          <w:sz w:val="24"/>
          <w:szCs w:val="24"/>
        </w:rPr>
      </w:pPr>
      <w:r>
        <w:rPr>
          <w:noProof/>
          <w:sz w:val="24"/>
          <w:szCs w:val="24"/>
        </w:rPr>
        <w:t>Taking all this into account, u</w:t>
      </w:r>
      <w:r w:rsidR="00564A5B" w:rsidRPr="00564A5B">
        <w:rPr>
          <w:noProof/>
          <w:sz w:val="24"/>
          <w:szCs w:val="24"/>
        </w:rPr>
        <w:t xml:space="preserve">nder PO1b </w:t>
      </w:r>
      <w:r w:rsidR="00EE7DA7">
        <w:rPr>
          <w:noProof/>
          <w:sz w:val="24"/>
          <w:szCs w:val="24"/>
        </w:rPr>
        <w:t xml:space="preserve">the </w:t>
      </w:r>
      <w:r w:rsidR="00564A5B" w:rsidRPr="00564A5B">
        <w:rPr>
          <w:noProof/>
          <w:sz w:val="24"/>
          <w:szCs w:val="24"/>
        </w:rPr>
        <w:t xml:space="preserve">total </w:t>
      </w:r>
      <w:r w:rsidR="00564A5B" w:rsidRPr="00564A5B">
        <w:rPr>
          <w:b/>
          <w:noProof/>
          <w:sz w:val="24"/>
          <w:szCs w:val="24"/>
        </w:rPr>
        <w:t>annual product liability insurance costs</w:t>
      </w:r>
      <w:r w:rsidR="00564A5B" w:rsidRPr="00564A5B">
        <w:rPr>
          <w:noProof/>
          <w:sz w:val="24"/>
          <w:szCs w:val="24"/>
        </w:rPr>
        <w:t xml:space="preserve"> are </w:t>
      </w:r>
      <w:r w:rsidR="00F34687">
        <w:rPr>
          <w:noProof/>
          <w:sz w:val="24"/>
          <w:szCs w:val="24"/>
        </w:rPr>
        <w:t>assessed</w:t>
      </w:r>
      <w:r w:rsidR="00564A5B" w:rsidRPr="00564A5B">
        <w:rPr>
          <w:noProof/>
          <w:sz w:val="24"/>
          <w:szCs w:val="24"/>
        </w:rPr>
        <w:t xml:space="preserve"> to increase incrementally compared to the baseline, with an increase estimated in the range between </w:t>
      </w:r>
      <w:r w:rsidR="00651198">
        <w:rPr>
          <w:noProof/>
          <w:sz w:val="24"/>
          <w:szCs w:val="24"/>
        </w:rPr>
        <w:t>4.35</w:t>
      </w:r>
      <w:r w:rsidR="00564A5B" w:rsidRPr="00564A5B">
        <w:rPr>
          <w:noProof/>
          <w:sz w:val="24"/>
          <w:szCs w:val="24"/>
        </w:rPr>
        <w:t xml:space="preserve"> and </w:t>
      </w:r>
      <w:r w:rsidR="00651198">
        <w:rPr>
          <w:noProof/>
          <w:sz w:val="24"/>
          <w:szCs w:val="24"/>
        </w:rPr>
        <w:t>8.</w:t>
      </w:r>
      <w:r w:rsidR="00504073">
        <w:rPr>
          <w:noProof/>
          <w:sz w:val="24"/>
          <w:szCs w:val="24"/>
        </w:rPr>
        <w:t>69</w:t>
      </w:r>
      <w:r w:rsidR="00564A5B">
        <w:rPr>
          <w:noProof/>
          <w:sz w:val="24"/>
          <w:szCs w:val="24"/>
        </w:rPr>
        <w:t xml:space="preserve"> </w:t>
      </w:r>
      <w:r w:rsidR="00564A5B" w:rsidRPr="00564A5B">
        <w:rPr>
          <w:noProof/>
          <w:sz w:val="24"/>
          <w:szCs w:val="24"/>
        </w:rPr>
        <w:t>EUR million</w:t>
      </w:r>
      <w:r w:rsidR="00564A5B" w:rsidRPr="00564A5B">
        <w:rPr>
          <w:rStyle w:val="FootnoteReference"/>
          <w:noProof/>
          <w:sz w:val="24"/>
          <w:szCs w:val="24"/>
        </w:rPr>
        <w:footnoteReference w:id="213"/>
      </w:r>
      <w:r w:rsidR="00564A5B" w:rsidRPr="00564A5B">
        <w:rPr>
          <w:noProof/>
          <w:sz w:val="24"/>
          <w:szCs w:val="24"/>
        </w:rPr>
        <w:t>.</w:t>
      </w:r>
      <w:r w:rsidR="003149DC" w:rsidRPr="003149DC">
        <w:rPr>
          <w:noProof/>
          <w:sz w:val="24"/>
          <w:szCs w:val="24"/>
        </w:rPr>
        <w:t xml:space="preserve"> </w:t>
      </w:r>
    </w:p>
    <w:p w14:paraId="5DD126F2" w14:textId="77777777" w:rsidR="0039114B" w:rsidRPr="0039114B" w:rsidRDefault="0039114B" w:rsidP="00DD3B24">
      <w:pPr>
        <w:pStyle w:val="ListParagraph"/>
        <w:keepNext/>
        <w:numPr>
          <w:ilvl w:val="0"/>
          <w:numId w:val="12"/>
        </w:numPr>
        <w:spacing w:after="120"/>
        <w:ind w:left="714" w:hanging="357"/>
        <w:jc w:val="both"/>
        <w:rPr>
          <w:rFonts w:cstheme="minorHAnsi"/>
          <w:b/>
          <w:bCs/>
          <w:noProof/>
          <w:color w:val="242424"/>
          <w:sz w:val="24"/>
          <w:szCs w:val="24"/>
          <w:shd w:val="clear" w:color="auto" w:fill="FFFFFF"/>
        </w:rPr>
      </w:pPr>
      <w:r w:rsidRPr="0039114B">
        <w:rPr>
          <w:rFonts w:cstheme="minorHAnsi"/>
          <w:b/>
          <w:bCs/>
          <w:noProof/>
          <w:color w:val="242424"/>
          <w:sz w:val="24"/>
          <w:szCs w:val="24"/>
          <w:shd w:val="clear" w:color="auto" w:fill="FFFFFF"/>
        </w:rPr>
        <w:t>Impacts on SMEs</w:t>
      </w:r>
    </w:p>
    <w:p w14:paraId="3BD00CF2" w14:textId="77777777" w:rsidR="0039114B" w:rsidRPr="0039114B" w:rsidRDefault="0039114B" w:rsidP="0039114B">
      <w:pPr>
        <w:spacing w:after="240" w:line="240" w:lineRule="auto"/>
        <w:jc w:val="both"/>
        <w:rPr>
          <w:noProof/>
          <w:sz w:val="24"/>
          <w:szCs w:val="24"/>
        </w:rPr>
      </w:pPr>
      <w:r w:rsidRPr="0039114B">
        <w:rPr>
          <w:noProof/>
          <w:sz w:val="24"/>
          <w:szCs w:val="24"/>
        </w:rPr>
        <w:t>Same as PO1a.</w:t>
      </w:r>
    </w:p>
    <w:p w14:paraId="378D837F" w14:textId="77777777" w:rsidR="0039114B" w:rsidRPr="00601231" w:rsidRDefault="0039114B" w:rsidP="00DD3B24">
      <w:pPr>
        <w:pStyle w:val="BodyText"/>
        <w:numPr>
          <w:ilvl w:val="0"/>
          <w:numId w:val="12"/>
        </w:numPr>
        <w:spacing w:after="120"/>
        <w:ind w:left="714" w:hanging="357"/>
        <w:rPr>
          <w:b/>
          <w:noProof/>
          <w:sz w:val="24"/>
          <w:szCs w:val="24"/>
        </w:rPr>
      </w:pPr>
      <w:r w:rsidRPr="00601231">
        <w:rPr>
          <w:rFonts w:cstheme="minorHAnsi"/>
          <w:b/>
          <w:noProof/>
          <w:color w:val="242424"/>
          <w:sz w:val="24"/>
          <w:szCs w:val="24"/>
          <w:shd w:val="clear" w:color="auto" w:fill="FFFFFF"/>
        </w:rPr>
        <w:t>Impacts</w:t>
      </w:r>
      <w:r w:rsidRPr="00601231">
        <w:rPr>
          <w:rFonts w:cstheme="minorHAnsi"/>
          <w:b/>
          <w:bCs/>
          <w:noProof/>
          <w:color w:val="242424"/>
          <w:sz w:val="24"/>
          <w:szCs w:val="24"/>
          <w:shd w:val="clear" w:color="auto" w:fill="FFFFFF"/>
        </w:rPr>
        <w:t xml:space="preserve"> on the internal market and competitiveness</w:t>
      </w:r>
    </w:p>
    <w:p w14:paraId="2809E3A4" w14:textId="021CD7A8" w:rsidR="006645CE" w:rsidRPr="0039114B" w:rsidRDefault="0039114B" w:rsidP="006645CE">
      <w:pPr>
        <w:spacing w:after="240" w:line="240" w:lineRule="auto"/>
        <w:jc w:val="both"/>
        <w:rPr>
          <w:noProof/>
          <w:sz w:val="24"/>
          <w:szCs w:val="24"/>
        </w:rPr>
      </w:pPr>
      <w:r w:rsidRPr="0039114B">
        <w:rPr>
          <w:noProof/>
          <w:sz w:val="24"/>
          <w:szCs w:val="24"/>
        </w:rPr>
        <w:t xml:space="preserve">PO1b would, in comparison to PO1a, further incentivise the placing of safer software on the market, by covering </w:t>
      </w:r>
      <w:r w:rsidR="00FC349F">
        <w:rPr>
          <w:noProof/>
          <w:sz w:val="24"/>
          <w:szCs w:val="24"/>
        </w:rPr>
        <w:t>3</w:t>
      </w:r>
      <w:r w:rsidR="00FC349F" w:rsidRPr="002A0DBB">
        <w:rPr>
          <w:noProof/>
          <w:sz w:val="24"/>
          <w:szCs w:val="24"/>
          <w:vertAlign w:val="superscript"/>
        </w:rPr>
        <w:t>rd</w:t>
      </w:r>
      <w:r w:rsidR="00FC349F">
        <w:rPr>
          <w:noProof/>
          <w:sz w:val="24"/>
          <w:szCs w:val="24"/>
        </w:rPr>
        <w:t xml:space="preserve">-party </w:t>
      </w:r>
      <w:r w:rsidRPr="0039114B">
        <w:rPr>
          <w:noProof/>
          <w:sz w:val="24"/>
          <w:szCs w:val="24"/>
        </w:rPr>
        <w:t xml:space="preserve">software </w:t>
      </w:r>
      <w:r w:rsidR="00FC349F">
        <w:rPr>
          <w:noProof/>
          <w:sz w:val="24"/>
          <w:szCs w:val="24"/>
        </w:rPr>
        <w:t xml:space="preserve">that influences but is not necessary for a tangible product, and </w:t>
      </w:r>
      <w:r w:rsidR="00F82B1D">
        <w:rPr>
          <w:noProof/>
          <w:sz w:val="24"/>
          <w:szCs w:val="24"/>
        </w:rPr>
        <w:t xml:space="preserve">safety-relevant </w:t>
      </w:r>
      <w:r w:rsidR="00FC349F">
        <w:rPr>
          <w:noProof/>
          <w:sz w:val="24"/>
          <w:szCs w:val="24"/>
        </w:rPr>
        <w:t>standalone software</w:t>
      </w:r>
      <w:r w:rsidRPr="0039114B">
        <w:rPr>
          <w:noProof/>
          <w:sz w:val="24"/>
          <w:szCs w:val="24"/>
        </w:rPr>
        <w:t xml:space="preserve">. This broader scope would be better in line with existing and proposed product safety legislation (see section </w:t>
      </w:r>
      <w:r w:rsidRPr="006502EB">
        <w:rPr>
          <w:noProof/>
          <w:sz w:val="24"/>
          <w:szCs w:val="24"/>
        </w:rPr>
        <w:t>2.2.1.1</w:t>
      </w:r>
      <w:r w:rsidRPr="0039114B">
        <w:rPr>
          <w:noProof/>
          <w:sz w:val="24"/>
          <w:szCs w:val="24"/>
        </w:rPr>
        <w:t>). PO1b would also provide regulatory certainty about the availability of compensation for damage to digital property and could incentivise producers to improve the reliability of hard drives</w:t>
      </w:r>
      <w:r w:rsidR="009B583E">
        <w:rPr>
          <w:noProof/>
          <w:sz w:val="24"/>
          <w:szCs w:val="24"/>
        </w:rPr>
        <w:t xml:space="preserve"> and other data storage </w:t>
      </w:r>
      <w:r w:rsidR="00D46A09">
        <w:rPr>
          <w:noProof/>
          <w:sz w:val="24"/>
          <w:szCs w:val="24"/>
        </w:rPr>
        <w:t>devices</w:t>
      </w:r>
      <w:r w:rsidRPr="0039114B">
        <w:rPr>
          <w:noProof/>
          <w:sz w:val="24"/>
          <w:szCs w:val="24"/>
        </w:rPr>
        <w:t>.</w:t>
      </w:r>
      <w:r w:rsidR="006645CE">
        <w:rPr>
          <w:noProof/>
          <w:sz w:val="24"/>
          <w:szCs w:val="24"/>
        </w:rPr>
        <w:t xml:space="preserve"> Increasing regulatory clarity and closing liability gaps will benefit innovation. </w:t>
      </w:r>
    </w:p>
    <w:p w14:paraId="4AFAE140" w14:textId="430EF276" w:rsidR="008262D8" w:rsidRDefault="0060262D" w:rsidP="0039114B">
      <w:pPr>
        <w:pStyle w:val="BodyText"/>
        <w:spacing w:after="240"/>
        <w:rPr>
          <w:noProof/>
          <w:sz w:val="24"/>
          <w:szCs w:val="24"/>
        </w:rPr>
      </w:pPr>
      <w:r>
        <w:rPr>
          <w:noProof/>
          <w:sz w:val="24"/>
          <w:szCs w:val="24"/>
        </w:rPr>
        <w:t>PO1b</w:t>
      </w:r>
      <w:r w:rsidR="0039114B" w:rsidRPr="0039114B">
        <w:rPr>
          <w:noProof/>
          <w:sz w:val="24"/>
          <w:szCs w:val="24"/>
        </w:rPr>
        <w:t xml:space="preserve"> would </w:t>
      </w:r>
      <w:r>
        <w:rPr>
          <w:noProof/>
          <w:sz w:val="24"/>
          <w:szCs w:val="24"/>
        </w:rPr>
        <w:t xml:space="preserve">ensure that </w:t>
      </w:r>
      <w:r w:rsidR="006502EB">
        <w:rPr>
          <w:noProof/>
          <w:sz w:val="24"/>
          <w:szCs w:val="24"/>
        </w:rPr>
        <w:t>the deterrent effect of no-fault liability</w:t>
      </w:r>
      <w:r>
        <w:rPr>
          <w:noProof/>
          <w:sz w:val="24"/>
          <w:szCs w:val="24"/>
        </w:rPr>
        <w:t>, which encourages producers to place only safe products on the market, reaches non-EU producers also in cases where no authorised representative has been appointed. Including fulfilment service providers as liable persons in such cases is expected to reinforce the impacts of PO1a, with costs similarly passed on to non-EU producers in service fees.</w:t>
      </w:r>
      <w:r w:rsidR="006502EB">
        <w:rPr>
          <w:noProof/>
          <w:sz w:val="24"/>
          <w:szCs w:val="24"/>
        </w:rPr>
        <w:t xml:space="preserve"> </w:t>
      </w:r>
    </w:p>
    <w:p w14:paraId="7B3ED447" w14:textId="242F6081" w:rsidR="00AA3F13" w:rsidRPr="008E7764" w:rsidRDefault="00AA3F13" w:rsidP="00DD3B24">
      <w:pPr>
        <w:pStyle w:val="ListParagraph"/>
        <w:keepNext/>
        <w:numPr>
          <w:ilvl w:val="0"/>
          <w:numId w:val="12"/>
        </w:numPr>
        <w:spacing w:after="120"/>
        <w:ind w:left="714" w:hanging="357"/>
        <w:jc w:val="both"/>
        <w:rPr>
          <w:rFonts w:cstheme="minorHAnsi"/>
          <w:b/>
          <w:bCs/>
          <w:noProof/>
          <w:color w:val="242424"/>
          <w:sz w:val="24"/>
          <w:szCs w:val="24"/>
          <w:shd w:val="clear" w:color="auto" w:fill="FFFFFF"/>
        </w:rPr>
      </w:pPr>
      <w:r w:rsidRPr="008E7764">
        <w:rPr>
          <w:rFonts w:cstheme="minorHAnsi"/>
          <w:b/>
          <w:bCs/>
          <w:noProof/>
          <w:color w:val="242424"/>
          <w:sz w:val="24"/>
          <w:szCs w:val="24"/>
          <w:shd w:val="clear" w:color="auto" w:fill="FFFFFF"/>
        </w:rPr>
        <w:t xml:space="preserve">Impacts on the judicial system and </w:t>
      </w:r>
      <w:r w:rsidR="0057653B">
        <w:rPr>
          <w:rFonts w:cstheme="minorHAnsi"/>
          <w:b/>
          <w:bCs/>
          <w:noProof/>
          <w:color w:val="242424"/>
          <w:sz w:val="24"/>
          <w:szCs w:val="24"/>
          <w:shd w:val="clear" w:color="auto" w:fill="FFFFFF"/>
        </w:rPr>
        <w:t>legal</w:t>
      </w:r>
      <w:r w:rsidR="0057653B" w:rsidRPr="008E7764">
        <w:rPr>
          <w:rFonts w:cstheme="minorHAnsi"/>
          <w:b/>
          <w:bCs/>
          <w:noProof/>
          <w:color w:val="242424"/>
          <w:sz w:val="24"/>
          <w:szCs w:val="24"/>
          <w:shd w:val="clear" w:color="auto" w:fill="FFFFFF"/>
        </w:rPr>
        <w:t xml:space="preserve"> </w:t>
      </w:r>
      <w:r w:rsidRPr="008E7764">
        <w:rPr>
          <w:rFonts w:cstheme="minorHAnsi"/>
          <w:b/>
          <w:bCs/>
          <w:noProof/>
          <w:color w:val="242424"/>
          <w:sz w:val="24"/>
          <w:szCs w:val="24"/>
          <w:shd w:val="clear" w:color="auto" w:fill="FFFFFF"/>
        </w:rPr>
        <w:t>costs</w:t>
      </w:r>
    </w:p>
    <w:p w14:paraId="609A9FA5" w14:textId="77777777" w:rsidR="0036154F" w:rsidRDefault="00AA3F13" w:rsidP="00AA3F13">
      <w:pPr>
        <w:pStyle w:val="BodyText"/>
        <w:spacing w:after="240"/>
        <w:rPr>
          <w:noProof/>
          <w:sz w:val="24"/>
          <w:szCs w:val="24"/>
        </w:rPr>
      </w:pPr>
      <w:r>
        <w:rPr>
          <w:noProof/>
          <w:sz w:val="24"/>
          <w:szCs w:val="24"/>
        </w:rPr>
        <w:t xml:space="preserve">PO1b would </w:t>
      </w:r>
      <w:r w:rsidR="00386362">
        <w:rPr>
          <w:noProof/>
          <w:sz w:val="24"/>
          <w:szCs w:val="24"/>
        </w:rPr>
        <w:t xml:space="preserve">have </w:t>
      </w:r>
      <w:r w:rsidR="005A277B">
        <w:rPr>
          <w:noProof/>
          <w:sz w:val="24"/>
          <w:szCs w:val="24"/>
        </w:rPr>
        <w:t xml:space="preserve">additional </w:t>
      </w:r>
      <w:r w:rsidR="00386362">
        <w:rPr>
          <w:noProof/>
          <w:sz w:val="24"/>
          <w:szCs w:val="24"/>
        </w:rPr>
        <w:t>impacts compared to PO1a</w:t>
      </w:r>
      <w:r w:rsidR="0036154F">
        <w:rPr>
          <w:noProof/>
          <w:sz w:val="24"/>
          <w:szCs w:val="24"/>
        </w:rPr>
        <w:t xml:space="preserve">. </w:t>
      </w:r>
    </w:p>
    <w:p w14:paraId="7CD4FBE6" w14:textId="4F6E8A04" w:rsidR="0036154F" w:rsidRDefault="0036154F" w:rsidP="00AA3F13">
      <w:pPr>
        <w:pStyle w:val="BodyText"/>
        <w:spacing w:after="240"/>
        <w:rPr>
          <w:noProof/>
          <w:sz w:val="24"/>
          <w:szCs w:val="24"/>
        </w:rPr>
      </w:pPr>
      <w:r>
        <w:rPr>
          <w:noProof/>
          <w:sz w:val="24"/>
          <w:szCs w:val="24"/>
        </w:rPr>
        <w:t>F</w:t>
      </w:r>
      <w:r w:rsidRPr="00AA3F13">
        <w:rPr>
          <w:noProof/>
          <w:sz w:val="24"/>
          <w:szCs w:val="24"/>
        </w:rPr>
        <w:t xml:space="preserve">or software </w:t>
      </w:r>
      <w:r>
        <w:rPr>
          <w:noProof/>
          <w:sz w:val="24"/>
          <w:szCs w:val="24"/>
        </w:rPr>
        <w:t>producers</w:t>
      </w:r>
      <w:r w:rsidRPr="00AA3F13">
        <w:rPr>
          <w:noProof/>
          <w:sz w:val="24"/>
          <w:szCs w:val="24"/>
        </w:rPr>
        <w:t xml:space="preserve"> and related </w:t>
      </w:r>
      <w:r>
        <w:rPr>
          <w:noProof/>
          <w:sz w:val="24"/>
          <w:szCs w:val="24"/>
        </w:rPr>
        <w:t>victims of harm</w:t>
      </w:r>
      <w:r w:rsidR="00386362">
        <w:rPr>
          <w:noProof/>
          <w:sz w:val="24"/>
          <w:szCs w:val="24"/>
        </w:rPr>
        <w:t xml:space="preserve">, </w:t>
      </w:r>
      <w:r>
        <w:rPr>
          <w:noProof/>
          <w:sz w:val="24"/>
          <w:szCs w:val="24"/>
        </w:rPr>
        <w:t xml:space="preserve">PO1b would reduce </w:t>
      </w:r>
      <w:r w:rsidR="00AA3F13">
        <w:rPr>
          <w:noProof/>
          <w:sz w:val="24"/>
          <w:szCs w:val="24"/>
        </w:rPr>
        <w:t xml:space="preserve">the annual </w:t>
      </w:r>
      <w:r w:rsidR="0057653B">
        <w:rPr>
          <w:noProof/>
          <w:sz w:val="24"/>
          <w:szCs w:val="24"/>
        </w:rPr>
        <w:t xml:space="preserve">legal </w:t>
      </w:r>
      <w:r w:rsidR="00AA3F13">
        <w:rPr>
          <w:noProof/>
          <w:sz w:val="24"/>
          <w:szCs w:val="24"/>
        </w:rPr>
        <w:t xml:space="preserve">costs by </w:t>
      </w:r>
      <w:r w:rsidR="00AA3F13" w:rsidRPr="00112E8C">
        <w:rPr>
          <w:noProof/>
          <w:sz w:val="24"/>
          <w:szCs w:val="24"/>
        </w:rPr>
        <w:t>4%</w:t>
      </w:r>
      <w:r w:rsidR="006D2C45">
        <w:rPr>
          <w:rStyle w:val="FootnoteReference"/>
          <w:noProof/>
          <w:sz w:val="24"/>
          <w:szCs w:val="24"/>
        </w:rPr>
        <w:footnoteReference w:id="214"/>
      </w:r>
      <w:r w:rsidR="00E71FE9">
        <w:rPr>
          <w:noProof/>
          <w:sz w:val="24"/>
          <w:szCs w:val="24"/>
        </w:rPr>
        <w:t>,</w:t>
      </w:r>
      <w:r w:rsidR="00E71FE9" w:rsidRPr="00A26215">
        <w:rPr>
          <w:noProof/>
          <w:sz w:val="24"/>
          <w:szCs w:val="24"/>
        </w:rPr>
        <w:t xml:space="preserve"> </w:t>
      </w:r>
      <w:r w:rsidR="00E71FE9">
        <w:rPr>
          <w:noProof/>
          <w:sz w:val="24"/>
          <w:szCs w:val="24"/>
        </w:rPr>
        <w:t xml:space="preserve">due to </w:t>
      </w:r>
      <w:r w:rsidR="009D27BE">
        <w:rPr>
          <w:noProof/>
          <w:sz w:val="24"/>
          <w:szCs w:val="24"/>
        </w:rPr>
        <w:t xml:space="preserve">the broader application of no-fault liability, meaning </w:t>
      </w:r>
      <w:r w:rsidR="00E71FE9">
        <w:rPr>
          <w:noProof/>
          <w:sz w:val="24"/>
          <w:szCs w:val="24"/>
        </w:rPr>
        <w:t>shorter proceedings</w:t>
      </w:r>
      <w:r>
        <w:rPr>
          <w:noProof/>
          <w:sz w:val="24"/>
          <w:szCs w:val="24"/>
        </w:rPr>
        <w:t xml:space="preserve">, while increasing </w:t>
      </w:r>
      <w:r w:rsidR="00D9710F">
        <w:rPr>
          <w:noProof/>
          <w:sz w:val="24"/>
          <w:szCs w:val="24"/>
        </w:rPr>
        <w:t>the number</w:t>
      </w:r>
      <w:r w:rsidR="00106FB7" w:rsidRPr="00AA3F13">
        <w:rPr>
          <w:noProof/>
          <w:sz w:val="24"/>
          <w:szCs w:val="24"/>
        </w:rPr>
        <w:t xml:space="preserve"> </w:t>
      </w:r>
      <w:r w:rsidR="00106FB7">
        <w:rPr>
          <w:noProof/>
          <w:sz w:val="24"/>
          <w:szCs w:val="24"/>
        </w:rPr>
        <w:t xml:space="preserve">of </w:t>
      </w:r>
      <w:r w:rsidR="00A26215">
        <w:rPr>
          <w:noProof/>
          <w:sz w:val="24"/>
          <w:szCs w:val="24"/>
        </w:rPr>
        <w:t>in-court and out-of-court cases</w:t>
      </w:r>
      <w:r w:rsidR="00D9710F">
        <w:rPr>
          <w:noProof/>
          <w:sz w:val="24"/>
          <w:szCs w:val="24"/>
        </w:rPr>
        <w:t xml:space="preserve"> </w:t>
      </w:r>
      <w:r w:rsidR="006555FB">
        <w:rPr>
          <w:noProof/>
          <w:sz w:val="24"/>
          <w:szCs w:val="24"/>
        </w:rPr>
        <w:t>by</w:t>
      </w:r>
      <w:r w:rsidR="00DA278D">
        <w:rPr>
          <w:noProof/>
          <w:sz w:val="24"/>
          <w:szCs w:val="24"/>
        </w:rPr>
        <w:t xml:space="preserve"> around </w:t>
      </w:r>
      <w:r>
        <w:rPr>
          <w:noProof/>
          <w:sz w:val="24"/>
          <w:szCs w:val="24"/>
        </w:rPr>
        <w:t>2%.</w:t>
      </w:r>
      <w:r w:rsidR="00AB6568">
        <w:rPr>
          <w:noProof/>
          <w:sz w:val="24"/>
          <w:szCs w:val="24"/>
        </w:rPr>
        <w:t xml:space="preserve">This small increase in cases is expected to largely cancel out the small decrease in legal costs. </w:t>
      </w:r>
    </w:p>
    <w:p w14:paraId="620A6392" w14:textId="1780B963" w:rsidR="0036154F" w:rsidRDefault="0036154F" w:rsidP="00AA3F13">
      <w:pPr>
        <w:pStyle w:val="BodyText"/>
        <w:spacing w:after="240"/>
        <w:rPr>
          <w:noProof/>
          <w:sz w:val="24"/>
          <w:szCs w:val="24"/>
        </w:rPr>
      </w:pPr>
      <w:r>
        <w:rPr>
          <w:noProof/>
          <w:sz w:val="24"/>
          <w:szCs w:val="24"/>
        </w:rPr>
        <w:t>PO1b would also lead to an increase of</w:t>
      </w:r>
      <w:r w:rsidR="00DA278D">
        <w:rPr>
          <w:noProof/>
          <w:sz w:val="24"/>
          <w:szCs w:val="24"/>
        </w:rPr>
        <w:t xml:space="preserve"> around</w:t>
      </w:r>
      <w:r>
        <w:rPr>
          <w:noProof/>
          <w:sz w:val="24"/>
          <w:szCs w:val="24"/>
        </w:rPr>
        <w:t xml:space="preserve"> </w:t>
      </w:r>
      <w:r w:rsidR="00DA278D">
        <w:rPr>
          <w:noProof/>
          <w:sz w:val="24"/>
          <w:szCs w:val="24"/>
        </w:rPr>
        <w:t>6</w:t>
      </w:r>
      <w:r>
        <w:rPr>
          <w:noProof/>
          <w:sz w:val="24"/>
          <w:szCs w:val="24"/>
        </w:rPr>
        <w:t xml:space="preserve">% in the number of </w:t>
      </w:r>
      <w:r w:rsidR="00033045">
        <w:rPr>
          <w:noProof/>
          <w:sz w:val="24"/>
          <w:szCs w:val="24"/>
        </w:rPr>
        <w:t xml:space="preserve">in-court and out-of-court cases </w:t>
      </w:r>
      <w:r>
        <w:rPr>
          <w:noProof/>
          <w:sz w:val="24"/>
          <w:szCs w:val="24"/>
        </w:rPr>
        <w:t xml:space="preserve">related to </w:t>
      </w:r>
      <w:r w:rsidRPr="00651198">
        <w:rPr>
          <w:rFonts w:eastAsia="Calibri"/>
          <w:noProof/>
          <w:sz w:val="24"/>
          <w:szCs w:val="24"/>
        </w:rPr>
        <w:t xml:space="preserve">manufacturers of </w:t>
      </w:r>
      <w:r w:rsidR="006555FB">
        <w:rPr>
          <w:rFonts w:eastAsia="Calibri"/>
          <w:noProof/>
          <w:sz w:val="24"/>
          <w:szCs w:val="24"/>
        </w:rPr>
        <w:t>electronic devices</w:t>
      </w:r>
      <w:r w:rsidR="00033045">
        <w:rPr>
          <w:rFonts w:eastAsia="Calibri"/>
          <w:noProof/>
          <w:sz w:val="24"/>
          <w:szCs w:val="24"/>
        </w:rPr>
        <w:t xml:space="preserve">. Finally, </w:t>
      </w:r>
      <w:r w:rsidR="00033045">
        <w:rPr>
          <w:noProof/>
          <w:sz w:val="24"/>
          <w:szCs w:val="24"/>
        </w:rPr>
        <w:t>fulfilment service providers liable</w:t>
      </w:r>
      <w:r w:rsidR="00033045" w:rsidRPr="00C80854">
        <w:rPr>
          <w:noProof/>
          <w:sz w:val="24"/>
          <w:szCs w:val="24"/>
        </w:rPr>
        <w:t xml:space="preserve"> would </w:t>
      </w:r>
      <w:r w:rsidR="00033045">
        <w:rPr>
          <w:noProof/>
          <w:sz w:val="24"/>
          <w:szCs w:val="24"/>
        </w:rPr>
        <w:t xml:space="preserve">potentially lead to an </w:t>
      </w:r>
      <w:r w:rsidR="00033045" w:rsidRPr="00C80854">
        <w:rPr>
          <w:noProof/>
          <w:sz w:val="24"/>
          <w:szCs w:val="24"/>
        </w:rPr>
        <w:t xml:space="preserve">increase </w:t>
      </w:r>
      <w:r w:rsidR="00033045">
        <w:rPr>
          <w:noProof/>
          <w:sz w:val="24"/>
          <w:szCs w:val="24"/>
        </w:rPr>
        <w:t>of 1% in the annual number of in-court and out-of-court cases</w:t>
      </w:r>
      <w:r w:rsidR="00033045" w:rsidRPr="00C80854">
        <w:rPr>
          <w:noProof/>
          <w:sz w:val="24"/>
          <w:szCs w:val="24"/>
        </w:rPr>
        <w:t>.</w:t>
      </w:r>
      <w:r w:rsidR="00033045">
        <w:rPr>
          <w:rFonts w:eastAsia="Calibri"/>
          <w:noProof/>
          <w:sz w:val="24"/>
          <w:szCs w:val="24"/>
        </w:rPr>
        <w:t xml:space="preserve"> </w:t>
      </w:r>
    </w:p>
    <w:p w14:paraId="474DA727" w14:textId="764CC5AF" w:rsidR="00386362" w:rsidRDefault="00EE373C"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Taking all this into account, u</w:t>
      </w:r>
      <w:r w:rsidR="0057653B" w:rsidRPr="005833F7">
        <w:rPr>
          <w:noProof/>
          <w:sz w:val="24"/>
          <w:szCs w:val="24"/>
        </w:rPr>
        <w:t>nder PO1</w:t>
      </w:r>
      <w:r w:rsidR="0057653B">
        <w:rPr>
          <w:noProof/>
          <w:sz w:val="24"/>
          <w:szCs w:val="24"/>
        </w:rPr>
        <w:t>b</w:t>
      </w:r>
      <w:r w:rsidR="00EE7DA7">
        <w:rPr>
          <w:noProof/>
          <w:sz w:val="24"/>
          <w:szCs w:val="24"/>
        </w:rPr>
        <w:t xml:space="preserve"> the</w:t>
      </w:r>
      <w:r w:rsidR="00A26215">
        <w:rPr>
          <w:noProof/>
          <w:sz w:val="24"/>
          <w:szCs w:val="24"/>
        </w:rPr>
        <w:t xml:space="preserve"> </w:t>
      </w:r>
      <w:r w:rsidR="0057653B" w:rsidRPr="005833F7">
        <w:rPr>
          <w:noProof/>
          <w:sz w:val="24"/>
          <w:szCs w:val="24"/>
        </w:rPr>
        <w:t xml:space="preserve">total </w:t>
      </w:r>
      <w:r w:rsidR="0057653B" w:rsidRPr="0086429B">
        <w:rPr>
          <w:b/>
          <w:noProof/>
          <w:sz w:val="24"/>
          <w:szCs w:val="24"/>
        </w:rPr>
        <w:t>annual</w:t>
      </w:r>
      <w:r w:rsidR="0057653B">
        <w:rPr>
          <w:noProof/>
          <w:sz w:val="24"/>
          <w:szCs w:val="24"/>
        </w:rPr>
        <w:t xml:space="preserve"> </w:t>
      </w:r>
      <w:r w:rsidR="0057653B">
        <w:rPr>
          <w:b/>
          <w:noProof/>
          <w:sz w:val="24"/>
          <w:szCs w:val="24"/>
        </w:rPr>
        <w:t>legal</w:t>
      </w:r>
      <w:r w:rsidR="0057653B" w:rsidRPr="00C94C14">
        <w:rPr>
          <w:b/>
          <w:noProof/>
          <w:sz w:val="24"/>
          <w:szCs w:val="24"/>
        </w:rPr>
        <w:t xml:space="preserve"> costs</w:t>
      </w:r>
      <w:r w:rsidR="0057653B">
        <w:rPr>
          <w:noProof/>
          <w:sz w:val="24"/>
          <w:szCs w:val="24"/>
        </w:rPr>
        <w:t xml:space="preserve"> </w:t>
      </w:r>
      <w:r w:rsidR="00106FB7" w:rsidRPr="00AA3F13">
        <w:rPr>
          <w:noProof/>
          <w:sz w:val="24"/>
          <w:szCs w:val="24"/>
        </w:rPr>
        <w:t xml:space="preserve">are </w:t>
      </w:r>
      <w:r w:rsidR="00F34687">
        <w:rPr>
          <w:noProof/>
          <w:sz w:val="24"/>
          <w:szCs w:val="24"/>
        </w:rPr>
        <w:t>assessed</w:t>
      </w:r>
      <w:r w:rsidR="00F34687" w:rsidRPr="00AA3F13">
        <w:rPr>
          <w:noProof/>
          <w:sz w:val="24"/>
          <w:szCs w:val="24"/>
        </w:rPr>
        <w:t xml:space="preserve"> </w:t>
      </w:r>
      <w:r w:rsidR="00106FB7" w:rsidRPr="00AA3F13">
        <w:rPr>
          <w:noProof/>
          <w:sz w:val="24"/>
          <w:szCs w:val="24"/>
        </w:rPr>
        <w:t>to</w:t>
      </w:r>
      <w:r w:rsidR="00106FB7">
        <w:rPr>
          <w:noProof/>
          <w:sz w:val="24"/>
          <w:szCs w:val="24"/>
        </w:rPr>
        <w:t xml:space="preserve"> slightly</w:t>
      </w:r>
      <w:r w:rsidR="00106FB7" w:rsidRPr="00AA3F13">
        <w:rPr>
          <w:noProof/>
          <w:sz w:val="24"/>
          <w:szCs w:val="24"/>
        </w:rPr>
        <w:t xml:space="preserve"> increase incrementally compared to the baseline, </w:t>
      </w:r>
      <w:r w:rsidR="00106FB7">
        <w:rPr>
          <w:noProof/>
          <w:sz w:val="24"/>
          <w:szCs w:val="24"/>
        </w:rPr>
        <w:t xml:space="preserve">with an increase between </w:t>
      </w:r>
      <w:r w:rsidR="00D33490">
        <w:rPr>
          <w:noProof/>
          <w:sz w:val="24"/>
          <w:szCs w:val="24"/>
        </w:rPr>
        <w:t>1.12</w:t>
      </w:r>
      <w:r w:rsidR="00106FB7">
        <w:rPr>
          <w:noProof/>
          <w:sz w:val="24"/>
          <w:szCs w:val="24"/>
        </w:rPr>
        <w:t xml:space="preserve"> and </w:t>
      </w:r>
      <w:r w:rsidR="00D33490">
        <w:rPr>
          <w:noProof/>
          <w:sz w:val="24"/>
          <w:szCs w:val="24"/>
        </w:rPr>
        <w:t>2.75</w:t>
      </w:r>
      <w:r w:rsidR="00106FB7">
        <w:rPr>
          <w:noProof/>
          <w:sz w:val="24"/>
          <w:szCs w:val="24"/>
        </w:rPr>
        <w:t xml:space="preserve"> </w:t>
      </w:r>
      <w:r w:rsidR="00106FB7" w:rsidRPr="00AA3F13">
        <w:rPr>
          <w:noProof/>
          <w:sz w:val="24"/>
          <w:szCs w:val="24"/>
        </w:rPr>
        <w:t>EUR million</w:t>
      </w:r>
      <w:r w:rsidR="0057653B">
        <w:rPr>
          <w:noProof/>
          <w:sz w:val="24"/>
          <w:szCs w:val="24"/>
        </w:rPr>
        <w:t>.</w:t>
      </w:r>
    </w:p>
    <w:p w14:paraId="05E31EBC" w14:textId="77777777" w:rsidR="0039114B" w:rsidRPr="0039114B" w:rsidRDefault="0039114B" w:rsidP="00F34687">
      <w:pPr>
        <w:spacing w:after="240" w:line="240" w:lineRule="auto"/>
        <w:jc w:val="both"/>
        <w:rPr>
          <w:b/>
          <w:noProof/>
          <w:sz w:val="24"/>
          <w:szCs w:val="24"/>
          <w:u w:val="single"/>
        </w:rPr>
      </w:pPr>
      <w:r w:rsidRPr="0039114B">
        <w:rPr>
          <w:b/>
          <w:noProof/>
          <w:sz w:val="24"/>
          <w:szCs w:val="24"/>
          <w:u w:val="single"/>
        </w:rPr>
        <w:t>Social impacts</w:t>
      </w:r>
    </w:p>
    <w:p w14:paraId="751EBA3C" w14:textId="77777777" w:rsidR="0039114B" w:rsidRPr="0039114B" w:rsidRDefault="0039114B" w:rsidP="00DD3B24">
      <w:pPr>
        <w:pStyle w:val="BodyText"/>
        <w:numPr>
          <w:ilvl w:val="0"/>
          <w:numId w:val="14"/>
        </w:numPr>
        <w:spacing w:after="120"/>
        <w:ind w:left="714" w:hanging="357"/>
        <w:rPr>
          <w:b/>
          <w:noProof/>
          <w:sz w:val="24"/>
          <w:szCs w:val="24"/>
        </w:rPr>
      </w:pPr>
      <w:r w:rsidRPr="0039114B">
        <w:rPr>
          <w:rFonts w:cstheme="minorHAnsi"/>
          <w:b/>
          <w:noProof/>
          <w:color w:val="242424"/>
          <w:sz w:val="24"/>
          <w:szCs w:val="24"/>
          <w:shd w:val="clear" w:color="auto" w:fill="FFFFFF"/>
        </w:rPr>
        <w:t>Impacts</w:t>
      </w:r>
      <w:r w:rsidRPr="0039114B">
        <w:rPr>
          <w:b/>
          <w:noProof/>
          <w:sz w:val="24"/>
          <w:szCs w:val="24"/>
        </w:rPr>
        <w:t xml:space="preserve"> on consumers</w:t>
      </w:r>
    </w:p>
    <w:p w14:paraId="0C903F04" w14:textId="1DA6F71F" w:rsidR="00CD2236" w:rsidRDefault="0039114B" w:rsidP="0039114B">
      <w:pPr>
        <w:pStyle w:val="BodyText"/>
        <w:spacing w:after="240"/>
        <w:rPr>
          <w:noProof/>
          <w:sz w:val="24"/>
          <w:szCs w:val="24"/>
        </w:rPr>
      </w:pPr>
      <w:r w:rsidRPr="0039114B">
        <w:rPr>
          <w:noProof/>
          <w:sz w:val="24"/>
          <w:szCs w:val="24"/>
        </w:rPr>
        <w:t xml:space="preserve">Consumer benefits would be greater under PO1b than PO1a. BEUC, the consumer organisation, has stressed that recognising software as a product in its own right is essential, since software can be purchased separately from producers </w:t>
      </w:r>
      <w:r w:rsidR="00B65FD9">
        <w:rPr>
          <w:noProof/>
          <w:sz w:val="24"/>
          <w:szCs w:val="24"/>
        </w:rPr>
        <w:t>beyond the control of</w:t>
      </w:r>
      <w:r w:rsidRPr="0039114B">
        <w:rPr>
          <w:noProof/>
          <w:sz w:val="24"/>
          <w:szCs w:val="24"/>
        </w:rPr>
        <w:t xml:space="preserve"> hardware producers</w:t>
      </w:r>
      <w:r w:rsidRPr="0039114B">
        <w:rPr>
          <w:rStyle w:val="FootnoteReference"/>
          <w:noProof/>
          <w:sz w:val="24"/>
          <w:szCs w:val="24"/>
        </w:rPr>
        <w:footnoteReference w:id="215"/>
      </w:r>
      <w:r w:rsidRPr="0039114B">
        <w:rPr>
          <w:noProof/>
          <w:sz w:val="24"/>
          <w:szCs w:val="24"/>
        </w:rPr>
        <w:t xml:space="preserve">. Consumers would also benefit from the possibility of compensation for </w:t>
      </w:r>
      <w:r w:rsidR="005E78FC">
        <w:rPr>
          <w:noProof/>
          <w:sz w:val="24"/>
          <w:szCs w:val="24"/>
        </w:rPr>
        <w:t>material</w:t>
      </w:r>
      <w:r w:rsidR="005E78FC" w:rsidRPr="0039114B">
        <w:rPr>
          <w:noProof/>
          <w:sz w:val="24"/>
          <w:szCs w:val="24"/>
        </w:rPr>
        <w:t xml:space="preserve"> </w:t>
      </w:r>
      <w:r w:rsidRPr="0039114B">
        <w:rPr>
          <w:noProof/>
          <w:sz w:val="24"/>
          <w:szCs w:val="24"/>
        </w:rPr>
        <w:t>losses resulting from damage to digital property (</w:t>
      </w:r>
      <w:r w:rsidR="0044165E">
        <w:rPr>
          <w:noProof/>
          <w:sz w:val="24"/>
          <w:szCs w:val="24"/>
        </w:rPr>
        <w:t>digital content</w:t>
      </w:r>
      <w:r w:rsidR="0044165E" w:rsidRPr="0039114B">
        <w:rPr>
          <w:noProof/>
          <w:sz w:val="24"/>
          <w:szCs w:val="24"/>
        </w:rPr>
        <w:t xml:space="preserve"> </w:t>
      </w:r>
      <w:r w:rsidRPr="0039114B">
        <w:rPr>
          <w:noProof/>
          <w:sz w:val="24"/>
          <w:szCs w:val="24"/>
        </w:rPr>
        <w:t xml:space="preserve">on a </w:t>
      </w:r>
      <w:r w:rsidR="009B6C7A">
        <w:rPr>
          <w:noProof/>
          <w:sz w:val="24"/>
          <w:szCs w:val="24"/>
        </w:rPr>
        <w:t>data-storage device</w:t>
      </w:r>
      <w:r w:rsidRPr="0039114B">
        <w:rPr>
          <w:noProof/>
          <w:sz w:val="24"/>
          <w:szCs w:val="24"/>
        </w:rPr>
        <w:t xml:space="preserve">). </w:t>
      </w:r>
    </w:p>
    <w:p w14:paraId="2F57B36B" w14:textId="35033D54" w:rsidR="009B6C7A" w:rsidRDefault="0039114B" w:rsidP="002A6280">
      <w:pPr>
        <w:spacing w:after="240" w:line="240" w:lineRule="auto"/>
        <w:jc w:val="both"/>
        <w:rPr>
          <w:noProof/>
          <w:sz w:val="24"/>
          <w:szCs w:val="24"/>
        </w:rPr>
      </w:pPr>
      <w:r w:rsidRPr="0039114B">
        <w:rPr>
          <w:noProof/>
          <w:sz w:val="24"/>
          <w:szCs w:val="24"/>
        </w:rPr>
        <w:t xml:space="preserve">Finally, consumers would benefit from the </w:t>
      </w:r>
      <w:r w:rsidR="0085572F">
        <w:rPr>
          <w:noProof/>
          <w:sz w:val="24"/>
          <w:szCs w:val="24"/>
        </w:rPr>
        <w:t xml:space="preserve">greater </w:t>
      </w:r>
      <w:r w:rsidRPr="0039114B">
        <w:rPr>
          <w:noProof/>
          <w:sz w:val="24"/>
          <w:szCs w:val="24"/>
        </w:rPr>
        <w:t xml:space="preserve">possibility to get compensation </w:t>
      </w:r>
      <w:r w:rsidR="0085572F">
        <w:rPr>
          <w:noProof/>
          <w:sz w:val="24"/>
          <w:szCs w:val="24"/>
        </w:rPr>
        <w:t>when defective 3</w:t>
      </w:r>
      <w:r w:rsidR="0085572F" w:rsidRPr="009B6C7A">
        <w:rPr>
          <w:noProof/>
          <w:sz w:val="24"/>
          <w:szCs w:val="24"/>
          <w:vertAlign w:val="superscript"/>
        </w:rPr>
        <w:t>rd</w:t>
      </w:r>
      <w:r w:rsidR="0085572F">
        <w:rPr>
          <w:noProof/>
          <w:sz w:val="24"/>
          <w:szCs w:val="24"/>
        </w:rPr>
        <w:t xml:space="preserve">-country products cause harm, </w:t>
      </w:r>
      <w:r w:rsidR="009B6C7A">
        <w:rPr>
          <w:noProof/>
          <w:sz w:val="24"/>
          <w:szCs w:val="24"/>
        </w:rPr>
        <w:t>due to</w:t>
      </w:r>
      <w:r w:rsidRPr="0039114B">
        <w:rPr>
          <w:noProof/>
          <w:sz w:val="24"/>
          <w:szCs w:val="24"/>
        </w:rPr>
        <w:t xml:space="preserve"> fulfilment service providers </w:t>
      </w:r>
      <w:r w:rsidR="0085572F">
        <w:rPr>
          <w:noProof/>
          <w:sz w:val="24"/>
          <w:szCs w:val="24"/>
        </w:rPr>
        <w:t xml:space="preserve">becoming potentially liable </w:t>
      </w:r>
      <w:r w:rsidR="008D0A0A">
        <w:rPr>
          <w:noProof/>
          <w:sz w:val="24"/>
          <w:szCs w:val="24"/>
        </w:rPr>
        <w:t xml:space="preserve">when an </w:t>
      </w:r>
      <w:r w:rsidRPr="0039114B">
        <w:rPr>
          <w:noProof/>
          <w:sz w:val="24"/>
          <w:szCs w:val="24"/>
        </w:rPr>
        <w:t>authorised representative</w:t>
      </w:r>
      <w:r w:rsidR="008D0A0A">
        <w:rPr>
          <w:noProof/>
          <w:sz w:val="24"/>
          <w:szCs w:val="24"/>
        </w:rPr>
        <w:t xml:space="preserve"> has not been appointed</w:t>
      </w:r>
      <w:r w:rsidRPr="0039114B">
        <w:rPr>
          <w:noProof/>
          <w:sz w:val="24"/>
          <w:szCs w:val="24"/>
        </w:rPr>
        <w:t xml:space="preserve">. </w:t>
      </w:r>
      <w:r w:rsidR="00A55C90">
        <w:rPr>
          <w:noProof/>
          <w:sz w:val="24"/>
          <w:szCs w:val="24"/>
        </w:rPr>
        <w:t>It should be noted that several stakeholders</w:t>
      </w:r>
      <w:r w:rsidR="0078687B">
        <w:rPr>
          <w:rStyle w:val="FootnoteReference"/>
          <w:noProof/>
          <w:sz w:val="24"/>
          <w:szCs w:val="24"/>
        </w:rPr>
        <w:footnoteReference w:id="216"/>
      </w:r>
      <w:r w:rsidR="00A55C90">
        <w:rPr>
          <w:noProof/>
          <w:sz w:val="24"/>
          <w:szCs w:val="24"/>
        </w:rPr>
        <w:t xml:space="preserve"> </w:t>
      </w:r>
      <w:r w:rsidRPr="0039114B">
        <w:rPr>
          <w:noProof/>
          <w:sz w:val="24"/>
          <w:szCs w:val="24"/>
        </w:rPr>
        <w:t xml:space="preserve">called for </w:t>
      </w:r>
      <w:r w:rsidR="00A57884">
        <w:rPr>
          <w:noProof/>
          <w:sz w:val="24"/>
          <w:szCs w:val="24"/>
        </w:rPr>
        <w:t xml:space="preserve">providers of </w:t>
      </w:r>
      <w:r w:rsidRPr="0039114B">
        <w:rPr>
          <w:noProof/>
          <w:sz w:val="24"/>
          <w:szCs w:val="24"/>
        </w:rPr>
        <w:t>online marketplaces</w:t>
      </w:r>
      <w:r w:rsidR="00A57884">
        <w:rPr>
          <w:noProof/>
          <w:sz w:val="24"/>
          <w:szCs w:val="24"/>
        </w:rPr>
        <w:t>,</w:t>
      </w:r>
      <w:r w:rsidRPr="0039114B">
        <w:rPr>
          <w:noProof/>
          <w:sz w:val="24"/>
          <w:szCs w:val="24"/>
        </w:rPr>
        <w:t xml:space="preserve"> </w:t>
      </w:r>
      <w:r w:rsidR="00A57884">
        <w:rPr>
          <w:noProof/>
          <w:sz w:val="24"/>
          <w:szCs w:val="24"/>
        </w:rPr>
        <w:t>which</w:t>
      </w:r>
      <w:r w:rsidRPr="0039114B">
        <w:rPr>
          <w:noProof/>
          <w:sz w:val="24"/>
          <w:szCs w:val="24"/>
        </w:rPr>
        <w:t xml:space="preserve"> merely intermediate sales between non-EU sellers and EU consumers</w:t>
      </w:r>
      <w:r w:rsidR="00A57884">
        <w:rPr>
          <w:noProof/>
          <w:sz w:val="24"/>
          <w:szCs w:val="24"/>
        </w:rPr>
        <w:t>,</w:t>
      </w:r>
      <w:r w:rsidRPr="0039114B">
        <w:rPr>
          <w:noProof/>
          <w:sz w:val="24"/>
          <w:szCs w:val="24"/>
        </w:rPr>
        <w:t xml:space="preserve"> to shoulder no-fault liability rather than authorised representatives or fulfilment service providers. But this would </w:t>
      </w:r>
      <w:r w:rsidR="009B6C7A">
        <w:rPr>
          <w:noProof/>
          <w:sz w:val="24"/>
          <w:szCs w:val="24"/>
        </w:rPr>
        <w:t>be inconsistent with the conditional liability exemption of online marketplaces under the eCommerce Directive and</w:t>
      </w:r>
      <w:r w:rsidRPr="0039114B">
        <w:rPr>
          <w:noProof/>
          <w:sz w:val="24"/>
          <w:szCs w:val="24"/>
        </w:rPr>
        <w:t xml:space="preserve"> </w:t>
      </w:r>
      <w:r w:rsidR="00DF6F5A">
        <w:rPr>
          <w:noProof/>
          <w:sz w:val="24"/>
          <w:szCs w:val="24"/>
        </w:rPr>
        <w:t xml:space="preserve">proposed </w:t>
      </w:r>
      <w:r w:rsidR="00DF6F5A" w:rsidRPr="0049491B">
        <w:rPr>
          <w:noProof/>
          <w:sz w:val="24"/>
          <w:szCs w:val="24"/>
        </w:rPr>
        <w:t>Digital Services Act</w:t>
      </w:r>
      <w:r w:rsidR="0078687B">
        <w:rPr>
          <w:noProof/>
          <w:sz w:val="24"/>
          <w:szCs w:val="24"/>
        </w:rPr>
        <w:t xml:space="preserve"> (see annex </w:t>
      </w:r>
      <w:r w:rsidR="00F23D15">
        <w:rPr>
          <w:noProof/>
          <w:sz w:val="24"/>
          <w:szCs w:val="24"/>
        </w:rPr>
        <w:t>5</w:t>
      </w:r>
      <w:r w:rsidR="0078687B">
        <w:rPr>
          <w:noProof/>
          <w:sz w:val="24"/>
          <w:szCs w:val="24"/>
        </w:rPr>
        <w:t>)</w:t>
      </w:r>
      <w:r w:rsidR="00DF6F5A">
        <w:rPr>
          <w:noProof/>
          <w:sz w:val="24"/>
          <w:szCs w:val="24"/>
        </w:rPr>
        <w:t xml:space="preserve">. </w:t>
      </w:r>
    </w:p>
    <w:p w14:paraId="7DCC199A" w14:textId="1DDAD826" w:rsidR="002A6280" w:rsidRDefault="00671675" w:rsidP="002A6280">
      <w:pPr>
        <w:spacing w:after="240" w:line="240" w:lineRule="auto"/>
        <w:jc w:val="both"/>
        <w:rPr>
          <w:noProof/>
          <w:sz w:val="24"/>
          <w:szCs w:val="24"/>
        </w:rPr>
      </w:pPr>
      <w:r>
        <w:rPr>
          <w:noProof/>
          <w:sz w:val="24"/>
          <w:szCs w:val="24"/>
        </w:rPr>
        <w:t xml:space="preserve">In line with the impacts on the judicial system described above, </w:t>
      </w:r>
      <w:r w:rsidR="002A6280" w:rsidRPr="00106FB7">
        <w:rPr>
          <w:noProof/>
          <w:sz w:val="24"/>
          <w:szCs w:val="24"/>
        </w:rPr>
        <w:t>PO1b would increase the annual number of in</w:t>
      </w:r>
      <w:r w:rsidR="009B6C7A">
        <w:rPr>
          <w:noProof/>
          <w:sz w:val="24"/>
          <w:szCs w:val="24"/>
        </w:rPr>
        <w:t>-</w:t>
      </w:r>
      <w:r w:rsidR="002A6280" w:rsidRPr="00106FB7">
        <w:rPr>
          <w:noProof/>
          <w:sz w:val="24"/>
          <w:szCs w:val="24"/>
        </w:rPr>
        <w:t>court and out</w:t>
      </w:r>
      <w:r w:rsidR="009B6C7A">
        <w:rPr>
          <w:noProof/>
          <w:sz w:val="24"/>
          <w:szCs w:val="24"/>
        </w:rPr>
        <w:t>-</w:t>
      </w:r>
      <w:r w:rsidR="002A6280" w:rsidRPr="00106FB7">
        <w:rPr>
          <w:noProof/>
          <w:sz w:val="24"/>
          <w:szCs w:val="24"/>
        </w:rPr>
        <w:t>of</w:t>
      </w:r>
      <w:r w:rsidR="009B6C7A">
        <w:rPr>
          <w:noProof/>
          <w:sz w:val="24"/>
          <w:szCs w:val="24"/>
        </w:rPr>
        <w:t>-</w:t>
      </w:r>
      <w:r w:rsidR="002A6280" w:rsidRPr="00106FB7">
        <w:rPr>
          <w:noProof/>
          <w:sz w:val="24"/>
          <w:szCs w:val="24"/>
        </w:rPr>
        <w:t>court cases under the PLD in the EU27</w:t>
      </w:r>
      <w:r w:rsidR="009B6C7A">
        <w:rPr>
          <w:noProof/>
          <w:sz w:val="24"/>
          <w:szCs w:val="24"/>
        </w:rPr>
        <w:t>, and the increase in cases brought under the PLD would mean greater chances of getting compensation thanks to not having to prove fault</w:t>
      </w:r>
      <w:r w:rsidR="002A6280" w:rsidRPr="00106FB7">
        <w:rPr>
          <w:noProof/>
          <w:sz w:val="24"/>
          <w:szCs w:val="24"/>
        </w:rPr>
        <w:t>. As for PO1a, the measure would not affect the average compensation pay-outs to victims.</w:t>
      </w:r>
      <w:r w:rsidR="002A6280">
        <w:rPr>
          <w:noProof/>
          <w:sz w:val="24"/>
          <w:szCs w:val="24"/>
        </w:rPr>
        <w:t xml:space="preserve"> </w:t>
      </w:r>
    </w:p>
    <w:p w14:paraId="78CA3B0A" w14:textId="1E75F3BC" w:rsidR="003970D4" w:rsidRPr="0039114B" w:rsidRDefault="005453C6" w:rsidP="001E1DE0">
      <w:pPr>
        <w:pBdr>
          <w:top w:val="single" w:sz="4" w:space="1" w:color="auto"/>
          <w:left w:val="single" w:sz="4" w:space="4" w:color="auto"/>
          <w:bottom w:val="single" w:sz="4" w:space="1" w:color="auto"/>
          <w:right w:val="single" w:sz="4" w:space="4" w:color="auto"/>
        </w:pBdr>
        <w:rPr>
          <w:noProof/>
          <w:sz w:val="24"/>
          <w:szCs w:val="24"/>
        </w:rPr>
      </w:pPr>
      <w:r>
        <w:rPr>
          <w:noProof/>
          <w:sz w:val="24"/>
          <w:szCs w:val="24"/>
        </w:rPr>
        <w:t>Taking all this into account, u</w:t>
      </w:r>
      <w:r w:rsidR="002A6280">
        <w:rPr>
          <w:noProof/>
          <w:sz w:val="24"/>
          <w:szCs w:val="24"/>
        </w:rPr>
        <w:t>nder PO1b</w:t>
      </w:r>
      <w:r w:rsidR="002A6280" w:rsidRPr="008E2E0F">
        <w:rPr>
          <w:noProof/>
          <w:sz w:val="24"/>
          <w:szCs w:val="24"/>
        </w:rPr>
        <w:t xml:space="preserve"> the </w:t>
      </w:r>
      <w:r w:rsidR="002A6280">
        <w:rPr>
          <w:noProof/>
          <w:sz w:val="24"/>
          <w:szCs w:val="24"/>
        </w:rPr>
        <w:t xml:space="preserve">total </w:t>
      </w:r>
      <w:r w:rsidR="002A6280" w:rsidRPr="00150C16">
        <w:rPr>
          <w:b/>
          <w:noProof/>
          <w:sz w:val="24"/>
          <w:szCs w:val="24"/>
        </w:rPr>
        <w:t xml:space="preserve">annual </w:t>
      </w:r>
      <w:r w:rsidR="002A6280">
        <w:rPr>
          <w:b/>
          <w:noProof/>
          <w:sz w:val="24"/>
          <w:szCs w:val="24"/>
        </w:rPr>
        <w:t xml:space="preserve">compensation paid to victims </w:t>
      </w:r>
      <w:r w:rsidR="007161A6">
        <w:rPr>
          <w:noProof/>
          <w:sz w:val="24"/>
          <w:szCs w:val="24"/>
        </w:rPr>
        <w:t xml:space="preserve">is </w:t>
      </w:r>
      <w:r w:rsidR="00F34687">
        <w:rPr>
          <w:noProof/>
          <w:sz w:val="24"/>
          <w:szCs w:val="24"/>
        </w:rPr>
        <w:t>assessed</w:t>
      </w:r>
      <w:r w:rsidR="00F34687" w:rsidRPr="008E2E0F">
        <w:rPr>
          <w:noProof/>
          <w:sz w:val="24"/>
          <w:szCs w:val="24"/>
        </w:rPr>
        <w:t xml:space="preserve"> </w:t>
      </w:r>
      <w:r w:rsidR="00106FB7" w:rsidRPr="008E2E0F">
        <w:rPr>
          <w:noProof/>
          <w:sz w:val="24"/>
          <w:szCs w:val="24"/>
        </w:rPr>
        <w:t xml:space="preserve">to increase incrementally compared to the </w:t>
      </w:r>
      <w:r w:rsidR="00106FB7" w:rsidRPr="000B1012">
        <w:rPr>
          <w:noProof/>
          <w:sz w:val="24"/>
          <w:szCs w:val="24"/>
        </w:rPr>
        <w:t xml:space="preserve">baseline, </w:t>
      </w:r>
      <w:r w:rsidR="00106FB7">
        <w:rPr>
          <w:noProof/>
          <w:sz w:val="24"/>
          <w:szCs w:val="24"/>
        </w:rPr>
        <w:t>with an increase between</w:t>
      </w:r>
      <w:r w:rsidR="00106FB7" w:rsidRPr="000B1012">
        <w:rPr>
          <w:noProof/>
          <w:sz w:val="24"/>
          <w:szCs w:val="24"/>
        </w:rPr>
        <w:t xml:space="preserve"> 0.</w:t>
      </w:r>
      <w:r w:rsidR="00BC7222">
        <w:rPr>
          <w:noProof/>
          <w:sz w:val="24"/>
          <w:szCs w:val="24"/>
        </w:rPr>
        <w:t>1</w:t>
      </w:r>
      <w:r w:rsidR="00D33490">
        <w:rPr>
          <w:noProof/>
          <w:sz w:val="24"/>
          <w:szCs w:val="24"/>
        </w:rPr>
        <w:t>5</w:t>
      </w:r>
      <w:r w:rsidR="00106FB7" w:rsidRPr="000B1012">
        <w:rPr>
          <w:noProof/>
          <w:sz w:val="24"/>
          <w:szCs w:val="24"/>
        </w:rPr>
        <w:t xml:space="preserve"> </w:t>
      </w:r>
      <w:r w:rsidR="00106FB7">
        <w:rPr>
          <w:noProof/>
          <w:sz w:val="24"/>
          <w:szCs w:val="24"/>
        </w:rPr>
        <w:t>and</w:t>
      </w:r>
      <w:r w:rsidR="00106FB7" w:rsidRPr="000B1012">
        <w:rPr>
          <w:noProof/>
          <w:sz w:val="24"/>
          <w:szCs w:val="24"/>
        </w:rPr>
        <w:t xml:space="preserve"> </w:t>
      </w:r>
      <w:r w:rsidR="00D33490">
        <w:rPr>
          <w:noProof/>
          <w:sz w:val="24"/>
          <w:szCs w:val="24"/>
        </w:rPr>
        <w:t>22.13</w:t>
      </w:r>
      <w:r w:rsidR="00106FB7" w:rsidRPr="000B1012">
        <w:rPr>
          <w:noProof/>
          <w:sz w:val="24"/>
          <w:szCs w:val="24"/>
        </w:rPr>
        <w:t xml:space="preserve"> EUR million</w:t>
      </w:r>
      <w:r w:rsidR="002A6280">
        <w:rPr>
          <w:rStyle w:val="FootnoteReference"/>
          <w:noProof/>
          <w:sz w:val="24"/>
          <w:szCs w:val="24"/>
        </w:rPr>
        <w:footnoteReference w:id="217"/>
      </w:r>
      <w:r w:rsidR="002A6280" w:rsidRPr="008E2E0F">
        <w:rPr>
          <w:noProof/>
          <w:sz w:val="24"/>
          <w:szCs w:val="24"/>
        </w:rPr>
        <w:t>.</w:t>
      </w:r>
      <w:r w:rsidR="002A6280">
        <w:rPr>
          <w:noProof/>
          <w:sz w:val="24"/>
          <w:szCs w:val="24"/>
        </w:rPr>
        <w:t xml:space="preserve"> </w:t>
      </w:r>
    </w:p>
    <w:p w14:paraId="1CD16C89" w14:textId="77777777" w:rsidR="0039114B" w:rsidRPr="0039114B" w:rsidRDefault="0039114B" w:rsidP="00DD3B24">
      <w:pPr>
        <w:pStyle w:val="BodyText"/>
        <w:numPr>
          <w:ilvl w:val="0"/>
          <w:numId w:val="14"/>
        </w:numPr>
        <w:spacing w:after="120"/>
        <w:ind w:left="714" w:hanging="357"/>
        <w:rPr>
          <w:rFonts w:cstheme="minorHAnsi"/>
          <w:b/>
          <w:bCs/>
          <w:noProof/>
          <w:color w:val="242424"/>
          <w:sz w:val="24"/>
          <w:szCs w:val="24"/>
          <w:shd w:val="clear" w:color="auto" w:fill="FFFFFF"/>
        </w:rPr>
      </w:pPr>
      <w:r w:rsidRPr="0039114B">
        <w:rPr>
          <w:rFonts w:cstheme="minorHAnsi"/>
          <w:b/>
          <w:noProof/>
          <w:color w:val="242424"/>
          <w:sz w:val="24"/>
          <w:szCs w:val="24"/>
          <w:shd w:val="clear" w:color="auto" w:fill="FFFFFF"/>
        </w:rPr>
        <w:t>Impacts</w:t>
      </w:r>
      <w:r w:rsidRPr="0039114B">
        <w:rPr>
          <w:rFonts w:cstheme="minorHAnsi"/>
          <w:b/>
          <w:bCs/>
          <w:noProof/>
          <w:color w:val="242424"/>
          <w:sz w:val="24"/>
          <w:szCs w:val="24"/>
          <w:shd w:val="clear" w:color="auto" w:fill="FFFFFF"/>
        </w:rPr>
        <w:t xml:space="preserve"> on employment and fundamental rights </w:t>
      </w:r>
    </w:p>
    <w:p w14:paraId="293D845C" w14:textId="19C74E5E" w:rsidR="0039114B" w:rsidRPr="0039114B" w:rsidRDefault="00A57884" w:rsidP="0039114B">
      <w:pPr>
        <w:spacing w:after="240" w:line="240" w:lineRule="auto"/>
        <w:jc w:val="both"/>
        <w:rPr>
          <w:noProof/>
          <w:sz w:val="24"/>
          <w:szCs w:val="24"/>
        </w:rPr>
      </w:pPr>
      <w:r>
        <w:rPr>
          <w:noProof/>
          <w:sz w:val="24"/>
          <w:szCs w:val="24"/>
        </w:rPr>
        <w:t xml:space="preserve">No </w:t>
      </w:r>
      <w:r w:rsidR="0039114B" w:rsidRPr="0039114B">
        <w:rPr>
          <w:noProof/>
          <w:sz w:val="24"/>
          <w:szCs w:val="24"/>
        </w:rPr>
        <w:t>impact</w:t>
      </w:r>
      <w:r>
        <w:rPr>
          <w:noProof/>
          <w:sz w:val="24"/>
          <w:szCs w:val="24"/>
        </w:rPr>
        <w:t>s</w:t>
      </w:r>
      <w:r w:rsidR="0039114B" w:rsidRPr="0039114B">
        <w:rPr>
          <w:noProof/>
          <w:sz w:val="24"/>
          <w:szCs w:val="24"/>
        </w:rPr>
        <w:t xml:space="preserve"> </w:t>
      </w:r>
      <w:r w:rsidR="00A61CCF">
        <w:rPr>
          <w:noProof/>
          <w:sz w:val="24"/>
          <w:szCs w:val="24"/>
        </w:rPr>
        <w:t>on</w:t>
      </w:r>
      <w:r w:rsidR="0039114B" w:rsidRPr="0039114B">
        <w:rPr>
          <w:noProof/>
          <w:sz w:val="24"/>
          <w:szCs w:val="24"/>
        </w:rPr>
        <w:t xml:space="preserve"> </w:t>
      </w:r>
      <w:r w:rsidR="00A61CCF">
        <w:rPr>
          <w:noProof/>
          <w:sz w:val="24"/>
          <w:szCs w:val="24"/>
        </w:rPr>
        <w:t xml:space="preserve">employment or </w:t>
      </w:r>
      <w:r w:rsidR="0039114B" w:rsidRPr="0039114B">
        <w:rPr>
          <w:noProof/>
          <w:sz w:val="24"/>
          <w:szCs w:val="24"/>
        </w:rPr>
        <w:t>fundamental rights</w:t>
      </w:r>
      <w:r>
        <w:rPr>
          <w:noProof/>
          <w:sz w:val="24"/>
          <w:szCs w:val="24"/>
        </w:rPr>
        <w:t xml:space="preserve"> were identified under PO1b</w:t>
      </w:r>
      <w:r w:rsidR="0039114B" w:rsidRPr="0039114B">
        <w:rPr>
          <w:noProof/>
          <w:sz w:val="24"/>
          <w:szCs w:val="24"/>
        </w:rPr>
        <w:t xml:space="preserve">. </w:t>
      </w:r>
    </w:p>
    <w:p w14:paraId="3D72C6B2" w14:textId="67888F23" w:rsidR="0036490F" w:rsidRPr="00244A24" w:rsidRDefault="002E7937" w:rsidP="002E7937">
      <w:pPr>
        <w:pStyle w:val="Heading2"/>
        <w:rPr>
          <w:noProof/>
        </w:rPr>
      </w:pPr>
      <w:bookmarkStart w:id="540" w:name="_Toc94837823"/>
      <w:bookmarkStart w:id="541" w:name="_Toc95379877"/>
      <w:bookmarkStart w:id="542" w:name="_Toc95391368"/>
      <w:bookmarkStart w:id="543" w:name="_Toc95396437"/>
      <w:bookmarkStart w:id="544" w:name="_Toc95421535"/>
      <w:bookmarkStart w:id="545" w:name="_Toc95481983"/>
      <w:bookmarkStart w:id="546" w:name="_Toc96337776"/>
      <w:bookmarkStart w:id="547" w:name="_Toc96446255"/>
      <w:bookmarkStart w:id="548" w:name="_Toc96448028"/>
      <w:bookmarkStart w:id="549" w:name="_Toc96593977"/>
      <w:bookmarkStart w:id="550" w:name="_Toc96597268"/>
      <w:bookmarkStart w:id="551" w:name="_Toc96609203"/>
      <w:bookmarkStart w:id="552" w:name="_Toc97149232"/>
      <w:bookmarkStart w:id="553" w:name="_Toc97191278"/>
      <w:bookmarkStart w:id="554" w:name="_Toc107430088"/>
      <w:r w:rsidRPr="002E7937">
        <w:t>6.3.</w:t>
      </w:r>
      <w:r w:rsidRPr="002E7937">
        <w:tab/>
      </w:r>
      <w:r w:rsidR="0036490F" w:rsidRPr="00244A24">
        <w:rPr>
          <w:noProof/>
        </w:rPr>
        <w:t>Policy option 1c – Inclusion of software in its own right, new types of damage and adaptations for circular economy</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773D7147" w14:textId="77777777" w:rsidR="0036490F" w:rsidRPr="0036490F" w:rsidRDefault="0036490F" w:rsidP="0036490F">
      <w:pPr>
        <w:spacing w:after="240" w:line="240" w:lineRule="auto"/>
        <w:jc w:val="both"/>
        <w:rPr>
          <w:rFonts w:cstheme="minorHAnsi"/>
          <w:b/>
          <w:bCs/>
          <w:noProof/>
          <w:color w:val="242424"/>
          <w:sz w:val="24"/>
          <w:szCs w:val="24"/>
          <w:u w:val="single"/>
          <w:shd w:val="clear" w:color="auto" w:fill="FFFFFF"/>
        </w:rPr>
      </w:pPr>
      <w:r w:rsidRPr="0036490F">
        <w:rPr>
          <w:rFonts w:cstheme="minorHAnsi"/>
          <w:b/>
          <w:bCs/>
          <w:noProof/>
          <w:color w:val="242424"/>
          <w:sz w:val="24"/>
          <w:szCs w:val="24"/>
          <w:u w:val="single"/>
          <w:shd w:val="clear" w:color="auto" w:fill="FFFFFF"/>
        </w:rPr>
        <w:t>Economic impacts</w:t>
      </w:r>
    </w:p>
    <w:p w14:paraId="0B2FB01A" w14:textId="77777777" w:rsidR="0036490F" w:rsidRPr="0036490F" w:rsidRDefault="0036490F" w:rsidP="00DD3B24">
      <w:pPr>
        <w:pStyle w:val="ListParagraph"/>
        <w:numPr>
          <w:ilvl w:val="0"/>
          <w:numId w:val="13"/>
        </w:numPr>
        <w:spacing w:after="120"/>
        <w:ind w:left="714" w:hanging="357"/>
        <w:jc w:val="both"/>
        <w:rPr>
          <w:rFonts w:cstheme="minorHAnsi"/>
          <w:b/>
          <w:bCs/>
          <w:noProof/>
          <w:color w:val="242424"/>
          <w:sz w:val="24"/>
          <w:szCs w:val="24"/>
          <w:shd w:val="clear" w:color="auto" w:fill="FFFFFF"/>
        </w:rPr>
      </w:pPr>
      <w:r w:rsidRPr="0036490F">
        <w:rPr>
          <w:rFonts w:cstheme="minorHAnsi"/>
          <w:b/>
          <w:bCs/>
          <w:noProof/>
          <w:color w:val="242424"/>
          <w:sz w:val="24"/>
          <w:szCs w:val="24"/>
          <w:shd w:val="clear" w:color="auto" w:fill="FFFFFF"/>
        </w:rPr>
        <w:t xml:space="preserve">Impacts on economic operators </w:t>
      </w:r>
    </w:p>
    <w:p w14:paraId="31E9B146" w14:textId="29A0F9AA" w:rsidR="0036490F" w:rsidRPr="0036490F" w:rsidRDefault="0036490F" w:rsidP="0036490F">
      <w:pPr>
        <w:spacing w:after="240" w:line="240" w:lineRule="auto"/>
        <w:jc w:val="both"/>
        <w:rPr>
          <w:rFonts w:cstheme="minorHAnsi"/>
          <w:bCs/>
          <w:noProof/>
          <w:color w:val="000000" w:themeColor="text1"/>
          <w:sz w:val="24"/>
          <w:szCs w:val="24"/>
        </w:rPr>
      </w:pPr>
      <w:r w:rsidRPr="0036490F">
        <w:rPr>
          <w:rFonts w:cstheme="minorHAnsi"/>
          <w:noProof/>
          <w:color w:val="000000" w:themeColor="text1"/>
          <w:sz w:val="24"/>
          <w:szCs w:val="24"/>
        </w:rPr>
        <w:t xml:space="preserve">PO1c would build on option 1b and significantly </w:t>
      </w:r>
      <w:r w:rsidRPr="0036490F">
        <w:rPr>
          <w:rFonts w:cstheme="minorHAnsi"/>
          <w:bCs/>
          <w:noProof/>
          <w:color w:val="000000" w:themeColor="text1"/>
          <w:sz w:val="24"/>
          <w:szCs w:val="24"/>
        </w:rPr>
        <w:t xml:space="preserve">expand the types of compensable damage to </w:t>
      </w:r>
      <w:r w:rsidRPr="0036490F">
        <w:rPr>
          <w:rFonts w:cstheme="minorHAnsi"/>
          <w:b/>
          <w:bCs/>
          <w:noProof/>
          <w:color w:val="000000" w:themeColor="text1"/>
          <w:sz w:val="24"/>
          <w:szCs w:val="24"/>
        </w:rPr>
        <w:t>include material and non-material damage</w:t>
      </w:r>
      <w:r w:rsidRPr="0036490F">
        <w:rPr>
          <w:rFonts w:cstheme="minorHAnsi"/>
          <w:bCs/>
          <w:noProof/>
          <w:color w:val="000000" w:themeColor="text1"/>
          <w:sz w:val="24"/>
          <w:szCs w:val="24"/>
        </w:rPr>
        <w:t xml:space="preserve"> flowing from fundamental rights infringements (data protection breaches, privacy infringements or discrimination) rather than only safety-related harm (personal injury, property damage). This would principally impact producers of IoT products in respect of privacy and AI systems in respect of discrimination. In the public consultation 87% of consumer associations and NGOs were in favour of compensating losses flowing from breaches of data protection</w:t>
      </w:r>
      <w:r w:rsidR="002B2B43">
        <w:rPr>
          <w:rFonts w:cstheme="minorHAnsi"/>
          <w:bCs/>
          <w:noProof/>
          <w:color w:val="000000" w:themeColor="text1"/>
          <w:sz w:val="24"/>
          <w:szCs w:val="24"/>
        </w:rPr>
        <w:t xml:space="preserve"> requirements</w:t>
      </w:r>
      <w:r w:rsidRPr="0036490F">
        <w:rPr>
          <w:rFonts w:cstheme="minorHAnsi"/>
          <w:bCs/>
          <w:noProof/>
          <w:color w:val="000000" w:themeColor="text1"/>
          <w:sz w:val="24"/>
          <w:szCs w:val="24"/>
        </w:rPr>
        <w:t>. BEUC, the consumer organisation, supported it as a way of encouraging compliance with the GPDR’s privacy-by-design rules</w:t>
      </w:r>
      <w:r w:rsidRPr="0036490F">
        <w:rPr>
          <w:rStyle w:val="FootnoteReference"/>
          <w:bCs/>
          <w:noProof/>
          <w:color w:val="000000" w:themeColor="text1"/>
          <w:sz w:val="24"/>
          <w:szCs w:val="24"/>
        </w:rPr>
        <w:footnoteReference w:id="218"/>
      </w:r>
      <w:r w:rsidRPr="0036490F">
        <w:rPr>
          <w:rFonts w:cstheme="minorHAnsi"/>
          <w:bCs/>
          <w:noProof/>
          <w:color w:val="000000" w:themeColor="text1"/>
          <w:sz w:val="24"/>
          <w:szCs w:val="24"/>
        </w:rPr>
        <w:t xml:space="preserve">. Business associations and companies, however, were opposed (57% against; 18% in favour. </w:t>
      </w:r>
      <w:r w:rsidR="00E70FE9">
        <w:rPr>
          <w:rFonts w:cstheme="minorHAnsi"/>
          <w:bCs/>
          <w:noProof/>
          <w:color w:val="000000" w:themeColor="text1"/>
          <w:sz w:val="24"/>
          <w:szCs w:val="24"/>
        </w:rPr>
        <w:t>In position papers</w:t>
      </w:r>
      <w:r w:rsidRPr="0036490F">
        <w:rPr>
          <w:rFonts w:cstheme="minorHAnsi"/>
          <w:bCs/>
          <w:noProof/>
          <w:color w:val="000000" w:themeColor="text1"/>
          <w:sz w:val="24"/>
          <w:szCs w:val="24"/>
        </w:rPr>
        <w:t xml:space="preserve"> the vast majority</w:t>
      </w:r>
      <w:r w:rsidRPr="0036490F">
        <w:rPr>
          <w:rStyle w:val="FootnoteReference"/>
          <w:bCs/>
          <w:noProof/>
          <w:color w:val="000000" w:themeColor="text1"/>
          <w:sz w:val="24"/>
          <w:szCs w:val="24"/>
        </w:rPr>
        <w:footnoteReference w:id="219"/>
      </w:r>
      <w:r w:rsidRPr="0036490F">
        <w:rPr>
          <w:rFonts w:cstheme="minorHAnsi"/>
          <w:bCs/>
          <w:noProof/>
          <w:color w:val="000000" w:themeColor="text1"/>
          <w:sz w:val="24"/>
          <w:szCs w:val="24"/>
        </w:rPr>
        <w:t xml:space="preserve"> of business associations expressed strong opposition to compensating such harm under the PLD, </w:t>
      </w:r>
      <w:r w:rsidR="00F16A2D">
        <w:rPr>
          <w:rFonts w:cstheme="minorHAnsi"/>
          <w:bCs/>
          <w:noProof/>
          <w:color w:val="000000" w:themeColor="text1"/>
          <w:sz w:val="24"/>
          <w:szCs w:val="24"/>
        </w:rPr>
        <w:t>arguing that such harm could already be compensated under</w:t>
      </w:r>
      <w:r w:rsidR="002E290E">
        <w:rPr>
          <w:rFonts w:cstheme="minorHAnsi"/>
          <w:bCs/>
          <w:noProof/>
          <w:color w:val="000000" w:themeColor="text1"/>
          <w:sz w:val="24"/>
          <w:szCs w:val="24"/>
        </w:rPr>
        <w:t xml:space="preserve"> </w:t>
      </w:r>
      <w:r w:rsidR="00F16A2D">
        <w:rPr>
          <w:rFonts w:cstheme="minorHAnsi"/>
          <w:bCs/>
          <w:noProof/>
          <w:color w:val="000000" w:themeColor="text1"/>
          <w:sz w:val="24"/>
          <w:szCs w:val="24"/>
        </w:rPr>
        <w:t xml:space="preserve">the </w:t>
      </w:r>
      <w:r w:rsidRPr="0036490F">
        <w:rPr>
          <w:rFonts w:cstheme="minorHAnsi"/>
          <w:bCs/>
          <w:noProof/>
          <w:color w:val="000000" w:themeColor="text1"/>
          <w:sz w:val="24"/>
          <w:szCs w:val="24"/>
        </w:rPr>
        <w:t>GDPR itself</w:t>
      </w:r>
      <w:r w:rsidR="00A31A83">
        <w:rPr>
          <w:rFonts w:cstheme="minorHAnsi"/>
          <w:bCs/>
          <w:noProof/>
          <w:color w:val="000000" w:themeColor="text1"/>
          <w:sz w:val="24"/>
          <w:szCs w:val="24"/>
        </w:rPr>
        <w:t xml:space="preserve"> and that imposing no-fault liability for harm that is difficult to define and quantify was disproportionate</w:t>
      </w:r>
      <w:r w:rsidRPr="0036490F">
        <w:rPr>
          <w:rFonts w:cstheme="minorHAnsi"/>
          <w:bCs/>
          <w:noProof/>
          <w:color w:val="000000" w:themeColor="text1"/>
          <w:sz w:val="24"/>
          <w:szCs w:val="24"/>
        </w:rPr>
        <w:t xml:space="preserve">. </w:t>
      </w:r>
    </w:p>
    <w:p w14:paraId="6D429009" w14:textId="4313D852" w:rsidR="0036490F" w:rsidRPr="0036490F" w:rsidRDefault="0036490F" w:rsidP="0036490F">
      <w:pPr>
        <w:spacing w:after="240" w:line="240" w:lineRule="auto"/>
        <w:jc w:val="both"/>
        <w:rPr>
          <w:rFonts w:cstheme="minorHAnsi"/>
          <w:bCs/>
          <w:noProof/>
          <w:color w:val="000000" w:themeColor="text1"/>
          <w:sz w:val="24"/>
          <w:szCs w:val="24"/>
        </w:rPr>
      </w:pPr>
      <w:r w:rsidRPr="0036490F">
        <w:rPr>
          <w:rFonts w:cstheme="minorHAnsi"/>
          <w:bCs/>
          <w:noProof/>
          <w:color w:val="000000" w:themeColor="text1"/>
          <w:sz w:val="24"/>
          <w:szCs w:val="24"/>
        </w:rPr>
        <w:t xml:space="preserve">No specific question on discrimination was asked in the public consultation, but several stakeholders raised it in position papers. Legal academics recognised that discrimination risks in the context of AI are real but that </w:t>
      </w:r>
      <w:r w:rsidR="00F76FC5">
        <w:rPr>
          <w:rFonts w:cstheme="minorHAnsi"/>
          <w:bCs/>
          <w:noProof/>
          <w:color w:val="000000" w:themeColor="text1"/>
          <w:sz w:val="24"/>
          <w:szCs w:val="24"/>
        </w:rPr>
        <w:t xml:space="preserve">such risks would be more coherently addressed </w:t>
      </w:r>
      <w:r w:rsidRPr="0036490F">
        <w:rPr>
          <w:rFonts w:cstheme="minorHAnsi"/>
          <w:bCs/>
          <w:noProof/>
          <w:color w:val="000000" w:themeColor="text1"/>
          <w:sz w:val="24"/>
          <w:szCs w:val="24"/>
        </w:rPr>
        <w:t>under non-discrimination law</w:t>
      </w:r>
      <w:r w:rsidR="00F76FC5">
        <w:rPr>
          <w:rFonts w:cstheme="minorHAnsi"/>
          <w:bCs/>
          <w:noProof/>
          <w:color w:val="000000" w:themeColor="text1"/>
          <w:sz w:val="24"/>
          <w:szCs w:val="24"/>
        </w:rPr>
        <w:t xml:space="preserve"> than product liability law</w:t>
      </w:r>
      <w:r w:rsidRPr="0036490F">
        <w:rPr>
          <w:rStyle w:val="FootnoteReference"/>
          <w:bCs/>
          <w:noProof/>
          <w:color w:val="000000" w:themeColor="text1"/>
          <w:sz w:val="24"/>
          <w:szCs w:val="24"/>
        </w:rPr>
        <w:footnoteReference w:id="220"/>
      </w:r>
      <w:r w:rsidRPr="0036490F">
        <w:rPr>
          <w:rFonts w:cstheme="minorHAnsi"/>
          <w:bCs/>
          <w:noProof/>
          <w:color w:val="000000" w:themeColor="text1"/>
          <w:sz w:val="24"/>
          <w:szCs w:val="24"/>
        </w:rPr>
        <w:t xml:space="preserve">. Consumer organisations also did not advocate for </w:t>
      </w:r>
      <w:r w:rsidR="002E290E">
        <w:rPr>
          <w:rFonts w:cstheme="minorHAnsi"/>
          <w:bCs/>
          <w:noProof/>
          <w:color w:val="000000" w:themeColor="text1"/>
          <w:sz w:val="24"/>
          <w:szCs w:val="24"/>
        </w:rPr>
        <w:t>the</w:t>
      </w:r>
      <w:r w:rsidRPr="0036490F">
        <w:rPr>
          <w:rFonts w:cstheme="minorHAnsi"/>
          <w:bCs/>
          <w:noProof/>
          <w:color w:val="000000" w:themeColor="text1"/>
          <w:sz w:val="24"/>
          <w:szCs w:val="24"/>
        </w:rPr>
        <w:t xml:space="preserve"> inclusion of compensation for discrimination under the PLD. </w:t>
      </w:r>
    </w:p>
    <w:p w14:paraId="2D9C9FA8" w14:textId="59A98F01" w:rsidR="0036490F" w:rsidRDefault="0036490F" w:rsidP="0036490F">
      <w:pPr>
        <w:spacing w:after="240" w:line="240" w:lineRule="auto"/>
        <w:jc w:val="both"/>
        <w:rPr>
          <w:rFonts w:cstheme="minorHAnsi"/>
          <w:bCs/>
          <w:noProof/>
          <w:color w:val="000000" w:themeColor="text1"/>
          <w:sz w:val="24"/>
          <w:szCs w:val="24"/>
        </w:rPr>
      </w:pPr>
      <w:r w:rsidRPr="0036490F">
        <w:rPr>
          <w:rFonts w:cstheme="minorHAnsi"/>
          <w:bCs/>
          <w:noProof/>
          <w:color w:val="000000" w:themeColor="text1"/>
          <w:sz w:val="24"/>
          <w:szCs w:val="24"/>
        </w:rPr>
        <w:t xml:space="preserve">On the broader question of whether non-material damage should be compensated under the PLD if it did not </w:t>
      </w:r>
      <w:r w:rsidR="002E290E">
        <w:rPr>
          <w:rFonts w:cstheme="minorHAnsi"/>
          <w:bCs/>
          <w:noProof/>
          <w:color w:val="000000" w:themeColor="text1"/>
          <w:sz w:val="24"/>
          <w:szCs w:val="24"/>
        </w:rPr>
        <w:t xml:space="preserve">arise as a result of </w:t>
      </w:r>
      <w:r w:rsidRPr="0036490F">
        <w:rPr>
          <w:rFonts w:cstheme="minorHAnsi"/>
          <w:bCs/>
          <w:noProof/>
          <w:color w:val="000000" w:themeColor="text1"/>
          <w:sz w:val="24"/>
          <w:szCs w:val="24"/>
        </w:rPr>
        <w:t>personal injury, consumer organisations and an NGO were in favour</w:t>
      </w:r>
      <w:r w:rsidRPr="0036490F">
        <w:rPr>
          <w:rStyle w:val="FootnoteReference"/>
          <w:bCs/>
          <w:noProof/>
          <w:color w:val="000000" w:themeColor="text1"/>
          <w:sz w:val="24"/>
          <w:szCs w:val="24"/>
        </w:rPr>
        <w:footnoteReference w:id="221"/>
      </w:r>
      <w:r w:rsidRPr="0036490F">
        <w:rPr>
          <w:rFonts w:cstheme="minorHAnsi"/>
          <w:bCs/>
          <w:noProof/>
          <w:color w:val="000000" w:themeColor="text1"/>
          <w:sz w:val="24"/>
          <w:szCs w:val="24"/>
        </w:rPr>
        <w:t xml:space="preserve">, arguing that this would </w:t>
      </w:r>
      <w:r w:rsidR="00E01C28">
        <w:rPr>
          <w:rFonts w:cstheme="minorHAnsi"/>
          <w:noProof/>
          <w:sz w:val="24"/>
          <w:szCs w:val="24"/>
        </w:rPr>
        <w:t>improve</w:t>
      </w:r>
      <w:r w:rsidR="00E01C28" w:rsidRPr="0036490F">
        <w:rPr>
          <w:rFonts w:cstheme="minorHAnsi"/>
          <w:noProof/>
          <w:sz w:val="24"/>
          <w:szCs w:val="24"/>
        </w:rPr>
        <w:t xml:space="preserve"> </w:t>
      </w:r>
      <w:r w:rsidRPr="0036490F">
        <w:rPr>
          <w:rFonts w:cstheme="minorHAnsi"/>
          <w:noProof/>
          <w:sz w:val="24"/>
          <w:szCs w:val="24"/>
        </w:rPr>
        <w:t>access to justice</w:t>
      </w:r>
      <w:r w:rsidRPr="0036490F">
        <w:rPr>
          <w:rFonts w:cstheme="minorHAnsi"/>
          <w:bCs/>
          <w:noProof/>
          <w:color w:val="000000" w:themeColor="text1"/>
          <w:sz w:val="24"/>
          <w:szCs w:val="24"/>
        </w:rPr>
        <w:t>. However, most industry respondents and insurers considered that this would expose producers to liability costs that were difficult to predict</w:t>
      </w:r>
      <w:r w:rsidR="00EA2746">
        <w:rPr>
          <w:rFonts w:cstheme="minorHAnsi"/>
          <w:bCs/>
          <w:noProof/>
          <w:color w:val="000000" w:themeColor="text1"/>
          <w:sz w:val="24"/>
          <w:szCs w:val="24"/>
        </w:rPr>
        <w:t>, and therefore difficult to insure,</w:t>
      </w:r>
      <w:r w:rsidRPr="0036490F">
        <w:rPr>
          <w:rFonts w:cstheme="minorHAnsi"/>
          <w:bCs/>
          <w:noProof/>
          <w:color w:val="000000" w:themeColor="text1"/>
          <w:sz w:val="24"/>
          <w:szCs w:val="24"/>
        </w:rPr>
        <w:t xml:space="preserve"> because of the subjective nature of non-material damage like emotional harm</w:t>
      </w:r>
      <w:r w:rsidRPr="0036490F">
        <w:rPr>
          <w:rStyle w:val="FootnoteReference"/>
          <w:bCs/>
          <w:noProof/>
          <w:color w:val="000000" w:themeColor="text1"/>
          <w:sz w:val="24"/>
          <w:szCs w:val="24"/>
        </w:rPr>
        <w:footnoteReference w:id="222"/>
      </w:r>
      <w:r w:rsidRPr="0036490F">
        <w:rPr>
          <w:rFonts w:cstheme="minorHAnsi"/>
          <w:bCs/>
          <w:noProof/>
          <w:color w:val="000000" w:themeColor="text1"/>
          <w:sz w:val="24"/>
          <w:szCs w:val="24"/>
        </w:rPr>
        <w:t>.</w:t>
      </w:r>
    </w:p>
    <w:p w14:paraId="43EAEDE1" w14:textId="09F35D6D" w:rsidR="001A75E1" w:rsidRDefault="001A75E1" w:rsidP="006D0DC5">
      <w:pPr>
        <w:spacing w:after="120" w:line="240" w:lineRule="auto"/>
        <w:jc w:val="both"/>
        <w:rPr>
          <w:noProof/>
          <w:sz w:val="24"/>
          <w:szCs w:val="24"/>
        </w:rPr>
      </w:pPr>
      <w:r w:rsidRPr="006D0DC5">
        <w:rPr>
          <w:rFonts w:cstheme="minorHAnsi"/>
          <w:bCs/>
          <w:noProof/>
          <w:color w:val="242424"/>
          <w:sz w:val="24"/>
          <w:szCs w:val="24"/>
          <w:shd w:val="clear" w:color="auto" w:fill="FFFFFF"/>
        </w:rPr>
        <w:t>A</w:t>
      </w:r>
      <w:r w:rsidRPr="006D0DC5">
        <w:rPr>
          <w:noProof/>
          <w:sz w:val="24"/>
          <w:szCs w:val="24"/>
        </w:rPr>
        <w:t>nnual product liability insurance costs</w:t>
      </w:r>
      <w:r>
        <w:rPr>
          <w:b/>
          <w:noProof/>
          <w:sz w:val="24"/>
          <w:szCs w:val="24"/>
        </w:rPr>
        <w:t xml:space="preserve"> </w:t>
      </w:r>
      <w:r w:rsidRPr="00F34687">
        <w:rPr>
          <w:noProof/>
          <w:sz w:val="24"/>
          <w:szCs w:val="24"/>
        </w:rPr>
        <w:t xml:space="preserve">are </w:t>
      </w:r>
      <w:r w:rsidR="00F34687">
        <w:rPr>
          <w:noProof/>
          <w:sz w:val="24"/>
          <w:szCs w:val="24"/>
        </w:rPr>
        <w:t>assessed</w:t>
      </w:r>
      <w:r w:rsidRPr="00F34687">
        <w:rPr>
          <w:noProof/>
          <w:sz w:val="24"/>
          <w:szCs w:val="24"/>
        </w:rPr>
        <w:t xml:space="preserve"> to increase for</w:t>
      </w:r>
      <w:r w:rsidR="00F474C6">
        <w:rPr>
          <w:noProof/>
          <w:sz w:val="24"/>
          <w:szCs w:val="24"/>
        </w:rPr>
        <w:t xml:space="preserve"> </w:t>
      </w:r>
      <w:r w:rsidR="00F474C6" w:rsidRPr="00F474C6">
        <w:rPr>
          <w:noProof/>
          <w:sz w:val="24"/>
          <w:szCs w:val="24"/>
        </w:rPr>
        <w:t xml:space="preserve">software </w:t>
      </w:r>
      <w:r w:rsidR="008B5073">
        <w:rPr>
          <w:noProof/>
          <w:sz w:val="24"/>
          <w:szCs w:val="24"/>
        </w:rPr>
        <w:t>producers</w:t>
      </w:r>
      <w:r w:rsidR="00F474C6">
        <w:rPr>
          <w:noProof/>
          <w:sz w:val="24"/>
          <w:szCs w:val="24"/>
        </w:rPr>
        <w:t xml:space="preserve"> </w:t>
      </w:r>
      <w:r w:rsidRPr="00A67FD3">
        <w:rPr>
          <w:noProof/>
          <w:sz w:val="24"/>
          <w:szCs w:val="24"/>
        </w:rPr>
        <w:t xml:space="preserve">by </w:t>
      </w:r>
      <w:r w:rsidR="002839EF" w:rsidRPr="00A67FD3">
        <w:rPr>
          <w:noProof/>
          <w:sz w:val="24"/>
          <w:szCs w:val="24"/>
        </w:rPr>
        <w:t>15</w:t>
      </w:r>
      <w:r w:rsidRPr="00A67FD3">
        <w:rPr>
          <w:noProof/>
          <w:sz w:val="24"/>
          <w:szCs w:val="24"/>
        </w:rPr>
        <w:t>%</w:t>
      </w:r>
      <w:r w:rsidR="00521278">
        <w:rPr>
          <w:rStyle w:val="FootnoteReference"/>
          <w:noProof/>
          <w:sz w:val="24"/>
          <w:szCs w:val="24"/>
        </w:rPr>
        <w:footnoteReference w:id="223"/>
      </w:r>
      <w:r w:rsidR="00A31A83">
        <w:rPr>
          <w:noProof/>
          <w:sz w:val="24"/>
          <w:szCs w:val="24"/>
        </w:rPr>
        <w:t>.</w:t>
      </w:r>
      <w:r w:rsidRPr="00A67FD3">
        <w:rPr>
          <w:noProof/>
          <w:sz w:val="24"/>
          <w:szCs w:val="24"/>
        </w:rPr>
        <w:t xml:space="preserve"> </w:t>
      </w:r>
      <w:r w:rsidR="00E80A81">
        <w:rPr>
          <w:noProof/>
          <w:sz w:val="24"/>
          <w:szCs w:val="24"/>
        </w:rPr>
        <w:t>Effects on as well as for refurbishers and remanufacturers</w:t>
      </w:r>
      <w:r w:rsidR="00E80A81" w:rsidRPr="00651198">
        <w:rPr>
          <w:noProof/>
          <w:sz w:val="24"/>
          <w:szCs w:val="24"/>
        </w:rPr>
        <w:t xml:space="preserve"> </w:t>
      </w:r>
      <w:r w:rsidR="00E80A81">
        <w:rPr>
          <w:noProof/>
          <w:sz w:val="24"/>
          <w:szCs w:val="24"/>
        </w:rPr>
        <w:t>would remain as in PO1a and PO1b.A</w:t>
      </w:r>
      <w:r w:rsidR="00F474C6">
        <w:rPr>
          <w:noProof/>
          <w:sz w:val="24"/>
          <w:szCs w:val="24"/>
        </w:rPr>
        <w:t xml:space="preserve">nnual product liability costs are assumed to increase by 2-3% for producers of IoT products, including providers of AI </w:t>
      </w:r>
      <w:r w:rsidR="00F474C6" w:rsidRPr="00A67FD3">
        <w:rPr>
          <w:noProof/>
          <w:sz w:val="24"/>
          <w:szCs w:val="24"/>
        </w:rPr>
        <w:t>systems</w:t>
      </w:r>
      <w:r w:rsidR="00F474C6">
        <w:rPr>
          <w:noProof/>
          <w:sz w:val="24"/>
          <w:szCs w:val="24"/>
        </w:rPr>
        <w:t xml:space="preserve">, due to inclusion </w:t>
      </w:r>
      <w:r w:rsidR="00ED27BF">
        <w:rPr>
          <w:noProof/>
          <w:sz w:val="24"/>
          <w:szCs w:val="24"/>
        </w:rPr>
        <w:t xml:space="preserve">of </w:t>
      </w:r>
      <w:r w:rsidR="004A082C" w:rsidRPr="004A082C">
        <w:rPr>
          <w:rFonts w:cstheme="minorHAnsi"/>
          <w:bCs/>
          <w:noProof/>
          <w:color w:val="000000" w:themeColor="text1"/>
          <w:sz w:val="24"/>
          <w:szCs w:val="24"/>
        </w:rPr>
        <w:t>damage flowing from fundamental rights infringements</w:t>
      </w:r>
      <w:r w:rsidR="00F474C6">
        <w:rPr>
          <w:noProof/>
          <w:sz w:val="24"/>
          <w:szCs w:val="24"/>
        </w:rPr>
        <w:t xml:space="preserve">. </w:t>
      </w:r>
      <w:r>
        <w:rPr>
          <w:noProof/>
          <w:sz w:val="24"/>
          <w:szCs w:val="24"/>
        </w:rPr>
        <w:t xml:space="preserve">Assumptions for </w:t>
      </w:r>
      <w:r w:rsidR="002839EF" w:rsidRPr="002839EF">
        <w:rPr>
          <w:noProof/>
          <w:sz w:val="24"/>
          <w:szCs w:val="24"/>
        </w:rPr>
        <w:t xml:space="preserve">refurbishers and remanufacturers </w:t>
      </w:r>
      <w:r w:rsidR="002839EF">
        <w:rPr>
          <w:noProof/>
          <w:sz w:val="24"/>
          <w:szCs w:val="24"/>
        </w:rPr>
        <w:t xml:space="preserve">as well as </w:t>
      </w:r>
      <w:r>
        <w:rPr>
          <w:noProof/>
          <w:sz w:val="24"/>
          <w:szCs w:val="24"/>
        </w:rPr>
        <w:t>authorised representatives and fulfilment service providers are as in PO1b.</w:t>
      </w:r>
    </w:p>
    <w:p w14:paraId="24A24E7C" w14:textId="3E7EE692" w:rsidR="001A75E1" w:rsidRDefault="001A75E1" w:rsidP="001E1DE0">
      <w:pPr>
        <w:pBdr>
          <w:top w:val="single" w:sz="4" w:space="1" w:color="auto"/>
          <w:left w:val="single" w:sz="4" w:space="4" w:color="auto"/>
          <w:bottom w:val="single" w:sz="4" w:space="1" w:color="auto"/>
          <w:right w:val="single" w:sz="4" w:space="4" w:color="auto"/>
        </w:pBdr>
        <w:spacing w:after="120" w:line="240" w:lineRule="auto"/>
        <w:jc w:val="both"/>
        <w:rPr>
          <w:noProof/>
          <w:sz w:val="24"/>
          <w:szCs w:val="24"/>
        </w:rPr>
      </w:pPr>
      <w:r w:rsidRPr="005833F7">
        <w:rPr>
          <w:noProof/>
          <w:sz w:val="24"/>
          <w:szCs w:val="24"/>
        </w:rPr>
        <w:t>Under PO</w:t>
      </w:r>
      <w:r w:rsidR="00160B15">
        <w:rPr>
          <w:noProof/>
          <w:sz w:val="24"/>
          <w:szCs w:val="24"/>
        </w:rPr>
        <w:t>1c</w:t>
      </w:r>
      <w:r w:rsidRPr="005833F7">
        <w:rPr>
          <w:noProof/>
          <w:sz w:val="24"/>
          <w:szCs w:val="24"/>
        </w:rPr>
        <w:t xml:space="preserve">, total </w:t>
      </w:r>
      <w:r w:rsidRPr="002B4F5B">
        <w:rPr>
          <w:b/>
          <w:noProof/>
          <w:sz w:val="24"/>
          <w:szCs w:val="24"/>
        </w:rPr>
        <w:t>annual product liability insurance costs</w:t>
      </w:r>
      <w:r w:rsidRPr="005833F7">
        <w:rPr>
          <w:noProof/>
          <w:sz w:val="24"/>
          <w:szCs w:val="24"/>
        </w:rPr>
        <w:t xml:space="preserve"> </w:t>
      </w:r>
      <w:r w:rsidR="00A67FD3" w:rsidRPr="005833F7">
        <w:rPr>
          <w:noProof/>
          <w:sz w:val="24"/>
          <w:szCs w:val="24"/>
        </w:rPr>
        <w:t xml:space="preserve">are </w:t>
      </w:r>
      <w:r w:rsidR="00F34687">
        <w:rPr>
          <w:noProof/>
          <w:sz w:val="24"/>
          <w:szCs w:val="24"/>
        </w:rPr>
        <w:t>assessed</w:t>
      </w:r>
      <w:r w:rsidR="00F34687" w:rsidRPr="005833F7">
        <w:rPr>
          <w:noProof/>
          <w:sz w:val="24"/>
          <w:szCs w:val="24"/>
        </w:rPr>
        <w:t xml:space="preserve"> </w:t>
      </w:r>
      <w:r w:rsidR="00A67FD3" w:rsidRPr="005833F7">
        <w:rPr>
          <w:noProof/>
          <w:sz w:val="24"/>
          <w:szCs w:val="24"/>
        </w:rPr>
        <w:t xml:space="preserve">to increase incrementally compared to the baseline, </w:t>
      </w:r>
      <w:r w:rsidR="00A67FD3">
        <w:rPr>
          <w:noProof/>
          <w:sz w:val="24"/>
          <w:szCs w:val="24"/>
        </w:rPr>
        <w:t xml:space="preserve">with an increase between </w:t>
      </w:r>
      <w:r w:rsidR="00521278">
        <w:rPr>
          <w:noProof/>
          <w:sz w:val="24"/>
          <w:szCs w:val="24"/>
        </w:rPr>
        <w:t>6.55 and 13.1</w:t>
      </w:r>
      <w:r w:rsidR="00060E84">
        <w:rPr>
          <w:noProof/>
          <w:sz w:val="24"/>
          <w:szCs w:val="24"/>
        </w:rPr>
        <w:t>0</w:t>
      </w:r>
      <w:r w:rsidR="00A67FD3" w:rsidRPr="00A67FD3">
        <w:rPr>
          <w:noProof/>
          <w:sz w:val="24"/>
          <w:szCs w:val="24"/>
        </w:rPr>
        <w:t xml:space="preserve"> EUR million </w:t>
      </w:r>
      <w:r w:rsidR="00A67FD3" w:rsidRPr="005833F7">
        <w:rPr>
          <w:noProof/>
          <w:sz w:val="24"/>
          <w:szCs w:val="24"/>
        </w:rPr>
        <w:t>EUR million</w:t>
      </w:r>
      <w:r>
        <w:rPr>
          <w:rStyle w:val="FootnoteReference"/>
          <w:noProof/>
          <w:sz w:val="24"/>
          <w:szCs w:val="24"/>
        </w:rPr>
        <w:footnoteReference w:id="224"/>
      </w:r>
      <w:r w:rsidRPr="005833F7">
        <w:rPr>
          <w:noProof/>
          <w:sz w:val="24"/>
          <w:szCs w:val="24"/>
        </w:rPr>
        <w:t>.</w:t>
      </w:r>
      <w:r w:rsidR="00DD3643" w:rsidRPr="00DD3643">
        <w:rPr>
          <w:noProof/>
          <w:sz w:val="24"/>
          <w:szCs w:val="24"/>
        </w:rPr>
        <w:t xml:space="preserve"> </w:t>
      </w:r>
    </w:p>
    <w:p w14:paraId="13BCDE5D" w14:textId="77777777" w:rsidR="0036490F" w:rsidRPr="0036490F" w:rsidRDefault="0036490F" w:rsidP="00DD3B24">
      <w:pPr>
        <w:pStyle w:val="ListParagraph"/>
        <w:numPr>
          <w:ilvl w:val="0"/>
          <w:numId w:val="13"/>
        </w:numPr>
        <w:spacing w:after="120"/>
        <w:ind w:left="714" w:hanging="357"/>
        <w:jc w:val="both"/>
        <w:rPr>
          <w:rFonts w:cstheme="minorHAnsi"/>
          <w:b/>
          <w:noProof/>
          <w:color w:val="242424"/>
          <w:sz w:val="24"/>
          <w:szCs w:val="24"/>
          <w:shd w:val="clear" w:color="auto" w:fill="FFFFFF"/>
        </w:rPr>
      </w:pPr>
      <w:r w:rsidRPr="0036490F">
        <w:rPr>
          <w:rFonts w:cstheme="minorHAnsi"/>
          <w:b/>
          <w:noProof/>
          <w:color w:val="242424"/>
          <w:sz w:val="24"/>
          <w:szCs w:val="24"/>
          <w:shd w:val="clear" w:color="auto" w:fill="FFFFFF"/>
        </w:rPr>
        <w:t>Impacts on SMEs</w:t>
      </w:r>
    </w:p>
    <w:p w14:paraId="4FAB45E3" w14:textId="77777777" w:rsidR="0036490F" w:rsidRPr="0036490F" w:rsidRDefault="0036490F" w:rsidP="0036490F">
      <w:pPr>
        <w:spacing w:after="240" w:line="240" w:lineRule="auto"/>
        <w:jc w:val="both"/>
        <w:rPr>
          <w:noProof/>
          <w:sz w:val="24"/>
          <w:szCs w:val="24"/>
        </w:rPr>
      </w:pPr>
      <w:r w:rsidRPr="0036490F">
        <w:rPr>
          <w:noProof/>
          <w:sz w:val="24"/>
          <w:szCs w:val="24"/>
        </w:rPr>
        <w:t>Same as PO1a.</w:t>
      </w:r>
    </w:p>
    <w:p w14:paraId="78A506D4" w14:textId="77777777" w:rsidR="0036490F" w:rsidRPr="0036490F" w:rsidRDefault="0036490F" w:rsidP="00DD3B24">
      <w:pPr>
        <w:pStyle w:val="ListParagraph"/>
        <w:numPr>
          <w:ilvl w:val="0"/>
          <w:numId w:val="13"/>
        </w:numPr>
        <w:spacing w:after="120"/>
        <w:ind w:left="714" w:hanging="357"/>
        <w:jc w:val="both"/>
        <w:rPr>
          <w:rFonts w:cstheme="minorHAnsi"/>
          <w:b/>
          <w:noProof/>
          <w:color w:val="242424"/>
          <w:sz w:val="24"/>
          <w:szCs w:val="24"/>
          <w:shd w:val="clear" w:color="auto" w:fill="FFFFFF"/>
        </w:rPr>
      </w:pPr>
      <w:r w:rsidRPr="0036490F">
        <w:rPr>
          <w:rFonts w:cstheme="minorHAnsi"/>
          <w:b/>
          <w:noProof/>
          <w:color w:val="242424"/>
          <w:sz w:val="24"/>
          <w:szCs w:val="24"/>
          <w:shd w:val="clear" w:color="auto" w:fill="FFFFFF"/>
        </w:rPr>
        <w:t xml:space="preserve">Impacts on the internal market and competitiveness </w:t>
      </w:r>
    </w:p>
    <w:p w14:paraId="4F276232" w14:textId="77777777" w:rsidR="008666D9" w:rsidRPr="008666D9" w:rsidRDefault="0036490F" w:rsidP="008666D9">
      <w:pPr>
        <w:pStyle w:val="BodyText"/>
        <w:spacing w:after="240"/>
        <w:rPr>
          <w:noProof/>
          <w:sz w:val="24"/>
          <w:szCs w:val="24"/>
        </w:rPr>
      </w:pPr>
      <w:r w:rsidRPr="008666D9">
        <w:rPr>
          <w:noProof/>
          <w:sz w:val="24"/>
          <w:szCs w:val="24"/>
        </w:rPr>
        <w:t xml:space="preserve">Extending the PLD to include immaterial damage such as emotional harm may lead to positive harmonisation effects </w:t>
      </w:r>
      <w:r w:rsidR="0016793B" w:rsidRPr="008666D9">
        <w:rPr>
          <w:noProof/>
          <w:sz w:val="24"/>
          <w:szCs w:val="24"/>
        </w:rPr>
        <w:t xml:space="preserve">in </w:t>
      </w:r>
      <w:r w:rsidRPr="008666D9">
        <w:rPr>
          <w:noProof/>
          <w:sz w:val="24"/>
          <w:szCs w:val="24"/>
        </w:rPr>
        <w:t xml:space="preserve">the </w:t>
      </w:r>
      <w:r w:rsidR="0016793B" w:rsidRPr="008666D9">
        <w:rPr>
          <w:noProof/>
          <w:sz w:val="24"/>
          <w:szCs w:val="24"/>
        </w:rPr>
        <w:t xml:space="preserve">internal </w:t>
      </w:r>
      <w:r w:rsidR="006D5B37" w:rsidRPr="008666D9">
        <w:rPr>
          <w:noProof/>
          <w:sz w:val="24"/>
          <w:szCs w:val="24"/>
        </w:rPr>
        <w:t>m</w:t>
      </w:r>
      <w:r w:rsidRPr="008666D9">
        <w:rPr>
          <w:noProof/>
          <w:sz w:val="24"/>
          <w:szCs w:val="24"/>
        </w:rPr>
        <w:t>arket, as national authorities currently compensate immaterial damage across the EU in different ways.</w:t>
      </w:r>
      <w:r w:rsidR="005D0577" w:rsidRPr="008666D9">
        <w:rPr>
          <w:noProof/>
          <w:sz w:val="24"/>
          <w:szCs w:val="24"/>
        </w:rPr>
        <w:t xml:space="preserve"> However,</w:t>
      </w:r>
      <w:r w:rsidR="005D0577" w:rsidRPr="0036490F">
        <w:rPr>
          <w:noProof/>
          <w:sz w:val="24"/>
          <w:szCs w:val="24"/>
        </w:rPr>
        <w:t xml:space="preserve"> </w:t>
      </w:r>
      <w:r w:rsidR="00996DD7">
        <w:rPr>
          <w:noProof/>
          <w:sz w:val="24"/>
          <w:szCs w:val="24"/>
        </w:rPr>
        <w:t>compensating</w:t>
      </w:r>
      <w:r w:rsidR="005D0577" w:rsidRPr="0036490F">
        <w:rPr>
          <w:noProof/>
          <w:sz w:val="24"/>
          <w:szCs w:val="24"/>
        </w:rPr>
        <w:t xml:space="preserve"> </w:t>
      </w:r>
      <w:r w:rsidR="00996DD7">
        <w:rPr>
          <w:noProof/>
          <w:sz w:val="24"/>
          <w:szCs w:val="24"/>
        </w:rPr>
        <w:t xml:space="preserve">damages for </w:t>
      </w:r>
      <w:r w:rsidR="005D0577">
        <w:rPr>
          <w:noProof/>
          <w:sz w:val="24"/>
          <w:szCs w:val="24"/>
        </w:rPr>
        <w:t>personal data</w:t>
      </w:r>
      <w:r w:rsidR="005D0577" w:rsidRPr="0036490F">
        <w:rPr>
          <w:noProof/>
          <w:sz w:val="24"/>
          <w:szCs w:val="24"/>
        </w:rPr>
        <w:t xml:space="preserve"> breaches </w:t>
      </w:r>
      <w:r w:rsidR="00996DD7">
        <w:rPr>
          <w:noProof/>
          <w:sz w:val="24"/>
          <w:szCs w:val="24"/>
        </w:rPr>
        <w:t xml:space="preserve">under the PLD would </w:t>
      </w:r>
      <w:r w:rsidR="0016793B">
        <w:rPr>
          <w:noProof/>
          <w:sz w:val="24"/>
          <w:szCs w:val="24"/>
        </w:rPr>
        <w:t>create overlap with</w:t>
      </w:r>
      <w:r w:rsidR="00996DD7">
        <w:rPr>
          <w:noProof/>
          <w:sz w:val="24"/>
          <w:szCs w:val="24"/>
        </w:rPr>
        <w:t xml:space="preserve"> </w:t>
      </w:r>
      <w:r w:rsidR="00C31E4F">
        <w:rPr>
          <w:noProof/>
          <w:sz w:val="24"/>
          <w:szCs w:val="24"/>
        </w:rPr>
        <w:t xml:space="preserve">the </w:t>
      </w:r>
      <w:r w:rsidR="005D0577" w:rsidRPr="0036490F">
        <w:rPr>
          <w:noProof/>
          <w:sz w:val="24"/>
          <w:szCs w:val="24"/>
        </w:rPr>
        <w:t>GDPR</w:t>
      </w:r>
      <w:r w:rsidR="00996DD7">
        <w:rPr>
          <w:noProof/>
          <w:sz w:val="24"/>
          <w:szCs w:val="24"/>
        </w:rPr>
        <w:t xml:space="preserve">. </w:t>
      </w:r>
      <w:r w:rsidR="005D0577" w:rsidRPr="008666D9">
        <w:rPr>
          <w:noProof/>
          <w:sz w:val="24"/>
          <w:szCs w:val="24"/>
        </w:rPr>
        <w:t>Also</w:t>
      </w:r>
      <w:r w:rsidR="00081299" w:rsidRPr="008666D9">
        <w:rPr>
          <w:noProof/>
          <w:sz w:val="24"/>
          <w:szCs w:val="24"/>
        </w:rPr>
        <w:t xml:space="preserve">, industry stakeholders (especially representatives in the digital, tech and software industries) expressed their concerns that liability for </w:t>
      </w:r>
      <w:r w:rsidR="0016793B" w:rsidRPr="008666D9">
        <w:rPr>
          <w:noProof/>
          <w:sz w:val="24"/>
          <w:szCs w:val="24"/>
        </w:rPr>
        <w:t xml:space="preserve">the </w:t>
      </w:r>
      <w:r w:rsidR="00081299" w:rsidRPr="008666D9">
        <w:rPr>
          <w:noProof/>
          <w:sz w:val="24"/>
          <w:szCs w:val="24"/>
        </w:rPr>
        <w:t xml:space="preserve">harms </w:t>
      </w:r>
      <w:r w:rsidR="00AA5292" w:rsidRPr="008666D9">
        <w:rPr>
          <w:noProof/>
          <w:sz w:val="24"/>
          <w:szCs w:val="24"/>
        </w:rPr>
        <w:t>considered under PO1c</w:t>
      </w:r>
      <w:r w:rsidR="0016793B" w:rsidRPr="008666D9">
        <w:rPr>
          <w:noProof/>
          <w:sz w:val="24"/>
          <w:szCs w:val="24"/>
        </w:rPr>
        <w:t xml:space="preserve"> </w:t>
      </w:r>
      <w:r w:rsidR="00081299" w:rsidRPr="008666D9">
        <w:rPr>
          <w:noProof/>
          <w:sz w:val="24"/>
          <w:szCs w:val="24"/>
        </w:rPr>
        <w:t>could</w:t>
      </w:r>
      <w:r w:rsidR="00081299" w:rsidRPr="0036490F">
        <w:rPr>
          <w:noProof/>
          <w:sz w:val="24"/>
          <w:szCs w:val="24"/>
        </w:rPr>
        <w:t xml:space="preserve"> </w:t>
      </w:r>
      <w:r w:rsidR="005D0577">
        <w:rPr>
          <w:noProof/>
          <w:sz w:val="24"/>
          <w:szCs w:val="24"/>
        </w:rPr>
        <w:t>harm</w:t>
      </w:r>
      <w:r w:rsidR="00081299">
        <w:rPr>
          <w:noProof/>
          <w:sz w:val="24"/>
          <w:szCs w:val="24"/>
        </w:rPr>
        <w:t xml:space="preserve"> </w:t>
      </w:r>
      <w:r w:rsidR="00081299" w:rsidRPr="0036490F">
        <w:rPr>
          <w:noProof/>
          <w:sz w:val="24"/>
          <w:szCs w:val="24"/>
        </w:rPr>
        <w:t>innovation</w:t>
      </w:r>
      <w:r w:rsidR="005D0577">
        <w:rPr>
          <w:noProof/>
          <w:sz w:val="24"/>
          <w:szCs w:val="24"/>
        </w:rPr>
        <w:t xml:space="preserve"> and the </w:t>
      </w:r>
      <w:r w:rsidR="00CF1429">
        <w:rPr>
          <w:noProof/>
          <w:sz w:val="24"/>
          <w:szCs w:val="24"/>
        </w:rPr>
        <w:t xml:space="preserve">competitiveness of the </w:t>
      </w:r>
      <w:r w:rsidR="005D0577">
        <w:rPr>
          <w:noProof/>
          <w:sz w:val="24"/>
          <w:szCs w:val="24"/>
        </w:rPr>
        <w:t>tech and software industry</w:t>
      </w:r>
      <w:r w:rsidR="00081299" w:rsidRPr="0036490F">
        <w:rPr>
          <w:noProof/>
          <w:sz w:val="24"/>
          <w:szCs w:val="24"/>
        </w:rPr>
        <w:t>.</w:t>
      </w:r>
    </w:p>
    <w:p w14:paraId="20E6227B" w14:textId="333D3BAE" w:rsidR="00CA3F7D" w:rsidRPr="00582673" w:rsidRDefault="0036490F" w:rsidP="00DD3B24">
      <w:pPr>
        <w:pStyle w:val="ListParagraph"/>
        <w:numPr>
          <w:ilvl w:val="0"/>
          <w:numId w:val="13"/>
        </w:numPr>
        <w:spacing w:after="120"/>
        <w:ind w:left="714" w:hanging="357"/>
        <w:jc w:val="both"/>
        <w:rPr>
          <w:b/>
          <w:noProof/>
          <w:sz w:val="24"/>
          <w:szCs w:val="24"/>
        </w:rPr>
      </w:pPr>
      <w:r w:rsidRPr="0036490F">
        <w:rPr>
          <w:b/>
          <w:noProof/>
          <w:sz w:val="24"/>
          <w:szCs w:val="24"/>
        </w:rPr>
        <w:t xml:space="preserve">Impacts on the judicial system and </w:t>
      </w:r>
      <w:r w:rsidR="00222233">
        <w:rPr>
          <w:b/>
          <w:noProof/>
          <w:sz w:val="24"/>
          <w:szCs w:val="24"/>
        </w:rPr>
        <w:t>legal</w:t>
      </w:r>
      <w:r w:rsidR="00222233" w:rsidRPr="0036490F">
        <w:rPr>
          <w:b/>
          <w:noProof/>
          <w:sz w:val="24"/>
          <w:szCs w:val="24"/>
        </w:rPr>
        <w:t xml:space="preserve"> </w:t>
      </w:r>
      <w:r w:rsidRPr="0036490F">
        <w:rPr>
          <w:b/>
          <w:noProof/>
          <w:sz w:val="24"/>
          <w:szCs w:val="24"/>
        </w:rPr>
        <w:t>costs</w:t>
      </w:r>
    </w:p>
    <w:p w14:paraId="292D0612" w14:textId="33958ED2" w:rsidR="00CA3F7D" w:rsidRPr="00D933DC" w:rsidRDefault="00FD17F5" w:rsidP="00D933DC">
      <w:pPr>
        <w:pStyle w:val="BodyText"/>
        <w:spacing w:after="240"/>
        <w:rPr>
          <w:noProof/>
          <w:sz w:val="24"/>
          <w:szCs w:val="24"/>
        </w:rPr>
      </w:pPr>
      <w:r>
        <w:rPr>
          <w:noProof/>
          <w:sz w:val="24"/>
          <w:szCs w:val="24"/>
        </w:rPr>
        <w:t>For software producers</w:t>
      </w:r>
      <w:r w:rsidRPr="00FD17F5">
        <w:rPr>
          <w:noProof/>
          <w:sz w:val="24"/>
          <w:szCs w:val="24"/>
        </w:rPr>
        <w:t xml:space="preserve"> </w:t>
      </w:r>
      <w:r w:rsidRPr="00AA3F13">
        <w:rPr>
          <w:noProof/>
          <w:sz w:val="24"/>
          <w:szCs w:val="24"/>
        </w:rPr>
        <w:t xml:space="preserve">and related </w:t>
      </w:r>
      <w:r>
        <w:rPr>
          <w:noProof/>
          <w:sz w:val="24"/>
          <w:szCs w:val="24"/>
        </w:rPr>
        <w:t xml:space="preserve">victims of harm, </w:t>
      </w:r>
      <w:r w:rsidR="00C04C64">
        <w:rPr>
          <w:noProof/>
          <w:sz w:val="24"/>
          <w:szCs w:val="24"/>
        </w:rPr>
        <w:t xml:space="preserve">PO1c </w:t>
      </w:r>
      <w:r>
        <w:rPr>
          <w:noProof/>
          <w:sz w:val="24"/>
          <w:szCs w:val="24"/>
        </w:rPr>
        <w:t xml:space="preserve">would reduce the annual legal costs by </w:t>
      </w:r>
      <w:r w:rsidR="00C04C64">
        <w:rPr>
          <w:noProof/>
          <w:sz w:val="24"/>
          <w:szCs w:val="24"/>
        </w:rPr>
        <w:t>6</w:t>
      </w:r>
      <w:r w:rsidR="00C04C64" w:rsidRPr="00112E8C">
        <w:rPr>
          <w:noProof/>
          <w:sz w:val="24"/>
          <w:szCs w:val="24"/>
        </w:rPr>
        <w:t>%</w:t>
      </w:r>
      <w:r w:rsidR="00C12675" w:rsidRPr="00D933DC">
        <w:rPr>
          <w:rStyle w:val="FootnoteReference"/>
          <w:noProof/>
          <w:sz w:val="24"/>
          <w:szCs w:val="24"/>
        </w:rPr>
        <w:footnoteReference w:id="225"/>
      </w:r>
      <w:r w:rsidR="00C04C64" w:rsidRPr="00112E8C">
        <w:rPr>
          <w:noProof/>
          <w:sz w:val="24"/>
          <w:szCs w:val="24"/>
        </w:rPr>
        <w:t xml:space="preserve"> </w:t>
      </w:r>
      <w:r w:rsidR="00C04C64">
        <w:rPr>
          <w:noProof/>
          <w:sz w:val="24"/>
          <w:szCs w:val="24"/>
        </w:rPr>
        <w:t>due to the even broader application of no-fault liability</w:t>
      </w:r>
      <w:r>
        <w:rPr>
          <w:noProof/>
          <w:sz w:val="24"/>
          <w:szCs w:val="24"/>
        </w:rPr>
        <w:t xml:space="preserve"> compared to PO1a and PO1b</w:t>
      </w:r>
      <w:r w:rsidR="00C04C64">
        <w:rPr>
          <w:noProof/>
          <w:sz w:val="24"/>
          <w:szCs w:val="24"/>
        </w:rPr>
        <w:t xml:space="preserve">, meaning shorter proceedings. </w:t>
      </w:r>
      <w:r>
        <w:rPr>
          <w:noProof/>
          <w:sz w:val="24"/>
          <w:szCs w:val="24"/>
        </w:rPr>
        <w:t>On the other hand, however, PO1c would increase the number</w:t>
      </w:r>
      <w:r w:rsidRPr="00AA3F13">
        <w:rPr>
          <w:noProof/>
          <w:sz w:val="24"/>
          <w:szCs w:val="24"/>
        </w:rPr>
        <w:t xml:space="preserve"> </w:t>
      </w:r>
      <w:r>
        <w:rPr>
          <w:noProof/>
          <w:sz w:val="24"/>
          <w:szCs w:val="24"/>
        </w:rPr>
        <w:t xml:space="preserve">of in-court and out-of-court cases of </w:t>
      </w:r>
      <w:r w:rsidR="004A52F5">
        <w:rPr>
          <w:noProof/>
          <w:sz w:val="24"/>
          <w:szCs w:val="24"/>
        </w:rPr>
        <w:t xml:space="preserve">around </w:t>
      </w:r>
      <w:r>
        <w:rPr>
          <w:noProof/>
          <w:sz w:val="24"/>
          <w:szCs w:val="24"/>
        </w:rPr>
        <w:t>3</w:t>
      </w:r>
      <w:r w:rsidR="004A52F5">
        <w:rPr>
          <w:noProof/>
          <w:sz w:val="24"/>
          <w:szCs w:val="24"/>
        </w:rPr>
        <w:t>.5</w:t>
      </w:r>
      <w:r>
        <w:rPr>
          <w:noProof/>
          <w:sz w:val="24"/>
          <w:szCs w:val="24"/>
        </w:rPr>
        <w:t xml:space="preserve">%. </w:t>
      </w:r>
    </w:p>
    <w:p w14:paraId="25C3EF2A" w14:textId="20E4C27B" w:rsidR="00CA3F7D" w:rsidRPr="00D933DC" w:rsidRDefault="00FD17F5" w:rsidP="00D933DC">
      <w:pPr>
        <w:pStyle w:val="BodyText"/>
        <w:spacing w:after="240"/>
        <w:rPr>
          <w:noProof/>
          <w:sz w:val="24"/>
          <w:szCs w:val="24"/>
        </w:rPr>
      </w:pPr>
      <w:r>
        <w:rPr>
          <w:noProof/>
          <w:sz w:val="24"/>
          <w:szCs w:val="24"/>
        </w:rPr>
        <w:t>Similarly</w:t>
      </w:r>
      <w:r w:rsidR="00CA3F7D" w:rsidRPr="00D933DC">
        <w:rPr>
          <w:noProof/>
          <w:sz w:val="24"/>
          <w:szCs w:val="24"/>
        </w:rPr>
        <w:t xml:space="preserve">, PO1c would </w:t>
      </w:r>
      <w:r>
        <w:rPr>
          <w:noProof/>
          <w:sz w:val="24"/>
          <w:szCs w:val="24"/>
        </w:rPr>
        <w:t xml:space="preserve">also </w:t>
      </w:r>
      <w:r w:rsidR="00CA3F7D" w:rsidRPr="00D933DC">
        <w:rPr>
          <w:noProof/>
          <w:sz w:val="24"/>
          <w:szCs w:val="24"/>
        </w:rPr>
        <w:t xml:space="preserve">increase </w:t>
      </w:r>
      <w:r>
        <w:rPr>
          <w:noProof/>
          <w:sz w:val="24"/>
          <w:szCs w:val="24"/>
        </w:rPr>
        <w:t xml:space="preserve">by </w:t>
      </w:r>
      <w:r w:rsidR="007E511F">
        <w:rPr>
          <w:noProof/>
          <w:sz w:val="24"/>
          <w:szCs w:val="24"/>
        </w:rPr>
        <w:t>1</w:t>
      </w:r>
      <w:r w:rsidR="004A52F5">
        <w:rPr>
          <w:noProof/>
          <w:sz w:val="24"/>
          <w:szCs w:val="24"/>
        </w:rPr>
        <w:t>6</w:t>
      </w:r>
      <w:r>
        <w:rPr>
          <w:noProof/>
          <w:sz w:val="24"/>
          <w:szCs w:val="24"/>
        </w:rPr>
        <w:t xml:space="preserve">% </w:t>
      </w:r>
      <w:r w:rsidR="00CA3F7D" w:rsidRPr="00D933DC">
        <w:rPr>
          <w:noProof/>
          <w:sz w:val="24"/>
          <w:szCs w:val="24"/>
        </w:rPr>
        <w:t>the number of in</w:t>
      </w:r>
      <w:r w:rsidR="006D5B37">
        <w:rPr>
          <w:noProof/>
          <w:sz w:val="24"/>
          <w:szCs w:val="24"/>
        </w:rPr>
        <w:t>-</w:t>
      </w:r>
      <w:r w:rsidR="00CA3F7D" w:rsidRPr="00D933DC">
        <w:rPr>
          <w:noProof/>
          <w:sz w:val="24"/>
          <w:szCs w:val="24"/>
        </w:rPr>
        <w:t>court and out</w:t>
      </w:r>
      <w:r w:rsidR="006D5B37">
        <w:rPr>
          <w:noProof/>
          <w:sz w:val="24"/>
          <w:szCs w:val="24"/>
        </w:rPr>
        <w:t>-</w:t>
      </w:r>
      <w:r w:rsidR="00CA3F7D" w:rsidRPr="00D933DC">
        <w:rPr>
          <w:noProof/>
          <w:sz w:val="24"/>
          <w:szCs w:val="24"/>
        </w:rPr>
        <w:t>of</w:t>
      </w:r>
      <w:r w:rsidR="006D5B37">
        <w:rPr>
          <w:noProof/>
          <w:sz w:val="24"/>
          <w:szCs w:val="24"/>
        </w:rPr>
        <w:t>-</w:t>
      </w:r>
      <w:r w:rsidR="00CA3F7D" w:rsidRPr="00D933DC">
        <w:rPr>
          <w:noProof/>
          <w:sz w:val="24"/>
          <w:szCs w:val="24"/>
        </w:rPr>
        <w:t>court</w:t>
      </w:r>
      <w:r w:rsidR="006D5B37">
        <w:rPr>
          <w:noProof/>
          <w:sz w:val="24"/>
          <w:szCs w:val="24"/>
        </w:rPr>
        <w:t xml:space="preserve"> cases</w:t>
      </w:r>
      <w:r w:rsidR="00CA3F7D" w:rsidRPr="00D933DC">
        <w:rPr>
          <w:noProof/>
          <w:sz w:val="24"/>
          <w:szCs w:val="24"/>
        </w:rPr>
        <w:t xml:space="preserve"> </w:t>
      </w:r>
      <w:r w:rsidR="00ED27BF">
        <w:rPr>
          <w:noProof/>
          <w:sz w:val="24"/>
          <w:szCs w:val="24"/>
        </w:rPr>
        <w:t xml:space="preserve">due to inclusion of </w:t>
      </w:r>
      <w:r w:rsidR="00ED27BF" w:rsidRPr="004A082C">
        <w:rPr>
          <w:rFonts w:cstheme="minorHAnsi"/>
          <w:bCs/>
          <w:noProof/>
          <w:color w:val="000000" w:themeColor="text1"/>
          <w:sz w:val="24"/>
          <w:szCs w:val="24"/>
        </w:rPr>
        <w:t>damage flowing from fundamental rights infringements</w:t>
      </w:r>
      <w:r w:rsidR="00ED27BF">
        <w:rPr>
          <w:rFonts w:cstheme="minorHAnsi"/>
          <w:bCs/>
          <w:noProof/>
          <w:color w:val="000000" w:themeColor="text1"/>
          <w:sz w:val="24"/>
          <w:szCs w:val="24"/>
        </w:rPr>
        <w:t xml:space="preserve">, relevant for </w:t>
      </w:r>
      <w:r w:rsidR="00ED27BF">
        <w:rPr>
          <w:noProof/>
          <w:sz w:val="24"/>
          <w:szCs w:val="24"/>
        </w:rPr>
        <w:t xml:space="preserve">producers of IoT products and providers of AI </w:t>
      </w:r>
      <w:r w:rsidR="00ED27BF" w:rsidRPr="00A67FD3">
        <w:rPr>
          <w:noProof/>
          <w:sz w:val="24"/>
          <w:szCs w:val="24"/>
        </w:rPr>
        <w:t>systems</w:t>
      </w:r>
      <w:r w:rsidR="00ED27BF">
        <w:rPr>
          <w:noProof/>
          <w:sz w:val="24"/>
          <w:szCs w:val="24"/>
        </w:rPr>
        <w:t>.</w:t>
      </w:r>
      <w:r w:rsidR="00ED27BF">
        <w:rPr>
          <w:rFonts w:eastAsia="Calibri"/>
          <w:noProof/>
          <w:sz w:val="24"/>
          <w:szCs w:val="24"/>
        </w:rPr>
        <w:t xml:space="preserve"> </w:t>
      </w:r>
      <w:r>
        <w:rPr>
          <w:rFonts w:eastAsia="Calibri"/>
          <w:noProof/>
          <w:sz w:val="24"/>
          <w:szCs w:val="24"/>
        </w:rPr>
        <w:t xml:space="preserve">Effects derived </w:t>
      </w:r>
      <w:r w:rsidR="00ED27BF">
        <w:rPr>
          <w:rFonts w:eastAsia="Calibri"/>
          <w:noProof/>
          <w:sz w:val="24"/>
          <w:szCs w:val="24"/>
        </w:rPr>
        <w:t>from</w:t>
      </w:r>
      <w:r>
        <w:rPr>
          <w:rFonts w:eastAsia="Calibri"/>
          <w:noProof/>
          <w:sz w:val="24"/>
          <w:szCs w:val="24"/>
        </w:rPr>
        <w:t xml:space="preserve"> making authorised representatives and fulfilment service providers liable would be the same as in PO1b. </w:t>
      </w:r>
    </w:p>
    <w:p w14:paraId="0B0D6D5F" w14:textId="3957CC67" w:rsidR="00371FE9" w:rsidRPr="007E511F" w:rsidRDefault="00B80B62"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Taking all this into account, u</w:t>
      </w:r>
      <w:r w:rsidR="00CA3F7D" w:rsidRPr="00D933DC">
        <w:rPr>
          <w:noProof/>
          <w:sz w:val="24"/>
          <w:szCs w:val="24"/>
        </w:rPr>
        <w:t>nder PO1</w:t>
      </w:r>
      <w:r>
        <w:rPr>
          <w:noProof/>
          <w:sz w:val="24"/>
          <w:szCs w:val="24"/>
        </w:rPr>
        <w:t>c</w:t>
      </w:r>
      <w:r w:rsidR="00CA3F7D" w:rsidRPr="00D933DC">
        <w:rPr>
          <w:noProof/>
          <w:sz w:val="24"/>
          <w:szCs w:val="24"/>
        </w:rPr>
        <w:t xml:space="preserve"> </w:t>
      </w:r>
      <w:r>
        <w:rPr>
          <w:noProof/>
          <w:sz w:val="24"/>
          <w:szCs w:val="24"/>
        </w:rPr>
        <w:t xml:space="preserve">the </w:t>
      </w:r>
      <w:r w:rsidR="00CA3F7D" w:rsidRPr="00D933DC">
        <w:rPr>
          <w:noProof/>
          <w:sz w:val="24"/>
          <w:szCs w:val="24"/>
        </w:rPr>
        <w:t xml:space="preserve">total </w:t>
      </w:r>
      <w:r w:rsidR="00CA3F7D" w:rsidRPr="00D933DC">
        <w:rPr>
          <w:b/>
          <w:noProof/>
          <w:sz w:val="24"/>
          <w:szCs w:val="24"/>
        </w:rPr>
        <w:t>annual</w:t>
      </w:r>
      <w:r w:rsidR="00CA3F7D" w:rsidRPr="00D933DC">
        <w:rPr>
          <w:noProof/>
          <w:sz w:val="24"/>
          <w:szCs w:val="24"/>
        </w:rPr>
        <w:t xml:space="preserve"> </w:t>
      </w:r>
      <w:r w:rsidR="00CA3F7D" w:rsidRPr="00D933DC">
        <w:rPr>
          <w:b/>
          <w:noProof/>
          <w:sz w:val="24"/>
          <w:szCs w:val="24"/>
        </w:rPr>
        <w:t>legal costs</w:t>
      </w:r>
      <w:r w:rsidR="00CA3F7D" w:rsidRPr="00D933DC">
        <w:rPr>
          <w:noProof/>
          <w:sz w:val="24"/>
          <w:szCs w:val="24"/>
        </w:rPr>
        <w:t xml:space="preserve"> </w:t>
      </w:r>
      <w:r w:rsidR="00582673" w:rsidRPr="00AA3F13">
        <w:rPr>
          <w:noProof/>
          <w:sz w:val="24"/>
          <w:szCs w:val="24"/>
        </w:rPr>
        <w:t xml:space="preserve">are </w:t>
      </w:r>
      <w:r w:rsidR="00F34687">
        <w:rPr>
          <w:noProof/>
          <w:sz w:val="24"/>
          <w:szCs w:val="24"/>
        </w:rPr>
        <w:t>assessed</w:t>
      </w:r>
      <w:r w:rsidR="00F34687" w:rsidRPr="00AA3F13">
        <w:rPr>
          <w:noProof/>
          <w:sz w:val="24"/>
          <w:szCs w:val="24"/>
        </w:rPr>
        <w:t xml:space="preserve"> </w:t>
      </w:r>
      <w:r w:rsidR="00582673" w:rsidRPr="00AA3F13">
        <w:rPr>
          <w:noProof/>
          <w:sz w:val="24"/>
          <w:szCs w:val="24"/>
        </w:rPr>
        <w:t xml:space="preserve">to increase incrementally compared to the baseline, </w:t>
      </w:r>
      <w:r w:rsidR="00582673">
        <w:rPr>
          <w:noProof/>
          <w:sz w:val="24"/>
          <w:szCs w:val="24"/>
        </w:rPr>
        <w:t xml:space="preserve">with an increase between </w:t>
      </w:r>
      <w:r w:rsidR="00D33490">
        <w:rPr>
          <w:noProof/>
          <w:sz w:val="24"/>
          <w:szCs w:val="24"/>
        </w:rPr>
        <w:t>1.83</w:t>
      </w:r>
      <w:r w:rsidR="00582673">
        <w:rPr>
          <w:noProof/>
          <w:sz w:val="24"/>
          <w:szCs w:val="24"/>
        </w:rPr>
        <w:t xml:space="preserve"> and </w:t>
      </w:r>
      <w:r w:rsidR="00D33490">
        <w:rPr>
          <w:noProof/>
          <w:sz w:val="24"/>
          <w:szCs w:val="24"/>
        </w:rPr>
        <w:t>4.50</w:t>
      </w:r>
      <w:r w:rsidR="00582673" w:rsidRPr="00AA3F13">
        <w:rPr>
          <w:noProof/>
          <w:sz w:val="24"/>
          <w:szCs w:val="24"/>
        </w:rPr>
        <w:t xml:space="preserve"> EUR million</w:t>
      </w:r>
      <w:r w:rsidR="00CA3F7D" w:rsidRPr="00D933DC">
        <w:rPr>
          <w:noProof/>
          <w:sz w:val="24"/>
          <w:szCs w:val="24"/>
        </w:rPr>
        <w:t>.</w:t>
      </w:r>
    </w:p>
    <w:p w14:paraId="1BA4DAAB" w14:textId="77777777" w:rsidR="0036490F" w:rsidRPr="0036490F" w:rsidRDefault="0036490F" w:rsidP="0036490F">
      <w:pPr>
        <w:spacing w:after="240" w:line="240" w:lineRule="auto"/>
        <w:jc w:val="both"/>
        <w:rPr>
          <w:rFonts w:cstheme="minorHAnsi"/>
          <w:b/>
          <w:bCs/>
          <w:noProof/>
          <w:color w:val="242424"/>
          <w:sz w:val="24"/>
          <w:szCs w:val="24"/>
          <w:u w:val="single"/>
          <w:shd w:val="clear" w:color="auto" w:fill="FFFFFF"/>
        </w:rPr>
      </w:pPr>
      <w:r w:rsidRPr="0036490F">
        <w:rPr>
          <w:rFonts w:cstheme="minorHAnsi"/>
          <w:b/>
          <w:bCs/>
          <w:noProof/>
          <w:color w:val="242424"/>
          <w:sz w:val="24"/>
          <w:szCs w:val="24"/>
          <w:u w:val="single"/>
          <w:shd w:val="clear" w:color="auto" w:fill="FFFFFF"/>
        </w:rPr>
        <w:t>Social impacts</w:t>
      </w:r>
    </w:p>
    <w:p w14:paraId="1E658FCA" w14:textId="77777777" w:rsidR="0036490F" w:rsidRPr="0036490F" w:rsidRDefault="0036490F" w:rsidP="00DD3B24">
      <w:pPr>
        <w:pStyle w:val="ListParagraph"/>
        <w:numPr>
          <w:ilvl w:val="0"/>
          <w:numId w:val="15"/>
        </w:numPr>
        <w:spacing w:after="120"/>
        <w:ind w:left="714" w:hanging="357"/>
        <w:jc w:val="both"/>
        <w:rPr>
          <w:rFonts w:cstheme="minorHAnsi"/>
          <w:b/>
          <w:noProof/>
          <w:color w:val="242424"/>
          <w:sz w:val="24"/>
          <w:szCs w:val="24"/>
          <w:shd w:val="clear" w:color="auto" w:fill="FFFFFF"/>
        </w:rPr>
      </w:pPr>
      <w:r w:rsidRPr="0036490F">
        <w:rPr>
          <w:rFonts w:cstheme="minorHAnsi"/>
          <w:b/>
          <w:noProof/>
          <w:color w:val="242424"/>
          <w:sz w:val="24"/>
          <w:szCs w:val="24"/>
          <w:shd w:val="clear" w:color="auto" w:fill="FFFFFF"/>
        </w:rPr>
        <w:t>Impacts on consumers</w:t>
      </w:r>
    </w:p>
    <w:p w14:paraId="66BBA822" w14:textId="231D5483" w:rsidR="0036490F" w:rsidRDefault="0036490F" w:rsidP="00B1354A">
      <w:pPr>
        <w:spacing w:after="240" w:line="240" w:lineRule="auto"/>
        <w:jc w:val="both"/>
        <w:rPr>
          <w:noProof/>
          <w:sz w:val="24"/>
          <w:szCs w:val="24"/>
        </w:rPr>
      </w:pPr>
      <w:r w:rsidRPr="0036490F">
        <w:rPr>
          <w:rFonts w:cstheme="minorHAnsi"/>
          <w:noProof/>
          <w:color w:val="242424"/>
          <w:sz w:val="24"/>
          <w:szCs w:val="24"/>
          <w:shd w:val="clear" w:color="auto" w:fill="FFFFFF"/>
        </w:rPr>
        <w:t>PO1c would enhance</w:t>
      </w:r>
      <w:r w:rsidRPr="0036490F">
        <w:rPr>
          <w:noProof/>
          <w:sz w:val="24"/>
          <w:szCs w:val="24"/>
        </w:rPr>
        <w:t xml:space="preserve"> consumer protection as </w:t>
      </w:r>
      <w:r w:rsidR="00744F47">
        <w:rPr>
          <w:noProof/>
          <w:sz w:val="24"/>
          <w:szCs w:val="24"/>
        </w:rPr>
        <w:t>they</w:t>
      </w:r>
      <w:r w:rsidR="003948FB">
        <w:rPr>
          <w:rFonts w:cstheme="minorHAnsi"/>
          <w:noProof/>
          <w:color w:val="242424"/>
          <w:sz w:val="24"/>
          <w:szCs w:val="24"/>
          <w:shd w:val="clear" w:color="auto" w:fill="FFFFFF"/>
        </w:rPr>
        <w:t xml:space="preserve"> </w:t>
      </w:r>
      <w:r w:rsidR="00B85071">
        <w:rPr>
          <w:rFonts w:cstheme="minorHAnsi"/>
          <w:noProof/>
          <w:color w:val="242424"/>
          <w:sz w:val="24"/>
          <w:szCs w:val="24"/>
          <w:shd w:val="clear" w:color="auto" w:fill="FFFFFF"/>
        </w:rPr>
        <w:t xml:space="preserve">could get </w:t>
      </w:r>
      <w:r w:rsidR="003948FB">
        <w:rPr>
          <w:rFonts w:cstheme="minorHAnsi"/>
          <w:noProof/>
          <w:color w:val="242424"/>
          <w:sz w:val="24"/>
          <w:szCs w:val="24"/>
          <w:shd w:val="clear" w:color="auto" w:fill="FFFFFF"/>
        </w:rPr>
        <w:t>compensation for</w:t>
      </w:r>
      <w:r w:rsidRPr="0036490F">
        <w:rPr>
          <w:noProof/>
          <w:sz w:val="24"/>
          <w:szCs w:val="24"/>
        </w:rPr>
        <w:t xml:space="preserve"> immaterial damages, such as emotional </w:t>
      </w:r>
      <w:r w:rsidR="003948FB">
        <w:rPr>
          <w:noProof/>
          <w:sz w:val="24"/>
          <w:szCs w:val="24"/>
        </w:rPr>
        <w:t>harm</w:t>
      </w:r>
      <w:r w:rsidRPr="0036490F">
        <w:rPr>
          <w:noProof/>
          <w:sz w:val="24"/>
          <w:szCs w:val="24"/>
        </w:rPr>
        <w:t xml:space="preserve">, and </w:t>
      </w:r>
      <w:r w:rsidR="003948FB">
        <w:rPr>
          <w:noProof/>
          <w:sz w:val="24"/>
          <w:szCs w:val="24"/>
        </w:rPr>
        <w:t>for losses caused by</w:t>
      </w:r>
      <w:r w:rsidR="003948FB" w:rsidRPr="0036490F">
        <w:rPr>
          <w:noProof/>
          <w:sz w:val="24"/>
          <w:szCs w:val="24"/>
        </w:rPr>
        <w:t xml:space="preserve"> </w:t>
      </w:r>
      <w:r w:rsidRPr="0036490F">
        <w:rPr>
          <w:noProof/>
          <w:sz w:val="24"/>
          <w:szCs w:val="24"/>
        </w:rPr>
        <w:t>discrimination and privacy breaches.</w:t>
      </w:r>
      <w:r w:rsidR="003948FB" w:rsidRPr="003948FB">
        <w:rPr>
          <w:noProof/>
          <w:sz w:val="24"/>
          <w:szCs w:val="24"/>
        </w:rPr>
        <w:t xml:space="preserve"> </w:t>
      </w:r>
      <w:r w:rsidR="00B85071">
        <w:rPr>
          <w:noProof/>
          <w:sz w:val="24"/>
          <w:szCs w:val="24"/>
        </w:rPr>
        <w:t xml:space="preserve">In the apparently </w:t>
      </w:r>
      <w:r w:rsidR="00AA5292">
        <w:rPr>
          <w:noProof/>
          <w:sz w:val="24"/>
          <w:szCs w:val="24"/>
        </w:rPr>
        <w:t>limited</w:t>
      </w:r>
      <w:r w:rsidR="00B85071">
        <w:rPr>
          <w:noProof/>
          <w:sz w:val="24"/>
          <w:szCs w:val="24"/>
        </w:rPr>
        <w:t xml:space="preserve"> cases </w:t>
      </w:r>
      <w:r w:rsidR="00AA5292">
        <w:rPr>
          <w:noProof/>
          <w:sz w:val="24"/>
          <w:szCs w:val="24"/>
        </w:rPr>
        <w:t>of data protection infringements in which</w:t>
      </w:r>
      <w:r w:rsidR="00B85071">
        <w:rPr>
          <w:noProof/>
          <w:sz w:val="24"/>
          <w:szCs w:val="24"/>
        </w:rPr>
        <w:t xml:space="preserve"> the GDPR does not apply</w:t>
      </w:r>
      <w:r w:rsidR="003948FB" w:rsidRPr="00C31E4F">
        <w:rPr>
          <w:noProof/>
          <w:sz w:val="24"/>
          <w:szCs w:val="24"/>
        </w:rPr>
        <w:t xml:space="preserve"> (see section 2.2.1.1), </w:t>
      </w:r>
      <w:r w:rsidR="00B85071">
        <w:rPr>
          <w:noProof/>
          <w:sz w:val="24"/>
          <w:szCs w:val="24"/>
        </w:rPr>
        <w:t>the PLD could provide compensation</w:t>
      </w:r>
      <w:r w:rsidR="003948FB" w:rsidRPr="00C31E4F">
        <w:rPr>
          <w:noProof/>
          <w:sz w:val="24"/>
          <w:szCs w:val="24"/>
        </w:rPr>
        <w:t>.</w:t>
      </w:r>
      <w:r w:rsidR="00B85071">
        <w:rPr>
          <w:noProof/>
          <w:sz w:val="24"/>
          <w:szCs w:val="24"/>
        </w:rPr>
        <w:t xml:space="preserve"> </w:t>
      </w:r>
      <w:r w:rsidR="00B1354A">
        <w:rPr>
          <w:noProof/>
          <w:sz w:val="24"/>
          <w:szCs w:val="24"/>
        </w:rPr>
        <w:t>Consumers could also stand to get compensation for losses caused by discriminatory AI systems, such as recruitment or credit-rating software.</w:t>
      </w:r>
      <w:r w:rsidR="00BC2FBA">
        <w:rPr>
          <w:noProof/>
          <w:sz w:val="24"/>
          <w:szCs w:val="24"/>
        </w:rPr>
        <w:t xml:space="preserve"> However, a negative impact on innovation, as </w:t>
      </w:r>
      <w:r w:rsidR="00BC2FBA" w:rsidRPr="00B520D4">
        <w:rPr>
          <w:noProof/>
          <w:sz w:val="24"/>
          <w:szCs w:val="24"/>
        </w:rPr>
        <w:t xml:space="preserve">referred to under Economic Impacts above, would also have </w:t>
      </w:r>
      <w:r w:rsidR="00BC2FBA" w:rsidRPr="00B520D4">
        <w:rPr>
          <w:rFonts w:eastAsia="SimSun" w:cstheme="minorHAnsi"/>
          <w:noProof/>
          <w:sz w:val="24"/>
          <w:szCs w:val="24"/>
          <w:lang w:eastAsia="zh-CN"/>
        </w:rPr>
        <w:t xml:space="preserve">negative consequences for consumers in terms of potentially higher prices and reduced </w:t>
      </w:r>
      <w:r w:rsidR="00F22BF9" w:rsidRPr="00B520D4">
        <w:rPr>
          <w:rFonts w:eastAsia="SimSun" w:cstheme="minorHAnsi"/>
          <w:noProof/>
          <w:sz w:val="24"/>
          <w:szCs w:val="24"/>
          <w:lang w:eastAsia="zh-CN"/>
        </w:rPr>
        <w:t xml:space="preserve">access to </w:t>
      </w:r>
      <w:r w:rsidR="00BC2FBA" w:rsidRPr="00B520D4">
        <w:rPr>
          <w:rFonts w:eastAsia="SimSun" w:cstheme="minorHAnsi"/>
          <w:noProof/>
          <w:sz w:val="24"/>
          <w:szCs w:val="24"/>
          <w:lang w:eastAsia="zh-CN"/>
        </w:rPr>
        <w:t>innovative products.</w:t>
      </w:r>
    </w:p>
    <w:p w14:paraId="0EFB9F29" w14:textId="37E9419F" w:rsidR="00744F47" w:rsidRDefault="00506092" w:rsidP="00744F47">
      <w:pPr>
        <w:spacing w:after="240" w:line="240" w:lineRule="auto"/>
        <w:jc w:val="both"/>
        <w:rPr>
          <w:noProof/>
          <w:sz w:val="24"/>
          <w:szCs w:val="24"/>
        </w:rPr>
      </w:pPr>
      <w:r>
        <w:rPr>
          <w:noProof/>
          <w:sz w:val="24"/>
          <w:szCs w:val="24"/>
        </w:rPr>
        <w:t>In line with the impacts on the judicial system described above,</w:t>
      </w:r>
      <w:r w:rsidR="00744F47">
        <w:rPr>
          <w:noProof/>
          <w:sz w:val="24"/>
          <w:szCs w:val="24"/>
        </w:rPr>
        <w:t xml:space="preserve"> </w:t>
      </w:r>
      <w:r w:rsidR="00EB0208">
        <w:rPr>
          <w:noProof/>
          <w:sz w:val="24"/>
          <w:szCs w:val="24"/>
        </w:rPr>
        <w:t xml:space="preserve">PO1c </w:t>
      </w:r>
      <w:r w:rsidR="002A29D9">
        <w:rPr>
          <w:noProof/>
          <w:sz w:val="24"/>
          <w:szCs w:val="24"/>
        </w:rPr>
        <w:t xml:space="preserve">would increase the annual </w:t>
      </w:r>
      <w:r w:rsidR="00744F47">
        <w:rPr>
          <w:noProof/>
          <w:sz w:val="24"/>
          <w:szCs w:val="24"/>
        </w:rPr>
        <w:t>number of in</w:t>
      </w:r>
      <w:r w:rsidR="00AA5292">
        <w:rPr>
          <w:noProof/>
          <w:sz w:val="24"/>
          <w:szCs w:val="24"/>
        </w:rPr>
        <w:t>-</w:t>
      </w:r>
      <w:r w:rsidR="00744F47">
        <w:rPr>
          <w:noProof/>
          <w:sz w:val="24"/>
          <w:szCs w:val="24"/>
        </w:rPr>
        <w:t>court and out</w:t>
      </w:r>
      <w:r w:rsidR="00AA5292">
        <w:rPr>
          <w:noProof/>
          <w:sz w:val="24"/>
          <w:szCs w:val="24"/>
        </w:rPr>
        <w:t>-</w:t>
      </w:r>
      <w:r w:rsidR="00744F47">
        <w:rPr>
          <w:noProof/>
          <w:sz w:val="24"/>
          <w:szCs w:val="24"/>
        </w:rPr>
        <w:t>of</w:t>
      </w:r>
      <w:r w:rsidR="00AA5292">
        <w:rPr>
          <w:noProof/>
          <w:sz w:val="24"/>
          <w:szCs w:val="24"/>
        </w:rPr>
        <w:t>-</w:t>
      </w:r>
      <w:r w:rsidR="00744F47">
        <w:rPr>
          <w:noProof/>
          <w:sz w:val="24"/>
          <w:szCs w:val="24"/>
        </w:rPr>
        <w:t>court cases under the PLD in the EU27</w:t>
      </w:r>
      <w:r w:rsidR="00AA5292">
        <w:rPr>
          <w:rStyle w:val="FootnoteReference"/>
          <w:noProof/>
          <w:sz w:val="24"/>
          <w:szCs w:val="24"/>
        </w:rPr>
        <w:footnoteReference w:id="226"/>
      </w:r>
      <w:r w:rsidR="00402CDB">
        <w:rPr>
          <w:noProof/>
          <w:sz w:val="24"/>
          <w:szCs w:val="24"/>
        </w:rPr>
        <w:t>.</w:t>
      </w:r>
      <w:r w:rsidR="00744F47">
        <w:rPr>
          <w:noProof/>
          <w:sz w:val="24"/>
          <w:szCs w:val="24"/>
        </w:rPr>
        <w:t xml:space="preserve"> </w:t>
      </w:r>
      <w:r w:rsidR="007559BE">
        <w:rPr>
          <w:noProof/>
          <w:sz w:val="24"/>
          <w:szCs w:val="24"/>
        </w:rPr>
        <w:t>T</w:t>
      </w:r>
      <w:r w:rsidR="00744F47">
        <w:rPr>
          <w:noProof/>
          <w:sz w:val="24"/>
          <w:szCs w:val="24"/>
        </w:rPr>
        <w:t xml:space="preserve">he measure would not affect the average compensation pay-outs to victims. </w:t>
      </w:r>
    </w:p>
    <w:p w14:paraId="6BC0BB18" w14:textId="12586C87" w:rsidR="00744F47" w:rsidRDefault="003072F7"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Taking all this into account, u</w:t>
      </w:r>
      <w:r w:rsidR="00744F47">
        <w:rPr>
          <w:noProof/>
          <w:sz w:val="24"/>
          <w:szCs w:val="24"/>
        </w:rPr>
        <w:t>nder PO1</w:t>
      </w:r>
      <w:r w:rsidR="007559BE">
        <w:rPr>
          <w:noProof/>
          <w:sz w:val="24"/>
          <w:szCs w:val="24"/>
        </w:rPr>
        <w:t>c</w:t>
      </w:r>
      <w:r w:rsidR="00744F47" w:rsidRPr="008E2E0F">
        <w:rPr>
          <w:noProof/>
          <w:sz w:val="24"/>
          <w:szCs w:val="24"/>
        </w:rPr>
        <w:t xml:space="preserve"> the </w:t>
      </w:r>
      <w:r w:rsidR="00744F47">
        <w:rPr>
          <w:noProof/>
          <w:sz w:val="24"/>
          <w:szCs w:val="24"/>
        </w:rPr>
        <w:t xml:space="preserve">total </w:t>
      </w:r>
      <w:r w:rsidR="00744F47" w:rsidRPr="00150C16">
        <w:rPr>
          <w:b/>
          <w:noProof/>
          <w:sz w:val="24"/>
          <w:szCs w:val="24"/>
        </w:rPr>
        <w:t xml:space="preserve">annual </w:t>
      </w:r>
      <w:r w:rsidR="002A29D9">
        <w:rPr>
          <w:b/>
          <w:noProof/>
          <w:sz w:val="24"/>
          <w:szCs w:val="24"/>
        </w:rPr>
        <w:t xml:space="preserve">compensations paid to victims </w:t>
      </w:r>
      <w:r w:rsidR="00582673" w:rsidRPr="008E2E0F">
        <w:rPr>
          <w:noProof/>
          <w:sz w:val="24"/>
          <w:szCs w:val="24"/>
        </w:rPr>
        <w:t xml:space="preserve">are </w:t>
      </w:r>
      <w:r w:rsidR="00F34687">
        <w:rPr>
          <w:noProof/>
          <w:sz w:val="24"/>
          <w:szCs w:val="24"/>
        </w:rPr>
        <w:t>assessed</w:t>
      </w:r>
      <w:r w:rsidR="00582673" w:rsidRPr="008E2E0F">
        <w:rPr>
          <w:noProof/>
          <w:sz w:val="24"/>
          <w:szCs w:val="24"/>
        </w:rPr>
        <w:t xml:space="preserve"> to increase incrementally compared to the baseline, </w:t>
      </w:r>
      <w:r w:rsidR="00582673">
        <w:rPr>
          <w:noProof/>
          <w:sz w:val="24"/>
          <w:szCs w:val="24"/>
        </w:rPr>
        <w:t>with an increase between</w:t>
      </w:r>
      <w:r w:rsidR="00582673" w:rsidRPr="008E2E0F">
        <w:rPr>
          <w:noProof/>
          <w:sz w:val="24"/>
          <w:szCs w:val="24"/>
        </w:rPr>
        <w:t xml:space="preserve"> </w:t>
      </w:r>
      <w:r w:rsidR="00582673">
        <w:rPr>
          <w:noProof/>
          <w:sz w:val="24"/>
          <w:szCs w:val="24"/>
        </w:rPr>
        <w:t>0.</w:t>
      </w:r>
      <w:r w:rsidR="00BC7222">
        <w:rPr>
          <w:noProof/>
          <w:sz w:val="24"/>
          <w:szCs w:val="24"/>
        </w:rPr>
        <w:t>1</w:t>
      </w:r>
      <w:r w:rsidR="00D33490">
        <w:rPr>
          <w:noProof/>
          <w:sz w:val="24"/>
          <w:szCs w:val="24"/>
        </w:rPr>
        <w:t>7</w:t>
      </w:r>
      <w:r w:rsidR="00582673" w:rsidRPr="008E2E0F">
        <w:rPr>
          <w:noProof/>
          <w:sz w:val="24"/>
          <w:szCs w:val="24"/>
        </w:rPr>
        <w:t xml:space="preserve"> </w:t>
      </w:r>
      <w:r w:rsidR="00582673">
        <w:rPr>
          <w:noProof/>
          <w:sz w:val="24"/>
          <w:szCs w:val="24"/>
        </w:rPr>
        <w:t xml:space="preserve">and </w:t>
      </w:r>
      <w:r w:rsidR="00D33490">
        <w:rPr>
          <w:noProof/>
          <w:sz w:val="24"/>
          <w:szCs w:val="24"/>
        </w:rPr>
        <w:t>47.70</w:t>
      </w:r>
      <w:r w:rsidR="00582673">
        <w:rPr>
          <w:noProof/>
          <w:sz w:val="24"/>
          <w:szCs w:val="24"/>
        </w:rPr>
        <w:t xml:space="preserve"> </w:t>
      </w:r>
      <w:r w:rsidR="00582673" w:rsidRPr="008E2E0F">
        <w:rPr>
          <w:noProof/>
          <w:sz w:val="24"/>
          <w:szCs w:val="24"/>
        </w:rPr>
        <w:t>EUR million</w:t>
      </w:r>
      <w:r w:rsidR="00744F47">
        <w:rPr>
          <w:rStyle w:val="FootnoteReference"/>
          <w:noProof/>
          <w:sz w:val="24"/>
          <w:szCs w:val="24"/>
        </w:rPr>
        <w:footnoteReference w:id="227"/>
      </w:r>
      <w:r w:rsidR="00744F47" w:rsidRPr="008E2E0F">
        <w:rPr>
          <w:noProof/>
          <w:sz w:val="24"/>
          <w:szCs w:val="24"/>
        </w:rPr>
        <w:t>.</w:t>
      </w:r>
      <w:r w:rsidR="00744F47">
        <w:rPr>
          <w:noProof/>
          <w:sz w:val="24"/>
          <w:szCs w:val="24"/>
        </w:rPr>
        <w:t xml:space="preserve"> </w:t>
      </w:r>
    </w:p>
    <w:p w14:paraId="482DFB2A" w14:textId="77777777" w:rsidR="0036490F" w:rsidRPr="0036490F" w:rsidRDefault="0036490F" w:rsidP="00DD3B24">
      <w:pPr>
        <w:pStyle w:val="ListParagraph"/>
        <w:numPr>
          <w:ilvl w:val="0"/>
          <w:numId w:val="15"/>
        </w:numPr>
        <w:spacing w:after="120"/>
        <w:ind w:left="714" w:hanging="357"/>
        <w:jc w:val="both"/>
        <w:rPr>
          <w:rFonts w:cstheme="minorHAnsi"/>
          <w:b/>
          <w:bCs/>
          <w:noProof/>
          <w:color w:val="242424"/>
          <w:sz w:val="24"/>
          <w:szCs w:val="24"/>
          <w:shd w:val="clear" w:color="auto" w:fill="FFFFFF"/>
        </w:rPr>
      </w:pPr>
      <w:r w:rsidRPr="0036490F">
        <w:rPr>
          <w:rFonts w:cstheme="minorHAnsi"/>
          <w:b/>
          <w:bCs/>
          <w:noProof/>
          <w:color w:val="242424"/>
          <w:sz w:val="24"/>
          <w:szCs w:val="24"/>
          <w:shd w:val="clear" w:color="auto" w:fill="FFFFFF"/>
        </w:rPr>
        <w:t xml:space="preserve">Impacts on employment and fundamental rights </w:t>
      </w:r>
    </w:p>
    <w:p w14:paraId="5A52377F" w14:textId="2E62383D" w:rsidR="0036490F" w:rsidRPr="0036490F" w:rsidRDefault="0036490F" w:rsidP="00BE3AEB">
      <w:pPr>
        <w:spacing w:after="240" w:line="240" w:lineRule="auto"/>
        <w:jc w:val="both"/>
        <w:rPr>
          <w:rFonts w:cstheme="minorHAnsi"/>
          <w:noProof/>
          <w:color w:val="242424"/>
          <w:sz w:val="24"/>
          <w:szCs w:val="24"/>
          <w:shd w:val="clear" w:color="auto" w:fill="FFFFFF"/>
        </w:rPr>
      </w:pPr>
      <w:r w:rsidRPr="0036490F">
        <w:rPr>
          <w:rFonts w:cstheme="minorHAnsi"/>
          <w:noProof/>
          <w:color w:val="242424"/>
          <w:sz w:val="24"/>
          <w:szCs w:val="24"/>
          <w:shd w:val="clear" w:color="auto" w:fill="FFFFFF"/>
        </w:rPr>
        <w:t xml:space="preserve">Adequate provisions against discrimination and privacy breaches within the PLD may contribute to protecting human dignity and </w:t>
      </w:r>
      <w:r w:rsidR="00D0664D">
        <w:rPr>
          <w:rFonts w:cstheme="minorHAnsi"/>
          <w:noProof/>
          <w:color w:val="242424"/>
          <w:sz w:val="24"/>
          <w:szCs w:val="24"/>
          <w:shd w:val="clear" w:color="auto" w:fill="FFFFFF"/>
        </w:rPr>
        <w:t>personal data protection</w:t>
      </w:r>
      <w:r w:rsidR="00FB144E">
        <w:rPr>
          <w:rFonts w:cstheme="minorHAnsi"/>
          <w:noProof/>
          <w:color w:val="242424"/>
          <w:sz w:val="24"/>
          <w:szCs w:val="24"/>
          <w:shd w:val="clear" w:color="auto" w:fill="FFFFFF"/>
        </w:rPr>
        <w:t xml:space="preserve"> across the EU</w:t>
      </w:r>
      <w:r w:rsidR="00DF0222">
        <w:rPr>
          <w:rFonts w:cstheme="minorHAnsi"/>
          <w:noProof/>
          <w:color w:val="242424"/>
          <w:sz w:val="24"/>
          <w:szCs w:val="24"/>
          <w:shd w:val="clear" w:color="auto" w:fill="FFFFFF"/>
        </w:rPr>
        <w:t>, but it is not possible to quantify this</w:t>
      </w:r>
      <w:r w:rsidR="00FB144E">
        <w:rPr>
          <w:rFonts w:cstheme="minorHAnsi"/>
          <w:noProof/>
          <w:color w:val="242424"/>
          <w:sz w:val="24"/>
          <w:szCs w:val="24"/>
          <w:shd w:val="clear" w:color="auto" w:fill="FFFFFF"/>
        </w:rPr>
        <w:t xml:space="preserve">. </w:t>
      </w:r>
      <w:r w:rsidRPr="0036490F">
        <w:rPr>
          <w:rFonts w:cstheme="minorHAnsi"/>
          <w:bCs/>
          <w:noProof/>
          <w:color w:val="242424"/>
          <w:sz w:val="24"/>
          <w:szCs w:val="24"/>
          <w:shd w:val="clear" w:color="auto" w:fill="FFFFFF"/>
        </w:rPr>
        <w:t xml:space="preserve">There are no foreseen impacts to employment under PO1c. </w:t>
      </w:r>
    </w:p>
    <w:p w14:paraId="36C3CFB3" w14:textId="199AED26" w:rsidR="00392E28" w:rsidRPr="00244A24" w:rsidRDefault="002E7937" w:rsidP="002E7937">
      <w:pPr>
        <w:pStyle w:val="Heading2"/>
        <w:rPr>
          <w:noProof/>
        </w:rPr>
      </w:pPr>
      <w:bookmarkStart w:id="555" w:name="_Toc95477766"/>
      <w:bookmarkStart w:id="556" w:name="_Toc95477960"/>
      <w:bookmarkStart w:id="557" w:name="_Toc95480918"/>
      <w:bookmarkStart w:id="558" w:name="_Toc95481316"/>
      <w:bookmarkStart w:id="559" w:name="_Toc95481576"/>
      <w:bookmarkStart w:id="560" w:name="_Toc94837825"/>
      <w:bookmarkStart w:id="561" w:name="_Toc95379879"/>
      <w:bookmarkStart w:id="562" w:name="_Toc95391370"/>
      <w:bookmarkStart w:id="563" w:name="_Toc95396439"/>
      <w:bookmarkStart w:id="564" w:name="_Toc95421537"/>
      <w:bookmarkStart w:id="565" w:name="_Toc95481984"/>
      <w:bookmarkStart w:id="566" w:name="_Toc96337777"/>
      <w:bookmarkStart w:id="567" w:name="_Toc96446257"/>
      <w:bookmarkStart w:id="568" w:name="_Toc96448029"/>
      <w:bookmarkStart w:id="569" w:name="_Toc96593978"/>
      <w:bookmarkStart w:id="570" w:name="_Toc96597269"/>
      <w:bookmarkStart w:id="571" w:name="_Toc96609204"/>
      <w:bookmarkStart w:id="572" w:name="_Toc97149233"/>
      <w:bookmarkStart w:id="573" w:name="_Toc97191279"/>
      <w:bookmarkStart w:id="574" w:name="_Toc107430089"/>
      <w:bookmarkEnd w:id="555"/>
      <w:bookmarkEnd w:id="556"/>
      <w:bookmarkEnd w:id="557"/>
      <w:bookmarkEnd w:id="558"/>
      <w:bookmarkEnd w:id="559"/>
      <w:r w:rsidRPr="002E7937">
        <w:t>6.4.</w:t>
      </w:r>
      <w:r w:rsidRPr="002E7937">
        <w:tab/>
      </w:r>
      <w:r w:rsidR="00392E28" w:rsidRPr="00244A24">
        <w:rPr>
          <w:noProof/>
        </w:rPr>
        <w:t>Policy option 2.a – Easing the burden of proof and reducing disproportionate restrictions to make claims</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78AFBF90" w14:textId="5767736C" w:rsidR="00392E28" w:rsidRPr="00392E28" w:rsidRDefault="00392E28" w:rsidP="00392E28">
      <w:pPr>
        <w:spacing w:after="240" w:line="240" w:lineRule="auto"/>
        <w:jc w:val="both"/>
        <w:rPr>
          <w:rFonts w:cstheme="minorHAnsi"/>
          <w:b/>
          <w:bCs/>
          <w:noProof/>
          <w:color w:val="242424"/>
          <w:sz w:val="24"/>
          <w:szCs w:val="24"/>
          <w:u w:val="single"/>
          <w:shd w:val="clear" w:color="auto" w:fill="FFFFFF"/>
        </w:rPr>
      </w:pPr>
      <w:r w:rsidRPr="00392E28">
        <w:rPr>
          <w:rFonts w:cstheme="minorHAnsi"/>
          <w:b/>
          <w:bCs/>
          <w:noProof/>
          <w:color w:val="242424"/>
          <w:sz w:val="24"/>
          <w:szCs w:val="24"/>
          <w:u w:val="single"/>
          <w:shd w:val="clear" w:color="auto" w:fill="FFFFFF"/>
        </w:rPr>
        <w:t>Economic impacts</w:t>
      </w:r>
    </w:p>
    <w:p w14:paraId="0954E47D" w14:textId="77777777" w:rsidR="00392E28" w:rsidRPr="00392E28" w:rsidRDefault="00392E28" w:rsidP="00DD3B24">
      <w:pPr>
        <w:pStyle w:val="ListParagraph"/>
        <w:numPr>
          <w:ilvl w:val="0"/>
          <w:numId w:val="16"/>
        </w:numPr>
        <w:spacing w:after="120"/>
        <w:ind w:left="714" w:hanging="357"/>
        <w:jc w:val="both"/>
        <w:rPr>
          <w:b/>
          <w:noProof/>
          <w:sz w:val="24"/>
          <w:szCs w:val="24"/>
        </w:rPr>
      </w:pPr>
      <w:r w:rsidRPr="00392E28">
        <w:rPr>
          <w:b/>
          <w:noProof/>
          <w:sz w:val="24"/>
          <w:szCs w:val="24"/>
        </w:rPr>
        <w:t>Impacts on producers</w:t>
      </w:r>
    </w:p>
    <w:p w14:paraId="18CE358D" w14:textId="3CD94D5F" w:rsidR="00392E28" w:rsidRPr="00392E28"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The obligation on producers to disclose necessary technical information to injured persons in court will have a limited impact, given that nearly all Member States </w:t>
      </w:r>
      <w:r w:rsidR="00BD285E">
        <w:rPr>
          <w:rFonts w:cstheme="minorHAnsi"/>
          <w:bCs/>
          <w:noProof/>
          <w:color w:val="242424"/>
          <w:sz w:val="24"/>
          <w:szCs w:val="24"/>
          <w:shd w:val="clear" w:color="auto" w:fill="FFFFFF"/>
        </w:rPr>
        <w:t xml:space="preserve">already </w:t>
      </w:r>
      <w:r w:rsidRPr="00392E28">
        <w:rPr>
          <w:rFonts w:cstheme="minorHAnsi"/>
          <w:bCs/>
          <w:noProof/>
          <w:color w:val="242424"/>
          <w:sz w:val="24"/>
          <w:szCs w:val="24"/>
          <w:shd w:val="clear" w:color="auto" w:fill="FFFFFF"/>
        </w:rPr>
        <w:t xml:space="preserve">have disclosure rules (see section 2.2.2.1). Industry stakeholders were generally open to </w:t>
      </w:r>
      <w:r w:rsidR="00BD285E">
        <w:rPr>
          <w:rFonts w:cstheme="minorHAnsi"/>
          <w:bCs/>
          <w:noProof/>
          <w:color w:val="242424"/>
          <w:sz w:val="24"/>
          <w:szCs w:val="24"/>
          <w:shd w:val="clear" w:color="auto" w:fill="FFFFFF"/>
        </w:rPr>
        <w:t xml:space="preserve">having more uniform, pan-European </w:t>
      </w:r>
      <w:r w:rsidRPr="00392E28">
        <w:rPr>
          <w:rFonts w:cstheme="minorHAnsi"/>
          <w:bCs/>
          <w:noProof/>
          <w:color w:val="242424"/>
          <w:sz w:val="24"/>
          <w:szCs w:val="24"/>
          <w:shd w:val="clear" w:color="auto" w:fill="FFFFFF"/>
        </w:rPr>
        <w:t>rules on information disclosures for this reason, so long as a claimant’s request was justified</w:t>
      </w:r>
      <w:r w:rsidR="008D3528">
        <w:rPr>
          <w:rFonts w:cstheme="minorHAnsi"/>
          <w:bCs/>
          <w:noProof/>
          <w:color w:val="242424"/>
          <w:sz w:val="24"/>
          <w:szCs w:val="24"/>
          <w:shd w:val="clear" w:color="auto" w:fill="FFFFFF"/>
        </w:rPr>
        <w:t xml:space="preserve"> and intellectual property rights were adequately protected</w:t>
      </w:r>
      <w:r w:rsidRPr="00392E28">
        <w:rPr>
          <w:rStyle w:val="FootnoteReference"/>
          <w:bCs/>
          <w:noProof/>
          <w:color w:val="242424"/>
          <w:sz w:val="24"/>
          <w:szCs w:val="24"/>
          <w:shd w:val="clear" w:color="auto" w:fill="FFFFFF"/>
        </w:rPr>
        <w:footnoteReference w:id="228"/>
      </w:r>
      <w:r w:rsidRPr="00392E28">
        <w:rPr>
          <w:rFonts w:cstheme="minorHAnsi"/>
          <w:bCs/>
          <w:noProof/>
          <w:color w:val="242424"/>
          <w:sz w:val="24"/>
          <w:szCs w:val="24"/>
          <w:shd w:val="clear" w:color="auto" w:fill="FFFFFF"/>
        </w:rPr>
        <w:t xml:space="preserve">. </w:t>
      </w:r>
    </w:p>
    <w:p w14:paraId="6AE4CA71" w14:textId="619DFD3A" w:rsidR="00281D0E"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Easing the burden of proof in a harmonised way by setting conditions for defectiveness/causality to be presumed would have a limited impact on producers, because national courts already have tools at their disposal to ease the burden of proof where it is too heavy. Indeed industry stakeholders do not dispute the </w:t>
      </w:r>
      <w:r w:rsidR="00244A63">
        <w:rPr>
          <w:rFonts w:cstheme="minorHAnsi"/>
          <w:bCs/>
          <w:noProof/>
          <w:color w:val="242424"/>
          <w:sz w:val="24"/>
          <w:szCs w:val="24"/>
          <w:shd w:val="clear" w:color="auto" w:fill="FFFFFF"/>
        </w:rPr>
        <w:t xml:space="preserve">role of presumptions </w:t>
      </w:r>
      <w:r w:rsidRPr="00392E28">
        <w:rPr>
          <w:rFonts w:cstheme="minorHAnsi"/>
          <w:bCs/>
          <w:noProof/>
          <w:color w:val="242424"/>
          <w:sz w:val="24"/>
          <w:szCs w:val="24"/>
          <w:shd w:val="clear" w:color="auto" w:fill="FFFFFF"/>
        </w:rPr>
        <w:t>to ease the burden of proof in complex cases, they just believe it should be left to national systems</w:t>
      </w:r>
      <w:r w:rsidRPr="00392E28">
        <w:rPr>
          <w:rStyle w:val="FootnoteReference"/>
          <w:bCs/>
          <w:noProof/>
          <w:color w:val="242424"/>
          <w:sz w:val="24"/>
          <w:szCs w:val="24"/>
          <w:shd w:val="clear" w:color="auto" w:fill="FFFFFF"/>
        </w:rPr>
        <w:footnoteReference w:id="229"/>
      </w:r>
      <w:r w:rsidRPr="00392E28">
        <w:rPr>
          <w:rFonts w:cstheme="minorHAnsi"/>
          <w:bCs/>
          <w:noProof/>
          <w:color w:val="242424"/>
          <w:sz w:val="24"/>
          <w:szCs w:val="24"/>
          <w:shd w:val="clear" w:color="auto" w:fill="FFFFFF"/>
        </w:rPr>
        <w:t xml:space="preserve">. Making the rules explicit in the text of the PLD could, however, potentially give consumers greater confidence to make compensation claims in more complex cases, in which the producer would have to play a more active role to demonstrate the product was safe. </w:t>
      </w:r>
    </w:p>
    <w:p w14:paraId="40900791" w14:textId="7566AF84" w:rsidR="00392E28" w:rsidRPr="00392E28" w:rsidRDefault="0074362C" w:rsidP="00392E28">
      <w:pPr>
        <w:spacing w:after="240" w:line="240" w:lineRule="auto"/>
        <w:jc w:val="both"/>
        <w:rPr>
          <w:rFonts w:cstheme="minorHAnsi"/>
          <w:bCs/>
          <w:noProof/>
          <w:color w:val="242424"/>
          <w:sz w:val="24"/>
          <w:szCs w:val="24"/>
          <w:shd w:val="clear" w:color="auto" w:fill="FFFFFF"/>
        </w:rPr>
      </w:pPr>
      <w:r>
        <w:rPr>
          <w:rFonts w:cstheme="minorHAnsi"/>
          <w:bCs/>
          <w:noProof/>
          <w:color w:val="242424"/>
          <w:sz w:val="24"/>
          <w:szCs w:val="24"/>
          <w:shd w:val="clear" w:color="auto" w:fill="FFFFFF"/>
        </w:rPr>
        <w:t>The adaptation of</w:t>
      </w:r>
      <w:r w:rsidRPr="00392E28">
        <w:rPr>
          <w:rFonts w:cstheme="minorHAnsi"/>
          <w:bCs/>
          <w:noProof/>
          <w:color w:val="242424"/>
          <w:sz w:val="24"/>
          <w:szCs w:val="24"/>
          <w:shd w:val="clear" w:color="auto" w:fill="FFFFFF"/>
        </w:rPr>
        <w:t xml:space="preserve"> </w:t>
      </w:r>
      <w:r w:rsidR="00392E28" w:rsidRPr="00392E28">
        <w:rPr>
          <w:rFonts w:cstheme="minorHAnsi"/>
          <w:bCs/>
          <w:noProof/>
          <w:color w:val="242424"/>
          <w:sz w:val="24"/>
          <w:szCs w:val="24"/>
          <w:shd w:val="clear" w:color="auto" w:fill="FFFFFF"/>
        </w:rPr>
        <w:t>the development risk defence</w:t>
      </w:r>
      <w:r>
        <w:rPr>
          <w:rFonts w:cstheme="minorHAnsi"/>
          <w:bCs/>
          <w:noProof/>
          <w:color w:val="242424"/>
          <w:sz w:val="24"/>
          <w:szCs w:val="24"/>
          <w:shd w:val="clear" w:color="auto" w:fill="FFFFFF"/>
        </w:rPr>
        <w:t xml:space="preserve"> under PO2a would be </w:t>
      </w:r>
      <w:r w:rsidR="00AF2C87">
        <w:rPr>
          <w:rFonts w:cstheme="minorHAnsi"/>
          <w:bCs/>
          <w:noProof/>
          <w:color w:val="242424"/>
          <w:sz w:val="24"/>
          <w:szCs w:val="24"/>
          <w:shd w:val="clear" w:color="auto" w:fill="FFFFFF"/>
        </w:rPr>
        <w:t>the logical corollary of</w:t>
      </w:r>
      <w:r>
        <w:rPr>
          <w:rFonts w:cstheme="minorHAnsi"/>
          <w:bCs/>
          <w:noProof/>
          <w:color w:val="242424"/>
          <w:sz w:val="24"/>
          <w:szCs w:val="24"/>
          <w:shd w:val="clear" w:color="auto" w:fill="FFFFFF"/>
        </w:rPr>
        <w:t xml:space="preserve"> the change to the later-defect defence under PO1a</w:t>
      </w:r>
      <w:r w:rsidR="00AF2C87">
        <w:rPr>
          <w:rFonts w:cstheme="minorHAnsi"/>
          <w:bCs/>
          <w:noProof/>
          <w:color w:val="242424"/>
          <w:sz w:val="24"/>
          <w:szCs w:val="24"/>
          <w:shd w:val="clear" w:color="auto" w:fill="FFFFFF"/>
        </w:rPr>
        <w:t>, under which</w:t>
      </w:r>
      <w:r>
        <w:rPr>
          <w:rFonts w:cstheme="minorHAnsi"/>
          <w:bCs/>
          <w:noProof/>
          <w:color w:val="242424"/>
          <w:sz w:val="24"/>
          <w:szCs w:val="24"/>
          <w:shd w:val="clear" w:color="auto" w:fill="FFFFFF"/>
        </w:rPr>
        <w:t xml:space="preserve"> producers </w:t>
      </w:r>
      <w:r w:rsidR="00AF2C87">
        <w:rPr>
          <w:rFonts w:cstheme="minorHAnsi"/>
          <w:bCs/>
          <w:noProof/>
          <w:color w:val="242424"/>
          <w:sz w:val="24"/>
          <w:szCs w:val="24"/>
          <w:shd w:val="clear" w:color="auto" w:fill="FFFFFF"/>
        </w:rPr>
        <w:t>of products like robots or autonomous vehicles continue to be liable for defects that emerge after the product was put into circulation owing to their ongoing control over the product</w:t>
      </w:r>
      <w:r>
        <w:rPr>
          <w:rFonts w:cstheme="minorHAnsi"/>
          <w:bCs/>
          <w:noProof/>
          <w:color w:val="242424"/>
          <w:sz w:val="24"/>
          <w:szCs w:val="24"/>
          <w:shd w:val="clear" w:color="auto" w:fill="FFFFFF"/>
        </w:rPr>
        <w:t xml:space="preserve">. </w:t>
      </w:r>
      <w:r w:rsidR="00AF2C87">
        <w:rPr>
          <w:rFonts w:cstheme="minorHAnsi"/>
          <w:bCs/>
          <w:noProof/>
          <w:color w:val="242424"/>
          <w:sz w:val="24"/>
          <w:szCs w:val="24"/>
          <w:shd w:val="clear" w:color="auto" w:fill="FFFFFF"/>
        </w:rPr>
        <w:t xml:space="preserve">There would therefore be </w:t>
      </w:r>
      <w:r w:rsidR="00392E28" w:rsidRPr="00392E28">
        <w:rPr>
          <w:rFonts w:cstheme="minorHAnsi"/>
          <w:bCs/>
          <w:noProof/>
          <w:color w:val="242424"/>
          <w:sz w:val="24"/>
          <w:szCs w:val="24"/>
          <w:shd w:val="clear" w:color="auto" w:fill="FFFFFF"/>
        </w:rPr>
        <w:t xml:space="preserve">no additional impact compared to </w:t>
      </w:r>
      <w:r w:rsidR="00AF2C87">
        <w:rPr>
          <w:rFonts w:cstheme="minorHAnsi"/>
          <w:bCs/>
          <w:noProof/>
          <w:color w:val="242424"/>
          <w:sz w:val="24"/>
          <w:szCs w:val="24"/>
          <w:shd w:val="clear" w:color="auto" w:fill="FFFFFF"/>
        </w:rPr>
        <w:t>PO</w:t>
      </w:r>
      <w:r w:rsidR="00392E28" w:rsidRPr="00392E28">
        <w:rPr>
          <w:rFonts w:cstheme="minorHAnsi"/>
          <w:bCs/>
          <w:noProof/>
          <w:color w:val="242424"/>
          <w:sz w:val="24"/>
          <w:szCs w:val="24"/>
          <w:shd w:val="clear" w:color="auto" w:fill="FFFFFF"/>
        </w:rPr>
        <w:t xml:space="preserve">1a. </w:t>
      </w:r>
    </w:p>
    <w:p w14:paraId="02411318" w14:textId="11977133" w:rsidR="008917B5"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The removal of the EUR 500 threshold could potentially concern any producer of a product capable of </w:t>
      </w:r>
      <w:r w:rsidR="00DD2774">
        <w:rPr>
          <w:rFonts w:cstheme="minorHAnsi"/>
          <w:bCs/>
          <w:noProof/>
          <w:color w:val="242424"/>
          <w:sz w:val="24"/>
          <w:szCs w:val="24"/>
          <w:shd w:val="clear" w:color="auto" w:fill="FFFFFF"/>
        </w:rPr>
        <w:t xml:space="preserve">causing </w:t>
      </w:r>
      <w:r w:rsidRPr="00392E28">
        <w:rPr>
          <w:rFonts w:cstheme="minorHAnsi"/>
          <w:bCs/>
          <w:noProof/>
          <w:color w:val="242424"/>
          <w:sz w:val="24"/>
          <w:szCs w:val="24"/>
          <w:shd w:val="clear" w:color="auto" w:fill="FFFFFF"/>
        </w:rPr>
        <w:t xml:space="preserve">property damage. </w:t>
      </w:r>
      <w:r w:rsidR="00D31E6A">
        <w:rPr>
          <w:rFonts w:cstheme="minorHAnsi"/>
          <w:bCs/>
          <w:noProof/>
          <w:color w:val="242424"/>
          <w:sz w:val="24"/>
          <w:szCs w:val="24"/>
          <w:shd w:val="clear" w:color="auto" w:fill="FFFFFF"/>
        </w:rPr>
        <w:t xml:space="preserve">The threshold was introduced to avoid excessive litigation, but </w:t>
      </w:r>
      <w:r w:rsidR="00904594">
        <w:rPr>
          <w:rFonts w:cstheme="minorHAnsi"/>
          <w:bCs/>
          <w:noProof/>
          <w:color w:val="242424"/>
          <w:sz w:val="24"/>
          <w:szCs w:val="24"/>
          <w:shd w:val="clear" w:color="auto" w:fill="FFFFFF"/>
        </w:rPr>
        <w:t xml:space="preserve">litigation, </w:t>
      </w:r>
      <w:r w:rsidR="00D31E6A">
        <w:rPr>
          <w:rFonts w:cstheme="minorHAnsi"/>
          <w:bCs/>
          <w:noProof/>
          <w:color w:val="242424"/>
          <w:sz w:val="24"/>
          <w:szCs w:val="24"/>
          <w:shd w:val="clear" w:color="auto" w:fill="FFFFFF"/>
        </w:rPr>
        <w:t xml:space="preserve">including </w:t>
      </w:r>
      <w:r w:rsidR="00904594">
        <w:rPr>
          <w:rFonts w:cstheme="minorHAnsi"/>
          <w:bCs/>
          <w:noProof/>
          <w:color w:val="242424"/>
          <w:sz w:val="24"/>
          <w:szCs w:val="24"/>
          <w:shd w:val="clear" w:color="auto" w:fill="FFFFFF"/>
        </w:rPr>
        <w:t xml:space="preserve">for property damage, has remained </w:t>
      </w:r>
      <w:r w:rsidR="00D31E6A">
        <w:rPr>
          <w:rFonts w:cstheme="minorHAnsi"/>
          <w:bCs/>
          <w:noProof/>
          <w:color w:val="242424"/>
          <w:sz w:val="24"/>
          <w:szCs w:val="24"/>
          <w:shd w:val="clear" w:color="auto" w:fill="FFFFFF"/>
        </w:rPr>
        <w:t xml:space="preserve">altogether </w:t>
      </w:r>
      <w:r w:rsidR="00904594">
        <w:rPr>
          <w:rFonts w:cstheme="minorHAnsi"/>
          <w:bCs/>
          <w:noProof/>
          <w:color w:val="242424"/>
          <w:sz w:val="24"/>
          <w:szCs w:val="24"/>
          <w:shd w:val="clear" w:color="auto" w:fill="FFFFFF"/>
        </w:rPr>
        <w:t>low under the PLD</w:t>
      </w:r>
      <w:r w:rsidR="00D31E6A">
        <w:rPr>
          <w:rFonts w:cstheme="minorHAnsi"/>
          <w:bCs/>
          <w:noProof/>
          <w:color w:val="242424"/>
          <w:sz w:val="24"/>
          <w:szCs w:val="24"/>
          <w:shd w:val="clear" w:color="auto" w:fill="FFFFFF"/>
        </w:rPr>
        <w:t>.</w:t>
      </w:r>
      <w:r w:rsidR="004D7CB3">
        <w:rPr>
          <w:rFonts w:cstheme="minorHAnsi"/>
          <w:bCs/>
          <w:noProof/>
          <w:color w:val="242424"/>
          <w:sz w:val="24"/>
          <w:szCs w:val="24"/>
          <w:shd w:val="clear" w:color="auto" w:fill="FFFFFF"/>
        </w:rPr>
        <w:t xml:space="preserve"> Nevertheless, the removal could </w:t>
      </w:r>
      <w:r w:rsidR="00244A63">
        <w:rPr>
          <w:rFonts w:cstheme="minorHAnsi"/>
          <w:bCs/>
          <w:noProof/>
          <w:color w:val="242424"/>
          <w:sz w:val="24"/>
          <w:szCs w:val="24"/>
          <w:shd w:val="clear" w:color="auto" w:fill="FFFFFF"/>
        </w:rPr>
        <w:t xml:space="preserve">lead to more compensation pay-outs, and therefore a slight increase in annual insurance premiums, as producers would prefer to settle small claims rather than </w:t>
      </w:r>
      <w:r w:rsidR="00074CE7">
        <w:rPr>
          <w:rFonts w:cstheme="minorHAnsi"/>
          <w:bCs/>
          <w:noProof/>
          <w:color w:val="242424"/>
          <w:sz w:val="24"/>
          <w:szCs w:val="24"/>
          <w:shd w:val="clear" w:color="auto" w:fill="FFFFFF"/>
        </w:rPr>
        <w:t>disput</w:t>
      </w:r>
      <w:r w:rsidR="00244A63">
        <w:rPr>
          <w:rFonts w:cstheme="minorHAnsi"/>
          <w:bCs/>
          <w:noProof/>
          <w:color w:val="242424"/>
          <w:sz w:val="24"/>
          <w:szCs w:val="24"/>
          <w:shd w:val="clear" w:color="auto" w:fill="FFFFFF"/>
        </w:rPr>
        <w:t xml:space="preserve">e them in </w:t>
      </w:r>
      <w:r w:rsidR="00074CE7">
        <w:rPr>
          <w:rFonts w:cstheme="minorHAnsi"/>
          <w:bCs/>
          <w:noProof/>
          <w:color w:val="242424"/>
          <w:sz w:val="24"/>
          <w:szCs w:val="24"/>
          <w:shd w:val="clear" w:color="auto" w:fill="FFFFFF"/>
        </w:rPr>
        <w:t>a costly court case</w:t>
      </w:r>
      <w:r w:rsidR="004D7CB3">
        <w:rPr>
          <w:rStyle w:val="FootnoteReference"/>
          <w:bCs/>
          <w:noProof/>
          <w:color w:val="242424"/>
          <w:sz w:val="24"/>
          <w:szCs w:val="24"/>
          <w:shd w:val="clear" w:color="auto" w:fill="FFFFFF"/>
        </w:rPr>
        <w:footnoteReference w:id="230"/>
      </w:r>
      <w:r w:rsidR="004D7CB3">
        <w:rPr>
          <w:rFonts w:cstheme="minorHAnsi"/>
          <w:bCs/>
          <w:noProof/>
          <w:color w:val="242424"/>
          <w:sz w:val="24"/>
          <w:szCs w:val="24"/>
          <w:shd w:val="clear" w:color="auto" w:fill="FFFFFF"/>
        </w:rPr>
        <w:t>.</w:t>
      </w:r>
      <w:r w:rsidR="00402CDB">
        <w:rPr>
          <w:rFonts w:cstheme="minorHAnsi"/>
          <w:bCs/>
          <w:noProof/>
          <w:color w:val="242424"/>
          <w:sz w:val="24"/>
          <w:szCs w:val="24"/>
          <w:shd w:val="clear" w:color="auto" w:fill="FFFFFF"/>
        </w:rPr>
        <w:t xml:space="preserve"> </w:t>
      </w:r>
    </w:p>
    <w:p w14:paraId="707F1DF0" w14:textId="1597F93B" w:rsidR="00392E28" w:rsidRPr="00392E28"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Industry stakeholders did not expect any significant impacts but rather saw the threshold as one element of the balance of producer-consumer interests that they did not want to change.</w:t>
      </w:r>
    </w:p>
    <w:p w14:paraId="57AC7F57" w14:textId="4B92A452" w:rsidR="00392E28"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The extension of the 10-year liability period </w:t>
      </w:r>
      <w:r w:rsidRPr="001E1DE0">
        <w:rPr>
          <w:rFonts w:cstheme="minorHAnsi"/>
          <w:noProof/>
          <w:color w:val="242424"/>
          <w:sz w:val="24"/>
          <w:szCs w:val="24"/>
          <w:shd w:val="clear" w:color="auto" w:fill="FFFFFF"/>
        </w:rPr>
        <w:t xml:space="preserve">to </w:t>
      </w:r>
      <w:r w:rsidR="001E1DE0" w:rsidRPr="001E1DE0">
        <w:rPr>
          <w:rFonts w:cstheme="minorHAnsi"/>
          <w:bCs/>
          <w:noProof/>
          <w:color w:val="242424"/>
          <w:sz w:val="24"/>
          <w:szCs w:val="24"/>
          <w:shd w:val="clear" w:color="auto" w:fill="FFFFFF"/>
        </w:rPr>
        <w:t>15</w:t>
      </w:r>
      <w:r w:rsidRPr="001E1DE0">
        <w:rPr>
          <w:rFonts w:cstheme="minorHAnsi"/>
          <w:noProof/>
          <w:color w:val="242424"/>
          <w:sz w:val="24"/>
          <w:szCs w:val="24"/>
          <w:shd w:val="clear" w:color="auto" w:fill="FFFFFF"/>
        </w:rPr>
        <w:t xml:space="preserve"> years concerns</w:t>
      </w:r>
      <w:r w:rsidRPr="00392E28">
        <w:rPr>
          <w:rFonts w:cstheme="minorHAnsi"/>
          <w:bCs/>
          <w:noProof/>
          <w:color w:val="242424"/>
          <w:sz w:val="24"/>
          <w:szCs w:val="24"/>
          <w:shd w:val="clear" w:color="auto" w:fill="FFFFFF"/>
        </w:rPr>
        <w:t xml:space="preserve"> only producers of products capable of causing latent personal injury, </w:t>
      </w:r>
      <w:r w:rsidR="00380857">
        <w:rPr>
          <w:rFonts w:cstheme="minorHAnsi"/>
          <w:bCs/>
          <w:noProof/>
          <w:color w:val="242424"/>
          <w:sz w:val="24"/>
          <w:szCs w:val="24"/>
          <w:shd w:val="clear" w:color="auto" w:fill="FFFFFF"/>
        </w:rPr>
        <w:t>in particular</w:t>
      </w:r>
      <w:r w:rsidR="008917B5">
        <w:rPr>
          <w:rFonts w:cstheme="minorHAnsi"/>
          <w:bCs/>
          <w:noProof/>
          <w:color w:val="242424"/>
          <w:sz w:val="24"/>
          <w:szCs w:val="24"/>
          <w:shd w:val="clear" w:color="auto" w:fill="FFFFFF"/>
        </w:rPr>
        <w:t xml:space="preserve"> </w:t>
      </w:r>
      <w:r w:rsidRPr="00392E28">
        <w:rPr>
          <w:rFonts w:cstheme="minorHAnsi"/>
          <w:bCs/>
          <w:noProof/>
          <w:color w:val="242424"/>
          <w:sz w:val="24"/>
          <w:szCs w:val="24"/>
          <w:shd w:val="clear" w:color="auto" w:fill="FFFFFF"/>
        </w:rPr>
        <w:t xml:space="preserve">products that </w:t>
      </w:r>
      <w:r w:rsidR="00380857">
        <w:rPr>
          <w:rFonts w:cstheme="minorHAnsi"/>
          <w:bCs/>
          <w:noProof/>
          <w:color w:val="242424"/>
          <w:sz w:val="24"/>
          <w:szCs w:val="24"/>
          <w:shd w:val="clear" w:color="auto" w:fill="FFFFFF"/>
        </w:rPr>
        <w:t xml:space="preserve">can </w:t>
      </w:r>
      <w:r w:rsidRPr="00392E28">
        <w:rPr>
          <w:rFonts w:cstheme="minorHAnsi"/>
          <w:bCs/>
          <w:noProof/>
          <w:color w:val="242424"/>
          <w:sz w:val="24"/>
          <w:szCs w:val="24"/>
          <w:shd w:val="clear" w:color="auto" w:fill="FFFFFF"/>
        </w:rPr>
        <w:t xml:space="preserve">affect the human </w:t>
      </w:r>
      <w:r w:rsidR="008917B5">
        <w:rPr>
          <w:rFonts w:cstheme="minorHAnsi"/>
          <w:bCs/>
          <w:noProof/>
          <w:color w:val="242424"/>
          <w:sz w:val="24"/>
          <w:szCs w:val="24"/>
          <w:shd w:val="clear" w:color="auto" w:fill="FFFFFF"/>
        </w:rPr>
        <w:t>body internally</w:t>
      </w:r>
      <w:r w:rsidR="00380857">
        <w:rPr>
          <w:rFonts w:cstheme="minorHAnsi"/>
          <w:bCs/>
          <w:noProof/>
          <w:color w:val="242424"/>
          <w:sz w:val="24"/>
          <w:szCs w:val="24"/>
          <w:shd w:val="clear" w:color="auto" w:fill="FFFFFF"/>
        </w:rPr>
        <w:t>,</w:t>
      </w:r>
      <w:r w:rsidR="008917B5">
        <w:rPr>
          <w:rFonts w:cstheme="minorHAnsi"/>
          <w:bCs/>
          <w:noProof/>
          <w:color w:val="242424"/>
          <w:sz w:val="24"/>
          <w:szCs w:val="24"/>
          <w:shd w:val="clear" w:color="auto" w:fill="FFFFFF"/>
        </w:rPr>
        <w:t xml:space="preserve"> </w:t>
      </w:r>
      <w:r w:rsidRPr="00392E28">
        <w:rPr>
          <w:rFonts w:cstheme="minorHAnsi"/>
          <w:bCs/>
          <w:noProof/>
          <w:color w:val="242424"/>
          <w:sz w:val="24"/>
          <w:szCs w:val="24"/>
          <w:shd w:val="clear" w:color="auto" w:fill="FFFFFF"/>
        </w:rPr>
        <w:t xml:space="preserve">such as pharmaceuticals, chemicals and </w:t>
      </w:r>
      <w:r w:rsidR="00131917">
        <w:rPr>
          <w:rFonts w:cstheme="minorHAnsi"/>
          <w:bCs/>
          <w:noProof/>
          <w:color w:val="242424"/>
          <w:sz w:val="24"/>
          <w:szCs w:val="24"/>
          <w:shd w:val="clear" w:color="auto" w:fill="FFFFFF"/>
        </w:rPr>
        <w:t>construction materials like asbestos</w:t>
      </w:r>
      <w:r w:rsidR="00821207">
        <w:rPr>
          <w:rStyle w:val="FootnoteReference"/>
          <w:bCs/>
          <w:noProof/>
          <w:color w:val="242424"/>
          <w:sz w:val="24"/>
          <w:szCs w:val="24"/>
          <w:shd w:val="clear" w:color="auto" w:fill="FFFFFF"/>
        </w:rPr>
        <w:footnoteReference w:id="231"/>
      </w:r>
      <w:r w:rsidRPr="00392E28">
        <w:rPr>
          <w:rFonts w:cstheme="minorHAnsi"/>
          <w:bCs/>
          <w:noProof/>
          <w:color w:val="242424"/>
          <w:sz w:val="24"/>
          <w:szCs w:val="24"/>
          <w:shd w:val="clear" w:color="auto" w:fill="FFFFFF"/>
        </w:rPr>
        <w:t>. Nevertheless, for concerned producers</w:t>
      </w:r>
      <w:r w:rsidR="008917B5">
        <w:rPr>
          <w:rFonts w:cstheme="minorHAnsi"/>
          <w:bCs/>
          <w:noProof/>
          <w:color w:val="242424"/>
          <w:sz w:val="24"/>
          <w:szCs w:val="24"/>
          <w:shd w:val="clear" w:color="auto" w:fill="FFFFFF"/>
        </w:rPr>
        <w:t xml:space="preserve">, </w:t>
      </w:r>
      <w:r w:rsidRPr="00392E28">
        <w:rPr>
          <w:rFonts w:cstheme="minorHAnsi"/>
          <w:bCs/>
          <w:noProof/>
          <w:color w:val="242424"/>
          <w:sz w:val="24"/>
          <w:szCs w:val="24"/>
          <w:shd w:val="clear" w:color="auto" w:fill="FFFFFF"/>
        </w:rPr>
        <w:t>the extended exposure to liability could potentially mean a</w:t>
      </w:r>
      <w:r w:rsidR="008917B5">
        <w:rPr>
          <w:rFonts w:cstheme="minorHAnsi"/>
          <w:bCs/>
          <w:noProof/>
          <w:color w:val="242424"/>
          <w:sz w:val="24"/>
          <w:szCs w:val="24"/>
          <w:shd w:val="clear" w:color="auto" w:fill="FFFFFF"/>
        </w:rPr>
        <w:t xml:space="preserve"> </w:t>
      </w:r>
      <w:r w:rsidR="00BC7CF8">
        <w:rPr>
          <w:rFonts w:cstheme="minorHAnsi"/>
          <w:bCs/>
          <w:noProof/>
          <w:color w:val="242424"/>
          <w:sz w:val="24"/>
          <w:szCs w:val="24"/>
          <w:shd w:val="clear" w:color="auto" w:fill="FFFFFF"/>
        </w:rPr>
        <w:t xml:space="preserve">very </w:t>
      </w:r>
      <w:r w:rsidR="008917B5">
        <w:rPr>
          <w:rFonts w:cstheme="minorHAnsi"/>
          <w:bCs/>
          <w:noProof/>
          <w:color w:val="242424"/>
          <w:sz w:val="24"/>
          <w:szCs w:val="24"/>
          <w:shd w:val="clear" w:color="auto" w:fill="FFFFFF"/>
        </w:rPr>
        <w:t xml:space="preserve">small </w:t>
      </w:r>
      <w:r w:rsidR="008917B5" w:rsidRPr="00392E28">
        <w:rPr>
          <w:rFonts w:cstheme="minorHAnsi"/>
          <w:bCs/>
          <w:noProof/>
          <w:color w:val="242424"/>
          <w:sz w:val="24"/>
          <w:szCs w:val="24"/>
          <w:shd w:val="clear" w:color="auto" w:fill="FFFFFF"/>
        </w:rPr>
        <w:t xml:space="preserve">increase </w:t>
      </w:r>
      <w:r w:rsidR="008917B5">
        <w:rPr>
          <w:rFonts w:cstheme="minorHAnsi"/>
          <w:bCs/>
          <w:noProof/>
          <w:color w:val="242424"/>
          <w:sz w:val="24"/>
          <w:szCs w:val="24"/>
          <w:shd w:val="clear" w:color="auto" w:fill="FFFFFF"/>
        </w:rPr>
        <w:t xml:space="preserve">in the volume of legal cases and therefore </w:t>
      </w:r>
      <w:r w:rsidRPr="00392E28">
        <w:rPr>
          <w:rFonts w:cstheme="minorHAnsi"/>
          <w:bCs/>
          <w:noProof/>
          <w:color w:val="242424"/>
          <w:sz w:val="24"/>
          <w:szCs w:val="24"/>
          <w:shd w:val="clear" w:color="auto" w:fill="FFFFFF"/>
        </w:rPr>
        <w:t xml:space="preserve">a </w:t>
      </w:r>
      <w:r w:rsidR="00380857">
        <w:rPr>
          <w:rFonts w:cstheme="minorHAnsi"/>
          <w:bCs/>
          <w:noProof/>
          <w:color w:val="242424"/>
          <w:sz w:val="24"/>
          <w:szCs w:val="24"/>
          <w:shd w:val="clear" w:color="auto" w:fill="FFFFFF"/>
        </w:rPr>
        <w:t>small</w:t>
      </w:r>
      <w:r w:rsidRPr="00392E28">
        <w:rPr>
          <w:rFonts w:cstheme="minorHAnsi"/>
          <w:bCs/>
          <w:noProof/>
          <w:color w:val="242424"/>
          <w:sz w:val="24"/>
          <w:szCs w:val="24"/>
          <w:shd w:val="clear" w:color="auto" w:fill="FFFFFF"/>
        </w:rPr>
        <w:t xml:space="preserve"> increase in insurance premiums. </w:t>
      </w:r>
    </w:p>
    <w:p w14:paraId="6E9986AD" w14:textId="3A8925EB" w:rsidR="00CB1F94" w:rsidRDefault="00CB1F94" w:rsidP="008C391C">
      <w:pPr>
        <w:spacing w:after="120" w:line="240" w:lineRule="auto"/>
        <w:jc w:val="both"/>
        <w:rPr>
          <w:noProof/>
          <w:sz w:val="24"/>
          <w:szCs w:val="24"/>
        </w:rPr>
      </w:pPr>
      <w:r w:rsidRPr="008C391C">
        <w:rPr>
          <w:noProof/>
          <w:sz w:val="24"/>
          <w:szCs w:val="24"/>
        </w:rPr>
        <w:t>Annual product liability insurance costs</w:t>
      </w:r>
      <w:r>
        <w:rPr>
          <w:b/>
          <w:noProof/>
          <w:sz w:val="24"/>
          <w:szCs w:val="24"/>
        </w:rPr>
        <w:t xml:space="preserve"> </w:t>
      </w:r>
      <w:r w:rsidRPr="00244A24">
        <w:rPr>
          <w:noProof/>
          <w:sz w:val="24"/>
          <w:szCs w:val="24"/>
        </w:rPr>
        <w:t>are assumed to</w:t>
      </w:r>
      <w:r>
        <w:rPr>
          <w:noProof/>
          <w:sz w:val="24"/>
          <w:szCs w:val="24"/>
        </w:rPr>
        <w:t xml:space="preserve"> </w:t>
      </w:r>
      <w:r w:rsidRPr="00DD184F">
        <w:rPr>
          <w:noProof/>
          <w:sz w:val="24"/>
          <w:szCs w:val="24"/>
        </w:rPr>
        <w:t xml:space="preserve">increase </w:t>
      </w:r>
      <w:r>
        <w:rPr>
          <w:noProof/>
          <w:sz w:val="24"/>
          <w:szCs w:val="24"/>
        </w:rPr>
        <w:t xml:space="preserve">by </w:t>
      </w:r>
      <w:r w:rsidR="00582673" w:rsidRPr="00582673">
        <w:rPr>
          <w:noProof/>
          <w:sz w:val="24"/>
          <w:szCs w:val="24"/>
        </w:rPr>
        <w:t>4</w:t>
      </w:r>
      <w:r w:rsidRPr="00582673">
        <w:rPr>
          <w:noProof/>
          <w:sz w:val="24"/>
          <w:szCs w:val="24"/>
        </w:rPr>
        <w:t>%</w:t>
      </w:r>
      <w:r w:rsidR="00567877">
        <w:rPr>
          <w:rStyle w:val="FootnoteReference"/>
          <w:noProof/>
          <w:sz w:val="24"/>
          <w:szCs w:val="24"/>
        </w:rPr>
        <w:footnoteReference w:id="232"/>
      </w:r>
      <w:r>
        <w:rPr>
          <w:noProof/>
          <w:sz w:val="24"/>
          <w:szCs w:val="24"/>
        </w:rPr>
        <w:t xml:space="preserve"> for producers of more </w:t>
      </w:r>
      <w:r w:rsidRPr="00877FB4">
        <w:rPr>
          <w:noProof/>
          <w:sz w:val="24"/>
          <w:szCs w:val="24"/>
        </w:rPr>
        <w:t>complex products</w:t>
      </w:r>
      <w:r>
        <w:rPr>
          <w:noProof/>
          <w:sz w:val="24"/>
          <w:szCs w:val="24"/>
        </w:rPr>
        <w:t xml:space="preserve"> such as pharmaceuticals, IoT and AI-enabled products, due to information requirements and more uniform conditions for easing the burden of proof.</w:t>
      </w:r>
    </w:p>
    <w:p w14:paraId="0B404AFF" w14:textId="24A4C436" w:rsidR="00CB1F94" w:rsidRDefault="00CB1F94" w:rsidP="008C391C">
      <w:pPr>
        <w:spacing w:after="120" w:line="240" w:lineRule="auto"/>
        <w:jc w:val="both"/>
        <w:rPr>
          <w:noProof/>
          <w:sz w:val="24"/>
          <w:szCs w:val="24"/>
        </w:rPr>
      </w:pPr>
      <w:r w:rsidRPr="005833F7">
        <w:rPr>
          <w:noProof/>
          <w:sz w:val="24"/>
          <w:szCs w:val="24"/>
        </w:rPr>
        <w:t xml:space="preserve">Moreover, </w:t>
      </w:r>
      <w:r>
        <w:rPr>
          <w:noProof/>
          <w:sz w:val="24"/>
          <w:szCs w:val="24"/>
        </w:rPr>
        <w:t xml:space="preserve">total </w:t>
      </w:r>
      <w:r w:rsidRPr="00CB1F94">
        <w:rPr>
          <w:noProof/>
          <w:sz w:val="24"/>
          <w:szCs w:val="24"/>
        </w:rPr>
        <w:t xml:space="preserve">product liability insurance </w:t>
      </w:r>
      <w:r w:rsidRPr="005833F7">
        <w:rPr>
          <w:noProof/>
          <w:sz w:val="24"/>
          <w:szCs w:val="24"/>
        </w:rPr>
        <w:t xml:space="preserve">costs are assumed to increase by </w:t>
      </w:r>
      <w:r w:rsidRPr="00AD4428">
        <w:rPr>
          <w:noProof/>
          <w:sz w:val="24"/>
          <w:szCs w:val="24"/>
        </w:rPr>
        <w:t>3-4%</w:t>
      </w:r>
      <w:r w:rsidRPr="005833F7">
        <w:rPr>
          <w:noProof/>
          <w:sz w:val="24"/>
          <w:szCs w:val="24"/>
        </w:rPr>
        <w:t xml:space="preserve"> due </w:t>
      </w:r>
      <w:r>
        <w:rPr>
          <w:noProof/>
          <w:sz w:val="24"/>
          <w:szCs w:val="24"/>
        </w:rPr>
        <w:t>to the i</w:t>
      </w:r>
      <w:r w:rsidRPr="00877FB4">
        <w:rPr>
          <w:noProof/>
          <w:sz w:val="24"/>
          <w:szCs w:val="24"/>
        </w:rPr>
        <w:t>nsurers’ exposure to risk increases with the extension of the liability period and damage threshold</w:t>
      </w:r>
      <w:r>
        <w:rPr>
          <w:rStyle w:val="FootnoteReference"/>
          <w:noProof/>
          <w:sz w:val="24"/>
          <w:szCs w:val="24"/>
        </w:rPr>
        <w:footnoteReference w:id="233"/>
      </w:r>
      <w:r>
        <w:rPr>
          <w:noProof/>
          <w:sz w:val="24"/>
          <w:szCs w:val="24"/>
        </w:rPr>
        <w:t>.</w:t>
      </w:r>
    </w:p>
    <w:p w14:paraId="3C89C080" w14:textId="710A56DA" w:rsidR="00CB1F94" w:rsidRPr="00DD184F" w:rsidRDefault="005A70B1"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Under PO2</w:t>
      </w:r>
      <w:r w:rsidR="00CB1F94" w:rsidRPr="00B4261C">
        <w:rPr>
          <w:noProof/>
          <w:sz w:val="24"/>
          <w:szCs w:val="24"/>
        </w:rPr>
        <w:t xml:space="preserve">a, total </w:t>
      </w:r>
      <w:r w:rsidR="00CB1F94" w:rsidRPr="00582673">
        <w:rPr>
          <w:b/>
          <w:noProof/>
          <w:sz w:val="24"/>
          <w:szCs w:val="24"/>
        </w:rPr>
        <w:t>annual product liability insurance costs</w:t>
      </w:r>
      <w:r w:rsidR="00CB1F94" w:rsidRPr="00B4261C">
        <w:rPr>
          <w:noProof/>
          <w:sz w:val="24"/>
          <w:szCs w:val="24"/>
        </w:rPr>
        <w:t xml:space="preserve"> are </w:t>
      </w:r>
      <w:r w:rsidR="00CB1F94">
        <w:rPr>
          <w:noProof/>
          <w:sz w:val="24"/>
          <w:szCs w:val="24"/>
        </w:rPr>
        <w:t>assessed</w:t>
      </w:r>
      <w:r w:rsidR="00CB1F94" w:rsidRPr="00B4261C">
        <w:rPr>
          <w:noProof/>
          <w:sz w:val="24"/>
          <w:szCs w:val="24"/>
        </w:rPr>
        <w:t xml:space="preserve"> </w:t>
      </w:r>
      <w:r w:rsidR="00F34687" w:rsidRPr="00F34687">
        <w:rPr>
          <w:noProof/>
          <w:sz w:val="24"/>
          <w:szCs w:val="24"/>
        </w:rPr>
        <w:t>to increase incrementally compared to the baseline, with an increase ranging between 1</w:t>
      </w:r>
      <w:r w:rsidR="00E254C7">
        <w:rPr>
          <w:noProof/>
          <w:sz w:val="24"/>
          <w:szCs w:val="24"/>
        </w:rPr>
        <w:t>4.35</w:t>
      </w:r>
      <w:r w:rsidR="00F34687" w:rsidRPr="00F34687">
        <w:rPr>
          <w:noProof/>
          <w:sz w:val="24"/>
          <w:szCs w:val="24"/>
        </w:rPr>
        <w:t xml:space="preserve"> and 2</w:t>
      </w:r>
      <w:r w:rsidR="00E254C7">
        <w:rPr>
          <w:noProof/>
          <w:sz w:val="24"/>
          <w:szCs w:val="24"/>
        </w:rPr>
        <w:t>8.71</w:t>
      </w:r>
      <w:r w:rsidR="00F34687" w:rsidRPr="00F34687">
        <w:rPr>
          <w:noProof/>
          <w:sz w:val="24"/>
          <w:szCs w:val="24"/>
        </w:rPr>
        <w:t xml:space="preserve"> EUR million</w:t>
      </w:r>
      <w:r w:rsidR="00CB1F94">
        <w:rPr>
          <w:rStyle w:val="FootnoteReference"/>
          <w:noProof/>
          <w:sz w:val="24"/>
          <w:szCs w:val="24"/>
        </w:rPr>
        <w:footnoteReference w:id="234"/>
      </w:r>
      <w:r w:rsidR="00CB1F94" w:rsidRPr="00B4261C">
        <w:rPr>
          <w:noProof/>
          <w:sz w:val="24"/>
          <w:szCs w:val="24"/>
        </w:rPr>
        <w:t>.</w:t>
      </w:r>
    </w:p>
    <w:p w14:paraId="0F9E0FE4" w14:textId="77777777" w:rsidR="00392E28" w:rsidRPr="00AD4428" w:rsidRDefault="00392E28" w:rsidP="00DD3B24">
      <w:pPr>
        <w:pStyle w:val="ListParagraph"/>
        <w:numPr>
          <w:ilvl w:val="0"/>
          <w:numId w:val="16"/>
        </w:numPr>
        <w:spacing w:after="120"/>
        <w:ind w:left="714" w:hanging="357"/>
        <w:jc w:val="both"/>
        <w:rPr>
          <w:b/>
          <w:noProof/>
          <w:sz w:val="24"/>
          <w:szCs w:val="24"/>
        </w:rPr>
      </w:pPr>
      <w:r w:rsidRPr="00AD4428">
        <w:rPr>
          <w:rFonts w:cstheme="minorHAnsi"/>
          <w:b/>
          <w:bCs/>
          <w:noProof/>
          <w:color w:val="242424"/>
          <w:sz w:val="24"/>
          <w:szCs w:val="24"/>
          <w:shd w:val="clear" w:color="auto" w:fill="FFFFFF"/>
        </w:rPr>
        <w:t>Impacts on the internal market and competitiveness</w:t>
      </w:r>
    </w:p>
    <w:p w14:paraId="2896AA6E" w14:textId="7680E199" w:rsidR="00AE525F" w:rsidRPr="001B4FF6" w:rsidRDefault="00392E28" w:rsidP="001B4FF6">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Setting out explicitly obligations </w:t>
      </w:r>
      <w:r w:rsidR="0088226B">
        <w:rPr>
          <w:rFonts w:cstheme="minorHAnsi"/>
          <w:bCs/>
          <w:noProof/>
          <w:color w:val="242424"/>
          <w:sz w:val="24"/>
          <w:szCs w:val="24"/>
          <w:shd w:val="clear" w:color="auto" w:fill="FFFFFF"/>
        </w:rPr>
        <w:t>for producers</w:t>
      </w:r>
      <w:r w:rsidRPr="00392E28">
        <w:rPr>
          <w:rFonts w:cstheme="minorHAnsi"/>
          <w:bCs/>
          <w:noProof/>
          <w:color w:val="242424"/>
          <w:sz w:val="24"/>
          <w:szCs w:val="24"/>
          <w:shd w:val="clear" w:color="auto" w:fill="FFFFFF"/>
        </w:rPr>
        <w:t xml:space="preserve"> to disclose information and the conditions for easing the burden of proof through presumptions would create greater legal certainty and achieve a more equal level of consumer protection across the EU. The burden of proof would be more fairly shared </w:t>
      </w:r>
      <w:r w:rsidR="0088226B">
        <w:rPr>
          <w:rFonts w:cstheme="minorHAnsi"/>
          <w:bCs/>
          <w:noProof/>
          <w:color w:val="242424"/>
          <w:sz w:val="24"/>
          <w:szCs w:val="24"/>
          <w:shd w:val="clear" w:color="auto" w:fill="FFFFFF"/>
        </w:rPr>
        <w:t xml:space="preserve">between injured parties and producers </w:t>
      </w:r>
      <w:r w:rsidRPr="00392E28">
        <w:rPr>
          <w:rFonts w:cstheme="minorHAnsi"/>
          <w:bCs/>
          <w:noProof/>
          <w:color w:val="242424"/>
          <w:sz w:val="24"/>
          <w:szCs w:val="24"/>
          <w:shd w:val="clear" w:color="auto" w:fill="FFFFFF"/>
        </w:rPr>
        <w:t>in cases</w:t>
      </w:r>
      <w:r w:rsidR="0088226B">
        <w:rPr>
          <w:rFonts w:cstheme="minorHAnsi"/>
          <w:bCs/>
          <w:noProof/>
          <w:color w:val="242424"/>
          <w:sz w:val="24"/>
          <w:szCs w:val="24"/>
          <w:shd w:val="clear" w:color="auto" w:fill="FFFFFF"/>
        </w:rPr>
        <w:t xml:space="preserve"> involving </w:t>
      </w:r>
      <w:r w:rsidR="000D2849">
        <w:rPr>
          <w:rFonts w:cstheme="minorHAnsi"/>
          <w:bCs/>
          <w:noProof/>
          <w:color w:val="242424"/>
          <w:sz w:val="24"/>
          <w:szCs w:val="24"/>
          <w:shd w:val="clear" w:color="auto" w:fill="FFFFFF"/>
        </w:rPr>
        <w:t xml:space="preserve">more </w:t>
      </w:r>
      <w:r w:rsidR="0088226B" w:rsidRPr="00392E28">
        <w:rPr>
          <w:rFonts w:cstheme="minorHAnsi"/>
          <w:bCs/>
          <w:noProof/>
          <w:color w:val="242424"/>
          <w:sz w:val="24"/>
          <w:szCs w:val="24"/>
          <w:shd w:val="clear" w:color="auto" w:fill="FFFFFF"/>
        </w:rPr>
        <w:t>complex</w:t>
      </w:r>
      <w:r w:rsidR="0088226B">
        <w:rPr>
          <w:rFonts w:cstheme="minorHAnsi"/>
          <w:bCs/>
          <w:noProof/>
          <w:color w:val="242424"/>
          <w:sz w:val="24"/>
          <w:szCs w:val="24"/>
          <w:shd w:val="clear" w:color="auto" w:fill="FFFFFF"/>
        </w:rPr>
        <w:t xml:space="preserve"> products</w:t>
      </w:r>
      <w:r w:rsidRPr="00392E28">
        <w:rPr>
          <w:rFonts w:cstheme="minorHAnsi"/>
          <w:bCs/>
          <w:noProof/>
          <w:color w:val="242424"/>
          <w:sz w:val="24"/>
          <w:szCs w:val="24"/>
          <w:shd w:val="clear" w:color="auto" w:fill="FFFFFF"/>
        </w:rPr>
        <w:t>.</w:t>
      </w:r>
      <w:r w:rsidR="00103728">
        <w:rPr>
          <w:rFonts w:cstheme="minorHAnsi"/>
          <w:bCs/>
          <w:noProof/>
          <w:color w:val="242424"/>
          <w:sz w:val="24"/>
          <w:szCs w:val="24"/>
          <w:shd w:val="clear" w:color="auto" w:fill="FFFFFF"/>
        </w:rPr>
        <w:t xml:space="preserve"> Removing the EUR 500 threshold would promote more uniform consumer protection in the internal market, given the </w:t>
      </w:r>
      <w:r w:rsidR="0084597D">
        <w:rPr>
          <w:rFonts w:cstheme="minorHAnsi"/>
          <w:bCs/>
          <w:noProof/>
          <w:color w:val="242424"/>
          <w:sz w:val="24"/>
          <w:szCs w:val="24"/>
          <w:shd w:val="clear" w:color="auto" w:fill="FFFFFF"/>
        </w:rPr>
        <w:t xml:space="preserve">unequal impact the threshold has in light of the </w:t>
      </w:r>
      <w:r w:rsidR="00103728">
        <w:rPr>
          <w:rFonts w:cstheme="minorHAnsi"/>
          <w:bCs/>
          <w:noProof/>
          <w:color w:val="242424"/>
          <w:sz w:val="24"/>
          <w:szCs w:val="24"/>
          <w:shd w:val="clear" w:color="auto" w:fill="FFFFFF"/>
        </w:rPr>
        <w:t>wide disparities in price levels between Member States</w:t>
      </w:r>
      <w:r w:rsidR="00A60175">
        <w:rPr>
          <w:rFonts w:cstheme="minorHAnsi"/>
          <w:bCs/>
          <w:noProof/>
          <w:color w:val="242424"/>
          <w:sz w:val="24"/>
          <w:szCs w:val="24"/>
          <w:shd w:val="clear" w:color="auto" w:fill="FFFFFF"/>
        </w:rPr>
        <w:t xml:space="preserve"> of consumer property</w:t>
      </w:r>
      <w:r w:rsidR="009A2FD4">
        <w:rPr>
          <w:rFonts w:cstheme="minorHAnsi"/>
          <w:bCs/>
          <w:noProof/>
          <w:color w:val="242424"/>
          <w:sz w:val="24"/>
          <w:szCs w:val="24"/>
          <w:shd w:val="clear" w:color="auto" w:fill="FFFFFF"/>
        </w:rPr>
        <w:t>, while still preserving innovation</w:t>
      </w:r>
      <w:r w:rsidR="00AE525F">
        <w:rPr>
          <w:rFonts w:cstheme="minorHAnsi"/>
          <w:bCs/>
          <w:noProof/>
          <w:color w:val="242424"/>
          <w:sz w:val="24"/>
          <w:szCs w:val="24"/>
          <w:shd w:val="clear" w:color="auto" w:fill="FFFFFF"/>
        </w:rPr>
        <w:t xml:space="preserve"> that could be hampered by </w:t>
      </w:r>
      <w:r w:rsidR="00B7147F">
        <w:rPr>
          <w:rFonts w:cstheme="minorHAnsi"/>
          <w:bCs/>
          <w:noProof/>
          <w:color w:val="242424"/>
          <w:sz w:val="24"/>
          <w:szCs w:val="24"/>
          <w:shd w:val="clear" w:color="auto" w:fill="FFFFFF"/>
        </w:rPr>
        <w:t xml:space="preserve">more far-reaching </w:t>
      </w:r>
      <w:r w:rsidR="00AE525F">
        <w:rPr>
          <w:rFonts w:cstheme="minorHAnsi"/>
          <w:bCs/>
          <w:noProof/>
          <w:color w:val="242424"/>
          <w:sz w:val="24"/>
          <w:szCs w:val="24"/>
          <w:shd w:val="clear" w:color="auto" w:fill="FFFFFF"/>
        </w:rPr>
        <w:t xml:space="preserve">measures, </w:t>
      </w:r>
      <w:r w:rsidR="00AE525F" w:rsidRPr="001B4FF6">
        <w:rPr>
          <w:rFonts w:cstheme="minorHAnsi"/>
          <w:bCs/>
          <w:noProof/>
          <w:color w:val="242424"/>
          <w:sz w:val="24"/>
          <w:szCs w:val="24"/>
          <w:shd w:val="clear" w:color="auto" w:fill="FFFFFF"/>
        </w:rPr>
        <w:t xml:space="preserve">especially in innovative sectors like pharmaceuticals and AI, and undermine the uptake of new technologies. </w:t>
      </w:r>
    </w:p>
    <w:p w14:paraId="135FE49C" w14:textId="29D39877" w:rsidR="00392E28" w:rsidRPr="001B4FF6" w:rsidRDefault="00392E28" w:rsidP="00DD3B24">
      <w:pPr>
        <w:pStyle w:val="ListParagraph"/>
        <w:numPr>
          <w:ilvl w:val="0"/>
          <w:numId w:val="16"/>
        </w:numPr>
        <w:spacing w:after="120"/>
        <w:ind w:left="714" w:hanging="357"/>
        <w:jc w:val="both"/>
        <w:rPr>
          <w:rFonts w:cstheme="minorHAnsi"/>
          <w:b/>
          <w:bCs/>
          <w:noProof/>
          <w:color w:val="242424"/>
          <w:sz w:val="24"/>
          <w:szCs w:val="24"/>
          <w:shd w:val="clear" w:color="auto" w:fill="FFFFFF"/>
        </w:rPr>
      </w:pPr>
      <w:r w:rsidRPr="001B4FF6">
        <w:rPr>
          <w:rFonts w:cstheme="minorHAnsi"/>
          <w:b/>
          <w:bCs/>
          <w:noProof/>
          <w:color w:val="242424"/>
          <w:sz w:val="24"/>
          <w:szCs w:val="24"/>
          <w:shd w:val="clear" w:color="auto" w:fill="FFFFFF"/>
        </w:rPr>
        <w:t xml:space="preserve">Impacts on the judicial system and </w:t>
      </w:r>
      <w:r w:rsidR="00222233" w:rsidRPr="001B4FF6">
        <w:rPr>
          <w:rFonts w:cstheme="minorHAnsi"/>
          <w:b/>
          <w:bCs/>
          <w:noProof/>
          <w:color w:val="242424"/>
          <w:sz w:val="24"/>
          <w:szCs w:val="24"/>
          <w:shd w:val="clear" w:color="auto" w:fill="FFFFFF"/>
        </w:rPr>
        <w:t xml:space="preserve">legal </w:t>
      </w:r>
      <w:r w:rsidRPr="001B4FF6">
        <w:rPr>
          <w:rFonts w:cstheme="minorHAnsi"/>
          <w:b/>
          <w:bCs/>
          <w:noProof/>
          <w:color w:val="242424"/>
          <w:sz w:val="24"/>
          <w:szCs w:val="24"/>
          <w:shd w:val="clear" w:color="auto" w:fill="FFFFFF"/>
        </w:rPr>
        <w:t xml:space="preserve">costs </w:t>
      </w:r>
    </w:p>
    <w:p w14:paraId="60D1E560" w14:textId="5AB25308" w:rsidR="00392E28" w:rsidRPr="00392E28"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Since disclosure rules and alleviations of the burden of proof are familiar to almost all Member States, there should be no particular impact on the justice system. The use of presumptions </w:t>
      </w:r>
      <w:r w:rsidR="004B29F8">
        <w:rPr>
          <w:rFonts w:cstheme="minorHAnsi"/>
          <w:bCs/>
          <w:noProof/>
          <w:color w:val="242424"/>
          <w:sz w:val="24"/>
          <w:szCs w:val="24"/>
          <w:shd w:val="clear" w:color="auto" w:fill="FFFFFF"/>
        </w:rPr>
        <w:t xml:space="preserve">is expected to </w:t>
      </w:r>
      <w:r w:rsidRPr="00392E28">
        <w:rPr>
          <w:rFonts w:cstheme="minorHAnsi"/>
          <w:bCs/>
          <w:noProof/>
          <w:color w:val="242424"/>
          <w:sz w:val="24"/>
          <w:szCs w:val="24"/>
          <w:shd w:val="clear" w:color="auto" w:fill="FFFFFF"/>
        </w:rPr>
        <w:t>make court cases shorter, as more onus would be placed on the party with greater understanding of the product</w:t>
      </w:r>
      <w:r w:rsidR="00581E31">
        <w:rPr>
          <w:rFonts w:cstheme="minorHAnsi"/>
          <w:bCs/>
          <w:noProof/>
          <w:color w:val="242424"/>
          <w:sz w:val="24"/>
          <w:szCs w:val="24"/>
          <w:shd w:val="clear" w:color="auto" w:fill="FFFFFF"/>
        </w:rPr>
        <w:t>: the producer</w:t>
      </w:r>
      <w:r w:rsidRPr="00392E28">
        <w:rPr>
          <w:rFonts w:cstheme="minorHAnsi"/>
          <w:bCs/>
          <w:noProof/>
          <w:color w:val="242424"/>
          <w:sz w:val="24"/>
          <w:szCs w:val="24"/>
          <w:shd w:val="clear" w:color="auto" w:fill="FFFFFF"/>
        </w:rPr>
        <w:t>.</w:t>
      </w:r>
    </w:p>
    <w:p w14:paraId="7E12D266" w14:textId="11FE5EFB" w:rsidR="0048417E" w:rsidRDefault="00374CE0" w:rsidP="0048417E">
      <w:pPr>
        <w:spacing w:after="240" w:line="240" w:lineRule="auto"/>
        <w:jc w:val="both"/>
        <w:rPr>
          <w:noProof/>
          <w:sz w:val="24"/>
          <w:szCs w:val="24"/>
        </w:rPr>
      </w:pPr>
      <w:r>
        <w:rPr>
          <w:noProof/>
          <w:sz w:val="24"/>
          <w:szCs w:val="24"/>
        </w:rPr>
        <w:t xml:space="preserve">PO2a would reduce the annual </w:t>
      </w:r>
      <w:r w:rsidR="00684D43">
        <w:rPr>
          <w:noProof/>
          <w:sz w:val="24"/>
          <w:szCs w:val="24"/>
        </w:rPr>
        <w:t xml:space="preserve">legal </w:t>
      </w:r>
      <w:r>
        <w:rPr>
          <w:noProof/>
          <w:sz w:val="24"/>
          <w:szCs w:val="24"/>
        </w:rPr>
        <w:t xml:space="preserve">costs by </w:t>
      </w:r>
      <w:r w:rsidRPr="00AD4428">
        <w:rPr>
          <w:noProof/>
          <w:sz w:val="24"/>
          <w:szCs w:val="24"/>
        </w:rPr>
        <w:t>10%</w:t>
      </w:r>
      <w:r w:rsidR="0034379E" w:rsidRPr="00D933DC">
        <w:rPr>
          <w:rStyle w:val="FootnoteReference"/>
          <w:noProof/>
          <w:sz w:val="24"/>
          <w:szCs w:val="24"/>
        </w:rPr>
        <w:footnoteReference w:id="235"/>
      </w:r>
      <w:r w:rsidRPr="00AA3F13">
        <w:rPr>
          <w:noProof/>
          <w:sz w:val="24"/>
          <w:szCs w:val="24"/>
        </w:rPr>
        <w:t xml:space="preserve"> for </w:t>
      </w:r>
      <w:r w:rsidR="004313A6">
        <w:rPr>
          <w:noProof/>
          <w:sz w:val="24"/>
          <w:szCs w:val="24"/>
        </w:rPr>
        <w:t xml:space="preserve">more complex products such as </w:t>
      </w:r>
      <w:r w:rsidRPr="00877FB4">
        <w:rPr>
          <w:noProof/>
          <w:sz w:val="24"/>
          <w:szCs w:val="24"/>
        </w:rPr>
        <w:t>pharmaceutical</w:t>
      </w:r>
      <w:r w:rsidR="004313A6">
        <w:rPr>
          <w:noProof/>
          <w:sz w:val="24"/>
          <w:szCs w:val="24"/>
        </w:rPr>
        <w:t xml:space="preserve">, IoT and AI-enabled products, due to shorter proceedings as a result of better access to information for claimants and </w:t>
      </w:r>
      <w:r w:rsidR="00CE34AE">
        <w:rPr>
          <w:noProof/>
          <w:sz w:val="24"/>
          <w:szCs w:val="24"/>
        </w:rPr>
        <w:t>presumptions</w:t>
      </w:r>
      <w:r w:rsidR="006D0B5A">
        <w:rPr>
          <w:noProof/>
          <w:sz w:val="24"/>
          <w:szCs w:val="24"/>
        </w:rPr>
        <w:t xml:space="preserve"> while </w:t>
      </w:r>
      <w:r w:rsidR="00684D43" w:rsidRPr="00D933DC">
        <w:rPr>
          <w:noProof/>
          <w:sz w:val="24"/>
          <w:szCs w:val="24"/>
        </w:rPr>
        <w:t>increas</w:t>
      </w:r>
      <w:r w:rsidR="006D0B5A">
        <w:rPr>
          <w:noProof/>
          <w:sz w:val="24"/>
          <w:szCs w:val="24"/>
        </w:rPr>
        <w:t xml:space="preserve">ing </w:t>
      </w:r>
      <w:r w:rsidR="00684D43" w:rsidRPr="00D933DC">
        <w:rPr>
          <w:noProof/>
          <w:sz w:val="24"/>
          <w:szCs w:val="24"/>
        </w:rPr>
        <w:t xml:space="preserve">the number of proceedings, both in court and out of court, </w:t>
      </w:r>
      <w:r w:rsidR="00684D43" w:rsidRPr="00AD4428">
        <w:rPr>
          <w:noProof/>
          <w:sz w:val="24"/>
          <w:szCs w:val="24"/>
        </w:rPr>
        <w:t xml:space="preserve">by </w:t>
      </w:r>
      <w:r w:rsidR="007429E5">
        <w:rPr>
          <w:noProof/>
          <w:sz w:val="24"/>
          <w:szCs w:val="24"/>
        </w:rPr>
        <w:t>5</w:t>
      </w:r>
      <w:r w:rsidR="00684D43" w:rsidRPr="00AD4428">
        <w:rPr>
          <w:noProof/>
          <w:sz w:val="24"/>
          <w:szCs w:val="24"/>
        </w:rPr>
        <w:t>%,</w:t>
      </w:r>
      <w:r w:rsidR="00684D43" w:rsidRPr="00D933DC">
        <w:rPr>
          <w:noProof/>
          <w:sz w:val="24"/>
          <w:szCs w:val="24"/>
        </w:rPr>
        <w:t xml:space="preserve"> due to </w:t>
      </w:r>
      <w:r w:rsidR="00BC58AB">
        <w:rPr>
          <w:noProof/>
          <w:sz w:val="24"/>
          <w:szCs w:val="24"/>
        </w:rPr>
        <w:t>changes in the burden of proof</w:t>
      </w:r>
      <w:r w:rsidR="006D0B5A">
        <w:rPr>
          <w:noProof/>
          <w:sz w:val="24"/>
          <w:szCs w:val="24"/>
        </w:rPr>
        <w:t>.</w:t>
      </w:r>
      <w:r w:rsidR="00402CDB">
        <w:rPr>
          <w:noProof/>
          <w:sz w:val="24"/>
          <w:szCs w:val="24"/>
        </w:rPr>
        <w:t xml:space="preserve"> </w:t>
      </w:r>
      <w:r w:rsidR="006D0B5A">
        <w:rPr>
          <w:noProof/>
          <w:sz w:val="24"/>
          <w:szCs w:val="24"/>
        </w:rPr>
        <w:t xml:space="preserve">Moreover, PO2a would also increase the overall number of cases </w:t>
      </w:r>
      <w:r w:rsidR="007429E5">
        <w:rPr>
          <w:noProof/>
          <w:sz w:val="24"/>
          <w:szCs w:val="24"/>
        </w:rPr>
        <w:t>by 2%</w:t>
      </w:r>
      <w:r w:rsidR="006D0B5A">
        <w:rPr>
          <w:noProof/>
          <w:sz w:val="24"/>
          <w:szCs w:val="24"/>
        </w:rPr>
        <w:t>,</w:t>
      </w:r>
      <w:r w:rsidR="007429E5">
        <w:rPr>
          <w:noProof/>
          <w:sz w:val="24"/>
          <w:szCs w:val="24"/>
        </w:rPr>
        <w:t xml:space="preserve"> due to </w:t>
      </w:r>
      <w:r w:rsidR="00BC58AB">
        <w:rPr>
          <w:noProof/>
          <w:sz w:val="24"/>
          <w:szCs w:val="24"/>
        </w:rPr>
        <w:t xml:space="preserve">the reduced restrictions in making claims. </w:t>
      </w:r>
    </w:p>
    <w:p w14:paraId="74B5C140" w14:textId="77777777" w:rsidR="00CC3AC1" w:rsidRDefault="0048417E" w:rsidP="00CC3AC1">
      <w:pPr>
        <w:spacing w:after="240" w:line="240" w:lineRule="auto"/>
        <w:jc w:val="both"/>
        <w:rPr>
          <w:rFonts w:cstheme="minorHAnsi"/>
          <w:bCs/>
          <w:noProof/>
          <w:color w:val="242424"/>
          <w:sz w:val="24"/>
          <w:szCs w:val="24"/>
          <w:shd w:val="clear" w:color="auto" w:fill="FFFFFF"/>
        </w:rPr>
      </w:pPr>
      <w:r w:rsidRPr="0048417E">
        <w:rPr>
          <w:noProof/>
          <w:sz w:val="24"/>
          <w:szCs w:val="24"/>
        </w:rPr>
        <w:t>The increase in relation to the removal of the EUR 500 threshold is expected to concern only out-of-court rather than in-court proceedings</w:t>
      </w:r>
      <w:r>
        <w:rPr>
          <w:noProof/>
          <w:sz w:val="24"/>
          <w:szCs w:val="24"/>
        </w:rPr>
        <w:t>.</w:t>
      </w:r>
      <w:r w:rsidRPr="0048417E">
        <w:rPr>
          <w:rFonts w:cstheme="minorHAnsi"/>
          <w:bCs/>
          <w:noProof/>
          <w:color w:val="242424"/>
          <w:sz w:val="24"/>
          <w:szCs w:val="24"/>
          <w:shd w:val="clear" w:color="auto" w:fill="FFFFFF"/>
        </w:rPr>
        <w:t xml:space="preserve"> </w:t>
      </w:r>
      <w:r>
        <w:rPr>
          <w:rFonts w:cstheme="minorHAnsi"/>
          <w:bCs/>
          <w:noProof/>
          <w:color w:val="242424"/>
          <w:sz w:val="24"/>
          <w:szCs w:val="24"/>
          <w:shd w:val="clear" w:color="auto" w:fill="FFFFFF"/>
        </w:rPr>
        <w:t xml:space="preserve">However, class </w:t>
      </w:r>
      <w:r w:rsidRPr="00392E28">
        <w:rPr>
          <w:rFonts w:cstheme="minorHAnsi"/>
          <w:bCs/>
          <w:noProof/>
          <w:color w:val="242424"/>
          <w:sz w:val="24"/>
          <w:szCs w:val="24"/>
          <w:shd w:val="clear" w:color="auto" w:fill="FFFFFF"/>
        </w:rPr>
        <w:t>actions</w:t>
      </w:r>
      <w:r>
        <w:rPr>
          <w:rStyle w:val="FootnoteReference"/>
          <w:bCs/>
          <w:noProof/>
          <w:color w:val="242424"/>
          <w:sz w:val="24"/>
          <w:szCs w:val="24"/>
          <w:shd w:val="clear" w:color="auto" w:fill="FFFFFF"/>
        </w:rPr>
        <w:footnoteReference w:id="236"/>
      </w:r>
      <w:r>
        <w:rPr>
          <w:rFonts w:cstheme="minorHAnsi"/>
          <w:bCs/>
          <w:noProof/>
          <w:color w:val="242424"/>
          <w:sz w:val="24"/>
          <w:szCs w:val="24"/>
          <w:shd w:val="clear" w:color="auto" w:fill="FFFFFF"/>
        </w:rPr>
        <w:t xml:space="preserve"> </w:t>
      </w:r>
      <w:r w:rsidRPr="00392E28">
        <w:rPr>
          <w:rFonts w:cstheme="minorHAnsi"/>
          <w:bCs/>
          <w:noProof/>
          <w:color w:val="242424"/>
          <w:sz w:val="24"/>
          <w:szCs w:val="24"/>
          <w:shd w:val="clear" w:color="auto" w:fill="FFFFFF"/>
        </w:rPr>
        <w:t xml:space="preserve">would </w:t>
      </w:r>
      <w:r>
        <w:rPr>
          <w:rFonts w:cstheme="minorHAnsi"/>
          <w:bCs/>
          <w:noProof/>
          <w:color w:val="242424"/>
          <w:sz w:val="24"/>
          <w:szCs w:val="24"/>
          <w:shd w:val="clear" w:color="auto" w:fill="FFFFFF"/>
        </w:rPr>
        <w:t xml:space="preserve">theoretically </w:t>
      </w:r>
      <w:r w:rsidRPr="00392E28">
        <w:rPr>
          <w:rFonts w:cstheme="minorHAnsi"/>
          <w:bCs/>
          <w:noProof/>
          <w:color w:val="242424"/>
          <w:sz w:val="24"/>
          <w:szCs w:val="24"/>
          <w:shd w:val="clear" w:color="auto" w:fill="FFFFFF"/>
        </w:rPr>
        <w:t>become possible after removing the threshold, but these are expected to remain a very rare occurrence</w:t>
      </w:r>
      <w:r>
        <w:rPr>
          <w:rFonts w:cstheme="minorHAnsi"/>
          <w:bCs/>
          <w:noProof/>
          <w:color w:val="242424"/>
          <w:sz w:val="24"/>
          <w:szCs w:val="24"/>
          <w:shd w:val="clear" w:color="auto" w:fill="FFFFFF"/>
        </w:rPr>
        <w:t xml:space="preserve"> in relation to property damage (class actions would be more common in relation to personal injuries)</w:t>
      </w:r>
      <w:r w:rsidRPr="00392E28">
        <w:rPr>
          <w:rFonts w:cstheme="minorHAnsi"/>
          <w:bCs/>
          <w:noProof/>
          <w:color w:val="242424"/>
          <w:sz w:val="24"/>
          <w:szCs w:val="24"/>
          <w:shd w:val="clear" w:color="auto" w:fill="FFFFFF"/>
        </w:rPr>
        <w:t>.</w:t>
      </w:r>
    </w:p>
    <w:p w14:paraId="6C61D758" w14:textId="3649C85C" w:rsidR="00684D43" w:rsidRDefault="00684D43" w:rsidP="001E1DE0">
      <w:pPr>
        <w:pBdr>
          <w:top w:val="single" w:sz="4" w:space="1" w:color="auto"/>
          <w:left w:val="single" w:sz="4" w:space="4" w:color="auto"/>
          <w:bottom w:val="single" w:sz="4" w:space="1" w:color="auto"/>
          <w:right w:val="single" w:sz="4" w:space="4" w:color="auto"/>
        </w:pBdr>
        <w:spacing w:after="240" w:line="240" w:lineRule="auto"/>
        <w:jc w:val="both"/>
        <w:rPr>
          <w:rFonts w:cstheme="minorHAnsi"/>
          <w:noProof/>
          <w:color w:val="242424"/>
          <w:sz w:val="24"/>
          <w:szCs w:val="24"/>
          <w:shd w:val="clear" w:color="auto" w:fill="FFFFFF"/>
        </w:rPr>
      </w:pPr>
      <w:r w:rsidRPr="00D933DC">
        <w:rPr>
          <w:noProof/>
          <w:sz w:val="24"/>
          <w:szCs w:val="24"/>
        </w:rPr>
        <w:t>Under PO</w:t>
      </w:r>
      <w:r w:rsidR="00BC58AB">
        <w:rPr>
          <w:noProof/>
          <w:sz w:val="24"/>
          <w:szCs w:val="24"/>
        </w:rPr>
        <w:t>2a</w:t>
      </w:r>
      <w:r w:rsidRPr="00D933DC">
        <w:rPr>
          <w:noProof/>
          <w:sz w:val="24"/>
          <w:szCs w:val="24"/>
        </w:rPr>
        <w:t xml:space="preserve">, total </w:t>
      </w:r>
      <w:r w:rsidRPr="00D933DC">
        <w:rPr>
          <w:b/>
          <w:noProof/>
          <w:sz w:val="24"/>
          <w:szCs w:val="24"/>
        </w:rPr>
        <w:t>annual</w:t>
      </w:r>
      <w:r w:rsidRPr="00D933DC">
        <w:rPr>
          <w:noProof/>
          <w:sz w:val="24"/>
          <w:szCs w:val="24"/>
        </w:rPr>
        <w:t xml:space="preserve"> </w:t>
      </w:r>
      <w:r w:rsidRPr="00D933DC">
        <w:rPr>
          <w:b/>
          <w:noProof/>
          <w:sz w:val="24"/>
          <w:szCs w:val="24"/>
        </w:rPr>
        <w:t>legal costs</w:t>
      </w:r>
      <w:r w:rsidRPr="00D933DC">
        <w:rPr>
          <w:noProof/>
          <w:sz w:val="24"/>
          <w:szCs w:val="24"/>
        </w:rPr>
        <w:t xml:space="preserve"> are </w:t>
      </w:r>
      <w:r w:rsidR="00AB52F8">
        <w:rPr>
          <w:noProof/>
          <w:sz w:val="24"/>
          <w:szCs w:val="24"/>
        </w:rPr>
        <w:t>assessed</w:t>
      </w:r>
      <w:r w:rsidRPr="00D933DC">
        <w:rPr>
          <w:noProof/>
          <w:sz w:val="24"/>
          <w:szCs w:val="24"/>
        </w:rPr>
        <w:t xml:space="preserve"> to </w:t>
      </w:r>
      <w:r w:rsidR="00581129">
        <w:rPr>
          <w:noProof/>
          <w:sz w:val="24"/>
          <w:szCs w:val="24"/>
        </w:rPr>
        <w:t>slightly increase</w:t>
      </w:r>
      <w:r w:rsidR="00581129" w:rsidRPr="00DC74D5">
        <w:rPr>
          <w:noProof/>
          <w:sz w:val="24"/>
          <w:szCs w:val="24"/>
        </w:rPr>
        <w:t xml:space="preserve"> </w:t>
      </w:r>
      <w:r w:rsidR="00AD4428" w:rsidRPr="00DC74D5">
        <w:rPr>
          <w:noProof/>
          <w:sz w:val="24"/>
          <w:szCs w:val="24"/>
        </w:rPr>
        <w:t xml:space="preserve">incrementally compared to the baseline, </w:t>
      </w:r>
      <w:r w:rsidR="006D2C45" w:rsidRPr="00733FC2">
        <w:rPr>
          <w:noProof/>
          <w:sz w:val="24"/>
          <w:szCs w:val="24"/>
        </w:rPr>
        <w:t xml:space="preserve">with an increase </w:t>
      </w:r>
      <w:r w:rsidR="00AD4428" w:rsidRPr="00DC74D5">
        <w:rPr>
          <w:noProof/>
          <w:sz w:val="24"/>
          <w:szCs w:val="24"/>
        </w:rPr>
        <w:t xml:space="preserve">between </w:t>
      </w:r>
      <w:r w:rsidR="00D33490">
        <w:rPr>
          <w:noProof/>
          <w:sz w:val="24"/>
          <w:szCs w:val="24"/>
        </w:rPr>
        <w:t>0.41</w:t>
      </w:r>
      <w:r w:rsidR="00AD4428" w:rsidRPr="00F04479">
        <w:rPr>
          <w:noProof/>
          <w:sz w:val="24"/>
          <w:szCs w:val="24"/>
        </w:rPr>
        <w:t xml:space="preserve"> and </w:t>
      </w:r>
      <w:r w:rsidR="00D33490">
        <w:rPr>
          <w:noProof/>
          <w:sz w:val="24"/>
          <w:szCs w:val="24"/>
        </w:rPr>
        <w:t>1.02</w:t>
      </w:r>
      <w:r w:rsidR="00AD4428">
        <w:rPr>
          <w:noProof/>
          <w:sz w:val="24"/>
          <w:szCs w:val="24"/>
        </w:rPr>
        <w:t xml:space="preserve"> </w:t>
      </w:r>
      <w:r w:rsidR="00AD4428" w:rsidRPr="00AA3F13">
        <w:rPr>
          <w:noProof/>
          <w:sz w:val="24"/>
          <w:szCs w:val="24"/>
        </w:rPr>
        <w:t>EUR million</w:t>
      </w:r>
      <w:r w:rsidRPr="00D933DC">
        <w:rPr>
          <w:noProof/>
          <w:sz w:val="24"/>
          <w:szCs w:val="24"/>
        </w:rPr>
        <w:t>.</w:t>
      </w:r>
    </w:p>
    <w:p w14:paraId="553492C1" w14:textId="77777777" w:rsidR="00392E28" w:rsidRPr="00392E28" w:rsidRDefault="00392E28" w:rsidP="00392E28">
      <w:pPr>
        <w:spacing w:after="240" w:line="240" w:lineRule="auto"/>
        <w:jc w:val="both"/>
        <w:rPr>
          <w:rFonts w:cstheme="minorHAnsi"/>
          <w:b/>
          <w:bCs/>
          <w:noProof/>
          <w:color w:val="242424"/>
          <w:sz w:val="24"/>
          <w:szCs w:val="24"/>
          <w:u w:val="single"/>
          <w:shd w:val="clear" w:color="auto" w:fill="FFFFFF"/>
        </w:rPr>
      </w:pPr>
      <w:r w:rsidRPr="00392E28">
        <w:rPr>
          <w:rFonts w:cstheme="minorHAnsi"/>
          <w:b/>
          <w:bCs/>
          <w:noProof/>
          <w:color w:val="242424"/>
          <w:sz w:val="24"/>
          <w:szCs w:val="24"/>
          <w:u w:val="single"/>
          <w:shd w:val="clear" w:color="auto" w:fill="FFFFFF"/>
        </w:rPr>
        <w:t>Social impacts</w:t>
      </w:r>
    </w:p>
    <w:p w14:paraId="5CEEDCD7" w14:textId="77777777" w:rsidR="00392E28" w:rsidRPr="00392E28" w:rsidRDefault="00392E28" w:rsidP="00DD3B24">
      <w:pPr>
        <w:pStyle w:val="ListParagraph"/>
        <w:numPr>
          <w:ilvl w:val="0"/>
          <w:numId w:val="17"/>
        </w:numPr>
        <w:spacing w:after="120"/>
        <w:jc w:val="both"/>
        <w:rPr>
          <w:b/>
          <w:noProof/>
          <w:sz w:val="24"/>
          <w:szCs w:val="24"/>
        </w:rPr>
      </w:pPr>
      <w:r w:rsidRPr="00392E28">
        <w:rPr>
          <w:b/>
          <w:noProof/>
          <w:sz w:val="24"/>
          <w:szCs w:val="24"/>
        </w:rPr>
        <w:t>Consumer protection and access to justice</w:t>
      </w:r>
    </w:p>
    <w:p w14:paraId="774D5E61" w14:textId="0396DF56" w:rsidR="00C036F6"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Harmonised disclosure of necessary information and harmonised application of presumptions would ensure a </w:t>
      </w:r>
      <w:r w:rsidRPr="004A25D3">
        <w:rPr>
          <w:rFonts w:cstheme="minorHAnsi"/>
          <w:b/>
          <w:bCs/>
          <w:noProof/>
          <w:color w:val="242424"/>
          <w:sz w:val="24"/>
          <w:szCs w:val="24"/>
          <w:shd w:val="clear" w:color="auto" w:fill="FFFFFF"/>
        </w:rPr>
        <w:t>more uniform level of consumer protection</w:t>
      </w:r>
      <w:r w:rsidRPr="00392E28">
        <w:rPr>
          <w:rFonts w:cstheme="minorHAnsi"/>
          <w:bCs/>
          <w:noProof/>
          <w:color w:val="242424"/>
          <w:sz w:val="24"/>
          <w:szCs w:val="24"/>
          <w:shd w:val="clear" w:color="auto" w:fill="FFFFFF"/>
        </w:rPr>
        <w:t xml:space="preserve">. As products become more and more complex, guaranteed access to information would help to lessen the asymmetry of information, particularly in the area of digital technologies, such as AI, where digitally logged information could help reveal how a product (e.g. a robot) caused the harm. </w:t>
      </w:r>
    </w:p>
    <w:p w14:paraId="529AFF11" w14:textId="470CA931" w:rsidR="00392E28" w:rsidRPr="00392E28"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The policy option would </w:t>
      </w:r>
      <w:r w:rsidR="00CE34AE">
        <w:rPr>
          <w:rFonts w:cstheme="minorHAnsi"/>
          <w:bCs/>
          <w:noProof/>
          <w:color w:val="242424"/>
          <w:sz w:val="24"/>
          <w:szCs w:val="24"/>
          <w:shd w:val="clear" w:color="auto" w:fill="FFFFFF"/>
        </w:rPr>
        <w:t xml:space="preserve">be in line with principles the </w:t>
      </w:r>
      <w:r w:rsidRPr="00392E28">
        <w:rPr>
          <w:rFonts w:cstheme="minorHAnsi"/>
          <w:bCs/>
          <w:noProof/>
          <w:color w:val="242424"/>
          <w:sz w:val="24"/>
          <w:szCs w:val="24"/>
          <w:shd w:val="clear" w:color="auto" w:fill="FFFFFF"/>
        </w:rPr>
        <w:t xml:space="preserve">ECJ has already endorsed, recognising the need to ease the burden of proof in complex cases. The greater visibility of the possibility to ease the burden of proof could improve consumer confidence and trust </w:t>
      </w:r>
      <w:r w:rsidR="00C036F6">
        <w:rPr>
          <w:rFonts w:cstheme="minorHAnsi"/>
          <w:bCs/>
          <w:noProof/>
          <w:color w:val="242424"/>
          <w:sz w:val="24"/>
          <w:szCs w:val="24"/>
          <w:shd w:val="clear" w:color="auto" w:fill="FFFFFF"/>
        </w:rPr>
        <w:t xml:space="preserve">in </w:t>
      </w:r>
      <w:r w:rsidRPr="00392E28">
        <w:rPr>
          <w:rFonts w:cstheme="minorHAnsi"/>
          <w:bCs/>
          <w:noProof/>
          <w:color w:val="242424"/>
          <w:sz w:val="24"/>
          <w:szCs w:val="24"/>
          <w:shd w:val="clear" w:color="auto" w:fill="FFFFFF"/>
        </w:rPr>
        <w:t xml:space="preserve">more complex products. </w:t>
      </w:r>
    </w:p>
    <w:p w14:paraId="1F381CA6" w14:textId="1A278E37" w:rsidR="00392E28" w:rsidRPr="008D43D6" w:rsidRDefault="00392E28" w:rsidP="00392E28">
      <w:pPr>
        <w:spacing w:after="240" w:line="240" w:lineRule="auto"/>
        <w:jc w:val="both"/>
        <w:rPr>
          <w:rFonts w:cstheme="minorHAnsi"/>
          <w:bCs/>
          <w:noProof/>
          <w:color w:val="242424"/>
          <w:sz w:val="24"/>
          <w:szCs w:val="24"/>
          <w:shd w:val="clear" w:color="auto" w:fill="FFFFFF"/>
        </w:rPr>
      </w:pPr>
      <w:r w:rsidRPr="00392E28">
        <w:rPr>
          <w:rFonts w:cstheme="minorHAnsi"/>
          <w:bCs/>
          <w:noProof/>
          <w:color w:val="242424"/>
          <w:sz w:val="24"/>
          <w:szCs w:val="24"/>
          <w:shd w:val="clear" w:color="auto" w:fill="FFFFFF"/>
        </w:rPr>
        <w:t xml:space="preserve">The removal of the EUR 500 threshold would mean that the PLD protects consumers no matter what the value of property damage caused by a defective product. Even though there are unlikely to </w:t>
      </w:r>
      <w:r w:rsidRPr="008D43D6">
        <w:rPr>
          <w:rFonts w:cstheme="minorHAnsi"/>
          <w:bCs/>
          <w:noProof/>
          <w:color w:val="242424"/>
          <w:sz w:val="24"/>
          <w:szCs w:val="24"/>
          <w:shd w:val="clear" w:color="auto" w:fill="FFFFFF"/>
        </w:rPr>
        <w:t>be additional court cases</w:t>
      </w:r>
      <w:r w:rsidR="00384B3C" w:rsidRPr="008D43D6">
        <w:rPr>
          <w:rFonts w:cstheme="minorHAnsi"/>
          <w:bCs/>
          <w:noProof/>
          <w:color w:val="242424"/>
          <w:sz w:val="24"/>
          <w:szCs w:val="24"/>
          <w:shd w:val="clear" w:color="auto" w:fill="FFFFFF"/>
        </w:rPr>
        <w:t xml:space="preserve"> for lower-value claims</w:t>
      </w:r>
      <w:r w:rsidRPr="008D43D6">
        <w:rPr>
          <w:rFonts w:cstheme="minorHAnsi"/>
          <w:bCs/>
          <w:noProof/>
          <w:color w:val="242424"/>
          <w:sz w:val="24"/>
          <w:szCs w:val="24"/>
          <w:shd w:val="clear" w:color="auto" w:fill="FFFFFF"/>
        </w:rPr>
        <w:t>, the removal may incentivise producers to settle smaller claims by negotiation</w:t>
      </w:r>
      <w:r w:rsidR="00384B3C" w:rsidRPr="008D43D6">
        <w:rPr>
          <w:rFonts w:cstheme="minorHAnsi"/>
          <w:bCs/>
          <w:noProof/>
          <w:color w:val="242424"/>
          <w:sz w:val="24"/>
          <w:szCs w:val="24"/>
          <w:shd w:val="clear" w:color="auto" w:fill="FFFFFF"/>
        </w:rPr>
        <w:t xml:space="preserve"> or out-of-court settlement</w:t>
      </w:r>
      <w:r w:rsidRPr="008D43D6">
        <w:rPr>
          <w:rFonts w:cstheme="minorHAnsi"/>
          <w:bCs/>
          <w:noProof/>
          <w:color w:val="242424"/>
          <w:sz w:val="24"/>
          <w:szCs w:val="24"/>
          <w:shd w:val="clear" w:color="auto" w:fill="FFFFFF"/>
        </w:rPr>
        <w:t>.</w:t>
      </w:r>
      <w:r w:rsidR="004A42FF" w:rsidRPr="008D43D6">
        <w:rPr>
          <w:rFonts w:cstheme="minorHAnsi"/>
          <w:bCs/>
          <w:noProof/>
          <w:color w:val="242424"/>
          <w:sz w:val="24"/>
          <w:szCs w:val="24"/>
          <w:shd w:val="clear" w:color="auto" w:fill="FFFFFF"/>
        </w:rPr>
        <w:t xml:space="preserve"> </w:t>
      </w:r>
    </w:p>
    <w:p w14:paraId="46AFCE3E" w14:textId="294C0E54" w:rsidR="00392E28" w:rsidRPr="008D43D6" w:rsidRDefault="00392E28" w:rsidP="00392E28">
      <w:pPr>
        <w:spacing w:after="240" w:line="240" w:lineRule="auto"/>
        <w:jc w:val="both"/>
        <w:rPr>
          <w:rFonts w:cstheme="minorHAnsi"/>
          <w:bCs/>
          <w:noProof/>
          <w:color w:val="242424"/>
          <w:sz w:val="24"/>
          <w:szCs w:val="24"/>
          <w:shd w:val="clear" w:color="auto" w:fill="FFFFFF"/>
        </w:rPr>
      </w:pPr>
      <w:r w:rsidRPr="008D43D6">
        <w:rPr>
          <w:rFonts w:cstheme="minorHAnsi"/>
          <w:bCs/>
          <w:noProof/>
          <w:color w:val="242424"/>
          <w:sz w:val="24"/>
          <w:szCs w:val="24"/>
          <w:shd w:val="clear" w:color="auto" w:fill="FFFFFF"/>
        </w:rPr>
        <w:t xml:space="preserve">The extension of the 10-year liability period to </w:t>
      </w:r>
      <w:r w:rsidR="001E1DE0" w:rsidRPr="008D43D6">
        <w:rPr>
          <w:rFonts w:cstheme="minorHAnsi"/>
          <w:bCs/>
          <w:noProof/>
          <w:color w:val="242424"/>
          <w:sz w:val="24"/>
          <w:szCs w:val="24"/>
          <w:shd w:val="clear" w:color="auto" w:fill="FFFFFF"/>
        </w:rPr>
        <w:t>15</w:t>
      </w:r>
      <w:r w:rsidRPr="008D43D6">
        <w:rPr>
          <w:rFonts w:cstheme="minorHAnsi"/>
          <w:noProof/>
          <w:color w:val="242424"/>
          <w:sz w:val="24"/>
          <w:szCs w:val="24"/>
          <w:shd w:val="clear" w:color="auto" w:fill="FFFFFF"/>
        </w:rPr>
        <w:t xml:space="preserve"> years</w:t>
      </w:r>
      <w:r w:rsidRPr="008D43D6">
        <w:rPr>
          <w:rFonts w:cstheme="minorHAnsi"/>
          <w:bCs/>
          <w:noProof/>
          <w:color w:val="242424"/>
          <w:sz w:val="24"/>
          <w:szCs w:val="24"/>
          <w:shd w:val="clear" w:color="auto" w:fill="FFFFFF"/>
        </w:rPr>
        <w:t xml:space="preserve"> would </w:t>
      </w:r>
      <w:r w:rsidR="003817F4" w:rsidRPr="008D43D6">
        <w:rPr>
          <w:rFonts w:cstheme="minorHAnsi"/>
          <w:bCs/>
          <w:noProof/>
          <w:color w:val="242424"/>
          <w:sz w:val="24"/>
          <w:szCs w:val="24"/>
          <w:shd w:val="clear" w:color="auto" w:fill="FFFFFF"/>
        </w:rPr>
        <w:t xml:space="preserve">improve the prospects of </w:t>
      </w:r>
      <w:r w:rsidRPr="008D43D6">
        <w:rPr>
          <w:rFonts w:cstheme="minorHAnsi"/>
          <w:bCs/>
          <w:noProof/>
          <w:color w:val="242424"/>
          <w:sz w:val="24"/>
          <w:szCs w:val="24"/>
          <w:shd w:val="clear" w:color="auto" w:fill="FFFFFF"/>
        </w:rPr>
        <w:t xml:space="preserve">victims of latent personal injury </w:t>
      </w:r>
      <w:r w:rsidR="003817F4" w:rsidRPr="008D43D6">
        <w:rPr>
          <w:rFonts w:cstheme="minorHAnsi"/>
          <w:bCs/>
          <w:noProof/>
          <w:color w:val="242424"/>
          <w:sz w:val="24"/>
          <w:szCs w:val="24"/>
          <w:shd w:val="clear" w:color="auto" w:fill="FFFFFF"/>
        </w:rPr>
        <w:t>getting compensation when</w:t>
      </w:r>
      <w:r w:rsidRPr="008D43D6">
        <w:rPr>
          <w:rFonts w:cstheme="minorHAnsi"/>
          <w:bCs/>
          <w:noProof/>
          <w:color w:val="242424"/>
          <w:sz w:val="24"/>
          <w:szCs w:val="24"/>
          <w:shd w:val="clear" w:color="auto" w:fill="FFFFFF"/>
        </w:rPr>
        <w:t xml:space="preserve"> the harm </w:t>
      </w:r>
      <w:r w:rsidR="003817F4" w:rsidRPr="008D43D6">
        <w:rPr>
          <w:rFonts w:cstheme="minorHAnsi"/>
          <w:bCs/>
          <w:noProof/>
          <w:color w:val="242424"/>
          <w:sz w:val="24"/>
          <w:szCs w:val="24"/>
          <w:shd w:val="clear" w:color="auto" w:fill="FFFFFF"/>
        </w:rPr>
        <w:t>takes</w:t>
      </w:r>
      <w:r w:rsidRPr="008D43D6">
        <w:rPr>
          <w:rFonts w:cstheme="minorHAnsi"/>
          <w:bCs/>
          <w:noProof/>
          <w:color w:val="242424"/>
          <w:sz w:val="24"/>
          <w:szCs w:val="24"/>
          <w:shd w:val="clear" w:color="auto" w:fill="FFFFFF"/>
        </w:rPr>
        <w:t xml:space="preserve"> longer to manifest itself. Although it will benefit few victims, given the rarity of latent personal injury, it will help those victims </w:t>
      </w:r>
      <w:r w:rsidR="00F4237D" w:rsidRPr="008D43D6">
        <w:rPr>
          <w:rFonts w:cstheme="minorHAnsi"/>
          <w:bCs/>
          <w:noProof/>
          <w:color w:val="242424"/>
          <w:sz w:val="24"/>
          <w:szCs w:val="24"/>
          <w:shd w:val="clear" w:color="auto" w:fill="FFFFFF"/>
        </w:rPr>
        <w:t>considerably</w:t>
      </w:r>
      <w:r w:rsidRPr="008D43D6">
        <w:rPr>
          <w:rFonts w:cstheme="minorHAnsi"/>
          <w:bCs/>
          <w:noProof/>
          <w:color w:val="242424"/>
          <w:sz w:val="24"/>
          <w:szCs w:val="24"/>
          <w:shd w:val="clear" w:color="auto" w:fill="FFFFFF"/>
        </w:rPr>
        <w:t xml:space="preserve">. </w:t>
      </w:r>
    </w:p>
    <w:p w14:paraId="3A778A27" w14:textId="0F628F59" w:rsidR="00071BD2" w:rsidRDefault="00FD3A5C" w:rsidP="00071BD2">
      <w:pPr>
        <w:spacing w:after="240" w:line="240" w:lineRule="auto"/>
        <w:jc w:val="both"/>
        <w:rPr>
          <w:noProof/>
          <w:sz w:val="24"/>
          <w:szCs w:val="24"/>
        </w:rPr>
      </w:pPr>
      <w:r w:rsidRPr="008D43D6">
        <w:rPr>
          <w:noProof/>
          <w:sz w:val="24"/>
          <w:szCs w:val="24"/>
        </w:rPr>
        <w:t xml:space="preserve">PO2a </w:t>
      </w:r>
      <w:r w:rsidR="0017193B" w:rsidRPr="008D43D6">
        <w:rPr>
          <w:noProof/>
          <w:sz w:val="24"/>
          <w:szCs w:val="24"/>
        </w:rPr>
        <w:t xml:space="preserve">would </w:t>
      </w:r>
      <w:r w:rsidR="00E208B1" w:rsidRPr="008D43D6">
        <w:rPr>
          <w:noProof/>
          <w:sz w:val="24"/>
          <w:szCs w:val="24"/>
        </w:rPr>
        <w:t xml:space="preserve">slightly </w:t>
      </w:r>
      <w:r w:rsidR="0017193B" w:rsidRPr="008D43D6">
        <w:rPr>
          <w:noProof/>
          <w:sz w:val="24"/>
          <w:szCs w:val="24"/>
        </w:rPr>
        <w:t xml:space="preserve">increase the </w:t>
      </w:r>
      <w:r w:rsidR="00305C89" w:rsidRPr="008D43D6">
        <w:rPr>
          <w:noProof/>
          <w:sz w:val="24"/>
          <w:szCs w:val="24"/>
        </w:rPr>
        <w:t xml:space="preserve">overall </w:t>
      </w:r>
      <w:r w:rsidR="0017193B" w:rsidRPr="008D43D6">
        <w:rPr>
          <w:noProof/>
          <w:sz w:val="24"/>
          <w:szCs w:val="24"/>
        </w:rPr>
        <w:t xml:space="preserve">annual </w:t>
      </w:r>
      <w:r w:rsidR="00071BD2" w:rsidRPr="008D43D6">
        <w:rPr>
          <w:noProof/>
          <w:sz w:val="24"/>
          <w:szCs w:val="24"/>
        </w:rPr>
        <w:t>number of in</w:t>
      </w:r>
      <w:r w:rsidR="00581E31" w:rsidRPr="008D43D6">
        <w:rPr>
          <w:noProof/>
          <w:sz w:val="24"/>
          <w:szCs w:val="24"/>
        </w:rPr>
        <w:t>-</w:t>
      </w:r>
      <w:r w:rsidR="00071BD2" w:rsidRPr="008D43D6">
        <w:rPr>
          <w:noProof/>
          <w:sz w:val="24"/>
          <w:szCs w:val="24"/>
        </w:rPr>
        <w:t>court and out</w:t>
      </w:r>
      <w:r w:rsidR="00581E31" w:rsidRPr="008D43D6">
        <w:rPr>
          <w:noProof/>
          <w:sz w:val="24"/>
          <w:szCs w:val="24"/>
        </w:rPr>
        <w:t>-</w:t>
      </w:r>
      <w:r w:rsidR="00071BD2" w:rsidRPr="008D43D6">
        <w:rPr>
          <w:noProof/>
          <w:sz w:val="24"/>
          <w:szCs w:val="24"/>
        </w:rPr>
        <w:t>of</w:t>
      </w:r>
      <w:r w:rsidR="00581E31" w:rsidRPr="008D43D6">
        <w:rPr>
          <w:noProof/>
          <w:sz w:val="24"/>
          <w:szCs w:val="24"/>
        </w:rPr>
        <w:t>-</w:t>
      </w:r>
      <w:r w:rsidR="00071BD2" w:rsidRPr="008D43D6">
        <w:rPr>
          <w:noProof/>
          <w:sz w:val="24"/>
          <w:szCs w:val="24"/>
        </w:rPr>
        <w:t>court cases under the PLD in the EU27</w:t>
      </w:r>
      <w:r w:rsidR="00A9762F" w:rsidRPr="008D43D6">
        <w:rPr>
          <w:noProof/>
          <w:sz w:val="24"/>
          <w:szCs w:val="24"/>
        </w:rPr>
        <w:t xml:space="preserve"> </w:t>
      </w:r>
      <w:r w:rsidR="00050A63" w:rsidRPr="008D43D6">
        <w:rPr>
          <w:noProof/>
          <w:sz w:val="24"/>
          <w:szCs w:val="24"/>
        </w:rPr>
        <w:t>by 2%</w:t>
      </w:r>
      <w:r w:rsidR="00122CBF" w:rsidRPr="008D43D6">
        <w:rPr>
          <w:rStyle w:val="FootnoteReference"/>
          <w:noProof/>
          <w:sz w:val="24"/>
          <w:szCs w:val="24"/>
        </w:rPr>
        <w:footnoteReference w:id="237"/>
      </w:r>
      <w:r w:rsidR="00050A63" w:rsidRPr="008D43D6">
        <w:rPr>
          <w:noProof/>
          <w:sz w:val="24"/>
          <w:szCs w:val="24"/>
        </w:rPr>
        <w:t xml:space="preserve"> </w:t>
      </w:r>
      <w:r w:rsidR="00A9762F" w:rsidRPr="008D43D6">
        <w:rPr>
          <w:noProof/>
          <w:sz w:val="24"/>
          <w:szCs w:val="24"/>
        </w:rPr>
        <w:t>due to reducing restrictions on making claims</w:t>
      </w:r>
      <w:r w:rsidR="00E208B1" w:rsidRPr="008D43D6">
        <w:rPr>
          <w:noProof/>
          <w:sz w:val="24"/>
          <w:szCs w:val="24"/>
        </w:rPr>
        <w:t>, but, more significantly, would increase</w:t>
      </w:r>
      <w:r w:rsidR="00E23DAB">
        <w:rPr>
          <w:noProof/>
          <w:sz w:val="24"/>
          <w:szCs w:val="24"/>
        </w:rPr>
        <w:t xml:space="preserve"> by 7</w:t>
      </w:r>
      <w:r w:rsidR="00050A63" w:rsidRPr="009F615D">
        <w:rPr>
          <w:noProof/>
          <w:sz w:val="24"/>
          <w:szCs w:val="24"/>
        </w:rPr>
        <w:t>%</w:t>
      </w:r>
      <w:r w:rsidR="00E208B1" w:rsidRPr="009F615D">
        <w:rPr>
          <w:noProof/>
          <w:sz w:val="24"/>
          <w:szCs w:val="24"/>
        </w:rPr>
        <w:t xml:space="preserve"> the </w:t>
      </w:r>
      <w:r w:rsidR="00A9762F" w:rsidRPr="009F615D">
        <w:rPr>
          <w:noProof/>
          <w:sz w:val="24"/>
          <w:szCs w:val="24"/>
        </w:rPr>
        <w:t xml:space="preserve">number of claims </w:t>
      </w:r>
      <w:r w:rsidR="00E23DAB" w:rsidRPr="00E95B5B">
        <w:rPr>
          <w:noProof/>
          <w:sz w:val="24"/>
          <w:szCs w:val="24"/>
        </w:rPr>
        <w:t>for more complex products</w:t>
      </w:r>
      <w:r w:rsidR="0075234F">
        <w:rPr>
          <w:noProof/>
          <w:sz w:val="24"/>
          <w:szCs w:val="24"/>
        </w:rPr>
        <w:t>,</w:t>
      </w:r>
      <w:r w:rsidR="0075234F" w:rsidRPr="0075234F">
        <w:rPr>
          <w:noProof/>
          <w:sz w:val="24"/>
          <w:szCs w:val="24"/>
        </w:rPr>
        <w:t xml:space="preserve"> </w:t>
      </w:r>
      <w:r w:rsidR="0075234F">
        <w:rPr>
          <w:noProof/>
          <w:sz w:val="24"/>
          <w:szCs w:val="24"/>
        </w:rPr>
        <w:t xml:space="preserve">such as </w:t>
      </w:r>
      <w:r w:rsidR="0075234F" w:rsidRPr="00877FB4">
        <w:rPr>
          <w:noProof/>
          <w:sz w:val="24"/>
          <w:szCs w:val="24"/>
        </w:rPr>
        <w:t>pharmaceutical</w:t>
      </w:r>
      <w:r w:rsidR="007F4EDE">
        <w:rPr>
          <w:noProof/>
          <w:sz w:val="24"/>
          <w:szCs w:val="24"/>
        </w:rPr>
        <w:t>s</w:t>
      </w:r>
      <w:r w:rsidR="0075234F">
        <w:rPr>
          <w:noProof/>
          <w:sz w:val="24"/>
          <w:szCs w:val="24"/>
        </w:rPr>
        <w:t>, IoT and AI-enabled products,</w:t>
      </w:r>
      <w:r w:rsidR="00E23DAB" w:rsidRPr="00E95B5B">
        <w:rPr>
          <w:noProof/>
          <w:sz w:val="24"/>
          <w:szCs w:val="24"/>
        </w:rPr>
        <w:t xml:space="preserve"> </w:t>
      </w:r>
      <w:r w:rsidR="00A9762F" w:rsidRPr="00E95B5B">
        <w:rPr>
          <w:noProof/>
          <w:sz w:val="24"/>
          <w:szCs w:val="24"/>
        </w:rPr>
        <w:t xml:space="preserve">that </w:t>
      </w:r>
      <w:r w:rsidR="00A9762F" w:rsidRPr="009F615D">
        <w:rPr>
          <w:noProof/>
          <w:sz w:val="24"/>
          <w:szCs w:val="24"/>
        </w:rPr>
        <w:t xml:space="preserve">successfully lead to compensation due </w:t>
      </w:r>
      <w:r w:rsidR="00305C89" w:rsidRPr="009F615D">
        <w:rPr>
          <w:noProof/>
          <w:sz w:val="24"/>
          <w:szCs w:val="24"/>
        </w:rPr>
        <w:t xml:space="preserve">to information disclosures and the more uniform use of presumptions. </w:t>
      </w:r>
      <w:r w:rsidR="00071BD2" w:rsidRPr="009F615D">
        <w:rPr>
          <w:noProof/>
          <w:sz w:val="24"/>
          <w:szCs w:val="24"/>
        </w:rPr>
        <w:t xml:space="preserve">The measure would not affect the average compensation pay-outs to victims. </w:t>
      </w:r>
    </w:p>
    <w:p w14:paraId="489DD218" w14:textId="5B5033A2" w:rsidR="00071BD2" w:rsidDel="00071BD2" w:rsidRDefault="00071BD2"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sidRPr="008E2E0F">
        <w:rPr>
          <w:noProof/>
          <w:sz w:val="24"/>
          <w:szCs w:val="24"/>
        </w:rPr>
        <w:t>U</w:t>
      </w:r>
      <w:r>
        <w:rPr>
          <w:noProof/>
          <w:sz w:val="24"/>
          <w:szCs w:val="24"/>
        </w:rPr>
        <w:t>nder PO2a</w:t>
      </w:r>
      <w:r w:rsidRPr="008E2E0F">
        <w:rPr>
          <w:noProof/>
          <w:sz w:val="24"/>
          <w:szCs w:val="24"/>
        </w:rPr>
        <w:t xml:space="preserve">, the </w:t>
      </w:r>
      <w:r>
        <w:rPr>
          <w:noProof/>
          <w:sz w:val="24"/>
          <w:szCs w:val="24"/>
        </w:rPr>
        <w:t xml:space="preserve">total </w:t>
      </w:r>
      <w:r w:rsidRPr="00150C16">
        <w:rPr>
          <w:b/>
          <w:noProof/>
          <w:sz w:val="24"/>
          <w:szCs w:val="24"/>
        </w:rPr>
        <w:t xml:space="preserve">annual </w:t>
      </w:r>
      <w:r w:rsidR="0017193B">
        <w:rPr>
          <w:b/>
          <w:noProof/>
          <w:sz w:val="24"/>
          <w:szCs w:val="24"/>
        </w:rPr>
        <w:t xml:space="preserve">compensations paid to victims </w:t>
      </w:r>
      <w:r w:rsidRPr="008E2E0F">
        <w:rPr>
          <w:noProof/>
          <w:sz w:val="24"/>
          <w:szCs w:val="24"/>
        </w:rPr>
        <w:t xml:space="preserve">are </w:t>
      </w:r>
      <w:r w:rsidR="00AB52F8">
        <w:rPr>
          <w:noProof/>
          <w:sz w:val="24"/>
          <w:szCs w:val="24"/>
        </w:rPr>
        <w:t>assessed</w:t>
      </w:r>
      <w:r w:rsidR="00AB52F8" w:rsidRPr="00AB52F8">
        <w:rPr>
          <w:noProof/>
        </w:rPr>
        <w:t xml:space="preserve"> </w:t>
      </w:r>
      <w:r w:rsidR="00AB52F8" w:rsidRPr="00AB52F8">
        <w:rPr>
          <w:noProof/>
          <w:sz w:val="24"/>
          <w:szCs w:val="24"/>
        </w:rPr>
        <w:t xml:space="preserve">to increase incrementally compared to the baseline, with </w:t>
      </w:r>
      <w:r w:rsidR="00AB52F8">
        <w:rPr>
          <w:noProof/>
          <w:sz w:val="24"/>
          <w:szCs w:val="24"/>
        </w:rPr>
        <w:t>an increase ranging between 0.</w:t>
      </w:r>
      <w:r w:rsidR="00D33490">
        <w:rPr>
          <w:noProof/>
          <w:sz w:val="24"/>
          <w:szCs w:val="24"/>
        </w:rPr>
        <w:t>20</w:t>
      </w:r>
      <w:r w:rsidR="00AB52F8" w:rsidRPr="00AB52F8">
        <w:rPr>
          <w:noProof/>
          <w:sz w:val="24"/>
          <w:szCs w:val="24"/>
        </w:rPr>
        <w:t xml:space="preserve"> and </w:t>
      </w:r>
      <w:r w:rsidR="00D33490">
        <w:rPr>
          <w:noProof/>
          <w:sz w:val="24"/>
          <w:szCs w:val="24"/>
        </w:rPr>
        <w:t>43.54</w:t>
      </w:r>
      <w:r w:rsidR="00AB52F8" w:rsidRPr="00AB52F8">
        <w:rPr>
          <w:noProof/>
          <w:sz w:val="24"/>
          <w:szCs w:val="24"/>
        </w:rPr>
        <w:t xml:space="preserve"> EUR million</w:t>
      </w:r>
      <w:r w:rsidRPr="008E2E0F">
        <w:rPr>
          <w:noProof/>
          <w:sz w:val="24"/>
          <w:szCs w:val="24"/>
        </w:rPr>
        <w:t>.</w:t>
      </w:r>
      <w:r>
        <w:rPr>
          <w:noProof/>
          <w:sz w:val="24"/>
          <w:szCs w:val="24"/>
        </w:rPr>
        <w:t xml:space="preserve"> </w:t>
      </w:r>
    </w:p>
    <w:p w14:paraId="2F3FFCDA" w14:textId="77777777" w:rsidR="006D158A" w:rsidRPr="00EF5701" w:rsidRDefault="006D158A" w:rsidP="00DD3B24">
      <w:pPr>
        <w:pStyle w:val="ListParagraph"/>
        <w:numPr>
          <w:ilvl w:val="0"/>
          <w:numId w:val="17"/>
        </w:numPr>
        <w:spacing w:after="120"/>
        <w:jc w:val="both"/>
        <w:rPr>
          <w:b/>
          <w:noProof/>
          <w:sz w:val="24"/>
          <w:szCs w:val="24"/>
        </w:rPr>
      </w:pPr>
      <w:r w:rsidRPr="00EF5701">
        <w:rPr>
          <w:b/>
          <w:noProof/>
          <w:sz w:val="24"/>
          <w:szCs w:val="24"/>
        </w:rPr>
        <w:t xml:space="preserve">Impacts on employment and fundamental rights </w:t>
      </w:r>
    </w:p>
    <w:p w14:paraId="452F8E80" w14:textId="1F55B025" w:rsidR="00FD3A5C" w:rsidRPr="00762A04" w:rsidRDefault="00295A1C" w:rsidP="00392E28">
      <w:pPr>
        <w:spacing w:after="240" w:line="240" w:lineRule="auto"/>
        <w:jc w:val="both"/>
        <w:rPr>
          <w:noProof/>
          <w:sz w:val="24"/>
          <w:szCs w:val="24"/>
        </w:rPr>
      </w:pPr>
      <w:r>
        <w:rPr>
          <w:noProof/>
          <w:sz w:val="24"/>
          <w:szCs w:val="24"/>
        </w:rPr>
        <w:t>Reducing restrictions on making claims and easing the burden of proof in the case of complex products would strengthen the right to an effective remedy, a right guaranteed under Article 47 of the EU Charter of</w:t>
      </w:r>
      <w:r w:rsidR="006D158A">
        <w:rPr>
          <w:noProof/>
          <w:sz w:val="24"/>
          <w:szCs w:val="24"/>
        </w:rPr>
        <w:t xml:space="preserve"> </w:t>
      </w:r>
      <w:r w:rsidR="006D158A" w:rsidRPr="0039114B">
        <w:rPr>
          <w:noProof/>
          <w:sz w:val="24"/>
          <w:szCs w:val="24"/>
        </w:rPr>
        <w:t>fundamental rights.</w:t>
      </w:r>
      <w:r>
        <w:rPr>
          <w:noProof/>
          <w:sz w:val="24"/>
          <w:szCs w:val="24"/>
        </w:rPr>
        <w:t xml:space="preserve"> PO2a should not have any impact on employment.</w:t>
      </w:r>
    </w:p>
    <w:p w14:paraId="2BC022B0" w14:textId="66E92770" w:rsidR="006B087E" w:rsidRPr="00244A24" w:rsidRDefault="002E7937" w:rsidP="002E7937">
      <w:pPr>
        <w:pStyle w:val="Heading2"/>
        <w:rPr>
          <w:noProof/>
        </w:rPr>
      </w:pPr>
      <w:bookmarkStart w:id="575" w:name="_Toc94837826"/>
      <w:bookmarkStart w:id="576" w:name="_Toc95379880"/>
      <w:bookmarkStart w:id="577" w:name="_Toc95391371"/>
      <w:bookmarkStart w:id="578" w:name="_Toc95396440"/>
      <w:bookmarkStart w:id="579" w:name="_Toc95421538"/>
      <w:bookmarkStart w:id="580" w:name="_Toc95481985"/>
      <w:bookmarkStart w:id="581" w:name="_Toc96337778"/>
      <w:bookmarkStart w:id="582" w:name="_Toc96446258"/>
      <w:bookmarkStart w:id="583" w:name="_Toc96448030"/>
      <w:bookmarkStart w:id="584" w:name="_Toc96593979"/>
      <w:bookmarkStart w:id="585" w:name="_Toc96597270"/>
      <w:bookmarkStart w:id="586" w:name="_Toc96609205"/>
      <w:bookmarkStart w:id="587" w:name="_Toc97149234"/>
      <w:bookmarkStart w:id="588" w:name="_Toc97191280"/>
      <w:bookmarkStart w:id="589" w:name="_Toc107430090"/>
      <w:r w:rsidRPr="002E7937">
        <w:t>6.5.</w:t>
      </w:r>
      <w:r w:rsidRPr="002E7937">
        <w:tab/>
      </w:r>
      <w:r w:rsidR="00EF5701" w:rsidRPr="00244A24">
        <w:rPr>
          <w:noProof/>
        </w:rPr>
        <w:t>Policy option 2b – Reversing the burden of proof</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32745868" w14:textId="77777777" w:rsidR="00EF5701" w:rsidRPr="00EF5701" w:rsidRDefault="00EF5701" w:rsidP="00EF5701">
      <w:pPr>
        <w:spacing w:after="240" w:line="240" w:lineRule="auto"/>
        <w:jc w:val="both"/>
        <w:rPr>
          <w:rFonts w:cstheme="minorHAnsi"/>
          <w:b/>
          <w:bCs/>
          <w:noProof/>
          <w:color w:val="242424"/>
          <w:sz w:val="24"/>
          <w:szCs w:val="24"/>
          <w:u w:val="single"/>
          <w:shd w:val="clear" w:color="auto" w:fill="FFFFFF"/>
        </w:rPr>
      </w:pPr>
      <w:r w:rsidRPr="00EF5701">
        <w:rPr>
          <w:rFonts w:cstheme="minorHAnsi"/>
          <w:b/>
          <w:bCs/>
          <w:noProof/>
          <w:color w:val="242424"/>
          <w:sz w:val="24"/>
          <w:szCs w:val="24"/>
          <w:u w:val="single"/>
          <w:shd w:val="clear" w:color="auto" w:fill="FFFFFF"/>
        </w:rPr>
        <w:t>Economic impacts</w:t>
      </w:r>
    </w:p>
    <w:p w14:paraId="34706C6B" w14:textId="77777777" w:rsidR="00EF5701" w:rsidRPr="00EF5701" w:rsidRDefault="00EF5701" w:rsidP="00DD3B24">
      <w:pPr>
        <w:pStyle w:val="ListParagraph"/>
        <w:numPr>
          <w:ilvl w:val="0"/>
          <w:numId w:val="18"/>
        </w:numPr>
        <w:spacing w:after="120"/>
        <w:jc w:val="both"/>
        <w:rPr>
          <w:b/>
          <w:noProof/>
          <w:sz w:val="24"/>
          <w:szCs w:val="24"/>
        </w:rPr>
      </w:pPr>
      <w:r w:rsidRPr="00EF5701">
        <w:rPr>
          <w:b/>
          <w:noProof/>
          <w:sz w:val="24"/>
          <w:szCs w:val="24"/>
        </w:rPr>
        <w:t>Impacts on producers</w:t>
      </w:r>
    </w:p>
    <w:p w14:paraId="57FC0828" w14:textId="5432B6B4" w:rsidR="00EF5701" w:rsidRPr="00EF5701" w:rsidRDefault="00EF5701" w:rsidP="00EF5701">
      <w:pPr>
        <w:widowControl w:val="0"/>
        <w:spacing w:after="240" w:line="240" w:lineRule="auto"/>
        <w:jc w:val="both"/>
        <w:rPr>
          <w:rFonts w:eastAsia="SimSun" w:cstheme="minorHAnsi"/>
          <w:noProof/>
          <w:sz w:val="24"/>
          <w:szCs w:val="24"/>
          <w:lang w:eastAsia="zh-CN"/>
        </w:rPr>
      </w:pPr>
      <w:r w:rsidRPr="00EF5701">
        <w:rPr>
          <w:rFonts w:eastAsia="SimSun" w:cstheme="minorHAnsi"/>
          <w:noProof/>
          <w:sz w:val="24"/>
          <w:szCs w:val="24"/>
          <w:lang w:eastAsia="zh-CN"/>
        </w:rPr>
        <w:t xml:space="preserve">Reversing the burden of proof, therefore requiring the producer to prove the product in question was not defective and did not cause the harm suffered, would go </w:t>
      </w:r>
      <w:r w:rsidR="00BC0EC4">
        <w:rPr>
          <w:rFonts w:eastAsia="SimSun" w:cstheme="minorHAnsi"/>
          <w:noProof/>
          <w:sz w:val="24"/>
          <w:szCs w:val="24"/>
          <w:lang w:eastAsia="zh-CN"/>
        </w:rPr>
        <w:t xml:space="preserve">significantly </w:t>
      </w:r>
      <w:r w:rsidRPr="00EF5701">
        <w:rPr>
          <w:rFonts w:eastAsia="SimSun" w:cstheme="minorHAnsi"/>
          <w:noProof/>
          <w:sz w:val="24"/>
          <w:szCs w:val="24"/>
          <w:lang w:eastAsia="zh-CN"/>
        </w:rPr>
        <w:t>beyond option 2a and beyond what national courts are currently allowed to do under the PLD. This option would in principle affect all producers</w:t>
      </w:r>
      <w:r w:rsidR="00236143" w:rsidRPr="000D2D2E">
        <w:rPr>
          <w:rFonts w:eastAsia="SimSun" w:cstheme="minorHAnsi"/>
          <w:noProof/>
          <w:sz w:val="24"/>
          <w:szCs w:val="24"/>
          <w:lang w:eastAsia="zh-CN"/>
        </w:rPr>
        <w:t>.</w:t>
      </w:r>
    </w:p>
    <w:p w14:paraId="7355BB94" w14:textId="0DCECB57" w:rsidR="00BC0EC4" w:rsidRPr="00BC0EC4" w:rsidRDefault="00BC0EC4" w:rsidP="00BC0EC4">
      <w:pPr>
        <w:widowControl w:val="0"/>
        <w:spacing w:after="240" w:line="240" w:lineRule="auto"/>
        <w:jc w:val="both"/>
        <w:rPr>
          <w:rFonts w:eastAsia="SimSun" w:cstheme="minorHAnsi"/>
          <w:noProof/>
          <w:sz w:val="24"/>
          <w:szCs w:val="24"/>
          <w:lang w:eastAsia="zh-CN"/>
        </w:rPr>
      </w:pPr>
      <w:r w:rsidRPr="00BC0EC4">
        <w:rPr>
          <w:rFonts w:eastAsia="SimSun" w:cstheme="minorHAnsi"/>
          <w:noProof/>
          <w:sz w:val="24"/>
          <w:szCs w:val="24"/>
          <w:lang w:eastAsia="zh-CN"/>
        </w:rPr>
        <w:t>In the public consultation, a full reversal of the burden of proof for technically complex products was only first-ranked by 5% of respondents and second-ranked by 32%</w:t>
      </w:r>
      <w:r w:rsidR="00E90B9A">
        <w:rPr>
          <w:rStyle w:val="FootnoteReference"/>
          <w:rFonts w:eastAsia="SimSun"/>
          <w:noProof/>
          <w:sz w:val="24"/>
          <w:szCs w:val="24"/>
          <w:lang w:eastAsia="zh-CN"/>
        </w:rPr>
        <w:footnoteReference w:id="238"/>
      </w:r>
      <w:r w:rsidR="00942D0A">
        <w:rPr>
          <w:rFonts w:eastAsia="SimSun" w:cstheme="minorHAnsi"/>
          <w:noProof/>
          <w:sz w:val="24"/>
          <w:szCs w:val="24"/>
          <w:lang w:eastAsia="zh-CN"/>
        </w:rPr>
        <w:t>,</w:t>
      </w:r>
      <w:r w:rsidRPr="00BC0EC4">
        <w:rPr>
          <w:rFonts w:eastAsia="SimSun" w:cstheme="minorHAnsi"/>
          <w:noProof/>
          <w:sz w:val="24"/>
          <w:szCs w:val="24"/>
          <w:lang w:eastAsia="zh-CN"/>
        </w:rPr>
        <w:t xml:space="preserve"> considerably less than for option 2a. BEUC, the consumer organisation, has argued that a reversal of the burden of proof, especially </w:t>
      </w:r>
      <w:r w:rsidR="00E733DE">
        <w:rPr>
          <w:rFonts w:eastAsia="SimSun" w:cstheme="minorHAnsi"/>
          <w:noProof/>
          <w:sz w:val="24"/>
          <w:szCs w:val="24"/>
          <w:lang w:eastAsia="zh-CN"/>
        </w:rPr>
        <w:t xml:space="preserve">needed </w:t>
      </w:r>
      <w:r w:rsidRPr="00BC0EC4">
        <w:rPr>
          <w:rFonts w:eastAsia="SimSun" w:cstheme="minorHAnsi"/>
          <w:noProof/>
          <w:sz w:val="24"/>
          <w:szCs w:val="24"/>
          <w:lang w:eastAsia="zh-CN"/>
        </w:rPr>
        <w:t>for complex products, is needed to remove the difficulties consumers face in proving defectiveness and the causal link</w:t>
      </w:r>
      <w:r w:rsidR="00640BC5" w:rsidRPr="00640BC5">
        <w:rPr>
          <w:rFonts w:eastAsia="SimSun" w:cstheme="minorHAnsi"/>
          <w:noProof/>
          <w:sz w:val="24"/>
          <w:szCs w:val="24"/>
          <w:lang w:eastAsia="zh-CN"/>
        </w:rPr>
        <w:t xml:space="preserve"> </w:t>
      </w:r>
      <w:r w:rsidR="00640BC5">
        <w:rPr>
          <w:rFonts w:eastAsia="SimSun" w:cstheme="minorHAnsi"/>
          <w:noProof/>
          <w:sz w:val="24"/>
          <w:szCs w:val="24"/>
          <w:lang w:eastAsia="zh-CN"/>
        </w:rPr>
        <w:t>between defect and damage</w:t>
      </w:r>
      <w:r w:rsidRPr="00BC0EC4">
        <w:rPr>
          <w:rFonts w:eastAsia="SimSun" w:cstheme="minorHAnsi"/>
          <w:noProof/>
          <w:sz w:val="24"/>
          <w:szCs w:val="24"/>
          <w:vertAlign w:val="superscript"/>
          <w:lang w:eastAsia="zh-CN"/>
        </w:rPr>
        <w:footnoteReference w:id="239"/>
      </w:r>
      <w:r w:rsidRPr="00BC0EC4">
        <w:rPr>
          <w:rFonts w:eastAsia="SimSun" w:cstheme="minorHAnsi"/>
          <w:noProof/>
          <w:sz w:val="24"/>
          <w:szCs w:val="24"/>
          <w:lang w:eastAsia="zh-CN"/>
        </w:rPr>
        <w:t>.</w:t>
      </w:r>
      <w:r w:rsidR="00402CDB">
        <w:rPr>
          <w:rFonts w:eastAsia="SimSun" w:cstheme="minorHAnsi"/>
          <w:noProof/>
          <w:sz w:val="24"/>
          <w:szCs w:val="24"/>
          <w:lang w:eastAsia="zh-CN"/>
        </w:rPr>
        <w:t xml:space="preserve"> </w:t>
      </w:r>
      <w:r w:rsidRPr="00BC0EC4">
        <w:rPr>
          <w:rFonts w:eastAsia="SimSun" w:cstheme="minorHAnsi"/>
          <w:noProof/>
          <w:sz w:val="24"/>
          <w:szCs w:val="24"/>
          <w:lang w:eastAsia="zh-CN"/>
        </w:rPr>
        <w:t>Only 22% of business and industry associations ranked this option first or second.</w:t>
      </w:r>
      <w:r w:rsidR="00E90B9A">
        <w:rPr>
          <w:rStyle w:val="FootnoteReference"/>
          <w:rFonts w:eastAsia="SimSun"/>
          <w:noProof/>
          <w:sz w:val="24"/>
          <w:szCs w:val="24"/>
          <w:lang w:eastAsia="zh-CN"/>
        </w:rPr>
        <w:footnoteReference w:id="240"/>
      </w:r>
      <w:r w:rsidRPr="00BC0EC4">
        <w:rPr>
          <w:rFonts w:eastAsia="SimSun" w:cstheme="minorHAnsi"/>
          <w:noProof/>
          <w:sz w:val="24"/>
          <w:szCs w:val="24"/>
          <w:lang w:eastAsia="zh-CN"/>
        </w:rPr>
        <w:t xml:space="preserve"> </w:t>
      </w:r>
      <w:r w:rsidR="00640BC5">
        <w:rPr>
          <w:rFonts w:eastAsia="SimSun" w:cstheme="minorHAnsi"/>
          <w:noProof/>
          <w:sz w:val="24"/>
          <w:szCs w:val="24"/>
          <w:lang w:eastAsia="zh-CN"/>
        </w:rPr>
        <w:t>Industry p</w:t>
      </w:r>
      <w:r w:rsidRPr="00BC0EC4">
        <w:rPr>
          <w:rFonts w:eastAsia="SimSun" w:cstheme="minorHAnsi"/>
          <w:noProof/>
          <w:sz w:val="24"/>
          <w:szCs w:val="24"/>
          <w:lang w:eastAsia="zh-CN"/>
        </w:rPr>
        <w:t xml:space="preserve">osition papers indicated strong opposition to a reversal of the burden of proof, </w:t>
      </w:r>
      <w:r w:rsidR="00A61CCF">
        <w:rPr>
          <w:rFonts w:eastAsia="SimSun" w:cstheme="minorHAnsi"/>
          <w:noProof/>
          <w:sz w:val="24"/>
          <w:szCs w:val="24"/>
          <w:lang w:eastAsia="zh-CN"/>
        </w:rPr>
        <w:t>on the grounds that</w:t>
      </w:r>
      <w:r w:rsidRPr="00BC0EC4">
        <w:rPr>
          <w:rFonts w:eastAsia="SimSun" w:cstheme="minorHAnsi"/>
          <w:noProof/>
          <w:sz w:val="24"/>
          <w:szCs w:val="24"/>
          <w:lang w:eastAsia="zh-CN"/>
        </w:rPr>
        <w:t xml:space="preserve"> the burden of proof </w:t>
      </w:r>
      <w:r w:rsidR="00A61CCF">
        <w:rPr>
          <w:rFonts w:eastAsia="SimSun" w:cstheme="minorHAnsi"/>
          <w:noProof/>
          <w:sz w:val="24"/>
          <w:szCs w:val="24"/>
          <w:lang w:eastAsia="zh-CN"/>
        </w:rPr>
        <w:t>is rightly</w:t>
      </w:r>
      <w:r w:rsidRPr="00BC0EC4">
        <w:rPr>
          <w:rFonts w:eastAsia="SimSun" w:cstheme="minorHAnsi"/>
          <w:noProof/>
          <w:sz w:val="24"/>
          <w:szCs w:val="24"/>
          <w:lang w:eastAsia="zh-CN"/>
        </w:rPr>
        <w:t xml:space="preserve"> borne by the claimant as a counterbalance to no-fault liability being imposed on producers</w:t>
      </w:r>
      <w:r w:rsidR="003979F9">
        <w:rPr>
          <w:rFonts w:eastAsia="SimSun" w:cstheme="minorHAnsi"/>
          <w:noProof/>
          <w:sz w:val="24"/>
          <w:szCs w:val="24"/>
          <w:lang w:eastAsia="zh-CN"/>
        </w:rPr>
        <w:t>, and that it could expose companies to unnecessary, frivolous and even abusive litigation</w:t>
      </w:r>
      <w:r w:rsidR="003979F9">
        <w:rPr>
          <w:rStyle w:val="FootnoteReference"/>
          <w:rFonts w:eastAsia="SimSun"/>
          <w:noProof/>
          <w:sz w:val="24"/>
          <w:szCs w:val="24"/>
          <w:lang w:eastAsia="zh-CN"/>
        </w:rPr>
        <w:footnoteReference w:id="241"/>
      </w:r>
      <w:r w:rsidRPr="00BC0EC4">
        <w:rPr>
          <w:rFonts w:eastAsia="SimSun" w:cstheme="minorHAnsi"/>
          <w:noProof/>
          <w:sz w:val="24"/>
          <w:szCs w:val="24"/>
          <w:lang w:eastAsia="zh-CN"/>
        </w:rPr>
        <w:t xml:space="preserve">. </w:t>
      </w:r>
    </w:p>
    <w:p w14:paraId="3B0A1BB2" w14:textId="2845685B" w:rsidR="00BC0EC4" w:rsidRPr="00C23171" w:rsidRDefault="00BC0EC4" w:rsidP="00BC0EC4">
      <w:pPr>
        <w:widowControl w:val="0"/>
        <w:spacing w:after="240" w:line="240" w:lineRule="auto"/>
        <w:jc w:val="both"/>
        <w:rPr>
          <w:rFonts w:eastAsia="SimSun" w:cstheme="minorHAnsi"/>
          <w:noProof/>
          <w:sz w:val="24"/>
          <w:szCs w:val="24"/>
          <w:lang w:eastAsia="zh-CN"/>
        </w:rPr>
      </w:pPr>
      <w:r w:rsidRPr="00BC0EC4">
        <w:rPr>
          <w:rFonts w:eastAsia="SimSun" w:cstheme="minorHAnsi"/>
          <w:noProof/>
          <w:sz w:val="24"/>
          <w:szCs w:val="24"/>
          <w:lang w:eastAsia="zh-CN"/>
        </w:rPr>
        <w:t>Removing the development risk defence would in principle impact all producers, but in particular those operating in highly innovative sectors where undiscoverable risks might emerge after a product is put into circulation, such as in the pharmaceuticals or AI</w:t>
      </w:r>
      <w:r w:rsidR="00640BC5">
        <w:rPr>
          <w:rFonts w:eastAsia="SimSun" w:cstheme="minorHAnsi"/>
          <w:noProof/>
          <w:sz w:val="24"/>
          <w:szCs w:val="24"/>
          <w:lang w:eastAsia="zh-CN"/>
        </w:rPr>
        <w:t xml:space="preserve"> sectors</w:t>
      </w:r>
      <w:r w:rsidRPr="00BC0EC4">
        <w:rPr>
          <w:rFonts w:eastAsia="SimSun" w:cstheme="minorHAnsi"/>
          <w:noProof/>
          <w:sz w:val="24"/>
          <w:szCs w:val="24"/>
          <w:lang w:eastAsia="zh-CN"/>
        </w:rPr>
        <w:t>. 57% of consumer associations, NGOs and citizens were in favour of removing the defence, whereas 87% of industry associations were in favour of keeping it.</w:t>
      </w:r>
      <w:r w:rsidR="00E90B9A">
        <w:rPr>
          <w:rStyle w:val="FootnoteReference"/>
          <w:rFonts w:eastAsia="SimSun"/>
          <w:noProof/>
          <w:sz w:val="24"/>
          <w:szCs w:val="24"/>
          <w:lang w:eastAsia="zh-CN"/>
        </w:rPr>
        <w:footnoteReference w:id="242"/>
      </w:r>
      <w:r w:rsidRPr="00BC0EC4">
        <w:rPr>
          <w:rFonts w:eastAsia="SimSun" w:cstheme="minorHAnsi"/>
          <w:noProof/>
          <w:sz w:val="24"/>
          <w:szCs w:val="24"/>
          <w:lang w:eastAsia="zh-CN"/>
        </w:rPr>
        <w:t xml:space="preserve"> Insurance Europe argued that removing the defence would deter technological innovation and hinder </w:t>
      </w:r>
      <w:r w:rsidRPr="00C23171">
        <w:rPr>
          <w:rFonts w:eastAsia="SimSun" w:cstheme="minorHAnsi"/>
          <w:noProof/>
          <w:sz w:val="24"/>
          <w:szCs w:val="24"/>
          <w:lang w:eastAsia="zh-CN"/>
        </w:rPr>
        <w:t>economic development, while EFPIA insisted it would place excessive burdens on producers</w:t>
      </w:r>
      <w:r w:rsidRPr="00C23171">
        <w:rPr>
          <w:rFonts w:eastAsia="SimSun" w:cstheme="minorHAnsi"/>
          <w:noProof/>
          <w:sz w:val="24"/>
          <w:szCs w:val="24"/>
          <w:vertAlign w:val="superscript"/>
          <w:lang w:eastAsia="zh-CN"/>
        </w:rPr>
        <w:footnoteReference w:id="243"/>
      </w:r>
      <w:r w:rsidRPr="00C23171">
        <w:rPr>
          <w:rFonts w:eastAsia="SimSun" w:cstheme="minorHAnsi"/>
          <w:noProof/>
          <w:sz w:val="24"/>
          <w:szCs w:val="24"/>
          <w:lang w:eastAsia="zh-CN"/>
        </w:rPr>
        <w:t xml:space="preserve">. </w:t>
      </w:r>
    </w:p>
    <w:p w14:paraId="0DD54A1E" w14:textId="1FB1D07A" w:rsidR="00BC0EC4" w:rsidRPr="00C23171" w:rsidRDefault="004674B3" w:rsidP="00BC0EC4">
      <w:pPr>
        <w:widowControl w:val="0"/>
        <w:spacing w:after="240" w:line="240" w:lineRule="auto"/>
        <w:jc w:val="both"/>
        <w:rPr>
          <w:rFonts w:eastAsia="SimSun" w:cstheme="minorHAnsi"/>
          <w:noProof/>
          <w:sz w:val="24"/>
          <w:szCs w:val="24"/>
          <w:lang w:eastAsia="zh-CN"/>
        </w:rPr>
      </w:pPr>
      <w:r w:rsidRPr="00C23171">
        <w:rPr>
          <w:rFonts w:eastAsia="SimSun" w:cstheme="minorHAnsi"/>
          <w:noProof/>
          <w:sz w:val="24"/>
          <w:szCs w:val="24"/>
          <w:lang w:eastAsia="zh-CN"/>
        </w:rPr>
        <w:t xml:space="preserve">The impacts of removing the EUR 500 threshold would be the same as under PO2a, but extending the 10-year liability period to 15 years in all cases of personal injury </w:t>
      </w:r>
      <w:r w:rsidR="00733BF9" w:rsidRPr="00C23171">
        <w:rPr>
          <w:rFonts w:eastAsia="SimSun" w:cstheme="minorHAnsi"/>
          <w:noProof/>
          <w:sz w:val="24"/>
          <w:szCs w:val="24"/>
          <w:lang w:eastAsia="zh-CN"/>
        </w:rPr>
        <w:t xml:space="preserve">and lengthening the 3-year period for starting legal proceedings to 5 years </w:t>
      </w:r>
      <w:r w:rsidRPr="00C23171">
        <w:rPr>
          <w:rFonts w:eastAsia="SimSun" w:cstheme="minorHAnsi"/>
          <w:noProof/>
          <w:sz w:val="24"/>
          <w:szCs w:val="24"/>
          <w:lang w:eastAsia="zh-CN"/>
        </w:rPr>
        <w:t>would increase all producers’ liability exposure</w:t>
      </w:r>
      <w:r w:rsidR="00BC0EC4" w:rsidRPr="00C23171">
        <w:rPr>
          <w:rFonts w:eastAsia="SimSun" w:cstheme="minorHAnsi"/>
          <w:noProof/>
          <w:sz w:val="24"/>
          <w:szCs w:val="24"/>
          <w:lang w:eastAsia="zh-CN"/>
        </w:rPr>
        <w:t xml:space="preserve">. </w:t>
      </w:r>
    </w:p>
    <w:p w14:paraId="7928F6DC" w14:textId="4616C61D" w:rsidR="00527CDB" w:rsidRDefault="004248F0" w:rsidP="00E95B5B">
      <w:pPr>
        <w:spacing w:after="240" w:line="240" w:lineRule="auto"/>
        <w:jc w:val="both"/>
        <w:rPr>
          <w:noProof/>
          <w:sz w:val="24"/>
          <w:szCs w:val="24"/>
        </w:rPr>
      </w:pPr>
      <w:r w:rsidRPr="00C23171">
        <w:rPr>
          <w:noProof/>
          <w:sz w:val="24"/>
          <w:szCs w:val="24"/>
        </w:rPr>
        <w:t>Annual product liability insurance costs</w:t>
      </w:r>
      <w:r w:rsidRPr="00C23171">
        <w:rPr>
          <w:b/>
          <w:noProof/>
          <w:sz w:val="24"/>
          <w:szCs w:val="24"/>
        </w:rPr>
        <w:t xml:space="preserve"> </w:t>
      </w:r>
      <w:r w:rsidRPr="00C23171">
        <w:rPr>
          <w:noProof/>
          <w:sz w:val="24"/>
          <w:szCs w:val="24"/>
        </w:rPr>
        <w:t xml:space="preserve">are assumed to increase by </w:t>
      </w:r>
      <w:r w:rsidR="000671A2" w:rsidRPr="00C23171">
        <w:rPr>
          <w:noProof/>
          <w:sz w:val="24"/>
          <w:szCs w:val="24"/>
        </w:rPr>
        <w:t>6-8</w:t>
      </w:r>
      <w:r w:rsidRPr="00C23171">
        <w:rPr>
          <w:noProof/>
          <w:sz w:val="24"/>
          <w:szCs w:val="24"/>
        </w:rPr>
        <w:t>%</w:t>
      </w:r>
      <w:r w:rsidR="00AF3818" w:rsidRPr="00C23171">
        <w:rPr>
          <w:rStyle w:val="FootnoteReference"/>
          <w:noProof/>
          <w:sz w:val="24"/>
          <w:szCs w:val="24"/>
        </w:rPr>
        <w:footnoteReference w:id="244"/>
      </w:r>
      <w:r w:rsidRPr="00C23171">
        <w:rPr>
          <w:noProof/>
          <w:sz w:val="24"/>
          <w:szCs w:val="24"/>
        </w:rPr>
        <w:t xml:space="preserve"> for all producers due to the reversal of the burden of proof and </w:t>
      </w:r>
      <w:r w:rsidR="000671A2" w:rsidRPr="00C23171">
        <w:rPr>
          <w:noProof/>
          <w:sz w:val="24"/>
          <w:szCs w:val="24"/>
        </w:rPr>
        <w:t xml:space="preserve">by 5-6% due to the </w:t>
      </w:r>
      <w:r w:rsidRPr="00C23171">
        <w:rPr>
          <w:noProof/>
          <w:sz w:val="24"/>
          <w:szCs w:val="24"/>
        </w:rPr>
        <w:t>removal of the development risk defence and</w:t>
      </w:r>
      <w:r w:rsidRPr="004248F0">
        <w:rPr>
          <w:noProof/>
          <w:sz w:val="24"/>
          <w:szCs w:val="24"/>
        </w:rPr>
        <w:t xml:space="preserve"> due to the incremental changes to the liability period and time limit</w:t>
      </w:r>
      <w:r>
        <w:rPr>
          <w:noProof/>
          <w:sz w:val="24"/>
          <w:szCs w:val="24"/>
        </w:rPr>
        <w:t>.</w:t>
      </w:r>
    </w:p>
    <w:p w14:paraId="112E0D19" w14:textId="716D121A" w:rsidR="00933C75" w:rsidRPr="00762A04" w:rsidRDefault="004248F0" w:rsidP="001E1DE0">
      <w:pPr>
        <w:widowControl w:val="0"/>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Pr>
          <w:noProof/>
          <w:sz w:val="24"/>
          <w:szCs w:val="24"/>
        </w:rPr>
        <w:t>Under PO2</w:t>
      </w:r>
      <w:r w:rsidR="000A2317">
        <w:rPr>
          <w:noProof/>
          <w:sz w:val="24"/>
          <w:szCs w:val="24"/>
        </w:rPr>
        <w:t>b</w:t>
      </w:r>
      <w:r w:rsidRPr="00B4261C">
        <w:rPr>
          <w:noProof/>
          <w:sz w:val="24"/>
          <w:szCs w:val="24"/>
        </w:rPr>
        <w:t xml:space="preserve">, total </w:t>
      </w:r>
      <w:r w:rsidRPr="001F72E2">
        <w:rPr>
          <w:b/>
          <w:noProof/>
          <w:sz w:val="24"/>
          <w:szCs w:val="24"/>
        </w:rPr>
        <w:t>annual product liability insurance costs</w:t>
      </w:r>
      <w:r w:rsidRPr="00B4261C">
        <w:rPr>
          <w:noProof/>
          <w:sz w:val="24"/>
          <w:szCs w:val="24"/>
        </w:rPr>
        <w:t xml:space="preserve"> are </w:t>
      </w:r>
      <w:r w:rsidR="000671A2">
        <w:rPr>
          <w:noProof/>
          <w:sz w:val="24"/>
          <w:szCs w:val="24"/>
        </w:rPr>
        <w:t xml:space="preserve">assessed </w:t>
      </w:r>
      <w:r w:rsidR="000671A2" w:rsidRPr="005833F7">
        <w:rPr>
          <w:noProof/>
          <w:sz w:val="24"/>
          <w:szCs w:val="24"/>
        </w:rPr>
        <w:t xml:space="preserve">to increase incrementally compared to the baseline, </w:t>
      </w:r>
      <w:r w:rsidR="000671A2">
        <w:rPr>
          <w:noProof/>
          <w:sz w:val="24"/>
          <w:szCs w:val="24"/>
        </w:rPr>
        <w:t xml:space="preserve">with an increase </w:t>
      </w:r>
      <w:r w:rsidR="000671A2" w:rsidRPr="008318AB">
        <w:rPr>
          <w:noProof/>
          <w:sz w:val="24"/>
          <w:szCs w:val="24"/>
        </w:rPr>
        <w:t>between 41.73 and 83.46</w:t>
      </w:r>
      <w:r w:rsidR="000671A2" w:rsidRPr="005833F7">
        <w:rPr>
          <w:noProof/>
          <w:sz w:val="24"/>
          <w:szCs w:val="24"/>
        </w:rPr>
        <w:t xml:space="preserve"> EUR million</w:t>
      </w:r>
      <w:r>
        <w:rPr>
          <w:rStyle w:val="FootnoteReference"/>
          <w:noProof/>
          <w:sz w:val="24"/>
          <w:szCs w:val="24"/>
        </w:rPr>
        <w:footnoteReference w:id="245"/>
      </w:r>
      <w:r w:rsidRPr="00B4261C">
        <w:rPr>
          <w:noProof/>
          <w:sz w:val="24"/>
          <w:szCs w:val="24"/>
        </w:rPr>
        <w:t>.</w:t>
      </w:r>
    </w:p>
    <w:p w14:paraId="162DD3E3" w14:textId="77777777" w:rsidR="00EF5701" w:rsidRPr="00EF5701" w:rsidRDefault="00EF5701" w:rsidP="00DD3B24">
      <w:pPr>
        <w:pStyle w:val="ListParagraph"/>
        <w:numPr>
          <w:ilvl w:val="0"/>
          <w:numId w:val="18"/>
        </w:numPr>
        <w:spacing w:after="120"/>
        <w:jc w:val="both"/>
        <w:rPr>
          <w:b/>
          <w:noProof/>
          <w:sz w:val="24"/>
          <w:szCs w:val="24"/>
        </w:rPr>
      </w:pPr>
      <w:r w:rsidRPr="00EF5701">
        <w:rPr>
          <w:b/>
          <w:noProof/>
          <w:sz w:val="24"/>
          <w:szCs w:val="24"/>
        </w:rPr>
        <w:t>Impacts on the internal market and competitiveness</w:t>
      </w:r>
    </w:p>
    <w:p w14:paraId="720958D2" w14:textId="77777777" w:rsidR="00290470" w:rsidRDefault="00536C6D" w:rsidP="00AF01E2">
      <w:pPr>
        <w:widowControl w:val="0"/>
        <w:spacing w:after="240" w:line="240" w:lineRule="auto"/>
        <w:jc w:val="both"/>
        <w:rPr>
          <w:rFonts w:eastAsia="SimSun" w:cstheme="minorHAnsi"/>
          <w:noProof/>
          <w:sz w:val="24"/>
          <w:szCs w:val="24"/>
          <w:lang w:eastAsia="zh-CN"/>
        </w:rPr>
      </w:pPr>
      <w:r>
        <w:rPr>
          <w:rFonts w:eastAsia="SimSun" w:cstheme="minorHAnsi"/>
          <w:noProof/>
          <w:sz w:val="24"/>
          <w:szCs w:val="24"/>
          <w:lang w:eastAsia="zh-CN"/>
        </w:rPr>
        <w:t>Industry stakeholders argued that r</w:t>
      </w:r>
      <w:r w:rsidR="00EF5701" w:rsidRPr="00EF5701">
        <w:rPr>
          <w:rFonts w:eastAsia="SimSun" w:cstheme="minorHAnsi"/>
          <w:noProof/>
          <w:sz w:val="24"/>
          <w:szCs w:val="24"/>
          <w:lang w:eastAsia="zh-CN"/>
        </w:rPr>
        <w:t xml:space="preserve">eversing the burden of proof and removing the development risk defence </w:t>
      </w:r>
      <w:r>
        <w:rPr>
          <w:rFonts w:eastAsia="SimSun" w:cstheme="minorHAnsi"/>
          <w:noProof/>
          <w:sz w:val="24"/>
          <w:szCs w:val="24"/>
          <w:lang w:eastAsia="zh-CN"/>
        </w:rPr>
        <w:t>would</w:t>
      </w:r>
      <w:r w:rsidRPr="00EF5701">
        <w:rPr>
          <w:rFonts w:eastAsia="SimSun" w:cstheme="minorHAnsi"/>
          <w:noProof/>
          <w:sz w:val="24"/>
          <w:szCs w:val="24"/>
          <w:lang w:eastAsia="zh-CN"/>
        </w:rPr>
        <w:t xml:space="preserve"> </w:t>
      </w:r>
      <w:r w:rsidR="00AD1FDC">
        <w:rPr>
          <w:rFonts w:eastAsia="SimSun" w:cstheme="minorHAnsi"/>
          <w:noProof/>
          <w:sz w:val="24"/>
          <w:szCs w:val="24"/>
          <w:lang w:eastAsia="zh-CN"/>
        </w:rPr>
        <w:t xml:space="preserve">be disproportionate, hampering </w:t>
      </w:r>
      <w:r w:rsidR="00EF5701" w:rsidRPr="00EF5701">
        <w:rPr>
          <w:rFonts w:eastAsia="SimSun" w:cstheme="minorHAnsi"/>
          <w:noProof/>
          <w:sz w:val="24"/>
          <w:szCs w:val="24"/>
          <w:lang w:eastAsia="zh-CN"/>
        </w:rPr>
        <w:t>innovation</w:t>
      </w:r>
      <w:r w:rsidR="00E733DE">
        <w:rPr>
          <w:rFonts w:eastAsia="SimSun" w:cstheme="minorHAnsi"/>
          <w:noProof/>
          <w:sz w:val="24"/>
          <w:szCs w:val="24"/>
          <w:lang w:eastAsia="zh-CN"/>
        </w:rPr>
        <w:t>, especially in innovative sectors like pharmaceuticals and AI</w:t>
      </w:r>
      <w:r>
        <w:rPr>
          <w:rFonts w:eastAsia="SimSun" w:cstheme="minorHAnsi"/>
          <w:noProof/>
          <w:sz w:val="24"/>
          <w:szCs w:val="24"/>
          <w:lang w:eastAsia="zh-CN"/>
        </w:rPr>
        <w:t>, and undermine the uptake of new technologies</w:t>
      </w:r>
      <w:r>
        <w:rPr>
          <w:rStyle w:val="FootnoteReference"/>
          <w:rFonts w:eastAsia="SimSun"/>
          <w:noProof/>
          <w:sz w:val="24"/>
          <w:szCs w:val="24"/>
          <w:lang w:eastAsia="zh-CN"/>
        </w:rPr>
        <w:footnoteReference w:id="246"/>
      </w:r>
      <w:r w:rsidR="00EF5701" w:rsidRPr="00EF5701">
        <w:rPr>
          <w:rFonts w:eastAsia="SimSun" w:cstheme="minorHAnsi"/>
          <w:noProof/>
          <w:sz w:val="24"/>
          <w:szCs w:val="24"/>
          <w:lang w:eastAsia="zh-CN"/>
        </w:rPr>
        <w:t>.</w:t>
      </w:r>
    </w:p>
    <w:p w14:paraId="39478C23" w14:textId="5356C435" w:rsidR="00EF5701" w:rsidRPr="00EF5701" w:rsidRDefault="00EF5701" w:rsidP="00DD3B24">
      <w:pPr>
        <w:pStyle w:val="ListParagraph"/>
        <w:numPr>
          <w:ilvl w:val="0"/>
          <w:numId w:val="18"/>
        </w:numPr>
        <w:spacing w:after="120"/>
        <w:jc w:val="both"/>
        <w:rPr>
          <w:b/>
          <w:noProof/>
          <w:sz w:val="24"/>
          <w:szCs w:val="24"/>
        </w:rPr>
      </w:pPr>
      <w:r w:rsidRPr="00EF5701">
        <w:rPr>
          <w:b/>
          <w:noProof/>
          <w:sz w:val="24"/>
          <w:szCs w:val="24"/>
        </w:rPr>
        <w:t xml:space="preserve">Impacts on the judicial system and </w:t>
      </w:r>
      <w:r w:rsidR="003D1C0B">
        <w:rPr>
          <w:b/>
          <w:noProof/>
          <w:sz w:val="24"/>
          <w:szCs w:val="24"/>
        </w:rPr>
        <w:t>legal</w:t>
      </w:r>
      <w:r w:rsidR="003D1C0B" w:rsidRPr="00EF5701">
        <w:rPr>
          <w:b/>
          <w:noProof/>
          <w:sz w:val="24"/>
          <w:szCs w:val="24"/>
        </w:rPr>
        <w:t xml:space="preserve"> </w:t>
      </w:r>
      <w:r w:rsidRPr="00EF5701">
        <w:rPr>
          <w:b/>
          <w:noProof/>
          <w:sz w:val="24"/>
          <w:szCs w:val="24"/>
        </w:rPr>
        <w:t xml:space="preserve">costs </w:t>
      </w:r>
    </w:p>
    <w:p w14:paraId="04E53176" w14:textId="66F55D2B" w:rsidR="0008309A" w:rsidRPr="00D933DC" w:rsidRDefault="0008309A" w:rsidP="0008309A">
      <w:pPr>
        <w:widowControl w:val="0"/>
        <w:spacing w:after="240" w:line="240" w:lineRule="auto"/>
        <w:jc w:val="both"/>
        <w:rPr>
          <w:noProof/>
          <w:sz w:val="24"/>
          <w:szCs w:val="24"/>
        </w:rPr>
      </w:pPr>
      <w:r>
        <w:rPr>
          <w:noProof/>
          <w:sz w:val="24"/>
          <w:szCs w:val="24"/>
        </w:rPr>
        <w:t>PO2b</w:t>
      </w:r>
      <w:r w:rsidRPr="00D933DC">
        <w:rPr>
          <w:noProof/>
          <w:sz w:val="24"/>
          <w:szCs w:val="24"/>
        </w:rPr>
        <w:t xml:space="preserve"> would increase the number of proceedings, both in court and out of court, </w:t>
      </w:r>
      <w:r w:rsidRPr="00AD4428">
        <w:rPr>
          <w:noProof/>
          <w:sz w:val="24"/>
          <w:szCs w:val="24"/>
        </w:rPr>
        <w:t xml:space="preserve">by </w:t>
      </w:r>
      <w:r>
        <w:rPr>
          <w:noProof/>
          <w:sz w:val="24"/>
          <w:szCs w:val="24"/>
        </w:rPr>
        <w:t>10</w:t>
      </w:r>
      <w:r w:rsidRPr="00AD4428">
        <w:rPr>
          <w:noProof/>
          <w:sz w:val="24"/>
          <w:szCs w:val="24"/>
        </w:rPr>
        <w:t>%</w:t>
      </w:r>
      <w:r w:rsidRPr="00D933DC">
        <w:rPr>
          <w:rStyle w:val="FootnoteReference"/>
          <w:noProof/>
          <w:sz w:val="24"/>
          <w:szCs w:val="24"/>
        </w:rPr>
        <w:footnoteReference w:id="247"/>
      </w:r>
      <w:r w:rsidRPr="00AD4428">
        <w:rPr>
          <w:noProof/>
          <w:sz w:val="24"/>
          <w:szCs w:val="24"/>
        </w:rPr>
        <w:t>,</w:t>
      </w:r>
      <w:r w:rsidRPr="00D933DC">
        <w:rPr>
          <w:noProof/>
          <w:sz w:val="24"/>
          <w:szCs w:val="24"/>
        </w:rPr>
        <w:t xml:space="preserve"> due to</w:t>
      </w:r>
      <w:r w:rsidR="00501996">
        <w:rPr>
          <w:noProof/>
          <w:sz w:val="24"/>
          <w:szCs w:val="24"/>
        </w:rPr>
        <w:t xml:space="preserve"> the reversal of </w:t>
      </w:r>
      <w:r>
        <w:rPr>
          <w:noProof/>
          <w:sz w:val="24"/>
          <w:szCs w:val="24"/>
        </w:rPr>
        <w:t xml:space="preserve">the burden of proof and by 5% due to the reduced restrictions in making claims. </w:t>
      </w:r>
    </w:p>
    <w:p w14:paraId="1EBC4995" w14:textId="3D8A9961" w:rsidR="0008309A" w:rsidRDefault="0008309A" w:rsidP="001E1DE0">
      <w:pPr>
        <w:widowControl w:val="0"/>
        <w:pBdr>
          <w:top w:val="single" w:sz="4" w:space="1" w:color="auto"/>
          <w:left w:val="single" w:sz="4" w:space="4" w:color="auto"/>
          <w:bottom w:val="single" w:sz="4" w:space="1" w:color="auto"/>
          <w:right w:val="single" w:sz="4" w:space="4" w:color="auto"/>
        </w:pBdr>
        <w:spacing w:after="240" w:line="240" w:lineRule="auto"/>
        <w:jc w:val="both"/>
        <w:rPr>
          <w:rFonts w:eastAsia="SimSun" w:cstheme="minorHAnsi"/>
          <w:noProof/>
          <w:sz w:val="24"/>
          <w:szCs w:val="24"/>
          <w:lang w:eastAsia="zh-CN"/>
        </w:rPr>
      </w:pPr>
      <w:r w:rsidRPr="00D933DC">
        <w:rPr>
          <w:noProof/>
          <w:sz w:val="24"/>
          <w:szCs w:val="24"/>
        </w:rPr>
        <w:t>Under PO</w:t>
      </w:r>
      <w:r>
        <w:rPr>
          <w:noProof/>
          <w:sz w:val="24"/>
          <w:szCs w:val="24"/>
        </w:rPr>
        <w:t>2b</w:t>
      </w:r>
      <w:r w:rsidRPr="00D933DC">
        <w:rPr>
          <w:noProof/>
          <w:sz w:val="24"/>
          <w:szCs w:val="24"/>
        </w:rPr>
        <w:t xml:space="preserve">, total </w:t>
      </w:r>
      <w:r w:rsidRPr="00D933DC">
        <w:rPr>
          <w:b/>
          <w:noProof/>
          <w:sz w:val="24"/>
          <w:szCs w:val="24"/>
        </w:rPr>
        <w:t>annual</w:t>
      </w:r>
      <w:r w:rsidRPr="00D933DC">
        <w:rPr>
          <w:noProof/>
          <w:sz w:val="24"/>
          <w:szCs w:val="24"/>
        </w:rPr>
        <w:t xml:space="preserve"> </w:t>
      </w:r>
      <w:r w:rsidRPr="00D933DC">
        <w:rPr>
          <w:b/>
          <w:noProof/>
          <w:sz w:val="24"/>
          <w:szCs w:val="24"/>
        </w:rPr>
        <w:t>legal costs</w:t>
      </w:r>
      <w:r w:rsidRPr="00D933DC">
        <w:rPr>
          <w:noProof/>
          <w:sz w:val="24"/>
          <w:szCs w:val="24"/>
        </w:rPr>
        <w:t xml:space="preserve"> are </w:t>
      </w:r>
      <w:r>
        <w:rPr>
          <w:noProof/>
          <w:sz w:val="24"/>
          <w:szCs w:val="24"/>
        </w:rPr>
        <w:t>assessed</w:t>
      </w:r>
      <w:r w:rsidRPr="00D933DC">
        <w:rPr>
          <w:noProof/>
          <w:sz w:val="24"/>
          <w:szCs w:val="24"/>
        </w:rPr>
        <w:t xml:space="preserve"> to </w:t>
      </w:r>
      <w:r>
        <w:rPr>
          <w:noProof/>
          <w:sz w:val="24"/>
          <w:szCs w:val="24"/>
        </w:rPr>
        <w:t>slightly increase</w:t>
      </w:r>
      <w:r w:rsidRPr="00DC74D5">
        <w:rPr>
          <w:noProof/>
          <w:sz w:val="24"/>
          <w:szCs w:val="24"/>
        </w:rPr>
        <w:t xml:space="preserve"> incrementally compared to the baseline, </w:t>
      </w:r>
      <w:r w:rsidRPr="00733FC2">
        <w:rPr>
          <w:noProof/>
          <w:sz w:val="24"/>
          <w:szCs w:val="24"/>
        </w:rPr>
        <w:t xml:space="preserve">with an increase </w:t>
      </w:r>
      <w:r w:rsidRPr="00DC74D5">
        <w:rPr>
          <w:noProof/>
          <w:sz w:val="24"/>
          <w:szCs w:val="24"/>
        </w:rPr>
        <w:t xml:space="preserve">between </w:t>
      </w:r>
      <w:r w:rsidR="008573B2">
        <w:rPr>
          <w:noProof/>
          <w:sz w:val="24"/>
          <w:szCs w:val="24"/>
        </w:rPr>
        <w:t>6.90</w:t>
      </w:r>
      <w:r w:rsidRPr="00F04479">
        <w:rPr>
          <w:noProof/>
          <w:sz w:val="24"/>
          <w:szCs w:val="24"/>
        </w:rPr>
        <w:t xml:space="preserve"> and </w:t>
      </w:r>
      <w:r w:rsidR="008573B2">
        <w:rPr>
          <w:noProof/>
          <w:sz w:val="24"/>
          <w:szCs w:val="24"/>
        </w:rPr>
        <w:t>16.96</w:t>
      </w:r>
      <w:r>
        <w:rPr>
          <w:noProof/>
          <w:sz w:val="24"/>
          <w:szCs w:val="24"/>
        </w:rPr>
        <w:t xml:space="preserve"> </w:t>
      </w:r>
      <w:r w:rsidRPr="00AA3F13">
        <w:rPr>
          <w:noProof/>
          <w:sz w:val="24"/>
          <w:szCs w:val="24"/>
        </w:rPr>
        <w:t>EUR million</w:t>
      </w:r>
      <w:r w:rsidRPr="00D933DC">
        <w:rPr>
          <w:noProof/>
          <w:sz w:val="24"/>
          <w:szCs w:val="24"/>
        </w:rPr>
        <w:t>.</w:t>
      </w:r>
    </w:p>
    <w:p w14:paraId="6F33BB58" w14:textId="77777777" w:rsidR="00EF5701" w:rsidRPr="00EF5701" w:rsidRDefault="00EF5701" w:rsidP="00EF5701">
      <w:pPr>
        <w:spacing w:after="240" w:line="240" w:lineRule="auto"/>
        <w:jc w:val="both"/>
        <w:rPr>
          <w:rFonts w:cstheme="minorHAnsi"/>
          <w:b/>
          <w:bCs/>
          <w:noProof/>
          <w:color w:val="242424"/>
          <w:sz w:val="24"/>
          <w:szCs w:val="24"/>
          <w:u w:val="single"/>
          <w:shd w:val="clear" w:color="auto" w:fill="FFFFFF"/>
        </w:rPr>
      </w:pPr>
      <w:r w:rsidRPr="00EF5701">
        <w:rPr>
          <w:rFonts w:cstheme="minorHAnsi"/>
          <w:b/>
          <w:bCs/>
          <w:noProof/>
          <w:color w:val="242424"/>
          <w:sz w:val="24"/>
          <w:szCs w:val="24"/>
          <w:u w:val="single"/>
          <w:shd w:val="clear" w:color="auto" w:fill="FFFFFF"/>
        </w:rPr>
        <w:t>Social impacts</w:t>
      </w:r>
    </w:p>
    <w:p w14:paraId="2EA70699" w14:textId="77777777" w:rsidR="00EF5701" w:rsidRPr="00EF5701" w:rsidRDefault="00EF5701" w:rsidP="00DD3B24">
      <w:pPr>
        <w:pStyle w:val="ListParagraph"/>
        <w:numPr>
          <w:ilvl w:val="0"/>
          <w:numId w:val="19"/>
        </w:numPr>
        <w:spacing w:after="120"/>
        <w:jc w:val="both"/>
        <w:rPr>
          <w:b/>
          <w:noProof/>
          <w:sz w:val="24"/>
          <w:szCs w:val="24"/>
        </w:rPr>
      </w:pPr>
      <w:r w:rsidRPr="00EF5701">
        <w:rPr>
          <w:b/>
          <w:noProof/>
          <w:sz w:val="24"/>
          <w:szCs w:val="24"/>
        </w:rPr>
        <w:t>Consumer protection and access to justice</w:t>
      </w:r>
    </w:p>
    <w:p w14:paraId="4E857E9E" w14:textId="4AC1035F" w:rsidR="00C75E68" w:rsidRDefault="00EF5701" w:rsidP="00EF5701">
      <w:pPr>
        <w:widowControl w:val="0"/>
        <w:spacing w:after="240" w:line="240" w:lineRule="auto"/>
        <w:jc w:val="both"/>
        <w:rPr>
          <w:rFonts w:eastAsia="SimSun" w:cstheme="minorHAnsi"/>
          <w:noProof/>
          <w:sz w:val="24"/>
          <w:szCs w:val="24"/>
          <w:lang w:eastAsia="zh-CN"/>
        </w:rPr>
      </w:pPr>
      <w:r w:rsidRPr="00EF5701">
        <w:rPr>
          <w:rFonts w:eastAsia="SimSun" w:cstheme="minorHAnsi"/>
          <w:noProof/>
          <w:sz w:val="24"/>
          <w:szCs w:val="24"/>
          <w:lang w:eastAsia="zh-CN"/>
        </w:rPr>
        <w:t xml:space="preserve">Reversing the burden of proof would facilitate the position of the consumer significantly, as they would only have to prove a product caused damage and then the burden of proof would pass to the producer. </w:t>
      </w:r>
      <w:r w:rsidRPr="007509E8">
        <w:rPr>
          <w:rFonts w:eastAsia="SimSun" w:cstheme="minorHAnsi"/>
          <w:noProof/>
          <w:sz w:val="24"/>
          <w:szCs w:val="24"/>
          <w:lang w:eastAsia="zh-CN"/>
        </w:rPr>
        <w:t xml:space="preserve">Consumers would be reassured that in case of a product </w:t>
      </w:r>
      <w:r w:rsidR="00E733DE" w:rsidRPr="007509E8">
        <w:rPr>
          <w:rFonts w:eastAsia="SimSun" w:cstheme="minorHAnsi"/>
          <w:noProof/>
          <w:sz w:val="24"/>
          <w:szCs w:val="24"/>
          <w:lang w:eastAsia="zh-CN"/>
        </w:rPr>
        <w:t>causing harm</w:t>
      </w:r>
      <w:r w:rsidRPr="007509E8">
        <w:rPr>
          <w:rFonts w:eastAsia="SimSun" w:cstheme="minorHAnsi"/>
          <w:noProof/>
          <w:sz w:val="24"/>
          <w:szCs w:val="24"/>
          <w:lang w:eastAsia="zh-CN"/>
        </w:rPr>
        <w:t>, it would be up to the producer to demonstrate that their product was not defective and had not caused damage.</w:t>
      </w:r>
      <w:r w:rsidR="00B7147F" w:rsidRPr="007509E8">
        <w:rPr>
          <w:rFonts w:eastAsia="SimSun" w:cstheme="minorHAnsi"/>
          <w:noProof/>
          <w:sz w:val="24"/>
          <w:szCs w:val="24"/>
          <w:lang w:eastAsia="zh-CN"/>
        </w:rPr>
        <w:t xml:space="preserve"> On the other hand, </w:t>
      </w:r>
      <w:r w:rsidR="00897F52" w:rsidRPr="007509E8">
        <w:rPr>
          <w:rFonts w:eastAsia="SimSun" w:cstheme="minorHAnsi"/>
          <w:noProof/>
          <w:sz w:val="24"/>
          <w:szCs w:val="24"/>
          <w:lang w:eastAsia="zh-CN"/>
        </w:rPr>
        <w:t xml:space="preserve">any hampering of </w:t>
      </w:r>
      <w:r w:rsidR="00B7147F" w:rsidRPr="007509E8">
        <w:rPr>
          <w:rFonts w:eastAsia="SimSun" w:cstheme="minorHAnsi"/>
          <w:noProof/>
          <w:sz w:val="24"/>
          <w:szCs w:val="24"/>
          <w:lang w:eastAsia="zh-CN"/>
        </w:rPr>
        <w:t>innovation</w:t>
      </w:r>
      <w:r w:rsidR="00897F52" w:rsidRPr="007509E8">
        <w:rPr>
          <w:rFonts w:eastAsia="SimSun" w:cstheme="minorHAnsi"/>
          <w:noProof/>
          <w:sz w:val="24"/>
          <w:szCs w:val="24"/>
          <w:lang w:eastAsia="zh-CN"/>
        </w:rPr>
        <w:t>,</w:t>
      </w:r>
      <w:r w:rsidR="00B7147F" w:rsidRPr="007509E8">
        <w:rPr>
          <w:rFonts w:eastAsia="SimSun" w:cstheme="minorHAnsi"/>
          <w:noProof/>
          <w:sz w:val="24"/>
          <w:szCs w:val="24"/>
          <w:lang w:eastAsia="zh-CN"/>
        </w:rPr>
        <w:t xml:space="preserve"> </w:t>
      </w:r>
      <w:r w:rsidR="00897F52" w:rsidRPr="007509E8">
        <w:rPr>
          <w:rFonts w:eastAsia="SimSun" w:cstheme="minorHAnsi"/>
          <w:noProof/>
          <w:sz w:val="24"/>
          <w:szCs w:val="24"/>
          <w:lang w:eastAsia="zh-CN"/>
        </w:rPr>
        <w:t xml:space="preserve">identified under Economic Impacts above, would have negative consequences for consumers in terms of </w:t>
      </w:r>
      <w:r w:rsidR="00935DF5" w:rsidRPr="007509E8">
        <w:rPr>
          <w:rFonts w:eastAsia="SimSun" w:cstheme="minorHAnsi"/>
          <w:noProof/>
          <w:sz w:val="24"/>
          <w:szCs w:val="24"/>
          <w:lang w:eastAsia="zh-CN"/>
        </w:rPr>
        <w:t xml:space="preserve">potentially higher prices and </w:t>
      </w:r>
      <w:r w:rsidR="00897F52" w:rsidRPr="007509E8">
        <w:rPr>
          <w:rFonts w:eastAsia="SimSun" w:cstheme="minorHAnsi"/>
          <w:noProof/>
          <w:sz w:val="24"/>
          <w:szCs w:val="24"/>
          <w:lang w:eastAsia="zh-CN"/>
        </w:rPr>
        <w:t>reduced access to innovative products.</w:t>
      </w:r>
      <w:r w:rsidR="00402CDB">
        <w:rPr>
          <w:rFonts w:eastAsia="SimSun" w:cstheme="minorHAnsi"/>
          <w:noProof/>
          <w:sz w:val="24"/>
          <w:szCs w:val="24"/>
          <w:lang w:eastAsia="zh-CN"/>
        </w:rPr>
        <w:t xml:space="preserve"> </w:t>
      </w:r>
      <w:r w:rsidR="00B6488C" w:rsidRPr="007509E8">
        <w:rPr>
          <w:rFonts w:eastAsia="SimSun" w:cstheme="minorHAnsi"/>
          <w:noProof/>
          <w:sz w:val="24"/>
          <w:szCs w:val="24"/>
          <w:lang w:eastAsia="zh-CN"/>
        </w:rPr>
        <w:t>The position of consumers would also be improved by extending producers’ liability to 15 years for any personal injury claim and by</w:t>
      </w:r>
      <w:r w:rsidR="00B6488C">
        <w:rPr>
          <w:rFonts w:eastAsia="SimSun" w:cstheme="minorHAnsi"/>
          <w:noProof/>
          <w:sz w:val="24"/>
          <w:szCs w:val="24"/>
          <w:lang w:eastAsia="zh-CN"/>
        </w:rPr>
        <w:t xml:space="preserve"> giving victims of harm 5 years to start legal proceedings.</w:t>
      </w:r>
    </w:p>
    <w:p w14:paraId="697E2ACC" w14:textId="5581219A" w:rsidR="00501996" w:rsidRDefault="00501996" w:rsidP="00501996">
      <w:pPr>
        <w:spacing w:after="240" w:line="240" w:lineRule="auto"/>
        <w:jc w:val="both"/>
        <w:rPr>
          <w:noProof/>
          <w:sz w:val="24"/>
          <w:szCs w:val="24"/>
        </w:rPr>
      </w:pPr>
      <w:r>
        <w:rPr>
          <w:noProof/>
          <w:sz w:val="24"/>
          <w:szCs w:val="24"/>
        </w:rPr>
        <w:t>PO2a would increase the overall annual number of in-court and out-of-court cases under the PLD in the EU27 by 5%</w:t>
      </w:r>
      <w:r>
        <w:rPr>
          <w:rStyle w:val="FootnoteReference"/>
          <w:noProof/>
          <w:sz w:val="24"/>
          <w:szCs w:val="24"/>
        </w:rPr>
        <w:footnoteReference w:id="248"/>
      </w:r>
      <w:r>
        <w:rPr>
          <w:noProof/>
          <w:sz w:val="24"/>
          <w:szCs w:val="24"/>
        </w:rPr>
        <w:t xml:space="preserve"> due to reducing restrictions on making claims, but, more significantly, would increase by 1</w:t>
      </w:r>
      <w:r w:rsidR="00B1658C">
        <w:rPr>
          <w:noProof/>
          <w:sz w:val="24"/>
          <w:szCs w:val="24"/>
        </w:rPr>
        <w:t>2</w:t>
      </w:r>
      <w:r>
        <w:rPr>
          <w:noProof/>
          <w:sz w:val="24"/>
          <w:szCs w:val="24"/>
        </w:rPr>
        <w:t xml:space="preserve">% the number of </w:t>
      </w:r>
      <w:r w:rsidRPr="00501996">
        <w:rPr>
          <w:noProof/>
          <w:sz w:val="24"/>
          <w:szCs w:val="24"/>
        </w:rPr>
        <w:t>claims that successfully lead to compensation due to</w:t>
      </w:r>
      <w:r>
        <w:rPr>
          <w:noProof/>
          <w:sz w:val="24"/>
          <w:szCs w:val="24"/>
        </w:rPr>
        <w:t xml:space="preserve"> the reversal of</w:t>
      </w:r>
      <w:r w:rsidRPr="00EF5701">
        <w:rPr>
          <w:rFonts w:eastAsia="SimSun" w:cstheme="minorHAnsi"/>
          <w:noProof/>
          <w:sz w:val="24"/>
          <w:szCs w:val="24"/>
          <w:lang w:eastAsia="zh-CN"/>
        </w:rPr>
        <w:t xml:space="preserve"> the burden of proof</w:t>
      </w:r>
      <w:r w:rsidRPr="00501996">
        <w:rPr>
          <w:noProof/>
          <w:sz w:val="24"/>
          <w:szCs w:val="24"/>
        </w:rPr>
        <w:t xml:space="preserve">. </w:t>
      </w:r>
      <w:r>
        <w:rPr>
          <w:noProof/>
          <w:sz w:val="24"/>
          <w:szCs w:val="24"/>
        </w:rPr>
        <w:t xml:space="preserve">The measure would not affect the average compensation pay-outs to victims. </w:t>
      </w:r>
    </w:p>
    <w:p w14:paraId="61B101E4" w14:textId="0CF4F4A8" w:rsidR="006B4575" w:rsidRDefault="00501996" w:rsidP="001E1DE0">
      <w:pPr>
        <w:pBdr>
          <w:top w:val="single" w:sz="4" w:space="1" w:color="auto"/>
          <w:left w:val="single" w:sz="4" w:space="4" w:color="auto"/>
          <w:bottom w:val="single" w:sz="4" w:space="1" w:color="auto"/>
          <w:right w:val="single" w:sz="4" w:space="4" w:color="auto"/>
        </w:pBdr>
        <w:spacing w:after="240" w:line="240" w:lineRule="auto"/>
        <w:jc w:val="both"/>
        <w:rPr>
          <w:noProof/>
          <w:sz w:val="24"/>
          <w:szCs w:val="24"/>
        </w:rPr>
      </w:pPr>
      <w:r w:rsidRPr="008E2E0F">
        <w:rPr>
          <w:noProof/>
          <w:sz w:val="24"/>
          <w:szCs w:val="24"/>
        </w:rPr>
        <w:t>U</w:t>
      </w:r>
      <w:r>
        <w:rPr>
          <w:noProof/>
          <w:sz w:val="24"/>
          <w:szCs w:val="24"/>
        </w:rPr>
        <w:t>nder PO2b</w:t>
      </w:r>
      <w:r w:rsidRPr="008E2E0F">
        <w:rPr>
          <w:noProof/>
          <w:sz w:val="24"/>
          <w:szCs w:val="24"/>
        </w:rPr>
        <w:t xml:space="preserve">, the </w:t>
      </w:r>
      <w:r>
        <w:rPr>
          <w:noProof/>
          <w:sz w:val="24"/>
          <w:szCs w:val="24"/>
        </w:rPr>
        <w:t xml:space="preserve">total </w:t>
      </w:r>
      <w:r w:rsidRPr="00150C16">
        <w:rPr>
          <w:b/>
          <w:noProof/>
          <w:sz w:val="24"/>
          <w:szCs w:val="24"/>
        </w:rPr>
        <w:t xml:space="preserve">annual </w:t>
      </w:r>
      <w:r>
        <w:rPr>
          <w:b/>
          <w:noProof/>
          <w:sz w:val="24"/>
          <w:szCs w:val="24"/>
        </w:rPr>
        <w:t xml:space="preserve">compensations paid to victims </w:t>
      </w:r>
      <w:r w:rsidRPr="008E2E0F">
        <w:rPr>
          <w:noProof/>
          <w:sz w:val="24"/>
          <w:szCs w:val="24"/>
        </w:rPr>
        <w:t xml:space="preserve">are </w:t>
      </w:r>
      <w:r>
        <w:rPr>
          <w:noProof/>
          <w:sz w:val="24"/>
          <w:szCs w:val="24"/>
        </w:rPr>
        <w:t>assessed</w:t>
      </w:r>
      <w:r w:rsidRPr="00AB52F8">
        <w:rPr>
          <w:noProof/>
        </w:rPr>
        <w:t xml:space="preserve"> </w:t>
      </w:r>
      <w:r w:rsidRPr="00AB52F8">
        <w:rPr>
          <w:noProof/>
          <w:sz w:val="24"/>
          <w:szCs w:val="24"/>
        </w:rPr>
        <w:t xml:space="preserve">to increase incrementally compared to the baseline, with </w:t>
      </w:r>
      <w:r>
        <w:rPr>
          <w:noProof/>
          <w:sz w:val="24"/>
          <w:szCs w:val="24"/>
        </w:rPr>
        <w:t xml:space="preserve">an increase ranging between </w:t>
      </w:r>
      <w:r w:rsidR="00BC7222">
        <w:rPr>
          <w:noProof/>
          <w:sz w:val="24"/>
          <w:szCs w:val="24"/>
        </w:rPr>
        <w:t>0.</w:t>
      </w:r>
      <w:r w:rsidR="008573B2">
        <w:rPr>
          <w:noProof/>
          <w:sz w:val="24"/>
          <w:szCs w:val="24"/>
        </w:rPr>
        <w:t>99</w:t>
      </w:r>
      <w:r w:rsidRPr="00AB52F8">
        <w:rPr>
          <w:noProof/>
          <w:sz w:val="24"/>
          <w:szCs w:val="24"/>
        </w:rPr>
        <w:t xml:space="preserve"> and </w:t>
      </w:r>
      <w:r w:rsidR="008573B2">
        <w:rPr>
          <w:noProof/>
          <w:sz w:val="24"/>
          <w:szCs w:val="24"/>
        </w:rPr>
        <w:t>217.70</w:t>
      </w:r>
      <w:r w:rsidRPr="00AB52F8">
        <w:rPr>
          <w:noProof/>
          <w:sz w:val="24"/>
          <w:szCs w:val="24"/>
        </w:rPr>
        <w:t xml:space="preserve"> EUR million</w:t>
      </w:r>
      <w:r w:rsidRPr="008E2E0F">
        <w:rPr>
          <w:noProof/>
          <w:sz w:val="24"/>
          <w:szCs w:val="24"/>
        </w:rPr>
        <w:t>.</w:t>
      </w:r>
      <w:r>
        <w:rPr>
          <w:noProof/>
          <w:sz w:val="24"/>
          <w:szCs w:val="24"/>
        </w:rPr>
        <w:t xml:space="preserve"> </w:t>
      </w:r>
    </w:p>
    <w:p w14:paraId="458EDED8" w14:textId="77777777" w:rsidR="00EF5701" w:rsidRPr="00EF5701" w:rsidRDefault="00EF5701" w:rsidP="00DD3B24">
      <w:pPr>
        <w:pStyle w:val="ListParagraph"/>
        <w:numPr>
          <w:ilvl w:val="0"/>
          <w:numId w:val="19"/>
        </w:numPr>
        <w:spacing w:after="120"/>
        <w:jc w:val="both"/>
        <w:rPr>
          <w:b/>
          <w:noProof/>
          <w:sz w:val="24"/>
          <w:szCs w:val="24"/>
        </w:rPr>
      </w:pPr>
      <w:r w:rsidRPr="00EF5701">
        <w:rPr>
          <w:b/>
          <w:noProof/>
          <w:sz w:val="24"/>
          <w:szCs w:val="24"/>
        </w:rPr>
        <w:t xml:space="preserve">Impacts on employment and fundamental rights </w:t>
      </w:r>
    </w:p>
    <w:p w14:paraId="1507D4CB" w14:textId="429D2835" w:rsidR="00EF5701" w:rsidRPr="00EF5701" w:rsidRDefault="006D158A" w:rsidP="00EF5701">
      <w:pPr>
        <w:spacing w:after="240" w:line="240" w:lineRule="auto"/>
        <w:jc w:val="both"/>
        <w:rPr>
          <w:rFonts w:cstheme="minorHAnsi"/>
          <w:bCs/>
          <w:noProof/>
          <w:color w:val="242424"/>
          <w:sz w:val="24"/>
          <w:szCs w:val="24"/>
          <w:shd w:val="clear" w:color="auto" w:fill="FFFFFF"/>
        </w:rPr>
      </w:pPr>
      <w:r>
        <w:rPr>
          <w:noProof/>
          <w:sz w:val="24"/>
          <w:szCs w:val="24"/>
        </w:rPr>
        <w:t>PO2</w:t>
      </w:r>
      <w:r w:rsidR="00A61CCF">
        <w:rPr>
          <w:noProof/>
          <w:sz w:val="24"/>
          <w:szCs w:val="24"/>
        </w:rPr>
        <w:t xml:space="preserve">b should not have any </w:t>
      </w:r>
      <w:r w:rsidR="00A61CCF" w:rsidRPr="0039114B">
        <w:rPr>
          <w:noProof/>
          <w:sz w:val="24"/>
          <w:szCs w:val="24"/>
        </w:rPr>
        <w:t xml:space="preserve">impact </w:t>
      </w:r>
      <w:r w:rsidR="00A61CCF">
        <w:rPr>
          <w:noProof/>
          <w:sz w:val="24"/>
          <w:szCs w:val="24"/>
        </w:rPr>
        <w:t>on</w:t>
      </w:r>
      <w:r w:rsidR="00A61CCF" w:rsidRPr="0039114B">
        <w:rPr>
          <w:noProof/>
          <w:sz w:val="24"/>
          <w:szCs w:val="24"/>
        </w:rPr>
        <w:t xml:space="preserve"> </w:t>
      </w:r>
      <w:r w:rsidR="00A61CCF">
        <w:rPr>
          <w:noProof/>
          <w:sz w:val="24"/>
          <w:szCs w:val="24"/>
        </w:rPr>
        <w:t xml:space="preserve">employment or </w:t>
      </w:r>
      <w:r w:rsidR="00A61CCF" w:rsidRPr="0039114B">
        <w:rPr>
          <w:noProof/>
          <w:sz w:val="24"/>
          <w:szCs w:val="24"/>
        </w:rPr>
        <w:t>fundamental rights.</w:t>
      </w:r>
    </w:p>
    <w:p w14:paraId="687B3ECB" w14:textId="77777777" w:rsidR="00EF5701" w:rsidRPr="00EF5701" w:rsidRDefault="00EF5701" w:rsidP="00EF5701">
      <w:pPr>
        <w:spacing w:after="240" w:line="240" w:lineRule="auto"/>
        <w:jc w:val="both"/>
        <w:rPr>
          <w:rFonts w:cstheme="minorHAnsi"/>
          <w:b/>
          <w:bCs/>
          <w:noProof/>
          <w:color w:val="242424"/>
          <w:sz w:val="24"/>
          <w:szCs w:val="24"/>
          <w:u w:val="single"/>
          <w:shd w:val="clear" w:color="auto" w:fill="FFFFFF"/>
        </w:rPr>
      </w:pPr>
      <w:r w:rsidRPr="00EF5701">
        <w:rPr>
          <w:rFonts w:cstheme="minorHAnsi"/>
          <w:b/>
          <w:bCs/>
          <w:noProof/>
          <w:color w:val="242424"/>
          <w:sz w:val="24"/>
          <w:szCs w:val="24"/>
          <w:u w:val="single"/>
          <w:shd w:val="clear" w:color="auto" w:fill="FFFFFF"/>
        </w:rPr>
        <w:t>Environmental impacts</w:t>
      </w:r>
    </w:p>
    <w:p w14:paraId="5B7FE592" w14:textId="66121809" w:rsidR="00377A5E" w:rsidRPr="00EF5701" w:rsidRDefault="00EF5701" w:rsidP="00EF5701">
      <w:pPr>
        <w:spacing w:after="240" w:line="240" w:lineRule="auto"/>
        <w:jc w:val="both"/>
        <w:rPr>
          <w:rFonts w:cstheme="minorHAnsi"/>
          <w:bCs/>
          <w:noProof/>
          <w:color w:val="242424"/>
          <w:sz w:val="24"/>
          <w:szCs w:val="24"/>
          <w:shd w:val="clear" w:color="auto" w:fill="FFFFFF"/>
        </w:rPr>
      </w:pPr>
      <w:r w:rsidRPr="00EF5701">
        <w:rPr>
          <w:rFonts w:cstheme="minorHAnsi"/>
          <w:bCs/>
          <w:noProof/>
          <w:color w:val="242424"/>
          <w:sz w:val="24"/>
          <w:szCs w:val="24"/>
          <w:shd w:val="clear" w:color="auto" w:fill="FFFFFF"/>
        </w:rPr>
        <w:t xml:space="preserve">A reversal of the burden of proof could </w:t>
      </w:r>
      <w:r w:rsidR="00780381">
        <w:rPr>
          <w:rFonts w:cstheme="minorHAnsi"/>
          <w:bCs/>
          <w:noProof/>
          <w:color w:val="242424"/>
          <w:sz w:val="24"/>
          <w:szCs w:val="24"/>
          <w:shd w:val="clear" w:color="auto" w:fill="FFFFFF"/>
        </w:rPr>
        <w:t xml:space="preserve">potentially </w:t>
      </w:r>
      <w:r w:rsidRPr="00EF5701">
        <w:rPr>
          <w:rFonts w:cstheme="minorHAnsi"/>
          <w:bCs/>
          <w:noProof/>
          <w:color w:val="242424"/>
          <w:sz w:val="24"/>
          <w:szCs w:val="24"/>
          <w:shd w:val="clear" w:color="auto" w:fill="FFFFFF"/>
        </w:rPr>
        <w:t>facilitate the development of safer complex products that are less likely to malfunction,</w:t>
      </w:r>
      <w:r w:rsidR="00A05359">
        <w:rPr>
          <w:rFonts w:cstheme="minorHAnsi"/>
          <w:bCs/>
          <w:noProof/>
          <w:color w:val="242424"/>
          <w:sz w:val="24"/>
          <w:szCs w:val="24"/>
          <w:shd w:val="clear" w:color="auto" w:fill="FFFFFF"/>
        </w:rPr>
        <w:t xml:space="preserve"> and therefore to be replaced. </w:t>
      </w:r>
    </w:p>
    <w:p w14:paraId="26C6140F" w14:textId="074B1820" w:rsidR="006B087E" w:rsidRDefault="002E7937" w:rsidP="002E7937">
      <w:pPr>
        <w:pStyle w:val="Heading1"/>
        <w:rPr>
          <w:noProof/>
        </w:rPr>
      </w:pPr>
      <w:bookmarkStart w:id="590" w:name="_Toc93401451"/>
      <w:bookmarkStart w:id="591" w:name="_Toc94005548"/>
      <w:bookmarkStart w:id="592" w:name="_Toc95379882"/>
      <w:bookmarkStart w:id="593" w:name="_Toc95391373"/>
      <w:bookmarkStart w:id="594" w:name="_Toc95396442"/>
      <w:bookmarkStart w:id="595" w:name="_Toc95421540"/>
      <w:bookmarkStart w:id="596" w:name="_Toc95481987"/>
      <w:bookmarkStart w:id="597" w:name="_Toc96337779"/>
      <w:bookmarkStart w:id="598" w:name="_Toc96446259"/>
      <w:bookmarkStart w:id="599" w:name="_Toc96448031"/>
      <w:bookmarkStart w:id="600" w:name="_Toc96593980"/>
      <w:bookmarkStart w:id="601" w:name="_Toc96597271"/>
      <w:bookmarkStart w:id="602" w:name="_Toc96609206"/>
      <w:bookmarkStart w:id="603" w:name="_Toc97149235"/>
      <w:bookmarkStart w:id="604" w:name="_Toc97191281"/>
      <w:bookmarkStart w:id="605" w:name="_Toc107430091"/>
      <w:r w:rsidRPr="002E7937">
        <w:t>7.</w:t>
      </w:r>
      <w:r w:rsidRPr="002E7937">
        <w:tab/>
      </w:r>
      <w:r w:rsidR="006B087E">
        <w:rPr>
          <w:noProof/>
        </w:rPr>
        <w:t>How do the options compare?</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51EA7EAF" w14:textId="2C3BA58F" w:rsidR="000634FE" w:rsidRDefault="002E7937" w:rsidP="002E7937">
      <w:pPr>
        <w:pStyle w:val="Heading2"/>
        <w:rPr>
          <w:noProof/>
        </w:rPr>
      </w:pPr>
      <w:bookmarkStart w:id="606" w:name="_Toc95379883"/>
      <w:bookmarkStart w:id="607" w:name="_Toc95391374"/>
      <w:bookmarkStart w:id="608" w:name="_Toc95396443"/>
      <w:bookmarkStart w:id="609" w:name="_Toc95421541"/>
      <w:bookmarkStart w:id="610" w:name="_Toc95481988"/>
      <w:bookmarkStart w:id="611" w:name="_Toc96337780"/>
      <w:bookmarkStart w:id="612" w:name="_Toc96446260"/>
      <w:bookmarkStart w:id="613" w:name="_Toc96448032"/>
      <w:bookmarkStart w:id="614" w:name="_Toc96593981"/>
      <w:bookmarkStart w:id="615" w:name="_Toc96597272"/>
      <w:bookmarkStart w:id="616" w:name="_Toc96609207"/>
      <w:bookmarkStart w:id="617" w:name="_Toc97149236"/>
      <w:bookmarkStart w:id="618" w:name="_Toc97191282"/>
      <w:bookmarkStart w:id="619" w:name="_Toc107430092"/>
      <w:bookmarkStart w:id="620" w:name="_Toc94837830"/>
      <w:r w:rsidRPr="002E7937">
        <w:t>7.1.</w:t>
      </w:r>
      <w:r w:rsidRPr="002E7937">
        <w:tab/>
      </w:r>
      <w:r w:rsidR="00730F47">
        <w:rPr>
          <w:noProof/>
        </w:rPr>
        <w:t>Effectiveness of the proposed policy options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bookmarkEnd w:id="620"/>
    <w:p w14:paraId="528D2FA8" w14:textId="5EA844B4" w:rsidR="00E86967" w:rsidRDefault="00E86967" w:rsidP="00E86967">
      <w:pPr>
        <w:spacing w:after="240" w:line="240" w:lineRule="auto"/>
        <w:jc w:val="both"/>
        <w:rPr>
          <w:rFonts w:cstheme="minorHAnsi"/>
          <w:bCs/>
          <w:noProof/>
          <w:color w:val="242424"/>
          <w:sz w:val="24"/>
          <w:szCs w:val="24"/>
          <w:shd w:val="clear" w:color="auto" w:fill="FFFFFF"/>
        </w:rPr>
      </w:pPr>
      <w:r>
        <w:rPr>
          <w:rFonts w:cstheme="minorHAnsi"/>
          <w:bCs/>
          <w:noProof/>
          <w:color w:val="242424"/>
          <w:sz w:val="24"/>
          <w:szCs w:val="24"/>
          <w:shd w:val="clear" w:color="auto" w:fill="FFFFFF"/>
        </w:rPr>
        <w:t>The following tables</w:t>
      </w:r>
      <w:r w:rsidRPr="00E86967">
        <w:rPr>
          <w:rFonts w:cstheme="minorHAnsi"/>
          <w:bCs/>
          <w:noProof/>
          <w:color w:val="242424"/>
          <w:sz w:val="24"/>
          <w:szCs w:val="24"/>
          <w:shd w:val="clear" w:color="auto" w:fill="FFFFFF"/>
        </w:rPr>
        <w:t xml:space="preserve"> present the effectiveness of the proposed options against the relevant specific objectives.</w:t>
      </w:r>
    </w:p>
    <w:p w14:paraId="150D26C5" w14:textId="18AED808" w:rsidR="00C822A2" w:rsidRDefault="00361423" w:rsidP="00361423">
      <w:pPr>
        <w:pStyle w:val="Caption"/>
        <w:spacing w:after="0"/>
        <w:rPr>
          <w:noProof/>
          <w:color w:val="auto"/>
          <w:sz w:val="24"/>
          <w:szCs w:val="24"/>
          <w:lang w:val="en-IE"/>
        </w:rPr>
      </w:pPr>
      <w:r w:rsidRPr="00361423">
        <w:rPr>
          <w:noProof/>
          <w:color w:val="auto"/>
          <w:sz w:val="24"/>
          <w:szCs w:val="24"/>
        </w:rPr>
        <w:t xml:space="preserve">Table </w:t>
      </w:r>
      <w:r w:rsidRPr="00361423">
        <w:rPr>
          <w:noProof/>
          <w:color w:val="auto"/>
          <w:sz w:val="24"/>
          <w:szCs w:val="24"/>
        </w:rPr>
        <w:fldChar w:fldCharType="begin"/>
      </w:r>
      <w:r w:rsidRPr="00361423">
        <w:rPr>
          <w:noProof/>
          <w:color w:val="auto"/>
          <w:sz w:val="24"/>
          <w:szCs w:val="24"/>
        </w:rPr>
        <w:instrText xml:space="preserve"> SEQ Table \* ARABIC </w:instrText>
      </w:r>
      <w:r w:rsidRPr="00361423">
        <w:rPr>
          <w:noProof/>
          <w:color w:val="auto"/>
          <w:sz w:val="24"/>
          <w:szCs w:val="24"/>
        </w:rPr>
        <w:fldChar w:fldCharType="separate"/>
      </w:r>
      <w:r w:rsidR="00BC2C3A">
        <w:rPr>
          <w:noProof/>
          <w:color w:val="auto"/>
          <w:sz w:val="24"/>
          <w:szCs w:val="24"/>
        </w:rPr>
        <w:t>3</w:t>
      </w:r>
      <w:r w:rsidRPr="00361423">
        <w:rPr>
          <w:noProof/>
          <w:color w:val="auto"/>
          <w:sz w:val="24"/>
          <w:szCs w:val="24"/>
        </w:rPr>
        <w:fldChar w:fldCharType="end"/>
      </w:r>
      <w:r>
        <w:rPr>
          <w:noProof/>
          <w:color w:val="auto"/>
          <w:sz w:val="24"/>
          <w:szCs w:val="24"/>
        </w:rPr>
        <w:t xml:space="preserve">: </w:t>
      </w:r>
      <w:r w:rsidR="00C822A2" w:rsidRPr="00361423">
        <w:rPr>
          <w:noProof/>
          <w:color w:val="auto"/>
          <w:sz w:val="24"/>
          <w:szCs w:val="24"/>
          <w:lang w:val="en-IE"/>
        </w:rPr>
        <w:t xml:space="preserve">Effectiveness of policy options to adapt the PLD to the </w:t>
      </w:r>
      <w:r w:rsidR="003E793D" w:rsidRPr="00361423">
        <w:rPr>
          <w:noProof/>
          <w:color w:val="auto"/>
          <w:sz w:val="24"/>
          <w:szCs w:val="24"/>
          <w:lang w:val="en-IE"/>
        </w:rPr>
        <w:t>d</w:t>
      </w:r>
      <w:r w:rsidR="00C822A2" w:rsidRPr="00361423">
        <w:rPr>
          <w:noProof/>
          <w:color w:val="auto"/>
          <w:sz w:val="24"/>
          <w:szCs w:val="24"/>
          <w:lang w:val="en-IE"/>
        </w:rPr>
        <w:t xml:space="preserve">igital age and </w:t>
      </w:r>
      <w:r w:rsidR="003E793D" w:rsidRPr="00361423">
        <w:rPr>
          <w:noProof/>
          <w:color w:val="auto"/>
          <w:sz w:val="24"/>
          <w:szCs w:val="24"/>
          <w:lang w:val="en-IE"/>
        </w:rPr>
        <w:t>c</w:t>
      </w:r>
      <w:r w:rsidR="00C822A2" w:rsidRPr="00361423">
        <w:rPr>
          <w:noProof/>
          <w:color w:val="auto"/>
          <w:sz w:val="24"/>
          <w:szCs w:val="24"/>
          <w:lang w:val="en-IE"/>
        </w:rPr>
        <w:t>ircular economy</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59"/>
        <w:gridCol w:w="2226"/>
        <w:gridCol w:w="2551"/>
        <w:gridCol w:w="2263"/>
        <w:gridCol w:w="935"/>
      </w:tblGrid>
      <w:tr w:rsidR="00434B93" w:rsidRPr="007723D3" w14:paraId="705E2FE1" w14:textId="4C9D23F8" w:rsidTr="00434B93">
        <w:trPr>
          <w:trHeight w:val="547"/>
          <w:tblHeader/>
        </w:trPr>
        <w:tc>
          <w:tcPr>
            <w:tcW w:w="486" w:type="pct"/>
            <w:shd w:val="clear" w:color="000000" w:fill="002060"/>
            <w:noWrap/>
            <w:hideMark/>
          </w:tcPr>
          <w:p w14:paraId="39CCA17F" w14:textId="77777777" w:rsidR="00434B93" w:rsidRPr="002F51CF" w:rsidRDefault="00434B93" w:rsidP="008C4C6B">
            <w:pPr>
              <w:spacing w:after="0" w:line="240" w:lineRule="auto"/>
              <w:jc w:val="center"/>
              <w:rPr>
                <w:rFonts w:cs="Times New Roman"/>
                <w:b/>
                <w:bCs/>
                <w:noProof/>
                <w:color w:val="FFFFFF"/>
                <w:sz w:val="20"/>
                <w:szCs w:val="18"/>
              </w:rPr>
            </w:pPr>
          </w:p>
        </w:tc>
        <w:tc>
          <w:tcPr>
            <w:tcW w:w="1260" w:type="pct"/>
            <w:shd w:val="clear" w:color="000000" w:fill="002060"/>
            <w:noWrap/>
            <w:hideMark/>
          </w:tcPr>
          <w:p w14:paraId="7A5C4AE4" w14:textId="0B5DC868" w:rsidR="00434B93" w:rsidRPr="002F51CF" w:rsidRDefault="00434B93" w:rsidP="008C4C6B">
            <w:pPr>
              <w:spacing w:after="0" w:line="240" w:lineRule="auto"/>
              <w:jc w:val="center"/>
              <w:rPr>
                <w:rFonts w:cs="Times New Roman"/>
                <w:b/>
                <w:bCs/>
                <w:noProof/>
                <w:color w:val="FFFFFF"/>
                <w:sz w:val="20"/>
                <w:szCs w:val="18"/>
              </w:rPr>
            </w:pPr>
            <w:r w:rsidRPr="00361423">
              <w:rPr>
                <w:b/>
                <w:bCs/>
                <w:noProof/>
                <w:sz w:val="18"/>
              </w:rPr>
              <w:t>Objective 1: Adapt PLD to reflect nature and risks of products in the digital age</w:t>
            </w:r>
          </w:p>
        </w:tc>
        <w:tc>
          <w:tcPr>
            <w:tcW w:w="1444" w:type="pct"/>
            <w:shd w:val="clear" w:color="000000" w:fill="002060"/>
            <w:noWrap/>
            <w:hideMark/>
          </w:tcPr>
          <w:p w14:paraId="41B21127" w14:textId="5E04D5B9" w:rsidR="00434B93" w:rsidRPr="002F51CF" w:rsidRDefault="00434B93" w:rsidP="008C4C6B">
            <w:pPr>
              <w:spacing w:after="0" w:line="240" w:lineRule="auto"/>
              <w:jc w:val="center"/>
              <w:rPr>
                <w:rFonts w:cs="Times New Roman"/>
                <w:b/>
                <w:bCs/>
                <w:noProof/>
                <w:color w:val="FFFFFF"/>
                <w:sz w:val="20"/>
                <w:szCs w:val="18"/>
              </w:rPr>
            </w:pPr>
            <w:r w:rsidRPr="00361423">
              <w:rPr>
                <w:b/>
                <w:bCs/>
                <w:noProof/>
                <w:sz w:val="18"/>
              </w:rPr>
              <w:t>Objective 2: Adapt the PLD to reflect the nature of products in the circular economy</w:t>
            </w:r>
          </w:p>
        </w:tc>
        <w:tc>
          <w:tcPr>
            <w:tcW w:w="1280" w:type="pct"/>
            <w:shd w:val="clear" w:color="000000" w:fill="002060"/>
            <w:noWrap/>
            <w:hideMark/>
          </w:tcPr>
          <w:p w14:paraId="6748D69D" w14:textId="4C3916DA" w:rsidR="00434B93" w:rsidRPr="002F51CF" w:rsidRDefault="00434B93" w:rsidP="008C4C6B">
            <w:pPr>
              <w:spacing w:after="0" w:line="240" w:lineRule="auto"/>
              <w:jc w:val="center"/>
              <w:rPr>
                <w:rFonts w:cs="Times New Roman"/>
                <w:b/>
                <w:bCs/>
                <w:noProof/>
                <w:color w:val="FFFFFF"/>
                <w:sz w:val="20"/>
                <w:szCs w:val="18"/>
              </w:rPr>
            </w:pPr>
            <w:r w:rsidRPr="00361423">
              <w:rPr>
                <w:b/>
                <w:bCs/>
                <w:noProof/>
                <w:sz w:val="18"/>
              </w:rPr>
              <w:t>Objective 3: Ensure there is always an EU-based liable person for defective products bought in the EU</w:t>
            </w:r>
          </w:p>
        </w:tc>
        <w:tc>
          <w:tcPr>
            <w:tcW w:w="529" w:type="pct"/>
            <w:shd w:val="clear" w:color="000000" w:fill="002060"/>
          </w:tcPr>
          <w:p w14:paraId="4379BE74" w14:textId="4E4F0416" w:rsidR="00434B93" w:rsidRPr="00CD3B7A" w:rsidRDefault="00434B93" w:rsidP="008C4C6B">
            <w:pPr>
              <w:spacing w:after="0" w:line="240" w:lineRule="auto"/>
              <w:jc w:val="center"/>
              <w:rPr>
                <w:rFonts w:cs="Times New Roman"/>
                <w:b/>
                <w:bCs/>
                <w:noProof/>
                <w:color w:val="FFFFFF"/>
                <w:sz w:val="20"/>
                <w:szCs w:val="18"/>
              </w:rPr>
            </w:pPr>
            <w:r w:rsidRPr="00CD3B7A">
              <w:rPr>
                <w:rFonts w:cs="Times New Roman"/>
                <w:b/>
                <w:bCs/>
                <w:noProof/>
                <w:color w:val="FFFFFF"/>
                <w:sz w:val="20"/>
                <w:szCs w:val="18"/>
              </w:rPr>
              <w:t>Net effect</w:t>
            </w:r>
          </w:p>
        </w:tc>
      </w:tr>
      <w:tr w:rsidR="00434B93" w:rsidRPr="007723D3" w14:paraId="6F70D3DF" w14:textId="308C4E6B" w:rsidTr="00434B93">
        <w:trPr>
          <w:trHeight w:val="20"/>
        </w:trPr>
        <w:tc>
          <w:tcPr>
            <w:tcW w:w="486" w:type="pct"/>
            <w:shd w:val="clear" w:color="auto" w:fill="DBDBE0"/>
            <w:noWrap/>
            <w:hideMark/>
          </w:tcPr>
          <w:p w14:paraId="685FCBB0" w14:textId="77777777" w:rsidR="00434B93" w:rsidRPr="007723D3" w:rsidRDefault="00434B93" w:rsidP="008C4C6B">
            <w:pPr>
              <w:spacing w:after="0" w:line="240" w:lineRule="auto"/>
              <w:rPr>
                <w:rFonts w:cs="Times New Roman"/>
                <w:b/>
                <w:bCs/>
                <w:noProof/>
                <w:color w:val="002060"/>
                <w:sz w:val="18"/>
                <w:szCs w:val="18"/>
              </w:rPr>
            </w:pPr>
            <w:r>
              <w:rPr>
                <w:rFonts w:cs="Calibri"/>
                <w:b/>
                <w:bCs/>
                <w:noProof/>
                <w:color w:val="002060"/>
                <w:sz w:val="18"/>
              </w:rPr>
              <w:t>Baseline</w:t>
            </w:r>
          </w:p>
        </w:tc>
        <w:tc>
          <w:tcPr>
            <w:tcW w:w="3985" w:type="pct"/>
            <w:gridSpan w:val="3"/>
            <w:shd w:val="clear" w:color="auto" w:fill="DBDBE0"/>
            <w:noWrap/>
            <w:hideMark/>
          </w:tcPr>
          <w:p w14:paraId="3E161001" w14:textId="77777777" w:rsidR="00434B93" w:rsidRPr="00434B93" w:rsidRDefault="00434B93" w:rsidP="008C4C6B">
            <w:pPr>
              <w:spacing w:after="0" w:line="240" w:lineRule="auto"/>
              <w:jc w:val="center"/>
              <w:rPr>
                <w:rFonts w:cs="Times New Roman"/>
                <w:noProof/>
                <w:color w:val="000000"/>
                <w:sz w:val="18"/>
                <w:szCs w:val="18"/>
              </w:rPr>
            </w:pPr>
            <w:r w:rsidRPr="00434B93">
              <w:rPr>
                <w:rFonts w:cs="Calibri"/>
                <w:noProof/>
                <w:color w:val="000000"/>
                <w:sz w:val="18"/>
                <w:szCs w:val="18"/>
              </w:rPr>
              <w:t>0</w:t>
            </w:r>
          </w:p>
        </w:tc>
        <w:tc>
          <w:tcPr>
            <w:tcW w:w="529" w:type="pct"/>
            <w:shd w:val="clear" w:color="auto" w:fill="DBDBE0"/>
          </w:tcPr>
          <w:p w14:paraId="11A93664" w14:textId="77777777" w:rsidR="00434B93" w:rsidRPr="00434B93" w:rsidRDefault="00434B93" w:rsidP="008C4C6B">
            <w:pPr>
              <w:spacing w:after="0" w:line="240" w:lineRule="auto"/>
              <w:jc w:val="center"/>
              <w:rPr>
                <w:rFonts w:cs="Calibri"/>
                <w:noProof/>
                <w:color w:val="000000"/>
                <w:sz w:val="18"/>
                <w:szCs w:val="18"/>
              </w:rPr>
            </w:pPr>
          </w:p>
        </w:tc>
      </w:tr>
      <w:tr w:rsidR="00434B93" w:rsidRPr="007723D3" w14:paraId="77EA03C3" w14:textId="239853CD" w:rsidTr="00434B93">
        <w:trPr>
          <w:trHeight w:val="20"/>
        </w:trPr>
        <w:tc>
          <w:tcPr>
            <w:tcW w:w="486" w:type="pct"/>
            <w:shd w:val="clear" w:color="auto" w:fill="DBDBE0"/>
            <w:noWrap/>
            <w:hideMark/>
          </w:tcPr>
          <w:p w14:paraId="567D0639" w14:textId="68619237" w:rsidR="00434B93" w:rsidRPr="007723D3" w:rsidRDefault="00434B93" w:rsidP="008C4C6B">
            <w:pPr>
              <w:spacing w:after="0" w:line="240" w:lineRule="auto"/>
              <w:jc w:val="center"/>
              <w:rPr>
                <w:rFonts w:cs="Times New Roman"/>
                <w:b/>
                <w:bCs/>
                <w:noProof/>
                <w:color w:val="002060"/>
                <w:sz w:val="18"/>
                <w:szCs w:val="18"/>
              </w:rPr>
            </w:pPr>
            <w:r>
              <w:rPr>
                <w:rFonts w:cs="Calibri"/>
                <w:b/>
                <w:bCs/>
                <w:noProof/>
                <w:color w:val="002060"/>
                <w:sz w:val="18"/>
              </w:rPr>
              <w:t>PO1a</w:t>
            </w:r>
          </w:p>
        </w:tc>
        <w:tc>
          <w:tcPr>
            <w:tcW w:w="1260" w:type="pct"/>
            <w:shd w:val="clear" w:color="auto" w:fill="DBDBE0"/>
            <w:noWrap/>
            <w:hideMark/>
          </w:tcPr>
          <w:p w14:paraId="1564AE6C" w14:textId="272169BE" w:rsidR="00434B93" w:rsidRPr="00434B93" w:rsidRDefault="00434B93" w:rsidP="008C4C6B">
            <w:pPr>
              <w:spacing w:after="0" w:line="240" w:lineRule="auto"/>
              <w:jc w:val="center"/>
              <w:rPr>
                <w:rFonts w:cs="Times New Roman"/>
                <w:noProof/>
                <w:color w:val="000000"/>
                <w:sz w:val="18"/>
                <w:szCs w:val="18"/>
              </w:rPr>
            </w:pPr>
            <w:r w:rsidRPr="00434B93">
              <w:rPr>
                <w:rFonts w:cs="Calibri"/>
                <w:noProof/>
                <w:color w:val="000000"/>
                <w:sz w:val="18"/>
                <w:szCs w:val="18"/>
              </w:rPr>
              <w:t>++</w:t>
            </w:r>
          </w:p>
        </w:tc>
        <w:tc>
          <w:tcPr>
            <w:tcW w:w="1444" w:type="pct"/>
            <w:shd w:val="clear" w:color="auto" w:fill="DBDBE0"/>
            <w:noWrap/>
          </w:tcPr>
          <w:p w14:paraId="5284266C" w14:textId="64B460A7"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c>
          <w:tcPr>
            <w:tcW w:w="1280" w:type="pct"/>
            <w:shd w:val="clear" w:color="auto" w:fill="DBDBE0"/>
            <w:noWrap/>
          </w:tcPr>
          <w:p w14:paraId="32C2D820" w14:textId="27ED9F61"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c>
          <w:tcPr>
            <w:tcW w:w="529" w:type="pct"/>
            <w:shd w:val="clear" w:color="auto" w:fill="DBDBE0"/>
          </w:tcPr>
          <w:p w14:paraId="25D39F2A" w14:textId="0C7B948B"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r>
      <w:tr w:rsidR="00434B93" w:rsidRPr="007723D3" w14:paraId="0EE74B78" w14:textId="428DD0DF" w:rsidTr="00434B93">
        <w:trPr>
          <w:trHeight w:val="20"/>
        </w:trPr>
        <w:tc>
          <w:tcPr>
            <w:tcW w:w="486" w:type="pct"/>
            <w:shd w:val="clear" w:color="auto" w:fill="DBDBE0"/>
            <w:noWrap/>
          </w:tcPr>
          <w:p w14:paraId="679F3C42" w14:textId="6752B0C7" w:rsidR="00434B93" w:rsidRDefault="00434B93" w:rsidP="008C4C6B">
            <w:pPr>
              <w:spacing w:after="0" w:line="240" w:lineRule="auto"/>
              <w:jc w:val="center"/>
              <w:rPr>
                <w:rFonts w:cs="Times New Roman"/>
                <w:b/>
                <w:bCs/>
                <w:noProof/>
                <w:color w:val="002060"/>
                <w:sz w:val="18"/>
                <w:szCs w:val="18"/>
              </w:rPr>
            </w:pPr>
            <w:r>
              <w:rPr>
                <w:rFonts w:cs="Calibri"/>
                <w:b/>
                <w:bCs/>
                <w:noProof/>
                <w:color w:val="002060"/>
                <w:sz w:val="18"/>
              </w:rPr>
              <w:t>PO1b</w:t>
            </w:r>
          </w:p>
        </w:tc>
        <w:tc>
          <w:tcPr>
            <w:tcW w:w="1260" w:type="pct"/>
            <w:shd w:val="clear" w:color="auto" w:fill="DBDBE0"/>
            <w:noWrap/>
          </w:tcPr>
          <w:p w14:paraId="62D7A9E2" w14:textId="5E63C6C3" w:rsidR="00434B93" w:rsidRPr="00434B93" w:rsidRDefault="00434B93" w:rsidP="008C4C6B">
            <w:pPr>
              <w:spacing w:after="0" w:line="240" w:lineRule="auto"/>
              <w:jc w:val="center"/>
              <w:rPr>
                <w:rFonts w:cs="Times New Roman"/>
                <w:noProof/>
                <w:color w:val="000000"/>
                <w:sz w:val="18"/>
                <w:szCs w:val="18"/>
              </w:rPr>
            </w:pPr>
            <w:r w:rsidRPr="00434B93">
              <w:rPr>
                <w:rFonts w:cs="Calibri"/>
                <w:noProof/>
                <w:color w:val="000000"/>
                <w:sz w:val="18"/>
                <w:szCs w:val="18"/>
              </w:rPr>
              <w:t>+++</w:t>
            </w:r>
          </w:p>
        </w:tc>
        <w:tc>
          <w:tcPr>
            <w:tcW w:w="1444" w:type="pct"/>
            <w:shd w:val="clear" w:color="auto" w:fill="DBDBE0"/>
            <w:noWrap/>
          </w:tcPr>
          <w:p w14:paraId="069D3140" w14:textId="77777777"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c>
          <w:tcPr>
            <w:tcW w:w="1280" w:type="pct"/>
            <w:shd w:val="clear" w:color="auto" w:fill="DBDBE0"/>
            <w:noWrap/>
          </w:tcPr>
          <w:p w14:paraId="5777182D" w14:textId="125AB085"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c>
          <w:tcPr>
            <w:tcW w:w="529" w:type="pct"/>
            <w:shd w:val="clear" w:color="auto" w:fill="DBDBE0"/>
          </w:tcPr>
          <w:p w14:paraId="5592C0D8" w14:textId="558C374D"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r>
      <w:tr w:rsidR="00434B93" w:rsidRPr="007723D3" w14:paraId="35005838" w14:textId="77777777" w:rsidTr="00434B93">
        <w:trPr>
          <w:trHeight w:val="20"/>
        </w:trPr>
        <w:tc>
          <w:tcPr>
            <w:tcW w:w="486" w:type="pct"/>
            <w:shd w:val="clear" w:color="auto" w:fill="DBDBE0"/>
            <w:noWrap/>
          </w:tcPr>
          <w:p w14:paraId="18181A0D" w14:textId="3B003135" w:rsidR="00434B93" w:rsidRDefault="00434B93" w:rsidP="008C4C6B">
            <w:pPr>
              <w:spacing w:after="0" w:line="240" w:lineRule="auto"/>
              <w:jc w:val="center"/>
              <w:rPr>
                <w:rFonts w:cs="Calibri"/>
                <w:b/>
                <w:bCs/>
                <w:noProof/>
                <w:color w:val="002060"/>
                <w:sz w:val="18"/>
              </w:rPr>
            </w:pPr>
            <w:r>
              <w:rPr>
                <w:rFonts w:cs="Calibri"/>
                <w:b/>
                <w:bCs/>
                <w:noProof/>
                <w:color w:val="002060"/>
                <w:sz w:val="18"/>
              </w:rPr>
              <w:t>PO1c</w:t>
            </w:r>
          </w:p>
        </w:tc>
        <w:tc>
          <w:tcPr>
            <w:tcW w:w="1260" w:type="pct"/>
            <w:shd w:val="clear" w:color="auto" w:fill="DBDBE0"/>
            <w:noWrap/>
          </w:tcPr>
          <w:p w14:paraId="6FAC107A" w14:textId="4AA1B8AF" w:rsidR="00434B93" w:rsidRPr="00434B93" w:rsidRDefault="00434B93" w:rsidP="008C4C6B">
            <w:pPr>
              <w:spacing w:after="0" w:line="240" w:lineRule="auto"/>
              <w:jc w:val="center"/>
              <w:rPr>
                <w:rFonts w:cs="Calibri"/>
                <w:noProof/>
                <w:color w:val="000000"/>
                <w:sz w:val="18"/>
                <w:szCs w:val="18"/>
              </w:rPr>
            </w:pPr>
            <w:r w:rsidRPr="00434B93">
              <w:rPr>
                <w:rFonts w:cs="Calibri"/>
                <w:noProof/>
                <w:color w:val="000000"/>
                <w:sz w:val="18"/>
                <w:szCs w:val="18"/>
              </w:rPr>
              <w:t>++</w:t>
            </w:r>
          </w:p>
        </w:tc>
        <w:tc>
          <w:tcPr>
            <w:tcW w:w="1444" w:type="pct"/>
            <w:shd w:val="clear" w:color="auto" w:fill="DBDBE0"/>
            <w:noWrap/>
          </w:tcPr>
          <w:p w14:paraId="37011B85" w14:textId="4001144D"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c>
          <w:tcPr>
            <w:tcW w:w="1280" w:type="pct"/>
            <w:shd w:val="clear" w:color="auto" w:fill="DBDBE0"/>
            <w:noWrap/>
          </w:tcPr>
          <w:p w14:paraId="40899941" w14:textId="7D767058"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c>
          <w:tcPr>
            <w:tcW w:w="529" w:type="pct"/>
            <w:shd w:val="clear" w:color="auto" w:fill="DBDBE0"/>
          </w:tcPr>
          <w:p w14:paraId="79C92794" w14:textId="79799D2A" w:rsidR="00434B93" w:rsidRPr="00434B93" w:rsidRDefault="00434B93" w:rsidP="008C4C6B">
            <w:pPr>
              <w:spacing w:after="0" w:line="240" w:lineRule="auto"/>
              <w:jc w:val="center"/>
              <w:rPr>
                <w:rFonts w:cs="Times New Roman"/>
                <w:noProof/>
                <w:color w:val="000000"/>
                <w:sz w:val="18"/>
                <w:szCs w:val="18"/>
              </w:rPr>
            </w:pPr>
            <w:r w:rsidRPr="00434B93">
              <w:rPr>
                <w:rFonts w:cs="Times New Roman"/>
                <w:noProof/>
                <w:color w:val="000000"/>
                <w:sz w:val="18"/>
                <w:szCs w:val="18"/>
              </w:rPr>
              <w:t>++</w:t>
            </w:r>
          </w:p>
        </w:tc>
      </w:tr>
    </w:tbl>
    <w:p w14:paraId="6FD6BEF0" w14:textId="606CA123" w:rsidR="00C822A2" w:rsidRPr="00A2325D" w:rsidRDefault="00C822A2" w:rsidP="00C822A2">
      <w:pPr>
        <w:pStyle w:val="BodyText"/>
        <w:spacing w:after="240"/>
        <w:rPr>
          <w:noProof/>
        </w:rPr>
      </w:pPr>
      <w:r w:rsidRPr="00A2325D">
        <w:rPr>
          <w:rFonts w:cs="Calibri"/>
          <w:i/>
          <w:noProof/>
          <w:sz w:val="20"/>
        </w:rPr>
        <w:t xml:space="preserve">Legend: </w:t>
      </w:r>
      <w:r w:rsidR="00634902">
        <w:rPr>
          <w:rFonts w:cs="Calibri"/>
          <w:i/>
          <w:noProof/>
          <w:sz w:val="20"/>
        </w:rPr>
        <w:t xml:space="preserve">- </w:t>
      </w:r>
      <w:r w:rsidR="009D6F90">
        <w:rPr>
          <w:rFonts w:cs="Calibri"/>
          <w:i/>
          <w:noProof/>
          <w:sz w:val="20"/>
        </w:rPr>
        <w:t>not effective</w:t>
      </w:r>
      <w:r w:rsidRPr="00A2325D">
        <w:rPr>
          <w:rFonts w:cs="Calibri"/>
          <w:i/>
          <w:noProof/>
          <w:sz w:val="20"/>
        </w:rPr>
        <w:t>; + limited</w:t>
      </w:r>
      <w:r w:rsidR="009D6F90" w:rsidRPr="009D6F90">
        <w:rPr>
          <w:rFonts w:cs="Calibri"/>
          <w:i/>
          <w:noProof/>
          <w:sz w:val="20"/>
        </w:rPr>
        <w:t xml:space="preserve"> </w:t>
      </w:r>
      <w:r w:rsidR="009D6F90">
        <w:rPr>
          <w:rFonts w:cs="Calibri"/>
          <w:i/>
          <w:noProof/>
          <w:sz w:val="20"/>
        </w:rPr>
        <w:t>effectiveness</w:t>
      </w:r>
      <w:r w:rsidRPr="00A2325D">
        <w:rPr>
          <w:rFonts w:cs="Calibri"/>
          <w:i/>
          <w:noProof/>
          <w:sz w:val="20"/>
        </w:rPr>
        <w:t xml:space="preserve">; ++ </w:t>
      </w:r>
      <w:r w:rsidR="009D6F90">
        <w:rPr>
          <w:rFonts w:cs="Calibri"/>
          <w:i/>
          <w:noProof/>
          <w:sz w:val="20"/>
        </w:rPr>
        <w:t>effective</w:t>
      </w:r>
      <w:r w:rsidRPr="00A2325D">
        <w:rPr>
          <w:rFonts w:cs="Calibri"/>
          <w:i/>
          <w:noProof/>
          <w:sz w:val="20"/>
        </w:rPr>
        <w:t xml:space="preserve">; +++ very </w:t>
      </w:r>
      <w:r w:rsidR="009D6F90">
        <w:rPr>
          <w:rFonts w:cs="Calibri"/>
          <w:i/>
          <w:noProof/>
          <w:sz w:val="20"/>
        </w:rPr>
        <w:t>effective</w:t>
      </w:r>
    </w:p>
    <w:p w14:paraId="3004E6C0" w14:textId="40A1B9FD" w:rsidR="00F82F6D" w:rsidRPr="0036490F" w:rsidRDefault="00F82F6D" w:rsidP="00F82F6D">
      <w:pPr>
        <w:spacing w:after="240" w:line="240" w:lineRule="auto"/>
        <w:jc w:val="both"/>
        <w:rPr>
          <w:noProof/>
          <w:sz w:val="24"/>
          <w:szCs w:val="24"/>
        </w:rPr>
      </w:pPr>
      <w:r w:rsidRPr="0039114B">
        <w:rPr>
          <w:noProof/>
          <w:sz w:val="24"/>
          <w:szCs w:val="24"/>
        </w:rPr>
        <w:t xml:space="preserve">PO1b would, in comparison to PO1a, further incentivise the placing of safer software on the market, by covering </w:t>
      </w:r>
      <w:r>
        <w:rPr>
          <w:noProof/>
          <w:sz w:val="24"/>
          <w:szCs w:val="24"/>
        </w:rPr>
        <w:t>3</w:t>
      </w:r>
      <w:r w:rsidRPr="002A0DBB">
        <w:rPr>
          <w:noProof/>
          <w:sz w:val="24"/>
          <w:szCs w:val="24"/>
          <w:vertAlign w:val="superscript"/>
        </w:rPr>
        <w:t>rd</w:t>
      </w:r>
      <w:r>
        <w:rPr>
          <w:noProof/>
          <w:sz w:val="24"/>
          <w:szCs w:val="24"/>
        </w:rPr>
        <w:t xml:space="preserve">-party </w:t>
      </w:r>
      <w:r w:rsidRPr="0039114B">
        <w:rPr>
          <w:noProof/>
          <w:sz w:val="24"/>
          <w:szCs w:val="24"/>
        </w:rPr>
        <w:t xml:space="preserve">software </w:t>
      </w:r>
      <w:r>
        <w:rPr>
          <w:noProof/>
          <w:sz w:val="24"/>
          <w:szCs w:val="24"/>
        </w:rPr>
        <w:t>that influences but is not necessary for a tangible product, and safety-relevant standalone software</w:t>
      </w:r>
      <w:r w:rsidRPr="0039114B">
        <w:rPr>
          <w:noProof/>
          <w:sz w:val="24"/>
          <w:szCs w:val="24"/>
        </w:rPr>
        <w:t>. PO1b would also provide regulatory certainty about the availability of compensation for damage to digital property and could incentivise producers to improve the reliability of hard drives</w:t>
      </w:r>
      <w:r>
        <w:rPr>
          <w:noProof/>
          <w:sz w:val="24"/>
          <w:szCs w:val="24"/>
        </w:rPr>
        <w:t xml:space="preserve"> and other data storage devices</w:t>
      </w:r>
      <w:r w:rsidRPr="0039114B">
        <w:rPr>
          <w:noProof/>
          <w:sz w:val="24"/>
          <w:szCs w:val="24"/>
        </w:rPr>
        <w:t>.</w:t>
      </w:r>
      <w:r>
        <w:rPr>
          <w:noProof/>
          <w:sz w:val="24"/>
          <w:szCs w:val="24"/>
        </w:rPr>
        <w:t xml:space="preserve"> Increasing regulatory clarity and closing liability gaps will benefit innovation. PO1b</w:t>
      </w:r>
      <w:r w:rsidRPr="0039114B">
        <w:rPr>
          <w:noProof/>
          <w:sz w:val="24"/>
          <w:szCs w:val="24"/>
        </w:rPr>
        <w:t xml:space="preserve"> would </w:t>
      </w:r>
      <w:r>
        <w:rPr>
          <w:noProof/>
          <w:sz w:val="24"/>
          <w:szCs w:val="24"/>
        </w:rPr>
        <w:t xml:space="preserve">ensure that the deterrent effect of no-fault liability, which encourages producers to place only safe products on the market, reaches non-EU producers also in cases where no authorised representative has been appointed. </w:t>
      </w:r>
    </w:p>
    <w:p w14:paraId="168BCC71" w14:textId="6CC0EE18" w:rsidR="00F82F6D" w:rsidRDefault="00F82F6D" w:rsidP="00F82F6D">
      <w:pPr>
        <w:spacing w:after="240" w:line="240" w:lineRule="auto"/>
        <w:jc w:val="both"/>
        <w:rPr>
          <w:noProof/>
          <w:sz w:val="24"/>
          <w:szCs w:val="24"/>
        </w:rPr>
      </w:pPr>
      <w:r>
        <w:rPr>
          <w:noProof/>
          <w:sz w:val="24"/>
          <w:szCs w:val="24"/>
        </w:rPr>
        <w:t>By e</w:t>
      </w:r>
      <w:r w:rsidRPr="0036490F">
        <w:rPr>
          <w:rFonts w:cstheme="minorHAnsi"/>
          <w:noProof/>
          <w:color w:val="242424"/>
          <w:sz w:val="24"/>
          <w:szCs w:val="24"/>
          <w:shd w:val="clear" w:color="auto" w:fill="FFFFFF"/>
        </w:rPr>
        <w:t>xtending the P</w:t>
      </w:r>
      <w:r>
        <w:rPr>
          <w:rFonts w:cstheme="minorHAnsi"/>
          <w:noProof/>
          <w:color w:val="242424"/>
          <w:sz w:val="24"/>
          <w:szCs w:val="24"/>
          <w:shd w:val="clear" w:color="auto" w:fill="FFFFFF"/>
        </w:rPr>
        <w:t xml:space="preserve">LD to include immaterial damage, option 1c </w:t>
      </w:r>
      <w:r w:rsidRPr="0036490F">
        <w:rPr>
          <w:rFonts w:cstheme="minorHAnsi"/>
          <w:noProof/>
          <w:color w:val="242424"/>
          <w:sz w:val="24"/>
          <w:szCs w:val="24"/>
          <w:shd w:val="clear" w:color="auto" w:fill="FFFFFF"/>
        </w:rPr>
        <w:t xml:space="preserve">may lead to positive harmonisation effects </w:t>
      </w:r>
      <w:r>
        <w:rPr>
          <w:rFonts w:cstheme="minorHAnsi"/>
          <w:noProof/>
          <w:color w:val="242424"/>
          <w:sz w:val="24"/>
          <w:szCs w:val="24"/>
          <w:shd w:val="clear" w:color="auto" w:fill="FFFFFF"/>
        </w:rPr>
        <w:t xml:space="preserve">in </w:t>
      </w:r>
      <w:r w:rsidRPr="0036490F">
        <w:rPr>
          <w:rFonts w:cstheme="minorHAnsi"/>
          <w:noProof/>
          <w:color w:val="242424"/>
          <w:sz w:val="24"/>
          <w:szCs w:val="24"/>
          <w:shd w:val="clear" w:color="auto" w:fill="FFFFFF"/>
        </w:rPr>
        <w:t xml:space="preserve">the </w:t>
      </w:r>
      <w:r>
        <w:rPr>
          <w:rFonts w:cstheme="minorHAnsi"/>
          <w:noProof/>
          <w:color w:val="242424"/>
          <w:sz w:val="24"/>
          <w:szCs w:val="24"/>
          <w:shd w:val="clear" w:color="auto" w:fill="FFFFFF"/>
        </w:rPr>
        <w:t>internal m</w:t>
      </w:r>
      <w:r w:rsidRPr="0036490F">
        <w:rPr>
          <w:rFonts w:cstheme="minorHAnsi"/>
          <w:noProof/>
          <w:color w:val="242424"/>
          <w:sz w:val="24"/>
          <w:szCs w:val="24"/>
          <w:shd w:val="clear" w:color="auto" w:fill="FFFFFF"/>
        </w:rPr>
        <w:t>arket, as national authorities currently compensate immaterial damage across the EU in different ways.</w:t>
      </w:r>
      <w:r w:rsidRPr="005D0577">
        <w:rPr>
          <w:rFonts w:cstheme="minorHAnsi"/>
          <w:noProof/>
          <w:color w:val="242424"/>
          <w:sz w:val="24"/>
          <w:szCs w:val="24"/>
          <w:shd w:val="clear" w:color="auto" w:fill="FFFFFF"/>
        </w:rPr>
        <w:t xml:space="preserve"> </w:t>
      </w:r>
      <w:r w:rsidRPr="0036490F">
        <w:rPr>
          <w:rFonts w:cstheme="minorHAnsi"/>
          <w:noProof/>
          <w:color w:val="242424"/>
          <w:sz w:val="24"/>
          <w:szCs w:val="24"/>
          <w:shd w:val="clear" w:color="auto" w:fill="FFFFFF"/>
        </w:rPr>
        <w:t>However,</w:t>
      </w:r>
      <w:r w:rsidRPr="0036490F">
        <w:rPr>
          <w:noProof/>
          <w:sz w:val="24"/>
          <w:szCs w:val="24"/>
        </w:rPr>
        <w:t xml:space="preserve"> </w:t>
      </w:r>
      <w:r>
        <w:rPr>
          <w:noProof/>
          <w:sz w:val="24"/>
          <w:szCs w:val="24"/>
        </w:rPr>
        <w:t>compensating</w:t>
      </w:r>
      <w:r w:rsidRPr="0036490F">
        <w:rPr>
          <w:noProof/>
          <w:sz w:val="24"/>
          <w:szCs w:val="24"/>
        </w:rPr>
        <w:t xml:space="preserve"> </w:t>
      </w:r>
      <w:r>
        <w:rPr>
          <w:noProof/>
          <w:sz w:val="24"/>
          <w:szCs w:val="24"/>
        </w:rPr>
        <w:t>damages for personal data</w:t>
      </w:r>
      <w:r w:rsidRPr="0036490F">
        <w:rPr>
          <w:noProof/>
          <w:sz w:val="24"/>
          <w:szCs w:val="24"/>
        </w:rPr>
        <w:t xml:space="preserve"> breaches </w:t>
      </w:r>
      <w:r w:rsidR="00A02E51">
        <w:rPr>
          <w:noProof/>
          <w:sz w:val="24"/>
          <w:szCs w:val="24"/>
        </w:rPr>
        <w:t xml:space="preserve">and discrimination </w:t>
      </w:r>
      <w:r>
        <w:rPr>
          <w:noProof/>
          <w:sz w:val="24"/>
          <w:szCs w:val="24"/>
        </w:rPr>
        <w:t xml:space="preserve">under the PLD would create overlap with the </w:t>
      </w:r>
      <w:r w:rsidRPr="0036490F">
        <w:rPr>
          <w:noProof/>
          <w:sz w:val="24"/>
          <w:szCs w:val="24"/>
        </w:rPr>
        <w:t>GDPR</w:t>
      </w:r>
      <w:r w:rsidR="00A02E51">
        <w:rPr>
          <w:noProof/>
          <w:sz w:val="24"/>
          <w:szCs w:val="24"/>
        </w:rPr>
        <w:t xml:space="preserve"> and non-discrimination law</w:t>
      </w:r>
      <w:r>
        <w:rPr>
          <w:noProof/>
          <w:sz w:val="24"/>
          <w:szCs w:val="24"/>
        </w:rPr>
        <w:t xml:space="preserve">. </w:t>
      </w:r>
      <w:r>
        <w:rPr>
          <w:rFonts w:cstheme="minorHAnsi"/>
          <w:noProof/>
          <w:color w:val="242424"/>
          <w:sz w:val="24"/>
          <w:szCs w:val="24"/>
          <w:shd w:val="clear" w:color="auto" w:fill="FFFFFF"/>
        </w:rPr>
        <w:t>Also</w:t>
      </w:r>
      <w:r w:rsidRPr="0036490F">
        <w:rPr>
          <w:rFonts w:cstheme="minorHAnsi"/>
          <w:noProof/>
          <w:color w:val="242424"/>
          <w:sz w:val="24"/>
          <w:szCs w:val="24"/>
          <w:shd w:val="clear" w:color="auto" w:fill="FFFFFF"/>
        </w:rPr>
        <w:t xml:space="preserve">, </w:t>
      </w:r>
      <w:r>
        <w:rPr>
          <w:rFonts w:cstheme="minorHAnsi"/>
          <w:noProof/>
          <w:color w:val="242424"/>
          <w:sz w:val="24"/>
          <w:szCs w:val="24"/>
          <w:shd w:val="clear" w:color="auto" w:fill="FFFFFF"/>
        </w:rPr>
        <w:t>industry</w:t>
      </w:r>
      <w:r w:rsidRPr="0036490F">
        <w:rPr>
          <w:rFonts w:cstheme="minorHAnsi"/>
          <w:bCs/>
          <w:noProof/>
          <w:color w:val="242424"/>
          <w:sz w:val="24"/>
          <w:szCs w:val="24"/>
          <w:shd w:val="clear" w:color="auto" w:fill="FFFFFF"/>
        </w:rPr>
        <w:t xml:space="preserve"> </w:t>
      </w:r>
      <w:r w:rsidRPr="0036490F">
        <w:rPr>
          <w:rFonts w:cstheme="minorHAnsi"/>
          <w:noProof/>
          <w:color w:val="242424"/>
          <w:sz w:val="24"/>
          <w:szCs w:val="24"/>
          <w:shd w:val="clear" w:color="auto" w:fill="FFFFFF"/>
        </w:rPr>
        <w:t xml:space="preserve">stakeholders </w:t>
      </w:r>
      <w:r>
        <w:rPr>
          <w:rFonts w:cstheme="minorHAnsi"/>
          <w:noProof/>
          <w:color w:val="242424"/>
          <w:sz w:val="24"/>
          <w:szCs w:val="24"/>
          <w:shd w:val="clear" w:color="auto" w:fill="FFFFFF"/>
        </w:rPr>
        <w:t xml:space="preserve">(especially representatives in the digital, tech and software industries) expressed their </w:t>
      </w:r>
      <w:r w:rsidRPr="0036490F">
        <w:rPr>
          <w:rFonts w:cstheme="minorHAnsi"/>
          <w:noProof/>
          <w:color w:val="242424"/>
          <w:sz w:val="24"/>
          <w:szCs w:val="24"/>
          <w:shd w:val="clear" w:color="auto" w:fill="FFFFFF"/>
        </w:rPr>
        <w:t>concern</w:t>
      </w:r>
      <w:r>
        <w:rPr>
          <w:rFonts w:cstheme="minorHAnsi"/>
          <w:noProof/>
          <w:color w:val="242424"/>
          <w:sz w:val="24"/>
          <w:szCs w:val="24"/>
          <w:shd w:val="clear" w:color="auto" w:fill="FFFFFF"/>
        </w:rPr>
        <w:t xml:space="preserve">s </w:t>
      </w:r>
      <w:r w:rsidRPr="0036490F">
        <w:rPr>
          <w:rFonts w:cstheme="minorHAnsi"/>
          <w:noProof/>
          <w:color w:val="242424"/>
          <w:sz w:val="24"/>
          <w:szCs w:val="24"/>
          <w:shd w:val="clear" w:color="auto" w:fill="FFFFFF"/>
        </w:rPr>
        <w:t xml:space="preserve">that liability </w:t>
      </w:r>
      <w:r>
        <w:rPr>
          <w:rFonts w:cstheme="minorHAnsi"/>
          <w:noProof/>
          <w:color w:val="242424"/>
          <w:sz w:val="24"/>
          <w:szCs w:val="24"/>
          <w:shd w:val="clear" w:color="auto" w:fill="FFFFFF"/>
        </w:rPr>
        <w:t>for the harms considered under PO1c could</w:t>
      </w:r>
      <w:r w:rsidRPr="0036490F">
        <w:rPr>
          <w:noProof/>
          <w:sz w:val="24"/>
          <w:szCs w:val="24"/>
        </w:rPr>
        <w:t xml:space="preserve"> </w:t>
      </w:r>
      <w:r>
        <w:rPr>
          <w:noProof/>
          <w:sz w:val="24"/>
          <w:szCs w:val="24"/>
        </w:rPr>
        <w:t xml:space="preserve">harm </w:t>
      </w:r>
      <w:r w:rsidRPr="0036490F">
        <w:rPr>
          <w:noProof/>
          <w:sz w:val="24"/>
          <w:szCs w:val="24"/>
        </w:rPr>
        <w:t>innovation</w:t>
      </w:r>
      <w:r>
        <w:rPr>
          <w:noProof/>
          <w:sz w:val="24"/>
          <w:szCs w:val="24"/>
        </w:rPr>
        <w:t xml:space="preserve"> and the competitiveness of the tech and software industry</w:t>
      </w:r>
      <w:r w:rsidRPr="0036490F">
        <w:rPr>
          <w:noProof/>
          <w:sz w:val="24"/>
          <w:szCs w:val="24"/>
        </w:rPr>
        <w:t>.</w:t>
      </w:r>
    </w:p>
    <w:p w14:paraId="3A7D597F" w14:textId="70A4EFA4" w:rsidR="00E86967" w:rsidRPr="00F22027" w:rsidRDefault="00F22027" w:rsidP="00904B8B">
      <w:pPr>
        <w:pStyle w:val="Caption"/>
        <w:spacing w:after="0"/>
        <w:rPr>
          <w:noProof/>
          <w:color w:val="auto"/>
          <w:sz w:val="24"/>
          <w:szCs w:val="24"/>
          <w:lang w:val="en-IE"/>
        </w:rPr>
      </w:pPr>
      <w:r w:rsidRPr="00F22027">
        <w:rPr>
          <w:noProof/>
          <w:color w:val="auto"/>
          <w:sz w:val="24"/>
          <w:szCs w:val="24"/>
        </w:rPr>
        <w:t xml:space="preserve">Table </w:t>
      </w:r>
      <w:r w:rsidRPr="00F22027">
        <w:rPr>
          <w:noProof/>
          <w:color w:val="auto"/>
          <w:sz w:val="24"/>
          <w:szCs w:val="24"/>
        </w:rPr>
        <w:fldChar w:fldCharType="begin"/>
      </w:r>
      <w:r w:rsidRPr="00F22027">
        <w:rPr>
          <w:noProof/>
          <w:color w:val="auto"/>
          <w:sz w:val="24"/>
          <w:szCs w:val="24"/>
        </w:rPr>
        <w:instrText xml:space="preserve"> SEQ Table \* ARABIC </w:instrText>
      </w:r>
      <w:r w:rsidRPr="00F22027">
        <w:rPr>
          <w:noProof/>
          <w:color w:val="auto"/>
          <w:sz w:val="24"/>
          <w:szCs w:val="24"/>
        </w:rPr>
        <w:fldChar w:fldCharType="separate"/>
      </w:r>
      <w:r w:rsidR="00BC2C3A">
        <w:rPr>
          <w:noProof/>
          <w:color w:val="auto"/>
          <w:sz w:val="24"/>
          <w:szCs w:val="24"/>
        </w:rPr>
        <w:t>4</w:t>
      </w:r>
      <w:r w:rsidRPr="00F22027">
        <w:rPr>
          <w:noProof/>
          <w:color w:val="auto"/>
          <w:sz w:val="24"/>
          <w:szCs w:val="24"/>
        </w:rPr>
        <w:fldChar w:fldCharType="end"/>
      </w:r>
      <w:r>
        <w:rPr>
          <w:noProof/>
          <w:color w:val="auto"/>
          <w:sz w:val="24"/>
          <w:szCs w:val="24"/>
        </w:rPr>
        <w:t xml:space="preserve">: </w:t>
      </w:r>
      <w:r w:rsidR="00E86967" w:rsidRPr="00F22027">
        <w:rPr>
          <w:noProof/>
          <w:color w:val="auto"/>
          <w:sz w:val="24"/>
          <w:szCs w:val="24"/>
          <w:lang w:val="en-IE"/>
        </w:rPr>
        <w:t xml:space="preserve">Effectiveness of policy options to </w:t>
      </w:r>
      <w:r w:rsidR="00AF2EDD" w:rsidRPr="00F22027">
        <w:rPr>
          <w:noProof/>
          <w:color w:val="auto"/>
          <w:sz w:val="24"/>
          <w:szCs w:val="24"/>
          <w:lang w:val="en-IE"/>
        </w:rPr>
        <w:t>reduce disproportionate obstacles to getting compensation</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59"/>
        <w:gridCol w:w="3825"/>
        <w:gridCol w:w="3002"/>
        <w:gridCol w:w="1048"/>
      </w:tblGrid>
      <w:tr w:rsidR="00CD3B7A" w:rsidRPr="007723D3" w14:paraId="416033C7" w14:textId="77777777" w:rsidTr="00361423">
        <w:trPr>
          <w:trHeight w:val="547"/>
          <w:tblHeader/>
        </w:trPr>
        <w:tc>
          <w:tcPr>
            <w:tcW w:w="543" w:type="pct"/>
            <w:shd w:val="clear" w:color="000000" w:fill="002060"/>
            <w:noWrap/>
            <w:hideMark/>
          </w:tcPr>
          <w:p w14:paraId="52036108" w14:textId="7B681685" w:rsidR="00CD3B7A" w:rsidRPr="002F51CF" w:rsidRDefault="00CD3B7A" w:rsidP="00CD3B7A">
            <w:pPr>
              <w:spacing w:after="0" w:line="240" w:lineRule="auto"/>
              <w:jc w:val="center"/>
              <w:rPr>
                <w:rFonts w:cs="Times New Roman"/>
                <w:b/>
                <w:bCs/>
                <w:noProof/>
                <w:color w:val="FFFFFF"/>
                <w:sz w:val="20"/>
                <w:szCs w:val="18"/>
              </w:rPr>
            </w:pPr>
          </w:p>
        </w:tc>
        <w:tc>
          <w:tcPr>
            <w:tcW w:w="2165" w:type="pct"/>
            <w:shd w:val="clear" w:color="000000" w:fill="002060"/>
            <w:noWrap/>
            <w:hideMark/>
          </w:tcPr>
          <w:p w14:paraId="66AE5B47" w14:textId="7A884C90" w:rsidR="00CD3B7A" w:rsidRPr="002F51CF" w:rsidRDefault="00CD3B7A" w:rsidP="00CD3B7A">
            <w:pPr>
              <w:spacing w:after="0" w:line="240" w:lineRule="auto"/>
              <w:jc w:val="center"/>
              <w:rPr>
                <w:rFonts w:cs="Times New Roman"/>
                <w:b/>
                <w:bCs/>
                <w:noProof/>
                <w:color w:val="FFFFFF"/>
                <w:sz w:val="20"/>
                <w:szCs w:val="18"/>
              </w:rPr>
            </w:pPr>
            <w:r w:rsidRPr="00CD3B7A">
              <w:rPr>
                <w:rFonts w:cs="Times New Roman"/>
                <w:b/>
                <w:bCs/>
                <w:noProof/>
                <w:color w:val="FFFFFF"/>
                <w:sz w:val="20"/>
                <w:szCs w:val="18"/>
              </w:rPr>
              <w:t>Ease the burden of proof in the case of complex products and clarify liability for undiscoverable defects, while ensuring fair balance between producers and consumers</w:t>
            </w:r>
          </w:p>
        </w:tc>
        <w:tc>
          <w:tcPr>
            <w:tcW w:w="1699" w:type="pct"/>
            <w:shd w:val="clear" w:color="000000" w:fill="002060"/>
            <w:noWrap/>
            <w:hideMark/>
          </w:tcPr>
          <w:p w14:paraId="49F097CC" w14:textId="69ED22A5" w:rsidR="00CD3B7A" w:rsidRPr="002F51CF" w:rsidRDefault="00CD3B7A" w:rsidP="00CD3B7A">
            <w:pPr>
              <w:spacing w:after="0" w:line="240" w:lineRule="auto"/>
              <w:jc w:val="center"/>
              <w:rPr>
                <w:rFonts w:cs="Times New Roman"/>
                <w:b/>
                <w:bCs/>
                <w:noProof/>
                <w:color w:val="FFFFFF"/>
                <w:sz w:val="20"/>
                <w:szCs w:val="18"/>
              </w:rPr>
            </w:pPr>
            <w:r w:rsidRPr="00CD3B7A">
              <w:rPr>
                <w:rFonts w:cs="Times New Roman"/>
                <w:b/>
                <w:bCs/>
                <w:noProof/>
                <w:color w:val="FFFFFF"/>
                <w:sz w:val="20"/>
                <w:szCs w:val="18"/>
              </w:rPr>
              <w:t>Ease restrictions on making claims, while ensuring fair balance between producers and consumers</w:t>
            </w:r>
          </w:p>
        </w:tc>
        <w:tc>
          <w:tcPr>
            <w:tcW w:w="593" w:type="pct"/>
            <w:shd w:val="clear" w:color="000000" w:fill="002060"/>
            <w:noWrap/>
            <w:hideMark/>
          </w:tcPr>
          <w:p w14:paraId="2DFC4141" w14:textId="08A084CB" w:rsidR="00CD3B7A" w:rsidRPr="002F51CF" w:rsidRDefault="00CD3B7A" w:rsidP="00CD3B7A">
            <w:pPr>
              <w:spacing w:after="0" w:line="240" w:lineRule="auto"/>
              <w:jc w:val="center"/>
              <w:rPr>
                <w:rFonts w:cs="Times New Roman"/>
                <w:b/>
                <w:bCs/>
                <w:noProof/>
                <w:color w:val="FFFFFF"/>
                <w:sz w:val="20"/>
                <w:szCs w:val="18"/>
              </w:rPr>
            </w:pPr>
            <w:r w:rsidRPr="00CD3B7A">
              <w:rPr>
                <w:rFonts w:cs="Times New Roman"/>
                <w:b/>
                <w:bCs/>
                <w:noProof/>
                <w:color w:val="FFFFFF"/>
                <w:sz w:val="20"/>
                <w:szCs w:val="18"/>
              </w:rPr>
              <w:t>Net effect</w:t>
            </w:r>
          </w:p>
        </w:tc>
      </w:tr>
      <w:tr w:rsidR="00CD3B7A" w:rsidRPr="007723D3" w14:paraId="19315A3D" w14:textId="77777777" w:rsidTr="00361423">
        <w:trPr>
          <w:trHeight w:val="20"/>
        </w:trPr>
        <w:tc>
          <w:tcPr>
            <w:tcW w:w="543" w:type="pct"/>
            <w:shd w:val="clear" w:color="auto" w:fill="DBDBE0"/>
            <w:noWrap/>
            <w:hideMark/>
          </w:tcPr>
          <w:p w14:paraId="22AF38FA" w14:textId="258CEEA3" w:rsidR="00CD3B7A" w:rsidRPr="007723D3" w:rsidRDefault="00361423" w:rsidP="00361423">
            <w:pPr>
              <w:spacing w:after="0" w:line="240" w:lineRule="auto"/>
              <w:rPr>
                <w:rFonts w:cs="Times New Roman"/>
                <w:b/>
                <w:bCs/>
                <w:noProof/>
                <w:color w:val="002060"/>
                <w:sz w:val="18"/>
                <w:szCs w:val="18"/>
              </w:rPr>
            </w:pPr>
            <w:r>
              <w:rPr>
                <w:rFonts w:cs="Calibri"/>
                <w:b/>
                <w:bCs/>
                <w:noProof/>
                <w:color w:val="002060"/>
                <w:sz w:val="18"/>
              </w:rPr>
              <w:t>Baseline</w:t>
            </w:r>
          </w:p>
        </w:tc>
        <w:tc>
          <w:tcPr>
            <w:tcW w:w="4457" w:type="pct"/>
            <w:gridSpan w:val="3"/>
            <w:shd w:val="clear" w:color="auto" w:fill="DBDBE0"/>
            <w:noWrap/>
            <w:hideMark/>
          </w:tcPr>
          <w:p w14:paraId="21D23B15" w14:textId="7805BD5B" w:rsidR="00CD3B7A" w:rsidRPr="001329A3" w:rsidRDefault="00CD3B7A" w:rsidP="00CD3B7A">
            <w:pPr>
              <w:spacing w:after="0" w:line="240" w:lineRule="auto"/>
              <w:jc w:val="center"/>
              <w:rPr>
                <w:rFonts w:cs="Times New Roman"/>
                <w:noProof/>
                <w:color w:val="000000"/>
                <w:sz w:val="18"/>
                <w:szCs w:val="18"/>
              </w:rPr>
            </w:pPr>
            <w:r w:rsidRPr="001329A3">
              <w:rPr>
                <w:rFonts w:cs="Calibri"/>
                <w:noProof/>
                <w:color w:val="000000"/>
                <w:sz w:val="18"/>
                <w:szCs w:val="18"/>
              </w:rPr>
              <w:t>0</w:t>
            </w:r>
          </w:p>
        </w:tc>
      </w:tr>
      <w:tr w:rsidR="00CD3B7A" w:rsidRPr="007723D3" w14:paraId="2EF4C95C" w14:textId="77777777" w:rsidTr="00361423">
        <w:trPr>
          <w:trHeight w:val="20"/>
        </w:trPr>
        <w:tc>
          <w:tcPr>
            <w:tcW w:w="543" w:type="pct"/>
            <w:shd w:val="clear" w:color="auto" w:fill="DBDBE0"/>
            <w:noWrap/>
            <w:hideMark/>
          </w:tcPr>
          <w:p w14:paraId="155FA630" w14:textId="2D62F682" w:rsidR="00CD3B7A" w:rsidRPr="007723D3" w:rsidRDefault="00361423" w:rsidP="00CD3B7A">
            <w:pPr>
              <w:spacing w:after="0" w:line="240" w:lineRule="auto"/>
              <w:jc w:val="center"/>
              <w:rPr>
                <w:rFonts w:cs="Times New Roman"/>
                <w:b/>
                <w:bCs/>
                <w:noProof/>
                <w:color w:val="002060"/>
                <w:sz w:val="18"/>
                <w:szCs w:val="18"/>
              </w:rPr>
            </w:pPr>
            <w:r>
              <w:rPr>
                <w:rFonts w:cs="Calibri"/>
                <w:b/>
                <w:bCs/>
                <w:noProof/>
                <w:color w:val="002060"/>
                <w:sz w:val="18"/>
              </w:rPr>
              <w:t>PO2a</w:t>
            </w:r>
          </w:p>
        </w:tc>
        <w:tc>
          <w:tcPr>
            <w:tcW w:w="2165" w:type="pct"/>
            <w:shd w:val="clear" w:color="auto" w:fill="DBDBE0"/>
            <w:noWrap/>
            <w:hideMark/>
          </w:tcPr>
          <w:p w14:paraId="1177329E" w14:textId="68219B6A" w:rsidR="00CD3B7A" w:rsidRPr="001329A3" w:rsidRDefault="00CD3B7A" w:rsidP="00CD3B7A">
            <w:pPr>
              <w:spacing w:after="0" w:line="240" w:lineRule="auto"/>
              <w:jc w:val="center"/>
              <w:rPr>
                <w:rFonts w:cs="Times New Roman"/>
                <w:noProof/>
                <w:color w:val="000000"/>
                <w:sz w:val="18"/>
                <w:szCs w:val="18"/>
              </w:rPr>
            </w:pPr>
            <w:r w:rsidRPr="001329A3">
              <w:rPr>
                <w:rFonts w:cs="Calibri"/>
                <w:noProof/>
                <w:color w:val="000000"/>
                <w:sz w:val="18"/>
                <w:szCs w:val="18"/>
              </w:rPr>
              <w:t>+++</w:t>
            </w:r>
          </w:p>
        </w:tc>
        <w:tc>
          <w:tcPr>
            <w:tcW w:w="1699" w:type="pct"/>
            <w:shd w:val="clear" w:color="auto" w:fill="DBDBE0"/>
            <w:noWrap/>
          </w:tcPr>
          <w:p w14:paraId="24DD8D33" w14:textId="775B7912" w:rsidR="00CD3B7A" w:rsidRPr="001329A3" w:rsidRDefault="00CD3B7A" w:rsidP="00CD3B7A">
            <w:pPr>
              <w:spacing w:after="0" w:line="240" w:lineRule="auto"/>
              <w:jc w:val="center"/>
              <w:rPr>
                <w:rFonts w:cs="Times New Roman"/>
                <w:noProof/>
                <w:color w:val="000000"/>
                <w:sz w:val="18"/>
                <w:szCs w:val="18"/>
              </w:rPr>
            </w:pPr>
            <w:r w:rsidRPr="001329A3">
              <w:rPr>
                <w:rFonts w:cs="Times New Roman"/>
                <w:noProof/>
                <w:color w:val="000000"/>
                <w:sz w:val="18"/>
                <w:szCs w:val="18"/>
              </w:rPr>
              <w:t>+++</w:t>
            </w:r>
          </w:p>
        </w:tc>
        <w:tc>
          <w:tcPr>
            <w:tcW w:w="593" w:type="pct"/>
            <w:shd w:val="clear" w:color="auto" w:fill="DBDBE0"/>
            <w:noWrap/>
          </w:tcPr>
          <w:p w14:paraId="627EA109" w14:textId="22DAD93F" w:rsidR="00CD3B7A" w:rsidRPr="001329A3" w:rsidRDefault="00CD3B7A" w:rsidP="00CD3B7A">
            <w:pPr>
              <w:spacing w:after="0" w:line="240" w:lineRule="auto"/>
              <w:jc w:val="center"/>
              <w:rPr>
                <w:rFonts w:cs="Times New Roman"/>
                <w:noProof/>
                <w:color w:val="000000"/>
                <w:sz w:val="18"/>
                <w:szCs w:val="18"/>
              </w:rPr>
            </w:pPr>
            <w:r w:rsidRPr="001329A3">
              <w:rPr>
                <w:rFonts w:cs="Times New Roman"/>
                <w:noProof/>
                <w:color w:val="000000"/>
                <w:sz w:val="18"/>
                <w:szCs w:val="18"/>
              </w:rPr>
              <w:t>+++</w:t>
            </w:r>
          </w:p>
        </w:tc>
      </w:tr>
      <w:tr w:rsidR="00CD3B7A" w:rsidRPr="007723D3" w14:paraId="016D560E" w14:textId="77777777" w:rsidTr="00361423">
        <w:trPr>
          <w:trHeight w:val="20"/>
        </w:trPr>
        <w:tc>
          <w:tcPr>
            <w:tcW w:w="543" w:type="pct"/>
            <w:shd w:val="clear" w:color="auto" w:fill="DBDBE0"/>
            <w:noWrap/>
          </w:tcPr>
          <w:p w14:paraId="7FDDA842" w14:textId="56824ACB" w:rsidR="00CD3B7A" w:rsidRDefault="00361423" w:rsidP="00CD3B7A">
            <w:pPr>
              <w:spacing w:after="0" w:line="240" w:lineRule="auto"/>
              <w:jc w:val="center"/>
              <w:rPr>
                <w:rFonts w:cs="Times New Roman"/>
                <w:b/>
                <w:bCs/>
                <w:noProof/>
                <w:color w:val="002060"/>
                <w:sz w:val="18"/>
                <w:szCs w:val="18"/>
              </w:rPr>
            </w:pPr>
            <w:r>
              <w:rPr>
                <w:rFonts w:cs="Calibri"/>
                <w:b/>
                <w:bCs/>
                <w:noProof/>
                <w:color w:val="002060"/>
                <w:sz w:val="18"/>
              </w:rPr>
              <w:t>PO2b</w:t>
            </w:r>
          </w:p>
        </w:tc>
        <w:tc>
          <w:tcPr>
            <w:tcW w:w="2165" w:type="pct"/>
            <w:shd w:val="clear" w:color="auto" w:fill="DBDBE0"/>
            <w:noWrap/>
          </w:tcPr>
          <w:p w14:paraId="758CE402" w14:textId="00A18F09" w:rsidR="00CD3B7A" w:rsidRPr="001329A3" w:rsidRDefault="00CD3B7A" w:rsidP="00CD3B7A">
            <w:pPr>
              <w:spacing w:after="0" w:line="240" w:lineRule="auto"/>
              <w:jc w:val="center"/>
              <w:rPr>
                <w:rFonts w:cs="Times New Roman"/>
                <w:noProof/>
                <w:color w:val="000000"/>
                <w:sz w:val="18"/>
                <w:szCs w:val="18"/>
              </w:rPr>
            </w:pPr>
            <w:r w:rsidRPr="001329A3">
              <w:rPr>
                <w:rFonts w:cs="Calibri"/>
                <w:noProof/>
                <w:color w:val="000000"/>
                <w:sz w:val="18"/>
                <w:szCs w:val="18"/>
              </w:rPr>
              <w:t>++</w:t>
            </w:r>
          </w:p>
        </w:tc>
        <w:tc>
          <w:tcPr>
            <w:tcW w:w="1699" w:type="pct"/>
            <w:shd w:val="clear" w:color="auto" w:fill="DBDBE0"/>
            <w:noWrap/>
          </w:tcPr>
          <w:p w14:paraId="391420A1" w14:textId="6E531145" w:rsidR="00CD3B7A" w:rsidRPr="001329A3" w:rsidRDefault="00CD3B7A" w:rsidP="00CD3B7A">
            <w:pPr>
              <w:spacing w:after="0" w:line="240" w:lineRule="auto"/>
              <w:jc w:val="center"/>
              <w:rPr>
                <w:rFonts w:cs="Times New Roman"/>
                <w:noProof/>
                <w:color w:val="000000"/>
                <w:sz w:val="18"/>
                <w:szCs w:val="18"/>
              </w:rPr>
            </w:pPr>
            <w:r w:rsidRPr="001329A3">
              <w:rPr>
                <w:rFonts w:cs="Times New Roman"/>
                <w:noProof/>
                <w:color w:val="000000"/>
                <w:sz w:val="18"/>
                <w:szCs w:val="18"/>
              </w:rPr>
              <w:t>++</w:t>
            </w:r>
          </w:p>
        </w:tc>
        <w:tc>
          <w:tcPr>
            <w:tcW w:w="593" w:type="pct"/>
            <w:shd w:val="clear" w:color="auto" w:fill="DBDBE0"/>
            <w:noWrap/>
          </w:tcPr>
          <w:p w14:paraId="54349CB9" w14:textId="142CC9C7" w:rsidR="00CD3B7A" w:rsidRPr="001329A3" w:rsidRDefault="00CD3B7A" w:rsidP="00CD3B7A">
            <w:pPr>
              <w:spacing w:after="0" w:line="240" w:lineRule="auto"/>
              <w:jc w:val="center"/>
              <w:rPr>
                <w:rFonts w:cs="Times New Roman"/>
                <w:noProof/>
                <w:color w:val="000000"/>
                <w:sz w:val="18"/>
                <w:szCs w:val="18"/>
              </w:rPr>
            </w:pPr>
            <w:r w:rsidRPr="001329A3">
              <w:rPr>
                <w:rFonts w:cs="Times New Roman"/>
                <w:noProof/>
                <w:color w:val="000000"/>
                <w:sz w:val="18"/>
                <w:szCs w:val="18"/>
              </w:rPr>
              <w:t>++</w:t>
            </w:r>
          </w:p>
        </w:tc>
      </w:tr>
    </w:tbl>
    <w:p w14:paraId="7F08BAB9" w14:textId="00E71CD1" w:rsidR="00E86967" w:rsidRPr="00DD674B" w:rsidRDefault="00C7469E" w:rsidP="00E86967">
      <w:pPr>
        <w:pStyle w:val="BodyText"/>
        <w:spacing w:after="240"/>
        <w:rPr>
          <w:noProof/>
        </w:rPr>
      </w:pPr>
      <w:r w:rsidRPr="00A2325D">
        <w:rPr>
          <w:rFonts w:cs="Calibri"/>
          <w:i/>
          <w:noProof/>
          <w:sz w:val="20"/>
        </w:rPr>
        <w:t xml:space="preserve">Legend: </w:t>
      </w:r>
      <w:r>
        <w:rPr>
          <w:rFonts w:cs="Calibri"/>
          <w:i/>
          <w:noProof/>
          <w:sz w:val="20"/>
        </w:rPr>
        <w:t>- not effective</w:t>
      </w:r>
      <w:r w:rsidRPr="00A2325D">
        <w:rPr>
          <w:rFonts w:cs="Calibri"/>
          <w:i/>
          <w:noProof/>
          <w:sz w:val="20"/>
        </w:rPr>
        <w:t>; + limited</w:t>
      </w:r>
      <w:r w:rsidRPr="009D6F90">
        <w:rPr>
          <w:rFonts w:cs="Calibri"/>
          <w:i/>
          <w:noProof/>
          <w:sz w:val="20"/>
        </w:rPr>
        <w:t xml:space="preserve"> </w:t>
      </w:r>
      <w:r>
        <w:rPr>
          <w:rFonts w:cs="Calibri"/>
          <w:i/>
          <w:noProof/>
          <w:sz w:val="20"/>
        </w:rPr>
        <w:t>effectiveness</w:t>
      </w:r>
      <w:r w:rsidRPr="00A2325D">
        <w:rPr>
          <w:rFonts w:cs="Calibri"/>
          <w:i/>
          <w:noProof/>
          <w:sz w:val="20"/>
        </w:rPr>
        <w:t xml:space="preserve">; ++ </w:t>
      </w:r>
      <w:r>
        <w:rPr>
          <w:rFonts w:cs="Calibri"/>
          <w:i/>
          <w:noProof/>
          <w:sz w:val="20"/>
        </w:rPr>
        <w:t>effective</w:t>
      </w:r>
      <w:r w:rsidRPr="00A2325D">
        <w:rPr>
          <w:rFonts w:cs="Calibri"/>
          <w:i/>
          <w:noProof/>
          <w:sz w:val="20"/>
        </w:rPr>
        <w:t xml:space="preserve">; +++ very </w:t>
      </w:r>
      <w:r>
        <w:rPr>
          <w:rFonts w:cs="Calibri"/>
          <w:i/>
          <w:noProof/>
          <w:sz w:val="20"/>
        </w:rPr>
        <w:t>effective</w:t>
      </w:r>
    </w:p>
    <w:p w14:paraId="187D7097" w14:textId="09BA89FC" w:rsidR="0001000F" w:rsidRDefault="0001000F" w:rsidP="0001000F">
      <w:pPr>
        <w:spacing w:after="240" w:line="240" w:lineRule="auto"/>
        <w:jc w:val="both"/>
        <w:rPr>
          <w:rFonts w:eastAsia="SimSun" w:cstheme="minorHAnsi"/>
          <w:noProof/>
          <w:sz w:val="24"/>
          <w:szCs w:val="24"/>
          <w:lang w:eastAsia="zh-CN"/>
        </w:rPr>
      </w:pPr>
      <w:r w:rsidRPr="003418D0">
        <w:rPr>
          <w:noProof/>
          <w:sz w:val="24"/>
          <w:szCs w:val="24"/>
          <w:lang w:val="en-IE"/>
        </w:rPr>
        <w:t xml:space="preserve">By reversing the burden of proof, </w:t>
      </w:r>
      <w:r>
        <w:rPr>
          <w:noProof/>
          <w:sz w:val="24"/>
          <w:szCs w:val="24"/>
          <w:lang w:val="en-IE"/>
        </w:rPr>
        <w:t xml:space="preserve">Option 2b </w:t>
      </w:r>
      <w:r w:rsidRPr="003418D0">
        <w:rPr>
          <w:noProof/>
          <w:sz w:val="24"/>
          <w:szCs w:val="24"/>
          <w:lang w:val="en-IE"/>
        </w:rPr>
        <w:t xml:space="preserve">would alleviate the difficulties that consumers face. However, especially if taken together with the removal of the development risk defence, </w:t>
      </w:r>
      <w:r>
        <w:rPr>
          <w:noProof/>
          <w:sz w:val="24"/>
          <w:szCs w:val="24"/>
          <w:lang w:val="en-IE"/>
        </w:rPr>
        <w:t xml:space="preserve">this measure would </w:t>
      </w:r>
      <w:r w:rsidRPr="003418D0">
        <w:rPr>
          <w:noProof/>
          <w:sz w:val="24"/>
          <w:szCs w:val="24"/>
          <w:lang w:val="en-IE"/>
        </w:rPr>
        <w:t xml:space="preserve">overly favour consumers, thus undermining a fair balance of interests </w:t>
      </w:r>
      <w:r>
        <w:rPr>
          <w:noProof/>
          <w:sz w:val="24"/>
          <w:szCs w:val="24"/>
          <w:lang w:val="en-IE"/>
        </w:rPr>
        <w:t xml:space="preserve">between consumers and producers. </w:t>
      </w:r>
      <w:r w:rsidRPr="00EF5701">
        <w:rPr>
          <w:rFonts w:eastAsia="SimSun" w:cstheme="minorHAnsi"/>
          <w:noProof/>
          <w:sz w:val="24"/>
          <w:szCs w:val="24"/>
          <w:lang w:eastAsia="zh-CN"/>
        </w:rPr>
        <w:t xml:space="preserve">Reversing the burden of proof and removing the development risk defence </w:t>
      </w:r>
      <w:r>
        <w:rPr>
          <w:rFonts w:eastAsia="SimSun" w:cstheme="minorHAnsi"/>
          <w:noProof/>
          <w:sz w:val="24"/>
          <w:szCs w:val="24"/>
          <w:lang w:eastAsia="zh-CN"/>
        </w:rPr>
        <w:t>would also have negative impact on innovation</w:t>
      </w:r>
      <w:r w:rsidRPr="00EF5701">
        <w:rPr>
          <w:rFonts w:eastAsia="SimSun" w:cstheme="minorHAnsi"/>
          <w:noProof/>
          <w:sz w:val="24"/>
          <w:szCs w:val="24"/>
          <w:lang w:eastAsia="zh-CN"/>
        </w:rPr>
        <w:t>.</w:t>
      </w:r>
    </w:p>
    <w:p w14:paraId="51023F1F" w14:textId="2E191225" w:rsidR="001634B9" w:rsidRDefault="00375556" w:rsidP="0001000F">
      <w:pPr>
        <w:spacing w:after="240" w:line="240" w:lineRule="auto"/>
        <w:jc w:val="both"/>
        <w:rPr>
          <w:noProof/>
          <w:sz w:val="24"/>
          <w:szCs w:val="24"/>
          <w:lang w:val="en-IE"/>
        </w:rPr>
      </w:pPr>
      <w:r>
        <w:rPr>
          <w:noProof/>
          <w:sz w:val="24"/>
          <w:szCs w:val="24"/>
          <w:lang w:val="en-IE"/>
        </w:rPr>
        <w:t>By easing the burden</w:t>
      </w:r>
      <w:r w:rsidRPr="00375556">
        <w:rPr>
          <w:noProof/>
          <w:sz w:val="24"/>
          <w:szCs w:val="24"/>
          <w:lang w:val="en-IE"/>
        </w:rPr>
        <w:t xml:space="preserve"> of proof </w:t>
      </w:r>
      <w:r>
        <w:rPr>
          <w:noProof/>
          <w:sz w:val="24"/>
          <w:szCs w:val="24"/>
          <w:lang w:val="en-IE"/>
        </w:rPr>
        <w:t xml:space="preserve">in the case of complex products, option 2a </w:t>
      </w:r>
      <w:r w:rsidRPr="00375556">
        <w:rPr>
          <w:noProof/>
          <w:sz w:val="24"/>
          <w:szCs w:val="24"/>
          <w:lang w:val="en-IE"/>
        </w:rPr>
        <w:t>would</w:t>
      </w:r>
      <w:r w:rsidRPr="00375556">
        <w:rPr>
          <w:noProof/>
        </w:rPr>
        <w:t xml:space="preserve"> </w:t>
      </w:r>
      <w:r w:rsidRPr="00375556">
        <w:rPr>
          <w:noProof/>
          <w:sz w:val="24"/>
          <w:szCs w:val="24"/>
          <w:lang w:val="en-IE"/>
        </w:rPr>
        <w:t xml:space="preserve">achieve a fairer balance of interests between injured parties and producers. </w:t>
      </w:r>
      <w:r>
        <w:rPr>
          <w:noProof/>
          <w:sz w:val="24"/>
          <w:szCs w:val="24"/>
          <w:lang w:val="en-IE"/>
        </w:rPr>
        <w:t xml:space="preserve">Option 2a </w:t>
      </w:r>
      <w:r w:rsidRPr="00375556">
        <w:rPr>
          <w:noProof/>
          <w:sz w:val="24"/>
          <w:szCs w:val="24"/>
          <w:lang w:val="en-IE"/>
        </w:rPr>
        <w:t>would create greater legal certainty and achieve a more equal level of consumer protection across the EU</w:t>
      </w:r>
      <w:r>
        <w:rPr>
          <w:noProof/>
          <w:sz w:val="24"/>
          <w:szCs w:val="24"/>
          <w:lang w:val="en-IE"/>
        </w:rPr>
        <w:t>, while still</w:t>
      </w:r>
      <w:r w:rsidRPr="00375556">
        <w:rPr>
          <w:noProof/>
          <w:sz w:val="24"/>
          <w:szCs w:val="24"/>
          <w:lang w:val="en-IE"/>
        </w:rPr>
        <w:t xml:space="preserve"> preserving innovation that could be hampered by </w:t>
      </w:r>
      <w:r w:rsidR="00A02E51">
        <w:rPr>
          <w:noProof/>
          <w:sz w:val="24"/>
          <w:szCs w:val="24"/>
          <w:lang w:val="en-IE"/>
        </w:rPr>
        <w:t>further-reaching</w:t>
      </w:r>
      <w:r w:rsidRPr="00375556">
        <w:rPr>
          <w:noProof/>
          <w:sz w:val="24"/>
          <w:szCs w:val="24"/>
          <w:lang w:val="en-IE"/>
        </w:rPr>
        <w:t xml:space="preserve"> measures, especially in innovative sectors like pharmaceuticals and AI, and </w:t>
      </w:r>
      <w:r w:rsidR="00A02E51">
        <w:rPr>
          <w:noProof/>
          <w:sz w:val="24"/>
          <w:szCs w:val="24"/>
          <w:lang w:val="en-IE"/>
        </w:rPr>
        <w:t xml:space="preserve">could </w:t>
      </w:r>
      <w:r w:rsidRPr="00375556">
        <w:rPr>
          <w:noProof/>
          <w:sz w:val="24"/>
          <w:szCs w:val="24"/>
          <w:lang w:val="en-IE"/>
        </w:rPr>
        <w:t>undermine the uptake of new technologies.</w:t>
      </w:r>
    </w:p>
    <w:p w14:paraId="6A4BCA99" w14:textId="7EA21CE6" w:rsidR="005F0A91" w:rsidRDefault="002E7937" w:rsidP="002E7937">
      <w:pPr>
        <w:pStyle w:val="Heading2"/>
        <w:rPr>
          <w:noProof/>
        </w:rPr>
      </w:pPr>
      <w:bookmarkStart w:id="621" w:name="_Toc95379886"/>
      <w:bookmarkStart w:id="622" w:name="_Toc95391375"/>
      <w:bookmarkStart w:id="623" w:name="_Toc95396444"/>
      <w:bookmarkStart w:id="624" w:name="_Toc95421542"/>
      <w:bookmarkStart w:id="625" w:name="_Toc95481989"/>
      <w:bookmarkStart w:id="626" w:name="_Toc96337781"/>
      <w:bookmarkStart w:id="627" w:name="_Toc96446261"/>
      <w:bookmarkStart w:id="628" w:name="_Toc96448033"/>
      <w:bookmarkStart w:id="629" w:name="_Toc96593982"/>
      <w:bookmarkStart w:id="630" w:name="_Toc96597273"/>
      <w:bookmarkStart w:id="631" w:name="_Toc96609208"/>
      <w:bookmarkStart w:id="632" w:name="_Toc97149237"/>
      <w:bookmarkStart w:id="633" w:name="_Toc97191283"/>
      <w:bookmarkStart w:id="634" w:name="_Toc107430093"/>
      <w:r w:rsidRPr="002E7937">
        <w:t>7.2.</w:t>
      </w:r>
      <w:r w:rsidRPr="002E7937">
        <w:tab/>
      </w:r>
      <w:r w:rsidR="002E6C14" w:rsidRPr="0085268A">
        <w:rPr>
          <w:noProof/>
        </w:rPr>
        <w:t>Impact</w:t>
      </w:r>
      <w:r w:rsidR="00255232">
        <w:rPr>
          <w:noProof/>
        </w:rPr>
        <w:t>s</w:t>
      </w:r>
      <w:r w:rsidR="002E6C14" w:rsidRPr="0085268A">
        <w:rPr>
          <w:noProof/>
        </w:rPr>
        <w:t xml:space="preserve"> of policy options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914F737" w14:textId="5381DCFE" w:rsidR="00730F47" w:rsidRDefault="0009699C" w:rsidP="00F15F03">
      <w:pPr>
        <w:spacing w:after="240" w:line="240" w:lineRule="auto"/>
        <w:rPr>
          <w:noProof/>
          <w:sz w:val="24"/>
          <w:szCs w:val="24"/>
        </w:rPr>
      </w:pPr>
      <w:r w:rsidRPr="00F15F03">
        <w:rPr>
          <w:noProof/>
          <w:sz w:val="24"/>
          <w:szCs w:val="24"/>
        </w:rPr>
        <w:t xml:space="preserve">The following table summarises the </w:t>
      </w:r>
      <w:r w:rsidR="00DD674B">
        <w:rPr>
          <w:noProof/>
          <w:sz w:val="24"/>
          <w:szCs w:val="24"/>
        </w:rPr>
        <w:t xml:space="preserve">costs and benefits, for each policy option, quantified and presented in </w:t>
      </w:r>
      <w:r w:rsidR="00730F47" w:rsidRPr="00F15F03">
        <w:rPr>
          <w:noProof/>
          <w:sz w:val="24"/>
          <w:szCs w:val="24"/>
        </w:rPr>
        <w:t xml:space="preserve">section 6. </w:t>
      </w:r>
    </w:p>
    <w:p w14:paraId="7A50DA27" w14:textId="15A877E1" w:rsidR="004A53B9" w:rsidRPr="00904B8B" w:rsidRDefault="00904B8B" w:rsidP="00904B8B">
      <w:pPr>
        <w:pStyle w:val="Caption"/>
        <w:spacing w:after="0"/>
        <w:rPr>
          <w:noProof/>
          <w:color w:val="auto"/>
          <w:sz w:val="24"/>
          <w:szCs w:val="24"/>
          <w:lang w:val="en-IE"/>
        </w:rPr>
      </w:pPr>
      <w:r w:rsidRPr="00904B8B">
        <w:rPr>
          <w:noProof/>
          <w:color w:val="auto"/>
          <w:sz w:val="24"/>
          <w:szCs w:val="24"/>
        </w:rPr>
        <w:t xml:space="preserve">Table </w:t>
      </w:r>
      <w:r w:rsidRPr="00904B8B">
        <w:rPr>
          <w:noProof/>
          <w:color w:val="auto"/>
          <w:sz w:val="24"/>
          <w:szCs w:val="24"/>
        </w:rPr>
        <w:fldChar w:fldCharType="begin"/>
      </w:r>
      <w:r w:rsidRPr="00904B8B">
        <w:rPr>
          <w:noProof/>
          <w:color w:val="auto"/>
          <w:sz w:val="24"/>
          <w:szCs w:val="24"/>
        </w:rPr>
        <w:instrText xml:space="preserve"> SEQ Table \* ARABIC </w:instrText>
      </w:r>
      <w:r w:rsidRPr="00904B8B">
        <w:rPr>
          <w:noProof/>
          <w:color w:val="auto"/>
          <w:sz w:val="24"/>
          <w:szCs w:val="24"/>
        </w:rPr>
        <w:fldChar w:fldCharType="separate"/>
      </w:r>
      <w:r w:rsidR="00BC2C3A">
        <w:rPr>
          <w:noProof/>
          <w:color w:val="auto"/>
          <w:sz w:val="24"/>
          <w:szCs w:val="24"/>
        </w:rPr>
        <w:t>5</w:t>
      </w:r>
      <w:r w:rsidRPr="00904B8B">
        <w:rPr>
          <w:noProof/>
          <w:color w:val="auto"/>
          <w:sz w:val="24"/>
          <w:szCs w:val="24"/>
        </w:rPr>
        <w:fldChar w:fldCharType="end"/>
      </w:r>
      <w:r>
        <w:rPr>
          <w:noProof/>
          <w:color w:val="auto"/>
          <w:sz w:val="24"/>
          <w:szCs w:val="24"/>
        </w:rPr>
        <w:t xml:space="preserve">: </w:t>
      </w:r>
      <w:r w:rsidR="004A53B9" w:rsidRPr="00904B8B">
        <w:rPr>
          <w:noProof/>
          <w:color w:val="auto"/>
          <w:sz w:val="24"/>
          <w:szCs w:val="24"/>
          <w:lang w:val="en-IE"/>
        </w:rPr>
        <w:t xml:space="preserve">Costs </w:t>
      </w:r>
      <w:r w:rsidR="00BA75E5" w:rsidRPr="00904B8B">
        <w:rPr>
          <w:noProof/>
          <w:color w:val="auto"/>
          <w:sz w:val="24"/>
          <w:szCs w:val="24"/>
          <w:lang w:val="en-IE"/>
        </w:rPr>
        <w:t>&amp; Benefits summary table (EUR million</w:t>
      </w:r>
      <w:r w:rsidR="003948CA" w:rsidRPr="00904B8B">
        <w:rPr>
          <w:noProof/>
          <w:color w:val="auto"/>
          <w:sz w:val="24"/>
          <w:szCs w:val="24"/>
          <w:lang w:val="en-IE"/>
        </w:rPr>
        <w:t xml:space="preserve"> annual</w:t>
      </w:r>
      <w:r w:rsidR="00BA75E5" w:rsidRPr="00904B8B">
        <w:rPr>
          <w:noProof/>
          <w:color w:val="auto"/>
          <w:sz w:val="24"/>
          <w:szCs w:val="24"/>
          <w:lang w:val="en-IE"/>
        </w:rPr>
        <w:t>)</w:t>
      </w:r>
    </w:p>
    <w:tbl>
      <w:tblPr>
        <w:tblStyle w:val="CSEStable"/>
        <w:tblW w:w="4952" w:type="pct"/>
        <w:jc w:val="center"/>
        <w:tblLayout w:type="fixed"/>
        <w:tblLook w:val="04A0" w:firstRow="1" w:lastRow="0" w:firstColumn="1" w:lastColumn="0" w:noHBand="0" w:noVBand="1"/>
      </w:tblPr>
      <w:tblGrid>
        <w:gridCol w:w="776"/>
        <w:gridCol w:w="1559"/>
        <w:gridCol w:w="1417"/>
        <w:gridCol w:w="1277"/>
        <w:gridCol w:w="1416"/>
        <w:gridCol w:w="1004"/>
        <w:gridCol w:w="1300"/>
      </w:tblGrid>
      <w:tr w:rsidR="00DD674B" w:rsidRPr="00CD3B7A" w14:paraId="01EC69DD" w14:textId="77777777" w:rsidTr="00CD3B7A">
        <w:trPr>
          <w:cnfStyle w:val="100000000000" w:firstRow="1" w:lastRow="0" w:firstColumn="0" w:lastColumn="0" w:oddVBand="0" w:evenVBand="0" w:oddHBand="0" w:evenHBand="0" w:firstRowFirstColumn="0" w:firstRowLastColumn="0" w:lastRowFirstColumn="0" w:lastRowLastColumn="0"/>
          <w:trHeight w:val="618"/>
          <w:tblHeader/>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D957791" w14:textId="77777777" w:rsidR="00DD674B" w:rsidRPr="00CD3B7A" w:rsidRDefault="00DD674B" w:rsidP="0009699C">
            <w:pPr>
              <w:jc w:val="center"/>
              <w:rPr>
                <w:noProof/>
                <w:szCs w:val="20"/>
              </w:rPr>
            </w:pPr>
          </w:p>
        </w:tc>
        <w:tc>
          <w:tcPr>
            <w:tcW w:w="170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18A661" w14:textId="41EECEAE" w:rsidR="00DD674B" w:rsidRPr="00CD3B7A" w:rsidRDefault="00DD674B" w:rsidP="00DD674B">
            <w:pPr>
              <w:jc w:val="center"/>
              <w:rPr>
                <w:bCs/>
                <w:noProof/>
                <w:szCs w:val="20"/>
              </w:rPr>
            </w:pPr>
            <w:r w:rsidRPr="00CD3B7A">
              <w:rPr>
                <w:bCs/>
                <w:noProof/>
                <w:szCs w:val="20"/>
              </w:rPr>
              <w:t>Incremental benefits compared to baseline</w:t>
            </w:r>
          </w:p>
        </w:tc>
        <w:tc>
          <w:tcPr>
            <w:tcW w:w="285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EFED98B" w14:textId="43C93705" w:rsidR="00DD674B" w:rsidRPr="00CD3B7A" w:rsidRDefault="00DD674B" w:rsidP="00BC1AA8">
            <w:pPr>
              <w:jc w:val="center"/>
              <w:rPr>
                <w:noProof/>
                <w:szCs w:val="20"/>
              </w:rPr>
            </w:pPr>
            <w:r w:rsidRPr="00CD3B7A">
              <w:rPr>
                <w:rFonts w:cs="Times New Roman"/>
                <w:noProof/>
                <w:szCs w:val="20"/>
              </w:rPr>
              <w:t>Incremental costs compared to baseline</w:t>
            </w:r>
          </w:p>
        </w:tc>
      </w:tr>
      <w:tr w:rsidR="00D77751" w:rsidRPr="00CD3B7A" w14:paraId="5E7587CE" w14:textId="7400A9C5" w:rsidTr="00CD3B7A">
        <w:trPr>
          <w:cnfStyle w:val="100000000000" w:firstRow="1" w:lastRow="0" w:firstColumn="0" w:lastColumn="0" w:oddVBand="0" w:evenVBand="0" w:oddHBand="0" w:evenHBand="0" w:firstRowFirstColumn="0" w:firstRowLastColumn="0" w:lastRowFirstColumn="0" w:lastRowLastColumn="0"/>
          <w:trHeight w:val="618"/>
          <w:tblHeader/>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DA9C39C" w14:textId="11EFF77B" w:rsidR="0009699C" w:rsidRPr="00CD3B7A" w:rsidRDefault="0009699C" w:rsidP="0009699C">
            <w:pPr>
              <w:jc w:val="center"/>
              <w:rPr>
                <w:b w:val="0"/>
                <w:noProof/>
                <w:szCs w:val="20"/>
              </w:rPr>
            </w:pPr>
          </w:p>
        </w:tc>
        <w:tc>
          <w:tcPr>
            <w:tcW w:w="170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5ABE4CD" w14:textId="673C114F" w:rsidR="0009699C" w:rsidRPr="00CD3B7A" w:rsidRDefault="0009699C" w:rsidP="00DD674B">
            <w:pPr>
              <w:jc w:val="center"/>
              <w:rPr>
                <w:b w:val="0"/>
                <w:bCs/>
                <w:noProof/>
                <w:szCs w:val="20"/>
              </w:rPr>
            </w:pPr>
            <w:r w:rsidRPr="00CD3B7A">
              <w:rPr>
                <w:b w:val="0"/>
                <w:bCs/>
                <w:noProof/>
                <w:szCs w:val="20"/>
              </w:rPr>
              <w:t xml:space="preserve">Incremental </w:t>
            </w:r>
            <w:r w:rsidR="00DD674B" w:rsidRPr="00CD3B7A">
              <w:rPr>
                <w:b w:val="0"/>
                <w:bCs/>
                <w:noProof/>
                <w:szCs w:val="20"/>
              </w:rPr>
              <w:t xml:space="preserve">annual </w:t>
            </w:r>
            <w:r w:rsidRPr="00CD3B7A">
              <w:rPr>
                <w:b w:val="0"/>
                <w:bCs/>
                <w:noProof/>
                <w:szCs w:val="20"/>
              </w:rPr>
              <w:t xml:space="preserve">compensation </w:t>
            </w:r>
            <w:r w:rsidR="00BA75E5" w:rsidRPr="00CD3B7A">
              <w:rPr>
                <w:b w:val="0"/>
                <w:bCs/>
                <w:noProof/>
                <w:szCs w:val="20"/>
              </w:rPr>
              <w:t>paid to victims</w:t>
            </w:r>
            <w:r w:rsidR="00DD674B" w:rsidRPr="00CD3B7A">
              <w:rPr>
                <w:b w:val="0"/>
                <w:bCs/>
                <w:noProof/>
                <w:szCs w:val="20"/>
                <w:vertAlign w:val="superscript"/>
              </w:rPr>
              <w:t>(*)</w:t>
            </w:r>
          </w:p>
        </w:tc>
        <w:tc>
          <w:tcPr>
            <w:tcW w:w="153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43231AC" w14:textId="40841782" w:rsidR="0009699C" w:rsidRPr="00CD3B7A" w:rsidRDefault="00DD674B" w:rsidP="00DD674B">
            <w:pPr>
              <w:jc w:val="center"/>
              <w:rPr>
                <w:rFonts w:cs="Times New Roman"/>
                <w:b w:val="0"/>
                <w:noProof/>
                <w:szCs w:val="20"/>
              </w:rPr>
            </w:pPr>
            <w:r w:rsidRPr="00CD3B7A">
              <w:rPr>
                <w:rFonts w:cs="Times New Roman"/>
                <w:b w:val="0"/>
                <w:noProof/>
                <w:szCs w:val="20"/>
              </w:rPr>
              <w:t>Incremental annual product liability</w:t>
            </w:r>
            <w:r w:rsidR="0009699C" w:rsidRPr="00CD3B7A">
              <w:rPr>
                <w:rFonts w:cs="Times New Roman"/>
                <w:b w:val="0"/>
                <w:noProof/>
                <w:szCs w:val="20"/>
              </w:rPr>
              <w:t xml:space="preserve"> insurance </w:t>
            </w:r>
            <w:r w:rsidRPr="00CD3B7A">
              <w:rPr>
                <w:rFonts w:cs="Times New Roman"/>
                <w:b w:val="0"/>
                <w:noProof/>
                <w:szCs w:val="20"/>
              </w:rPr>
              <w:t xml:space="preserve">costs </w:t>
            </w:r>
          </w:p>
        </w:tc>
        <w:tc>
          <w:tcPr>
            <w:tcW w:w="13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87DEED0" w14:textId="505FF209" w:rsidR="0009699C" w:rsidRPr="00CD3B7A" w:rsidRDefault="0009699C" w:rsidP="00CB48DE">
            <w:pPr>
              <w:jc w:val="center"/>
              <w:rPr>
                <w:rFonts w:cs="Times New Roman"/>
                <w:b w:val="0"/>
                <w:noProof/>
                <w:szCs w:val="20"/>
              </w:rPr>
            </w:pPr>
            <w:r w:rsidRPr="00CD3B7A">
              <w:rPr>
                <w:b w:val="0"/>
                <w:noProof/>
                <w:szCs w:val="20"/>
              </w:rPr>
              <w:t xml:space="preserve">Incremental annual </w:t>
            </w:r>
            <w:r w:rsidR="00592156" w:rsidRPr="00CD3B7A">
              <w:rPr>
                <w:b w:val="0"/>
                <w:noProof/>
                <w:szCs w:val="20"/>
              </w:rPr>
              <w:t xml:space="preserve">legal </w:t>
            </w:r>
            <w:r w:rsidRPr="00CD3B7A">
              <w:rPr>
                <w:b w:val="0"/>
                <w:noProof/>
                <w:szCs w:val="20"/>
              </w:rPr>
              <w:t>costs</w:t>
            </w:r>
          </w:p>
        </w:tc>
      </w:tr>
      <w:tr w:rsidR="00E7787F" w14:paraId="33808937" w14:textId="723F9254" w:rsidTr="00CD3B7A">
        <w:trPr>
          <w:cnfStyle w:val="100000000000" w:firstRow="1" w:lastRow="0" w:firstColumn="0" w:lastColumn="0" w:oddVBand="0" w:evenVBand="0" w:oddHBand="0" w:evenHBand="0" w:firstRowFirstColumn="0" w:firstRowLastColumn="0" w:lastRowFirstColumn="0" w:lastRowLastColumn="0"/>
          <w:tblHeader/>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A9667D4" w14:textId="77777777" w:rsidR="0009699C" w:rsidRPr="003A32FD" w:rsidRDefault="0009699C" w:rsidP="0009699C">
            <w:pPr>
              <w:jc w:val="center"/>
              <w:rPr>
                <w:noProof/>
                <w:szCs w:val="20"/>
              </w:rPr>
            </w:pPr>
          </w:p>
        </w:tc>
        <w:tc>
          <w:tcPr>
            <w:tcW w:w="8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719D841" w14:textId="2B154727" w:rsidR="0009699C" w:rsidRPr="003A32FD" w:rsidRDefault="0009699C" w:rsidP="0009699C">
            <w:pPr>
              <w:jc w:val="center"/>
              <w:rPr>
                <w:b w:val="0"/>
                <w:noProof/>
                <w:szCs w:val="20"/>
              </w:rPr>
            </w:pPr>
            <w:r w:rsidRPr="007136FF">
              <w:rPr>
                <w:b w:val="0"/>
                <w:bCs/>
                <w:noProof/>
                <w:szCs w:val="20"/>
              </w:rPr>
              <w:t>Low end</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589FDD8" w14:textId="226A576F" w:rsidR="0009699C" w:rsidRPr="003A32FD" w:rsidRDefault="0009699C" w:rsidP="0009699C">
            <w:pPr>
              <w:jc w:val="center"/>
              <w:rPr>
                <w:b w:val="0"/>
                <w:noProof/>
                <w:szCs w:val="20"/>
              </w:rPr>
            </w:pPr>
            <w:r w:rsidRPr="007136FF">
              <w:rPr>
                <w:b w:val="0"/>
                <w:bCs/>
                <w:noProof/>
                <w:szCs w:val="20"/>
              </w:rPr>
              <w:t>High end</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9DC2534" w14:textId="659C8F38" w:rsidR="0009699C" w:rsidRPr="00051412" w:rsidRDefault="0009699C" w:rsidP="0009699C">
            <w:pPr>
              <w:jc w:val="center"/>
              <w:rPr>
                <w:rFonts w:cs="Times New Roman"/>
                <w:b w:val="0"/>
                <w:noProof/>
                <w:szCs w:val="20"/>
              </w:rPr>
            </w:pPr>
            <w:r w:rsidRPr="007136FF">
              <w:rPr>
                <w:b w:val="0"/>
                <w:bCs/>
                <w:noProof/>
                <w:szCs w:val="20"/>
              </w:rPr>
              <w:t>Low end</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D8C1EA5" w14:textId="422F432A" w:rsidR="0009699C" w:rsidRPr="00051412" w:rsidRDefault="0009699C" w:rsidP="0009699C">
            <w:pPr>
              <w:jc w:val="center"/>
              <w:rPr>
                <w:rFonts w:cs="Times New Roman"/>
                <w:b w:val="0"/>
                <w:noProof/>
                <w:szCs w:val="20"/>
              </w:rPr>
            </w:pPr>
            <w:r w:rsidRPr="007136FF">
              <w:rPr>
                <w:b w:val="0"/>
                <w:bCs/>
                <w:noProof/>
                <w:szCs w:val="20"/>
              </w:rPr>
              <w:t>High end</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51220FC" w14:textId="2D3BBFFD" w:rsidR="0009699C" w:rsidRPr="003A32FD" w:rsidRDefault="0009699C" w:rsidP="0009699C">
            <w:pPr>
              <w:jc w:val="center"/>
              <w:rPr>
                <w:b w:val="0"/>
                <w:noProof/>
                <w:szCs w:val="20"/>
              </w:rPr>
            </w:pPr>
            <w:r w:rsidRPr="007136FF">
              <w:rPr>
                <w:b w:val="0"/>
                <w:bCs/>
                <w:noProof/>
                <w:szCs w:val="20"/>
              </w:rPr>
              <w:t>Low end</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BDD8885" w14:textId="6841125E" w:rsidR="0009699C" w:rsidRPr="003A32FD" w:rsidRDefault="0009699C" w:rsidP="0009699C">
            <w:pPr>
              <w:jc w:val="center"/>
              <w:rPr>
                <w:b w:val="0"/>
                <w:noProof/>
                <w:szCs w:val="20"/>
              </w:rPr>
            </w:pPr>
            <w:r w:rsidRPr="007136FF">
              <w:rPr>
                <w:b w:val="0"/>
                <w:bCs/>
                <w:noProof/>
                <w:szCs w:val="20"/>
              </w:rPr>
              <w:t>High end</w:t>
            </w:r>
          </w:p>
        </w:tc>
      </w:tr>
      <w:tr w:rsidR="00E45E21" w14:paraId="3D76BE3D" w14:textId="256FEDB4" w:rsidTr="00CD3B7A">
        <w:trPr>
          <w:trHeight w:val="21"/>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41249DD8" w14:textId="0582D22D" w:rsidR="00E45E21" w:rsidRPr="0019737A" w:rsidRDefault="00E45E21" w:rsidP="0019737A">
            <w:pPr>
              <w:rPr>
                <w:rFonts w:cs="Calibri"/>
                <w:b/>
                <w:bCs/>
                <w:noProof/>
                <w:color w:val="002060"/>
                <w:sz w:val="18"/>
              </w:rPr>
            </w:pPr>
            <w:r w:rsidRPr="0019737A">
              <w:rPr>
                <w:rFonts w:cs="Calibri"/>
                <w:b/>
                <w:bCs/>
                <w:noProof/>
                <w:color w:val="002060"/>
                <w:sz w:val="18"/>
              </w:rPr>
              <w:t>PO1a</w:t>
            </w:r>
          </w:p>
        </w:tc>
        <w:tc>
          <w:tcPr>
            <w:tcW w:w="8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8C6DE5D" w14:textId="67DD0AE3" w:rsidR="00E45E21" w:rsidRPr="00AA67A8" w:rsidRDefault="00AA67A8" w:rsidP="004515E2">
            <w:pPr>
              <w:jc w:val="center"/>
              <w:rPr>
                <w:rFonts w:cstheme="minorHAnsi"/>
                <w:noProof/>
                <w:szCs w:val="20"/>
              </w:rPr>
            </w:pPr>
            <w:r w:rsidRPr="00AA67A8">
              <w:rPr>
                <w:noProof/>
                <w:szCs w:val="20"/>
              </w:rPr>
              <w:t>0.0</w:t>
            </w:r>
            <w:r w:rsidR="004515E2">
              <w:rPr>
                <w:noProof/>
                <w:szCs w:val="20"/>
              </w:rPr>
              <w:t>7</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504D3854" w14:textId="55BD0BA9" w:rsidR="00E45E21" w:rsidRPr="00AA67A8" w:rsidRDefault="004515E2" w:rsidP="004515E2">
            <w:pPr>
              <w:jc w:val="center"/>
              <w:rPr>
                <w:rFonts w:cstheme="minorHAnsi"/>
                <w:noProof/>
                <w:szCs w:val="20"/>
              </w:rPr>
            </w:pPr>
            <w:r>
              <w:rPr>
                <w:noProof/>
                <w:szCs w:val="20"/>
              </w:rPr>
              <w:t>14.47</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2B6731D" w14:textId="066E47D8" w:rsidR="00E45E21" w:rsidRPr="00AA67A8" w:rsidRDefault="00AA67A8" w:rsidP="00E45E21">
            <w:pPr>
              <w:jc w:val="center"/>
              <w:rPr>
                <w:noProof/>
                <w:szCs w:val="20"/>
              </w:rPr>
            </w:pPr>
            <w:r w:rsidRPr="00AA67A8">
              <w:rPr>
                <w:noProof/>
                <w:szCs w:val="20"/>
              </w:rPr>
              <w:t>1.2</w:t>
            </w:r>
            <w:r w:rsidR="00E45E21" w:rsidRPr="00AA67A8">
              <w:rPr>
                <w:noProof/>
                <w:szCs w:val="20"/>
              </w:rPr>
              <w:t>1</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C6AEB6F" w14:textId="2C82877A" w:rsidR="00E45E21" w:rsidRPr="00AA67A8" w:rsidRDefault="00AA67A8" w:rsidP="00E45E21">
            <w:pPr>
              <w:jc w:val="center"/>
              <w:rPr>
                <w:noProof/>
                <w:szCs w:val="20"/>
              </w:rPr>
            </w:pPr>
            <w:r w:rsidRPr="00AA67A8">
              <w:rPr>
                <w:noProof/>
                <w:szCs w:val="20"/>
              </w:rPr>
              <w:t>2.41</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7FEF64B" w14:textId="7698B6BB" w:rsidR="00E45E21" w:rsidRPr="00AA67A8" w:rsidRDefault="00815C91" w:rsidP="004515E2">
            <w:pPr>
              <w:jc w:val="center"/>
              <w:rPr>
                <w:rFonts w:cs="Times New Roman"/>
                <w:noProof/>
                <w:szCs w:val="20"/>
              </w:rPr>
            </w:pPr>
            <w:r>
              <w:rPr>
                <w:noProof/>
              </w:rPr>
              <w:t>0.</w:t>
            </w:r>
            <w:r w:rsidR="004515E2">
              <w:rPr>
                <w:noProof/>
              </w:rPr>
              <w:t>41</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1FED0BB" w14:textId="39A0A8E4" w:rsidR="00E45E21" w:rsidRPr="00AA67A8" w:rsidRDefault="004515E2" w:rsidP="004515E2">
            <w:pPr>
              <w:jc w:val="center"/>
              <w:rPr>
                <w:rFonts w:cs="Times New Roman"/>
                <w:noProof/>
                <w:szCs w:val="20"/>
              </w:rPr>
            </w:pPr>
            <w:r>
              <w:rPr>
                <w:noProof/>
              </w:rPr>
              <w:t>1.02</w:t>
            </w:r>
            <w:r w:rsidDel="004515E2">
              <w:rPr>
                <w:noProof/>
              </w:rPr>
              <w:t xml:space="preserve"> </w:t>
            </w:r>
          </w:p>
        </w:tc>
      </w:tr>
      <w:tr w:rsidR="00E45E21" w14:paraId="22715EF3" w14:textId="379A7492" w:rsidTr="00CD3B7A">
        <w:trPr>
          <w:trHeight w:val="21"/>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F6D0E31" w14:textId="79BEB0BB" w:rsidR="00E45E21" w:rsidRPr="0019737A" w:rsidRDefault="00E45E21" w:rsidP="0019737A">
            <w:pPr>
              <w:rPr>
                <w:rFonts w:cs="Calibri"/>
                <w:b/>
                <w:bCs/>
                <w:noProof/>
                <w:color w:val="002060"/>
                <w:sz w:val="18"/>
              </w:rPr>
            </w:pPr>
            <w:r w:rsidRPr="0019737A">
              <w:rPr>
                <w:rFonts w:cs="Calibri"/>
                <w:b/>
                <w:bCs/>
                <w:noProof/>
                <w:color w:val="002060"/>
                <w:sz w:val="18"/>
              </w:rPr>
              <w:t>PO1b</w:t>
            </w:r>
          </w:p>
        </w:tc>
        <w:tc>
          <w:tcPr>
            <w:tcW w:w="8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28C3447" w14:textId="12B42706" w:rsidR="00E45E21" w:rsidRPr="00AA67A8" w:rsidRDefault="00A355FB" w:rsidP="004515E2">
            <w:pPr>
              <w:jc w:val="center"/>
              <w:rPr>
                <w:noProof/>
                <w:szCs w:val="20"/>
              </w:rPr>
            </w:pPr>
            <w:r>
              <w:rPr>
                <w:noProof/>
                <w:szCs w:val="20"/>
              </w:rPr>
              <w:t>0.</w:t>
            </w:r>
            <w:r w:rsidR="004515E2">
              <w:rPr>
                <w:noProof/>
                <w:szCs w:val="20"/>
              </w:rPr>
              <w:t>15</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37BE8141" w14:textId="0F09FE08" w:rsidR="00E45E21" w:rsidRPr="00AA67A8" w:rsidRDefault="004515E2" w:rsidP="004515E2">
            <w:pPr>
              <w:jc w:val="center"/>
              <w:rPr>
                <w:noProof/>
                <w:szCs w:val="20"/>
              </w:rPr>
            </w:pPr>
            <w:r>
              <w:rPr>
                <w:noProof/>
                <w:szCs w:val="20"/>
              </w:rPr>
              <w:t>22.13</w:t>
            </w:r>
            <w:r w:rsidDel="004515E2">
              <w:rPr>
                <w:noProof/>
                <w:szCs w:val="20"/>
              </w:rPr>
              <w:t xml:space="preserve"> </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F654996" w14:textId="776AAB21" w:rsidR="00E45E21" w:rsidRPr="00AA67A8" w:rsidRDefault="00815C91" w:rsidP="00815C91">
            <w:pPr>
              <w:jc w:val="center"/>
              <w:rPr>
                <w:noProof/>
                <w:szCs w:val="20"/>
              </w:rPr>
            </w:pPr>
            <w:r>
              <w:rPr>
                <w:noProof/>
                <w:szCs w:val="20"/>
              </w:rPr>
              <w:t>4.35</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2BC4D4C3" w14:textId="099DEF04" w:rsidR="00E45E21" w:rsidRPr="00AA67A8" w:rsidRDefault="00815C91" w:rsidP="00A355FB">
            <w:pPr>
              <w:jc w:val="center"/>
              <w:rPr>
                <w:noProof/>
                <w:szCs w:val="20"/>
              </w:rPr>
            </w:pPr>
            <w:r>
              <w:rPr>
                <w:noProof/>
                <w:szCs w:val="20"/>
              </w:rPr>
              <w:t>8.</w:t>
            </w:r>
            <w:r w:rsidR="00A355FB">
              <w:rPr>
                <w:noProof/>
                <w:szCs w:val="20"/>
              </w:rPr>
              <w:t>69</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457EF88" w14:textId="48B8B1EC" w:rsidR="00E45E21" w:rsidRPr="00AA67A8" w:rsidRDefault="004515E2" w:rsidP="004515E2">
            <w:pPr>
              <w:jc w:val="center"/>
              <w:rPr>
                <w:rFonts w:cs="Times New Roman"/>
                <w:noProof/>
                <w:szCs w:val="20"/>
              </w:rPr>
            </w:pPr>
            <w:r>
              <w:rPr>
                <w:noProof/>
              </w:rPr>
              <w:t>1.12</w:t>
            </w:r>
            <w:r w:rsidDel="004515E2">
              <w:rPr>
                <w:noProof/>
              </w:rPr>
              <w:t xml:space="preserve"> </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B76C853" w14:textId="2F51E77D" w:rsidR="00E45E21" w:rsidRPr="00AA67A8" w:rsidRDefault="000700A6" w:rsidP="004515E2">
            <w:pPr>
              <w:jc w:val="center"/>
              <w:rPr>
                <w:rFonts w:cs="Times New Roman"/>
                <w:noProof/>
                <w:szCs w:val="20"/>
              </w:rPr>
            </w:pPr>
            <w:r>
              <w:rPr>
                <w:noProof/>
              </w:rPr>
              <w:t>2.</w:t>
            </w:r>
            <w:r w:rsidR="004515E2">
              <w:rPr>
                <w:noProof/>
              </w:rPr>
              <w:t>75</w:t>
            </w:r>
          </w:p>
        </w:tc>
      </w:tr>
      <w:tr w:rsidR="00E45E21" w14:paraId="1AA1C737" w14:textId="56EFF656" w:rsidTr="00CD3B7A">
        <w:trPr>
          <w:trHeight w:val="173"/>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2545CED" w14:textId="6D8E1E99" w:rsidR="00E45E21" w:rsidRPr="0019737A" w:rsidRDefault="00E45E21" w:rsidP="0019737A">
            <w:pPr>
              <w:rPr>
                <w:rFonts w:cs="Calibri"/>
                <w:b/>
                <w:bCs/>
                <w:noProof/>
                <w:color w:val="002060"/>
                <w:sz w:val="18"/>
              </w:rPr>
            </w:pPr>
            <w:r w:rsidRPr="0019737A">
              <w:rPr>
                <w:rFonts w:cs="Calibri"/>
                <w:b/>
                <w:bCs/>
                <w:noProof/>
                <w:color w:val="002060"/>
                <w:sz w:val="18"/>
              </w:rPr>
              <w:t>PO1c</w:t>
            </w:r>
          </w:p>
        </w:tc>
        <w:tc>
          <w:tcPr>
            <w:tcW w:w="8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321EDBA7" w14:textId="0C05F208" w:rsidR="00E45E21" w:rsidRPr="00AA67A8" w:rsidRDefault="00E45E21" w:rsidP="004515E2">
            <w:pPr>
              <w:jc w:val="center"/>
              <w:rPr>
                <w:noProof/>
                <w:szCs w:val="20"/>
              </w:rPr>
            </w:pPr>
            <w:r w:rsidRPr="00AA67A8">
              <w:rPr>
                <w:noProof/>
                <w:szCs w:val="20"/>
              </w:rPr>
              <w:t>0.</w:t>
            </w:r>
            <w:r w:rsidR="00BC7222">
              <w:rPr>
                <w:noProof/>
                <w:szCs w:val="20"/>
              </w:rPr>
              <w:t>1</w:t>
            </w:r>
            <w:r w:rsidR="004515E2">
              <w:rPr>
                <w:noProof/>
                <w:szCs w:val="20"/>
              </w:rPr>
              <w:t>7</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4DD58BA" w14:textId="65918839" w:rsidR="00E45E21" w:rsidRPr="00AA67A8" w:rsidRDefault="004515E2" w:rsidP="004515E2">
            <w:pPr>
              <w:jc w:val="center"/>
              <w:rPr>
                <w:noProof/>
                <w:szCs w:val="20"/>
              </w:rPr>
            </w:pPr>
            <w:r>
              <w:rPr>
                <w:noProof/>
                <w:szCs w:val="20"/>
              </w:rPr>
              <w:t>47.70</w:t>
            </w:r>
            <w:r w:rsidDel="004515E2">
              <w:rPr>
                <w:noProof/>
                <w:szCs w:val="20"/>
              </w:rPr>
              <w:t xml:space="preserve"> </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07AB649" w14:textId="1CF741FA" w:rsidR="00E45E21" w:rsidRPr="00AA67A8" w:rsidRDefault="00815C91" w:rsidP="00815C91">
            <w:pPr>
              <w:jc w:val="center"/>
              <w:rPr>
                <w:noProof/>
                <w:szCs w:val="20"/>
              </w:rPr>
            </w:pPr>
            <w:r>
              <w:rPr>
                <w:noProof/>
                <w:szCs w:val="20"/>
              </w:rPr>
              <w:t>6.55</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EAFC5E4" w14:textId="286B5B11" w:rsidR="00E45E21" w:rsidRPr="00AA67A8" w:rsidRDefault="00815C91" w:rsidP="00A355FB">
            <w:pPr>
              <w:jc w:val="center"/>
              <w:rPr>
                <w:noProof/>
                <w:szCs w:val="20"/>
              </w:rPr>
            </w:pPr>
            <w:r>
              <w:rPr>
                <w:noProof/>
                <w:szCs w:val="20"/>
              </w:rPr>
              <w:t>13.1</w:t>
            </w:r>
            <w:r w:rsidR="00A355FB">
              <w:rPr>
                <w:noProof/>
                <w:szCs w:val="20"/>
              </w:rPr>
              <w:t>0</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CD25CC1" w14:textId="6F1951CC" w:rsidR="00E45E21" w:rsidRPr="00AA67A8" w:rsidRDefault="00815C91" w:rsidP="004515E2">
            <w:pPr>
              <w:jc w:val="center"/>
              <w:rPr>
                <w:rFonts w:cs="Times New Roman"/>
                <w:noProof/>
                <w:szCs w:val="20"/>
              </w:rPr>
            </w:pPr>
            <w:r>
              <w:rPr>
                <w:noProof/>
              </w:rPr>
              <w:t>1.</w:t>
            </w:r>
            <w:r w:rsidR="004515E2">
              <w:rPr>
                <w:noProof/>
              </w:rPr>
              <w:t>83</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ECA2772" w14:textId="4D8DB1A9" w:rsidR="00E45E21" w:rsidRPr="00AA67A8" w:rsidRDefault="004515E2" w:rsidP="004515E2">
            <w:pPr>
              <w:jc w:val="center"/>
              <w:rPr>
                <w:rFonts w:cs="Times New Roman"/>
                <w:noProof/>
                <w:szCs w:val="20"/>
              </w:rPr>
            </w:pPr>
            <w:r>
              <w:rPr>
                <w:noProof/>
              </w:rPr>
              <w:t>4.50</w:t>
            </w:r>
            <w:r w:rsidDel="004515E2">
              <w:rPr>
                <w:noProof/>
              </w:rPr>
              <w:t xml:space="preserve"> </w:t>
            </w:r>
          </w:p>
        </w:tc>
      </w:tr>
      <w:tr w:rsidR="00E45E21" w14:paraId="318626A1" w14:textId="3C5810F6" w:rsidTr="00CD3B7A">
        <w:trPr>
          <w:trHeight w:val="157"/>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4B64552F" w14:textId="52A3B478" w:rsidR="00E45E21" w:rsidRPr="0019737A" w:rsidRDefault="00E45E21" w:rsidP="0019737A">
            <w:pPr>
              <w:rPr>
                <w:rFonts w:cs="Calibri"/>
                <w:b/>
                <w:bCs/>
                <w:noProof/>
                <w:color w:val="002060"/>
                <w:sz w:val="18"/>
              </w:rPr>
            </w:pPr>
            <w:r w:rsidRPr="0019737A">
              <w:rPr>
                <w:rFonts w:cs="Calibri"/>
                <w:b/>
                <w:bCs/>
                <w:noProof/>
                <w:color w:val="002060"/>
                <w:sz w:val="18"/>
              </w:rPr>
              <w:t>PO2a</w:t>
            </w:r>
          </w:p>
        </w:tc>
        <w:tc>
          <w:tcPr>
            <w:tcW w:w="8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5E61872" w14:textId="2B032B2F" w:rsidR="00E45E21" w:rsidRPr="00AA67A8" w:rsidRDefault="00472BBB" w:rsidP="004515E2">
            <w:pPr>
              <w:jc w:val="center"/>
              <w:rPr>
                <w:noProof/>
                <w:szCs w:val="20"/>
              </w:rPr>
            </w:pPr>
            <w:r>
              <w:rPr>
                <w:noProof/>
                <w:szCs w:val="20"/>
              </w:rPr>
              <w:t>0.</w:t>
            </w:r>
            <w:r w:rsidR="004515E2">
              <w:rPr>
                <w:noProof/>
                <w:szCs w:val="20"/>
              </w:rPr>
              <w:t>20</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4744B2A4" w14:textId="341E26FE" w:rsidR="00E45E21" w:rsidRPr="00AA67A8" w:rsidRDefault="004515E2" w:rsidP="004515E2">
            <w:pPr>
              <w:jc w:val="center"/>
              <w:rPr>
                <w:noProof/>
                <w:szCs w:val="20"/>
              </w:rPr>
            </w:pPr>
            <w:r>
              <w:rPr>
                <w:noProof/>
                <w:szCs w:val="20"/>
              </w:rPr>
              <w:t>43.54</w:t>
            </w:r>
            <w:r w:rsidDel="004515E2">
              <w:rPr>
                <w:noProof/>
                <w:szCs w:val="20"/>
              </w:rPr>
              <w:t xml:space="preserve"> </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7E9BA366" w14:textId="75576AA2" w:rsidR="00E45E21" w:rsidRPr="00AA67A8" w:rsidRDefault="00AA67A8" w:rsidP="000700A6">
            <w:pPr>
              <w:jc w:val="center"/>
              <w:rPr>
                <w:noProof/>
                <w:szCs w:val="20"/>
              </w:rPr>
            </w:pPr>
            <w:r w:rsidRPr="00AA67A8">
              <w:rPr>
                <w:noProof/>
                <w:szCs w:val="20"/>
              </w:rPr>
              <w:t>1</w:t>
            </w:r>
            <w:r w:rsidR="000700A6">
              <w:rPr>
                <w:noProof/>
                <w:szCs w:val="20"/>
              </w:rPr>
              <w:t>4.35</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3D88820" w14:textId="35A2C289" w:rsidR="00E45E21" w:rsidRPr="00AA67A8" w:rsidRDefault="000700A6" w:rsidP="000700A6">
            <w:pPr>
              <w:jc w:val="center"/>
              <w:rPr>
                <w:noProof/>
                <w:szCs w:val="20"/>
              </w:rPr>
            </w:pPr>
            <w:r>
              <w:rPr>
                <w:noProof/>
                <w:szCs w:val="20"/>
              </w:rPr>
              <w:t>28.71</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7F14166C" w14:textId="16C2662C" w:rsidR="00E45E21" w:rsidRPr="00AA67A8" w:rsidRDefault="00815C91" w:rsidP="004515E2">
            <w:pPr>
              <w:jc w:val="center"/>
              <w:rPr>
                <w:rFonts w:cs="Times New Roman"/>
                <w:noProof/>
                <w:szCs w:val="20"/>
              </w:rPr>
            </w:pPr>
            <w:r>
              <w:rPr>
                <w:noProof/>
              </w:rPr>
              <w:t>0.</w:t>
            </w:r>
            <w:r w:rsidR="004515E2">
              <w:rPr>
                <w:noProof/>
              </w:rPr>
              <w:t>41</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98F9153" w14:textId="7C79A94D" w:rsidR="00E45E21" w:rsidRPr="00AA67A8" w:rsidRDefault="004515E2" w:rsidP="004515E2">
            <w:pPr>
              <w:jc w:val="center"/>
              <w:rPr>
                <w:rFonts w:cs="Times New Roman"/>
                <w:noProof/>
                <w:szCs w:val="20"/>
              </w:rPr>
            </w:pPr>
            <w:r>
              <w:rPr>
                <w:noProof/>
              </w:rPr>
              <w:t>1.02</w:t>
            </w:r>
          </w:p>
        </w:tc>
      </w:tr>
      <w:tr w:rsidR="00E45E21" w14:paraId="0674000E" w14:textId="33C6DC78" w:rsidTr="00CD3B7A">
        <w:trPr>
          <w:trHeight w:val="177"/>
          <w:jc w:val="center"/>
        </w:trPr>
        <w:tc>
          <w:tcPr>
            <w:tcW w:w="4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284BB4B" w14:textId="48F26D21" w:rsidR="00E45E21" w:rsidRPr="0019737A" w:rsidRDefault="00E45E21" w:rsidP="0019737A">
            <w:pPr>
              <w:rPr>
                <w:rFonts w:cs="Calibri"/>
                <w:b/>
                <w:bCs/>
                <w:noProof/>
                <w:color w:val="002060"/>
                <w:sz w:val="18"/>
              </w:rPr>
            </w:pPr>
            <w:r w:rsidRPr="0019737A">
              <w:rPr>
                <w:rFonts w:cs="Calibri"/>
                <w:b/>
                <w:bCs/>
                <w:noProof/>
                <w:color w:val="002060"/>
                <w:sz w:val="18"/>
              </w:rPr>
              <w:t>PO2b</w:t>
            </w:r>
          </w:p>
        </w:tc>
        <w:tc>
          <w:tcPr>
            <w:tcW w:w="8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3B717D6E" w14:textId="07DE5C19" w:rsidR="00E45E21" w:rsidRPr="00AA67A8" w:rsidRDefault="00BC7222" w:rsidP="004515E2">
            <w:pPr>
              <w:jc w:val="center"/>
              <w:rPr>
                <w:noProof/>
                <w:szCs w:val="20"/>
              </w:rPr>
            </w:pPr>
            <w:r>
              <w:rPr>
                <w:noProof/>
                <w:szCs w:val="20"/>
              </w:rPr>
              <w:t>0.</w:t>
            </w:r>
            <w:r w:rsidR="004515E2">
              <w:rPr>
                <w:noProof/>
                <w:szCs w:val="20"/>
              </w:rPr>
              <w:t>99</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BE5B596" w14:textId="667F8405" w:rsidR="00E45E21" w:rsidRPr="00AA67A8" w:rsidRDefault="004515E2" w:rsidP="004515E2">
            <w:pPr>
              <w:jc w:val="center"/>
              <w:rPr>
                <w:noProof/>
                <w:szCs w:val="20"/>
              </w:rPr>
            </w:pPr>
            <w:r>
              <w:rPr>
                <w:noProof/>
                <w:szCs w:val="20"/>
              </w:rPr>
              <w:t>217.70</w:t>
            </w:r>
            <w:r w:rsidDel="004515E2">
              <w:rPr>
                <w:noProof/>
                <w:szCs w:val="20"/>
              </w:rPr>
              <w:t xml:space="preserve"> </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7A16937" w14:textId="1E7B33DF" w:rsidR="00E45E21" w:rsidRPr="00AA67A8" w:rsidRDefault="00AA67A8" w:rsidP="00E45E21">
            <w:pPr>
              <w:jc w:val="center"/>
              <w:rPr>
                <w:noProof/>
                <w:szCs w:val="20"/>
              </w:rPr>
            </w:pPr>
            <w:r w:rsidRPr="00AA67A8">
              <w:rPr>
                <w:noProof/>
                <w:szCs w:val="20"/>
              </w:rPr>
              <w:t>41.73</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264E322E" w14:textId="45827655" w:rsidR="00E45E21" w:rsidRPr="00AA67A8" w:rsidRDefault="00AA67A8" w:rsidP="00E45E21">
            <w:pPr>
              <w:jc w:val="center"/>
              <w:rPr>
                <w:noProof/>
                <w:szCs w:val="20"/>
              </w:rPr>
            </w:pPr>
            <w:r w:rsidRPr="00AA67A8">
              <w:rPr>
                <w:noProof/>
                <w:szCs w:val="20"/>
              </w:rPr>
              <w:t>83.46</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E1C9A5D" w14:textId="34E682F5" w:rsidR="00E45E21" w:rsidRPr="00AA67A8" w:rsidRDefault="004515E2" w:rsidP="004515E2">
            <w:pPr>
              <w:jc w:val="center"/>
              <w:rPr>
                <w:rFonts w:cs="Times New Roman"/>
                <w:noProof/>
                <w:szCs w:val="20"/>
              </w:rPr>
            </w:pPr>
            <w:r>
              <w:rPr>
                <w:noProof/>
              </w:rPr>
              <w:t>6.90</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F04ADB9" w14:textId="2E7B0D98" w:rsidR="00E45E21" w:rsidRPr="00AA67A8" w:rsidRDefault="004515E2" w:rsidP="004515E2">
            <w:pPr>
              <w:jc w:val="center"/>
              <w:rPr>
                <w:rFonts w:cs="Times New Roman"/>
                <w:noProof/>
                <w:szCs w:val="20"/>
              </w:rPr>
            </w:pPr>
            <w:r>
              <w:rPr>
                <w:noProof/>
              </w:rPr>
              <w:t>16.96</w:t>
            </w:r>
            <w:r w:rsidDel="004515E2">
              <w:rPr>
                <w:noProof/>
              </w:rPr>
              <w:t xml:space="preserve"> </w:t>
            </w:r>
          </w:p>
        </w:tc>
      </w:tr>
    </w:tbl>
    <w:p w14:paraId="42554E33" w14:textId="01805634" w:rsidR="0009699C" w:rsidRPr="00DD674B" w:rsidRDefault="00730F47" w:rsidP="00DD674B">
      <w:pPr>
        <w:spacing w:after="0" w:line="240" w:lineRule="auto"/>
        <w:rPr>
          <w:i/>
          <w:noProof/>
          <w:sz w:val="20"/>
        </w:rPr>
      </w:pPr>
      <w:r w:rsidRPr="00DD674B">
        <w:rPr>
          <w:i/>
          <w:noProof/>
          <w:sz w:val="20"/>
        </w:rPr>
        <w:t xml:space="preserve">Summary of incremental costs </w:t>
      </w:r>
      <w:r w:rsidR="00C635A2" w:rsidRPr="00DD674B">
        <w:rPr>
          <w:i/>
          <w:noProof/>
          <w:sz w:val="20"/>
        </w:rPr>
        <w:t>per policy options</w:t>
      </w:r>
      <w:r w:rsidRPr="00DD674B">
        <w:rPr>
          <w:i/>
          <w:noProof/>
          <w:sz w:val="20"/>
        </w:rPr>
        <w:t xml:space="preserve">. See </w:t>
      </w:r>
      <w:r w:rsidR="00E45E21" w:rsidRPr="00DD674B">
        <w:rPr>
          <w:i/>
          <w:noProof/>
          <w:sz w:val="20"/>
        </w:rPr>
        <w:t xml:space="preserve">annex </w:t>
      </w:r>
      <w:r w:rsidRPr="00DD674B">
        <w:rPr>
          <w:i/>
          <w:noProof/>
          <w:sz w:val="20"/>
        </w:rPr>
        <w:t>4</w:t>
      </w:r>
      <w:r w:rsidR="00C635A2" w:rsidRPr="00DD674B">
        <w:rPr>
          <w:i/>
          <w:noProof/>
          <w:sz w:val="20"/>
        </w:rPr>
        <w:t xml:space="preserve"> for details</w:t>
      </w:r>
      <w:r w:rsidRPr="00DD674B">
        <w:rPr>
          <w:i/>
          <w:noProof/>
          <w:sz w:val="20"/>
        </w:rPr>
        <w:t>.</w:t>
      </w:r>
    </w:p>
    <w:p w14:paraId="23C1C3BB" w14:textId="62A3E70C" w:rsidR="00DD674B" w:rsidRPr="00DD674B" w:rsidRDefault="00DD674B" w:rsidP="00730F47">
      <w:pPr>
        <w:spacing w:after="240" w:line="240" w:lineRule="auto"/>
        <w:rPr>
          <w:i/>
          <w:noProof/>
          <w:sz w:val="20"/>
        </w:rPr>
      </w:pPr>
      <w:r w:rsidRPr="00DD674B">
        <w:rPr>
          <w:i/>
          <w:noProof/>
          <w:sz w:val="20"/>
          <w:vertAlign w:val="superscript"/>
        </w:rPr>
        <w:t>(*)</w:t>
      </w:r>
      <w:r w:rsidRPr="00DD674B">
        <w:rPr>
          <w:i/>
          <w:noProof/>
          <w:sz w:val="20"/>
        </w:rPr>
        <w:t xml:space="preserve"> In most cases covered by insurance</w:t>
      </w:r>
    </w:p>
    <w:p w14:paraId="09BA632F" w14:textId="0499A92D" w:rsidR="00600F71" w:rsidRDefault="000D259E" w:rsidP="00F15F03">
      <w:pPr>
        <w:spacing w:after="240" w:line="240" w:lineRule="auto"/>
        <w:jc w:val="both"/>
        <w:rPr>
          <w:noProof/>
          <w:sz w:val="24"/>
          <w:szCs w:val="24"/>
        </w:rPr>
      </w:pPr>
      <w:r>
        <w:rPr>
          <w:noProof/>
          <w:sz w:val="24"/>
          <w:szCs w:val="24"/>
        </w:rPr>
        <w:t xml:space="preserve">As explained in section 6, the </w:t>
      </w:r>
      <w:r>
        <w:rPr>
          <w:rFonts w:eastAsia="Times New Roman" w:cs="Times New Roman"/>
          <w:noProof/>
          <w:color w:val="000000" w:themeColor="text1"/>
          <w:sz w:val="24"/>
          <w:szCs w:val="20"/>
        </w:rPr>
        <w:t xml:space="preserve">cost/benefits analysis is not fully comprehensive due to significant data gaps and limitations. The aim of the assessment is to provide </w:t>
      </w:r>
      <w:r w:rsidRPr="00E23538">
        <w:rPr>
          <w:rFonts w:eastAsia="Times New Roman" w:cs="Times New Roman"/>
          <w:noProof/>
          <w:color w:val="000000" w:themeColor="text1"/>
          <w:sz w:val="24"/>
          <w:szCs w:val="20"/>
        </w:rPr>
        <w:t xml:space="preserve">ranges of </w:t>
      </w:r>
      <w:r>
        <w:rPr>
          <w:rFonts w:eastAsia="Times New Roman" w:cs="Times New Roman"/>
          <w:noProof/>
          <w:color w:val="000000" w:themeColor="text1"/>
          <w:sz w:val="24"/>
          <w:szCs w:val="20"/>
        </w:rPr>
        <w:t xml:space="preserve">the </w:t>
      </w:r>
      <w:r w:rsidRPr="00E23538">
        <w:rPr>
          <w:rFonts w:eastAsia="Times New Roman" w:cs="Times New Roman"/>
          <w:noProof/>
          <w:color w:val="000000" w:themeColor="text1"/>
          <w:sz w:val="24"/>
          <w:szCs w:val="20"/>
        </w:rPr>
        <w:t xml:space="preserve">magnitude of potential impacts </w:t>
      </w:r>
      <w:r>
        <w:rPr>
          <w:rFonts w:eastAsia="Times New Roman" w:cs="Times New Roman"/>
          <w:noProof/>
          <w:color w:val="000000" w:themeColor="text1"/>
          <w:sz w:val="24"/>
          <w:szCs w:val="20"/>
        </w:rPr>
        <w:t xml:space="preserve">generated by each policy option, </w:t>
      </w:r>
      <w:r w:rsidRPr="00E23538">
        <w:rPr>
          <w:rFonts w:eastAsia="Times New Roman" w:cs="Times New Roman"/>
          <w:noProof/>
          <w:color w:val="000000" w:themeColor="text1"/>
          <w:sz w:val="24"/>
          <w:szCs w:val="20"/>
        </w:rPr>
        <w:t>rather than exact monetisation</w:t>
      </w:r>
      <w:r>
        <w:rPr>
          <w:rFonts w:eastAsia="Times New Roman" w:cs="Times New Roman"/>
          <w:noProof/>
          <w:color w:val="000000" w:themeColor="text1"/>
          <w:sz w:val="24"/>
          <w:szCs w:val="20"/>
        </w:rPr>
        <w:t xml:space="preserve">. </w:t>
      </w:r>
      <w:r w:rsidR="001F3B7F">
        <w:rPr>
          <w:rFonts w:eastAsia="Times New Roman" w:cs="Times New Roman"/>
          <w:noProof/>
          <w:color w:val="000000" w:themeColor="text1"/>
          <w:sz w:val="24"/>
          <w:szCs w:val="20"/>
        </w:rPr>
        <w:t xml:space="preserve">The following table summarises the quantitative and qualitative assessments, presented in section 6, on the </w:t>
      </w:r>
      <w:r w:rsidR="00BC1AA8">
        <w:rPr>
          <w:rFonts w:eastAsia="Times New Roman" w:cs="Times New Roman"/>
          <w:noProof/>
          <w:color w:val="000000" w:themeColor="text1"/>
          <w:sz w:val="24"/>
          <w:szCs w:val="20"/>
        </w:rPr>
        <w:t xml:space="preserve">potential effects of policy options to producers, consumers, </w:t>
      </w:r>
      <w:r w:rsidR="00BC1AA8" w:rsidRPr="00BC1AA8">
        <w:rPr>
          <w:rFonts w:eastAsia="Times New Roman" w:cs="Times New Roman"/>
          <w:noProof/>
          <w:color w:val="000000" w:themeColor="text1"/>
          <w:sz w:val="24"/>
          <w:szCs w:val="20"/>
        </w:rPr>
        <w:t>internal market</w:t>
      </w:r>
      <w:r w:rsidR="00255232">
        <w:rPr>
          <w:rFonts w:eastAsia="Times New Roman" w:cs="Times New Roman"/>
          <w:noProof/>
          <w:color w:val="000000" w:themeColor="text1"/>
          <w:sz w:val="24"/>
          <w:szCs w:val="20"/>
        </w:rPr>
        <w:t>,</w:t>
      </w:r>
      <w:r w:rsidR="00BC1AA8" w:rsidRPr="00BC1AA8">
        <w:rPr>
          <w:rFonts w:eastAsia="Times New Roman" w:cs="Times New Roman"/>
          <w:noProof/>
          <w:color w:val="000000" w:themeColor="text1"/>
          <w:sz w:val="24"/>
          <w:szCs w:val="20"/>
        </w:rPr>
        <w:t xml:space="preserve"> </w:t>
      </w:r>
      <w:r w:rsidR="004E54F3" w:rsidRPr="00BC1AA8">
        <w:rPr>
          <w:rFonts w:eastAsia="Times New Roman" w:cs="Times New Roman"/>
          <w:noProof/>
          <w:color w:val="000000" w:themeColor="text1"/>
          <w:sz w:val="24"/>
          <w:szCs w:val="20"/>
        </w:rPr>
        <w:t xml:space="preserve">and </w:t>
      </w:r>
      <w:r w:rsidR="00BC1AA8" w:rsidRPr="00BC1AA8">
        <w:rPr>
          <w:rFonts w:eastAsia="Times New Roman" w:cs="Times New Roman"/>
          <w:noProof/>
          <w:color w:val="000000" w:themeColor="text1"/>
          <w:sz w:val="24"/>
          <w:szCs w:val="20"/>
        </w:rPr>
        <w:t>competitiveness</w:t>
      </w:r>
      <w:r w:rsidR="00BC1AA8">
        <w:rPr>
          <w:rFonts w:eastAsia="Times New Roman" w:cs="Times New Roman"/>
          <w:noProof/>
          <w:color w:val="000000" w:themeColor="text1"/>
          <w:sz w:val="24"/>
          <w:szCs w:val="20"/>
        </w:rPr>
        <w:t xml:space="preserve"> as well as</w:t>
      </w:r>
      <w:r w:rsidR="001F3B7F">
        <w:rPr>
          <w:rFonts w:eastAsia="Times New Roman" w:cs="Times New Roman"/>
          <w:noProof/>
          <w:color w:val="000000" w:themeColor="text1"/>
          <w:sz w:val="24"/>
          <w:szCs w:val="20"/>
        </w:rPr>
        <w:t xml:space="preserve"> on </w:t>
      </w:r>
      <w:r w:rsidR="00BC1AA8">
        <w:rPr>
          <w:rFonts w:eastAsia="Times New Roman" w:cs="Times New Roman"/>
          <w:noProof/>
          <w:color w:val="000000" w:themeColor="text1"/>
          <w:sz w:val="24"/>
          <w:szCs w:val="20"/>
        </w:rPr>
        <w:t>the environmen</w:t>
      </w:r>
      <w:r w:rsidR="001F3B7F">
        <w:rPr>
          <w:rFonts w:eastAsia="Times New Roman" w:cs="Times New Roman"/>
          <w:noProof/>
          <w:color w:val="000000" w:themeColor="text1"/>
          <w:sz w:val="24"/>
          <w:szCs w:val="20"/>
        </w:rPr>
        <w:t>t</w:t>
      </w:r>
      <w:r w:rsidR="00BC1AA8">
        <w:rPr>
          <w:rFonts w:eastAsia="Times New Roman" w:cs="Times New Roman"/>
          <w:noProof/>
          <w:color w:val="000000" w:themeColor="text1"/>
          <w:sz w:val="24"/>
          <w:szCs w:val="20"/>
        </w:rPr>
        <w:t xml:space="preserve">. </w:t>
      </w:r>
    </w:p>
    <w:p w14:paraId="0D6BDE77" w14:textId="695702DB" w:rsidR="004A53B9" w:rsidRPr="006A71CC" w:rsidRDefault="006A71CC" w:rsidP="006A71CC">
      <w:pPr>
        <w:pStyle w:val="Caption"/>
        <w:spacing w:after="0"/>
        <w:rPr>
          <w:noProof/>
          <w:color w:val="auto"/>
          <w:sz w:val="24"/>
          <w:szCs w:val="24"/>
          <w:lang w:val="en-IE"/>
        </w:rPr>
      </w:pPr>
      <w:r w:rsidRPr="006A71CC">
        <w:rPr>
          <w:noProof/>
          <w:color w:val="auto"/>
          <w:sz w:val="24"/>
          <w:szCs w:val="24"/>
        </w:rPr>
        <w:t xml:space="preserve">Table </w:t>
      </w:r>
      <w:r w:rsidRPr="006A71CC">
        <w:rPr>
          <w:noProof/>
          <w:color w:val="auto"/>
          <w:sz w:val="24"/>
          <w:szCs w:val="24"/>
        </w:rPr>
        <w:fldChar w:fldCharType="begin"/>
      </w:r>
      <w:r w:rsidRPr="006A71CC">
        <w:rPr>
          <w:noProof/>
          <w:color w:val="auto"/>
          <w:sz w:val="24"/>
          <w:szCs w:val="24"/>
        </w:rPr>
        <w:instrText xml:space="preserve"> SEQ Table \* ARABIC </w:instrText>
      </w:r>
      <w:r w:rsidRPr="006A71CC">
        <w:rPr>
          <w:noProof/>
          <w:color w:val="auto"/>
          <w:sz w:val="24"/>
          <w:szCs w:val="24"/>
        </w:rPr>
        <w:fldChar w:fldCharType="separate"/>
      </w:r>
      <w:r w:rsidR="00BC2C3A">
        <w:rPr>
          <w:noProof/>
          <w:color w:val="auto"/>
          <w:sz w:val="24"/>
          <w:szCs w:val="24"/>
        </w:rPr>
        <w:t>6</w:t>
      </w:r>
      <w:r w:rsidRPr="006A71CC">
        <w:rPr>
          <w:noProof/>
          <w:color w:val="auto"/>
          <w:sz w:val="24"/>
          <w:szCs w:val="24"/>
        </w:rPr>
        <w:fldChar w:fldCharType="end"/>
      </w:r>
      <w:r w:rsidRPr="006A71CC">
        <w:rPr>
          <w:noProof/>
          <w:color w:val="auto"/>
          <w:sz w:val="24"/>
          <w:szCs w:val="24"/>
        </w:rPr>
        <w:t xml:space="preserve">: </w:t>
      </w:r>
      <w:r w:rsidR="00592156" w:rsidRPr="006A71CC">
        <w:rPr>
          <w:noProof/>
          <w:color w:val="auto"/>
          <w:sz w:val="24"/>
          <w:szCs w:val="24"/>
          <w:lang w:val="en-IE"/>
        </w:rPr>
        <w:t>Summary of</w:t>
      </w:r>
      <w:r w:rsidR="007136FF" w:rsidRPr="006A71CC">
        <w:rPr>
          <w:noProof/>
          <w:color w:val="auto"/>
          <w:sz w:val="24"/>
          <w:szCs w:val="24"/>
          <w:lang w:val="en-IE"/>
        </w:rPr>
        <w:t xml:space="preserve"> </w:t>
      </w:r>
      <w:r w:rsidR="004A53B9" w:rsidRPr="006A71CC">
        <w:rPr>
          <w:noProof/>
          <w:color w:val="auto"/>
          <w:sz w:val="24"/>
          <w:szCs w:val="24"/>
          <w:lang w:val="en-IE"/>
        </w:rPr>
        <w:t>Economic, social and environmental impacts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67"/>
        <w:gridCol w:w="2389"/>
        <w:gridCol w:w="2389"/>
        <w:gridCol w:w="2389"/>
      </w:tblGrid>
      <w:tr w:rsidR="002E6C14" w:rsidRPr="007723D3" w14:paraId="0660E0D4" w14:textId="77777777" w:rsidTr="00D77751">
        <w:trPr>
          <w:trHeight w:val="547"/>
          <w:tblHeader/>
        </w:trPr>
        <w:tc>
          <w:tcPr>
            <w:tcW w:w="944" w:type="pct"/>
            <w:shd w:val="clear" w:color="000000" w:fill="002060"/>
            <w:noWrap/>
            <w:vAlign w:val="center"/>
            <w:hideMark/>
          </w:tcPr>
          <w:p w14:paraId="0F29DCFE" w14:textId="69BF9D6D" w:rsidR="002E6C14" w:rsidRPr="002F51CF" w:rsidRDefault="002E6C14" w:rsidP="004A53B9">
            <w:pPr>
              <w:spacing w:after="0" w:line="240" w:lineRule="auto"/>
              <w:rPr>
                <w:rFonts w:cs="Times New Roman"/>
                <w:b/>
                <w:bCs/>
                <w:noProof/>
                <w:color w:val="FFFFFF"/>
                <w:sz w:val="20"/>
                <w:szCs w:val="18"/>
              </w:rPr>
            </w:pPr>
          </w:p>
        </w:tc>
        <w:tc>
          <w:tcPr>
            <w:tcW w:w="1352" w:type="pct"/>
            <w:shd w:val="clear" w:color="000000" w:fill="002060"/>
            <w:noWrap/>
            <w:vAlign w:val="center"/>
            <w:hideMark/>
          </w:tcPr>
          <w:p w14:paraId="540FBDE9" w14:textId="77777777" w:rsidR="002E6C14" w:rsidRPr="002F51CF" w:rsidRDefault="002E6C14" w:rsidP="00D77751">
            <w:pPr>
              <w:spacing w:after="0" w:line="240" w:lineRule="auto"/>
              <w:jc w:val="center"/>
              <w:rPr>
                <w:rFonts w:cs="Times New Roman"/>
                <w:b/>
                <w:bCs/>
                <w:noProof/>
                <w:color w:val="FFFFFF"/>
                <w:sz w:val="20"/>
                <w:szCs w:val="18"/>
              </w:rPr>
            </w:pPr>
            <w:r w:rsidRPr="002F51CF">
              <w:rPr>
                <w:rFonts w:cs="Times New Roman"/>
                <w:b/>
                <w:bCs/>
                <w:noProof/>
                <w:color w:val="FFFFFF"/>
                <w:sz w:val="20"/>
                <w:szCs w:val="18"/>
              </w:rPr>
              <w:t>Economic impact</w:t>
            </w:r>
          </w:p>
        </w:tc>
        <w:tc>
          <w:tcPr>
            <w:tcW w:w="1352" w:type="pct"/>
            <w:shd w:val="clear" w:color="000000" w:fill="002060"/>
            <w:noWrap/>
            <w:vAlign w:val="center"/>
            <w:hideMark/>
          </w:tcPr>
          <w:p w14:paraId="7AF571FA" w14:textId="77777777" w:rsidR="002E6C14" w:rsidRPr="002F51CF" w:rsidRDefault="002E6C14" w:rsidP="00D77751">
            <w:pPr>
              <w:spacing w:after="0" w:line="240" w:lineRule="auto"/>
              <w:jc w:val="center"/>
              <w:rPr>
                <w:rFonts w:cs="Times New Roman"/>
                <w:b/>
                <w:bCs/>
                <w:noProof/>
                <w:color w:val="FFFFFF"/>
                <w:sz w:val="20"/>
                <w:szCs w:val="18"/>
              </w:rPr>
            </w:pPr>
            <w:r w:rsidRPr="002F51CF">
              <w:rPr>
                <w:rFonts w:cs="Times New Roman"/>
                <w:b/>
                <w:bCs/>
                <w:noProof/>
                <w:color w:val="FFFFFF"/>
                <w:sz w:val="20"/>
                <w:szCs w:val="18"/>
              </w:rPr>
              <w:t>Social impact</w:t>
            </w:r>
          </w:p>
        </w:tc>
        <w:tc>
          <w:tcPr>
            <w:tcW w:w="1352" w:type="pct"/>
            <w:shd w:val="clear" w:color="000000" w:fill="002060"/>
            <w:noWrap/>
            <w:vAlign w:val="center"/>
            <w:hideMark/>
          </w:tcPr>
          <w:p w14:paraId="352277F6" w14:textId="77777777" w:rsidR="002E6C14" w:rsidRPr="002F51CF" w:rsidRDefault="002E6C14" w:rsidP="00D77751">
            <w:pPr>
              <w:spacing w:after="0" w:line="240" w:lineRule="auto"/>
              <w:jc w:val="center"/>
              <w:rPr>
                <w:rFonts w:cs="Times New Roman"/>
                <w:b/>
                <w:bCs/>
                <w:noProof/>
                <w:color w:val="FFFFFF"/>
                <w:sz w:val="20"/>
                <w:szCs w:val="18"/>
              </w:rPr>
            </w:pPr>
            <w:r w:rsidRPr="002F51CF">
              <w:rPr>
                <w:rFonts w:cs="Times New Roman"/>
                <w:b/>
                <w:bCs/>
                <w:noProof/>
                <w:color w:val="FFFFFF"/>
                <w:sz w:val="20"/>
                <w:szCs w:val="18"/>
              </w:rPr>
              <w:t>Environmental impact</w:t>
            </w:r>
          </w:p>
        </w:tc>
      </w:tr>
      <w:tr w:rsidR="00CD3B7A" w:rsidRPr="007723D3" w14:paraId="5BEDB0AB" w14:textId="77777777" w:rsidTr="00CD3B7A">
        <w:trPr>
          <w:trHeight w:val="20"/>
        </w:trPr>
        <w:tc>
          <w:tcPr>
            <w:tcW w:w="944" w:type="pct"/>
            <w:shd w:val="clear" w:color="auto" w:fill="DBDBE0"/>
            <w:noWrap/>
            <w:hideMark/>
          </w:tcPr>
          <w:p w14:paraId="53D1AF98" w14:textId="45C8FCB1" w:rsidR="00CD3B7A" w:rsidRPr="007723D3" w:rsidRDefault="00CD3B7A" w:rsidP="00CD3B7A">
            <w:pPr>
              <w:spacing w:after="0" w:line="240" w:lineRule="auto"/>
              <w:rPr>
                <w:rFonts w:cs="Times New Roman"/>
                <w:b/>
                <w:bCs/>
                <w:noProof/>
                <w:color w:val="002060"/>
                <w:sz w:val="18"/>
                <w:szCs w:val="18"/>
              </w:rPr>
            </w:pPr>
            <w:r>
              <w:rPr>
                <w:rFonts w:cs="Calibri"/>
                <w:b/>
                <w:bCs/>
                <w:noProof/>
                <w:color w:val="002060"/>
                <w:sz w:val="18"/>
              </w:rPr>
              <w:t>PO1a</w:t>
            </w:r>
          </w:p>
        </w:tc>
        <w:tc>
          <w:tcPr>
            <w:tcW w:w="1352" w:type="pct"/>
            <w:shd w:val="clear" w:color="auto" w:fill="DBDBE0"/>
            <w:noWrap/>
            <w:vAlign w:val="bottom"/>
            <w:hideMark/>
          </w:tcPr>
          <w:p w14:paraId="2E4A315D" w14:textId="3D358410" w:rsidR="00CD3B7A" w:rsidRPr="0019737A" w:rsidRDefault="00CD3B7A" w:rsidP="00CD3B7A">
            <w:pPr>
              <w:spacing w:after="0" w:line="240" w:lineRule="auto"/>
              <w:jc w:val="center"/>
              <w:rPr>
                <w:rFonts w:cs="Times New Roman"/>
                <w:noProof/>
                <w:color w:val="000000"/>
                <w:sz w:val="18"/>
                <w:szCs w:val="18"/>
              </w:rPr>
            </w:pPr>
            <w:r w:rsidRPr="0019737A">
              <w:rPr>
                <w:rFonts w:cs="Calibri"/>
                <w:noProof/>
                <w:color w:val="000000"/>
                <w:sz w:val="18"/>
                <w:szCs w:val="18"/>
              </w:rPr>
              <w:t>++</w:t>
            </w:r>
          </w:p>
        </w:tc>
        <w:tc>
          <w:tcPr>
            <w:tcW w:w="1352" w:type="pct"/>
            <w:shd w:val="clear" w:color="auto" w:fill="DBDBE0"/>
            <w:noWrap/>
            <w:vAlign w:val="bottom"/>
          </w:tcPr>
          <w:p w14:paraId="6F5479C6" w14:textId="4EAAC4CE"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16D09B97" w14:textId="01520303"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r>
      <w:tr w:rsidR="00CD3B7A" w:rsidRPr="007723D3" w14:paraId="259D2AFF" w14:textId="77777777" w:rsidTr="00CD3B7A">
        <w:trPr>
          <w:trHeight w:val="20"/>
        </w:trPr>
        <w:tc>
          <w:tcPr>
            <w:tcW w:w="944" w:type="pct"/>
            <w:shd w:val="clear" w:color="auto" w:fill="DBDBE0"/>
            <w:noWrap/>
            <w:hideMark/>
          </w:tcPr>
          <w:p w14:paraId="6653A70A" w14:textId="7B010DD9" w:rsidR="00CD3B7A" w:rsidRPr="007723D3" w:rsidRDefault="00CD3B7A" w:rsidP="00CD3B7A">
            <w:pPr>
              <w:spacing w:after="0" w:line="240" w:lineRule="auto"/>
              <w:rPr>
                <w:rFonts w:cs="Times New Roman"/>
                <w:b/>
                <w:bCs/>
                <w:noProof/>
                <w:color w:val="002060"/>
                <w:sz w:val="18"/>
                <w:szCs w:val="18"/>
              </w:rPr>
            </w:pPr>
            <w:r>
              <w:rPr>
                <w:rFonts w:cs="Calibri"/>
                <w:b/>
                <w:bCs/>
                <w:noProof/>
                <w:color w:val="002060"/>
                <w:sz w:val="18"/>
              </w:rPr>
              <w:t>PO1b</w:t>
            </w:r>
          </w:p>
        </w:tc>
        <w:tc>
          <w:tcPr>
            <w:tcW w:w="1352" w:type="pct"/>
            <w:shd w:val="clear" w:color="auto" w:fill="DBDBE0"/>
            <w:noWrap/>
            <w:vAlign w:val="bottom"/>
            <w:hideMark/>
          </w:tcPr>
          <w:p w14:paraId="323C0AC4" w14:textId="3F6092C4" w:rsidR="00CD3B7A" w:rsidRPr="0019737A" w:rsidRDefault="00CD3B7A" w:rsidP="00CD3B7A">
            <w:pPr>
              <w:spacing w:after="0" w:line="240" w:lineRule="auto"/>
              <w:jc w:val="center"/>
              <w:rPr>
                <w:rFonts w:cs="Times New Roman"/>
                <w:noProof/>
                <w:color w:val="000000"/>
                <w:sz w:val="18"/>
                <w:szCs w:val="18"/>
              </w:rPr>
            </w:pPr>
            <w:r w:rsidRPr="0019737A">
              <w:rPr>
                <w:rFonts w:cs="Calibri"/>
                <w:noProof/>
                <w:color w:val="000000"/>
                <w:sz w:val="18"/>
                <w:szCs w:val="18"/>
              </w:rPr>
              <w:t>++</w:t>
            </w:r>
            <w:r w:rsidR="00554D4A">
              <w:rPr>
                <w:rFonts w:cs="Calibri"/>
                <w:noProof/>
                <w:color w:val="000000"/>
                <w:sz w:val="18"/>
                <w:szCs w:val="18"/>
              </w:rPr>
              <w:t>+</w:t>
            </w:r>
          </w:p>
        </w:tc>
        <w:tc>
          <w:tcPr>
            <w:tcW w:w="1352" w:type="pct"/>
            <w:shd w:val="clear" w:color="auto" w:fill="DBDBE0"/>
            <w:noWrap/>
            <w:vAlign w:val="bottom"/>
          </w:tcPr>
          <w:p w14:paraId="4475DCC4" w14:textId="00D9C539"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78A323B1" w14:textId="410D00C0"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r>
      <w:tr w:rsidR="00CD3B7A" w:rsidRPr="007723D3" w14:paraId="43FEE006" w14:textId="77777777" w:rsidTr="00CD3B7A">
        <w:trPr>
          <w:trHeight w:val="20"/>
        </w:trPr>
        <w:tc>
          <w:tcPr>
            <w:tcW w:w="944" w:type="pct"/>
            <w:shd w:val="clear" w:color="auto" w:fill="DBDBE0"/>
            <w:noWrap/>
          </w:tcPr>
          <w:p w14:paraId="13F9AA0B" w14:textId="5BC44C13" w:rsidR="00CD3B7A" w:rsidRDefault="00CD3B7A" w:rsidP="00CD3B7A">
            <w:pPr>
              <w:spacing w:after="0" w:line="240" w:lineRule="auto"/>
              <w:rPr>
                <w:rFonts w:cs="Times New Roman"/>
                <w:b/>
                <w:bCs/>
                <w:noProof/>
                <w:color w:val="002060"/>
                <w:sz w:val="18"/>
                <w:szCs w:val="18"/>
              </w:rPr>
            </w:pPr>
            <w:r>
              <w:rPr>
                <w:rFonts w:cs="Calibri"/>
                <w:b/>
                <w:bCs/>
                <w:noProof/>
                <w:color w:val="002060"/>
                <w:sz w:val="18"/>
              </w:rPr>
              <w:t>PO1c</w:t>
            </w:r>
          </w:p>
        </w:tc>
        <w:tc>
          <w:tcPr>
            <w:tcW w:w="1352" w:type="pct"/>
            <w:shd w:val="clear" w:color="auto" w:fill="DBDBE0"/>
            <w:noWrap/>
            <w:vAlign w:val="bottom"/>
          </w:tcPr>
          <w:p w14:paraId="6BFD3445" w14:textId="15FBCB5D" w:rsidR="00CD3B7A" w:rsidRPr="0019737A" w:rsidRDefault="00CD3B7A" w:rsidP="00CD3B7A">
            <w:pPr>
              <w:spacing w:after="0" w:line="240" w:lineRule="auto"/>
              <w:jc w:val="center"/>
              <w:rPr>
                <w:rFonts w:cs="Times New Roman"/>
                <w:noProof/>
                <w:color w:val="000000"/>
                <w:sz w:val="18"/>
                <w:szCs w:val="18"/>
              </w:rPr>
            </w:pPr>
            <w:r w:rsidRPr="0019737A">
              <w:rPr>
                <w:rFonts w:cs="Calibri"/>
                <w:noProof/>
                <w:color w:val="000000"/>
                <w:sz w:val="18"/>
                <w:szCs w:val="18"/>
              </w:rPr>
              <w:t>-</w:t>
            </w:r>
          </w:p>
        </w:tc>
        <w:tc>
          <w:tcPr>
            <w:tcW w:w="1352" w:type="pct"/>
            <w:shd w:val="clear" w:color="auto" w:fill="DBDBE0"/>
            <w:noWrap/>
            <w:vAlign w:val="bottom"/>
          </w:tcPr>
          <w:p w14:paraId="6BCB37D2" w14:textId="798B2807"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6E295DC2" w14:textId="25FD93E6"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r>
      <w:tr w:rsidR="00CD3B7A" w:rsidRPr="004515E2" w14:paraId="45300087" w14:textId="77777777" w:rsidTr="00CD3B7A">
        <w:trPr>
          <w:trHeight w:val="20"/>
        </w:trPr>
        <w:tc>
          <w:tcPr>
            <w:tcW w:w="944" w:type="pct"/>
            <w:shd w:val="clear" w:color="auto" w:fill="DBDBE0"/>
            <w:noWrap/>
          </w:tcPr>
          <w:p w14:paraId="4B37456A" w14:textId="7B0BDC92" w:rsidR="00CD3B7A" w:rsidRPr="004515E2" w:rsidRDefault="00CD3B7A" w:rsidP="00CD3B7A">
            <w:pPr>
              <w:spacing w:after="0" w:line="240" w:lineRule="auto"/>
              <w:rPr>
                <w:rFonts w:cs="Times New Roman"/>
                <w:b/>
                <w:bCs/>
                <w:noProof/>
                <w:color w:val="002060"/>
                <w:sz w:val="18"/>
                <w:szCs w:val="18"/>
              </w:rPr>
            </w:pPr>
            <w:r>
              <w:rPr>
                <w:rFonts w:cs="Calibri"/>
                <w:b/>
                <w:bCs/>
                <w:noProof/>
                <w:color w:val="002060"/>
                <w:sz w:val="18"/>
              </w:rPr>
              <w:t>PO2a</w:t>
            </w:r>
          </w:p>
        </w:tc>
        <w:tc>
          <w:tcPr>
            <w:tcW w:w="1352" w:type="pct"/>
            <w:shd w:val="clear" w:color="auto" w:fill="DBDBE0"/>
            <w:noWrap/>
            <w:vAlign w:val="bottom"/>
          </w:tcPr>
          <w:p w14:paraId="226EC66B" w14:textId="1534BF05"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0EBEBD02" w14:textId="5DCF8781"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4665A9CD" w14:textId="7D8E4F6E"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NA</w:t>
            </w:r>
          </w:p>
        </w:tc>
      </w:tr>
      <w:tr w:rsidR="00CD3B7A" w:rsidRPr="007723D3" w14:paraId="64C3EA13" w14:textId="77777777" w:rsidTr="00CD3B7A">
        <w:trPr>
          <w:trHeight w:val="20"/>
        </w:trPr>
        <w:tc>
          <w:tcPr>
            <w:tcW w:w="944" w:type="pct"/>
            <w:shd w:val="clear" w:color="auto" w:fill="DBDBE0"/>
            <w:noWrap/>
            <w:hideMark/>
          </w:tcPr>
          <w:p w14:paraId="78FDD509" w14:textId="01A25366" w:rsidR="00CD3B7A" w:rsidRPr="004515E2" w:rsidRDefault="00CD3B7A" w:rsidP="00CD3B7A">
            <w:pPr>
              <w:spacing w:after="0" w:line="240" w:lineRule="auto"/>
              <w:rPr>
                <w:rFonts w:cs="Times New Roman"/>
                <w:b/>
                <w:bCs/>
                <w:noProof/>
                <w:color w:val="002060"/>
                <w:sz w:val="18"/>
                <w:szCs w:val="18"/>
              </w:rPr>
            </w:pPr>
            <w:r>
              <w:rPr>
                <w:rFonts w:cs="Calibri"/>
                <w:b/>
                <w:bCs/>
                <w:noProof/>
                <w:color w:val="002060"/>
                <w:sz w:val="18"/>
              </w:rPr>
              <w:t>PO2b</w:t>
            </w:r>
          </w:p>
        </w:tc>
        <w:tc>
          <w:tcPr>
            <w:tcW w:w="1352" w:type="pct"/>
            <w:shd w:val="clear" w:color="auto" w:fill="DBDBE0"/>
            <w:noWrap/>
            <w:vAlign w:val="bottom"/>
            <w:hideMark/>
          </w:tcPr>
          <w:p w14:paraId="3CE29FF3" w14:textId="2B2CB536"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5D1EF37C" w14:textId="58B645E4"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w:t>
            </w:r>
          </w:p>
        </w:tc>
        <w:tc>
          <w:tcPr>
            <w:tcW w:w="1352" w:type="pct"/>
            <w:shd w:val="clear" w:color="auto" w:fill="DBDBE0"/>
            <w:noWrap/>
            <w:vAlign w:val="bottom"/>
          </w:tcPr>
          <w:p w14:paraId="076FBD75" w14:textId="6B9C2BDD" w:rsidR="00CD3B7A" w:rsidRPr="0019737A" w:rsidRDefault="00CD3B7A" w:rsidP="00CD3B7A">
            <w:pPr>
              <w:spacing w:after="0" w:line="240" w:lineRule="auto"/>
              <w:jc w:val="center"/>
              <w:rPr>
                <w:rFonts w:cs="Times New Roman"/>
                <w:noProof/>
                <w:color w:val="000000"/>
                <w:sz w:val="18"/>
                <w:szCs w:val="18"/>
              </w:rPr>
            </w:pPr>
            <w:r w:rsidRPr="0019737A">
              <w:rPr>
                <w:rFonts w:cs="Times New Roman"/>
                <w:noProof/>
                <w:color w:val="000000"/>
                <w:sz w:val="18"/>
                <w:szCs w:val="18"/>
              </w:rPr>
              <w:t>NA</w:t>
            </w:r>
          </w:p>
        </w:tc>
      </w:tr>
    </w:tbl>
    <w:p w14:paraId="115B2CE6" w14:textId="790EC16D" w:rsidR="00D84EC6" w:rsidRPr="000D259E" w:rsidRDefault="000D21DF" w:rsidP="00D84EC6">
      <w:pPr>
        <w:pStyle w:val="BodyText"/>
        <w:spacing w:after="240"/>
        <w:rPr>
          <w:rFonts w:cs="Calibri"/>
          <w:i/>
          <w:noProof/>
          <w:sz w:val="20"/>
        </w:rPr>
      </w:pPr>
      <w:r w:rsidRPr="000D259E">
        <w:rPr>
          <w:i/>
          <w:noProof/>
          <w:sz w:val="20"/>
          <w:szCs w:val="18"/>
        </w:rPr>
        <w:t>Legend: +- no / neutral impact; + minor positive impact; ++ positive impact; +++ significant positive impact; - minor negative impact; -- negative impact; --- significant negative impact</w:t>
      </w:r>
      <w:r w:rsidR="00005A34" w:rsidRPr="000D259E">
        <w:rPr>
          <w:i/>
          <w:noProof/>
          <w:sz w:val="20"/>
          <w:szCs w:val="18"/>
        </w:rPr>
        <w:t xml:space="preserve">, </w:t>
      </w:r>
      <w:r w:rsidR="00005A34" w:rsidRPr="000D259E">
        <w:rPr>
          <w:rFonts w:cs="Calibri"/>
          <w:i/>
          <w:noProof/>
        </w:rPr>
        <w:t>NA – not applicable</w:t>
      </w:r>
    </w:p>
    <w:p w14:paraId="504EB98B" w14:textId="47C452E4" w:rsidR="00770879" w:rsidRDefault="00F12535" w:rsidP="0038637B">
      <w:pPr>
        <w:spacing w:after="240" w:line="240" w:lineRule="auto"/>
        <w:jc w:val="both"/>
        <w:rPr>
          <w:noProof/>
          <w:sz w:val="24"/>
        </w:rPr>
      </w:pPr>
      <w:r>
        <w:rPr>
          <w:noProof/>
          <w:sz w:val="24"/>
        </w:rPr>
        <w:t>T</w:t>
      </w:r>
      <w:r w:rsidR="00770879" w:rsidRPr="004A53B9">
        <w:rPr>
          <w:noProof/>
          <w:sz w:val="24"/>
        </w:rPr>
        <w:t xml:space="preserve">he scale of the negative </w:t>
      </w:r>
      <w:r w:rsidR="00770879">
        <w:rPr>
          <w:noProof/>
          <w:sz w:val="24"/>
        </w:rPr>
        <w:t xml:space="preserve">economic </w:t>
      </w:r>
      <w:r w:rsidR="00770879" w:rsidRPr="004A53B9">
        <w:rPr>
          <w:noProof/>
          <w:sz w:val="24"/>
        </w:rPr>
        <w:t>impacts will increase</w:t>
      </w:r>
      <w:r w:rsidR="00770879">
        <w:rPr>
          <w:noProof/>
          <w:sz w:val="24"/>
        </w:rPr>
        <w:t xml:space="preserve"> with the level of intervention. </w:t>
      </w:r>
      <w:r w:rsidR="00770879" w:rsidRPr="004A53B9">
        <w:rPr>
          <w:noProof/>
          <w:sz w:val="24"/>
        </w:rPr>
        <w:t xml:space="preserve">In contrast, however, the policy options with high levels of intervention are anticipated to have potentially significant positive social impacts on consumer protection. </w:t>
      </w:r>
    </w:p>
    <w:p w14:paraId="4375BF95" w14:textId="282CA8C1" w:rsidR="00600F71" w:rsidRPr="00DE3EE0" w:rsidRDefault="00600F71" w:rsidP="00AC6D56">
      <w:pPr>
        <w:spacing w:after="240" w:line="240" w:lineRule="auto"/>
        <w:jc w:val="both"/>
        <w:rPr>
          <w:noProof/>
          <w:sz w:val="24"/>
          <w:szCs w:val="24"/>
        </w:rPr>
      </w:pPr>
      <w:r>
        <w:rPr>
          <w:noProof/>
          <w:sz w:val="24"/>
          <w:szCs w:val="24"/>
        </w:rPr>
        <w:t>Options 1a</w:t>
      </w:r>
      <w:r w:rsidR="00D84320">
        <w:rPr>
          <w:noProof/>
          <w:sz w:val="24"/>
          <w:szCs w:val="24"/>
        </w:rPr>
        <w:t xml:space="preserve"> and </w:t>
      </w:r>
      <w:r>
        <w:rPr>
          <w:noProof/>
          <w:sz w:val="24"/>
          <w:szCs w:val="24"/>
        </w:rPr>
        <w:t xml:space="preserve">1b would have </w:t>
      </w:r>
      <w:r w:rsidR="00086F2E">
        <w:rPr>
          <w:noProof/>
          <w:sz w:val="24"/>
          <w:szCs w:val="24"/>
        </w:rPr>
        <w:t>slight</w:t>
      </w:r>
      <w:r>
        <w:rPr>
          <w:noProof/>
          <w:sz w:val="24"/>
          <w:szCs w:val="24"/>
        </w:rPr>
        <w:t xml:space="preserve"> negative impacts on the insurance costs counterbalanced by strong positive </w:t>
      </w:r>
      <w:r w:rsidR="000D2440">
        <w:rPr>
          <w:noProof/>
          <w:sz w:val="24"/>
          <w:szCs w:val="24"/>
        </w:rPr>
        <w:t xml:space="preserve">impacts </w:t>
      </w:r>
      <w:r w:rsidR="00BC1AA8">
        <w:rPr>
          <w:noProof/>
          <w:sz w:val="24"/>
          <w:szCs w:val="24"/>
        </w:rPr>
        <w:t xml:space="preserve">in terms of </w:t>
      </w:r>
      <w:r w:rsidR="00BC1AA8" w:rsidRPr="00600F71">
        <w:rPr>
          <w:noProof/>
          <w:sz w:val="24"/>
          <w:szCs w:val="24"/>
        </w:rPr>
        <w:t>internal market, competitiveness</w:t>
      </w:r>
      <w:r w:rsidR="00BC1AA8">
        <w:rPr>
          <w:noProof/>
          <w:sz w:val="24"/>
          <w:szCs w:val="24"/>
        </w:rPr>
        <w:t xml:space="preserve"> and </w:t>
      </w:r>
      <w:r w:rsidR="00BC1AA8" w:rsidRPr="00600F71">
        <w:rPr>
          <w:noProof/>
          <w:sz w:val="24"/>
          <w:szCs w:val="24"/>
        </w:rPr>
        <w:t>innovation</w:t>
      </w:r>
      <w:r w:rsidR="00BC1AA8" w:rsidRPr="00600F71" w:rsidDel="00240FE0">
        <w:rPr>
          <w:noProof/>
          <w:sz w:val="24"/>
          <w:szCs w:val="24"/>
        </w:rPr>
        <w:t xml:space="preserve"> </w:t>
      </w:r>
      <w:r w:rsidR="00BC1AA8">
        <w:rPr>
          <w:noProof/>
          <w:sz w:val="24"/>
          <w:szCs w:val="24"/>
        </w:rPr>
        <w:t xml:space="preserve">as well as positive impacts in the </w:t>
      </w:r>
      <w:r w:rsidR="00BC1AA8" w:rsidRPr="00600F71">
        <w:rPr>
          <w:noProof/>
          <w:sz w:val="24"/>
          <w:szCs w:val="24"/>
        </w:rPr>
        <w:t>functioning of the circular economy</w:t>
      </w:r>
      <w:r w:rsidR="00BC1AA8">
        <w:rPr>
          <w:noProof/>
          <w:sz w:val="24"/>
          <w:szCs w:val="24"/>
        </w:rPr>
        <w:t xml:space="preserve">. They would also have strong positive </w:t>
      </w:r>
      <w:r>
        <w:rPr>
          <w:noProof/>
          <w:sz w:val="24"/>
          <w:szCs w:val="24"/>
        </w:rPr>
        <w:t xml:space="preserve">impacts </w:t>
      </w:r>
      <w:r w:rsidR="00240FE0" w:rsidRPr="00600F71">
        <w:rPr>
          <w:noProof/>
          <w:sz w:val="24"/>
          <w:szCs w:val="24"/>
        </w:rPr>
        <w:t>on consumer protection</w:t>
      </w:r>
      <w:r w:rsidR="00240FE0">
        <w:rPr>
          <w:noProof/>
          <w:sz w:val="24"/>
          <w:szCs w:val="24"/>
        </w:rPr>
        <w:t>.</w:t>
      </w:r>
      <w:r w:rsidR="00770879">
        <w:rPr>
          <w:noProof/>
          <w:sz w:val="24"/>
          <w:szCs w:val="24"/>
        </w:rPr>
        <w:t xml:space="preserve"> </w:t>
      </w:r>
      <w:r w:rsidRPr="00DE3EE0">
        <w:rPr>
          <w:noProof/>
          <w:sz w:val="24"/>
          <w:szCs w:val="24"/>
        </w:rPr>
        <w:t xml:space="preserve">Option 1c would enhance consumer protection due to greater harmonised coverage but with a risk of hindering innovation </w:t>
      </w:r>
      <w:r w:rsidR="0043299F" w:rsidRPr="00DE3EE0">
        <w:rPr>
          <w:noProof/>
          <w:sz w:val="24"/>
          <w:szCs w:val="24"/>
        </w:rPr>
        <w:t xml:space="preserve">by </w:t>
      </w:r>
      <w:r w:rsidRPr="00DE3EE0">
        <w:rPr>
          <w:noProof/>
          <w:sz w:val="24"/>
          <w:szCs w:val="24"/>
        </w:rPr>
        <w:t>including non-material damage into the compensable damages.</w:t>
      </w:r>
    </w:p>
    <w:p w14:paraId="2F0C30DE" w14:textId="083AB416" w:rsidR="00770879" w:rsidRPr="00DE3EE0" w:rsidRDefault="00770879" w:rsidP="00770879">
      <w:pPr>
        <w:pStyle w:val="BodyText"/>
        <w:spacing w:after="240"/>
        <w:rPr>
          <w:noProof/>
          <w:sz w:val="24"/>
          <w:szCs w:val="24"/>
        </w:rPr>
      </w:pPr>
      <w:r w:rsidRPr="00DE3EE0">
        <w:rPr>
          <w:noProof/>
          <w:sz w:val="24"/>
          <w:szCs w:val="24"/>
        </w:rPr>
        <w:t>Option 2a would have some implications for the internal market (e.g. greater uniformity in use of presumptions and in information disclosures) and only minor impacts on competitiveness and innovation. However, it would have strong positive impacts on consumer protection.</w:t>
      </w:r>
    </w:p>
    <w:p w14:paraId="1DCE0221" w14:textId="77777777" w:rsidR="00F12535" w:rsidRPr="00DE3EE0" w:rsidRDefault="00770879" w:rsidP="004A53B9">
      <w:pPr>
        <w:pStyle w:val="BodyText"/>
        <w:spacing w:after="240"/>
        <w:rPr>
          <w:noProof/>
          <w:color w:val="000000" w:themeColor="text1"/>
          <w:sz w:val="24"/>
          <w:szCs w:val="24"/>
        </w:rPr>
      </w:pPr>
      <w:r w:rsidRPr="00DE3EE0">
        <w:rPr>
          <w:noProof/>
          <w:sz w:val="24"/>
          <w:szCs w:val="24"/>
        </w:rPr>
        <w:t>U</w:t>
      </w:r>
      <w:r w:rsidR="00005A34" w:rsidRPr="00DE3EE0">
        <w:rPr>
          <w:noProof/>
          <w:sz w:val="24"/>
          <w:szCs w:val="24"/>
        </w:rPr>
        <w:t>nder policy option 2b, a notable negative economic impact is to be expected, with a potential increase in costs for producers due to various reasons (e.g. higher legal costs for defendants if the burden of proof were to be reversed, higher numbers of claims and compensation pay-outs).</w:t>
      </w:r>
      <w:r w:rsidRPr="00DE3EE0">
        <w:rPr>
          <w:noProof/>
          <w:sz w:val="24"/>
          <w:szCs w:val="24"/>
        </w:rPr>
        <w:t xml:space="preserve"> Option 2b would have a significant positive impact on consumer protection</w:t>
      </w:r>
      <w:r w:rsidR="00D45E1F" w:rsidRPr="00DE3EE0">
        <w:rPr>
          <w:noProof/>
          <w:sz w:val="24"/>
          <w:szCs w:val="24"/>
        </w:rPr>
        <w:t>.</w:t>
      </w:r>
      <w:r w:rsidR="00F12535" w:rsidRPr="00DE3EE0">
        <w:rPr>
          <w:noProof/>
          <w:color w:val="000000" w:themeColor="text1"/>
          <w:sz w:val="24"/>
          <w:szCs w:val="24"/>
        </w:rPr>
        <w:t xml:space="preserve"> </w:t>
      </w:r>
    </w:p>
    <w:p w14:paraId="4A682757" w14:textId="50945140" w:rsidR="00005A34" w:rsidRPr="004A53B9" w:rsidRDefault="00F12535" w:rsidP="004A53B9">
      <w:pPr>
        <w:pStyle w:val="BodyText"/>
        <w:spacing w:after="240"/>
        <w:rPr>
          <w:noProof/>
          <w:sz w:val="24"/>
        </w:rPr>
      </w:pPr>
      <w:r>
        <w:rPr>
          <w:noProof/>
          <w:color w:val="000000" w:themeColor="text1"/>
          <w:sz w:val="24"/>
        </w:rPr>
        <w:t>P</w:t>
      </w:r>
      <w:r w:rsidRPr="000847BF">
        <w:rPr>
          <w:noProof/>
          <w:color w:val="000000" w:themeColor="text1"/>
          <w:sz w:val="24"/>
        </w:rPr>
        <w:t xml:space="preserve">olicy options face greater </w:t>
      </w:r>
      <w:r>
        <w:rPr>
          <w:noProof/>
          <w:color w:val="000000" w:themeColor="text1"/>
          <w:sz w:val="24"/>
        </w:rPr>
        <w:t xml:space="preserve">opposition from industry </w:t>
      </w:r>
      <w:r w:rsidRPr="000847BF">
        <w:rPr>
          <w:noProof/>
          <w:color w:val="000000" w:themeColor="text1"/>
          <w:sz w:val="24"/>
        </w:rPr>
        <w:t>as the level of intervention increases</w:t>
      </w:r>
      <w:r>
        <w:rPr>
          <w:noProof/>
          <w:color w:val="000000" w:themeColor="text1"/>
          <w:sz w:val="24"/>
        </w:rPr>
        <w:t>, while receiving greater support from consumers.</w:t>
      </w:r>
    </w:p>
    <w:p w14:paraId="706AD0E2" w14:textId="15E918EB" w:rsidR="00D84EC6" w:rsidRPr="00E964D8" w:rsidRDefault="00E964D8" w:rsidP="00E964D8">
      <w:pPr>
        <w:pStyle w:val="Caption"/>
        <w:spacing w:after="0"/>
        <w:rPr>
          <w:noProof/>
          <w:color w:val="auto"/>
          <w:sz w:val="24"/>
          <w:szCs w:val="24"/>
          <w:lang w:val="en-IE"/>
        </w:rPr>
      </w:pPr>
      <w:r w:rsidRPr="00E964D8">
        <w:rPr>
          <w:noProof/>
          <w:color w:val="auto"/>
          <w:sz w:val="24"/>
          <w:szCs w:val="24"/>
        </w:rPr>
        <w:t xml:space="preserve">Table </w:t>
      </w:r>
      <w:r w:rsidRPr="00E964D8">
        <w:rPr>
          <w:noProof/>
          <w:color w:val="auto"/>
          <w:sz w:val="24"/>
          <w:szCs w:val="24"/>
        </w:rPr>
        <w:fldChar w:fldCharType="begin"/>
      </w:r>
      <w:r w:rsidRPr="00E964D8">
        <w:rPr>
          <w:noProof/>
          <w:color w:val="auto"/>
          <w:sz w:val="24"/>
          <w:szCs w:val="24"/>
        </w:rPr>
        <w:instrText xml:space="preserve"> SEQ Table \* ARABIC </w:instrText>
      </w:r>
      <w:r w:rsidRPr="00E964D8">
        <w:rPr>
          <w:noProof/>
          <w:color w:val="auto"/>
          <w:sz w:val="24"/>
          <w:szCs w:val="24"/>
        </w:rPr>
        <w:fldChar w:fldCharType="separate"/>
      </w:r>
      <w:r w:rsidR="00BC2C3A">
        <w:rPr>
          <w:noProof/>
          <w:color w:val="auto"/>
          <w:sz w:val="24"/>
          <w:szCs w:val="24"/>
        </w:rPr>
        <w:t>7</w:t>
      </w:r>
      <w:r w:rsidRPr="00E964D8">
        <w:rPr>
          <w:noProof/>
          <w:color w:val="auto"/>
          <w:sz w:val="24"/>
          <w:szCs w:val="24"/>
        </w:rPr>
        <w:fldChar w:fldCharType="end"/>
      </w:r>
      <w:r w:rsidRPr="00E964D8">
        <w:rPr>
          <w:noProof/>
          <w:color w:val="auto"/>
          <w:sz w:val="24"/>
          <w:szCs w:val="24"/>
        </w:rPr>
        <w:t xml:space="preserve">: </w:t>
      </w:r>
      <w:r w:rsidR="004A53B9" w:rsidRPr="00E964D8">
        <w:rPr>
          <w:noProof/>
          <w:color w:val="auto"/>
          <w:sz w:val="24"/>
          <w:szCs w:val="24"/>
          <w:lang w:val="en-IE"/>
        </w:rPr>
        <w:t>Stakeholder support</w:t>
      </w:r>
    </w:p>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17"/>
        <w:gridCol w:w="2835"/>
        <w:gridCol w:w="2551"/>
        <w:gridCol w:w="2551"/>
      </w:tblGrid>
      <w:tr w:rsidR="000847BF" w:rsidRPr="000847BF" w14:paraId="1E5AE899" w14:textId="77777777" w:rsidTr="00CD3B7A">
        <w:trPr>
          <w:trHeight w:val="366"/>
          <w:tblHeader/>
        </w:trPr>
        <w:tc>
          <w:tcPr>
            <w:tcW w:w="467" w:type="pct"/>
            <w:vMerge w:val="restart"/>
            <w:shd w:val="clear" w:color="000000" w:fill="002060"/>
            <w:noWrap/>
            <w:hideMark/>
          </w:tcPr>
          <w:p w14:paraId="6BE8282A" w14:textId="77777777" w:rsidR="000847BF" w:rsidRPr="000847BF" w:rsidRDefault="000847BF" w:rsidP="000847BF">
            <w:pPr>
              <w:spacing w:after="0" w:line="240" w:lineRule="auto"/>
              <w:jc w:val="center"/>
              <w:rPr>
                <w:rFonts w:cs="Times New Roman"/>
                <w:b/>
                <w:bCs/>
                <w:noProof/>
                <w:color w:val="FFFFFF"/>
                <w:sz w:val="20"/>
                <w:szCs w:val="18"/>
              </w:rPr>
            </w:pPr>
          </w:p>
        </w:tc>
        <w:tc>
          <w:tcPr>
            <w:tcW w:w="4533" w:type="pct"/>
            <w:gridSpan w:val="3"/>
            <w:shd w:val="clear" w:color="000000" w:fill="002060"/>
            <w:noWrap/>
            <w:hideMark/>
          </w:tcPr>
          <w:p w14:paraId="40BC9989" w14:textId="77777777" w:rsidR="000847BF" w:rsidRPr="000847BF" w:rsidRDefault="000847BF" w:rsidP="000847BF">
            <w:pPr>
              <w:spacing w:after="0" w:line="240" w:lineRule="auto"/>
              <w:jc w:val="center"/>
              <w:rPr>
                <w:rFonts w:cs="Times New Roman"/>
                <w:b/>
                <w:bCs/>
                <w:noProof/>
                <w:color w:val="FFFFFF"/>
                <w:sz w:val="20"/>
                <w:szCs w:val="18"/>
              </w:rPr>
            </w:pPr>
            <w:r w:rsidRPr="000847BF">
              <w:rPr>
                <w:rFonts w:cs="Times New Roman"/>
                <w:b/>
                <w:bCs/>
                <w:noProof/>
                <w:color w:val="FFFFFF"/>
                <w:sz w:val="20"/>
                <w:szCs w:val="18"/>
              </w:rPr>
              <w:t>Stakeholder support</w:t>
            </w:r>
          </w:p>
        </w:tc>
      </w:tr>
      <w:tr w:rsidR="000847BF" w:rsidRPr="00FF5955" w14:paraId="11F780AD" w14:textId="77777777" w:rsidTr="00CD3B7A">
        <w:trPr>
          <w:trHeight w:val="275"/>
          <w:tblHeader/>
        </w:trPr>
        <w:tc>
          <w:tcPr>
            <w:tcW w:w="467" w:type="pct"/>
            <w:vMerge/>
            <w:shd w:val="clear" w:color="auto" w:fill="4A442A" w:themeFill="background2" w:themeFillShade="40"/>
            <w:noWrap/>
          </w:tcPr>
          <w:p w14:paraId="209A0888" w14:textId="77777777" w:rsidR="000847BF" w:rsidRPr="00FD6657" w:rsidRDefault="000847BF" w:rsidP="004A53B9">
            <w:pPr>
              <w:spacing w:after="0" w:line="240" w:lineRule="auto"/>
              <w:rPr>
                <w:rFonts w:cs="Times New Roman"/>
                <w:b/>
                <w:bCs/>
                <w:noProof/>
                <w:color w:val="FFFFFF" w:themeColor="background1"/>
                <w:sz w:val="18"/>
                <w:szCs w:val="18"/>
              </w:rPr>
            </w:pPr>
          </w:p>
        </w:tc>
        <w:tc>
          <w:tcPr>
            <w:tcW w:w="1619" w:type="pct"/>
            <w:shd w:val="clear" w:color="auto" w:fill="808080" w:themeFill="background1" w:themeFillShade="80"/>
            <w:noWrap/>
          </w:tcPr>
          <w:p w14:paraId="287356BB" w14:textId="77777777" w:rsidR="000847BF" w:rsidRPr="000847BF" w:rsidDel="00DF24DE" w:rsidRDefault="000847BF" w:rsidP="004A53B9">
            <w:pPr>
              <w:spacing w:after="0" w:line="240" w:lineRule="auto"/>
              <w:jc w:val="center"/>
              <w:rPr>
                <w:rFonts w:cs="Times New Roman"/>
                <w:b/>
                <w:bCs/>
                <w:noProof/>
                <w:color w:val="FFFFFF" w:themeColor="background1"/>
                <w:sz w:val="18"/>
                <w:szCs w:val="18"/>
              </w:rPr>
            </w:pPr>
            <w:r w:rsidRPr="000847BF">
              <w:rPr>
                <w:rFonts w:cs="Times New Roman"/>
                <w:b/>
                <w:bCs/>
                <w:noProof/>
                <w:color w:val="FFFFFF" w:themeColor="background1"/>
                <w:sz w:val="18"/>
                <w:szCs w:val="18"/>
              </w:rPr>
              <w:t>MS</w:t>
            </w:r>
          </w:p>
        </w:tc>
        <w:tc>
          <w:tcPr>
            <w:tcW w:w="1457" w:type="pct"/>
            <w:shd w:val="clear" w:color="auto" w:fill="808080" w:themeFill="background1" w:themeFillShade="80"/>
          </w:tcPr>
          <w:p w14:paraId="6BD3160D" w14:textId="77777777" w:rsidR="000847BF" w:rsidRPr="000847BF" w:rsidDel="00DF24DE" w:rsidRDefault="000847BF" w:rsidP="004A53B9">
            <w:pPr>
              <w:spacing w:after="0" w:line="240" w:lineRule="auto"/>
              <w:jc w:val="center"/>
              <w:rPr>
                <w:rFonts w:cs="Times New Roman"/>
                <w:b/>
                <w:bCs/>
                <w:noProof/>
                <w:color w:val="FFFFFF" w:themeColor="background1"/>
                <w:sz w:val="18"/>
                <w:szCs w:val="18"/>
              </w:rPr>
            </w:pPr>
            <w:r w:rsidRPr="000847BF">
              <w:rPr>
                <w:rFonts w:cs="Times New Roman"/>
                <w:b/>
                <w:bCs/>
                <w:noProof/>
                <w:color w:val="FFFFFF" w:themeColor="background1"/>
                <w:sz w:val="18"/>
                <w:szCs w:val="18"/>
              </w:rPr>
              <w:t>Industry</w:t>
            </w:r>
          </w:p>
        </w:tc>
        <w:tc>
          <w:tcPr>
            <w:tcW w:w="1457" w:type="pct"/>
            <w:shd w:val="clear" w:color="auto" w:fill="808080" w:themeFill="background1" w:themeFillShade="80"/>
          </w:tcPr>
          <w:p w14:paraId="1C01F3ED" w14:textId="77777777" w:rsidR="000847BF" w:rsidRPr="000847BF" w:rsidDel="00DF24DE" w:rsidRDefault="000847BF" w:rsidP="004A53B9">
            <w:pPr>
              <w:spacing w:after="0" w:line="240" w:lineRule="auto"/>
              <w:jc w:val="center"/>
              <w:rPr>
                <w:rFonts w:cs="Times New Roman"/>
                <w:b/>
                <w:bCs/>
                <w:noProof/>
                <w:color w:val="FFFFFF" w:themeColor="background1"/>
                <w:sz w:val="18"/>
                <w:szCs w:val="18"/>
              </w:rPr>
            </w:pPr>
            <w:r w:rsidRPr="000847BF">
              <w:rPr>
                <w:rFonts w:cs="Times New Roman"/>
                <w:b/>
                <w:bCs/>
                <w:noProof/>
                <w:color w:val="FFFFFF" w:themeColor="background1"/>
                <w:sz w:val="18"/>
                <w:szCs w:val="18"/>
              </w:rPr>
              <w:t>Consumers</w:t>
            </w:r>
          </w:p>
        </w:tc>
      </w:tr>
      <w:tr w:rsidR="000847BF" w:rsidRPr="00FF5955" w14:paraId="7352682B" w14:textId="77777777" w:rsidTr="00CD3B7A">
        <w:trPr>
          <w:trHeight w:val="20"/>
        </w:trPr>
        <w:tc>
          <w:tcPr>
            <w:tcW w:w="467" w:type="pct"/>
            <w:shd w:val="clear" w:color="auto" w:fill="DBDBE0"/>
            <w:noWrap/>
            <w:hideMark/>
          </w:tcPr>
          <w:p w14:paraId="7CC7580A" w14:textId="427F5D5B" w:rsidR="000847BF" w:rsidRPr="000847BF" w:rsidRDefault="00CD3B7A" w:rsidP="00CD3B7A">
            <w:pPr>
              <w:spacing w:after="0" w:line="240" w:lineRule="auto"/>
              <w:rPr>
                <w:rFonts w:cs="Calibri"/>
                <w:b/>
                <w:bCs/>
                <w:noProof/>
                <w:color w:val="002060"/>
                <w:sz w:val="18"/>
              </w:rPr>
            </w:pPr>
            <w:r>
              <w:rPr>
                <w:rFonts w:cs="Calibri"/>
                <w:b/>
                <w:bCs/>
                <w:noProof/>
                <w:color w:val="002060"/>
                <w:sz w:val="18"/>
              </w:rPr>
              <w:t>PO1a</w:t>
            </w:r>
          </w:p>
        </w:tc>
        <w:tc>
          <w:tcPr>
            <w:tcW w:w="1619" w:type="pct"/>
            <w:shd w:val="clear" w:color="auto" w:fill="DBDBE0"/>
            <w:noWrap/>
          </w:tcPr>
          <w:p w14:paraId="6079D913" w14:textId="665D03D5" w:rsidR="000847BF" w:rsidRPr="00257B73" w:rsidRDefault="000847BF" w:rsidP="00A14D23">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3D89960E" w14:textId="77777777"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624E5CFE" w14:textId="433A280D" w:rsidR="000847BF" w:rsidRPr="00257B73" w:rsidRDefault="000847BF" w:rsidP="00AC2E6B">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r>
      <w:tr w:rsidR="000847BF" w:rsidRPr="00FF5955" w14:paraId="130FBDAC" w14:textId="77777777" w:rsidTr="00CD3B7A">
        <w:trPr>
          <w:trHeight w:val="20"/>
        </w:trPr>
        <w:tc>
          <w:tcPr>
            <w:tcW w:w="467" w:type="pct"/>
            <w:shd w:val="clear" w:color="auto" w:fill="DBDBE0"/>
            <w:noWrap/>
            <w:hideMark/>
          </w:tcPr>
          <w:p w14:paraId="3B73290A" w14:textId="6B32D286" w:rsidR="000847BF" w:rsidRPr="000847BF" w:rsidRDefault="00CD3B7A" w:rsidP="00CD3B7A">
            <w:pPr>
              <w:spacing w:after="0" w:line="240" w:lineRule="auto"/>
              <w:rPr>
                <w:rFonts w:cs="Calibri"/>
                <w:b/>
                <w:bCs/>
                <w:noProof/>
                <w:color w:val="002060"/>
                <w:sz w:val="18"/>
              </w:rPr>
            </w:pPr>
            <w:r>
              <w:rPr>
                <w:rFonts w:cs="Calibri"/>
                <w:b/>
                <w:bCs/>
                <w:noProof/>
                <w:color w:val="002060"/>
                <w:sz w:val="18"/>
              </w:rPr>
              <w:t>PO1b</w:t>
            </w:r>
          </w:p>
        </w:tc>
        <w:tc>
          <w:tcPr>
            <w:tcW w:w="1619" w:type="pct"/>
            <w:shd w:val="clear" w:color="auto" w:fill="DBDBE0"/>
            <w:noWrap/>
          </w:tcPr>
          <w:p w14:paraId="5AD0F2E7" w14:textId="1968EA3B"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1D037132" w14:textId="77777777"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281A4682" w14:textId="291F4CD9" w:rsidR="000847BF" w:rsidRPr="00257B73" w:rsidRDefault="000847BF" w:rsidP="00AC2E6B">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r>
      <w:tr w:rsidR="000847BF" w:rsidRPr="00FF5955" w14:paraId="16ED473E" w14:textId="77777777" w:rsidTr="00CD3B7A">
        <w:trPr>
          <w:trHeight w:val="20"/>
        </w:trPr>
        <w:tc>
          <w:tcPr>
            <w:tcW w:w="467" w:type="pct"/>
            <w:shd w:val="clear" w:color="auto" w:fill="DBDBE0"/>
            <w:noWrap/>
            <w:hideMark/>
          </w:tcPr>
          <w:p w14:paraId="1FFF367B" w14:textId="4B3A1D3C" w:rsidR="000847BF" w:rsidRPr="000847BF" w:rsidRDefault="00CD3B7A" w:rsidP="000847BF">
            <w:pPr>
              <w:spacing w:after="0" w:line="240" w:lineRule="auto"/>
              <w:rPr>
                <w:rFonts w:cs="Calibri"/>
                <w:b/>
                <w:bCs/>
                <w:noProof/>
                <w:color w:val="002060"/>
                <w:sz w:val="18"/>
              </w:rPr>
            </w:pPr>
            <w:r>
              <w:rPr>
                <w:rFonts w:cs="Calibri"/>
                <w:b/>
                <w:bCs/>
                <w:noProof/>
                <w:color w:val="002060"/>
                <w:sz w:val="18"/>
              </w:rPr>
              <w:t>PO1c</w:t>
            </w:r>
          </w:p>
        </w:tc>
        <w:tc>
          <w:tcPr>
            <w:tcW w:w="1619" w:type="pct"/>
            <w:shd w:val="clear" w:color="auto" w:fill="DBDBE0"/>
            <w:noWrap/>
          </w:tcPr>
          <w:p w14:paraId="6C84CA56" w14:textId="30D3D74E" w:rsidR="000847BF" w:rsidRPr="00257B73" w:rsidRDefault="000847BF" w:rsidP="00DD72CC">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3D5328AC" w14:textId="559F77BD"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r w:rsidR="00210E88">
              <w:rPr>
                <w:rFonts w:cs="Times New Roman"/>
                <w:noProof/>
                <w:color w:val="000000" w:themeColor="text1"/>
                <w:sz w:val="18"/>
                <w:szCs w:val="18"/>
              </w:rPr>
              <w:t>-</w:t>
            </w:r>
          </w:p>
        </w:tc>
        <w:tc>
          <w:tcPr>
            <w:tcW w:w="1457" w:type="pct"/>
            <w:shd w:val="clear" w:color="auto" w:fill="DBDBE0"/>
          </w:tcPr>
          <w:p w14:paraId="3A4C29D3" w14:textId="77777777"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r>
      <w:tr w:rsidR="000847BF" w:rsidRPr="00FF5955" w14:paraId="667471DF" w14:textId="77777777" w:rsidTr="00CD3B7A">
        <w:trPr>
          <w:trHeight w:val="20"/>
        </w:trPr>
        <w:tc>
          <w:tcPr>
            <w:tcW w:w="467" w:type="pct"/>
            <w:shd w:val="clear" w:color="auto" w:fill="DBDBE0"/>
            <w:noWrap/>
            <w:hideMark/>
          </w:tcPr>
          <w:p w14:paraId="66E177F9" w14:textId="4C160508" w:rsidR="000847BF" w:rsidRPr="000847BF" w:rsidRDefault="00CD3B7A" w:rsidP="00CD3B7A">
            <w:pPr>
              <w:spacing w:after="0" w:line="240" w:lineRule="auto"/>
              <w:rPr>
                <w:rFonts w:cs="Calibri"/>
                <w:b/>
                <w:bCs/>
                <w:noProof/>
                <w:color w:val="002060"/>
                <w:sz w:val="18"/>
              </w:rPr>
            </w:pPr>
            <w:r>
              <w:rPr>
                <w:rFonts w:cs="Calibri"/>
                <w:b/>
                <w:bCs/>
                <w:noProof/>
                <w:color w:val="002060"/>
                <w:sz w:val="18"/>
              </w:rPr>
              <w:t>PO2a</w:t>
            </w:r>
          </w:p>
        </w:tc>
        <w:tc>
          <w:tcPr>
            <w:tcW w:w="1619" w:type="pct"/>
            <w:shd w:val="clear" w:color="auto" w:fill="DBDBE0"/>
            <w:noWrap/>
          </w:tcPr>
          <w:p w14:paraId="745A9BAC" w14:textId="215BE289"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53131C94" w14:textId="380FC50D"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1F3C46CA" w14:textId="49F7A733" w:rsidR="000847BF" w:rsidRPr="00257B73" w:rsidRDefault="000847BF" w:rsidP="00AC2E6B">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r>
      <w:tr w:rsidR="000847BF" w:rsidRPr="00FF5955" w14:paraId="39262ACA" w14:textId="77777777" w:rsidTr="00CD3B7A">
        <w:trPr>
          <w:trHeight w:val="20"/>
        </w:trPr>
        <w:tc>
          <w:tcPr>
            <w:tcW w:w="467" w:type="pct"/>
            <w:shd w:val="clear" w:color="auto" w:fill="DBDBE0"/>
            <w:noWrap/>
            <w:hideMark/>
          </w:tcPr>
          <w:p w14:paraId="0AE929ED" w14:textId="4C771F91" w:rsidR="000847BF" w:rsidRPr="000847BF" w:rsidRDefault="00CD3B7A" w:rsidP="00CD3B7A">
            <w:pPr>
              <w:spacing w:after="0" w:line="240" w:lineRule="auto"/>
              <w:rPr>
                <w:rFonts w:cs="Calibri"/>
                <w:b/>
                <w:bCs/>
                <w:noProof/>
                <w:color w:val="002060"/>
                <w:sz w:val="18"/>
              </w:rPr>
            </w:pPr>
            <w:r>
              <w:rPr>
                <w:rFonts w:cs="Calibri"/>
                <w:b/>
                <w:bCs/>
                <w:noProof/>
                <w:color w:val="002060"/>
                <w:sz w:val="18"/>
              </w:rPr>
              <w:t>PO2b</w:t>
            </w:r>
          </w:p>
        </w:tc>
        <w:tc>
          <w:tcPr>
            <w:tcW w:w="1619" w:type="pct"/>
            <w:shd w:val="clear" w:color="auto" w:fill="DBDBE0"/>
            <w:noWrap/>
          </w:tcPr>
          <w:p w14:paraId="713ACD25" w14:textId="627FEB8D"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77DD0910" w14:textId="35726E0C"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c>
          <w:tcPr>
            <w:tcW w:w="1457" w:type="pct"/>
            <w:shd w:val="clear" w:color="auto" w:fill="DBDBE0"/>
          </w:tcPr>
          <w:p w14:paraId="75B19821" w14:textId="77777777" w:rsidR="000847BF" w:rsidRPr="00257B73" w:rsidRDefault="000847BF" w:rsidP="004A53B9">
            <w:pPr>
              <w:spacing w:after="0" w:line="240" w:lineRule="auto"/>
              <w:jc w:val="center"/>
              <w:rPr>
                <w:rFonts w:cs="Times New Roman"/>
                <w:noProof/>
                <w:color w:val="000000" w:themeColor="text1"/>
                <w:sz w:val="18"/>
                <w:szCs w:val="18"/>
              </w:rPr>
            </w:pPr>
            <w:r w:rsidRPr="00257B73">
              <w:rPr>
                <w:rFonts w:cs="Times New Roman"/>
                <w:noProof/>
                <w:color w:val="000000" w:themeColor="text1"/>
                <w:sz w:val="18"/>
                <w:szCs w:val="18"/>
              </w:rPr>
              <w:t>+++</w:t>
            </w:r>
          </w:p>
        </w:tc>
      </w:tr>
    </w:tbl>
    <w:p w14:paraId="1B114DFD" w14:textId="305C4E99" w:rsidR="00005A34" w:rsidRPr="00FF5955" w:rsidRDefault="00C308ED" w:rsidP="00005A34">
      <w:pPr>
        <w:pStyle w:val="BodyText"/>
        <w:rPr>
          <w:rFonts w:cs="Calibri"/>
          <w:i/>
          <w:noProof/>
          <w:sz w:val="20"/>
        </w:rPr>
      </w:pPr>
      <w:r w:rsidRPr="00C308ED">
        <w:rPr>
          <w:rFonts w:cs="Calibri"/>
          <w:i/>
          <w:noProof/>
          <w:sz w:val="20"/>
        </w:rPr>
        <w:t xml:space="preserve">Legend: +- no </w:t>
      </w:r>
      <w:r>
        <w:rPr>
          <w:rFonts w:cs="Calibri"/>
          <w:i/>
          <w:noProof/>
          <w:sz w:val="20"/>
        </w:rPr>
        <w:t>support</w:t>
      </w:r>
      <w:r w:rsidRPr="00C308ED">
        <w:rPr>
          <w:rFonts w:cs="Calibri"/>
          <w:i/>
          <w:noProof/>
          <w:sz w:val="20"/>
        </w:rPr>
        <w:t xml:space="preserve">; + limited </w:t>
      </w:r>
      <w:r>
        <w:rPr>
          <w:rFonts w:cs="Calibri"/>
          <w:i/>
          <w:noProof/>
          <w:sz w:val="20"/>
        </w:rPr>
        <w:t>support</w:t>
      </w:r>
      <w:r w:rsidRPr="00C308ED">
        <w:rPr>
          <w:rFonts w:cs="Calibri"/>
          <w:i/>
          <w:noProof/>
          <w:sz w:val="20"/>
        </w:rPr>
        <w:t xml:space="preserve">; ++ </w:t>
      </w:r>
      <w:r>
        <w:rPr>
          <w:rFonts w:cs="Calibri"/>
          <w:i/>
          <w:noProof/>
          <w:sz w:val="20"/>
        </w:rPr>
        <w:t>support</w:t>
      </w:r>
      <w:r w:rsidRPr="00C308ED">
        <w:rPr>
          <w:rFonts w:cs="Calibri"/>
          <w:i/>
          <w:noProof/>
          <w:sz w:val="20"/>
        </w:rPr>
        <w:t xml:space="preserve">; +++ </w:t>
      </w:r>
      <w:r>
        <w:rPr>
          <w:rFonts w:cs="Calibri"/>
          <w:i/>
          <w:noProof/>
          <w:sz w:val="20"/>
        </w:rPr>
        <w:t>strong support</w:t>
      </w:r>
    </w:p>
    <w:p w14:paraId="3869534D" w14:textId="469927FF" w:rsidR="000847BF" w:rsidRDefault="000847BF" w:rsidP="000847BF">
      <w:pPr>
        <w:pStyle w:val="BodyText"/>
        <w:spacing w:after="240"/>
        <w:rPr>
          <w:noProof/>
          <w:color w:val="000000" w:themeColor="text1"/>
          <w:sz w:val="24"/>
        </w:rPr>
      </w:pPr>
      <w:r>
        <w:rPr>
          <w:noProof/>
          <w:color w:val="000000" w:themeColor="text1"/>
          <w:sz w:val="24"/>
        </w:rPr>
        <w:t xml:space="preserve">In particular, </w:t>
      </w:r>
      <w:r w:rsidRPr="000847BF">
        <w:rPr>
          <w:noProof/>
          <w:color w:val="000000" w:themeColor="text1"/>
          <w:sz w:val="24"/>
        </w:rPr>
        <w:t>industry stakeholders voiced strong opposition to the reversal of the burden of proof</w:t>
      </w:r>
      <w:r w:rsidR="00636D4A">
        <w:rPr>
          <w:noProof/>
          <w:color w:val="000000" w:themeColor="text1"/>
          <w:sz w:val="24"/>
        </w:rPr>
        <w:t xml:space="preserve"> in policy option 2b</w:t>
      </w:r>
      <w:r w:rsidRPr="000847BF">
        <w:rPr>
          <w:noProof/>
          <w:color w:val="000000" w:themeColor="text1"/>
          <w:sz w:val="24"/>
        </w:rPr>
        <w:t xml:space="preserve"> (in the interview programme, targeted and </w:t>
      </w:r>
      <w:r w:rsidR="001F20A9">
        <w:rPr>
          <w:noProof/>
          <w:color w:val="000000" w:themeColor="text1"/>
          <w:sz w:val="24"/>
        </w:rPr>
        <w:t>public</w:t>
      </w:r>
      <w:r w:rsidR="001F20A9" w:rsidRPr="000847BF">
        <w:rPr>
          <w:noProof/>
          <w:color w:val="000000" w:themeColor="text1"/>
          <w:sz w:val="24"/>
        </w:rPr>
        <w:t xml:space="preserve"> </w:t>
      </w:r>
      <w:r w:rsidRPr="000847BF">
        <w:rPr>
          <w:noProof/>
          <w:color w:val="000000" w:themeColor="text1"/>
          <w:sz w:val="24"/>
        </w:rPr>
        <w:t xml:space="preserve">consultations). The main concern was that the delicate balance between consumer protection and producers accepting the principle of </w:t>
      </w:r>
      <w:r w:rsidR="00636D4A">
        <w:rPr>
          <w:noProof/>
          <w:color w:val="000000" w:themeColor="text1"/>
          <w:sz w:val="24"/>
        </w:rPr>
        <w:t>no-fault</w:t>
      </w:r>
      <w:r w:rsidR="00636D4A" w:rsidRPr="000847BF">
        <w:rPr>
          <w:noProof/>
          <w:color w:val="000000" w:themeColor="text1"/>
          <w:sz w:val="24"/>
        </w:rPr>
        <w:t xml:space="preserve"> </w:t>
      </w:r>
      <w:r w:rsidRPr="000847BF">
        <w:rPr>
          <w:noProof/>
          <w:color w:val="000000" w:themeColor="text1"/>
          <w:sz w:val="24"/>
        </w:rPr>
        <w:t xml:space="preserve">liability whilst maintaining innovation and competitiveness would be undermined if the burden of proof were reversed. Balanced against this, there was less industry opposition </w:t>
      </w:r>
      <w:r w:rsidR="00636D4A">
        <w:rPr>
          <w:noProof/>
          <w:color w:val="000000" w:themeColor="text1"/>
          <w:sz w:val="24"/>
        </w:rPr>
        <w:t xml:space="preserve">to policy option 2a </w:t>
      </w:r>
      <w:r w:rsidRPr="000847BF">
        <w:rPr>
          <w:noProof/>
          <w:color w:val="000000" w:themeColor="text1"/>
          <w:sz w:val="24"/>
        </w:rPr>
        <w:t>in respect of clarifying the circumstances in which presumptions can be used and making necessary technical information available to injured parties.</w:t>
      </w:r>
      <w:r w:rsidR="00A14D23">
        <w:rPr>
          <w:noProof/>
          <w:color w:val="000000" w:themeColor="text1"/>
          <w:sz w:val="24"/>
        </w:rPr>
        <w:t xml:space="preserve"> Member States expressed clear support for revising the PLD in the dedicated Member State workshop held in February 2022 and in the responses to the public consultation, but only several Member States expressed clear views on specific policy options</w:t>
      </w:r>
      <w:r w:rsidR="00E4016A">
        <w:rPr>
          <w:rStyle w:val="FootnoteReference"/>
          <w:noProof/>
          <w:color w:val="000000" w:themeColor="text1"/>
          <w:sz w:val="24"/>
        </w:rPr>
        <w:footnoteReference w:id="249"/>
      </w:r>
      <w:r w:rsidR="00A14D23">
        <w:rPr>
          <w:noProof/>
          <w:color w:val="000000" w:themeColor="text1"/>
          <w:sz w:val="24"/>
        </w:rPr>
        <w:t>.</w:t>
      </w:r>
    </w:p>
    <w:p w14:paraId="539A9EEA" w14:textId="0E982A79" w:rsidR="00D175FD" w:rsidRPr="00D175FD" w:rsidRDefault="002E7937" w:rsidP="002E7937">
      <w:pPr>
        <w:pStyle w:val="Heading2"/>
        <w:rPr>
          <w:noProof/>
        </w:rPr>
      </w:pPr>
      <w:bookmarkStart w:id="635" w:name="_Toc95481990"/>
      <w:bookmarkStart w:id="636" w:name="_Toc96337782"/>
      <w:bookmarkStart w:id="637" w:name="_Toc96446262"/>
      <w:bookmarkStart w:id="638" w:name="_Toc96448034"/>
      <w:bookmarkStart w:id="639" w:name="_Toc96593983"/>
      <w:bookmarkStart w:id="640" w:name="_Toc96597274"/>
      <w:bookmarkStart w:id="641" w:name="_Toc96609209"/>
      <w:bookmarkStart w:id="642" w:name="_Toc97149238"/>
      <w:bookmarkStart w:id="643" w:name="_Toc97191284"/>
      <w:bookmarkStart w:id="644" w:name="_Toc107430094"/>
      <w:r w:rsidRPr="002E7937">
        <w:t>7.3.</w:t>
      </w:r>
      <w:r w:rsidRPr="002E7937">
        <w:tab/>
      </w:r>
      <w:r w:rsidR="00D175FD" w:rsidRPr="00D175FD">
        <w:rPr>
          <w:noProof/>
        </w:rPr>
        <w:t>Summary of policy options assessment</w:t>
      </w:r>
      <w:bookmarkEnd w:id="635"/>
      <w:bookmarkEnd w:id="636"/>
      <w:bookmarkEnd w:id="637"/>
      <w:bookmarkEnd w:id="638"/>
      <w:bookmarkEnd w:id="639"/>
      <w:bookmarkEnd w:id="640"/>
      <w:bookmarkEnd w:id="641"/>
      <w:bookmarkEnd w:id="642"/>
      <w:bookmarkEnd w:id="643"/>
      <w:bookmarkEnd w:id="644"/>
    </w:p>
    <w:p w14:paraId="34F5812D" w14:textId="3FB310DC" w:rsidR="00D84320" w:rsidRPr="000847BF" w:rsidRDefault="00D84320" w:rsidP="000847BF">
      <w:pPr>
        <w:pStyle w:val="BodyText"/>
        <w:spacing w:after="240"/>
        <w:rPr>
          <w:noProof/>
          <w:color w:val="000000" w:themeColor="text1"/>
          <w:sz w:val="24"/>
        </w:rPr>
      </w:pPr>
      <w:r>
        <w:rPr>
          <w:noProof/>
          <w:color w:val="000000" w:themeColor="text1"/>
          <w:sz w:val="24"/>
        </w:rPr>
        <w:t xml:space="preserve">The table below summarises the assessment presented so far, providing an overview of the effectiveness, efficiency and coherence with the EU law for each of the policy option analysed. </w:t>
      </w:r>
    </w:p>
    <w:p w14:paraId="00B67A5C" w14:textId="1BD8378E" w:rsidR="00005A34" w:rsidRPr="00E964D8" w:rsidRDefault="00E964D8" w:rsidP="00E964D8">
      <w:pPr>
        <w:pStyle w:val="Caption"/>
        <w:spacing w:after="0"/>
        <w:rPr>
          <w:noProof/>
          <w:color w:val="auto"/>
          <w:sz w:val="24"/>
          <w:szCs w:val="24"/>
          <w:lang w:val="en-IE"/>
        </w:rPr>
      </w:pPr>
      <w:r w:rsidRPr="00E964D8">
        <w:rPr>
          <w:noProof/>
          <w:color w:val="auto"/>
          <w:sz w:val="24"/>
          <w:szCs w:val="24"/>
        </w:rPr>
        <w:t xml:space="preserve">Table </w:t>
      </w:r>
      <w:r w:rsidRPr="00E964D8">
        <w:rPr>
          <w:noProof/>
          <w:color w:val="auto"/>
          <w:sz w:val="24"/>
          <w:szCs w:val="24"/>
        </w:rPr>
        <w:fldChar w:fldCharType="begin"/>
      </w:r>
      <w:r w:rsidRPr="00E964D8">
        <w:rPr>
          <w:noProof/>
          <w:color w:val="auto"/>
          <w:sz w:val="24"/>
          <w:szCs w:val="24"/>
        </w:rPr>
        <w:instrText xml:space="preserve"> SEQ Table \* ARABIC </w:instrText>
      </w:r>
      <w:r w:rsidRPr="00E964D8">
        <w:rPr>
          <w:noProof/>
          <w:color w:val="auto"/>
          <w:sz w:val="24"/>
          <w:szCs w:val="24"/>
        </w:rPr>
        <w:fldChar w:fldCharType="separate"/>
      </w:r>
      <w:r w:rsidR="00BC2C3A">
        <w:rPr>
          <w:noProof/>
          <w:color w:val="auto"/>
          <w:sz w:val="24"/>
          <w:szCs w:val="24"/>
        </w:rPr>
        <w:t>8</w:t>
      </w:r>
      <w:r w:rsidRPr="00E964D8">
        <w:rPr>
          <w:noProof/>
          <w:color w:val="auto"/>
          <w:sz w:val="24"/>
          <w:szCs w:val="24"/>
        </w:rPr>
        <w:fldChar w:fldCharType="end"/>
      </w:r>
      <w:r w:rsidRPr="00E964D8">
        <w:rPr>
          <w:noProof/>
          <w:color w:val="auto"/>
          <w:sz w:val="24"/>
          <w:szCs w:val="24"/>
        </w:rPr>
        <w:t xml:space="preserve">: </w:t>
      </w:r>
      <w:r w:rsidR="00005A34" w:rsidRPr="00E964D8">
        <w:rPr>
          <w:noProof/>
          <w:color w:val="auto"/>
          <w:sz w:val="24"/>
          <w:szCs w:val="24"/>
          <w:lang w:val="en-IE"/>
        </w:rPr>
        <w:t>Summary table</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55"/>
        <w:gridCol w:w="2359"/>
        <w:gridCol w:w="2360"/>
        <w:gridCol w:w="2360"/>
      </w:tblGrid>
      <w:tr w:rsidR="00005A34" w:rsidRPr="00FF5955" w14:paraId="03A75B3E" w14:textId="77777777" w:rsidTr="00861E98">
        <w:trPr>
          <w:trHeight w:val="492"/>
          <w:tblHeader/>
        </w:trPr>
        <w:tc>
          <w:tcPr>
            <w:tcW w:w="993" w:type="pct"/>
            <w:shd w:val="clear" w:color="000000" w:fill="002060"/>
            <w:noWrap/>
            <w:hideMark/>
          </w:tcPr>
          <w:p w14:paraId="69B8FE61" w14:textId="77777777" w:rsidR="00005A34" w:rsidRPr="00FD6657" w:rsidRDefault="00005A34" w:rsidP="004A53B9">
            <w:pPr>
              <w:spacing w:after="0" w:line="240" w:lineRule="auto"/>
              <w:rPr>
                <w:rFonts w:cs="Calibri"/>
                <w:b/>
                <w:bCs/>
                <w:noProof/>
                <w:color w:val="FFFFFF"/>
                <w:sz w:val="18"/>
              </w:rPr>
            </w:pPr>
          </w:p>
        </w:tc>
        <w:tc>
          <w:tcPr>
            <w:tcW w:w="1335" w:type="pct"/>
            <w:shd w:val="clear" w:color="000000" w:fill="002060"/>
            <w:noWrap/>
            <w:vAlign w:val="center"/>
            <w:hideMark/>
          </w:tcPr>
          <w:p w14:paraId="7903AFD1" w14:textId="77777777" w:rsidR="00005A34" w:rsidRPr="00FD6657" w:rsidRDefault="00005A34" w:rsidP="00EA70EF">
            <w:pPr>
              <w:spacing w:after="0" w:line="240" w:lineRule="auto"/>
              <w:jc w:val="center"/>
              <w:rPr>
                <w:rFonts w:cs="Calibri"/>
                <w:b/>
                <w:bCs/>
                <w:noProof/>
                <w:color w:val="FFFFFF"/>
                <w:sz w:val="18"/>
              </w:rPr>
            </w:pPr>
            <w:r w:rsidRPr="00FD6657">
              <w:rPr>
                <w:rFonts w:cs="Calibri"/>
                <w:b/>
                <w:bCs/>
                <w:noProof/>
                <w:color w:val="FFFFFF"/>
                <w:sz w:val="18"/>
              </w:rPr>
              <w:t>Effectiveness</w:t>
            </w:r>
          </w:p>
        </w:tc>
        <w:tc>
          <w:tcPr>
            <w:tcW w:w="1336" w:type="pct"/>
            <w:shd w:val="clear" w:color="000000" w:fill="002060"/>
            <w:noWrap/>
            <w:vAlign w:val="center"/>
            <w:hideMark/>
          </w:tcPr>
          <w:p w14:paraId="1D7CEA4D" w14:textId="77777777" w:rsidR="00005A34" w:rsidRPr="00FD6657" w:rsidRDefault="00005A34" w:rsidP="00EA70EF">
            <w:pPr>
              <w:spacing w:after="0" w:line="240" w:lineRule="auto"/>
              <w:jc w:val="center"/>
              <w:rPr>
                <w:rFonts w:cs="Calibri"/>
                <w:b/>
                <w:bCs/>
                <w:noProof/>
                <w:color w:val="FFFFFF"/>
                <w:sz w:val="18"/>
              </w:rPr>
            </w:pPr>
            <w:r w:rsidRPr="00FD6657">
              <w:rPr>
                <w:rFonts w:cs="Calibri"/>
                <w:b/>
                <w:bCs/>
                <w:noProof/>
                <w:color w:val="FFFFFF"/>
                <w:sz w:val="18"/>
              </w:rPr>
              <w:t>Efficiency</w:t>
            </w:r>
          </w:p>
        </w:tc>
        <w:tc>
          <w:tcPr>
            <w:tcW w:w="1336" w:type="pct"/>
            <w:shd w:val="clear" w:color="000000" w:fill="002060"/>
            <w:noWrap/>
            <w:vAlign w:val="center"/>
            <w:hideMark/>
          </w:tcPr>
          <w:p w14:paraId="5C354BBC" w14:textId="77777777" w:rsidR="00005A34" w:rsidRPr="00FD6657" w:rsidRDefault="00005A34" w:rsidP="00EA70EF">
            <w:pPr>
              <w:spacing w:after="0" w:line="240" w:lineRule="auto"/>
              <w:jc w:val="center"/>
              <w:rPr>
                <w:rFonts w:cs="Calibri"/>
                <w:b/>
                <w:bCs/>
                <w:noProof/>
                <w:color w:val="FFFFFF"/>
                <w:sz w:val="18"/>
              </w:rPr>
            </w:pPr>
            <w:r w:rsidRPr="00FD6657">
              <w:rPr>
                <w:rFonts w:cs="Calibri"/>
                <w:b/>
                <w:bCs/>
                <w:noProof/>
                <w:color w:val="FFFFFF"/>
                <w:sz w:val="18"/>
              </w:rPr>
              <w:t>Coherence</w:t>
            </w:r>
            <w:r>
              <w:rPr>
                <w:rFonts w:cs="Calibri"/>
                <w:b/>
                <w:bCs/>
                <w:noProof/>
                <w:color w:val="FFFFFF"/>
                <w:sz w:val="18"/>
              </w:rPr>
              <w:t xml:space="preserve"> with EU law</w:t>
            </w:r>
          </w:p>
        </w:tc>
      </w:tr>
      <w:tr w:rsidR="00CD3B7A" w:rsidRPr="00FF5955" w14:paraId="740106E0" w14:textId="77777777" w:rsidTr="00CD3B7A">
        <w:trPr>
          <w:trHeight w:val="20"/>
        </w:trPr>
        <w:tc>
          <w:tcPr>
            <w:tcW w:w="993" w:type="pct"/>
            <w:shd w:val="clear" w:color="auto" w:fill="DBDBE0"/>
            <w:noWrap/>
            <w:hideMark/>
          </w:tcPr>
          <w:p w14:paraId="033E591B" w14:textId="140F91F3" w:rsidR="00CD3B7A" w:rsidRPr="00FD6657" w:rsidRDefault="00CD3B7A" w:rsidP="00CD3B7A">
            <w:pPr>
              <w:spacing w:after="0" w:line="240" w:lineRule="auto"/>
              <w:rPr>
                <w:rFonts w:cs="Calibri"/>
                <w:b/>
                <w:bCs/>
                <w:noProof/>
                <w:color w:val="002060"/>
                <w:sz w:val="18"/>
              </w:rPr>
            </w:pPr>
            <w:r>
              <w:rPr>
                <w:rFonts w:cs="Calibri"/>
                <w:b/>
                <w:bCs/>
                <w:noProof/>
                <w:color w:val="002060"/>
                <w:sz w:val="18"/>
              </w:rPr>
              <w:t>PO1a</w:t>
            </w:r>
          </w:p>
        </w:tc>
        <w:tc>
          <w:tcPr>
            <w:tcW w:w="1335" w:type="pct"/>
            <w:shd w:val="clear" w:color="auto" w:fill="DBDBE0"/>
            <w:noWrap/>
            <w:vAlign w:val="bottom"/>
          </w:tcPr>
          <w:p w14:paraId="09ED0321" w14:textId="4E0DFA79"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c>
          <w:tcPr>
            <w:tcW w:w="1336" w:type="pct"/>
            <w:shd w:val="clear" w:color="auto" w:fill="DBDBE0"/>
            <w:noWrap/>
            <w:vAlign w:val="bottom"/>
          </w:tcPr>
          <w:p w14:paraId="649DC3CF" w14:textId="5567ECE8" w:rsidR="00CD3B7A" w:rsidRPr="00257B73" w:rsidRDefault="00CD3B7A" w:rsidP="00CD3B7A">
            <w:pPr>
              <w:spacing w:after="0" w:line="240" w:lineRule="auto"/>
              <w:jc w:val="center"/>
              <w:rPr>
                <w:rFonts w:cs="Calibri"/>
                <w:noProof/>
                <w:color w:val="000000"/>
                <w:sz w:val="18"/>
              </w:rPr>
            </w:pPr>
            <w:r>
              <w:rPr>
                <w:rFonts w:cs="Calibri"/>
                <w:noProof/>
                <w:color w:val="000000"/>
                <w:sz w:val="18"/>
              </w:rPr>
              <w:t>++</w:t>
            </w:r>
          </w:p>
        </w:tc>
        <w:tc>
          <w:tcPr>
            <w:tcW w:w="1336" w:type="pct"/>
            <w:shd w:val="clear" w:color="auto" w:fill="DBDBE0"/>
            <w:noWrap/>
            <w:vAlign w:val="bottom"/>
          </w:tcPr>
          <w:p w14:paraId="136DBD3A" w14:textId="3748CEA9"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r>
      <w:tr w:rsidR="00CD3B7A" w:rsidRPr="00FF5955" w14:paraId="212F5D26" w14:textId="77777777" w:rsidTr="00861E98">
        <w:trPr>
          <w:trHeight w:val="20"/>
        </w:trPr>
        <w:tc>
          <w:tcPr>
            <w:tcW w:w="993" w:type="pct"/>
            <w:shd w:val="clear" w:color="auto" w:fill="DBDBE0"/>
            <w:noWrap/>
            <w:hideMark/>
          </w:tcPr>
          <w:p w14:paraId="6671B10A" w14:textId="14D9A12E" w:rsidR="00CD3B7A" w:rsidRPr="00FD6657" w:rsidRDefault="00CD3B7A" w:rsidP="00CD3B7A">
            <w:pPr>
              <w:spacing w:after="0" w:line="240" w:lineRule="auto"/>
              <w:rPr>
                <w:rFonts w:cs="Calibri"/>
                <w:b/>
                <w:bCs/>
                <w:noProof/>
                <w:color w:val="002060"/>
                <w:sz w:val="18"/>
              </w:rPr>
            </w:pPr>
            <w:r>
              <w:rPr>
                <w:rFonts w:cs="Calibri"/>
                <w:b/>
                <w:bCs/>
                <w:noProof/>
                <w:color w:val="002060"/>
                <w:sz w:val="18"/>
              </w:rPr>
              <w:t>PO1b</w:t>
            </w:r>
          </w:p>
        </w:tc>
        <w:tc>
          <w:tcPr>
            <w:tcW w:w="1335" w:type="pct"/>
            <w:shd w:val="clear" w:color="auto" w:fill="DBDBE0"/>
            <w:noWrap/>
            <w:vAlign w:val="bottom"/>
          </w:tcPr>
          <w:p w14:paraId="32A1BB9A" w14:textId="2A021F48"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c>
          <w:tcPr>
            <w:tcW w:w="1336" w:type="pct"/>
            <w:shd w:val="clear" w:color="auto" w:fill="DBDBE0"/>
            <w:noWrap/>
            <w:vAlign w:val="bottom"/>
          </w:tcPr>
          <w:p w14:paraId="01A6DD2A" w14:textId="01CF24A1"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r>
              <w:rPr>
                <w:rFonts w:cs="Calibri"/>
                <w:noProof/>
                <w:color w:val="000000"/>
                <w:sz w:val="18"/>
              </w:rPr>
              <w:t>+</w:t>
            </w:r>
          </w:p>
        </w:tc>
        <w:tc>
          <w:tcPr>
            <w:tcW w:w="1336" w:type="pct"/>
            <w:shd w:val="clear" w:color="auto" w:fill="DBDBE0"/>
            <w:noWrap/>
            <w:vAlign w:val="bottom"/>
          </w:tcPr>
          <w:p w14:paraId="797F3C0B" w14:textId="14D88CDD"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r>
      <w:tr w:rsidR="00CD3B7A" w:rsidRPr="00FF5955" w14:paraId="04524057" w14:textId="77777777" w:rsidTr="00861E98">
        <w:trPr>
          <w:trHeight w:val="20"/>
        </w:trPr>
        <w:tc>
          <w:tcPr>
            <w:tcW w:w="993" w:type="pct"/>
            <w:shd w:val="clear" w:color="auto" w:fill="DBDBE0"/>
            <w:noWrap/>
            <w:hideMark/>
          </w:tcPr>
          <w:p w14:paraId="31153014" w14:textId="441CB53A" w:rsidR="00CD3B7A" w:rsidRPr="00FD6657" w:rsidRDefault="00CD3B7A" w:rsidP="00CD3B7A">
            <w:pPr>
              <w:spacing w:after="0" w:line="240" w:lineRule="auto"/>
              <w:rPr>
                <w:rFonts w:cs="Calibri"/>
                <w:b/>
                <w:bCs/>
                <w:noProof/>
                <w:color w:val="002060"/>
                <w:sz w:val="18"/>
              </w:rPr>
            </w:pPr>
            <w:r>
              <w:rPr>
                <w:rFonts w:cs="Calibri"/>
                <w:b/>
                <w:bCs/>
                <w:noProof/>
                <w:color w:val="002060"/>
                <w:sz w:val="18"/>
              </w:rPr>
              <w:t>PO1c</w:t>
            </w:r>
          </w:p>
        </w:tc>
        <w:tc>
          <w:tcPr>
            <w:tcW w:w="1335" w:type="pct"/>
            <w:shd w:val="clear" w:color="auto" w:fill="DBDBE0"/>
            <w:noWrap/>
            <w:vAlign w:val="bottom"/>
          </w:tcPr>
          <w:p w14:paraId="14E24EBA" w14:textId="68F0412F"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c>
          <w:tcPr>
            <w:tcW w:w="1336" w:type="pct"/>
            <w:shd w:val="clear" w:color="auto" w:fill="DBDBE0"/>
            <w:noWrap/>
            <w:vAlign w:val="bottom"/>
          </w:tcPr>
          <w:p w14:paraId="48F2F8C8" w14:textId="7EC66270" w:rsidR="00CD3B7A" w:rsidRPr="00257B73" w:rsidRDefault="00CD3B7A" w:rsidP="00CD3B7A">
            <w:pPr>
              <w:spacing w:after="0" w:line="240" w:lineRule="auto"/>
              <w:jc w:val="center"/>
              <w:rPr>
                <w:rFonts w:cs="Calibri"/>
                <w:noProof/>
                <w:color w:val="000000"/>
                <w:sz w:val="18"/>
              </w:rPr>
            </w:pPr>
            <w:r>
              <w:rPr>
                <w:rFonts w:cs="Calibri"/>
                <w:noProof/>
                <w:color w:val="000000"/>
                <w:sz w:val="18"/>
              </w:rPr>
              <w:t>+</w:t>
            </w:r>
          </w:p>
        </w:tc>
        <w:tc>
          <w:tcPr>
            <w:tcW w:w="1336" w:type="pct"/>
            <w:shd w:val="clear" w:color="auto" w:fill="DBDBE0"/>
            <w:noWrap/>
            <w:vAlign w:val="bottom"/>
          </w:tcPr>
          <w:p w14:paraId="2C3EE7E0" w14:textId="310E67B4"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r>
      <w:tr w:rsidR="00CD3B7A" w:rsidRPr="00FF5955" w14:paraId="50A3D93E" w14:textId="77777777" w:rsidTr="00861E98">
        <w:trPr>
          <w:trHeight w:val="20"/>
        </w:trPr>
        <w:tc>
          <w:tcPr>
            <w:tcW w:w="993" w:type="pct"/>
            <w:shd w:val="clear" w:color="auto" w:fill="DBDBE0"/>
            <w:noWrap/>
            <w:hideMark/>
          </w:tcPr>
          <w:p w14:paraId="627AF36A" w14:textId="382C77D2" w:rsidR="00CD3B7A" w:rsidRPr="00FD6657" w:rsidRDefault="00CD3B7A" w:rsidP="00CD3B7A">
            <w:pPr>
              <w:spacing w:after="0" w:line="240" w:lineRule="auto"/>
              <w:rPr>
                <w:rFonts w:cs="Calibri"/>
                <w:b/>
                <w:bCs/>
                <w:noProof/>
                <w:color w:val="002060"/>
                <w:sz w:val="18"/>
              </w:rPr>
            </w:pPr>
            <w:r>
              <w:rPr>
                <w:rFonts w:cs="Calibri"/>
                <w:b/>
                <w:bCs/>
                <w:noProof/>
                <w:color w:val="002060"/>
                <w:sz w:val="18"/>
              </w:rPr>
              <w:t>PO2a</w:t>
            </w:r>
          </w:p>
        </w:tc>
        <w:tc>
          <w:tcPr>
            <w:tcW w:w="1335" w:type="pct"/>
            <w:shd w:val="clear" w:color="auto" w:fill="DBDBE0"/>
            <w:noWrap/>
            <w:vAlign w:val="bottom"/>
          </w:tcPr>
          <w:p w14:paraId="21D910FC" w14:textId="43A55B89"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r>
              <w:rPr>
                <w:rFonts w:cs="Calibri"/>
                <w:noProof/>
                <w:color w:val="000000"/>
                <w:sz w:val="18"/>
              </w:rPr>
              <w:t>+</w:t>
            </w:r>
          </w:p>
        </w:tc>
        <w:tc>
          <w:tcPr>
            <w:tcW w:w="1336" w:type="pct"/>
            <w:shd w:val="clear" w:color="auto" w:fill="DBDBE0"/>
            <w:noWrap/>
            <w:vAlign w:val="bottom"/>
          </w:tcPr>
          <w:p w14:paraId="1F6D6778" w14:textId="5E39B1A2"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c>
          <w:tcPr>
            <w:tcW w:w="1336" w:type="pct"/>
            <w:shd w:val="clear" w:color="auto" w:fill="DBDBE0"/>
            <w:noWrap/>
            <w:vAlign w:val="bottom"/>
          </w:tcPr>
          <w:p w14:paraId="43272ADB" w14:textId="52B59328"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r>
              <w:rPr>
                <w:rFonts w:cs="Calibri"/>
                <w:noProof/>
                <w:color w:val="000000"/>
                <w:sz w:val="18"/>
              </w:rPr>
              <w:t>+</w:t>
            </w:r>
          </w:p>
        </w:tc>
      </w:tr>
      <w:tr w:rsidR="00CD3B7A" w:rsidRPr="00FF5955" w14:paraId="13B9403E" w14:textId="77777777" w:rsidTr="00861E98">
        <w:trPr>
          <w:trHeight w:val="20"/>
        </w:trPr>
        <w:tc>
          <w:tcPr>
            <w:tcW w:w="993" w:type="pct"/>
            <w:shd w:val="clear" w:color="auto" w:fill="DBDBE0"/>
            <w:noWrap/>
            <w:hideMark/>
          </w:tcPr>
          <w:p w14:paraId="76BA480C" w14:textId="05001371" w:rsidR="00CD3B7A" w:rsidRPr="00FD6657" w:rsidRDefault="00CD3B7A" w:rsidP="00CD3B7A">
            <w:pPr>
              <w:spacing w:after="0" w:line="240" w:lineRule="auto"/>
              <w:rPr>
                <w:rFonts w:cs="Calibri"/>
                <w:b/>
                <w:bCs/>
                <w:noProof/>
                <w:color w:val="002060"/>
                <w:sz w:val="18"/>
              </w:rPr>
            </w:pPr>
            <w:r>
              <w:rPr>
                <w:rFonts w:cs="Calibri"/>
                <w:b/>
                <w:bCs/>
                <w:noProof/>
                <w:color w:val="002060"/>
                <w:sz w:val="18"/>
              </w:rPr>
              <w:t>PO2b</w:t>
            </w:r>
          </w:p>
        </w:tc>
        <w:tc>
          <w:tcPr>
            <w:tcW w:w="1335" w:type="pct"/>
            <w:shd w:val="clear" w:color="auto" w:fill="DBDBE0"/>
            <w:noWrap/>
            <w:vAlign w:val="bottom"/>
          </w:tcPr>
          <w:p w14:paraId="636ADAB6" w14:textId="66608764"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c>
          <w:tcPr>
            <w:tcW w:w="1336" w:type="pct"/>
            <w:shd w:val="clear" w:color="auto" w:fill="DBDBE0"/>
            <w:noWrap/>
            <w:vAlign w:val="bottom"/>
          </w:tcPr>
          <w:p w14:paraId="155556C1" w14:textId="5C8335AE"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p>
        </w:tc>
        <w:tc>
          <w:tcPr>
            <w:tcW w:w="1336" w:type="pct"/>
            <w:shd w:val="clear" w:color="auto" w:fill="DBDBE0"/>
            <w:noWrap/>
            <w:vAlign w:val="bottom"/>
          </w:tcPr>
          <w:p w14:paraId="05EDED67" w14:textId="1C782590" w:rsidR="00CD3B7A" w:rsidRPr="00257B73" w:rsidRDefault="00CD3B7A" w:rsidP="00CD3B7A">
            <w:pPr>
              <w:spacing w:after="0" w:line="240" w:lineRule="auto"/>
              <w:jc w:val="center"/>
              <w:rPr>
                <w:rFonts w:cs="Calibri"/>
                <w:noProof/>
                <w:color w:val="000000"/>
                <w:sz w:val="18"/>
              </w:rPr>
            </w:pPr>
            <w:r w:rsidRPr="00257B73">
              <w:rPr>
                <w:rFonts w:cs="Calibri"/>
                <w:noProof/>
                <w:color w:val="000000"/>
                <w:sz w:val="18"/>
              </w:rPr>
              <w:t>++</w:t>
            </w:r>
            <w:r>
              <w:rPr>
                <w:rFonts w:cs="Calibri"/>
                <w:noProof/>
                <w:color w:val="000000"/>
                <w:sz w:val="18"/>
              </w:rPr>
              <w:t>+</w:t>
            </w:r>
          </w:p>
        </w:tc>
      </w:tr>
    </w:tbl>
    <w:p w14:paraId="68D42EB0" w14:textId="77777777" w:rsidR="00005A34" w:rsidRPr="00FF5955" w:rsidRDefault="00005A34" w:rsidP="00005A34">
      <w:pPr>
        <w:pStyle w:val="BodyText"/>
        <w:rPr>
          <w:rFonts w:cs="Calibri"/>
          <w:i/>
          <w:noProof/>
          <w:sz w:val="20"/>
        </w:rPr>
      </w:pPr>
      <w:r w:rsidRPr="00FF5955">
        <w:rPr>
          <w:rFonts w:cs="Calibri"/>
          <w:i/>
          <w:noProof/>
          <w:sz w:val="20"/>
        </w:rPr>
        <w:t>Legend: +- no / neutral impact; + minor positive impact; ++ positive impact; +++ significant positive impact; - minor negative impact; -- negative impact; --- significant negative impact</w:t>
      </w:r>
    </w:p>
    <w:p w14:paraId="794E9188" w14:textId="3B4D2663" w:rsidR="00D84320" w:rsidRPr="00505B16" w:rsidRDefault="00D84320" w:rsidP="00505B16">
      <w:pPr>
        <w:pStyle w:val="BodyText"/>
        <w:spacing w:after="240"/>
        <w:rPr>
          <w:noProof/>
          <w:sz w:val="24"/>
          <w:szCs w:val="24"/>
        </w:rPr>
      </w:pPr>
      <w:r w:rsidRPr="00505B16">
        <w:rPr>
          <w:noProof/>
          <w:sz w:val="24"/>
          <w:szCs w:val="24"/>
        </w:rPr>
        <w:t xml:space="preserve">The proposed measures are considered to generally be coherent with wider EU policy and regulatory developments, with the exception of 1c, which </w:t>
      </w:r>
      <w:r w:rsidR="00C12020">
        <w:rPr>
          <w:noProof/>
          <w:sz w:val="24"/>
          <w:szCs w:val="24"/>
        </w:rPr>
        <w:t>would</w:t>
      </w:r>
      <w:r w:rsidRPr="00505B16">
        <w:rPr>
          <w:noProof/>
          <w:sz w:val="24"/>
          <w:szCs w:val="24"/>
        </w:rPr>
        <w:t xml:space="preserve"> risk duplicating Art. 82 of the GDPR</w:t>
      </w:r>
      <w:r w:rsidR="00827F63">
        <w:rPr>
          <w:noProof/>
          <w:sz w:val="24"/>
          <w:szCs w:val="24"/>
        </w:rPr>
        <w:t xml:space="preserve"> in respect of data protection and </w:t>
      </w:r>
      <w:r w:rsidR="00827F63" w:rsidRPr="00505B16">
        <w:rPr>
          <w:noProof/>
          <w:sz w:val="24"/>
          <w:szCs w:val="24"/>
        </w:rPr>
        <w:t>privacy infringements</w:t>
      </w:r>
      <w:r w:rsidR="00827F63">
        <w:rPr>
          <w:noProof/>
          <w:sz w:val="24"/>
          <w:szCs w:val="24"/>
        </w:rPr>
        <w:t xml:space="preserve">, and risk overlapping with </w:t>
      </w:r>
      <w:r w:rsidR="00827F63" w:rsidRPr="00C36852">
        <w:rPr>
          <w:noProof/>
          <w:sz w:val="24"/>
          <w:szCs w:val="24"/>
          <w:lang w:val="en-IE"/>
        </w:rPr>
        <w:t xml:space="preserve">non-discrimination </w:t>
      </w:r>
      <w:r w:rsidR="00827F63">
        <w:rPr>
          <w:noProof/>
          <w:sz w:val="24"/>
          <w:szCs w:val="24"/>
          <w:lang w:val="en-IE"/>
        </w:rPr>
        <w:t>law</w:t>
      </w:r>
      <w:r w:rsidRPr="00505B16">
        <w:rPr>
          <w:noProof/>
          <w:sz w:val="24"/>
          <w:szCs w:val="24"/>
        </w:rPr>
        <w:t xml:space="preserve">. </w:t>
      </w:r>
    </w:p>
    <w:p w14:paraId="11EF399E" w14:textId="694170FB" w:rsidR="006B087E" w:rsidRDefault="002E7937" w:rsidP="002E7937">
      <w:pPr>
        <w:pStyle w:val="Heading1"/>
        <w:rPr>
          <w:noProof/>
        </w:rPr>
      </w:pPr>
      <w:bookmarkStart w:id="645" w:name="_Toc93401452"/>
      <w:bookmarkStart w:id="646" w:name="_Toc94005549"/>
      <w:bookmarkStart w:id="647" w:name="_Toc95379887"/>
      <w:bookmarkStart w:id="648" w:name="_Toc95391376"/>
      <w:bookmarkStart w:id="649" w:name="_Toc95396445"/>
      <w:bookmarkStart w:id="650" w:name="_Toc95421543"/>
      <w:bookmarkStart w:id="651" w:name="_Toc95481991"/>
      <w:bookmarkStart w:id="652" w:name="_Toc96337783"/>
      <w:bookmarkStart w:id="653" w:name="_Toc96446263"/>
      <w:bookmarkStart w:id="654" w:name="_Toc96448035"/>
      <w:bookmarkStart w:id="655" w:name="_Toc96593984"/>
      <w:bookmarkStart w:id="656" w:name="_Toc96597275"/>
      <w:bookmarkStart w:id="657" w:name="_Toc96609210"/>
      <w:bookmarkStart w:id="658" w:name="_Toc97149239"/>
      <w:bookmarkStart w:id="659" w:name="_Toc97191285"/>
      <w:bookmarkStart w:id="660" w:name="_Toc107430095"/>
      <w:r w:rsidRPr="002E7937">
        <w:t>8.</w:t>
      </w:r>
      <w:r w:rsidRPr="002E7937">
        <w:tab/>
      </w:r>
      <w:r w:rsidR="006B087E">
        <w:rPr>
          <w:noProof/>
        </w:rPr>
        <w:t>Preferred option</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047286FD" w14:textId="69F242C4" w:rsidR="00BF57A5" w:rsidRPr="00BF57A5" w:rsidRDefault="00BF57A5" w:rsidP="00BF57A5">
      <w:pPr>
        <w:pStyle w:val="BodyText"/>
        <w:spacing w:after="240"/>
        <w:rPr>
          <w:noProof/>
          <w:sz w:val="24"/>
          <w:szCs w:val="24"/>
        </w:rPr>
      </w:pPr>
      <w:r w:rsidRPr="00BF57A5">
        <w:rPr>
          <w:noProof/>
          <w:sz w:val="24"/>
          <w:szCs w:val="24"/>
        </w:rPr>
        <w:t xml:space="preserve">Based on the comparative assessment of policy options above, the preferred combination of policy options consists of PO1b </w:t>
      </w:r>
      <w:r w:rsidR="00B45D28">
        <w:rPr>
          <w:noProof/>
          <w:sz w:val="24"/>
          <w:szCs w:val="24"/>
        </w:rPr>
        <w:t xml:space="preserve">to address problem 1 </w:t>
      </w:r>
      <w:r w:rsidRPr="00BF57A5">
        <w:rPr>
          <w:noProof/>
          <w:sz w:val="24"/>
          <w:szCs w:val="24"/>
        </w:rPr>
        <w:t>and PO2a</w:t>
      </w:r>
      <w:r w:rsidR="00B45D28">
        <w:rPr>
          <w:noProof/>
          <w:sz w:val="24"/>
          <w:szCs w:val="24"/>
        </w:rPr>
        <w:t xml:space="preserve"> to address problem 2</w:t>
      </w:r>
      <w:r w:rsidRPr="00BF57A5">
        <w:rPr>
          <w:noProof/>
          <w:sz w:val="24"/>
          <w:szCs w:val="24"/>
        </w:rPr>
        <w:t>.</w:t>
      </w:r>
      <w:r w:rsidR="009F077E" w:rsidRPr="009F077E">
        <w:rPr>
          <w:noProof/>
          <w:sz w:val="24"/>
          <w:szCs w:val="24"/>
        </w:rPr>
        <w:t xml:space="preserve"> </w:t>
      </w:r>
      <w:r w:rsidR="009F077E">
        <w:rPr>
          <w:noProof/>
          <w:sz w:val="24"/>
          <w:szCs w:val="24"/>
        </w:rPr>
        <w:t xml:space="preserve">They </w:t>
      </w:r>
      <w:r w:rsidR="009F077E" w:rsidRPr="00BF57A5">
        <w:rPr>
          <w:noProof/>
          <w:sz w:val="24"/>
          <w:szCs w:val="24"/>
        </w:rPr>
        <w:t>scored well across a range of criteria (positive economic, social and environmental impacts, effectiveness, efficiency and coherence).</w:t>
      </w:r>
    </w:p>
    <w:p w14:paraId="38B13B5A" w14:textId="626A9DB0" w:rsidR="00BF57A5" w:rsidRPr="00BF57A5" w:rsidRDefault="00BF57A5" w:rsidP="00BF57A5">
      <w:pPr>
        <w:pStyle w:val="BodyText"/>
        <w:spacing w:after="240"/>
        <w:rPr>
          <w:noProof/>
          <w:sz w:val="24"/>
          <w:szCs w:val="24"/>
        </w:rPr>
      </w:pPr>
      <w:r w:rsidRPr="00BF57A5">
        <w:rPr>
          <w:noProof/>
          <w:sz w:val="24"/>
          <w:szCs w:val="24"/>
        </w:rPr>
        <w:t xml:space="preserve">As regards the policy options to adapt the PLD to the digital and circular economy, while PO1a would make the PLD work better for products with digital elements, it is less effective as it would not fully adapt the PLD to the digital age, because it would not address liability for </w:t>
      </w:r>
      <w:r w:rsidR="00DF7915">
        <w:rPr>
          <w:noProof/>
          <w:sz w:val="24"/>
          <w:szCs w:val="24"/>
        </w:rPr>
        <w:t xml:space="preserve">safety-relevant </w:t>
      </w:r>
      <w:r w:rsidRPr="00BF57A5">
        <w:rPr>
          <w:noProof/>
          <w:sz w:val="24"/>
          <w:szCs w:val="24"/>
        </w:rPr>
        <w:t xml:space="preserve">software supplied separately from a tangible product nor deliver legal certainty with regard to compensation for digital property. Consumers should not enjoy less protection in such cases, and an economic operator’s liability should not depend on the tangibility of what they put into circulation if it causes harm. </w:t>
      </w:r>
      <w:r w:rsidR="00DF7915">
        <w:rPr>
          <w:noProof/>
          <w:sz w:val="24"/>
          <w:szCs w:val="24"/>
        </w:rPr>
        <w:t xml:space="preserve">Option PO1b also scored well with regard to economic, social and environmental impacts. </w:t>
      </w:r>
      <w:r w:rsidRPr="00BF57A5">
        <w:rPr>
          <w:noProof/>
          <w:sz w:val="24"/>
          <w:szCs w:val="24"/>
        </w:rPr>
        <w:t xml:space="preserve">PO1c, on the other hand scores lower </w:t>
      </w:r>
      <w:r w:rsidR="00DF7915">
        <w:rPr>
          <w:noProof/>
          <w:sz w:val="24"/>
          <w:szCs w:val="24"/>
        </w:rPr>
        <w:t xml:space="preserve">because, while it would afford consumers greater protection, </w:t>
      </w:r>
      <w:r w:rsidRPr="00BF57A5">
        <w:rPr>
          <w:noProof/>
          <w:sz w:val="24"/>
          <w:szCs w:val="24"/>
        </w:rPr>
        <w:t xml:space="preserve">it would go too far by opening producers up to no-fault liability for new harms (privacy, discrimination, emotional harm) that could be more appropriately addressed under other legal frameworks not based on no-fault liability. PO1b strikes the right balance in adapting the PLD to the digital age, it achieves the objective of reflecting the nature of products in the circular economy, and it would ensure the liability of an EU-based responsible person for defective products, in line with market surveillance </w:t>
      </w:r>
      <w:r w:rsidR="00BC7531">
        <w:rPr>
          <w:noProof/>
          <w:sz w:val="24"/>
          <w:szCs w:val="24"/>
        </w:rPr>
        <w:t>rules</w:t>
      </w:r>
      <w:r w:rsidRPr="00BF57A5">
        <w:rPr>
          <w:noProof/>
          <w:sz w:val="24"/>
          <w:szCs w:val="24"/>
        </w:rPr>
        <w:t>.</w:t>
      </w:r>
    </w:p>
    <w:p w14:paraId="023EC251" w14:textId="39F3EC7E" w:rsidR="00BF57A5" w:rsidRPr="00BF57A5" w:rsidRDefault="00BF57A5" w:rsidP="00BF57A5">
      <w:pPr>
        <w:pStyle w:val="BodyText"/>
        <w:spacing w:after="240"/>
        <w:rPr>
          <w:noProof/>
          <w:sz w:val="24"/>
          <w:szCs w:val="24"/>
        </w:rPr>
      </w:pPr>
      <w:r w:rsidRPr="00BF57A5">
        <w:rPr>
          <w:noProof/>
          <w:sz w:val="24"/>
          <w:szCs w:val="24"/>
        </w:rPr>
        <w:t>As regards the policy options to reduce disproportionate obstacles to getting compensation, PO2b</w:t>
      </w:r>
      <w:r w:rsidR="005B502B">
        <w:rPr>
          <w:noProof/>
          <w:sz w:val="24"/>
          <w:szCs w:val="24"/>
        </w:rPr>
        <w:t>’s reversal of the burden of proof</w:t>
      </w:r>
      <w:r w:rsidRPr="00BF57A5">
        <w:rPr>
          <w:noProof/>
          <w:sz w:val="24"/>
          <w:szCs w:val="24"/>
        </w:rPr>
        <w:t xml:space="preserve"> </w:t>
      </w:r>
      <w:r w:rsidR="00BD7A23">
        <w:rPr>
          <w:noProof/>
          <w:sz w:val="24"/>
          <w:szCs w:val="24"/>
        </w:rPr>
        <w:t xml:space="preserve">would expose producers to significantly higher liability risks, </w:t>
      </w:r>
      <w:r w:rsidR="005B502B">
        <w:rPr>
          <w:noProof/>
          <w:sz w:val="24"/>
          <w:szCs w:val="24"/>
        </w:rPr>
        <w:t xml:space="preserve">by requiring </w:t>
      </w:r>
      <w:r w:rsidR="00BD7A23">
        <w:rPr>
          <w:noProof/>
          <w:sz w:val="24"/>
          <w:szCs w:val="24"/>
        </w:rPr>
        <w:t xml:space="preserve">them </w:t>
      </w:r>
      <w:r w:rsidR="005B502B">
        <w:rPr>
          <w:noProof/>
          <w:sz w:val="24"/>
          <w:szCs w:val="24"/>
        </w:rPr>
        <w:t xml:space="preserve">to prove their products were safe. </w:t>
      </w:r>
      <w:r w:rsidR="00BD7A23">
        <w:rPr>
          <w:noProof/>
          <w:sz w:val="24"/>
          <w:szCs w:val="24"/>
        </w:rPr>
        <w:t>This and r</w:t>
      </w:r>
      <w:r w:rsidR="005B502B" w:rsidRPr="00BF57A5">
        <w:rPr>
          <w:noProof/>
          <w:sz w:val="24"/>
          <w:szCs w:val="24"/>
        </w:rPr>
        <w:t xml:space="preserve">emoving </w:t>
      </w:r>
      <w:r w:rsidRPr="00BF57A5">
        <w:rPr>
          <w:noProof/>
          <w:sz w:val="24"/>
          <w:szCs w:val="24"/>
        </w:rPr>
        <w:t>the development risk defence</w:t>
      </w:r>
      <w:r w:rsidR="005B502B">
        <w:rPr>
          <w:noProof/>
          <w:sz w:val="24"/>
          <w:szCs w:val="24"/>
        </w:rPr>
        <w:t xml:space="preserve"> could</w:t>
      </w:r>
      <w:r w:rsidRPr="00BF57A5">
        <w:rPr>
          <w:noProof/>
          <w:sz w:val="24"/>
          <w:szCs w:val="24"/>
        </w:rPr>
        <w:t xml:space="preserve"> hinder innovation</w:t>
      </w:r>
      <w:r w:rsidR="001F4FA0">
        <w:rPr>
          <w:noProof/>
          <w:sz w:val="24"/>
          <w:szCs w:val="24"/>
        </w:rPr>
        <w:t xml:space="preserve">, to the detriment of both industry </w:t>
      </w:r>
      <w:r w:rsidR="00E86FAE">
        <w:rPr>
          <w:noProof/>
          <w:sz w:val="24"/>
          <w:szCs w:val="24"/>
        </w:rPr>
        <w:t xml:space="preserve">(in particular SMEs, which would less easily absorb additional costs) </w:t>
      </w:r>
      <w:r w:rsidR="001F4FA0">
        <w:rPr>
          <w:noProof/>
          <w:sz w:val="24"/>
          <w:szCs w:val="24"/>
        </w:rPr>
        <w:t>and consumers</w:t>
      </w:r>
      <w:r w:rsidRPr="00BF57A5">
        <w:rPr>
          <w:noProof/>
          <w:sz w:val="24"/>
          <w:szCs w:val="24"/>
        </w:rPr>
        <w:t xml:space="preserve">. PO2a scores </w:t>
      </w:r>
      <w:r w:rsidR="005B502B">
        <w:rPr>
          <w:noProof/>
          <w:sz w:val="24"/>
          <w:szCs w:val="24"/>
        </w:rPr>
        <w:t>more highly</w:t>
      </w:r>
      <w:r w:rsidR="005B502B" w:rsidRPr="00BF57A5">
        <w:rPr>
          <w:noProof/>
          <w:sz w:val="24"/>
          <w:szCs w:val="24"/>
        </w:rPr>
        <w:t xml:space="preserve"> </w:t>
      </w:r>
      <w:r w:rsidR="005B502B">
        <w:rPr>
          <w:noProof/>
          <w:sz w:val="24"/>
          <w:szCs w:val="24"/>
        </w:rPr>
        <w:t xml:space="preserve">than PO2b </w:t>
      </w:r>
      <w:r w:rsidRPr="00BF57A5">
        <w:rPr>
          <w:noProof/>
          <w:sz w:val="24"/>
          <w:szCs w:val="24"/>
        </w:rPr>
        <w:t xml:space="preserve">in terms of effectiveness </w:t>
      </w:r>
      <w:r w:rsidR="005B502B">
        <w:rPr>
          <w:noProof/>
          <w:sz w:val="24"/>
          <w:szCs w:val="24"/>
        </w:rPr>
        <w:t>and efficiency. Information disclosures and more uniform use of presumptions should help</w:t>
      </w:r>
      <w:r w:rsidRPr="00BF57A5">
        <w:rPr>
          <w:noProof/>
          <w:sz w:val="24"/>
          <w:szCs w:val="24"/>
        </w:rPr>
        <w:t xml:space="preserve"> consumers </w:t>
      </w:r>
      <w:r w:rsidR="005B502B">
        <w:rPr>
          <w:noProof/>
          <w:sz w:val="24"/>
          <w:szCs w:val="24"/>
        </w:rPr>
        <w:t>prove liability where</w:t>
      </w:r>
      <w:r w:rsidRPr="00BF57A5">
        <w:rPr>
          <w:noProof/>
          <w:sz w:val="24"/>
          <w:szCs w:val="24"/>
        </w:rPr>
        <w:t xml:space="preserve"> complex products</w:t>
      </w:r>
      <w:r w:rsidR="005B502B">
        <w:rPr>
          <w:noProof/>
          <w:sz w:val="24"/>
          <w:szCs w:val="24"/>
        </w:rPr>
        <w:t xml:space="preserve"> are involved</w:t>
      </w:r>
      <w:r w:rsidRPr="00BF57A5">
        <w:rPr>
          <w:noProof/>
          <w:sz w:val="24"/>
          <w:szCs w:val="24"/>
        </w:rPr>
        <w:t>, but in a way that seeks to restore the balance between producer and consumer interests. PO2a also seeks balance by reducing restrictions on making claims in a focussed and proportionate way, by ensuring victims are not worse off just because the value of property damage suffered was below a threshold or because personal injuries emerged after a long period of time.</w:t>
      </w:r>
      <w:r w:rsidR="00402CDB">
        <w:rPr>
          <w:noProof/>
          <w:sz w:val="24"/>
          <w:szCs w:val="24"/>
        </w:rPr>
        <w:t xml:space="preserve"> </w:t>
      </w:r>
    </w:p>
    <w:p w14:paraId="15FF8FE3" w14:textId="2AF9A676" w:rsidR="00C57D74" w:rsidRDefault="00BF57A5" w:rsidP="00C57D74">
      <w:pPr>
        <w:pStyle w:val="BodyText"/>
        <w:spacing w:after="240"/>
        <w:rPr>
          <w:noProof/>
          <w:sz w:val="24"/>
          <w:szCs w:val="24"/>
        </w:rPr>
      </w:pPr>
      <w:r w:rsidRPr="00BF57A5">
        <w:rPr>
          <w:noProof/>
          <w:sz w:val="24"/>
          <w:szCs w:val="24"/>
        </w:rPr>
        <w:t xml:space="preserve">Although </w:t>
      </w:r>
      <w:r w:rsidR="009F077E">
        <w:rPr>
          <w:noProof/>
          <w:sz w:val="24"/>
          <w:szCs w:val="24"/>
        </w:rPr>
        <w:t xml:space="preserve">PO1b and PO2a each </w:t>
      </w:r>
      <w:r w:rsidRPr="00BF57A5">
        <w:rPr>
          <w:noProof/>
          <w:sz w:val="24"/>
          <w:szCs w:val="24"/>
        </w:rPr>
        <w:t xml:space="preserve">address a distinct problem, </w:t>
      </w:r>
      <w:r w:rsidR="009F077E">
        <w:rPr>
          <w:noProof/>
          <w:sz w:val="24"/>
          <w:szCs w:val="24"/>
        </w:rPr>
        <w:t>they have synergistic impacts.</w:t>
      </w:r>
      <w:r w:rsidRPr="00BF57A5">
        <w:rPr>
          <w:noProof/>
          <w:sz w:val="24"/>
          <w:szCs w:val="24"/>
        </w:rPr>
        <w:t xml:space="preserve"> </w:t>
      </w:r>
      <w:r w:rsidR="009F077E">
        <w:rPr>
          <w:noProof/>
          <w:sz w:val="24"/>
          <w:szCs w:val="24"/>
        </w:rPr>
        <w:t>T</w:t>
      </w:r>
      <w:r w:rsidRPr="00BF57A5">
        <w:rPr>
          <w:noProof/>
          <w:sz w:val="24"/>
          <w:szCs w:val="24"/>
        </w:rPr>
        <w:t xml:space="preserve">he objective of adapting </w:t>
      </w:r>
      <w:r w:rsidR="009F077E">
        <w:rPr>
          <w:noProof/>
          <w:sz w:val="24"/>
          <w:szCs w:val="24"/>
        </w:rPr>
        <w:t>liability rules</w:t>
      </w:r>
      <w:r w:rsidRPr="00BF57A5">
        <w:rPr>
          <w:noProof/>
          <w:sz w:val="24"/>
          <w:szCs w:val="24"/>
        </w:rPr>
        <w:t xml:space="preserve"> to the digital age in PO1b is reinforced by ensuring under PO2a that consumers are able to get compensation for harm caused by complex digital products, among others. Similarly, the fair balance between producer and consumer interests, which is at the heart of PO2a, is reinforced by the choice of PO1b, in that that option does not over-burden producers with liability for privacy infringements, discrimination and non-material harm. </w:t>
      </w:r>
      <w:r w:rsidR="00F4215A">
        <w:rPr>
          <w:noProof/>
          <w:sz w:val="24"/>
          <w:szCs w:val="24"/>
        </w:rPr>
        <w:t xml:space="preserve">The costs and benefits as assessed will be cumulative. </w:t>
      </w:r>
      <w:r w:rsidR="00C1722F">
        <w:rPr>
          <w:noProof/>
          <w:sz w:val="24"/>
          <w:szCs w:val="24"/>
        </w:rPr>
        <w:t>The preferred option will contribute to SDG 3 due to its positive social impacts on victims’ health and well-being, to SDG 9 by providing legal certainty for businesses to innovate</w:t>
      </w:r>
      <w:r w:rsidR="00F51E6A">
        <w:rPr>
          <w:noProof/>
          <w:sz w:val="24"/>
          <w:szCs w:val="24"/>
        </w:rPr>
        <w:t xml:space="preserve"> and to SDG 12 by </w:t>
      </w:r>
      <w:r w:rsidR="00A70429">
        <w:rPr>
          <w:noProof/>
          <w:sz w:val="24"/>
          <w:szCs w:val="24"/>
        </w:rPr>
        <w:t xml:space="preserve">enhancing </w:t>
      </w:r>
      <w:r w:rsidR="00A70429" w:rsidRPr="006F71B9">
        <w:rPr>
          <w:noProof/>
          <w:sz w:val="24"/>
          <w:szCs w:val="24"/>
        </w:rPr>
        <w:t>product safety when substantial modifications</w:t>
      </w:r>
      <w:r w:rsidR="00A70429">
        <w:rPr>
          <w:noProof/>
          <w:sz w:val="24"/>
          <w:szCs w:val="24"/>
        </w:rPr>
        <w:t xml:space="preserve"> are made</w:t>
      </w:r>
      <w:r w:rsidR="00C1722F">
        <w:rPr>
          <w:noProof/>
          <w:sz w:val="24"/>
          <w:szCs w:val="24"/>
        </w:rPr>
        <w:t>.</w:t>
      </w:r>
      <w:r w:rsidR="00C57D74" w:rsidDel="00C57D74">
        <w:rPr>
          <w:noProof/>
          <w:sz w:val="24"/>
          <w:szCs w:val="24"/>
        </w:rPr>
        <w:t xml:space="preserve"> </w:t>
      </w:r>
    </w:p>
    <w:p w14:paraId="4673B85C" w14:textId="40A2AF9E" w:rsidR="003B17E3" w:rsidRDefault="003B17E3" w:rsidP="00C57D74">
      <w:pPr>
        <w:pStyle w:val="BodyText"/>
        <w:spacing w:after="240"/>
        <w:rPr>
          <w:noProof/>
          <w:sz w:val="24"/>
          <w:szCs w:val="24"/>
        </w:rPr>
      </w:pPr>
      <w:r>
        <w:rPr>
          <w:noProof/>
          <w:sz w:val="24"/>
          <w:szCs w:val="24"/>
        </w:rPr>
        <w:t>In terms of net impacts on different stakeholder groups:</w:t>
      </w:r>
    </w:p>
    <w:p w14:paraId="7008DD34" w14:textId="63856A48" w:rsidR="003B17E3" w:rsidRPr="003B17E3" w:rsidRDefault="003B17E3" w:rsidP="003B17E3">
      <w:pPr>
        <w:pStyle w:val="BodyText"/>
        <w:numPr>
          <w:ilvl w:val="0"/>
          <w:numId w:val="36"/>
        </w:numPr>
        <w:rPr>
          <w:noProof/>
          <w:sz w:val="24"/>
          <w:szCs w:val="24"/>
        </w:rPr>
      </w:pPr>
      <w:r w:rsidRPr="003B17E3">
        <w:rPr>
          <w:b/>
          <w:noProof/>
          <w:sz w:val="24"/>
          <w:szCs w:val="24"/>
        </w:rPr>
        <w:t>Producers</w:t>
      </w:r>
      <w:r w:rsidRPr="003B17E3">
        <w:rPr>
          <w:noProof/>
          <w:sz w:val="24"/>
          <w:szCs w:val="24"/>
        </w:rPr>
        <w:t xml:space="preserve"> with liability insurance may face an increase in liability insurance premiums. If they are found liable for harm caused by a defective product, the liability insurance would cover the compensation and legal costs. Producers without a liability insurance would face direct compensation costs to victims (costs not considered in the analysis, see section 6), and legal costs if the case goes to court.</w:t>
      </w:r>
    </w:p>
    <w:p w14:paraId="69195F7D" w14:textId="77777777" w:rsidR="003B17E3" w:rsidRPr="003B17E3" w:rsidRDefault="003B17E3" w:rsidP="003B17E3">
      <w:pPr>
        <w:pStyle w:val="BodyText"/>
        <w:numPr>
          <w:ilvl w:val="0"/>
          <w:numId w:val="36"/>
        </w:numPr>
        <w:rPr>
          <w:noProof/>
          <w:sz w:val="24"/>
          <w:szCs w:val="24"/>
        </w:rPr>
      </w:pPr>
      <w:r w:rsidRPr="003B17E3">
        <w:rPr>
          <w:b/>
          <w:noProof/>
          <w:sz w:val="24"/>
          <w:szCs w:val="24"/>
        </w:rPr>
        <w:t>Insurance companies</w:t>
      </w:r>
      <w:r w:rsidRPr="003B17E3">
        <w:rPr>
          <w:noProof/>
          <w:sz w:val="24"/>
          <w:szCs w:val="24"/>
        </w:rPr>
        <w:t xml:space="preserve"> may have to bear higher compensation costs, but they would off-set that cost by marginally raising insurance premiums, leading to higher revenues. Their net income is therefore assumed to remain stable over time.</w:t>
      </w:r>
    </w:p>
    <w:p w14:paraId="74F48FE2" w14:textId="0991E9FF" w:rsidR="00821068" w:rsidRDefault="003B17E3" w:rsidP="00821068">
      <w:pPr>
        <w:pStyle w:val="BodyText"/>
        <w:numPr>
          <w:ilvl w:val="0"/>
          <w:numId w:val="36"/>
        </w:numPr>
        <w:rPr>
          <w:noProof/>
          <w:sz w:val="24"/>
          <w:szCs w:val="24"/>
        </w:rPr>
      </w:pPr>
      <w:r w:rsidRPr="003B17E3">
        <w:rPr>
          <w:b/>
          <w:noProof/>
          <w:sz w:val="24"/>
          <w:szCs w:val="24"/>
        </w:rPr>
        <w:t>People who suffer damage</w:t>
      </w:r>
      <w:r w:rsidRPr="003B17E3">
        <w:rPr>
          <w:noProof/>
          <w:sz w:val="24"/>
          <w:szCs w:val="24"/>
        </w:rPr>
        <w:t xml:space="preserve"> will receive compensation pay-outs if they prove liability.</w:t>
      </w:r>
      <w:r w:rsidR="00402CDB">
        <w:rPr>
          <w:noProof/>
          <w:sz w:val="24"/>
          <w:szCs w:val="24"/>
        </w:rPr>
        <w:t xml:space="preserve"> </w:t>
      </w:r>
      <w:r w:rsidRPr="003B17E3">
        <w:rPr>
          <w:noProof/>
          <w:sz w:val="24"/>
          <w:szCs w:val="24"/>
        </w:rPr>
        <w:t>They are assumed to bear legal costs if they do not win the case.</w:t>
      </w:r>
    </w:p>
    <w:p w14:paraId="3DCAA0E0" w14:textId="3818DBA4" w:rsidR="00821068" w:rsidRPr="00821068" w:rsidRDefault="00821068" w:rsidP="00821068">
      <w:pPr>
        <w:pStyle w:val="Caption"/>
        <w:spacing w:after="0"/>
        <w:ind w:left="360"/>
        <w:rPr>
          <w:noProof/>
          <w:color w:val="auto"/>
          <w:sz w:val="24"/>
          <w:szCs w:val="24"/>
          <w:lang w:val="en-IE"/>
        </w:rPr>
      </w:pPr>
      <w:r>
        <w:rPr>
          <w:noProof/>
          <w:color w:val="auto"/>
          <w:sz w:val="24"/>
          <w:szCs w:val="24"/>
        </w:rPr>
        <w:t>T</w:t>
      </w:r>
      <w:r w:rsidRPr="00904B8B">
        <w:rPr>
          <w:noProof/>
          <w:color w:val="auto"/>
          <w:sz w:val="24"/>
          <w:szCs w:val="24"/>
        </w:rPr>
        <w:t xml:space="preserve">able </w:t>
      </w:r>
      <w:r>
        <w:rPr>
          <w:noProof/>
          <w:color w:val="auto"/>
          <w:sz w:val="24"/>
          <w:szCs w:val="24"/>
        </w:rPr>
        <w:t xml:space="preserve">9: </w:t>
      </w:r>
      <w:r w:rsidRPr="00904B8B">
        <w:rPr>
          <w:noProof/>
          <w:color w:val="auto"/>
          <w:sz w:val="24"/>
          <w:szCs w:val="24"/>
          <w:lang w:val="en-IE"/>
        </w:rPr>
        <w:t xml:space="preserve">Costs &amp; Benefits </w:t>
      </w:r>
      <w:r>
        <w:rPr>
          <w:noProof/>
          <w:color w:val="auto"/>
          <w:sz w:val="24"/>
          <w:szCs w:val="24"/>
          <w:lang w:val="en-IE"/>
        </w:rPr>
        <w:t>of preferred option</w:t>
      </w:r>
      <w:r w:rsidRPr="00904B8B">
        <w:rPr>
          <w:noProof/>
          <w:color w:val="auto"/>
          <w:sz w:val="24"/>
          <w:szCs w:val="24"/>
          <w:lang w:val="en-IE"/>
        </w:rPr>
        <w:t xml:space="preserve"> (EUR million annual)</w:t>
      </w:r>
    </w:p>
    <w:tbl>
      <w:tblPr>
        <w:tblStyle w:val="CSEStable"/>
        <w:tblW w:w="4952" w:type="pct"/>
        <w:jc w:val="center"/>
        <w:tblLayout w:type="fixed"/>
        <w:tblLook w:val="04A0" w:firstRow="1" w:lastRow="0" w:firstColumn="1" w:lastColumn="0" w:noHBand="0" w:noVBand="1"/>
      </w:tblPr>
      <w:tblGrid>
        <w:gridCol w:w="918"/>
        <w:gridCol w:w="1417"/>
        <w:gridCol w:w="1417"/>
        <w:gridCol w:w="1277"/>
        <w:gridCol w:w="1416"/>
        <w:gridCol w:w="1004"/>
        <w:gridCol w:w="1300"/>
      </w:tblGrid>
      <w:tr w:rsidR="00821068" w:rsidRPr="00CD3B7A" w14:paraId="3433E698" w14:textId="77777777" w:rsidTr="00821068">
        <w:trPr>
          <w:cnfStyle w:val="100000000000" w:firstRow="1" w:lastRow="0" w:firstColumn="0" w:lastColumn="0" w:oddVBand="0" w:evenVBand="0" w:oddHBand="0" w:evenHBand="0" w:firstRowFirstColumn="0" w:firstRowLastColumn="0" w:lastRowFirstColumn="0" w:lastRowLastColumn="0"/>
          <w:trHeight w:val="618"/>
          <w:tblHeader/>
          <w:jc w:val="center"/>
        </w:trPr>
        <w:tc>
          <w:tcPr>
            <w:tcW w:w="5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856996" w14:textId="77777777" w:rsidR="00821068" w:rsidRPr="00821068" w:rsidRDefault="00821068" w:rsidP="00821068">
            <w:pPr>
              <w:pStyle w:val="ListParagraph"/>
              <w:rPr>
                <w:noProof/>
                <w:lang w:val="en-IE"/>
              </w:rPr>
            </w:pPr>
          </w:p>
        </w:tc>
        <w:tc>
          <w:tcPr>
            <w:tcW w:w="162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B306F11" w14:textId="77777777" w:rsidR="00821068" w:rsidRPr="00CD3B7A" w:rsidRDefault="00821068" w:rsidP="00030C20">
            <w:pPr>
              <w:jc w:val="center"/>
              <w:rPr>
                <w:bCs/>
                <w:noProof/>
                <w:szCs w:val="20"/>
              </w:rPr>
            </w:pPr>
            <w:r w:rsidRPr="00CD3B7A">
              <w:rPr>
                <w:bCs/>
                <w:noProof/>
                <w:szCs w:val="20"/>
              </w:rPr>
              <w:t>Incremental benefits compared to baseline</w:t>
            </w:r>
          </w:p>
        </w:tc>
        <w:tc>
          <w:tcPr>
            <w:tcW w:w="285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C21B544" w14:textId="77777777" w:rsidR="00821068" w:rsidRPr="00CD3B7A" w:rsidRDefault="00821068" w:rsidP="00030C20">
            <w:pPr>
              <w:jc w:val="center"/>
              <w:rPr>
                <w:noProof/>
                <w:szCs w:val="20"/>
              </w:rPr>
            </w:pPr>
            <w:r w:rsidRPr="00CD3B7A">
              <w:rPr>
                <w:rFonts w:cs="Times New Roman"/>
                <w:noProof/>
                <w:szCs w:val="20"/>
              </w:rPr>
              <w:t>Incremental costs compared to baseline</w:t>
            </w:r>
          </w:p>
        </w:tc>
      </w:tr>
      <w:tr w:rsidR="00821068" w:rsidRPr="00CD3B7A" w14:paraId="7677D1E9" w14:textId="77777777" w:rsidTr="00821068">
        <w:trPr>
          <w:cnfStyle w:val="100000000000" w:firstRow="1" w:lastRow="0" w:firstColumn="0" w:lastColumn="0" w:oddVBand="0" w:evenVBand="0" w:oddHBand="0" w:evenHBand="0" w:firstRowFirstColumn="0" w:firstRowLastColumn="0" w:lastRowFirstColumn="0" w:lastRowLastColumn="0"/>
          <w:trHeight w:val="618"/>
          <w:tblHeader/>
          <w:jc w:val="center"/>
        </w:trPr>
        <w:tc>
          <w:tcPr>
            <w:tcW w:w="5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622167B" w14:textId="77777777" w:rsidR="00821068" w:rsidRPr="00CD3B7A" w:rsidRDefault="00821068" w:rsidP="00030C20">
            <w:pPr>
              <w:jc w:val="center"/>
              <w:rPr>
                <w:b w:val="0"/>
                <w:noProof/>
                <w:szCs w:val="20"/>
              </w:rPr>
            </w:pPr>
          </w:p>
        </w:tc>
        <w:tc>
          <w:tcPr>
            <w:tcW w:w="162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4C54E8B" w14:textId="77777777" w:rsidR="00821068" w:rsidRPr="00CD3B7A" w:rsidRDefault="00821068" w:rsidP="00030C20">
            <w:pPr>
              <w:jc w:val="center"/>
              <w:rPr>
                <w:b w:val="0"/>
                <w:bCs/>
                <w:noProof/>
                <w:szCs w:val="20"/>
              </w:rPr>
            </w:pPr>
            <w:r w:rsidRPr="00CD3B7A">
              <w:rPr>
                <w:b w:val="0"/>
                <w:bCs/>
                <w:noProof/>
                <w:szCs w:val="20"/>
              </w:rPr>
              <w:t>Incremental annual compensation paid to victims</w:t>
            </w:r>
            <w:r w:rsidRPr="00CD3B7A">
              <w:rPr>
                <w:b w:val="0"/>
                <w:bCs/>
                <w:noProof/>
                <w:szCs w:val="20"/>
                <w:vertAlign w:val="superscript"/>
              </w:rPr>
              <w:t>(*)</w:t>
            </w:r>
          </w:p>
        </w:tc>
        <w:tc>
          <w:tcPr>
            <w:tcW w:w="153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062E684" w14:textId="77777777" w:rsidR="00821068" w:rsidRPr="00CD3B7A" w:rsidRDefault="00821068" w:rsidP="00030C20">
            <w:pPr>
              <w:jc w:val="center"/>
              <w:rPr>
                <w:rFonts w:cs="Times New Roman"/>
                <w:b w:val="0"/>
                <w:noProof/>
                <w:szCs w:val="20"/>
              </w:rPr>
            </w:pPr>
            <w:r w:rsidRPr="00CD3B7A">
              <w:rPr>
                <w:rFonts w:cs="Times New Roman"/>
                <w:b w:val="0"/>
                <w:noProof/>
                <w:szCs w:val="20"/>
              </w:rPr>
              <w:t xml:space="preserve">Incremental annual product liability insurance costs </w:t>
            </w:r>
          </w:p>
        </w:tc>
        <w:tc>
          <w:tcPr>
            <w:tcW w:w="13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D321C63" w14:textId="77777777" w:rsidR="00821068" w:rsidRPr="00CD3B7A" w:rsidRDefault="00821068" w:rsidP="00030C20">
            <w:pPr>
              <w:jc w:val="center"/>
              <w:rPr>
                <w:rFonts w:cs="Times New Roman"/>
                <w:b w:val="0"/>
                <w:noProof/>
                <w:szCs w:val="20"/>
              </w:rPr>
            </w:pPr>
            <w:r w:rsidRPr="00CD3B7A">
              <w:rPr>
                <w:b w:val="0"/>
                <w:noProof/>
                <w:szCs w:val="20"/>
              </w:rPr>
              <w:t>Incremental annual legal costs</w:t>
            </w:r>
          </w:p>
        </w:tc>
      </w:tr>
      <w:tr w:rsidR="00821068" w14:paraId="22C9EE41" w14:textId="77777777" w:rsidTr="00821068">
        <w:trPr>
          <w:cnfStyle w:val="100000000000" w:firstRow="1" w:lastRow="0" w:firstColumn="0" w:lastColumn="0" w:oddVBand="0" w:evenVBand="0" w:oddHBand="0" w:evenHBand="0" w:firstRowFirstColumn="0" w:firstRowLastColumn="0" w:lastRowFirstColumn="0" w:lastRowLastColumn="0"/>
          <w:tblHeader/>
          <w:jc w:val="center"/>
        </w:trPr>
        <w:tc>
          <w:tcPr>
            <w:tcW w:w="5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DBCD094" w14:textId="77777777" w:rsidR="00821068" w:rsidRPr="003A32FD" w:rsidRDefault="00821068" w:rsidP="00030C20">
            <w:pPr>
              <w:jc w:val="center"/>
              <w:rPr>
                <w:noProof/>
                <w:szCs w:val="20"/>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F9A9E32" w14:textId="77777777" w:rsidR="00821068" w:rsidRPr="003A32FD" w:rsidRDefault="00821068" w:rsidP="00030C20">
            <w:pPr>
              <w:jc w:val="center"/>
              <w:rPr>
                <w:b w:val="0"/>
                <w:noProof/>
                <w:szCs w:val="20"/>
              </w:rPr>
            </w:pPr>
            <w:r w:rsidRPr="007136FF">
              <w:rPr>
                <w:b w:val="0"/>
                <w:bCs/>
                <w:noProof/>
                <w:szCs w:val="20"/>
              </w:rPr>
              <w:t>Low end</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9B3DBAC" w14:textId="77777777" w:rsidR="00821068" w:rsidRPr="003A32FD" w:rsidRDefault="00821068" w:rsidP="00030C20">
            <w:pPr>
              <w:jc w:val="center"/>
              <w:rPr>
                <w:b w:val="0"/>
                <w:noProof/>
                <w:szCs w:val="20"/>
              </w:rPr>
            </w:pPr>
            <w:r w:rsidRPr="007136FF">
              <w:rPr>
                <w:b w:val="0"/>
                <w:bCs/>
                <w:noProof/>
                <w:szCs w:val="20"/>
              </w:rPr>
              <w:t>High end</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3FF4AE6" w14:textId="77777777" w:rsidR="00821068" w:rsidRPr="00051412" w:rsidRDefault="00821068" w:rsidP="00030C20">
            <w:pPr>
              <w:jc w:val="center"/>
              <w:rPr>
                <w:rFonts w:cs="Times New Roman"/>
                <w:b w:val="0"/>
                <w:noProof/>
                <w:szCs w:val="20"/>
              </w:rPr>
            </w:pPr>
            <w:r w:rsidRPr="007136FF">
              <w:rPr>
                <w:b w:val="0"/>
                <w:bCs/>
                <w:noProof/>
                <w:szCs w:val="20"/>
              </w:rPr>
              <w:t>Low end</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3E9253B" w14:textId="77777777" w:rsidR="00821068" w:rsidRPr="00051412" w:rsidRDefault="00821068" w:rsidP="00030C20">
            <w:pPr>
              <w:jc w:val="center"/>
              <w:rPr>
                <w:rFonts w:cs="Times New Roman"/>
                <w:b w:val="0"/>
                <w:noProof/>
                <w:szCs w:val="20"/>
              </w:rPr>
            </w:pPr>
            <w:r w:rsidRPr="007136FF">
              <w:rPr>
                <w:b w:val="0"/>
                <w:bCs/>
                <w:noProof/>
                <w:szCs w:val="20"/>
              </w:rPr>
              <w:t>High end</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24633CF" w14:textId="77777777" w:rsidR="00821068" w:rsidRPr="003A32FD" w:rsidRDefault="00821068" w:rsidP="00030C20">
            <w:pPr>
              <w:jc w:val="center"/>
              <w:rPr>
                <w:b w:val="0"/>
                <w:noProof/>
                <w:szCs w:val="20"/>
              </w:rPr>
            </w:pPr>
            <w:r w:rsidRPr="007136FF">
              <w:rPr>
                <w:b w:val="0"/>
                <w:bCs/>
                <w:noProof/>
                <w:szCs w:val="20"/>
              </w:rPr>
              <w:t>Low end</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A3E4AD7" w14:textId="77777777" w:rsidR="00821068" w:rsidRPr="003A32FD" w:rsidRDefault="00821068" w:rsidP="00030C20">
            <w:pPr>
              <w:jc w:val="center"/>
              <w:rPr>
                <w:b w:val="0"/>
                <w:noProof/>
                <w:szCs w:val="20"/>
              </w:rPr>
            </w:pPr>
            <w:r w:rsidRPr="007136FF">
              <w:rPr>
                <w:b w:val="0"/>
                <w:bCs/>
                <w:noProof/>
                <w:szCs w:val="20"/>
              </w:rPr>
              <w:t>High end</w:t>
            </w:r>
          </w:p>
        </w:tc>
      </w:tr>
      <w:tr w:rsidR="00821068" w14:paraId="58A2C286" w14:textId="77777777" w:rsidTr="00821068">
        <w:trPr>
          <w:trHeight w:val="21"/>
          <w:jc w:val="center"/>
        </w:trPr>
        <w:tc>
          <w:tcPr>
            <w:tcW w:w="5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92D00A9" w14:textId="27565600" w:rsidR="00821068" w:rsidRPr="0019737A" w:rsidRDefault="00821068" w:rsidP="00821068">
            <w:pPr>
              <w:rPr>
                <w:rFonts w:cs="Calibri"/>
                <w:b/>
                <w:bCs/>
                <w:noProof/>
                <w:color w:val="002060"/>
                <w:sz w:val="18"/>
              </w:rPr>
            </w:pPr>
            <w:r w:rsidRPr="0019737A">
              <w:rPr>
                <w:rFonts w:cs="Calibri"/>
                <w:b/>
                <w:bCs/>
                <w:noProof/>
                <w:color w:val="002060"/>
                <w:sz w:val="18"/>
              </w:rPr>
              <w:t>PO1b</w:t>
            </w:r>
            <w:r>
              <w:rPr>
                <w:rFonts w:cs="Calibri"/>
                <w:b/>
                <w:bCs/>
                <w:noProof/>
                <w:color w:val="002060"/>
                <w:sz w:val="18"/>
              </w:rPr>
              <w:t xml:space="preserve"> + PO2a</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1E7F15A2" w14:textId="77777777" w:rsidR="00821068" w:rsidRPr="00AA67A8" w:rsidRDefault="00821068" w:rsidP="00030C20">
            <w:pPr>
              <w:jc w:val="center"/>
              <w:rPr>
                <w:noProof/>
                <w:szCs w:val="20"/>
              </w:rPr>
            </w:pPr>
            <w:r>
              <w:rPr>
                <w:noProof/>
                <w:szCs w:val="20"/>
              </w:rPr>
              <w:t>0.15</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C6DB136" w14:textId="77777777" w:rsidR="00821068" w:rsidRPr="00AA67A8" w:rsidRDefault="00821068" w:rsidP="00030C20">
            <w:pPr>
              <w:jc w:val="center"/>
              <w:rPr>
                <w:noProof/>
                <w:szCs w:val="20"/>
              </w:rPr>
            </w:pPr>
            <w:r>
              <w:rPr>
                <w:noProof/>
                <w:szCs w:val="20"/>
              </w:rPr>
              <w:t>22.13</w:t>
            </w:r>
            <w:r w:rsidDel="004515E2">
              <w:rPr>
                <w:noProof/>
                <w:szCs w:val="20"/>
              </w:rPr>
              <w:t xml:space="preserve"> </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734116C" w14:textId="77777777" w:rsidR="00821068" w:rsidRPr="00AA67A8" w:rsidRDefault="00821068" w:rsidP="00030C20">
            <w:pPr>
              <w:jc w:val="center"/>
              <w:rPr>
                <w:noProof/>
                <w:szCs w:val="20"/>
              </w:rPr>
            </w:pPr>
            <w:r>
              <w:rPr>
                <w:noProof/>
                <w:szCs w:val="20"/>
              </w:rPr>
              <w:t>4.35</w:t>
            </w:r>
          </w:p>
        </w:tc>
        <w:tc>
          <w:tcPr>
            <w:tcW w:w="8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38D4DE6" w14:textId="77777777" w:rsidR="00821068" w:rsidRPr="00AA67A8" w:rsidRDefault="00821068" w:rsidP="00030C20">
            <w:pPr>
              <w:jc w:val="center"/>
              <w:rPr>
                <w:noProof/>
                <w:szCs w:val="20"/>
              </w:rPr>
            </w:pPr>
            <w:r>
              <w:rPr>
                <w:noProof/>
                <w:szCs w:val="20"/>
              </w:rPr>
              <w:t>8.69</w:t>
            </w:r>
          </w:p>
        </w:tc>
        <w:tc>
          <w:tcPr>
            <w:tcW w:w="5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EF25F72" w14:textId="77777777" w:rsidR="00821068" w:rsidRPr="00AA67A8" w:rsidRDefault="00821068" w:rsidP="00030C20">
            <w:pPr>
              <w:jc w:val="center"/>
              <w:rPr>
                <w:rFonts w:cs="Times New Roman"/>
                <w:noProof/>
                <w:szCs w:val="20"/>
              </w:rPr>
            </w:pPr>
            <w:r>
              <w:rPr>
                <w:noProof/>
              </w:rPr>
              <w:t>1.12</w:t>
            </w:r>
            <w:r w:rsidDel="004515E2">
              <w:rPr>
                <w:noProof/>
              </w:rPr>
              <w:t xml:space="preserve"> </w:t>
            </w: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3449205" w14:textId="77777777" w:rsidR="00821068" w:rsidRPr="00AA67A8" w:rsidRDefault="00821068" w:rsidP="00030C20">
            <w:pPr>
              <w:jc w:val="center"/>
              <w:rPr>
                <w:rFonts w:cs="Times New Roman"/>
                <w:noProof/>
                <w:szCs w:val="20"/>
              </w:rPr>
            </w:pPr>
            <w:r>
              <w:rPr>
                <w:noProof/>
              </w:rPr>
              <w:t>2.75</w:t>
            </w:r>
          </w:p>
        </w:tc>
      </w:tr>
    </w:tbl>
    <w:p w14:paraId="0EAD6B47" w14:textId="77777777" w:rsidR="00821068" w:rsidRPr="00DD674B" w:rsidRDefault="00821068" w:rsidP="00821068">
      <w:pPr>
        <w:spacing w:after="0" w:line="240" w:lineRule="auto"/>
        <w:rPr>
          <w:i/>
          <w:noProof/>
          <w:sz w:val="20"/>
        </w:rPr>
      </w:pPr>
      <w:r w:rsidRPr="00DD674B">
        <w:rPr>
          <w:i/>
          <w:noProof/>
          <w:sz w:val="20"/>
        </w:rPr>
        <w:t>Summary of incremental costs per policy options. See annex 4 for details.</w:t>
      </w:r>
    </w:p>
    <w:p w14:paraId="2DF934EC" w14:textId="77777777" w:rsidR="00821068" w:rsidRPr="00DD674B" w:rsidRDefault="00821068" w:rsidP="00821068">
      <w:pPr>
        <w:spacing w:after="240" w:line="240" w:lineRule="auto"/>
        <w:rPr>
          <w:i/>
          <w:noProof/>
          <w:sz w:val="20"/>
        </w:rPr>
      </w:pPr>
      <w:r w:rsidRPr="00DD674B">
        <w:rPr>
          <w:i/>
          <w:noProof/>
          <w:sz w:val="20"/>
          <w:vertAlign w:val="superscript"/>
        </w:rPr>
        <w:t>(*)</w:t>
      </w:r>
      <w:r w:rsidRPr="00DD674B">
        <w:rPr>
          <w:i/>
          <w:noProof/>
          <w:sz w:val="20"/>
        </w:rPr>
        <w:t xml:space="preserve"> In most cases covered by insurance</w:t>
      </w:r>
    </w:p>
    <w:p w14:paraId="409A6228" w14:textId="037D9AD8" w:rsidR="003C5CCB" w:rsidRDefault="00BF57A5" w:rsidP="00BF57A5">
      <w:pPr>
        <w:pStyle w:val="BodyText"/>
        <w:spacing w:after="240"/>
        <w:rPr>
          <w:noProof/>
          <w:sz w:val="24"/>
          <w:szCs w:val="24"/>
        </w:rPr>
      </w:pPr>
      <w:r w:rsidRPr="00BF57A5">
        <w:rPr>
          <w:noProof/>
          <w:sz w:val="24"/>
          <w:szCs w:val="24"/>
        </w:rPr>
        <w:t>The preferred option is coherent with</w:t>
      </w:r>
      <w:r w:rsidR="005E7033">
        <w:rPr>
          <w:noProof/>
          <w:sz w:val="24"/>
          <w:szCs w:val="24"/>
        </w:rPr>
        <w:t>, although independent of,</w:t>
      </w:r>
      <w:r w:rsidRPr="00BF57A5">
        <w:rPr>
          <w:noProof/>
          <w:sz w:val="24"/>
          <w:szCs w:val="24"/>
        </w:rPr>
        <w:t xml:space="preserve"> the preferred option under the AI liability impact assessment</w:t>
      </w:r>
      <w:r w:rsidR="00DA4EA0">
        <w:rPr>
          <w:noProof/>
          <w:sz w:val="24"/>
          <w:szCs w:val="24"/>
        </w:rPr>
        <w:t xml:space="preserve">. </w:t>
      </w:r>
      <w:r w:rsidR="005E7033">
        <w:rPr>
          <w:noProof/>
          <w:sz w:val="24"/>
          <w:szCs w:val="24"/>
        </w:rPr>
        <w:t>T</w:t>
      </w:r>
      <w:r w:rsidR="003E48E9">
        <w:rPr>
          <w:noProof/>
          <w:sz w:val="24"/>
          <w:szCs w:val="24"/>
        </w:rPr>
        <w:t xml:space="preserve">he </w:t>
      </w:r>
      <w:r w:rsidR="005E7033">
        <w:rPr>
          <w:noProof/>
          <w:sz w:val="24"/>
          <w:szCs w:val="24"/>
        </w:rPr>
        <w:t xml:space="preserve">revised </w:t>
      </w:r>
      <w:r w:rsidR="003E48E9">
        <w:rPr>
          <w:noProof/>
          <w:sz w:val="24"/>
          <w:szCs w:val="24"/>
        </w:rPr>
        <w:t>PLD will continue to provide a system for compensating harm caused by any defective product, but will do so more effectively for digital and complex products than is currently the case</w:t>
      </w:r>
      <w:r w:rsidR="0076569E">
        <w:rPr>
          <w:noProof/>
          <w:sz w:val="24"/>
          <w:szCs w:val="24"/>
        </w:rPr>
        <w:t>, including for all AI-enabled products</w:t>
      </w:r>
      <w:r w:rsidR="003E48E9">
        <w:rPr>
          <w:noProof/>
          <w:sz w:val="24"/>
          <w:szCs w:val="24"/>
        </w:rPr>
        <w:t xml:space="preserve">. </w:t>
      </w:r>
      <w:r w:rsidR="00DA4EA0">
        <w:rPr>
          <w:noProof/>
          <w:sz w:val="24"/>
          <w:szCs w:val="24"/>
        </w:rPr>
        <w:t xml:space="preserve">The measures envisaged in </w:t>
      </w:r>
      <w:r w:rsidR="003E48E9">
        <w:rPr>
          <w:noProof/>
          <w:sz w:val="24"/>
          <w:szCs w:val="24"/>
        </w:rPr>
        <w:t xml:space="preserve">the AI </w:t>
      </w:r>
      <w:r w:rsidR="00DA4EA0">
        <w:rPr>
          <w:noProof/>
          <w:sz w:val="24"/>
          <w:szCs w:val="24"/>
        </w:rPr>
        <w:t xml:space="preserve">impact </w:t>
      </w:r>
      <w:r w:rsidR="00DA4EA0" w:rsidRPr="00821068">
        <w:rPr>
          <w:noProof/>
          <w:sz w:val="24"/>
          <w:szCs w:val="24"/>
        </w:rPr>
        <w:t xml:space="preserve">assessment </w:t>
      </w:r>
      <w:r w:rsidR="004A5BA0" w:rsidRPr="00821068">
        <w:rPr>
          <w:noProof/>
          <w:sz w:val="24"/>
          <w:szCs w:val="24"/>
        </w:rPr>
        <w:t xml:space="preserve">(such as alleviating the burden of proof in fault-based claims) </w:t>
      </w:r>
      <w:r w:rsidR="00DA4EA0" w:rsidRPr="00821068">
        <w:rPr>
          <w:noProof/>
          <w:sz w:val="24"/>
          <w:szCs w:val="24"/>
        </w:rPr>
        <w:t>concern only high-ris</w:t>
      </w:r>
      <w:r w:rsidR="00DA4EA0">
        <w:rPr>
          <w:noProof/>
          <w:sz w:val="24"/>
          <w:szCs w:val="24"/>
        </w:rPr>
        <w:t>k or highly autonomous</w:t>
      </w:r>
      <w:r w:rsidR="00412E69">
        <w:rPr>
          <w:noProof/>
          <w:sz w:val="24"/>
          <w:szCs w:val="24"/>
        </w:rPr>
        <w:t>/opaque</w:t>
      </w:r>
      <w:r w:rsidR="00DA4EA0">
        <w:rPr>
          <w:noProof/>
          <w:sz w:val="24"/>
          <w:szCs w:val="24"/>
        </w:rPr>
        <w:t xml:space="preserve"> AI systems</w:t>
      </w:r>
      <w:r w:rsidR="00F022AC">
        <w:rPr>
          <w:noProof/>
          <w:sz w:val="24"/>
          <w:szCs w:val="24"/>
        </w:rPr>
        <w:t>,</w:t>
      </w:r>
      <w:r w:rsidR="00DA4EA0">
        <w:rPr>
          <w:noProof/>
          <w:sz w:val="24"/>
          <w:szCs w:val="24"/>
        </w:rPr>
        <w:t xml:space="preserve"> and products/services that use them</w:t>
      </w:r>
      <w:r w:rsidR="00A76F68">
        <w:rPr>
          <w:noProof/>
          <w:sz w:val="24"/>
          <w:szCs w:val="24"/>
        </w:rPr>
        <w:t xml:space="preserve">, and those measures will </w:t>
      </w:r>
      <w:r w:rsidR="00567560">
        <w:rPr>
          <w:noProof/>
          <w:sz w:val="24"/>
          <w:szCs w:val="24"/>
        </w:rPr>
        <w:t xml:space="preserve">apply only to national fault-based claims and </w:t>
      </w:r>
      <w:r w:rsidR="00A76F68">
        <w:rPr>
          <w:noProof/>
          <w:sz w:val="24"/>
          <w:szCs w:val="24"/>
        </w:rPr>
        <w:t>not to claims brought under the PLD</w:t>
      </w:r>
      <w:r w:rsidR="00412E69">
        <w:rPr>
          <w:noProof/>
          <w:sz w:val="24"/>
          <w:szCs w:val="24"/>
        </w:rPr>
        <w:t xml:space="preserve">. </w:t>
      </w:r>
      <w:r w:rsidR="0076569E">
        <w:rPr>
          <w:noProof/>
          <w:sz w:val="24"/>
          <w:szCs w:val="24"/>
        </w:rPr>
        <w:t>A</w:t>
      </w:r>
      <w:r w:rsidR="005E7033">
        <w:rPr>
          <w:noProof/>
          <w:sz w:val="24"/>
          <w:szCs w:val="24"/>
        </w:rPr>
        <w:t xml:space="preserve"> more effective PLD will provide victims with a straightforward route to compensation without having to prove fault, </w:t>
      </w:r>
      <w:r w:rsidR="0076569E">
        <w:rPr>
          <w:noProof/>
          <w:sz w:val="24"/>
          <w:szCs w:val="24"/>
        </w:rPr>
        <w:t xml:space="preserve">which should reduce the number of cases brought under national fault-based rules. However, when </w:t>
      </w:r>
      <w:r w:rsidR="00C44AB9">
        <w:rPr>
          <w:noProof/>
          <w:sz w:val="24"/>
          <w:szCs w:val="24"/>
        </w:rPr>
        <w:t>victims</w:t>
      </w:r>
      <w:r w:rsidR="0076569E">
        <w:rPr>
          <w:noProof/>
          <w:sz w:val="24"/>
          <w:szCs w:val="24"/>
        </w:rPr>
        <w:t xml:space="preserve"> </w:t>
      </w:r>
      <w:r w:rsidR="0076569E" w:rsidRPr="00FA7A7E">
        <w:rPr>
          <w:i/>
          <w:noProof/>
          <w:sz w:val="24"/>
          <w:szCs w:val="24"/>
        </w:rPr>
        <w:t>do</w:t>
      </w:r>
      <w:r w:rsidR="0076569E">
        <w:rPr>
          <w:noProof/>
          <w:sz w:val="24"/>
          <w:szCs w:val="24"/>
        </w:rPr>
        <w:t xml:space="preserve"> use national fault-based rules, </w:t>
      </w:r>
      <w:r w:rsidR="005E7033">
        <w:rPr>
          <w:noProof/>
          <w:sz w:val="24"/>
          <w:szCs w:val="24"/>
        </w:rPr>
        <w:t xml:space="preserve">the measures envisaged in the AI impact assessment will </w:t>
      </w:r>
      <w:r w:rsidR="0076569E">
        <w:rPr>
          <w:noProof/>
          <w:sz w:val="24"/>
          <w:szCs w:val="24"/>
        </w:rPr>
        <w:t xml:space="preserve">help them. </w:t>
      </w:r>
      <w:r w:rsidR="00C44AB9">
        <w:rPr>
          <w:noProof/>
          <w:sz w:val="24"/>
          <w:szCs w:val="24"/>
        </w:rPr>
        <w:t>Victims</w:t>
      </w:r>
      <w:r w:rsidR="0076569E">
        <w:rPr>
          <w:noProof/>
          <w:sz w:val="24"/>
          <w:szCs w:val="24"/>
        </w:rPr>
        <w:t xml:space="preserve"> will </w:t>
      </w:r>
      <w:r w:rsidR="00C44AB9">
        <w:rPr>
          <w:noProof/>
          <w:sz w:val="24"/>
          <w:szCs w:val="24"/>
        </w:rPr>
        <w:t xml:space="preserve">do this </w:t>
      </w:r>
      <w:r w:rsidR="0076569E">
        <w:rPr>
          <w:noProof/>
          <w:sz w:val="24"/>
          <w:szCs w:val="24"/>
        </w:rPr>
        <w:t xml:space="preserve">mainly when </w:t>
      </w:r>
      <w:r w:rsidR="003C5CCB">
        <w:rPr>
          <w:noProof/>
          <w:sz w:val="24"/>
          <w:szCs w:val="24"/>
        </w:rPr>
        <w:t>they seek</w:t>
      </w:r>
      <w:r w:rsidR="0076569E">
        <w:rPr>
          <w:noProof/>
          <w:sz w:val="24"/>
          <w:szCs w:val="24"/>
        </w:rPr>
        <w:t xml:space="preserve"> compensation </w:t>
      </w:r>
      <w:r w:rsidR="005E7033">
        <w:rPr>
          <w:noProof/>
          <w:sz w:val="24"/>
          <w:szCs w:val="24"/>
        </w:rPr>
        <w:t xml:space="preserve">from persons other than the producer – in particular </w:t>
      </w:r>
      <w:r w:rsidR="005E7033" w:rsidRPr="007E170B">
        <w:rPr>
          <w:i/>
          <w:noProof/>
          <w:sz w:val="24"/>
          <w:szCs w:val="24"/>
        </w:rPr>
        <w:t>users</w:t>
      </w:r>
      <w:r w:rsidR="005E7033">
        <w:rPr>
          <w:noProof/>
          <w:sz w:val="24"/>
          <w:szCs w:val="24"/>
        </w:rPr>
        <w:t xml:space="preserve"> of AI systems</w:t>
      </w:r>
      <w:r w:rsidR="00A76F68">
        <w:rPr>
          <w:noProof/>
          <w:sz w:val="24"/>
          <w:szCs w:val="24"/>
        </w:rPr>
        <w:t xml:space="preserve"> (e.g. companies providing cleaning or </w:t>
      </w:r>
      <w:r w:rsidR="00A76F68" w:rsidRPr="00A76F68">
        <w:rPr>
          <w:noProof/>
          <w:sz w:val="24"/>
          <w:szCs w:val="24"/>
        </w:rPr>
        <w:t>security services using AI-enabled robots</w:t>
      </w:r>
      <w:r w:rsidR="00A76F68">
        <w:rPr>
          <w:noProof/>
          <w:sz w:val="24"/>
          <w:szCs w:val="24"/>
        </w:rPr>
        <w:t>)</w:t>
      </w:r>
      <w:r w:rsidR="0076569E">
        <w:rPr>
          <w:noProof/>
          <w:sz w:val="24"/>
          <w:szCs w:val="24"/>
        </w:rPr>
        <w:t xml:space="preserve"> – or when seeking compensation from the producer but for damage not covered by the PLD, like non-material damage or discrimination</w:t>
      </w:r>
      <w:r w:rsidR="00A76F68" w:rsidRPr="00A76F68">
        <w:rPr>
          <w:noProof/>
          <w:sz w:val="24"/>
        </w:rPr>
        <w:t xml:space="preserve"> </w:t>
      </w:r>
      <w:r w:rsidR="00A76F68">
        <w:rPr>
          <w:noProof/>
          <w:sz w:val="24"/>
        </w:rPr>
        <w:t>(</w:t>
      </w:r>
      <w:r w:rsidR="00A76F68" w:rsidRPr="00A76F68">
        <w:rPr>
          <w:noProof/>
          <w:sz w:val="24"/>
          <w:szCs w:val="24"/>
        </w:rPr>
        <w:t>e.g., discrimination damages for biased recruitment software</w:t>
      </w:r>
      <w:r w:rsidR="00A76F68">
        <w:rPr>
          <w:noProof/>
          <w:sz w:val="24"/>
          <w:szCs w:val="24"/>
        </w:rPr>
        <w:t>)</w:t>
      </w:r>
      <w:r w:rsidR="0076569E">
        <w:rPr>
          <w:noProof/>
          <w:sz w:val="24"/>
          <w:szCs w:val="24"/>
        </w:rPr>
        <w:t xml:space="preserve">. </w:t>
      </w:r>
    </w:p>
    <w:p w14:paraId="19867C0C" w14:textId="51A76F83" w:rsidR="00C1722F" w:rsidRPr="00BF57A5" w:rsidRDefault="00412E69" w:rsidP="00BF57A5">
      <w:pPr>
        <w:pStyle w:val="BodyText"/>
        <w:spacing w:after="240"/>
        <w:rPr>
          <w:noProof/>
          <w:sz w:val="24"/>
          <w:szCs w:val="24"/>
        </w:rPr>
      </w:pPr>
      <w:r>
        <w:rPr>
          <w:noProof/>
          <w:sz w:val="24"/>
          <w:szCs w:val="24"/>
        </w:rPr>
        <w:t xml:space="preserve">The impacts of both preferred options are </w:t>
      </w:r>
      <w:r w:rsidR="003C5CCB">
        <w:rPr>
          <w:noProof/>
          <w:sz w:val="24"/>
          <w:szCs w:val="24"/>
        </w:rPr>
        <w:t xml:space="preserve">therefore </w:t>
      </w:r>
      <w:r w:rsidR="009677CD">
        <w:rPr>
          <w:noProof/>
          <w:sz w:val="24"/>
          <w:szCs w:val="24"/>
        </w:rPr>
        <w:t>consistent</w:t>
      </w:r>
      <w:r w:rsidR="003C5CCB">
        <w:rPr>
          <w:noProof/>
          <w:sz w:val="24"/>
          <w:szCs w:val="24"/>
        </w:rPr>
        <w:t>, since they will help victims with different claims</w:t>
      </w:r>
      <w:r w:rsidR="00C44AB9">
        <w:rPr>
          <w:noProof/>
          <w:sz w:val="24"/>
          <w:szCs w:val="24"/>
        </w:rPr>
        <w:t xml:space="preserve"> for different types of damage</w:t>
      </w:r>
      <w:r w:rsidR="003C5CCB">
        <w:rPr>
          <w:noProof/>
          <w:sz w:val="24"/>
          <w:szCs w:val="24"/>
        </w:rPr>
        <w:t xml:space="preserve"> against different liable persons</w:t>
      </w:r>
      <w:r w:rsidR="00C44AB9">
        <w:rPr>
          <w:noProof/>
          <w:sz w:val="24"/>
          <w:szCs w:val="24"/>
        </w:rPr>
        <w:t>.</w:t>
      </w:r>
      <w:r w:rsidR="00402CDB">
        <w:rPr>
          <w:noProof/>
          <w:sz w:val="24"/>
          <w:szCs w:val="24"/>
        </w:rPr>
        <w:t xml:space="preserve"> </w:t>
      </w:r>
      <w:r w:rsidR="003A618B">
        <w:rPr>
          <w:noProof/>
          <w:sz w:val="24"/>
          <w:szCs w:val="24"/>
        </w:rPr>
        <w:t xml:space="preserve">The </w:t>
      </w:r>
      <w:r w:rsidR="00C44AB9" w:rsidRPr="00BF57A5">
        <w:rPr>
          <w:noProof/>
          <w:sz w:val="24"/>
          <w:szCs w:val="24"/>
        </w:rPr>
        <w:t xml:space="preserve">preferred </w:t>
      </w:r>
      <w:r w:rsidR="003A618B">
        <w:rPr>
          <w:noProof/>
          <w:sz w:val="24"/>
          <w:szCs w:val="24"/>
        </w:rPr>
        <w:t>options</w:t>
      </w:r>
      <w:r w:rsidR="00C44AB9" w:rsidRPr="00BF57A5">
        <w:rPr>
          <w:noProof/>
          <w:sz w:val="24"/>
          <w:szCs w:val="24"/>
        </w:rPr>
        <w:t xml:space="preserve"> use similar tools (access to information, adaptations of the burden of proof)</w:t>
      </w:r>
      <w:r w:rsidR="00C44AB9">
        <w:rPr>
          <w:noProof/>
          <w:sz w:val="24"/>
          <w:szCs w:val="24"/>
        </w:rPr>
        <w:t>. With respect to AI systems, the preferred options should, i</w:t>
      </w:r>
      <w:r w:rsidR="003C5CCB" w:rsidRPr="00BF57A5">
        <w:rPr>
          <w:noProof/>
          <w:sz w:val="24"/>
          <w:szCs w:val="24"/>
        </w:rPr>
        <w:t xml:space="preserve">n their combination, </w:t>
      </w:r>
      <w:r w:rsidR="00C44AB9">
        <w:rPr>
          <w:noProof/>
          <w:sz w:val="24"/>
          <w:szCs w:val="24"/>
        </w:rPr>
        <w:t xml:space="preserve">ensure </w:t>
      </w:r>
      <w:r w:rsidR="003C5CCB" w:rsidRPr="00BF57A5">
        <w:rPr>
          <w:noProof/>
          <w:sz w:val="24"/>
          <w:szCs w:val="24"/>
        </w:rPr>
        <w:t xml:space="preserve">that victims of damage caused by AI-systems have the same level of protection compared to damage caused by traditional products, no matter </w:t>
      </w:r>
      <w:r w:rsidR="00C44AB9">
        <w:rPr>
          <w:noProof/>
          <w:sz w:val="24"/>
          <w:szCs w:val="24"/>
        </w:rPr>
        <w:t xml:space="preserve">which route to compensation is </w:t>
      </w:r>
      <w:r w:rsidR="003C5CCB" w:rsidRPr="00BF57A5">
        <w:rPr>
          <w:noProof/>
          <w:sz w:val="24"/>
          <w:szCs w:val="24"/>
        </w:rPr>
        <w:t>taken.</w:t>
      </w:r>
    </w:p>
    <w:p w14:paraId="5ACEBEEA" w14:textId="0BD79A27" w:rsidR="006B087E" w:rsidRDefault="002E7937" w:rsidP="002E7937">
      <w:pPr>
        <w:pStyle w:val="Heading2"/>
        <w:rPr>
          <w:noProof/>
        </w:rPr>
      </w:pPr>
      <w:bookmarkStart w:id="661" w:name="_Toc93401454"/>
      <w:bookmarkStart w:id="662" w:name="_Toc94005551"/>
      <w:bookmarkStart w:id="663" w:name="_Toc95379888"/>
      <w:bookmarkStart w:id="664" w:name="_Toc95391377"/>
      <w:bookmarkStart w:id="665" w:name="_Toc95396446"/>
      <w:bookmarkStart w:id="666" w:name="_Toc95421544"/>
      <w:bookmarkStart w:id="667" w:name="_Toc95481992"/>
      <w:bookmarkStart w:id="668" w:name="_Toc96337784"/>
      <w:bookmarkStart w:id="669" w:name="_Toc96446264"/>
      <w:bookmarkStart w:id="670" w:name="_Toc96448036"/>
      <w:bookmarkStart w:id="671" w:name="_Toc96593985"/>
      <w:bookmarkStart w:id="672" w:name="_Toc96597276"/>
      <w:bookmarkStart w:id="673" w:name="_Toc96609211"/>
      <w:bookmarkStart w:id="674" w:name="_Toc97149240"/>
      <w:bookmarkStart w:id="675" w:name="_Toc97191286"/>
      <w:bookmarkStart w:id="676" w:name="_Toc107430096"/>
      <w:r w:rsidRPr="002E7937">
        <w:t>8.1.</w:t>
      </w:r>
      <w:r w:rsidRPr="002E7937">
        <w:tab/>
      </w:r>
      <w:r w:rsidR="006B087E">
        <w:rPr>
          <w:noProof/>
        </w:rPr>
        <w:t>REFIT (simplification and improved efficiency)</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182271B" w14:textId="1E3695C2" w:rsidR="00AD321E" w:rsidRPr="00391375" w:rsidRDefault="00AD321E" w:rsidP="00391375">
      <w:pPr>
        <w:spacing w:after="240" w:line="240" w:lineRule="auto"/>
        <w:jc w:val="both"/>
        <w:rPr>
          <w:noProof/>
          <w:sz w:val="24"/>
          <w:szCs w:val="24"/>
        </w:rPr>
      </w:pPr>
      <w:r w:rsidRPr="00391375">
        <w:rPr>
          <w:noProof/>
          <w:sz w:val="24"/>
          <w:szCs w:val="24"/>
        </w:rPr>
        <w:t>The evaluation of the PLD found the current administrative burden to be very low, as it consists only in a one-off obligation on Member States to inform the Commission in the event that they wish to derogate from the development risk defence in Article 7(e).</w:t>
      </w:r>
      <w:r w:rsidR="007179A0" w:rsidRPr="00391375">
        <w:rPr>
          <w:noProof/>
          <w:sz w:val="24"/>
          <w:szCs w:val="24"/>
        </w:rPr>
        <w:t xml:space="preserve"> The evaluation of the PLD </w:t>
      </w:r>
      <w:r w:rsidR="007179A0" w:rsidRPr="00391375">
        <w:rPr>
          <w:noProof/>
          <w:sz w:val="24"/>
          <w:szCs w:val="24"/>
          <w:lang w:val="en-US" w:eastAsia="en-IE"/>
        </w:rPr>
        <w:t>concluded there was no scope for simplification</w:t>
      </w:r>
      <w:r w:rsidR="00477660" w:rsidRPr="00391375">
        <w:rPr>
          <w:rStyle w:val="FootnoteReference"/>
          <w:noProof/>
          <w:sz w:val="24"/>
          <w:szCs w:val="24"/>
        </w:rPr>
        <w:footnoteReference w:id="250"/>
      </w:r>
      <w:r w:rsidR="007179A0" w:rsidRPr="00391375">
        <w:rPr>
          <w:noProof/>
          <w:sz w:val="24"/>
          <w:szCs w:val="24"/>
          <w:lang w:val="en-US" w:eastAsia="en-IE"/>
        </w:rPr>
        <w:t xml:space="preserve">. </w:t>
      </w:r>
      <w:r w:rsidR="00D25F07" w:rsidRPr="00391375">
        <w:rPr>
          <w:noProof/>
          <w:sz w:val="24"/>
          <w:szCs w:val="24"/>
          <w:lang w:val="en-US" w:eastAsia="en-IE"/>
        </w:rPr>
        <w:t xml:space="preserve">As </w:t>
      </w:r>
      <w:r w:rsidR="00D25F07" w:rsidRPr="00391375">
        <w:rPr>
          <w:noProof/>
          <w:sz w:val="24"/>
          <w:szCs w:val="24"/>
        </w:rPr>
        <w:t>t</w:t>
      </w:r>
      <w:r w:rsidR="007179A0" w:rsidRPr="00391375">
        <w:rPr>
          <w:noProof/>
          <w:sz w:val="24"/>
          <w:szCs w:val="24"/>
        </w:rPr>
        <w:t>he PLD does not result in any direct compliance costs</w:t>
      </w:r>
      <w:r w:rsidR="00477660" w:rsidRPr="00391375">
        <w:rPr>
          <w:noProof/>
          <w:sz w:val="24"/>
          <w:szCs w:val="24"/>
        </w:rPr>
        <w:t xml:space="preserve"> or</w:t>
      </w:r>
      <w:r w:rsidR="007179A0" w:rsidRPr="00391375">
        <w:rPr>
          <w:noProof/>
          <w:sz w:val="24"/>
          <w:szCs w:val="24"/>
        </w:rPr>
        <w:t xml:space="preserve"> administrative costs for economic operators or consumers</w:t>
      </w:r>
      <w:r w:rsidR="00D25F07" w:rsidRPr="00391375">
        <w:rPr>
          <w:noProof/>
          <w:sz w:val="24"/>
          <w:szCs w:val="24"/>
        </w:rPr>
        <w:t xml:space="preserve">, </w:t>
      </w:r>
      <w:r w:rsidR="007179A0" w:rsidRPr="00391375">
        <w:rPr>
          <w:noProof/>
          <w:sz w:val="24"/>
          <w:szCs w:val="24"/>
        </w:rPr>
        <w:t xml:space="preserve">no quantifiable efficiency gains could be </w:t>
      </w:r>
      <w:r w:rsidR="00477660" w:rsidRPr="00391375">
        <w:rPr>
          <w:noProof/>
          <w:sz w:val="24"/>
          <w:szCs w:val="24"/>
        </w:rPr>
        <w:t>identified</w:t>
      </w:r>
      <w:r w:rsidR="007179A0" w:rsidRPr="00391375">
        <w:rPr>
          <w:noProof/>
          <w:sz w:val="24"/>
          <w:szCs w:val="24"/>
        </w:rPr>
        <w:t xml:space="preserve">. </w:t>
      </w:r>
      <w:r w:rsidR="00477660" w:rsidRPr="00391375">
        <w:rPr>
          <w:noProof/>
          <w:sz w:val="24"/>
          <w:szCs w:val="24"/>
          <w:lang w:val="en-US" w:eastAsia="en-IE"/>
        </w:rPr>
        <w:t>E</w:t>
      </w:r>
      <w:r w:rsidR="007179A0" w:rsidRPr="00391375">
        <w:rPr>
          <w:noProof/>
          <w:sz w:val="24"/>
          <w:szCs w:val="24"/>
          <w:lang w:val="en-US" w:eastAsia="en-IE"/>
        </w:rPr>
        <w:t>conomic operators would</w:t>
      </w:r>
      <w:r w:rsidR="00477660" w:rsidRPr="00391375">
        <w:rPr>
          <w:noProof/>
          <w:sz w:val="24"/>
          <w:szCs w:val="24"/>
          <w:lang w:val="en-US" w:eastAsia="en-IE"/>
        </w:rPr>
        <w:t>,</w:t>
      </w:r>
      <w:r w:rsidR="007179A0" w:rsidRPr="00391375">
        <w:rPr>
          <w:noProof/>
          <w:sz w:val="24"/>
          <w:szCs w:val="24"/>
          <w:lang w:val="en-US" w:eastAsia="en-IE"/>
        </w:rPr>
        <w:t xml:space="preserve"> however</w:t>
      </w:r>
      <w:r w:rsidR="00477660" w:rsidRPr="00391375">
        <w:rPr>
          <w:noProof/>
          <w:sz w:val="24"/>
          <w:szCs w:val="24"/>
          <w:lang w:val="en-US" w:eastAsia="en-IE"/>
        </w:rPr>
        <w:t>,</w:t>
      </w:r>
      <w:r w:rsidR="007179A0" w:rsidRPr="00391375">
        <w:rPr>
          <w:noProof/>
          <w:sz w:val="24"/>
          <w:szCs w:val="24"/>
          <w:lang w:val="en-US" w:eastAsia="en-IE"/>
        </w:rPr>
        <w:t xml:space="preserve"> benefit from more legal certainty and more coherent interpretation of liability rules in the </w:t>
      </w:r>
      <w:r w:rsidR="00477660" w:rsidRPr="00391375">
        <w:rPr>
          <w:noProof/>
          <w:sz w:val="24"/>
          <w:szCs w:val="24"/>
          <w:lang w:val="en-US" w:eastAsia="en-IE"/>
        </w:rPr>
        <w:t>i</w:t>
      </w:r>
      <w:r w:rsidR="007179A0" w:rsidRPr="00391375">
        <w:rPr>
          <w:noProof/>
          <w:sz w:val="24"/>
          <w:szCs w:val="24"/>
          <w:lang w:val="en-US" w:eastAsia="en-IE"/>
        </w:rPr>
        <w:t xml:space="preserve">nternal </w:t>
      </w:r>
      <w:r w:rsidR="00477660" w:rsidRPr="00391375">
        <w:rPr>
          <w:noProof/>
          <w:sz w:val="24"/>
          <w:szCs w:val="24"/>
          <w:lang w:val="en-US" w:eastAsia="en-IE"/>
        </w:rPr>
        <w:t>m</w:t>
      </w:r>
      <w:r w:rsidR="007179A0" w:rsidRPr="00391375">
        <w:rPr>
          <w:noProof/>
          <w:sz w:val="24"/>
          <w:szCs w:val="24"/>
          <w:lang w:val="en-US" w:eastAsia="en-IE"/>
        </w:rPr>
        <w:t>arket. Consumers would benefit from more equal level of consumer protection.</w:t>
      </w:r>
    </w:p>
    <w:p w14:paraId="76010B61" w14:textId="5EA8C698" w:rsidR="006B087E" w:rsidRDefault="002E7937" w:rsidP="002E7937">
      <w:pPr>
        <w:pStyle w:val="Heading1"/>
        <w:rPr>
          <w:noProof/>
        </w:rPr>
      </w:pPr>
      <w:bookmarkStart w:id="677" w:name="_Toc93401455"/>
      <w:bookmarkStart w:id="678" w:name="_Toc94005552"/>
      <w:bookmarkStart w:id="679" w:name="_Toc95379889"/>
      <w:bookmarkStart w:id="680" w:name="_Toc95391378"/>
      <w:bookmarkStart w:id="681" w:name="_Toc95396447"/>
      <w:bookmarkStart w:id="682" w:name="_Toc95421545"/>
      <w:bookmarkStart w:id="683" w:name="_Toc95481993"/>
      <w:bookmarkStart w:id="684" w:name="_Toc96337785"/>
      <w:bookmarkStart w:id="685" w:name="_Toc96446265"/>
      <w:bookmarkStart w:id="686" w:name="_Toc96448037"/>
      <w:bookmarkStart w:id="687" w:name="_Toc96593986"/>
      <w:bookmarkStart w:id="688" w:name="_Toc96597277"/>
      <w:bookmarkStart w:id="689" w:name="_Toc96609212"/>
      <w:bookmarkStart w:id="690" w:name="_Toc97149241"/>
      <w:bookmarkStart w:id="691" w:name="_Toc97191287"/>
      <w:bookmarkStart w:id="692" w:name="_Toc107430097"/>
      <w:r w:rsidRPr="002E7937">
        <w:t>9.</w:t>
      </w:r>
      <w:r w:rsidRPr="002E7937">
        <w:tab/>
      </w:r>
      <w:r w:rsidR="006B087E">
        <w:rPr>
          <w:noProof/>
        </w:rPr>
        <w:t>How will actual impacts be monitored and evaluated?</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0BFF111" w14:textId="06DB2454" w:rsidR="009A23C0" w:rsidRPr="00391375" w:rsidRDefault="009A23C0" w:rsidP="00391375">
      <w:pPr>
        <w:spacing w:after="240" w:line="240" w:lineRule="auto"/>
        <w:jc w:val="both"/>
        <w:rPr>
          <w:noProof/>
          <w:sz w:val="24"/>
          <w:szCs w:val="24"/>
        </w:rPr>
      </w:pPr>
      <w:r w:rsidRPr="00391375">
        <w:rPr>
          <w:noProof/>
          <w:sz w:val="24"/>
          <w:szCs w:val="24"/>
        </w:rPr>
        <w:t>The Commission will monitor the implementation and application of, and compliance with, the revised provisions of the PLD according to the preferred option.</w:t>
      </w:r>
      <w:r w:rsidR="004D7F24" w:rsidRPr="00391375">
        <w:rPr>
          <w:noProof/>
          <w:sz w:val="24"/>
          <w:szCs w:val="24"/>
        </w:rPr>
        <w:t xml:space="preserve"> This will be done consistently with the monitoring of any legislative instrument resulting from the impact assessment on AI liability.</w:t>
      </w:r>
      <w:r w:rsidRPr="00391375">
        <w:rPr>
          <w:noProof/>
          <w:sz w:val="24"/>
          <w:szCs w:val="24"/>
        </w:rPr>
        <w:t xml:space="preserve"> A Commission Expert Group would be set up with all relevant stakeholders and Member States to analyse the implementation of the revised PLD in all Member States.</w:t>
      </w:r>
      <w:r w:rsidR="004D7F24" w:rsidRPr="00391375">
        <w:rPr>
          <w:noProof/>
          <w:sz w:val="24"/>
          <w:szCs w:val="24"/>
        </w:rPr>
        <w:t xml:space="preserve"> </w:t>
      </w:r>
      <w:r w:rsidR="00996EAB" w:rsidRPr="004A078B">
        <w:rPr>
          <w:noProof/>
          <w:sz w:val="24"/>
          <w:szCs w:val="24"/>
        </w:rPr>
        <w:t>The Commission would prepare an implementation report 3 years after transposition of the revised PLD, and conduct an evaluation after 5 years.</w:t>
      </w:r>
    </w:p>
    <w:p w14:paraId="5E63E69F" w14:textId="7CD3F553" w:rsidR="00E42601" w:rsidRDefault="00140D6E" w:rsidP="00255232">
      <w:pPr>
        <w:spacing w:after="240" w:line="240" w:lineRule="auto"/>
        <w:jc w:val="both"/>
        <w:rPr>
          <w:rFonts w:eastAsia="Times New Roman" w:cs="Times New Roman"/>
          <w:noProof/>
          <w:sz w:val="32"/>
          <w:szCs w:val="20"/>
        </w:rPr>
      </w:pPr>
      <w:r w:rsidRPr="004A078B">
        <w:rPr>
          <w:noProof/>
          <w:sz w:val="24"/>
          <w:szCs w:val="24"/>
        </w:rPr>
        <w:t xml:space="preserve">While </w:t>
      </w:r>
      <w:r w:rsidR="00BA778C" w:rsidRPr="004A078B">
        <w:rPr>
          <w:noProof/>
          <w:sz w:val="24"/>
          <w:szCs w:val="24"/>
        </w:rPr>
        <w:t xml:space="preserve">it is </w:t>
      </w:r>
      <w:r w:rsidR="00B32208" w:rsidRPr="004A078B">
        <w:rPr>
          <w:noProof/>
          <w:sz w:val="24"/>
          <w:szCs w:val="24"/>
        </w:rPr>
        <w:t xml:space="preserve">challenging </w:t>
      </w:r>
      <w:r w:rsidR="00BA778C" w:rsidRPr="004A078B">
        <w:rPr>
          <w:noProof/>
          <w:sz w:val="24"/>
          <w:szCs w:val="24"/>
        </w:rPr>
        <w:t>to isolate the impacts of the PLD</w:t>
      </w:r>
      <w:r w:rsidR="008250DB" w:rsidRPr="004A078B">
        <w:rPr>
          <w:noProof/>
          <w:sz w:val="24"/>
          <w:szCs w:val="24"/>
        </w:rPr>
        <w:t xml:space="preserve"> on the functioning of the internal market and the level of consumer protection</w:t>
      </w:r>
      <w:r w:rsidR="00BA778C" w:rsidRPr="004A078B">
        <w:rPr>
          <w:noProof/>
          <w:sz w:val="24"/>
          <w:szCs w:val="24"/>
        </w:rPr>
        <w:t xml:space="preserve">, due to its very </w:t>
      </w:r>
      <w:r w:rsidRPr="004A078B">
        <w:rPr>
          <w:noProof/>
          <w:sz w:val="24"/>
          <w:szCs w:val="24"/>
        </w:rPr>
        <w:t>broad scope</w:t>
      </w:r>
      <w:r w:rsidR="00BA778C" w:rsidRPr="004A078B">
        <w:rPr>
          <w:noProof/>
          <w:sz w:val="24"/>
          <w:szCs w:val="24"/>
        </w:rPr>
        <w:t xml:space="preserve">, its synergistic effects with product safety rules, the availability of other routes to compensation and the lack of robust data on its use, </w:t>
      </w:r>
      <w:r w:rsidR="00C40675" w:rsidRPr="004A078B">
        <w:rPr>
          <w:noProof/>
          <w:sz w:val="24"/>
          <w:szCs w:val="24"/>
        </w:rPr>
        <w:t>indicators for monitoring the impacts of the preferred option</w:t>
      </w:r>
      <w:r w:rsidR="00F74132" w:rsidRPr="004A078B">
        <w:rPr>
          <w:noProof/>
          <w:sz w:val="24"/>
          <w:szCs w:val="24"/>
        </w:rPr>
        <w:t xml:space="preserve"> have been identified </w:t>
      </w:r>
      <w:r w:rsidR="008250DB">
        <w:rPr>
          <w:noProof/>
          <w:sz w:val="24"/>
          <w:szCs w:val="24"/>
        </w:rPr>
        <w:t>They are not based on hard data but rather the reported cases of use of the PLD and perception of affected stakeholders</w:t>
      </w:r>
      <w:r w:rsidR="0042392D" w:rsidRPr="000055BF">
        <w:rPr>
          <w:noProof/>
          <w:sz w:val="24"/>
          <w:szCs w:val="24"/>
        </w:rPr>
        <w:t xml:space="preserve"> </w:t>
      </w:r>
      <w:r w:rsidR="008250DB" w:rsidRPr="004A078B">
        <w:rPr>
          <w:noProof/>
          <w:sz w:val="24"/>
          <w:szCs w:val="24"/>
        </w:rPr>
        <w:t xml:space="preserve">– see annex </w:t>
      </w:r>
      <w:r w:rsidR="00DB5EC9">
        <w:rPr>
          <w:noProof/>
          <w:sz w:val="24"/>
          <w:szCs w:val="24"/>
        </w:rPr>
        <w:t>9</w:t>
      </w:r>
      <w:r w:rsidR="008250DB">
        <w:rPr>
          <w:noProof/>
          <w:sz w:val="24"/>
          <w:szCs w:val="24"/>
        </w:rPr>
        <w:t>.</w:t>
      </w:r>
      <w:bookmarkStart w:id="693" w:name="_Toc93401456"/>
      <w:bookmarkStart w:id="694" w:name="_Toc94005553"/>
      <w:bookmarkStart w:id="695" w:name="_Toc95379890"/>
      <w:bookmarkStart w:id="696" w:name="_Toc95391379"/>
      <w:bookmarkStart w:id="697" w:name="_Toc95396448"/>
      <w:bookmarkStart w:id="698" w:name="_Toc95421546"/>
      <w:r w:rsidR="00E42601">
        <w:rPr>
          <w:noProof/>
        </w:rPr>
        <w:br w:type="page"/>
      </w:r>
    </w:p>
    <w:p w14:paraId="2A9911E8" w14:textId="7DA412EA" w:rsidR="006B087E" w:rsidRPr="006D4947" w:rsidRDefault="006B087E" w:rsidP="006B087E">
      <w:pPr>
        <w:pStyle w:val="AnnexTitle"/>
        <w:rPr>
          <w:noProof/>
        </w:rPr>
      </w:pPr>
      <w:bookmarkStart w:id="699" w:name="_Toc95481994"/>
      <w:bookmarkStart w:id="700" w:name="_Toc96337786"/>
      <w:bookmarkStart w:id="701" w:name="_Toc96446266"/>
      <w:bookmarkStart w:id="702" w:name="_Toc96448038"/>
      <w:bookmarkStart w:id="703" w:name="_Toc96593987"/>
      <w:bookmarkStart w:id="704" w:name="_Toc96597278"/>
      <w:bookmarkStart w:id="705" w:name="_Toc96609213"/>
      <w:bookmarkStart w:id="706" w:name="_Toc97149242"/>
      <w:bookmarkStart w:id="707" w:name="_Toc97191288"/>
      <w:bookmarkStart w:id="708" w:name="_Toc107430098"/>
      <w:r w:rsidRPr="006D4947">
        <w:rPr>
          <w:noProof/>
        </w:rPr>
        <w:t>Annex 1: Procedural information</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2D56EF6A" w14:textId="4558119E" w:rsidR="006B087E" w:rsidRDefault="002E7937" w:rsidP="002E7937">
      <w:pPr>
        <w:pStyle w:val="Heading1"/>
        <w:rPr>
          <w:noProof/>
        </w:rPr>
      </w:pPr>
      <w:bookmarkStart w:id="709" w:name="_Toc471997754"/>
      <w:bookmarkStart w:id="710" w:name="_Toc93401457"/>
      <w:bookmarkStart w:id="711" w:name="_Toc94005554"/>
      <w:bookmarkStart w:id="712" w:name="_Toc95379891"/>
      <w:bookmarkStart w:id="713" w:name="_Toc95391380"/>
      <w:bookmarkStart w:id="714" w:name="_Toc95396449"/>
      <w:bookmarkStart w:id="715" w:name="_Toc95421547"/>
      <w:bookmarkStart w:id="716" w:name="_Toc95481995"/>
      <w:bookmarkStart w:id="717" w:name="_Toc96337787"/>
      <w:bookmarkStart w:id="718" w:name="_Toc96446267"/>
      <w:bookmarkStart w:id="719" w:name="_Toc96448039"/>
      <w:bookmarkStart w:id="720" w:name="_Toc96593988"/>
      <w:bookmarkStart w:id="721" w:name="_Toc96597279"/>
      <w:bookmarkStart w:id="722" w:name="_Toc96609214"/>
      <w:bookmarkStart w:id="723" w:name="_Toc97149243"/>
      <w:bookmarkStart w:id="724" w:name="_Toc97191289"/>
      <w:bookmarkStart w:id="725" w:name="_Toc107430099"/>
      <w:r w:rsidRPr="002E7937">
        <w:t>1.</w:t>
      </w:r>
      <w:r w:rsidRPr="002E7937">
        <w:tab/>
      </w:r>
      <w:r w:rsidR="006B087E">
        <w:rPr>
          <w:noProof/>
        </w:rPr>
        <w:t>Lead DG, D</w:t>
      </w:r>
      <w:r w:rsidR="006B087E" w:rsidRPr="00B3668D">
        <w:rPr>
          <w:i/>
          <w:noProof/>
        </w:rPr>
        <w:t>e</w:t>
      </w:r>
      <w:r w:rsidR="006B087E">
        <w:rPr>
          <w:noProof/>
        </w:rPr>
        <w:t>cide Planning/CWP references</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B2B6EC0" w14:textId="103C8C86" w:rsidR="006B087E" w:rsidRPr="00F30E30" w:rsidRDefault="00F500AE" w:rsidP="006B087E">
      <w:pPr>
        <w:rPr>
          <w:noProof/>
          <w:sz w:val="24"/>
          <w:szCs w:val="24"/>
          <w:lang w:val="en-IE"/>
        </w:rPr>
      </w:pPr>
      <w:r w:rsidRPr="00F30E30">
        <w:rPr>
          <w:noProof/>
          <w:sz w:val="24"/>
          <w:szCs w:val="24"/>
        </w:rPr>
        <w:t xml:space="preserve">Lead DG: DG </w:t>
      </w:r>
      <w:r w:rsidRPr="00F30E30">
        <w:rPr>
          <w:noProof/>
          <w:sz w:val="24"/>
          <w:szCs w:val="24"/>
          <w:lang w:val="en-IE"/>
        </w:rPr>
        <w:t>Internal Market, Industry, Entrepreneurship and SMEs (DG GROW)</w:t>
      </w:r>
    </w:p>
    <w:p w14:paraId="7DE7976A" w14:textId="3B331C3E" w:rsidR="00F500AE" w:rsidRPr="0095194C" w:rsidRDefault="00F500AE" w:rsidP="006B087E">
      <w:pPr>
        <w:rPr>
          <w:noProof/>
          <w:sz w:val="24"/>
          <w:szCs w:val="24"/>
        </w:rPr>
      </w:pPr>
      <w:r w:rsidRPr="00F30E30">
        <w:rPr>
          <w:noProof/>
          <w:sz w:val="24"/>
          <w:szCs w:val="24"/>
          <w:lang w:val="en-IE"/>
        </w:rPr>
        <w:t xml:space="preserve">Directorate: Directorate </w:t>
      </w:r>
      <w:r w:rsidR="00B6474E">
        <w:rPr>
          <w:noProof/>
          <w:sz w:val="24"/>
          <w:szCs w:val="24"/>
          <w:lang w:val="en-IE"/>
        </w:rPr>
        <w:t>G</w:t>
      </w:r>
      <w:r w:rsidRPr="00F30E30">
        <w:rPr>
          <w:noProof/>
          <w:sz w:val="24"/>
          <w:szCs w:val="24"/>
          <w:lang w:val="en-IE"/>
        </w:rPr>
        <w:t xml:space="preserve"> – Ecosystems II: </w:t>
      </w:r>
      <w:r w:rsidR="00B6474E">
        <w:rPr>
          <w:noProof/>
          <w:sz w:val="24"/>
          <w:szCs w:val="24"/>
          <w:lang w:val="en-IE"/>
        </w:rPr>
        <w:t>Tourism &amp; Proximity</w:t>
      </w:r>
    </w:p>
    <w:p w14:paraId="29A67D2C" w14:textId="7D54DC30" w:rsidR="00F500AE" w:rsidRPr="00F30E30" w:rsidRDefault="008D4FD0" w:rsidP="006B087E">
      <w:pPr>
        <w:rPr>
          <w:noProof/>
          <w:sz w:val="24"/>
          <w:szCs w:val="24"/>
        </w:rPr>
      </w:pPr>
      <w:r w:rsidRPr="00F30E30">
        <w:rPr>
          <w:noProof/>
          <w:sz w:val="24"/>
          <w:szCs w:val="24"/>
        </w:rPr>
        <w:t xml:space="preserve">This impact assessment is part of the </w:t>
      </w:r>
      <w:r w:rsidR="00F500AE" w:rsidRPr="00F30E30">
        <w:rPr>
          <w:noProof/>
          <w:sz w:val="24"/>
          <w:szCs w:val="24"/>
        </w:rPr>
        <w:t xml:space="preserve">initiative </w:t>
      </w:r>
      <w:r w:rsidRPr="00F30E30">
        <w:rPr>
          <w:noProof/>
          <w:sz w:val="24"/>
          <w:szCs w:val="24"/>
        </w:rPr>
        <w:t xml:space="preserve">with </w:t>
      </w:r>
      <w:r w:rsidR="00F500AE" w:rsidRPr="00F30E30">
        <w:rPr>
          <w:noProof/>
          <w:sz w:val="24"/>
          <w:szCs w:val="24"/>
        </w:rPr>
        <w:t xml:space="preserve">the </w:t>
      </w:r>
      <w:r w:rsidR="00F500AE" w:rsidRPr="00F30E30">
        <w:rPr>
          <w:i/>
          <w:noProof/>
          <w:sz w:val="24"/>
          <w:szCs w:val="24"/>
        </w:rPr>
        <w:t>Decide</w:t>
      </w:r>
      <w:r w:rsidR="00F500AE" w:rsidRPr="00F30E30">
        <w:rPr>
          <w:noProof/>
          <w:sz w:val="24"/>
          <w:szCs w:val="24"/>
        </w:rPr>
        <w:t xml:space="preserve"> reference PLAN 2020/9848</w:t>
      </w:r>
      <w:r w:rsidRPr="00F30E30">
        <w:rPr>
          <w:noProof/>
          <w:sz w:val="24"/>
          <w:szCs w:val="24"/>
        </w:rPr>
        <w:t>, entitled “Adapting liability rules to the digital age and Artificial Intelligence”.</w:t>
      </w:r>
    </w:p>
    <w:p w14:paraId="70A36988" w14:textId="77777777" w:rsidR="00F500AE" w:rsidRPr="00F30E30" w:rsidRDefault="00F500AE" w:rsidP="006B087E">
      <w:pPr>
        <w:rPr>
          <w:noProof/>
          <w:sz w:val="24"/>
          <w:szCs w:val="24"/>
        </w:rPr>
      </w:pPr>
    </w:p>
    <w:p w14:paraId="4C44B343" w14:textId="140956EA" w:rsidR="006B087E" w:rsidRDefault="002E7937" w:rsidP="002E7937">
      <w:pPr>
        <w:pStyle w:val="Heading1"/>
        <w:rPr>
          <w:noProof/>
        </w:rPr>
      </w:pPr>
      <w:bookmarkStart w:id="726" w:name="_Toc471997755"/>
      <w:bookmarkStart w:id="727" w:name="_Toc93401458"/>
      <w:bookmarkStart w:id="728" w:name="_Toc94005555"/>
      <w:bookmarkStart w:id="729" w:name="_Toc95379892"/>
      <w:bookmarkStart w:id="730" w:name="_Toc95391381"/>
      <w:bookmarkStart w:id="731" w:name="_Toc95396450"/>
      <w:bookmarkStart w:id="732" w:name="_Toc95421548"/>
      <w:bookmarkStart w:id="733" w:name="_Toc95481996"/>
      <w:bookmarkStart w:id="734" w:name="_Toc96337788"/>
      <w:bookmarkStart w:id="735" w:name="_Toc96446268"/>
      <w:bookmarkStart w:id="736" w:name="_Toc96448040"/>
      <w:bookmarkStart w:id="737" w:name="_Toc96593989"/>
      <w:bookmarkStart w:id="738" w:name="_Toc96597280"/>
      <w:bookmarkStart w:id="739" w:name="_Toc96609215"/>
      <w:bookmarkStart w:id="740" w:name="_Toc97149244"/>
      <w:bookmarkStart w:id="741" w:name="_Toc97191290"/>
      <w:bookmarkStart w:id="742" w:name="_Toc107430100"/>
      <w:r w:rsidRPr="002E7937">
        <w:t>2.</w:t>
      </w:r>
      <w:r w:rsidRPr="002E7937">
        <w:tab/>
      </w:r>
      <w:r w:rsidR="006B087E">
        <w:rPr>
          <w:noProof/>
        </w:rPr>
        <w:t>Organisation and timing</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5C41C63C" w14:textId="692D2113" w:rsidR="000055BF" w:rsidRDefault="004A5208" w:rsidP="004A5208">
      <w:pPr>
        <w:ind w:right="-454"/>
        <w:rPr>
          <w:noProof/>
          <w:sz w:val="24"/>
          <w:szCs w:val="24"/>
        </w:rPr>
      </w:pPr>
      <w:r>
        <w:rPr>
          <w:noProof/>
          <w:sz w:val="24"/>
          <w:szCs w:val="24"/>
        </w:rPr>
        <w:t>The i</w:t>
      </w:r>
      <w:r w:rsidR="000055BF" w:rsidRPr="004A5208">
        <w:rPr>
          <w:noProof/>
          <w:sz w:val="24"/>
          <w:szCs w:val="24"/>
        </w:rPr>
        <w:t>nception</w:t>
      </w:r>
      <w:r w:rsidR="000055BF">
        <w:rPr>
          <w:noProof/>
          <w:sz w:val="24"/>
          <w:szCs w:val="24"/>
        </w:rPr>
        <w:t xml:space="preserve"> impact assessment</w:t>
      </w:r>
      <w:r w:rsidR="000055BF" w:rsidRPr="000055BF">
        <w:rPr>
          <w:noProof/>
          <w:sz w:val="24"/>
          <w:szCs w:val="24"/>
        </w:rPr>
        <w:t xml:space="preserve"> consultation period </w:t>
      </w:r>
      <w:r>
        <w:rPr>
          <w:noProof/>
          <w:sz w:val="24"/>
          <w:szCs w:val="24"/>
        </w:rPr>
        <w:t>ran from</w:t>
      </w:r>
      <w:r w:rsidR="000055BF" w:rsidRPr="000055BF">
        <w:rPr>
          <w:noProof/>
          <w:sz w:val="24"/>
          <w:szCs w:val="24"/>
        </w:rPr>
        <w:t xml:space="preserve"> 30 June to 28 July 2021</w:t>
      </w:r>
      <w:r w:rsidR="000055BF">
        <w:rPr>
          <w:noProof/>
          <w:sz w:val="24"/>
          <w:szCs w:val="24"/>
        </w:rPr>
        <w:t>.</w:t>
      </w:r>
    </w:p>
    <w:p w14:paraId="6BB50BBB" w14:textId="57241003" w:rsidR="000055BF" w:rsidRPr="000055BF" w:rsidRDefault="004A5208" w:rsidP="004A5208">
      <w:pPr>
        <w:ind w:right="-454"/>
        <w:rPr>
          <w:noProof/>
          <w:sz w:val="24"/>
          <w:szCs w:val="24"/>
        </w:rPr>
      </w:pPr>
      <w:r>
        <w:rPr>
          <w:noProof/>
          <w:sz w:val="24"/>
          <w:szCs w:val="24"/>
        </w:rPr>
        <w:t>The p</w:t>
      </w:r>
      <w:r w:rsidR="000055BF" w:rsidRPr="004A5208">
        <w:rPr>
          <w:noProof/>
          <w:sz w:val="24"/>
          <w:szCs w:val="24"/>
        </w:rPr>
        <w:t>ublic</w:t>
      </w:r>
      <w:r w:rsidR="000055BF" w:rsidRPr="000055BF">
        <w:rPr>
          <w:noProof/>
          <w:sz w:val="24"/>
          <w:szCs w:val="24"/>
        </w:rPr>
        <w:t xml:space="preserve"> consultation period </w:t>
      </w:r>
      <w:r>
        <w:rPr>
          <w:noProof/>
          <w:sz w:val="24"/>
          <w:szCs w:val="24"/>
        </w:rPr>
        <w:t>ran from</w:t>
      </w:r>
      <w:r w:rsidR="000055BF" w:rsidRPr="000055BF">
        <w:rPr>
          <w:noProof/>
          <w:sz w:val="24"/>
          <w:szCs w:val="24"/>
        </w:rPr>
        <w:t xml:space="preserve"> 18 October 2021</w:t>
      </w:r>
      <w:r w:rsidR="000055BF">
        <w:rPr>
          <w:noProof/>
          <w:sz w:val="24"/>
          <w:szCs w:val="24"/>
        </w:rPr>
        <w:t xml:space="preserve"> to </w:t>
      </w:r>
      <w:r w:rsidR="000055BF" w:rsidRPr="000055BF">
        <w:rPr>
          <w:noProof/>
          <w:sz w:val="24"/>
          <w:szCs w:val="24"/>
        </w:rPr>
        <w:t>10 January 2022</w:t>
      </w:r>
      <w:r w:rsidR="000055BF">
        <w:rPr>
          <w:noProof/>
          <w:sz w:val="24"/>
          <w:szCs w:val="24"/>
        </w:rPr>
        <w:t>.</w:t>
      </w:r>
    </w:p>
    <w:p w14:paraId="029DE065" w14:textId="11016B24" w:rsidR="006B087E" w:rsidRPr="00F30E30" w:rsidRDefault="00293577" w:rsidP="004A5208">
      <w:pPr>
        <w:ind w:right="-454"/>
        <w:rPr>
          <w:noProof/>
          <w:sz w:val="24"/>
          <w:szCs w:val="24"/>
        </w:rPr>
      </w:pPr>
      <w:r>
        <w:rPr>
          <w:noProof/>
          <w:sz w:val="24"/>
          <w:szCs w:val="24"/>
        </w:rPr>
        <w:t>An</w:t>
      </w:r>
      <w:r w:rsidR="000055BF">
        <w:rPr>
          <w:noProof/>
          <w:sz w:val="24"/>
          <w:szCs w:val="24"/>
        </w:rPr>
        <w:t xml:space="preserve"> inter-service steering group was convened and chaired by the Secretariat-General and </w:t>
      </w:r>
      <w:r w:rsidR="00181B4B">
        <w:rPr>
          <w:noProof/>
          <w:sz w:val="24"/>
          <w:szCs w:val="24"/>
        </w:rPr>
        <w:t>the last</w:t>
      </w:r>
      <w:r w:rsidR="000055BF">
        <w:rPr>
          <w:noProof/>
          <w:sz w:val="24"/>
          <w:szCs w:val="24"/>
        </w:rPr>
        <w:t xml:space="preserve"> meeting </w:t>
      </w:r>
      <w:r w:rsidR="00181B4B">
        <w:rPr>
          <w:noProof/>
          <w:sz w:val="24"/>
          <w:szCs w:val="24"/>
        </w:rPr>
        <w:t xml:space="preserve">on the final draft </w:t>
      </w:r>
      <w:r w:rsidR="0028317D">
        <w:rPr>
          <w:noProof/>
          <w:sz w:val="24"/>
          <w:szCs w:val="24"/>
        </w:rPr>
        <w:t>impact assessment</w:t>
      </w:r>
      <w:r w:rsidR="00181B4B">
        <w:rPr>
          <w:noProof/>
          <w:sz w:val="24"/>
          <w:szCs w:val="24"/>
        </w:rPr>
        <w:t xml:space="preserve"> report </w:t>
      </w:r>
      <w:r w:rsidR="000055BF">
        <w:rPr>
          <w:noProof/>
          <w:sz w:val="24"/>
          <w:szCs w:val="24"/>
        </w:rPr>
        <w:t xml:space="preserve">was held on </w:t>
      </w:r>
      <w:r w:rsidR="000055BF" w:rsidRPr="000055BF">
        <w:rPr>
          <w:noProof/>
          <w:sz w:val="24"/>
          <w:szCs w:val="24"/>
        </w:rPr>
        <w:t>18 February</w:t>
      </w:r>
      <w:r w:rsidR="000055BF">
        <w:rPr>
          <w:noProof/>
          <w:sz w:val="24"/>
          <w:szCs w:val="24"/>
        </w:rPr>
        <w:t xml:space="preserve"> 2022. The following Directorates-General participated</w:t>
      </w:r>
      <w:r w:rsidR="000055BF" w:rsidRPr="000055BF">
        <w:rPr>
          <w:noProof/>
          <w:sz w:val="24"/>
          <w:szCs w:val="24"/>
        </w:rPr>
        <w:t>: SG, LS, JUST, GROW, CNECT, JRC, SANTE, EMPL, COMP, FISMA, AGRI, ECFIN, ENV</w:t>
      </w:r>
      <w:r w:rsidR="002510C6">
        <w:rPr>
          <w:noProof/>
          <w:sz w:val="24"/>
          <w:szCs w:val="24"/>
        </w:rPr>
        <w:t>, TRADE</w:t>
      </w:r>
      <w:r w:rsidR="000055BF">
        <w:rPr>
          <w:noProof/>
          <w:sz w:val="24"/>
          <w:szCs w:val="24"/>
        </w:rPr>
        <w:t>.</w:t>
      </w:r>
    </w:p>
    <w:p w14:paraId="0A8ABCE8" w14:textId="77777777" w:rsidR="008D4FD0" w:rsidRDefault="008D4FD0" w:rsidP="006B087E">
      <w:pPr>
        <w:rPr>
          <w:noProof/>
        </w:rPr>
      </w:pPr>
    </w:p>
    <w:p w14:paraId="7DB62801" w14:textId="3C61EE8C" w:rsidR="006B087E" w:rsidRDefault="002E7937" w:rsidP="002E7937">
      <w:pPr>
        <w:pStyle w:val="Heading1"/>
        <w:rPr>
          <w:noProof/>
        </w:rPr>
      </w:pPr>
      <w:bookmarkStart w:id="743" w:name="_Toc471997757"/>
      <w:bookmarkStart w:id="744" w:name="_Toc93401459"/>
      <w:bookmarkStart w:id="745" w:name="_Toc94005556"/>
      <w:bookmarkStart w:id="746" w:name="_Toc95379893"/>
      <w:bookmarkStart w:id="747" w:name="_Toc95391382"/>
      <w:bookmarkStart w:id="748" w:name="_Toc95396451"/>
      <w:bookmarkStart w:id="749" w:name="_Toc95421549"/>
      <w:bookmarkStart w:id="750" w:name="_Toc95481997"/>
      <w:bookmarkStart w:id="751" w:name="_Toc96337789"/>
      <w:bookmarkStart w:id="752" w:name="_Toc96446269"/>
      <w:bookmarkStart w:id="753" w:name="_Toc96448041"/>
      <w:bookmarkStart w:id="754" w:name="_Toc96593990"/>
      <w:bookmarkStart w:id="755" w:name="_Toc96597281"/>
      <w:bookmarkStart w:id="756" w:name="_Toc96609216"/>
      <w:bookmarkStart w:id="757" w:name="_Toc97149245"/>
      <w:bookmarkStart w:id="758" w:name="_Toc97191291"/>
      <w:bookmarkStart w:id="759" w:name="_Toc107430101"/>
      <w:r w:rsidRPr="002E7937">
        <w:t>3.</w:t>
      </w:r>
      <w:r w:rsidRPr="002E7937">
        <w:tab/>
      </w:r>
      <w:r w:rsidR="006B087E">
        <w:rPr>
          <w:noProof/>
        </w:rPr>
        <w:t>Consultation of the RSB</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502999BD" w14:textId="7519AD05" w:rsidR="006B087E" w:rsidRPr="00F30E30" w:rsidRDefault="008D4FD0" w:rsidP="006B087E">
      <w:pPr>
        <w:rPr>
          <w:noProof/>
          <w:sz w:val="24"/>
          <w:szCs w:val="24"/>
        </w:rPr>
      </w:pPr>
      <w:r w:rsidRPr="00F30E30">
        <w:rPr>
          <w:noProof/>
          <w:sz w:val="24"/>
          <w:szCs w:val="24"/>
        </w:rPr>
        <w:t>The RSB was consulted in an upstream meeting on 2 June 2021. This impact assessment was submitted to the RSB on 4 March 2022. The meeting with the RSB took place on 6 April 2022.</w:t>
      </w:r>
    </w:p>
    <w:p w14:paraId="34854F64" w14:textId="6C3EAAD6" w:rsidR="0097471E" w:rsidRPr="00F30E30" w:rsidRDefault="008D4FD0" w:rsidP="0097471E">
      <w:pPr>
        <w:rPr>
          <w:noProof/>
          <w:sz w:val="24"/>
          <w:szCs w:val="24"/>
        </w:rPr>
      </w:pPr>
      <w:r w:rsidRPr="00F30E30">
        <w:rPr>
          <w:noProof/>
          <w:sz w:val="24"/>
          <w:szCs w:val="24"/>
        </w:rPr>
        <w:t xml:space="preserve">The RSB issued its opinion on </w:t>
      </w:r>
      <w:r w:rsidR="00661626">
        <w:rPr>
          <w:noProof/>
          <w:sz w:val="24"/>
          <w:szCs w:val="24"/>
        </w:rPr>
        <w:t>8</w:t>
      </w:r>
      <w:r w:rsidR="00F30E30" w:rsidRPr="00F30E30">
        <w:rPr>
          <w:noProof/>
          <w:sz w:val="24"/>
          <w:szCs w:val="24"/>
        </w:rPr>
        <w:t xml:space="preserve"> April </w:t>
      </w:r>
      <w:r w:rsidRPr="00F30E30">
        <w:rPr>
          <w:noProof/>
          <w:sz w:val="24"/>
          <w:szCs w:val="24"/>
        </w:rPr>
        <w:t>202</w:t>
      </w:r>
      <w:r w:rsidR="00F30E30" w:rsidRPr="00F30E30">
        <w:rPr>
          <w:noProof/>
          <w:sz w:val="24"/>
          <w:szCs w:val="24"/>
        </w:rPr>
        <w:t>2</w:t>
      </w:r>
      <w:r w:rsidR="00661626">
        <w:rPr>
          <w:noProof/>
          <w:sz w:val="24"/>
          <w:szCs w:val="24"/>
        </w:rPr>
        <w:t>, following which this impact assessment was revised as follows:</w:t>
      </w:r>
    </w:p>
    <w:tbl>
      <w:tblPr>
        <w:tblStyle w:val="TableGrid"/>
        <w:tblW w:w="9606" w:type="dxa"/>
        <w:tblLook w:val="04A0" w:firstRow="1" w:lastRow="0" w:firstColumn="1" w:lastColumn="0" w:noHBand="0" w:noVBand="1"/>
      </w:tblPr>
      <w:tblGrid>
        <w:gridCol w:w="4803"/>
        <w:gridCol w:w="4803"/>
      </w:tblGrid>
      <w:tr w:rsidR="00661626" w14:paraId="1753C834" w14:textId="77777777" w:rsidTr="00661626">
        <w:tc>
          <w:tcPr>
            <w:tcW w:w="4803" w:type="dxa"/>
          </w:tcPr>
          <w:p w14:paraId="75EC7192" w14:textId="3410BB6A" w:rsidR="00661626" w:rsidRPr="00810857" w:rsidRDefault="00661626" w:rsidP="00661626">
            <w:pPr>
              <w:jc w:val="center"/>
              <w:rPr>
                <w:b/>
                <w:noProof/>
              </w:rPr>
            </w:pPr>
            <w:r w:rsidRPr="00810857">
              <w:rPr>
                <w:b/>
                <w:noProof/>
              </w:rPr>
              <w:t xml:space="preserve">RSB </w:t>
            </w:r>
            <w:r>
              <w:rPr>
                <w:b/>
                <w:noProof/>
              </w:rPr>
              <w:t>recommendations</w:t>
            </w:r>
          </w:p>
        </w:tc>
        <w:tc>
          <w:tcPr>
            <w:tcW w:w="4803" w:type="dxa"/>
          </w:tcPr>
          <w:p w14:paraId="0ACDE195" w14:textId="77777777" w:rsidR="00661626" w:rsidRPr="00810857" w:rsidRDefault="00661626" w:rsidP="00347138">
            <w:pPr>
              <w:jc w:val="center"/>
              <w:rPr>
                <w:b/>
                <w:noProof/>
              </w:rPr>
            </w:pPr>
            <w:r w:rsidRPr="00810857">
              <w:rPr>
                <w:b/>
                <w:noProof/>
              </w:rPr>
              <w:t>Revision made</w:t>
            </w:r>
          </w:p>
        </w:tc>
      </w:tr>
      <w:tr w:rsidR="00661626" w14:paraId="06DA8FF5" w14:textId="77777777" w:rsidTr="00661626">
        <w:tc>
          <w:tcPr>
            <w:tcW w:w="4803" w:type="dxa"/>
          </w:tcPr>
          <w:p w14:paraId="043439C7" w14:textId="77777777" w:rsidR="00661626" w:rsidRDefault="00661626" w:rsidP="00661626">
            <w:pPr>
              <w:pStyle w:val="ListParagraph"/>
              <w:numPr>
                <w:ilvl w:val="0"/>
                <w:numId w:val="39"/>
              </w:numPr>
              <w:ind w:left="284" w:hanging="284"/>
              <w:contextualSpacing/>
              <w:rPr>
                <w:noProof/>
              </w:rPr>
            </w:pPr>
            <w:r w:rsidRPr="00396072">
              <w:rPr>
                <w:noProof/>
              </w:rPr>
              <w:t>The report should better explain the scope of the problem, in particular why it does not</w:t>
            </w:r>
            <w:r>
              <w:rPr>
                <w:noProof/>
              </w:rPr>
              <w:t xml:space="preserve"> </w:t>
            </w:r>
            <w:r w:rsidRPr="00396072">
              <w:rPr>
                <w:noProof/>
              </w:rPr>
              <w:t>cover repaired products. It should clarify why the product/service overlap with the parallel</w:t>
            </w:r>
            <w:r>
              <w:rPr>
                <w:noProof/>
              </w:rPr>
              <w:t xml:space="preserve"> </w:t>
            </w:r>
            <w:r w:rsidRPr="00396072">
              <w:rPr>
                <w:noProof/>
              </w:rPr>
              <w:t>initiative on artificial intelligence liability is not problematic.</w:t>
            </w:r>
          </w:p>
        </w:tc>
        <w:tc>
          <w:tcPr>
            <w:tcW w:w="4803" w:type="dxa"/>
          </w:tcPr>
          <w:p w14:paraId="62993453" w14:textId="77777777" w:rsidR="00661626" w:rsidRDefault="00661626" w:rsidP="00661626">
            <w:pPr>
              <w:pStyle w:val="ListParagraph"/>
              <w:numPr>
                <w:ilvl w:val="0"/>
                <w:numId w:val="40"/>
              </w:numPr>
              <w:ind w:left="169" w:hanging="169"/>
              <w:contextualSpacing/>
              <w:rPr>
                <w:noProof/>
              </w:rPr>
            </w:pPr>
            <w:r>
              <w:rPr>
                <w:noProof/>
              </w:rPr>
              <w:t>Clarification in section 2.2.1.2 that repairers are not producers within the meaning of the PLD.</w:t>
            </w:r>
          </w:p>
          <w:p w14:paraId="2A79345D" w14:textId="77777777" w:rsidR="00661626" w:rsidRDefault="00661626" w:rsidP="00661626">
            <w:pPr>
              <w:pStyle w:val="ListParagraph"/>
              <w:numPr>
                <w:ilvl w:val="0"/>
                <w:numId w:val="40"/>
              </w:numPr>
              <w:ind w:left="169" w:hanging="169"/>
              <w:contextualSpacing/>
              <w:rPr>
                <w:noProof/>
              </w:rPr>
            </w:pPr>
            <w:r>
              <w:rPr>
                <w:noProof/>
              </w:rPr>
              <w:t>Clarification that there is no problematic overlap with AI liability in section 1.2.5 and section 8</w:t>
            </w:r>
          </w:p>
        </w:tc>
      </w:tr>
      <w:tr w:rsidR="00661626" w14:paraId="5446BFDB" w14:textId="77777777" w:rsidTr="00661626">
        <w:tc>
          <w:tcPr>
            <w:tcW w:w="4803" w:type="dxa"/>
          </w:tcPr>
          <w:p w14:paraId="09D15803" w14:textId="77777777" w:rsidR="00661626" w:rsidRDefault="00661626" w:rsidP="00661626">
            <w:pPr>
              <w:pStyle w:val="ListParagraph"/>
              <w:numPr>
                <w:ilvl w:val="0"/>
                <w:numId w:val="39"/>
              </w:numPr>
              <w:ind w:left="284" w:hanging="284"/>
              <w:contextualSpacing/>
              <w:rPr>
                <w:noProof/>
              </w:rPr>
            </w:pPr>
            <w:r w:rsidRPr="00396072">
              <w:rPr>
                <w:noProof/>
              </w:rPr>
              <w:t>The report should clarify the baseline assumptions. It should explain better to what</w:t>
            </w:r>
            <w:r>
              <w:rPr>
                <w:noProof/>
              </w:rPr>
              <w:t xml:space="preserve"> </w:t>
            </w:r>
            <w:r w:rsidRPr="00396072">
              <w:rPr>
                <w:noProof/>
              </w:rPr>
              <w:t>extent the reduction of number of liability cases resulting from the expected product safety</w:t>
            </w:r>
            <w:r>
              <w:rPr>
                <w:noProof/>
              </w:rPr>
              <w:t xml:space="preserve"> </w:t>
            </w:r>
            <w:r w:rsidRPr="00396072">
              <w:rPr>
                <w:noProof/>
              </w:rPr>
              <w:t>improvements are included in the baseline and be clear how this affects the size of the</w:t>
            </w:r>
            <w:r>
              <w:rPr>
                <w:noProof/>
              </w:rPr>
              <w:t xml:space="preserve"> </w:t>
            </w:r>
            <w:r w:rsidRPr="00396072">
              <w:rPr>
                <w:noProof/>
              </w:rPr>
              <w:t>remaining problem. Given the significance of the expected reduction of product-related</w:t>
            </w:r>
            <w:r>
              <w:rPr>
                <w:noProof/>
              </w:rPr>
              <w:t xml:space="preserve"> </w:t>
            </w:r>
            <w:r w:rsidRPr="00396072">
              <w:rPr>
                <w:noProof/>
              </w:rPr>
              <w:t>accidents, further efforts should be undertaken to produce a more realistic assessment and</w:t>
            </w:r>
            <w:r>
              <w:rPr>
                <w:noProof/>
              </w:rPr>
              <w:t xml:space="preserve"> </w:t>
            </w:r>
            <w:r w:rsidRPr="00396072">
              <w:rPr>
                <w:noProof/>
              </w:rPr>
              <w:t>description of the dynamic baseline.</w:t>
            </w:r>
          </w:p>
        </w:tc>
        <w:tc>
          <w:tcPr>
            <w:tcW w:w="4803" w:type="dxa"/>
          </w:tcPr>
          <w:p w14:paraId="3F2A32CC" w14:textId="77777777" w:rsidR="00661626" w:rsidRDefault="00661626" w:rsidP="00347138">
            <w:pPr>
              <w:rPr>
                <w:noProof/>
              </w:rPr>
            </w:pPr>
            <w:r>
              <w:rPr>
                <w:noProof/>
              </w:rPr>
              <w:t>Better explanation in 5.1 of impacts of product safety improvements, in particular that:</w:t>
            </w:r>
          </w:p>
          <w:p w14:paraId="50EB8F6E" w14:textId="77777777" w:rsidR="00661626" w:rsidRDefault="00661626" w:rsidP="00661626">
            <w:pPr>
              <w:pStyle w:val="ListParagraph"/>
              <w:numPr>
                <w:ilvl w:val="0"/>
                <w:numId w:val="40"/>
              </w:numPr>
              <w:ind w:left="169" w:hanging="169"/>
              <w:contextualSpacing/>
              <w:rPr>
                <w:noProof/>
              </w:rPr>
            </w:pPr>
            <w:r>
              <w:rPr>
                <w:noProof/>
              </w:rPr>
              <w:t>Improvements seek both to reduce product-related harm in real terms but also to avoid a future rise in harm from novel risks.</w:t>
            </w:r>
          </w:p>
          <w:p w14:paraId="77EA4833" w14:textId="77777777" w:rsidR="00661626" w:rsidRDefault="00661626" w:rsidP="00661626">
            <w:pPr>
              <w:pStyle w:val="ListParagraph"/>
              <w:numPr>
                <w:ilvl w:val="0"/>
                <w:numId w:val="40"/>
              </w:numPr>
              <w:ind w:left="169" w:hanging="169"/>
              <w:contextualSpacing/>
              <w:rPr>
                <w:noProof/>
              </w:rPr>
            </w:pPr>
            <w:r>
              <w:rPr>
                <w:noProof/>
              </w:rPr>
              <w:t>The range of case numbers takes this into account, even if it is not directly quantifiable.</w:t>
            </w:r>
          </w:p>
          <w:p w14:paraId="71E0B32D" w14:textId="77777777" w:rsidR="00661626" w:rsidRDefault="00661626" w:rsidP="00661626">
            <w:pPr>
              <w:pStyle w:val="ListParagraph"/>
              <w:numPr>
                <w:ilvl w:val="0"/>
                <w:numId w:val="40"/>
              </w:numPr>
              <w:ind w:left="169" w:hanging="169"/>
              <w:contextualSpacing/>
              <w:rPr>
                <w:noProof/>
              </w:rPr>
            </w:pPr>
            <w:r>
              <w:rPr>
                <w:noProof/>
              </w:rPr>
              <w:t>Annex 4 provides further explanation on the baseline assumptions.</w:t>
            </w:r>
          </w:p>
        </w:tc>
      </w:tr>
      <w:tr w:rsidR="00661626" w14:paraId="28A24F1F" w14:textId="77777777" w:rsidTr="00661626">
        <w:tc>
          <w:tcPr>
            <w:tcW w:w="4803" w:type="dxa"/>
          </w:tcPr>
          <w:p w14:paraId="393B0DCD" w14:textId="77777777" w:rsidR="00661626" w:rsidRDefault="00661626" w:rsidP="00661626">
            <w:pPr>
              <w:pStyle w:val="ListParagraph"/>
              <w:numPr>
                <w:ilvl w:val="0"/>
                <w:numId w:val="39"/>
              </w:numPr>
              <w:ind w:left="284" w:hanging="284"/>
              <w:contextualSpacing/>
              <w:rPr>
                <w:noProof/>
              </w:rPr>
            </w:pPr>
            <w:r w:rsidRPr="00396072">
              <w:rPr>
                <w:noProof/>
              </w:rPr>
              <w:t>The report should be clear on the uncertainties related to the baseline estimates. It</w:t>
            </w:r>
            <w:r>
              <w:rPr>
                <w:noProof/>
              </w:rPr>
              <w:t xml:space="preserve"> </w:t>
            </w:r>
            <w:r w:rsidRPr="00396072">
              <w:rPr>
                <w:noProof/>
              </w:rPr>
              <w:t>should explain how representative and robust the baseline figures extrapolated from a</w:t>
            </w:r>
            <w:r>
              <w:rPr>
                <w:noProof/>
              </w:rPr>
              <w:t xml:space="preserve"> </w:t>
            </w:r>
            <w:r w:rsidRPr="00396072">
              <w:rPr>
                <w:noProof/>
              </w:rPr>
              <w:t>limited data source (one Member State) are. It should explain better to what extent the</w:t>
            </w:r>
            <w:r>
              <w:rPr>
                <w:noProof/>
              </w:rPr>
              <w:t xml:space="preserve"> </w:t>
            </w:r>
            <w:r w:rsidRPr="00396072">
              <w:rPr>
                <w:noProof/>
              </w:rPr>
              <w:t>legal database from the Netherlands can serve as a realistic reference basis for</w:t>
            </w:r>
            <w:r>
              <w:rPr>
                <w:noProof/>
              </w:rPr>
              <w:t xml:space="preserve"> </w:t>
            </w:r>
            <w:r w:rsidRPr="00396072">
              <w:rPr>
                <w:noProof/>
              </w:rPr>
              <w:t>extrapolation to all EU-27 Member States</w:t>
            </w:r>
          </w:p>
        </w:tc>
        <w:tc>
          <w:tcPr>
            <w:tcW w:w="4803" w:type="dxa"/>
          </w:tcPr>
          <w:p w14:paraId="298D31C3" w14:textId="77777777" w:rsidR="00661626" w:rsidRPr="00661626" w:rsidRDefault="00661626" w:rsidP="00661626">
            <w:pPr>
              <w:pStyle w:val="ListParagraph"/>
              <w:numPr>
                <w:ilvl w:val="0"/>
                <w:numId w:val="40"/>
              </w:numPr>
              <w:ind w:left="169" w:hanging="169"/>
              <w:contextualSpacing/>
              <w:rPr>
                <w:noProof/>
              </w:rPr>
            </w:pPr>
            <w:r w:rsidRPr="00661626">
              <w:rPr>
                <w:noProof/>
              </w:rPr>
              <w:t>The baseline estimates on the number of cases have been reviewed. The baseline figures are based on databases from 5 Member States instead of only one.</w:t>
            </w:r>
          </w:p>
          <w:p w14:paraId="28BAD9D6" w14:textId="4F5C8773" w:rsidR="00661626" w:rsidRPr="00661626" w:rsidRDefault="00661626" w:rsidP="00661626">
            <w:pPr>
              <w:pStyle w:val="ListParagraph"/>
              <w:numPr>
                <w:ilvl w:val="0"/>
                <w:numId w:val="40"/>
              </w:numPr>
              <w:ind w:left="169" w:hanging="169"/>
              <w:contextualSpacing/>
              <w:rPr>
                <w:noProof/>
              </w:rPr>
            </w:pPr>
            <w:r w:rsidRPr="00661626">
              <w:rPr>
                <w:noProof/>
              </w:rPr>
              <w:t>The limitations of the database and extrapolation are explained in Annex 4.</w:t>
            </w:r>
            <w:r w:rsidR="00402CDB">
              <w:rPr>
                <w:noProof/>
              </w:rPr>
              <w:t xml:space="preserve"> </w:t>
            </w:r>
            <w:r w:rsidRPr="00661626">
              <w:rPr>
                <w:noProof/>
              </w:rPr>
              <w:t xml:space="preserve"> </w:t>
            </w:r>
          </w:p>
          <w:p w14:paraId="23BD1A2F" w14:textId="03B37C25" w:rsidR="00661626" w:rsidRPr="00661626" w:rsidRDefault="00661626" w:rsidP="00661626">
            <w:pPr>
              <w:pStyle w:val="ListParagraph"/>
              <w:numPr>
                <w:ilvl w:val="0"/>
                <w:numId w:val="40"/>
              </w:numPr>
              <w:ind w:left="169" w:hanging="169"/>
              <w:contextualSpacing/>
              <w:rPr>
                <w:noProof/>
              </w:rPr>
            </w:pPr>
            <w:r w:rsidRPr="00661626">
              <w:rPr>
                <w:noProof/>
              </w:rPr>
              <w:t xml:space="preserve">The estimates of costs and benefits have been recalculated using the revised baseline figures. </w:t>
            </w:r>
          </w:p>
        </w:tc>
      </w:tr>
      <w:tr w:rsidR="00661626" w14:paraId="35417F42" w14:textId="77777777" w:rsidTr="00661626">
        <w:tc>
          <w:tcPr>
            <w:tcW w:w="4803" w:type="dxa"/>
          </w:tcPr>
          <w:p w14:paraId="75C22E20" w14:textId="77777777" w:rsidR="00661626" w:rsidRPr="00402CDB" w:rsidRDefault="00661626" w:rsidP="00661626">
            <w:pPr>
              <w:pStyle w:val="ListParagraph"/>
              <w:numPr>
                <w:ilvl w:val="0"/>
                <w:numId w:val="39"/>
              </w:numPr>
              <w:ind w:left="284" w:hanging="284"/>
              <w:contextualSpacing/>
              <w:rPr>
                <w:noProof/>
              </w:rPr>
            </w:pPr>
            <w:r w:rsidRPr="00402CDB">
              <w:rPr>
                <w:noProof/>
              </w:rPr>
              <w:t>The report should show that the selected options contain all relevant combinations of measures. It should not discard measures based on the views of only one stakeholder group.</w:t>
            </w:r>
          </w:p>
        </w:tc>
        <w:tc>
          <w:tcPr>
            <w:tcW w:w="4803" w:type="dxa"/>
          </w:tcPr>
          <w:p w14:paraId="357087F9" w14:textId="77777777" w:rsidR="00661626" w:rsidRPr="00402CDB" w:rsidRDefault="00661626" w:rsidP="00661626">
            <w:pPr>
              <w:pStyle w:val="ListParagraph"/>
              <w:numPr>
                <w:ilvl w:val="0"/>
                <w:numId w:val="40"/>
              </w:numPr>
              <w:ind w:left="169" w:hanging="169"/>
              <w:contextualSpacing/>
              <w:rPr>
                <w:noProof/>
              </w:rPr>
            </w:pPr>
            <w:r w:rsidRPr="00402CDB">
              <w:rPr>
                <w:noProof/>
              </w:rPr>
              <w:t>The introduction to section 5.2 explains the development of the combinations and the descriptions of options explain better the rationale behind the combinations.</w:t>
            </w:r>
          </w:p>
          <w:p w14:paraId="391D2929" w14:textId="77777777" w:rsidR="00661626" w:rsidRPr="00402CDB" w:rsidRDefault="00661626" w:rsidP="00661626">
            <w:pPr>
              <w:pStyle w:val="ListParagraph"/>
              <w:numPr>
                <w:ilvl w:val="0"/>
                <w:numId w:val="40"/>
              </w:numPr>
              <w:ind w:left="169" w:hanging="169"/>
              <w:contextualSpacing/>
              <w:rPr>
                <w:noProof/>
              </w:rPr>
            </w:pPr>
            <w:r w:rsidRPr="00402CDB">
              <w:rPr>
                <w:noProof/>
              </w:rPr>
              <w:t>The introduction to section 5.2 also explains that for greater transparency on the impact of different elements within each option, the costs and benefits (increase of insurance premiums and compensations for victims) related to each measure are shown separately in section 6 of the impact assessment</w:t>
            </w:r>
          </w:p>
          <w:p w14:paraId="2EC0CB3C" w14:textId="7F36814D" w:rsidR="00661626" w:rsidRPr="00402CDB" w:rsidRDefault="00661626" w:rsidP="00661626">
            <w:pPr>
              <w:pStyle w:val="ListParagraph"/>
              <w:numPr>
                <w:ilvl w:val="0"/>
                <w:numId w:val="40"/>
              </w:numPr>
              <w:ind w:left="169" w:hanging="169"/>
              <w:contextualSpacing/>
              <w:rPr>
                <w:noProof/>
              </w:rPr>
            </w:pPr>
            <w:r w:rsidRPr="00402CDB">
              <w:rPr>
                <w:noProof/>
              </w:rPr>
              <w:t>Clarification that discarded measures were based not on one stakeholder group but on the need for a fair balance among different groups</w:t>
            </w:r>
            <w:r w:rsidR="00402CDB" w:rsidRPr="00402CDB">
              <w:rPr>
                <w:noProof/>
              </w:rPr>
              <w:t>.</w:t>
            </w:r>
          </w:p>
        </w:tc>
      </w:tr>
      <w:tr w:rsidR="00661626" w14:paraId="5EDC9319" w14:textId="77777777" w:rsidTr="00661626">
        <w:tc>
          <w:tcPr>
            <w:tcW w:w="4803" w:type="dxa"/>
          </w:tcPr>
          <w:p w14:paraId="2CBBE53D" w14:textId="77777777" w:rsidR="00661626" w:rsidRPr="00402CDB" w:rsidRDefault="00661626" w:rsidP="00661626">
            <w:pPr>
              <w:pStyle w:val="ListParagraph"/>
              <w:numPr>
                <w:ilvl w:val="0"/>
                <w:numId w:val="39"/>
              </w:numPr>
              <w:ind w:left="284" w:hanging="284"/>
              <w:contextualSpacing/>
              <w:rPr>
                <w:noProof/>
              </w:rPr>
            </w:pPr>
            <w:r w:rsidRPr="00402CDB">
              <w:rPr>
                <w:noProof/>
              </w:rPr>
              <w:t>The report should clarify what the costs to businesses include and how the quantitative estimates were calculated. Given that the direct compensation costs borne by businesses having no liability insurance coverage are not quantified due to data limitations, it should acknowledge the risk that the presented estimates result in a likely underestimation of the costs.</w:t>
            </w:r>
          </w:p>
        </w:tc>
        <w:tc>
          <w:tcPr>
            <w:tcW w:w="4803" w:type="dxa"/>
          </w:tcPr>
          <w:p w14:paraId="3F561BF8" w14:textId="77777777" w:rsidR="00661626" w:rsidRPr="00402CDB" w:rsidRDefault="00661626" w:rsidP="00347138">
            <w:pPr>
              <w:pStyle w:val="ListParagraph"/>
              <w:rPr>
                <w:noProof/>
              </w:rPr>
            </w:pPr>
          </w:p>
          <w:p w14:paraId="657BC585" w14:textId="77777777" w:rsidR="00661626" w:rsidRPr="00402CDB" w:rsidRDefault="00661626" w:rsidP="00661626">
            <w:pPr>
              <w:pStyle w:val="ListParagraph"/>
              <w:numPr>
                <w:ilvl w:val="0"/>
                <w:numId w:val="40"/>
              </w:numPr>
              <w:ind w:left="169" w:hanging="169"/>
              <w:contextualSpacing/>
              <w:rPr>
                <w:noProof/>
              </w:rPr>
            </w:pPr>
            <w:r w:rsidRPr="00402CDB">
              <w:rPr>
                <w:noProof/>
              </w:rPr>
              <w:t>Clearer justification of the approach to assessing direct compensation costs added in the introduction to section 6.</w:t>
            </w:r>
          </w:p>
          <w:p w14:paraId="585563A5" w14:textId="77777777" w:rsidR="00661626" w:rsidRPr="00402CDB" w:rsidRDefault="00661626" w:rsidP="00661626">
            <w:pPr>
              <w:pStyle w:val="ListParagraph"/>
              <w:numPr>
                <w:ilvl w:val="0"/>
                <w:numId w:val="40"/>
              </w:numPr>
              <w:ind w:left="169" w:hanging="169"/>
              <w:contextualSpacing/>
              <w:rPr>
                <w:noProof/>
              </w:rPr>
            </w:pPr>
            <w:r w:rsidRPr="00402CDB">
              <w:rPr>
                <w:noProof/>
              </w:rPr>
              <w:t>Clarification of the costs for businesses and the methodology for estimates added in Annex 4.</w:t>
            </w:r>
          </w:p>
        </w:tc>
      </w:tr>
      <w:tr w:rsidR="00661626" w14:paraId="780666EB" w14:textId="77777777" w:rsidTr="00661626">
        <w:tc>
          <w:tcPr>
            <w:tcW w:w="4803" w:type="dxa"/>
          </w:tcPr>
          <w:p w14:paraId="4F03FDF9" w14:textId="77777777" w:rsidR="00661626" w:rsidRPr="00402CDB" w:rsidRDefault="00661626" w:rsidP="00661626">
            <w:pPr>
              <w:pStyle w:val="ListParagraph"/>
              <w:numPr>
                <w:ilvl w:val="0"/>
                <w:numId w:val="39"/>
              </w:numPr>
              <w:ind w:left="284" w:hanging="284"/>
              <w:contextualSpacing/>
              <w:rPr>
                <w:noProof/>
              </w:rPr>
            </w:pPr>
            <w:r w:rsidRPr="00402CDB">
              <w:rPr>
                <w:noProof/>
              </w:rPr>
              <w:t>The report should present the overall net impact of the preferred option taking into account all transfers between different stakeholder groups. In addition, it should clarify and complete the distributional analysis of the impacts on the different stakeholder groups. In particular, it should analyse the impacts on producers (both with and without liability insurance) and on insurance companies. Given the high SME relevance of the initiative, the report should further develop the analysis of the effects on SMEs, including the extent to which they might be faced with direct compensation costs, due to a lack of (adequate) insurance coverage.</w:t>
            </w:r>
          </w:p>
        </w:tc>
        <w:tc>
          <w:tcPr>
            <w:tcW w:w="4803" w:type="dxa"/>
          </w:tcPr>
          <w:p w14:paraId="673315C4" w14:textId="410342D3" w:rsidR="00661626" w:rsidRPr="00402CDB" w:rsidRDefault="00661626" w:rsidP="00661626">
            <w:pPr>
              <w:pStyle w:val="ListParagraph"/>
              <w:numPr>
                <w:ilvl w:val="0"/>
                <w:numId w:val="40"/>
              </w:numPr>
              <w:ind w:left="169" w:hanging="169"/>
              <w:contextualSpacing/>
              <w:rPr>
                <w:noProof/>
              </w:rPr>
            </w:pPr>
            <w:r w:rsidRPr="00402CDB">
              <w:rPr>
                <w:noProof/>
              </w:rPr>
              <w:t>Better explanation of the impacts of the preferred option per stakeholder group in section 8 and Annex 3.</w:t>
            </w:r>
          </w:p>
          <w:p w14:paraId="2DD6F804" w14:textId="77777777" w:rsidR="00661626" w:rsidRPr="00402CDB" w:rsidRDefault="00661626" w:rsidP="00661626">
            <w:pPr>
              <w:pStyle w:val="ListParagraph"/>
              <w:numPr>
                <w:ilvl w:val="0"/>
                <w:numId w:val="40"/>
              </w:numPr>
              <w:ind w:left="169" w:hanging="169"/>
              <w:contextualSpacing/>
              <w:rPr>
                <w:noProof/>
              </w:rPr>
            </w:pPr>
            <w:r w:rsidRPr="00402CDB">
              <w:rPr>
                <w:noProof/>
              </w:rPr>
              <w:t>SME relevance reflected in section 6 (SME impacts of PO 1a), in Annex 2 (1</w:t>
            </w:r>
            <w:r w:rsidRPr="00402CDB">
              <w:rPr>
                <w:noProof/>
                <w:vertAlign w:val="superscript"/>
              </w:rPr>
              <w:t>st</w:t>
            </w:r>
            <w:r w:rsidRPr="00402CDB">
              <w:rPr>
                <w:noProof/>
              </w:rPr>
              <w:t xml:space="preserve"> section), section 8 on the preferred option. All evidence is presented together in the SME test in new Annex 10.</w:t>
            </w:r>
          </w:p>
          <w:p w14:paraId="2AF575F0" w14:textId="77777777" w:rsidR="00661626" w:rsidRPr="00402CDB" w:rsidRDefault="00661626" w:rsidP="00347138">
            <w:pPr>
              <w:rPr>
                <w:noProof/>
              </w:rPr>
            </w:pPr>
          </w:p>
          <w:p w14:paraId="25BA52C7" w14:textId="77777777" w:rsidR="00661626" w:rsidRPr="00402CDB" w:rsidRDefault="00661626" w:rsidP="00347138">
            <w:pPr>
              <w:rPr>
                <w:noProof/>
              </w:rPr>
            </w:pPr>
          </w:p>
        </w:tc>
      </w:tr>
      <w:tr w:rsidR="00661626" w14:paraId="131D60FA" w14:textId="77777777" w:rsidTr="00661626">
        <w:tc>
          <w:tcPr>
            <w:tcW w:w="4803" w:type="dxa"/>
          </w:tcPr>
          <w:p w14:paraId="28A74247" w14:textId="77777777" w:rsidR="00661626" w:rsidRPr="00402CDB" w:rsidRDefault="00661626" w:rsidP="00661626">
            <w:pPr>
              <w:pStyle w:val="ListParagraph"/>
              <w:numPr>
                <w:ilvl w:val="0"/>
                <w:numId w:val="39"/>
              </w:numPr>
              <w:ind w:left="284" w:hanging="284"/>
              <w:contextualSpacing/>
              <w:rPr>
                <w:noProof/>
              </w:rPr>
            </w:pPr>
            <w:r w:rsidRPr="00402CDB">
              <w:rPr>
                <w:noProof/>
              </w:rPr>
              <w:t>The report should better justify why the transfer of product liability from the original manufacturer to refurbishers and remanufacturers would not negatively affect the development of the circular economy.</w:t>
            </w:r>
          </w:p>
        </w:tc>
        <w:tc>
          <w:tcPr>
            <w:tcW w:w="4803" w:type="dxa"/>
          </w:tcPr>
          <w:p w14:paraId="33A66FD7" w14:textId="77777777" w:rsidR="00661626" w:rsidRPr="00402CDB" w:rsidRDefault="00661626" w:rsidP="00347138">
            <w:pPr>
              <w:rPr>
                <w:noProof/>
              </w:rPr>
            </w:pPr>
            <w:r w:rsidRPr="00402CDB">
              <w:rPr>
                <w:noProof/>
              </w:rPr>
              <w:t>Better justification give in section 6.2 under Environmental Impacts.</w:t>
            </w:r>
          </w:p>
        </w:tc>
      </w:tr>
      <w:tr w:rsidR="00661626" w14:paraId="3A24BBC5" w14:textId="77777777" w:rsidTr="00661626">
        <w:tc>
          <w:tcPr>
            <w:tcW w:w="4803" w:type="dxa"/>
          </w:tcPr>
          <w:p w14:paraId="691E1070" w14:textId="77777777" w:rsidR="00661626" w:rsidRPr="00402CDB" w:rsidRDefault="00661626" w:rsidP="00661626">
            <w:pPr>
              <w:pStyle w:val="ListParagraph"/>
              <w:numPr>
                <w:ilvl w:val="0"/>
                <w:numId w:val="39"/>
              </w:numPr>
              <w:ind w:left="284" w:hanging="284"/>
              <w:contextualSpacing/>
              <w:rPr>
                <w:noProof/>
              </w:rPr>
            </w:pPr>
            <w:r w:rsidRPr="00402CDB">
              <w:rPr>
                <w:noProof/>
              </w:rPr>
              <w:t>The report should be clear to what extent the analytical assumptions and results (in both the baseline and impact analyses) have been validated by experts and stakeholders. More generally, the report should deal better with uncertainty, for instance by considering sensitivity analysis when assessing the scale of the (remaining) problem and comparing the options in terms of costs and benefits.</w:t>
            </w:r>
          </w:p>
        </w:tc>
        <w:tc>
          <w:tcPr>
            <w:tcW w:w="4803" w:type="dxa"/>
          </w:tcPr>
          <w:p w14:paraId="41698CAD" w14:textId="77777777" w:rsidR="00661626" w:rsidRPr="00402CDB" w:rsidRDefault="00661626" w:rsidP="00347138">
            <w:pPr>
              <w:rPr>
                <w:noProof/>
              </w:rPr>
            </w:pPr>
            <w:r w:rsidRPr="00402CDB">
              <w:rPr>
                <w:noProof/>
              </w:rPr>
              <w:t xml:space="preserve">Annex 4 includes detailed explanation of the methodology and how different results have been validated by experts and stakeholders. The clarification concerning the validation of options and estimates by stakeholders also added in introductions to sections 5 and 6. </w:t>
            </w:r>
          </w:p>
          <w:p w14:paraId="0946A995" w14:textId="77777777" w:rsidR="00661626" w:rsidRPr="00402CDB" w:rsidRDefault="00661626" w:rsidP="00347138">
            <w:pPr>
              <w:rPr>
                <w:noProof/>
              </w:rPr>
            </w:pPr>
          </w:p>
          <w:p w14:paraId="01EFC4B2" w14:textId="53548D03" w:rsidR="001F799D" w:rsidRPr="00402CDB" w:rsidRDefault="00661626" w:rsidP="001F799D">
            <w:pPr>
              <w:rPr>
                <w:noProof/>
              </w:rPr>
            </w:pPr>
            <w:r w:rsidRPr="00402CDB">
              <w:rPr>
                <w:noProof/>
              </w:rPr>
              <w:t>Baseline assumptions have been reviewed (see point 3) and are based on ranges</w:t>
            </w:r>
            <w:r w:rsidR="001F799D" w:rsidRPr="00402CDB">
              <w:rPr>
                <w:noProof/>
              </w:rPr>
              <w:t>, providing different scenarios depending on the assumptions on the number of PLD cases and on the average compensations paid out to victims.</w:t>
            </w:r>
          </w:p>
          <w:p w14:paraId="37044701" w14:textId="77E945A6" w:rsidR="00661626" w:rsidRPr="00402CDB" w:rsidRDefault="001F799D" w:rsidP="001F799D">
            <w:pPr>
              <w:rPr>
                <w:noProof/>
              </w:rPr>
            </w:pPr>
            <w:r w:rsidRPr="00402CDB">
              <w:rPr>
                <w:noProof/>
              </w:rPr>
              <w:t>Net impacts of different options have been more clearly explained for the relevant stakeholder groups.</w:t>
            </w:r>
          </w:p>
        </w:tc>
      </w:tr>
    </w:tbl>
    <w:p w14:paraId="4E53A1C1" w14:textId="6FF0E761" w:rsidR="008D4FD0" w:rsidRDefault="008D4FD0" w:rsidP="006B087E">
      <w:pPr>
        <w:rPr>
          <w:noProof/>
          <w:sz w:val="24"/>
          <w:szCs w:val="24"/>
        </w:rPr>
      </w:pPr>
      <w:r w:rsidRPr="00F30E30">
        <w:rPr>
          <w:noProof/>
          <w:sz w:val="24"/>
          <w:szCs w:val="24"/>
        </w:rPr>
        <w:t xml:space="preserve"> </w:t>
      </w:r>
    </w:p>
    <w:p w14:paraId="07E95EB7" w14:textId="77777777" w:rsidR="00661626" w:rsidRPr="00F30E30" w:rsidRDefault="00661626" w:rsidP="006B087E">
      <w:pPr>
        <w:rPr>
          <w:noProof/>
          <w:sz w:val="24"/>
          <w:szCs w:val="24"/>
        </w:rPr>
      </w:pPr>
    </w:p>
    <w:p w14:paraId="66FBBD4D" w14:textId="17F21024" w:rsidR="006B087E" w:rsidRDefault="002E7937" w:rsidP="002E7937">
      <w:pPr>
        <w:pStyle w:val="Heading1"/>
        <w:rPr>
          <w:noProof/>
        </w:rPr>
      </w:pPr>
      <w:bookmarkStart w:id="760" w:name="_Toc471997758"/>
      <w:bookmarkStart w:id="761" w:name="_Toc93401460"/>
      <w:bookmarkStart w:id="762" w:name="_Toc94005557"/>
      <w:bookmarkStart w:id="763" w:name="_Toc95379894"/>
      <w:bookmarkStart w:id="764" w:name="_Toc95391383"/>
      <w:bookmarkStart w:id="765" w:name="_Toc95396452"/>
      <w:bookmarkStart w:id="766" w:name="_Toc95421550"/>
      <w:bookmarkStart w:id="767" w:name="_Toc95481998"/>
      <w:bookmarkStart w:id="768" w:name="_Toc96337790"/>
      <w:bookmarkStart w:id="769" w:name="_Toc96446270"/>
      <w:bookmarkStart w:id="770" w:name="_Toc96448042"/>
      <w:bookmarkStart w:id="771" w:name="_Toc96593991"/>
      <w:bookmarkStart w:id="772" w:name="_Toc96597282"/>
      <w:bookmarkStart w:id="773" w:name="_Toc96609217"/>
      <w:bookmarkStart w:id="774" w:name="_Toc97149246"/>
      <w:bookmarkStart w:id="775" w:name="_Toc97191292"/>
      <w:bookmarkStart w:id="776" w:name="_Toc107430102"/>
      <w:r w:rsidRPr="002E7937">
        <w:t>4.</w:t>
      </w:r>
      <w:r w:rsidRPr="002E7937">
        <w:tab/>
      </w:r>
      <w:r w:rsidR="006B087E">
        <w:rPr>
          <w:noProof/>
        </w:rPr>
        <w:t>Evidence, sources and quality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11868749" w14:textId="7F1A335A" w:rsidR="004D0EB5" w:rsidRDefault="00CC5E92" w:rsidP="006B087E">
      <w:pPr>
        <w:rPr>
          <w:noProof/>
          <w:sz w:val="24"/>
          <w:szCs w:val="24"/>
        </w:rPr>
      </w:pPr>
      <w:r w:rsidRPr="005D34B3">
        <w:rPr>
          <w:noProof/>
          <w:sz w:val="24"/>
          <w:szCs w:val="24"/>
        </w:rPr>
        <w:t>The Evaluation</w:t>
      </w:r>
      <w:r w:rsidR="002510C6">
        <w:rPr>
          <w:rStyle w:val="FootnoteReference"/>
          <w:noProof/>
          <w:sz w:val="24"/>
          <w:szCs w:val="24"/>
        </w:rPr>
        <w:footnoteReference w:id="251"/>
      </w:r>
      <w:r w:rsidR="00ED5B4C" w:rsidRPr="005D34B3">
        <w:rPr>
          <w:noProof/>
          <w:sz w:val="24"/>
          <w:szCs w:val="24"/>
        </w:rPr>
        <w:t xml:space="preserve"> of the Product Liability Directive identified the key areas for the revision. </w:t>
      </w:r>
      <w:r w:rsidR="005D34B3">
        <w:rPr>
          <w:noProof/>
          <w:sz w:val="24"/>
          <w:szCs w:val="24"/>
        </w:rPr>
        <w:t>It was supported by a study by an external contractor</w:t>
      </w:r>
      <w:r w:rsidR="002510C6">
        <w:rPr>
          <w:rStyle w:val="FootnoteReference"/>
          <w:noProof/>
          <w:sz w:val="24"/>
          <w:szCs w:val="24"/>
        </w:rPr>
        <w:footnoteReference w:id="252"/>
      </w:r>
      <w:r w:rsidR="005D34B3">
        <w:rPr>
          <w:noProof/>
          <w:sz w:val="24"/>
          <w:szCs w:val="24"/>
        </w:rPr>
        <w:t xml:space="preserve">. </w:t>
      </w:r>
    </w:p>
    <w:p w14:paraId="629A246A" w14:textId="66C9E148" w:rsidR="006B087E" w:rsidRDefault="005D34B3" w:rsidP="006B087E">
      <w:pPr>
        <w:rPr>
          <w:noProof/>
          <w:sz w:val="24"/>
          <w:szCs w:val="24"/>
        </w:rPr>
      </w:pPr>
      <w:r>
        <w:rPr>
          <w:noProof/>
          <w:sz w:val="24"/>
          <w:szCs w:val="24"/>
        </w:rPr>
        <w:t>This impact assessment is also supported by a study undertaken by another external contractor</w:t>
      </w:r>
      <w:r w:rsidR="002510C6">
        <w:rPr>
          <w:rStyle w:val="FootnoteReference"/>
          <w:noProof/>
          <w:sz w:val="24"/>
          <w:szCs w:val="24"/>
        </w:rPr>
        <w:footnoteReference w:id="253"/>
      </w:r>
      <w:r>
        <w:rPr>
          <w:noProof/>
          <w:sz w:val="24"/>
          <w:szCs w:val="24"/>
        </w:rPr>
        <w:t xml:space="preserve">, who carried out dozens of interviews, analysed data from public and targeted consultations and complemented this through desk research and case studies. </w:t>
      </w:r>
    </w:p>
    <w:p w14:paraId="52670CCD" w14:textId="14404E94" w:rsidR="004D0EB5" w:rsidRPr="00C80854" w:rsidRDefault="004A5208" w:rsidP="004D0EB5">
      <w:pPr>
        <w:spacing w:before="120" w:after="240" w:line="240" w:lineRule="auto"/>
        <w:jc w:val="both"/>
        <w:rPr>
          <w:noProof/>
          <w:sz w:val="24"/>
        </w:rPr>
      </w:pPr>
      <w:r>
        <w:rPr>
          <w:noProof/>
          <w:sz w:val="24"/>
        </w:rPr>
        <w:t xml:space="preserve">The impact assessment </w:t>
      </w:r>
      <w:r w:rsidR="004D0EB5">
        <w:rPr>
          <w:rFonts w:cstheme="minorHAnsi"/>
          <w:noProof/>
          <w:sz w:val="24"/>
        </w:rPr>
        <w:t>provide</w:t>
      </w:r>
      <w:r>
        <w:rPr>
          <w:rFonts w:cstheme="minorHAnsi"/>
          <w:noProof/>
          <w:sz w:val="24"/>
        </w:rPr>
        <w:t>s</w:t>
      </w:r>
      <w:r w:rsidR="004D0EB5" w:rsidRPr="00C80854">
        <w:rPr>
          <w:rFonts w:cstheme="minorHAnsi"/>
          <w:noProof/>
          <w:sz w:val="24"/>
        </w:rPr>
        <w:t xml:space="preserve"> qualitative information regarding the positive and negative impacts generated by each PO, reporting the main information on the sectors and economic operators mostly affected by the proposed changed. Th</w:t>
      </w:r>
      <w:r w:rsidR="002510C6">
        <w:rPr>
          <w:rFonts w:cstheme="minorHAnsi"/>
          <w:noProof/>
          <w:sz w:val="24"/>
        </w:rPr>
        <w:t>is</w:t>
      </w:r>
      <w:r w:rsidR="004D0EB5" w:rsidRPr="00C80854">
        <w:rPr>
          <w:rFonts w:cstheme="minorHAnsi"/>
          <w:noProof/>
          <w:sz w:val="24"/>
        </w:rPr>
        <w:t xml:space="preserve"> qualitative analysis is based on the evidence gathered through interviews and desk research.</w:t>
      </w:r>
    </w:p>
    <w:p w14:paraId="4C94B351" w14:textId="4D2BB527" w:rsidR="00C355AA" w:rsidRDefault="00C355AA" w:rsidP="00C355AA">
      <w:pPr>
        <w:spacing w:before="120" w:after="240" w:line="240" w:lineRule="auto"/>
        <w:jc w:val="both"/>
        <w:rPr>
          <w:noProof/>
          <w:sz w:val="24"/>
        </w:rPr>
      </w:pPr>
      <w:r w:rsidRPr="00C355AA">
        <w:rPr>
          <w:noProof/>
          <w:sz w:val="24"/>
          <w:szCs w:val="24"/>
        </w:rPr>
        <w:t xml:space="preserve">Whenever possible, economic, social and environmental impacts were assessed quantitatively. </w:t>
      </w:r>
      <w:r w:rsidRPr="00C355AA">
        <w:rPr>
          <w:rFonts w:cstheme="minorHAnsi"/>
          <w:noProof/>
          <w:sz w:val="24"/>
          <w:szCs w:val="24"/>
        </w:rPr>
        <w:t xml:space="preserve">Because of the wide scope of the PLD, the costs and benefits generated by this Directive are also extremely vast, we </w:t>
      </w:r>
      <w:r w:rsidRPr="004932A2">
        <w:rPr>
          <w:noProof/>
          <w:sz w:val="24"/>
          <w:szCs w:val="24"/>
        </w:rPr>
        <w:t>outline approximate quantitative estimates for the main quantifiable benefits (compensation pay-outs to victims) and main costs (namely</w:t>
      </w:r>
      <w:r>
        <w:rPr>
          <w:noProof/>
          <w:sz w:val="24"/>
        </w:rPr>
        <w:t>,</w:t>
      </w:r>
      <w:r w:rsidRPr="00C80854">
        <w:rPr>
          <w:noProof/>
          <w:sz w:val="24"/>
        </w:rPr>
        <w:t xml:space="preserve"> product liability insurance costs; and</w:t>
      </w:r>
      <w:r>
        <w:rPr>
          <w:noProof/>
          <w:sz w:val="24"/>
        </w:rPr>
        <w:t xml:space="preserve"> legal</w:t>
      </w:r>
      <w:r w:rsidRPr="00C80854">
        <w:rPr>
          <w:noProof/>
          <w:sz w:val="24"/>
        </w:rPr>
        <w:t xml:space="preserve"> costs</w:t>
      </w:r>
      <w:r>
        <w:rPr>
          <w:noProof/>
          <w:sz w:val="24"/>
        </w:rPr>
        <w:t>).</w:t>
      </w:r>
    </w:p>
    <w:p w14:paraId="47CE7377" w14:textId="5A37417E" w:rsidR="003F4259" w:rsidRPr="008E08D4" w:rsidRDefault="00C355AA" w:rsidP="00920C96">
      <w:pPr>
        <w:rPr>
          <w:rFonts w:eastAsia="Times New Roman" w:cs="Times New Roman"/>
          <w:noProof/>
          <w:color w:val="000000" w:themeColor="text1"/>
          <w:sz w:val="24"/>
          <w:szCs w:val="20"/>
          <w:u w:val="single"/>
        </w:rPr>
      </w:pPr>
      <w:r w:rsidRPr="00C355AA">
        <w:rPr>
          <w:noProof/>
          <w:sz w:val="24"/>
          <w:szCs w:val="24"/>
        </w:rPr>
        <w:t xml:space="preserve">Data needed for the analysis has been obtained from multiple sources, </w:t>
      </w:r>
      <w:r w:rsidRPr="004932A2">
        <w:rPr>
          <w:noProof/>
          <w:sz w:val="24"/>
          <w:szCs w:val="24"/>
          <w:lang w:val="en-IE"/>
        </w:rPr>
        <w:t>chosen as reliable as possible</w:t>
      </w:r>
      <w:r w:rsidRPr="00C355AA">
        <w:rPr>
          <w:rStyle w:val="FootnoteReference"/>
          <w:noProof/>
          <w:sz w:val="24"/>
          <w:szCs w:val="24"/>
        </w:rPr>
        <w:footnoteReference w:id="254"/>
      </w:r>
      <w:r w:rsidRPr="00C355AA">
        <w:rPr>
          <w:noProof/>
          <w:sz w:val="24"/>
          <w:szCs w:val="24"/>
        </w:rPr>
        <w:t xml:space="preserve">. </w:t>
      </w:r>
      <w:r>
        <w:rPr>
          <w:noProof/>
          <w:sz w:val="24"/>
          <w:szCs w:val="24"/>
        </w:rPr>
        <w:t>R</w:t>
      </w:r>
      <w:r w:rsidRPr="00C355AA">
        <w:rPr>
          <w:noProof/>
          <w:sz w:val="24"/>
          <w:szCs w:val="24"/>
        </w:rPr>
        <w:t>elevant limitations of data</w:t>
      </w:r>
      <w:r w:rsidR="00920C96">
        <w:rPr>
          <w:noProof/>
          <w:sz w:val="24"/>
          <w:szCs w:val="24"/>
        </w:rPr>
        <w:t xml:space="preserve"> generated important </w:t>
      </w:r>
      <w:r w:rsidR="00920C96" w:rsidRPr="00DB036D">
        <w:rPr>
          <w:noProof/>
          <w:sz w:val="24"/>
          <w:szCs w:val="24"/>
        </w:rPr>
        <w:t>c</w:t>
      </w:r>
      <w:r w:rsidR="003F4259" w:rsidRPr="00DB036D">
        <w:rPr>
          <w:rFonts w:eastAsia="Times New Roman" w:cs="Times New Roman"/>
          <w:noProof/>
          <w:color w:val="000000" w:themeColor="text1"/>
          <w:sz w:val="24"/>
          <w:szCs w:val="20"/>
        </w:rPr>
        <w:t>hallenges in the quantification of costs and benefits</w:t>
      </w:r>
      <w:r w:rsidR="00920C96" w:rsidRPr="00DB036D">
        <w:rPr>
          <w:rFonts w:eastAsia="Times New Roman" w:cs="Times New Roman"/>
          <w:noProof/>
          <w:color w:val="000000" w:themeColor="text1"/>
          <w:sz w:val="24"/>
          <w:szCs w:val="20"/>
        </w:rPr>
        <w:t>. Challenges encountered:</w:t>
      </w:r>
    </w:p>
    <w:p w14:paraId="56307EFC" w14:textId="77777777" w:rsidR="003F4259" w:rsidRPr="00475BA9" w:rsidRDefault="003F4259" w:rsidP="00DD3B24">
      <w:pPr>
        <w:pStyle w:val="Bullet1"/>
        <w:widowControl w:val="0"/>
        <w:numPr>
          <w:ilvl w:val="0"/>
          <w:numId w:val="20"/>
        </w:numPr>
        <w:ind w:left="714" w:hanging="357"/>
        <w:rPr>
          <w:rFonts w:ascii="Times New Roman" w:hAnsi="Times New Roman"/>
          <w:noProof/>
          <w:color w:val="000000" w:themeColor="text1"/>
          <w:sz w:val="24"/>
        </w:rPr>
      </w:pPr>
      <w:r w:rsidRPr="00475BA9">
        <w:rPr>
          <w:rFonts w:ascii="Times New Roman" w:hAnsi="Times New Roman"/>
          <w:bCs/>
          <w:noProof/>
          <w:color w:val="000000" w:themeColor="text1"/>
          <w:sz w:val="24"/>
        </w:rPr>
        <w:t xml:space="preserve">Insufficient information and data are currently available on likely future trends </w:t>
      </w:r>
      <w:r w:rsidRPr="00475BA9">
        <w:rPr>
          <w:rFonts w:ascii="Times New Roman" w:hAnsi="Times New Roman"/>
          <w:noProof/>
          <w:color w:val="000000" w:themeColor="text1"/>
          <w:sz w:val="24"/>
        </w:rPr>
        <w:t xml:space="preserve">for all product groups to translate these into a full quantitative analysis. </w:t>
      </w:r>
    </w:p>
    <w:p w14:paraId="1D8472D3" w14:textId="77777777" w:rsidR="003F4259" w:rsidRPr="00475BA9" w:rsidRDefault="003F4259" w:rsidP="00DD3B24">
      <w:pPr>
        <w:pStyle w:val="ListParagraph"/>
        <w:numPr>
          <w:ilvl w:val="0"/>
          <w:numId w:val="20"/>
        </w:numPr>
        <w:spacing w:after="120"/>
        <w:ind w:left="714" w:hanging="357"/>
        <w:jc w:val="both"/>
        <w:rPr>
          <w:noProof/>
          <w:color w:val="000000" w:themeColor="text1"/>
          <w:sz w:val="24"/>
        </w:rPr>
      </w:pPr>
      <w:r w:rsidRPr="00475BA9">
        <w:rPr>
          <w:noProof/>
          <w:color w:val="000000" w:themeColor="text1"/>
          <w:sz w:val="24"/>
        </w:rPr>
        <w:t xml:space="preserve">A general </w:t>
      </w:r>
      <w:r w:rsidRPr="00475BA9">
        <w:rPr>
          <w:bCs/>
          <w:noProof/>
          <w:color w:val="000000" w:themeColor="text1"/>
          <w:sz w:val="24"/>
        </w:rPr>
        <w:t>lack of granular information on the economic and social impacts of the PLD as it currently stands</w:t>
      </w:r>
      <w:r w:rsidRPr="00475BA9">
        <w:rPr>
          <w:noProof/>
          <w:color w:val="000000" w:themeColor="text1"/>
          <w:sz w:val="24"/>
        </w:rPr>
        <w:t>.</w:t>
      </w:r>
    </w:p>
    <w:p w14:paraId="7D35C3FE" w14:textId="77777777" w:rsidR="003F4259" w:rsidRPr="00475BA9" w:rsidRDefault="003F4259" w:rsidP="00DD3B24">
      <w:pPr>
        <w:pStyle w:val="ListParagraph"/>
        <w:numPr>
          <w:ilvl w:val="0"/>
          <w:numId w:val="20"/>
        </w:numPr>
        <w:spacing w:after="120"/>
        <w:ind w:left="714" w:hanging="357"/>
        <w:jc w:val="both"/>
        <w:rPr>
          <w:bCs/>
          <w:noProof/>
          <w:color w:val="000000" w:themeColor="text1"/>
          <w:sz w:val="24"/>
        </w:rPr>
      </w:pPr>
      <w:r w:rsidRPr="00475BA9">
        <w:rPr>
          <w:bCs/>
          <w:noProof/>
          <w:color w:val="000000" w:themeColor="text1"/>
          <w:sz w:val="24"/>
        </w:rPr>
        <w:t>Uncertainty as to whether technological innovation and digitalisation will increase the number of product liability legal cases</w:t>
      </w:r>
      <w:r>
        <w:rPr>
          <w:bCs/>
          <w:noProof/>
          <w:color w:val="000000" w:themeColor="text1"/>
          <w:sz w:val="24"/>
        </w:rPr>
        <w:t>.</w:t>
      </w:r>
    </w:p>
    <w:p w14:paraId="12ACE216" w14:textId="77777777" w:rsidR="003F4259" w:rsidRPr="00475BA9" w:rsidRDefault="003F4259" w:rsidP="00DD3B24">
      <w:pPr>
        <w:pStyle w:val="ListParagraph"/>
        <w:numPr>
          <w:ilvl w:val="0"/>
          <w:numId w:val="20"/>
        </w:numPr>
        <w:spacing w:after="120"/>
        <w:ind w:left="714" w:hanging="357"/>
        <w:jc w:val="both"/>
        <w:rPr>
          <w:noProof/>
          <w:color w:val="000000" w:themeColor="text1"/>
          <w:sz w:val="24"/>
        </w:rPr>
      </w:pPr>
      <w:r w:rsidRPr="00475BA9">
        <w:rPr>
          <w:noProof/>
          <w:color w:val="000000" w:themeColor="text1"/>
          <w:sz w:val="24"/>
        </w:rPr>
        <w:t xml:space="preserve">Data on the </w:t>
      </w:r>
      <w:r w:rsidRPr="00475BA9">
        <w:rPr>
          <w:bCs/>
          <w:noProof/>
          <w:color w:val="000000" w:themeColor="text1"/>
          <w:sz w:val="24"/>
        </w:rPr>
        <w:t>number of affected economic operators in the value chain</w:t>
      </w:r>
      <w:r w:rsidRPr="00475BA9">
        <w:rPr>
          <w:noProof/>
          <w:color w:val="000000" w:themeColor="text1"/>
          <w:sz w:val="24"/>
        </w:rPr>
        <w:t xml:space="preserve"> is difficult to generate</w:t>
      </w:r>
      <w:r>
        <w:rPr>
          <w:noProof/>
          <w:color w:val="000000" w:themeColor="text1"/>
          <w:sz w:val="24"/>
        </w:rPr>
        <w:t>.</w:t>
      </w:r>
    </w:p>
    <w:p w14:paraId="0D6A0E62" w14:textId="77777777" w:rsidR="003F4259" w:rsidRPr="00475BA9" w:rsidRDefault="003F4259" w:rsidP="00DD3B24">
      <w:pPr>
        <w:pStyle w:val="ListParagraph"/>
        <w:numPr>
          <w:ilvl w:val="0"/>
          <w:numId w:val="20"/>
        </w:numPr>
        <w:spacing w:after="240"/>
        <w:ind w:left="714" w:hanging="357"/>
        <w:jc w:val="both"/>
        <w:rPr>
          <w:bCs/>
          <w:noProof/>
          <w:color w:val="000000" w:themeColor="text1"/>
          <w:sz w:val="24"/>
        </w:rPr>
      </w:pPr>
      <w:r w:rsidRPr="00475BA9">
        <w:rPr>
          <w:bCs/>
          <w:noProof/>
          <w:color w:val="000000" w:themeColor="text1"/>
          <w:sz w:val="24"/>
        </w:rPr>
        <w:t xml:space="preserve">The costs of strict product liability </w:t>
      </w:r>
      <w:r>
        <w:rPr>
          <w:bCs/>
          <w:noProof/>
          <w:color w:val="000000" w:themeColor="text1"/>
          <w:sz w:val="24"/>
        </w:rPr>
        <w:t xml:space="preserve">insurance premium </w:t>
      </w:r>
      <w:r w:rsidRPr="00475BA9">
        <w:rPr>
          <w:bCs/>
          <w:noProof/>
          <w:color w:val="000000" w:themeColor="text1"/>
          <w:sz w:val="24"/>
        </w:rPr>
        <w:t>borne by economic operators can vary significantly.</w:t>
      </w:r>
    </w:p>
    <w:p w14:paraId="3E6D793D" w14:textId="6FD342D5" w:rsidR="00E37591" w:rsidRPr="00E37591" w:rsidRDefault="003F4259" w:rsidP="00DB036D">
      <w:pPr>
        <w:rPr>
          <w:noProof/>
          <w:szCs w:val="24"/>
          <w:lang w:val="en-IE"/>
        </w:rPr>
      </w:pPr>
      <w:r>
        <w:rPr>
          <w:rFonts w:eastAsia="Times New Roman" w:cs="Times New Roman"/>
          <w:noProof/>
          <w:color w:val="000000" w:themeColor="text1"/>
          <w:sz w:val="24"/>
          <w:szCs w:val="20"/>
        </w:rPr>
        <w:t>Thus,</w:t>
      </w:r>
      <w:r w:rsidRPr="00475BA9">
        <w:rPr>
          <w:rFonts w:eastAsia="Times New Roman" w:cs="Times New Roman"/>
          <w:noProof/>
          <w:color w:val="000000" w:themeColor="text1"/>
          <w:sz w:val="24"/>
          <w:szCs w:val="20"/>
        </w:rPr>
        <w:t xml:space="preserve"> </w:t>
      </w:r>
      <w:r>
        <w:rPr>
          <w:rFonts w:eastAsia="Times New Roman" w:cs="Times New Roman"/>
          <w:noProof/>
          <w:color w:val="000000" w:themeColor="text1"/>
          <w:sz w:val="24"/>
          <w:szCs w:val="20"/>
        </w:rPr>
        <w:t xml:space="preserve">it was not feasible to conduct </w:t>
      </w:r>
      <w:r w:rsidRPr="00475BA9">
        <w:rPr>
          <w:rFonts w:eastAsia="Times New Roman" w:cs="Times New Roman"/>
          <w:noProof/>
          <w:color w:val="000000" w:themeColor="text1"/>
          <w:sz w:val="24"/>
          <w:szCs w:val="20"/>
        </w:rPr>
        <w:t>a comprehensive quanti</w:t>
      </w:r>
      <w:r>
        <w:rPr>
          <w:rFonts w:eastAsia="Times New Roman" w:cs="Times New Roman"/>
          <w:noProof/>
          <w:color w:val="000000" w:themeColor="text1"/>
          <w:sz w:val="24"/>
          <w:szCs w:val="20"/>
        </w:rPr>
        <w:t xml:space="preserve">fication of costs and benefits for </w:t>
      </w:r>
      <w:r w:rsidRPr="00475BA9">
        <w:rPr>
          <w:rFonts w:eastAsia="Times New Roman" w:cs="Times New Roman"/>
          <w:noProof/>
          <w:color w:val="000000" w:themeColor="text1"/>
          <w:sz w:val="24"/>
          <w:szCs w:val="20"/>
        </w:rPr>
        <w:t>both the baseline scenario and different policy options</w:t>
      </w:r>
      <w:r>
        <w:rPr>
          <w:rFonts w:eastAsia="Times New Roman" w:cs="Times New Roman"/>
          <w:noProof/>
          <w:color w:val="000000" w:themeColor="text1"/>
          <w:sz w:val="24"/>
          <w:szCs w:val="20"/>
        </w:rPr>
        <w:t>.</w:t>
      </w:r>
    </w:p>
    <w:p w14:paraId="6F9BDE54" w14:textId="77777777" w:rsidR="00E37591" w:rsidRPr="005D34B3" w:rsidRDefault="00E37591" w:rsidP="00E37591">
      <w:pPr>
        <w:pStyle w:val="Text1"/>
        <w:ind w:left="0"/>
        <w:rPr>
          <w:noProof/>
          <w:szCs w:val="24"/>
        </w:rPr>
      </w:pPr>
    </w:p>
    <w:p w14:paraId="4C1277BF" w14:textId="77777777" w:rsidR="006B087E" w:rsidRDefault="006B087E" w:rsidP="006B087E">
      <w:pPr>
        <w:rPr>
          <w:rFonts w:eastAsia="Times New Roman" w:cs="Times New Roman"/>
          <w:noProof/>
          <w:sz w:val="24"/>
          <w:szCs w:val="20"/>
        </w:rPr>
      </w:pPr>
      <w:r>
        <w:rPr>
          <w:noProof/>
        </w:rPr>
        <w:br w:type="page"/>
      </w:r>
    </w:p>
    <w:p w14:paraId="7B88AB88" w14:textId="77777777" w:rsidR="006B087E" w:rsidRDefault="006B087E" w:rsidP="006B087E">
      <w:pPr>
        <w:pStyle w:val="AnnexTitle"/>
        <w:rPr>
          <w:noProof/>
        </w:rPr>
      </w:pPr>
      <w:bookmarkStart w:id="777" w:name="_Toc93401461"/>
      <w:bookmarkStart w:id="778" w:name="_Toc94005558"/>
      <w:bookmarkStart w:id="779" w:name="_Toc95379895"/>
      <w:bookmarkStart w:id="780" w:name="_Toc95391384"/>
      <w:bookmarkStart w:id="781" w:name="_Toc95396453"/>
      <w:bookmarkStart w:id="782" w:name="_Toc95421551"/>
      <w:bookmarkStart w:id="783" w:name="_Toc95481999"/>
      <w:bookmarkStart w:id="784" w:name="_Toc97149247"/>
      <w:bookmarkStart w:id="785" w:name="_Toc97191293"/>
      <w:bookmarkStart w:id="786" w:name="_Toc107430103"/>
      <w:bookmarkStart w:id="787" w:name="_Toc96337791"/>
      <w:bookmarkStart w:id="788" w:name="_Toc96446271"/>
      <w:bookmarkStart w:id="789" w:name="_Toc96448043"/>
      <w:bookmarkStart w:id="790" w:name="_Toc96593992"/>
      <w:bookmarkStart w:id="791" w:name="_Toc96597283"/>
      <w:bookmarkStart w:id="792" w:name="_Toc96609218"/>
      <w:r>
        <w:rPr>
          <w:noProof/>
        </w:rPr>
        <w:t>Annex 2: Stakeholder consultation</w:t>
      </w:r>
      <w:bookmarkEnd w:id="777"/>
      <w:bookmarkEnd w:id="778"/>
      <w:bookmarkEnd w:id="779"/>
      <w:bookmarkEnd w:id="780"/>
      <w:bookmarkEnd w:id="781"/>
      <w:bookmarkEnd w:id="782"/>
      <w:bookmarkEnd w:id="783"/>
      <w:bookmarkEnd w:id="784"/>
      <w:bookmarkEnd w:id="785"/>
      <w:bookmarkEnd w:id="786"/>
      <w:r>
        <w:rPr>
          <w:noProof/>
        </w:rPr>
        <w:t xml:space="preserve"> </w:t>
      </w:r>
      <w:bookmarkEnd w:id="787"/>
      <w:bookmarkEnd w:id="788"/>
      <w:bookmarkEnd w:id="789"/>
      <w:bookmarkEnd w:id="790"/>
      <w:bookmarkEnd w:id="791"/>
      <w:bookmarkEnd w:id="792"/>
    </w:p>
    <w:p w14:paraId="4D68396D" w14:textId="39FF732B" w:rsidR="005A3A1C" w:rsidRPr="009E76CC" w:rsidRDefault="002E7937" w:rsidP="002E7937">
      <w:pPr>
        <w:pStyle w:val="Heading1"/>
        <w:rPr>
          <w:noProof/>
        </w:rPr>
      </w:pPr>
      <w:bookmarkStart w:id="793" w:name="_Toc95482000"/>
      <w:bookmarkStart w:id="794" w:name="_Toc96337792"/>
      <w:bookmarkStart w:id="795" w:name="_Toc96446272"/>
      <w:bookmarkStart w:id="796" w:name="_Toc96448044"/>
      <w:bookmarkStart w:id="797" w:name="_Toc96593993"/>
      <w:bookmarkStart w:id="798" w:name="_Toc96597284"/>
      <w:bookmarkStart w:id="799" w:name="_Toc96609219"/>
      <w:bookmarkStart w:id="800" w:name="_Toc97149248"/>
      <w:bookmarkStart w:id="801" w:name="_Toc97191294"/>
      <w:bookmarkStart w:id="802" w:name="_Toc107430104"/>
      <w:r w:rsidRPr="002E7937">
        <w:t>1.</w:t>
      </w:r>
      <w:r w:rsidRPr="002E7937">
        <w:tab/>
      </w:r>
      <w:r w:rsidR="005A3A1C" w:rsidRPr="009E76CC">
        <w:rPr>
          <w:noProof/>
        </w:rPr>
        <w:t>Consultation strategy</w:t>
      </w:r>
      <w:bookmarkEnd w:id="793"/>
      <w:bookmarkEnd w:id="794"/>
      <w:bookmarkEnd w:id="795"/>
      <w:bookmarkEnd w:id="796"/>
      <w:bookmarkEnd w:id="797"/>
      <w:bookmarkEnd w:id="798"/>
      <w:bookmarkEnd w:id="799"/>
      <w:bookmarkEnd w:id="800"/>
      <w:bookmarkEnd w:id="801"/>
      <w:bookmarkEnd w:id="802"/>
      <w:r w:rsidR="005A3A1C" w:rsidRPr="009E76CC">
        <w:rPr>
          <w:noProof/>
        </w:rPr>
        <w:t xml:space="preserve"> </w:t>
      </w:r>
    </w:p>
    <w:p w14:paraId="326FFA2B" w14:textId="68ED21FF" w:rsidR="005A3A1C" w:rsidRPr="009E76CC" w:rsidRDefault="005A3A1C" w:rsidP="009E76CC">
      <w:pPr>
        <w:spacing w:after="240" w:line="240" w:lineRule="auto"/>
        <w:jc w:val="both"/>
        <w:rPr>
          <w:rFonts w:cs="Times New Roman"/>
          <w:noProof/>
          <w:sz w:val="24"/>
          <w:szCs w:val="24"/>
        </w:rPr>
      </w:pPr>
      <w:r w:rsidRPr="009E76CC">
        <w:rPr>
          <w:rFonts w:cs="Times New Roman"/>
          <w:noProof/>
          <w:sz w:val="24"/>
          <w:szCs w:val="24"/>
        </w:rPr>
        <w:t>The objectives of the consultation were to collect</w:t>
      </w:r>
      <w:r w:rsidRPr="009E76CC">
        <w:rPr>
          <w:noProof/>
          <w:sz w:val="24"/>
          <w:szCs w:val="24"/>
        </w:rPr>
        <w:t xml:space="preserve"> </w:t>
      </w:r>
      <w:r w:rsidRPr="009E76CC">
        <w:rPr>
          <w:rFonts w:cs="Times New Roman"/>
          <w:noProof/>
          <w:sz w:val="24"/>
          <w:szCs w:val="24"/>
        </w:rPr>
        <w:t xml:space="preserve">evidence and views from a broad range of stakeholders, on the identified problems and the potential solutions concerning the PLD. The activities included a 12-week dedicated public consultation concluded in January 2022, two Stakeholder Workshops held on 23 June and 13 December 2021, a workshop with Member States held in 1 February 2022 and feedback collected in response of the Commission’s inception impact assessment. Also, as part of the impact assessment study, an external contractor organised interviews with 80 relevant stakeholders and an online targeted consultation between July and November 2021. Consulted stakeholders included EU and national consumer associations and civil society organisations; industry associations; economic operators; insurance associations; legal firms; academic experts; citizens; and national authorities. The only stakeholder category it was not possible to reach was fulfilment service providers. </w:t>
      </w:r>
      <w:r w:rsidR="00175085">
        <w:rPr>
          <w:rFonts w:cs="Times New Roman"/>
          <w:noProof/>
          <w:sz w:val="24"/>
          <w:szCs w:val="24"/>
        </w:rPr>
        <w:t>Feedback from SMEs was also fairly limited, despite disseminating the targeted and public consultations to the EU SME associations network and through the Enterprise Europe Network</w:t>
      </w:r>
      <w:r w:rsidR="00175085">
        <w:rPr>
          <w:rStyle w:val="FootnoteReference"/>
          <w:noProof/>
          <w:sz w:val="24"/>
          <w:szCs w:val="24"/>
        </w:rPr>
        <w:footnoteReference w:id="255"/>
      </w:r>
      <w:r w:rsidR="0095194C">
        <w:rPr>
          <w:rFonts w:cs="Times New Roman"/>
          <w:noProof/>
          <w:sz w:val="24"/>
          <w:szCs w:val="24"/>
        </w:rPr>
        <w:t>, but the feedback did not diverge particularly from the views of business respondents overall</w:t>
      </w:r>
      <w:r w:rsidR="00175085">
        <w:rPr>
          <w:rFonts w:cs="Times New Roman"/>
          <w:noProof/>
          <w:sz w:val="24"/>
          <w:szCs w:val="24"/>
        </w:rPr>
        <w:t>.</w:t>
      </w:r>
    </w:p>
    <w:p w14:paraId="0CDD08DC" w14:textId="4225AA34" w:rsidR="005A3A1C" w:rsidRPr="009E76CC" w:rsidRDefault="002E7937" w:rsidP="002E7937">
      <w:pPr>
        <w:pStyle w:val="Heading1"/>
        <w:rPr>
          <w:noProof/>
        </w:rPr>
      </w:pPr>
      <w:bookmarkStart w:id="803" w:name="_Toc95482001"/>
      <w:bookmarkStart w:id="804" w:name="_Toc96337793"/>
      <w:bookmarkStart w:id="805" w:name="_Toc96446273"/>
      <w:bookmarkStart w:id="806" w:name="_Toc96448045"/>
      <w:bookmarkStart w:id="807" w:name="_Toc96593994"/>
      <w:bookmarkStart w:id="808" w:name="_Toc96597285"/>
      <w:bookmarkStart w:id="809" w:name="_Toc96609220"/>
      <w:bookmarkStart w:id="810" w:name="_Toc97149249"/>
      <w:bookmarkStart w:id="811" w:name="_Toc97191295"/>
      <w:bookmarkStart w:id="812" w:name="_Toc107430105"/>
      <w:r w:rsidRPr="002E7937">
        <w:t>2.</w:t>
      </w:r>
      <w:r w:rsidRPr="002E7937">
        <w:tab/>
      </w:r>
      <w:r w:rsidR="005A3A1C" w:rsidRPr="00F962E5">
        <w:rPr>
          <w:noProof/>
        </w:rPr>
        <w:t>Inception Impact Assessment (IIA)</w:t>
      </w:r>
      <w:bookmarkEnd w:id="803"/>
      <w:bookmarkEnd w:id="804"/>
      <w:bookmarkEnd w:id="805"/>
      <w:bookmarkEnd w:id="806"/>
      <w:bookmarkEnd w:id="807"/>
      <w:bookmarkEnd w:id="808"/>
      <w:bookmarkEnd w:id="809"/>
      <w:bookmarkEnd w:id="810"/>
      <w:bookmarkEnd w:id="811"/>
      <w:bookmarkEnd w:id="812"/>
    </w:p>
    <w:p w14:paraId="16A98D1B" w14:textId="21388D9A" w:rsidR="005A3A1C" w:rsidRPr="009E76CC" w:rsidRDefault="005A3A1C" w:rsidP="009E76CC">
      <w:pPr>
        <w:spacing w:after="240" w:line="240" w:lineRule="auto"/>
        <w:jc w:val="both"/>
        <w:rPr>
          <w:rFonts w:cs="Times New Roman"/>
          <w:noProof/>
          <w:sz w:val="24"/>
          <w:szCs w:val="24"/>
        </w:rPr>
      </w:pPr>
      <w:r w:rsidRPr="009E76CC">
        <w:rPr>
          <w:rFonts w:cs="Times New Roman"/>
          <w:noProof/>
          <w:sz w:val="24"/>
          <w:szCs w:val="24"/>
        </w:rPr>
        <w:t xml:space="preserve">The </w:t>
      </w:r>
      <w:hyperlink r:id="rId31" w:history="1">
        <w:r w:rsidRPr="009E76CC">
          <w:rPr>
            <w:rStyle w:val="Hyperlink"/>
            <w:noProof/>
            <w:sz w:val="24"/>
            <w:szCs w:val="24"/>
          </w:rPr>
          <w:t>Inception Impact Assessment</w:t>
        </w:r>
      </w:hyperlink>
      <w:r w:rsidRPr="009E76CC">
        <w:rPr>
          <w:rFonts w:cs="Times New Roman"/>
          <w:noProof/>
          <w:sz w:val="24"/>
          <w:szCs w:val="24"/>
        </w:rPr>
        <w:t xml:space="preserve"> for this initiative was launched in 2021, with a feedback period running from 30 June to 28 July 2021. There were a total of 34 responses, of which 11 from business associations, 11 from company/business organisations, 6 from non-governmental organisations, 2 from EU citizens, 2 from consumer organisations, and 1 each from academic/research institution and public authority. Responses from industry revealed different interpretations of the scope of the PLD, particularly in respect of the coverage of software within the definition of product. It was widely acknowledged that some such notions required careful clarification, but industry respondents were skeptical of any fundamental revision, urging limited revision or guidelines. Industries also stressed that refurbishers should be considered as producers given the fact that they alter existing products making them de facto new products. In addition, there was almost unanimous opposition among industry groups to harmonising the entitlement to compensation for non-material damages under the PLD. </w:t>
      </w:r>
    </w:p>
    <w:p w14:paraId="01970C98" w14:textId="656A82B8" w:rsidR="005A3A1C" w:rsidRPr="009E76CC" w:rsidRDefault="002E7937" w:rsidP="002E7937">
      <w:pPr>
        <w:pStyle w:val="Heading1"/>
        <w:rPr>
          <w:noProof/>
        </w:rPr>
      </w:pPr>
      <w:bookmarkStart w:id="813" w:name="_Toc95482002"/>
      <w:bookmarkStart w:id="814" w:name="_Toc96337794"/>
      <w:bookmarkStart w:id="815" w:name="_Toc96446274"/>
      <w:bookmarkStart w:id="816" w:name="_Toc96448046"/>
      <w:bookmarkStart w:id="817" w:name="_Toc96593995"/>
      <w:bookmarkStart w:id="818" w:name="_Toc96597286"/>
      <w:bookmarkStart w:id="819" w:name="_Toc96609221"/>
      <w:bookmarkStart w:id="820" w:name="_Toc97149250"/>
      <w:bookmarkStart w:id="821" w:name="_Toc97191296"/>
      <w:bookmarkStart w:id="822" w:name="_Toc107430106"/>
      <w:r w:rsidRPr="002E7937">
        <w:t>3.</w:t>
      </w:r>
      <w:r w:rsidRPr="002E7937">
        <w:tab/>
      </w:r>
      <w:r w:rsidR="008B3A99">
        <w:rPr>
          <w:noProof/>
        </w:rPr>
        <w:t xml:space="preserve">Stakeholder </w:t>
      </w:r>
      <w:r w:rsidR="005A3A1C" w:rsidRPr="00AB79AB">
        <w:rPr>
          <w:noProof/>
        </w:rPr>
        <w:t>Workshops</w:t>
      </w:r>
      <w:bookmarkEnd w:id="813"/>
      <w:bookmarkEnd w:id="814"/>
      <w:bookmarkEnd w:id="815"/>
      <w:bookmarkEnd w:id="816"/>
      <w:bookmarkEnd w:id="817"/>
      <w:bookmarkEnd w:id="818"/>
      <w:bookmarkEnd w:id="819"/>
      <w:bookmarkEnd w:id="820"/>
      <w:bookmarkEnd w:id="821"/>
      <w:bookmarkEnd w:id="822"/>
    </w:p>
    <w:p w14:paraId="1ACAD726" w14:textId="0A55B159" w:rsidR="005A3A1C" w:rsidRPr="009E76CC" w:rsidRDefault="008B3A99" w:rsidP="00DD3B24">
      <w:pPr>
        <w:pStyle w:val="ListParagraph"/>
        <w:numPr>
          <w:ilvl w:val="0"/>
          <w:numId w:val="23"/>
        </w:numPr>
        <w:spacing w:after="240"/>
        <w:ind w:left="284" w:hanging="284"/>
        <w:jc w:val="both"/>
        <w:rPr>
          <w:noProof/>
          <w:sz w:val="24"/>
        </w:rPr>
      </w:pPr>
      <w:r>
        <w:rPr>
          <w:noProof/>
          <w:sz w:val="24"/>
        </w:rPr>
        <w:t xml:space="preserve">The Stakeholder </w:t>
      </w:r>
      <w:r w:rsidR="005A3A1C" w:rsidRPr="009E76CC">
        <w:rPr>
          <w:noProof/>
          <w:sz w:val="24"/>
        </w:rPr>
        <w:t xml:space="preserve">Workshop </w:t>
      </w:r>
      <w:r w:rsidR="009E76CC">
        <w:rPr>
          <w:noProof/>
          <w:sz w:val="24"/>
        </w:rPr>
        <w:t>on</w:t>
      </w:r>
      <w:r w:rsidR="005A3A1C" w:rsidRPr="009E76CC">
        <w:rPr>
          <w:noProof/>
          <w:sz w:val="24"/>
        </w:rPr>
        <w:t xml:space="preserve"> 23 June 2021 brought together approximately 60 representatives of EU-level consumer, patient, business and industry organisations, legal practitioners, legal academics and Member State authorities.</w:t>
      </w:r>
      <w:r w:rsidR="005A3A1C" w:rsidRPr="009E76CC" w:rsidDel="008B3A99">
        <w:rPr>
          <w:noProof/>
          <w:sz w:val="24"/>
        </w:rPr>
        <w:t xml:space="preserve"> </w:t>
      </w:r>
      <w:r w:rsidR="005A3A1C" w:rsidRPr="009E76CC">
        <w:rPr>
          <w:noProof/>
          <w:sz w:val="24"/>
        </w:rPr>
        <w:t xml:space="preserve">The objective of the workshop was to present the state of play on the impact assessment work and to discuss ways to adapt the </w:t>
      </w:r>
      <w:r>
        <w:rPr>
          <w:noProof/>
          <w:sz w:val="24"/>
        </w:rPr>
        <w:t>PLD</w:t>
      </w:r>
      <w:r w:rsidR="005A3A1C" w:rsidRPr="009E76CC">
        <w:rPr>
          <w:noProof/>
          <w:sz w:val="24"/>
        </w:rPr>
        <w:t xml:space="preserve"> to the digital age and circular economy and to address obstacles to obtaining compensation under the </w:t>
      </w:r>
      <w:r>
        <w:rPr>
          <w:noProof/>
          <w:sz w:val="24"/>
        </w:rPr>
        <w:t>PLD</w:t>
      </w:r>
      <w:r w:rsidR="005A3A1C" w:rsidRPr="009E76CC">
        <w:rPr>
          <w:noProof/>
          <w:sz w:val="24"/>
        </w:rPr>
        <w:t xml:space="preserve">. </w:t>
      </w:r>
      <w:r>
        <w:rPr>
          <w:noProof/>
          <w:sz w:val="24"/>
        </w:rPr>
        <w:t>C</w:t>
      </w:r>
      <w:r w:rsidR="005A3A1C" w:rsidRPr="009E76CC">
        <w:rPr>
          <w:noProof/>
          <w:sz w:val="24"/>
        </w:rPr>
        <w:t xml:space="preserve">onsumer and patient groups considered the identified problems to be significant and a revision of the </w:t>
      </w:r>
      <w:r>
        <w:rPr>
          <w:noProof/>
          <w:sz w:val="24"/>
        </w:rPr>
        <w:t>PLD</w:t>
      </w:r>
      <w:r w:rsidR="005A3A1C" w:rsidRPr="009E76CC">
        <w:rPr>
          <w:noProof/>
          <w:sz w:val="24"/>
        </w:rPr>
        <w:t xml:space="preserve"> needed. Specific concerns were, for instance</w:t>
      </w:r>
      <w:r>
        <w:rPr>
          <w:noProof/>
          <w:sz w:val="24"/>
        </w:rPr>
        <w:t>,</w:t>
      </w:r>
      <w:r w:rsidR="005A3A1C" w:rsidRPr="009E76CC">
        <w:rPr>
          <w:noProof/>
          <w:sz w:val="24"/>
        </w:rPr>
        <w:t xml:space="preserve"> raised on the 10-year time limit, considered as too short for </w:t>
      </w:r>
      <w:r>
        <w:rPr>
          <w:noProof/>
          <w:sz w:val="24"/>
        </w:rPr>
        <w:t xml:space="preserve">some </w:t>
      </w:r>
      <w:r w:rsidR="005A3A1C" w:rsidRPr="009E76CC">
        <w:rPr>
          <w:noProof/>
          <w:sz w:val="24"/>
        </w:rPr>
        <w:t>pharmaceutical</w:t>
      </w:r>
      <w:r>
        <w:rPr>
          <w:noProof/>
          <w:sz w:val="24"/>
        </w:rPr>
        <w:t xml:space="preserve"> harm</w:t>
      </w:r>
      <w:r w:rsidR="005A3A1C" w:rsidRPr="009E76CC">
        <w:rPr>
          <w:noProof/>
          <w:sz w:val="24"/>
        </w:rPr>
        <w:t xml:space="preserve">, since adverse effects might manifest themselves many years after treatment. Conversely, business stakeholders </w:t>
      </w:r>
      <w:r w:rsidR="00ED0DAB">
        <w:rPr>
          <w:noProof/>
          <w:sz w:val="24"/>
        </w:rPr>
        <w:t xml:space="preserve">that took the floor </w:t>
      </w:r>
      <w:r w:rsidR="005A3A1C" w:rsidRPr="009E76CC">
        <w:rPr>
          <w:noProof/>
          <w:sz w:val="24"/>
        </w:rPr>
        <w:t xml:space="preserve">tended to be more skeptical of the </w:t>
      </w:r>
      <w:r>
        <w:rPr>
          <w:noProof/>
          <w:sz w:val="24"/>
        </w:rPr>
        <w:t xml:space="preserve">need for </w:t>
      </w:r>
      <w:r w:rsidR="00F007EB">
        <w:rPr>
          <w:noProof/>
          <w:sz w:val="24"/>
        </w:rPr>
        <w:t xml:space="preserve">legislative </w:t>
      </w:r>
      <w:r>
        <w:rPr>
          <w:noProof/>
          <w:sz w:val="24"/>
        </w:rPr>
        <w:t>change</w:t>
      </w:r>
      <w:r w:rsidR="00F007EB">
        <w:rPr>
          <w:noProof/>
          <w:sz w:val="24"/>
        </w:rPr>
        <w:t>, and called for legal uncertainty to be addressed through guidelines</w:t>
      </w:r>
      <w:r w:rsidR="005A3A1C" w:rsidRPr="009E76CC">
        <w:rPr>
          <w:noProof/>
          <w:sz w:val="24"/>
        </w:rPr>
        <w:t>. Experts’ views, for instance, differed on whether the problem could be addressed with a flexible horizontal solution or whether some products should be subject to differentiated rules (e.g. pharmaceuticals, AI or IoT).</w:t>
      </w:r>
    </w:p>
    <w:p w14:paraId="36179A8E" w14:textId="37802EBD" w:rsidR="005A3A1C" w:rsidRPr="009E76CC" w:rsidRDefault="008B3A99" w:rsidP="00DD3B24">
      <w:pPr>
        <w:pStyle w:val="ListParagraph"/>
        <w:numPr>
          <w:ilvl w:val="0"/>
          <w:numId w:val="23"/>
        </w:numPr>
        <w:spacing w:after="240"/>
        <w:ind w:left="284" w:hanging="284"/>
        <w:jc w:val="both"/>
        <w:rPr>
          <w:noProof/>
          <w:sz w:val="24"/>
        </w:rPr>
      </w:pPr>
      <w:r>
        <w:rPr>
          <w:noProof/>
          <w:sz w:val="24"/>
        </w:rPr>
        <w:t xml:space="preserve">The Stakeholder </w:t>
      </w:r>
      <w:r w:rsidR="005A3A1C" w:rsidRPr="009E76CC">
        <w:rPr>
          <w:noProof/>
          <w:sz w:val="24"/>
        </w:rPr>
        <w:t>Workshop on 13 December 2021 brought together most</w:t>
      </w:r>
      <w:r>
        <w:rPr>
          <w:noProof/>
          <w:sz w:val="24"/>
        </w:rPr>
        <w:t>ly</w:t>
      </w:r>
      <w:r w:rsidR="005A3A1C" w:rsidRPr="009E76CC">
        <w:rPr>
          <w:noProof/>
          <w:sz w:val="24"/>
        </w:rPr>
        <w:t xml:space="preserve"> the same stakeholders. The purpose of the</w:t>
      </w:r>
      <w:r w:rsidR="005A3A1C" w:rsidRPr="009E76CC" w:rsidDel="008B3A99">
        <w:rPr>
          <w:noProof/>
          <w:sz w:val="24"/>
        </w:rPr>
        <w:t xml:space="preserve"> </w:t>
      </w:r>
      <w:r w:rsidR="005A3A1C" w:rsidRPr="009E76CC">
        <w:rPr>
          <w:noProof/>
          <w:sz w:val="24"/>
        </w:rPr>
        <w:t xml:space="preserve">workshop was to inform stakeholders of the impact assessment work and get feedback on the policy options under consideration. In December, similar reflections to the previous June's session were highlighted. Consumer and patient representatives further stressed that harmonising the use of presumptions would not be adequate to assist consumers and that a reversal of the burden of proof was required, particularly for complex products. </w:t>
      </w:r>
      <w:r>
        <w:rPr>
          <w:noProof/>
          <w:sz w:val="24"/>
        </w:rPr>
        <w:t>One French association representing victims of pharmaceutical harm</w:t>
      </w:r>
      <w:r w:rsidR="005A3A1C" w:rsidRPr="009E76CC">
        <w:rPr>
          <w:noProof/>
          <w:sz w:val="24"/>
        </w:rPr>
        <w:t xml:space="preserve"> called for the requirement to prove a defect to be dropped in cases of pharmaceutical harm and noted that presumptions would not help reduce the cost of technical expertise. </w:t>
      </w:r>
    </w:p>
    <w:p w14:paraId="51DCB731" w14:textId="18F2D7DD" w:rsidR="005A3A1C" w:rsidRPr="009E76CC" w:rsidRDefault="008B3A99" w:rsidP="00DD3B24">
      <w:pPr>
        <w:pStyle w:val="ListParagraph"/>
        <w:numPr>
          <w:ilvl w:val="0"/>
          <w:numId w:val="23"/>
        </w:numPr>
        <w:spacing w:after="240"/>
        <w:ind w:left="284" w:hanging="284"/>
        <w:jc w:val="both"/>
        <w:rPr>
          <w:noProof/>
          <w:sz w:val="24"/>
        </w:rPr>
      </w:pPr>
      <w:r>
        <w:rPr>
          <w:noProof/>
          <w:sz w:val="24"/>
        </w:rPr>
        <w:t xml:space="preserve">The Member State </w:t>
      </w:r>
      <w:r w:rsidR="005A3A1C" w:rsidRPr="009E76CC">
        <w:rPr>
          <w:noProof/>
          <w:sz w:val="24"/>
        </w:rPr>
        <w:t xml:space="preserve">Workshop on 1 February 2022 </w:t>
      </w:r>
      <w:r w:rsidR="00357F3A">
        <w:rPr>
          <w:noProof/>
          <w:sz w:val="24"/>
        </w:rPr>
        <w:t>brought together</w:t>
      </w:r>
      <w:r w:rsidR="005A3A1C" w:rsidRPr="009E76CC">
        <w:rPr>
          <w:noProof/>
          <w:sz w:val="24"/>
        </w:rPr>
        <w:t xml:space="preserve"> Member State</w:t>
      </w:r>
      <w:r w:rsidR="00357F3A">
        <w:rPr>
          <w:noProof/>
          <w:sz w:val="24"/>
        </w:rPr>
        <w:t xml:space="preserve"> ministries responsible for</w:t>
      </w:r>
      <w:r w:rsidR="005A3A1C" w:rsidRPr="009E76CC">
        <w:rPr>
          <w:noProof/>
          <w:sz w:val="24"/>
        </w:rPr>
        <w:t xml:space="preserve"> the </w:t>
      </w:r>
      <w:r>
        <w:rPr>
          <w:noProof/>
          <w:sz w:val="24"/>
        </w:rPr>
        <w:t>PLD</w:t>
      </w:r>
      <w:r w:rsidR="005A3A1C" w:rsidRPr="009E76CC">
        <w:rPr>
          <w:noProof/>
          <w:sz w:val="24"/>
        </w:rPr>
        <w:t>.</w:t>
      </w:r>
      <w:r w:rsidR="00422AD2">
        <w:rPr>
          <w:noProof/>
          <w:sz w:val="24"/>
        </w:rPr>
        <w:t xml:space="preserve"> </w:t>
      </w:r>
      <w:r w:rsidR="009F4D42">
        <w:rPr>
          <w:noProof/>
          <w:sz w:val="24"/>
        </w:rPr>
        <w:t>Only</w:t>
      </w:r>
      <w:r w:rsidR="005A3A1C" w:rsidRPr="009E76CC">
        <w:rPr>
          <w:noProof/>
          <w:sz w:val="24"/>
        </w:rPr>
        <w:t xml:space="preserve"> </w:t>
      </w:r>
      <w:r w:rsidR="009F4D42">
        <w:rPr>
          <w:noProof/>
          <w:sz w:val="24"/>
        </w:rPr>
        <w:t>s</w:t>
      </w:r>
      <w:r w:rsidR="00357F3A">
        <w:rPr>
          <w:noProof/>
          <w:sz w:val="24"/>
        </w:rPr>
        <w:t xml:space="preserve">even Member States expressed views. All were in favour of bringing software within the scope of the PLD, although views were not precise on what types of software to include. There was general agreement that fundamental rights risks should not be addressed in the PLD, that those who substantially modify products should be treated as producers and that any changes to make authorised representatives or fulfilment service providers liable for defect products should take into account the </w:t>
      </w:r>
      <w:r w:rsidR="00D345CB">
        <w:rPr>
          <w:noProof/>
          <w:sz w:val="24"/>
        </w:rPr>
        <w:t xml:space="preserve">Market Surveillance Regulation and the </w:t>
      </w:r>
      <w:r w:rsidR="00357F3A">
        <w:rPr>
          <w:noProof/>
          <w:sz w:val="24"/>
        </w:rPr>
        <w:t xml:space="preserve">ongoing </w:t>
      </w:r>
      <w:r w:rsidR="00D345CB">
        <w:rPr>
          <w:noProof/>
          <w:sz w:val="24"/>
        </w:rPr>
        <w:t>negotiations on</w:t>
      </w:r>
      <w:r w:rsidR="00357F3A">
        <w:rPr>
          <w:noProof/>
          <w:sz w:val="24"/>
        </w:rPr>
        <w:t xml:space="preserve"> the General Product Safety Regulation. Views were mixed on the options to reduce obstacles to getting compensation: two </w:t>
      </w:r>
      <w:r w:rsidR="00422AD2">
        <w:rPr>
          <w:noProof/>
          <w:sz w:val="24"/>
        </w:rPr>
        <w:t xml:space="preserve">large </w:t>
      </w:r>
      <w:r w:rsidR="00357F3A">
        <w:rPr>
          <w:noProof/>
          <w:sz w:val="24"/>
        </w:rPr>
        <w:t xml:space="preserve">Member States </w:t>
      </w:r>
      <w:r w:rsidR="00517382">
        <w:rPr>
          <w:noProof/>
          <w:sz w:val="24"/>
        </w:rPr>
        <w:t xml:space="preserve">urged for </w:t>
      </w:r>
      <w:r w:rsidR="00357F3A">
        <w:rPr>
          <w:noProof/>
          <w:sz w:val="24"/>
        </w:rPr>
        <w:t>cautio</w:t>
      </w:r>
      <w:r w:rsidR="00517382">
        <w:rPr>
          <w:noProof/>
          <w:sz w:val="24"/>
        </w:rPr>
        <w:t>n</w:t>
      </w:r>
      <w:r w:rsidR="00357F3A">
        <w:rPr>
          <w:noProof/>
          <w:sz w:val="24"/>
        </w:rPr>
        <w:t xml:space="preserve"> </w:t>
      </w:r>
      <w:r w:rsidR="00517382">
        <w:rPr>
          <w:noProof/>
          <w:sz w:val="24"/>
        </w:rPr>
        <w:t xml:space="preserve">when considering </w:t>
      </w:r>
      <w:r w:rsidR="00357F3A">
        <w:rPr>
          <w:noProof/>
          <w:sz w:val="24"/>
        </w:rPr>
        <w:t>the burden of proof, where</w:t>
      </w:r>
      <w:r w:rsidR="00422AD2">
        <w:rPr>
          <w:noProof/>
          <w:sz w:val="24"/>
        </w:rPr>
        <w:t>as</w:t>
      </w:r>
      <w:r w:rsidR="00357F3A">
        <w:rPr>
          <w:noProof/>
          <w:sz w:val="24"/>
        </w:rPr>
        <w:t xml:space="preserve"> two </w:t>
      </w:r>
      <w:r w:rsidR="00422AD2">
        <w:rPr>
          <w:noProof/>
          <w:sz w:val="24"/>
        </w:rPr>
        <w:t>small</w:t>
      </w:r>
      <w:r w:rsidR="00357F3A">
        <w:rPr>
          <w:noProof/>
          <w:sz w:val="24"/>
        </w:rPr>
        <w:t xml:space="preserve"> Member States called for a reversal of the burden of proof in some cases. </w:t>
      </w:r>
      <w:r w:rsidR="00196729">
        <w:rPr>
          <w:noProof/>
          <w:sz w:val="24"/>
        </w:rPr>
        <w:t xml:space="preserve">More Member States favoured removing the EUR 500 threshold and extending the 10-year liability period than keeping them as they are. </w:t>
      </w:r>
      <w:r w:rsidR="005A3A1C" w:rsidRPr="009E76CC">
        <w:rPr>
          <w:noProof/>
          <w:sz w:val="24"/>
        </w:rPr>
        <w:t>The Commission also presented the initial results of the public consultation launched between October 2021 and January 2022.</w:t>
      </w:r>
      <w:r w:rsidR="00C522D7">
        <w:rPr>
          <w:noProof/>
          <w:sz w:val="24"/>
        </w:rPr>
        <w:t xml:space="preserve"> </w:t>
      </w:r>
    </w:p>
    <w:p w14:paraId="1B6CBC01" w14:textId="54BCADF5" w:rsidR="005A3A1C" w:rsidRPr="009E76CC" w:rsidRDefault="002E7937" w:rsidP="002E7937">
      <w:pPr>
        <w:pStyle w:val="Heading1"/>
        <w:rPr>
          <w:noProof/>
        </w:rPr>
      </w:pPr>
      <w:bookmarkStart w:id="823" w:name="_Toc95482003"/>
      <w:bookmarkStart w:id="824" w:name="_Toc96337795"/>
      <w:bookmarkStart w:id="825" w:name="_Toc96446275"/>
      <w:bookmarkStart w:id="826" w:name="_Toc96448047"/>
      <w:bookmarkStart w:id="827" w:name="_Toc96593996"/>
      <w:bookmarkStart w:id="828" w:name="_Toc96597287"/>
      <w:bookmarkStart w:id="829" w:name="_Toc96609222"/>
      <w:bookmarkStart w:id="830" w:name="_Toc97149251"/>
      <w:bookmarkStart w:id="831" w:name="_Toc97191297"/>
      <w:bookmarkStart w:id="832" w:name="_Toc107430107"/>
      <w:r w:rsidRPr="002E7937">
        <w:t>4.</w:t>
      </w:r>
      <w:r w:rsidRPr="002E7937">
        <w:tab/>
      </w:r>
      <w:r w:rsidR="005A3A1C" w:rsidRPr="00F32A52">
        <w:rPr>
          <w:noProof/>
        </w:rPr>
        <w:t>Public Consultation</w:t>
      </w:r>
      <w:bookmarkEnd w:id="823"/>
      <w:bookmarkEnd w:id="824"/>
      <w:bookmarkEnd w:id="825"/>
      <w:bookmarkEnd w:id="826"/>
      <w:bookmarkEnd w:id="827"/>
      <w:bookmarkEnd w:id="828"/>
      <w:bookmarkEnd w:id="829"/>
      <w:bookmarkEnd w:id="830"/>
      <w:bookmarkEnd w:id="831"/>
      <w:bookmarkEnd w:id="832"/>
    </w:p>
    <w:p w14:paraId="357526BD" w14:textId="77777777" w:rsidR="005A3A1C" w:rsidRPr="00580E41" w:rsidRDefault="005A3A1C" w:rsidP="00580E41">
      <w:pPr>
        <w:spacing w:after="240" w:line="240" w:lineRule="auto"/>
        <w:jc w:val="both"/>
        <w:rPr>
          <w:rFonts w:cs="Times New Roman"/>
          <w:noProof/>
          <w:sz w:val="24"/>
        </w:rPr>
      </w:pPr>
      <w:r w:rsidRPr="00580E41">
        <w:rPr>
          <w:rFonts w:cs="Times New Roman"/>
          <w:noProof/>
          <w:sz w:val="24"/>
        </w:rPr>
        <w:t>The consultation was open during 12 weeks between 18 October 2021 and 10 January 2022, via the EU Survey online system in 24 EU languages, and received 291 answers. A total of 65 position papers were attached by stakeholders to the consultation. An additional seven position papers were received by email.</w:t>
      </w:r>
    </w:p>
    <w:p w14:paraId="6A5BF939" w14:textId="74AE1085" w:rsidR="005A3A1C" w:rsidRPr="009E76CC" w:rsidRDefault="002E7937" w:rsidP="002E7937">
      <w:pPr>
        <w:pStyle w:val="Heading2"/>
        <w:rPr>
          <w:noProof/>
        </w:rPr>
      </w:pPr>
      <w:bookmarkStart w:id="833" w:name="_Toc95482004"/>
      <w:bookmarkStart w:id="834" w:name="_Toc96337796"/>
      <w:bookmarkStart w:id="835" w:name="_Toc96446276"/>
      <w:bookmarkStart w:id="836" w:name="_Toc96448048"/>
      <w:bookmarkStart w:id="837" w:name="_Toc96593997"/>
      <w:bookmarkStart w:id="838" w:name="_Toc96597288"/>
      <w:bookmarkStart w:id="839" w:name="_Toc96609223"/>
      <w:bookmarkStart w:id="840" w:name="_Toc97149252"/>
      <w:bookmarkStart w:id="841" w:name="_Toc97191298"/>
      <w:bookmarkStart w:id="842" w:name="_Toc107430108"/>
      <w:r w:rsidRPr="002E7937">
        <w:t>4.1.</w:t>
      </w:r>
      <w:r w:rsidRPr="002E7937">
        <w:tab/>
      </w:r>
      <w:r w:rsidR="005A3A1C" w:rsidRPr="009E76CC">
        <w:rPr>
          <w:noProof/>
        </w:rPr>
        <w:t>Respondents by Stakeholder category</w:t>
      </w:r>
      <w:bookmarkEnd w:id="833"/>
      <w:bookmarkEnd w:id="834"/>
      <w:bookmarkEnd w:id="835"/>
      <w:bookmarkEnd w:id="836"/>
      <w:bookmarkEnd w:id="837"/>
      <w:bookmarkEnd w:id="838"/>
      <w:bookmarkEnd w:id="839"/>
      <w:bookmarkEnd w:id="840"/>
      <w:bookmarkEnd w:id="841"/>
      <w:bookmarkEnd w:id="842"/>
    </w:p>
    <w:p w14:paraId="6574F45E" w14:textId="77777777" w:rsidR="005A3A1C" w:rsidRPr="00580E41" w:rsidRDefault="005A3A1C" w:rsidP="00580E41">
      <w:pPr>
        <w:spacing w:after="240" w:line="240" w:lineRule="auto"/>
        <w:jc w:val="both"/>
        <w:rPr>
          <w:rFonts w:cs="Times New Roman"/>
          <w:noProof/>
          <w:sz w:val="24"/>
          <w:lang w:eastAsia="en-GB"/>
        </w:rPr>
      </w:pPr>
      <w:r w:rsidRPr="00580E41">
        <w:rPr>
          <w:rFonts w:cs="Times New Roman"/>
          <w:noProof/>
          <w:sz w:val="24"/>
          <w:lang w:eastAsia="en-GB"/>
        </w:rPr>
        <w:t xml:space="preserve">A total of 291 individuals and organisations from all over the EU Member States and non-EU countries took part in the consultation. </w:t>
      </w:r>
    </w:p>
    <w:p w14:paraId="52CFB33B" w14:textId="77777777" w:rsidR="005A3A1C" w:rsidRDefault="005A3A1C" w:rsidP="005A3A1C">
      <w:pPr>
        <w:spacing w:after="0" w:line="240" w:lineRule="auto"/>
        <w:jc w:val="both"/>
        <w:rPr>
          <w:rFonts w:cs="Times New Roman"/>
          <w:noProof/>
          <w:lang w:eastAsia="en-GB"/>
        </w:rPr>
      </w:pPr>
    </w:p>
    <w:p w14:paraId="051BCCA8" w14:textId="77777777" w:rsidR="005A3A1C" w:rsidRDefault="005A3A1C" w:rsidP="005A3A1C">
      <w:pPr>
        <w:spacing w:after="0" w:line="240" w:lineRule="auto"/>
        <w:jc w:val="both"/>
        <w:rPr>
          <w:rFonts w:cs="Times New Roman"/>
          <w:noProof/>
          <w:lang w:eastAsia="en-GB"/>
        </w:rPr>
      </w:pPr>
      <w:r>
        <w:rPr>
          <w:noProof/>
          <w:lang w:eastAsia="en-GB"/>
        </w:rPr>
        <w:drawing>
          <wp:inline distT="0" distB="0" distL="0" distR="0" wp14:anchorId="541EE5B8" wp14:editId="405FAC4B">
            <wp:extent cx="5816278" cy="2945130"/>
            <wp:effectExtent l="0" t="0" r="1333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8703EE" w14:textId="77777777" w:rsidR="005A3A1C" w:rsidRDefault="005A3A1C" w:rsidP="005A3A1C">
      <w:pPr>
        <w:spacing w:after="0" w:line="240" w:lineRule="auto"/>
        <w:jc w:val="both"/>
        <w:rPr>
          <w:rFonts w:cs="Times New Roman"/>
          <w:noProof/>
          <w:lang w:eastAsia="en-GB"/>
        </w:rPr>
      </w:pPr>
    </w:p>
    <w:p w14:paraId="54AE6C18" w14:textId="029ED0FA" w:rsidR="005A3A1C" w:rsidRPr="00580E41" w:rsidRDefault="005A3A1C" w:rsidP="00580E41">
      <w:pPr>
        <w:spacing w:after="240" w:line="240" w:lineRule="auto"/>
        <w:jc w:val="both"/>
        <w:rPr>
          <w:rFonts w:cs="Times New Roman"/>
          <w:noProof/>
          <w:sz w:val="24"/>
          <w:szCs w:val="24"/>
          <w:lang w:eastAsia="en-GB"/>
        </w:rPr>
      </w:pPr>
      <w:r w:rsidRPr="00580E41">
        <w:rPr>
          <w:rFonts w:cs="Times New Roman"/>
          <w:noProof/>
          <w:sz w:val="24"/>
          <w:szCs w:val="24"/>
          <w:lang w:eastAsia="en-GB"/>
        </w:rPr>
        <w:t>The most common type of respondent was individual EU citizens, which accounted for 41.9% of responses (122). This was followed in second and third place by business and industry associations (60 responses) and individual companies/businesses respectively (50 responses). The next most frequent type of respondent were Non-Governmental Organisations (NGOs), including victims’ associations</w:t>
      </w:r>
      <w:r w:rsidR="002510C6">
        <w:rPr>
          <w:rFonts w:cs="Times New Roman"/>
          <w:noProof/>
          <w:sz w:val="24"/>
          <w:szCs w:val="24"/>
          <w:lang w:eastAsia="en-GB"/>
        </w:rPr>
        <w:t>,</w:t>
      </w:r>
      <w:r w:rsidRPr="00580E41">
        <w:rPr>
          <w:rFonts w:cs="Times New Roman"/>
          <w:noProof/>
          <w:sz w:val="24"/>
          <w:szCs w:val="24"/>
          <w:lang w:eastAsia="en-GB"/>
        </w:rPr>
        <w:t xml:space="preserve"> 16; Academics/research institutions</w:t>
      </w:r>
      <w:r w:rsidR="002510C6">
        <w:rPr>
          <w:rFonts w:cs="Times New Roman"/>
          <w:noProof/>
          <w:sz w:val="24"/>
          <w:szCs w:val="24"/>
          <w:lang w:eastAsia="en-GB"/>
        </w:rPr>
        <w:t>,</w:t>
      </w:r>
      <w:r w:rsidRPr="00580E41">
        <w:rPr>
          <w:rFonts w:cs="Times New Roman"/>
          <w:noProof/>
          <w:sz w:val="24"/>
          <w:szCs w:val="24"/>
          <w:lang w:eastAsia="en-GB"/>
        </w:rPr>
        <w:t xml:space="preserve"> 15; and Consumer Organisations</w:t>
      </w:r>
      <w:r w:rsidR="002510C6">
        <w:rPr>
          <w:rFonts w:cs="Times New Roman"/>
          <w:noProof/>
          <w:sz w:val="24"/>
          <w:szCs w:val="24"/>
          <w:lang w:eastAsia="en-GB"/>
        </w:rPr>
        <w:t>,</w:t>
      </w:r>
      <w:r w:rsidRPr="00580E41">
        <w:rPr>
          <w:rFonts w:cs="Times New Roman"/>
          <w:noProof/>
          <w:sz w:val="24"/>
          <w:szCs w:val="24"/>
          <w:lang w:eastAsia="en-GB"/>
        </w:rPr>
        <w:t xml:space="preserve"> 10. In addition, 9 of respondents declared listed ‘Other’ as their category, while other respondents included public authorities (5 responses) and trade unions (3 responses). Only one Non-EU citizen gave his/her contribution to the consultation.</w:t>
      </w:r>
    </w:p>
    <w:p w14:paraId="65940C5C" w14:textId="48ED2C16" w:rsidR="005A3A1C" w:rsidRDefault="005A3A1C" w:rsidP="00293A96">
      <w:pPr>
        <w:spacing w:after="240" w:line="240" w:lineRule="auto"/>
        <w:jc w:val="both"/>
        <w:rPr>
          <w:rFonts w:cs="Times New Roman"/>
          <w:noProof/>
          <w:lang w:eastAsia="en-GB"/>
        </w:rPr>
      </w:pPr>
      <w:r w:rsidRPr="00580E41">
        <w:rPr>
          <w:rFonts w:cs="Times New Roman"/>
          <w:noProof/>
          <w:sz w:val="24"/>
          <w:szCs w:val="24"/>
          <w:lang w:eastAsia="en-GB"/>
        </w:rPr>
        <w:t xml:space="preserve">The combined response from industry and business associations and from individual enterprises meant that industry accounted for 110 of the total 291 responses (37.8%). However, considering the organisational responses, whereas industry and business associations accounted for 60 responses, those representing the interests of consumers and injured parties, i.e. NGOs (which included access to justice and victims’ rights associations) and consumer associations accounted for 26 responses. </w:t>
      </w:r>
    </w:p>
    <w:p w14:paraId="7BAB1117" w14:textId="5DF3FFED" w:rsidR="005A3A1C" w:rsidRPr="006A62A8" w:rsidRDefault="002E7937" w:rsidP="002E7937">
      <w:pPr>
        <w:pStyle w:val="Heading2"/>
        <w:rPr>
          <w:noProof/>
        </w:rPr>
      </w:pPr>
      <w:r w:rsidRPr="002E7937">
        <w:t>4.2.</w:t>
      </w:r>
      <w:r w:rsidRPr="002E7937">
        <w:tab/>
      </w:r>
      <w:r w:rsidR="005A3A1C" w:rsidRPr="009E76CC">
        <w:rPr>
          <w:noProof/>
        </w:rPr>
        <w:t xml:space="preserve"> </w:t>
      </w:r>
      <w:bookmarkStart w:id="843" w:name="_Toc95482005"/>
      <w:bookmarkStart w:id="844" w:name="_Toc96337797"/>
      <w:bookmarkStart w:id="845" w:name="_Toc96446277"/>
      <w:bookmarkStart w:id="846" w:name="_Toc96448049"/>
      <w:bookmarkStart w:id="847" w:name="_Toc96593998"/>
      <w:bookmarkStart w:id="848" w:name="_Toc96597289"/>
      <w:bookmarkStart w:id="849" w:name="_Toc96609224"/>
      <w:bookmarkStart w:id="850" w:name="_Toc97149253"/>
      <w:bookmarkStart w:id="851" w:name="_Toc97191299"/>
      <w:bookmarkStart w:id="852" w:name="_Toc107430109"/>
      <w:r w:rsidR="005A3A1C" w:rsidRPr="009E76CC">
        <w:rPr>
          <w:noProof/>
        </w:rPr>
        <w:t>Respondents by country of origin</w:t>
      </w:r>
      <w:bookmarkEnd w:id="843"/>
      <w:bookmarkEnd w:id="844"/>
      <w:bookmarkEnd w:id="845"/>
      <w:bookmarkEnd w:id="846"/>
      <w:bookmarkEnd w:id="847"/>
      <w:bookmarkEnd w:id="848"/>
      <w:bookmarkEnd w:id="849"/>
      <w:bookmarkEnd w:id="850"/>
      <w:bookmarkEnd w:id="851"/>
      <w:bookmarkEnd w:id="852"/>
    </w:p>
    <w:p w14:paraId="6CBBA03B" w14:textId="004E8BD0" w:rsidR="005A3A1C" w:rsidRPr="00293A96" w:rsidRDefault="005A3A1C" w:rsidP="00293A96">
      <w:pPr>
        <w:spacing w:before="240" w:after="240" w:line="240" w:lineRule="auto"/>
        <w:jc w:val="both"/>
        <w:rPr>
          <w:rFonts w:cs="Times New Roman"/>
          <w:noProof/>
          <w:sz w:val="24"/>
          <w:lang w:eastAsia="en-GB"/>
        </w:rPr>
      </w:pPr>
      <w:r w:rsidRPr="00293A96">
        <w:rPr>
          <w:rFonts w:cs="Times New Roman"/>
          <w:noProof/>
          <w:sz w:val="24"/>
          <w:lang w:eastAsia="en-GB"/>
        </w:rPr>
        <w:t>Approximately 93.5% of all responses came from EU Member States, which is equal to 272 respondents. The largest group of respondents came from Germany which accounted for more than a third of all responses (108, or 37.1%), with respondents from Belgium and France in second and third place, with 46 (or 15,8%) and 36 (or 12,4%) respondents, respectively. Other Member States that provided a reasonable share of respondents were Italy (14 or 4.8% of the total), followed by Austria (12 or 4.1%), Netherlands (9, or 3.1%), Finland (8 or 2.7%), Poland (8 or 2.7%) and Spain (7 or 2.4%). 19 respondents (or 6.5%) came from non-EU countries, which included 8 respondents from the US (2.7%), 4 from the UK (1.4%) and 2 from Canada (0.7%).</w:t>
      </w:r>
      <w:r w:rsidR="00402CDB">
        <w:rPr>
          <w:rFonts w:cs="Times New Roman"/>
          <w:noProof/>
          <w:sz w:val="24"/>
          <w:lang w:eastAsia="en-GB"/>
        </w:rPr>
        <w:t xml:space="preserve"> </w:t>
      </w:r>
    </w:p>
    <w:p w14:paraId="74FEE174" w14:textId="7309E71C" w:rsidR="005A3A1C" w:rsidRPr="009E76CC" w:rsidRDefault="002E7937" w:rsidP="002E7937">
      <w:pPr>
        <w:pStyle w:val="Heading2"/>
        <w:rPr>
          <w:noProof/>
        </w:rPr>
      </w:pPr>
      <w:bookmarkStart w:id="853" w:name="_Toc95482006"/>
      <w:bookmarkStart w:id="854" w:name="_Toc96337798"/>
      <w:bookmarkStart w:id="855" w:name="_Toc96446278"/>
      <w:bookmarkStart w:id="856" w:name="_Toc96448050"/>
      <w:bookmarkStart w:id="857" w:name="_Toc96593999"/>
      <w:bookmarkStart w:id="858" w:name="_Toc96597290"/>
      <w:bookmarkStart w:id="859" w:name="_Toc96609225"/>
      <w:bookmarkStart w:id="860" w:name="_Toc97149254"/>
      <w:bookmarkStart w:id="861" w:name="_Toc97191300"/>
      <w:bookmarkStart w:id="862" w:name="_Toc107430110"/>
      <w:r w:rsidRPr="002E7937">
        <w:t>4.3.</w:t>
      </w:r>
      <w:r w:rsidRPr="002E7937">
        <w:tab/>
      </w:r>
      <w:r w:rsidR="005A3A1C" w:rsidRPr="009E76CC">
        <w:rPr>
          <w:noProof/>
        </w:rPr>
        <w:t>The Directive and the problems this initiative aims to address</w:t>
      </w:r>
      <w:bookmarkEnd w:id="853"/>
      <w:bookmarkEnd w:id="854"/>
      <w:bookmarkEnd w:id="855"/>
      <w:bookmarkEnd w:id="856"/>
      <w:bookmarkEnd w:id="857"/>
      <w:bookmarkEnd w:id="858"/>
      <w:bookmarkEnd w:id="859"/>
      <w:bookmarkEnd w:id="860"/>
      <w:bookmarkEnd w:id="861"/>
      <w:bookmarkEnd w:id="862"/>
    </w:p>
    <w:p w14:paraId="711C203D" w14:textId="77777777" w:rsidR="005A3A1C" w:rsidRPr="00293A96" w:rsidRDefault="005A3A1C" w:rsidP="00293A96">
      <w:pPr>
        <w:spacing w:after="240" w:line="240" w:lineRule="auto"/>
        <w:jc w:val="both"/>
        <w:rPr>
          <w:rFonts w:eastAsia="Times New Roman" w:cs="Times New Roman"/>
          <w:noProof/>
          <w:color w:val="222222"/>
          <w:sz w:val="24"/>
          <w:szCs w:val="24"/>
          <w:lang w:eastAsia="en-GB"/>
        </w:rPr>
      </w:pPr>
      <w:r w:rsidRPr="00293A96">
        <w:rPr>
          <w:rFonts w:eastAsia="Times New Roman" w:cs="Times New Roman"/>
          <w:noProof/>
          <w:color w:val="222222"/>
          <w:sz w:val="24"/>
          <w:szCs w:val="24"/>
          <w:lang w:eastAsia="en-GB"/>
        </w:rPr>
        <w:t>As regards questions 1 to 7 of Section I of the questionnaire,</w:t>
      </w:r>
      <w:r w:rsidRPr="00293A96">
        <w:rPr>
          <w:rFonts w:eastAsia="Times New Roman" w:cs="Times New Roman"/>
          <w:b/>
          <w:noProof/>
          <w:color w:val="222222"/>
          <w:sz w:val="24"/>
          <w:szCs w:val="24"/>
          <w:lang w:eastAsia="en-GB"/>
        </w:rPr>
        <w:t xml:space="preserve"> </w:t>
      </w:r>
      <w:r w:rsidRPr="00293A96">
        <w:rPr>
          <w:rFonts w:eastAsia="Times New Roman" w:cs="Times New Roman"/>
          <w:noProof/>
          <w:color w:val="222222"/>
          <w:sz w:val="24"/>
          <w:szCs w:val="24"/>
          <w:lang w:eastAsia="en-GB"/>
        </w:rPr>
        <w:t xml:space="preserve">128 out 291 respondents (thus 44%) replied to have detailed knowledge of the Directive, its objectives, rules and application. </w:t>
      </w:r>
    </w:p>
    <w:p w14:paraId="5F0DC329" w14:textId="77777777" w:rsidR="005A3A1C" w:rsidRPr="00293A96" w:rsidRDefault="005A3A1C" w:rsidP="00293A96">
      <w:pPr>
        <w:spacing w:after="240" w:line="240" w:lineRule="auto"/>
        <w:jc w:val="both"/>
        <w:rPr>
          <w:rFonts w:eastAsia="Times New Roman" w:cs="Times New Roman"/>
          <w:noProof/>
          <w:color w:val="222222"/>
          <w:sz w:val="24"/>
          <w:szCs w:val="24"/>
          <w:lang w:eastAsia="en-GB"/>
        </w:rPr>
      </w:pPr>
      <w:r w:rsidRPr="00293A96">
        <w:rPr>
          <w:rFonts w:eastAsia="Times New Roman" w:cs="Times New Roman"/>
          <w:noProof/>
          <w:color w:val="222222"/>
          <w:sz w:val="24"/>
          <w:szCs w:val="24"/>
          <w:lang w:eastAsia="en-GB"/>
        </w:rPr>
        <w:t xml:space="preserve">Among individual members of the public, 50 out of 133 replied to have suffered damage due to a defective product, of which 44% (or 22) reporting to have suffered personal injury or death and another 42% (or 21) property damage. In particular, 62% of respondents who suffered damaged reported defection related to “Vehicles; Machinery and mechanical appliances or parts thereof; Electrical equipment; Digital consumer products”, while the remaining 38% report to have suffered a damage because of Pharmaceutical products (16 out of 19 of these replies concerned one specific pharmaceutical product in one specific country). Out of the 50 respondents, 15 replied that they had sought compensation. </w:t>
      </w:r>
    </w:p>
    <w:p w14:paraId="2E04F79A" w14:textId="03A1D8E1" w:rsidR="005A3A1C" w:rsidRPr="009E76CC" w:rsidRDefault="002E7937" w:rsidP="002E7937">
      <w:pPr>
        <w:pStyle w:val="Heading2"/>
        <w:rPr>
          <w:noProof/>
        </w:rPr>
      </w:pPr>
      <w:bookmarkStart w:id="863" w:name="_Toc95482007"/>
      <w:bookmarkStart w:id="864" w:name="_Toc96337799"/>
      <w:bookmarkStart w:id="865" w:name="_Toc96446279"/>
      <w:bookmarkStart w:id="866" w:name="_Toc96448051"/>
      <w:bookmarkStart w:id="867" w:name="_Toc96594000"/>
      <w:bookmarkStart w:id="868" w:name="_Toc96597291"/>
      <w:bookmarkStart w:id="869" w:name="_Toc96609226"/>
      <w:bookmarkStart w:id="870" w:name="_Toc97149255"/>
      <w:bookmarkStart w:id="871" w:name="_Toc97191301"/>
      <w:bookmarkStart w:id="872" w:name="_Toc107430111"/>
      <w:r w:rsidRPr="002E7937">
        <w:t>4.4.</w:t>
      </w:r>
      <w:r w:rsidRPr="002E7937">
        <w:tab/>
      </w:r>
      <w:r w:rsidR="005A3A1C" w:rsidRPr="009E76CC">
        <w:rPr>
          <w:noProof/>
        </w:rPr>
        <w:t>Adapting the Directive to the digital age and circular economy</w:t>
      </w:r>
      <w:bookmarkEnd w:id="863"/>
      <w:bookmarkEnd w:id="864"/>
      <w:bookmarkEnd w:id="865"/>
      <w:bookmarkEnd w:id="866"/>
      <w:bookmarkEnd w:id="867"/>
      <w:bookmarkEnd w:id="868"/>
      <w:bookmarkEnd w:id="869"/>
      <w:bookmarkEnd w:id="870"/>
      <w:bookmarkEnd w:id="871"/>
      <w:bookmarkEnd w:id="872"/>
    </w:p>
    <w:p w14:paraId="61032010" w14:textId="77777777" w:rsidR="005A3A1C" w:rsidRPr="00293A96" w:rsidRDefault="005A3A1C" w:rsidP="00DD3B24">
      <w:pPr>
        <w:pStyle w:val="ListParagraph"/>
        <w:numPr>
          <w:ilvl w:val="0"/>
          <w:numId w:val="25"/>
        </w:numPr>
        <w:spacing w:before="240" w:after="120" w:line="276" w:lineRule="auto"/>
        <w:contextualSpacing/>
        <w:jc w:val="both"/>
        <w:rPr>
          <w:b/>
          <w:noProof/>
          <w:color w:val="222222"/>
          <w:sz w:val="24"/>
          <w:szCs w:val="24"/>
          <w:lang w:eastAsia="en-GB"/>
        </w:rPr>
      </w:pPr>
      <w:r w:rsidRPr="00293A96">
        <w:rPr>
          <w:b/>
          <w:noProof/>
          <w:color w:val="222222"/>
          <w:sz w:val="24"/>
          <w:szCs w:val="24"/>
          <w:lang w:eastAsia="en-GB"/>
        </w:rPr>
        <w:t>Intangible items: software and digital services</w:t>
      </w:r>
    </w:p>
    <w:p w14:paraId="4FF1E3EC" w14:textId="77777777" w:rsidR="005A3A1C" w:rsidRPr="00293A96" w:rsidRDefault="005A3A1C" w:rsidP="00293A96">
      <w:pPr>
        <w:spacing w:after="240" w:line="240" w:lineRule="auto"/>
        <w:jc w:val="both"/>
        <w:rPr>
          <w:rFonts w:eastAsia="Times New Roman" w:cs="Times New Roman"/>
          <w:noProof/>
          <w:color w:val="222222"/>
          <w:sz w:val="24"/>
          <w:szCs w:val="24"/>
          <w:lang w:eastAsia="en-GB"/>
        </w:rPr>
      </w:pPr>
      <w:r w:rsidRPr="00293A96">
        <w:rPr>
          <w:rFonts w:eastAsia="Times New Roman" w:cs="Times New Roman"/>
          <w:noProof/>
          <w:color w:val="222222"/>
          <w:sz w:val="24"/>
          <w:szCs w:val="24"/>
          <w:lang w:eastAsia="en-GB"/>
        </w:rPr>
        <w:t>This section of the consultation focused on the need to adapt the Directive to the digital age and, in particular, on the role that digital content such as software, algorithms and data should play in the safe functioning of many products. Respondents were asked to agree or disagree with a list of statements, proposing simplified answer options for individual members of the public.</w:t>
      </w:r>
    </w:p>
    <w:p w14:paraId="0DC1B3F9" w14:textId="77777777" w:rsidR="005A3A1C" w:rsidRPr="00293A96" w:rsidRDefault="005A3A1C" w:rsidP="00293A96">
      <w:pPr>
        <w:spacing w:after="240" w:line="240" w:lineRule="auto"/>
        <w:jc w:val="both"/>
        <w:rPr>
          <w:rFonts w:eastAsia="Times New Roman" w:cs="Times New Roman"/>
          <w:noProof/>
          <w:color w:val="222222"/>
          <w:sz w:val="24"/>
          <w:szCs w:val="24"/>
          <w:lang w:eastAsia="en-GB"/>
        </w:rPr>
      </w:pPr>
      <w:r w:rsidRPr="00293A96">
        <w:rPr>
          <w:rFonts w:eastAsia="Times New Roman" w:cs="Times New Roman"/>
          <w:noProof/>
          <w:color w:val="222222"/>
          <w:sz w:val="24"/>
          <w:szCs w:val="24"/>
          <w:lang w:eastAsia="en-GB"/>
        </w:rPr>
        <w:t xml:space="preserve">Replies by </w:t>
      </w:r>
      <w:r w:rsidRPr="00293A96">
        <w:rPr>
          <w:rFonts w:eastAsia="Times New Roman" w:cs="Times New Roman"/>
          <w:b/>
          <w:noProof/>
          <w:color w:val="222222"/>
          <w:sz w:val="24"/>
          <w:szCs w:val="24"/>
          <w:lang w:eastAsia="en-GB"/>
        </w:rPr>
        <w:t>all respondents except members</w:t>
      </w:r>
      <w:r w:rsidRPr="00293A96">
        <w:rPr>
          <w:rFonts w:eastAsia="Times New Roman" w:cs="Times New Roman"/>
          <w:noProof/>
          <w:color w:val="222222"/>
          <w:sz w:val="24"/>
          <w:szCs w:val="24"/>
          <w:lang w:eastAsia="en-GB"/>
        </w:rPr>
        <w:t xml:space="preserve"> of the public:</w:t>
      </w:r>
    </w:p>
    <w:p w14:paraId="5B2205C3" w14:textId="77777777" w:rsidR="005A3A1C" w:rsidRDefault="005A3A1C" w:rsidP="005A3A1C">
      <w:pPr>
        <w:jc w:val="both"/>
        <w:rPr>
          <w:rFonts w:eastAsia="Times New Roman" w:cs="Times New Roman"/>
          <w:noProof/>
          <w:color w:val="222222"/>
          <w:sz w:val="24"/>
          <w:szCs w:val="24"/>
          <w:lang w:eastAsia="en-GB"/>
        </w:rPr>
      </w:pPr>
      <w:r>
        <w:rPr>
          <w:noProof/>
          <w:lang w:eastAsia="en-GB"/>
        </w:rPr>
        <w:drawing>
          <wp:inline distT="0" distB="0" distL="0" distR="0" wp14:anchorId="31619B07" wp14:editId="209D5D21">
            <wp:extent cx="6157665" cy="4011731"/>
            <wp:effectExtent l="0" t="0" r="1460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343ED6B" w14:textId="184BE9C8" w:rsidR="005A3A1C" w:rsidRPr="00293A96" w:rsidRDefault="005A3A1C" w:rsidP="00293A96">
      <w:pPr>
        <w:spacing w:after="240" w:line="240" w:lineRule="auto"/>
        <w:jc w:val="both"/>
        <w:rPr>
          <w:rFonts w:eastAsia="Times New Roman" w:cs="Times New Roman"/>
          <w:noProof/>
          <w:color w:val="222222"/>
          <w:sz w:val="24"/>
          <w:szCs w:val="24"/>
          <w:lang w:eastAsia="en-GB"/>
        </w:rPr>
      </w:pPr>
      <w:r w:rsidRPr="00293A96">
        <w:rPr>
          <w:rFonts w:eastAsia="Times New Roman" w:cs="Times New Roman"/>
          <w:noProof/>
          <w:color w:val="222222"/>
          <w:sz w:val="24"/>
          <w:szCs w:val="24"/>
          <w:lang w:eastAsia="en-GB"/>
        </w:rPr>
        <w:t>All respondents (excluding members of the public), mainly agree that consumers should get compensation under the Directive when intangible products are defective and cause physical/property damage. In particular in the case of: software that controls how a product works (78%</w:t>
      </w:r>
      <w:r w:rsidR="00D76687">
        <w:rPr>
          <w:rFonts w:eastAsia="Times New Roman" w:cs="Times New Roman"/>
          <w:noProof/>
          <w:color w:val="222222"/>
          <w:sz w:val="24"/>
          <w:szCs w:val="24"/>
          <w:lang w:eastAsia="en-GB"/>
        </w:rPr>
        <w:t xml:space="preserve"> </w:t>
      </w:r>
      <w:r w:rsidRPr="00293A96">
        <w:rPr>
          <w:rFonts w:eastAsia="Times New Roman" w:cs="Times New Roman"/>
          <w:noProof/>
          <w:color w:val="222222"/>
          <w:sz w:val="24"/>
          <w:szCs w:val="24"/>
          <w:lang w:eastAsia="en-GB"/>
        </w:rPr>
        <w:t>or 12</w:t>
      </w:r>
      <w:r w:rsidR="000F3CD1">
        <w:rPr>
          <w:rFonts w:eastAsia="Times New Roman" w:cs="Times New Roman"/>
          <w:noProof/>
          <w:color w:val="222222"/>
          <w:sz w:val="24"/>
          <w:szCs w:val="24"/>
          <w:lang w:eastAsia="en-GB"/>
        </w:rPr>
        <w:t>2</w:t>
      </w:r>
      <w:r w:rsidRPr="00293A96">
        <w:rPr>
          <w:rFonts w:eastAsia="Times New Roman" w:cs="Times New Roman"/>
          <w:noProof/>
          <w:color w:val="222222"/>
          <w:sz w:val="24"/>
          <w:szCs w:val="24"/>
          <w:lang w:eastAsia="en-GB"/>
        </w:rPr>
        <w:t xml:space="preserve"> out of 155)</w:t>
      </w:r>
      <w:r w:rsidR="00F469CA">
        <w:rPr>
          <w:rStyle w:val="FootnoteReference"/>
          <w:rFonts w:eastAsia="Times New Roman"/>
          <w:noProof/>
          <w:color w:val="222222"/>
          <w:sz w:val="24"/>
          <w:szCs w:val="24"/>
          <w:lang w:eastAsia="en-GB"/>
        </w:rPr>
        <w:footnoteReference w:id="256"/>
      </w:r>
      <w:r w:rsidRPr="00293A96">
        <w:rPr>
          <w:rFonts w:eastAsia="Times New Roman" w:cs="Times New Roman"/>
          <w:noProof/>
          <w:color w:val="222222"/>
          <w:sz w:val="24"/>
          <w:szCs w:val="24"/>
          <w:lang w:eastAsia="en-GB"/>
        </w:rPr>
        <w:t>; software upgrades and updates (66% or 102 out of 154)</w:t>
      </w:r>
      <w:r w:rsidR="00F469CA">
        <w:rPr>
          <w:rStyle w:val="FootnoteReference"/>
          <w:rFonts w:eastAsia="Times New Roman"/>
          <w:noProof/>
          <w:color w:val="222222"/>
          <w:sz w:val="24"/>
          <w:szCs w:val="24"/>
          <w:lang w:eastAsia="en-GB"/>
        </w:rPr>
        <w:footnoteReference w:id="257"/>
      </w:r>
      <w:r w:rsidRPr="00293A96">
        <w:rPr>
          <w:rFonts w:eastAsia="Times New Roman" w:cs="Times New Roman"/>
          <w:noProof/>
          <w:color w:val="222222"/>
          <w:sz w:val="24"/>
          <w:szCs w:val="24"/>
          <w:lang w:eastAsia="en-GB"/>
        </w:rPr>
        <w:t>; software supplied separately to use on a product (56% or 87 out of 155)</w:t>
      </w:r>
      <w:r w:rsidR="00F469CA" w:rsidRPr="00F469CA">
        <w:rPr>
          <w:rStyle w:val="FootnoteReference"/>
          <w:rFonts w:eastAsia="Times New Roman"/>
          <w:noProof/>
          <w:color w:val="222222"/>
          <w:sz w:val="24"/>
          <w:szCs w:val="24"/>
          <w:lang w:eastAsia="en-GB"/>
        </w:rPr>
        <w:t xml:space="preserve"> </w:t>
      </w:r>
      <w:r w:rsidR="00F469CA">
        <w:rPr>
          <w:rStyle w:val="FootnoteReference"/>
          <w:rFonts w:eastAsia="Times New Roman"/>
          <w:noProof/>
          <w:color w:val="222222"/>
          <w:sz w:val="24"/>
          <w:szCs w:val="24"/>
          <w:lang w:eastAsia="en-GB"/>
        </w:rPr>
        <w:footnoteReference w:id="258"/>
      </w:r>
      <w:r w:rsidRPr="00293A96">
        <w:rPr>
          <w:rFonts w:eastAsia="Times New Roman" w:cs="Times New Roman"/>
          <w:noProof/>
          <w:color w:val="222222"/>
          <w:sz w:val="24"/>
          <w:szCs w:val="24"/>
          <w:lang w:eastAsia="en-GB"/>
        </w:rPr>
        <w:t>; digital services that controls how a product work (55% or 85 out of 154)</w:t>
      </w:r>
      <w:r w:rsidR="00F469CA">
        <w:rPr>
          <w:rStyle w:val="FootnoteReference"/>
          <w:rFonts w:eastAsia="Times New Roman"/>
          <w:noProof/>
          <w:color w:val="222222"/>
          <w:sz w:val="24"/>
          <w:szCs w:val="24"/>
          <w:lang w:eastAsia="en-GB"/>
        </w:rPr>
        <w:footnoteReference w:id="259"/>
      </w:r>
      <w:r w:rsidRPr="00293A96">
        <w:rPr>
          <w:rFonts w:eastAsia="Times New Roman" w:cs="Times New Roman"/>
          <w:noProof/>
          <w:color w:val="222222"/>
          <w:sz w:val="24"/>
          <w:szCs w:val="24"/>
          <w:lang w:eastAsia="en-GB"/>
        </w:rPr>
        <w:t xml:space="preserve">. Fewer than half were in favour of including data or information per se. </w:t>
      </w:r>
    </w:p>
    <w:p w14:paraId="1FF80B13" w14:textId="22C1D134" w:rsidR="005A3A1C" w:rsidRPr="00293A96" w:rsidRDefault="005A3A1C" w:rsidP="00293A96">
      <w:pPr>
        <w:pStyle w:val="CommentText"/>
        <w:spacing w:after="240"/>
        <w:jc w:val="both"/>
        <w:rPr>
          <w:rFonts w:cs="Times New Roman"/>
          <w:noProof/>
          <w:sz w:val="24"/>
          <w:szCs w:val="24"/>
        </w:rPr>
      </w:pPr>
      <w:r w:rsidRPr="00293A96">
        <w:rPr>
          <w:rFonts w:eastAsia="Times New Roman" w:cs="Times New Roman"/>
          <w:noProof/>
          <w:color w:val="000000" w:themeColor="text1"/>
          <w:sz w:val="24"/>
          <w:szCs w:val="24"/>
          <w:lang w:eastAsia="en-GB"/>
        </w:rPr>
        <w:t>The analysis of the position papers showed that, w</w:t>
      </w:r>
      <w:r w:rsidRPr="00293A96">
        <w:rPr>
          <w:rFonts w:cs="Times New Roman"/>
          <w:noProof/>
          <w:sz w:val="24"/>
          <w:szCs w:val="24"/>
        </w:rPr>
        <w:t>hen responding whether software and other intangible items should be included in the scope of the Directive</w:t>
      </w:r>
      <w:r w:rsidR="00397204">
        <w:rPr>
          <w:rFonts w:cs="Times New Roman"/>
          <w:noProof/>
          <w:sz w:val="24"/>
          <w:szCs w:val="24"/>
        </w:rPr>
        <w:t>,</w:t>
      </w:r>
      <w:r w:rsidRPr="00293A96">
        <w:rPr>
          <w:rFonts w:cs="Times New Roman"/>
          <w:noProof/>
          <w:sz w:val="24"/>
          <w:szCs w:val="24"/>
        </w:rPr>
        <w:t xml:space="preserve"> chambers of commerce, big software companies, and industry representatives mostly supported the position of keeping digital content out of the scope of the PLD. Some stakeholders insisted that such inclusion would fail to take into account the specific characteristics of software and AI systems</w:t>
      </w:r>
      <w:r w:rsidRPr="00293A96">
        <w:rPr>
          <w:rStyle w:val="FootnoteReference"/>
          <w:noProof/>
          <w:sz w:val="24"/>
          <w:szCs w:val="24"/>
        </w:rPr>
        <w:footnoteReference w:id="260"/>
      </w:r>
      <w:r w:rsidRPr="00293A96">
        <w:rPr>
          <w:rFonts w:cs="Times New Roman"/>
          <w:noProof/>
          <w:sz w:val="24"/>
          <w:szCs w:val="24"/>
        </w:rPr>
        <w:t>; some that it would harm innovation and prevent development</w:t>
      </w:r>
      <w:r w:rsidRPr="00293A96">
        <w:rPr>
          <w:rStyle w:val="FootnoteReference"/>
          <w:noProof/>
          <w:sz w:val="24"/>
          <w:szCs w:val="24"/>
        </w:rPr>
        <w:footnoteReference w:id="261"/>
      </w:r>
      <w:r w:rsidRPr="00293A96">
        <w:rPr>
          <w:rFonts w:cs="Times New Roman"/>
          <w:noProof/>
          <w:sz w:val="24"/>
          <w:szCs w:val="24"/>
        </w:rPr>
        <w:t>; some that any possible damage would not in any case undermine people’s health or property</w:t>
      </w:r>
      <w:r w:rsidRPr="00293A96">
        <w:rPr>
          <w:rStyle w:val="FootnoteReference"/>
          <w:noProof/>
          <w:sz w:val="24"/>
          <w:szCs w:val="24"/>
        </w:rPr>
        <w:footnoteReference w:id="262"/>
      </w:r>
      <w:r w:rsidRPr="00293A96">
        <w:rPr>
          <w:rFonts w:cs="Times New Roman"/>
          <w:noProof/>
          <w:sz w:val="24"/>
          <w:szCs w:val="24"/>
        </w:rPr>
        <w:t xml:space="preserve">. </w:t>
      </w:r>
    </w:p>
    <w:p w14:paraId="09CD8C48" w14:textId="77777777" w:rsidR="005A3A1C" w:rsidRPr="00293A96" w:rsidRDefault="005A3A1C" w:rsidP="00293A96">
      <w:pPr>
        <w:pStyle w:val="CommentText"/>
        <w:spacing w:after="240"/>
        <w:jc w:val="both"/>
        <w:rPr>
          <w:rFonts w:cs="Times New Roman"/>
          <w:noProof/>
          <w:sz w:val="24"/>
          <w:szCs w:val="24"/>
        </w:rPr>
      </w:pPr>
      <w:r w:rsidRPr="00293A96">
        <w:rPr>
          <w:rFonts w:cs="Times New Roman"/>
          <w:noProof/>
          <w:sz w:val="24"/>
          <w:szCs w:val="24"/>
        </w:rPr>
        <w:t>On the contrary, consumer and labour organizations, academic institutions, and some business associations</w:t>
      </w:r>
      <w:r w:rsidRPr="00293A96">
        <w:rPr>
          <w:rStyle w:val="FootnoteReference"/>
          <w:noProof/>
          <w:sz w:val="24"/>
          <w:szCs w:val="24"/>
        </w:rPr>
        <w:footnoteReference w:id="263"/>
      </w:r>
      <w:r w:rsidRPr="00293A96">
        <w:rPr>
          <w:rFonts w:cs="Times New Roman"/>
          <w:noProof/>
          <w:sz w:val="24"/>
          <w:szCs w:val="24"/>
        </w:rPr>
        <w:t xml:space="preserve"> were more inclined to prefer a revision of the Directive that would also encompass intangible items in its scope. </w:t>
      </w:r>
    </w:p>
    <w:p w14:paraId="2D8B585C" w14:textId="77777777" w:rsidR="005A3A1C" w:rsidRPr="00293A96" w:rsidRDefault="005A3A1C" w:rsidP="00293A96">
      <w:pPr>
        <w:pStyle w:val="CommentText"/>
        <w:spacing w:after="240"/>
        <w:jc w:val="both"/>
        <w:rPr>
          <w:noProof/>
          <w:sz w:val="24"/>
          <w:szCs w:val="24"/>
        </w:rPr>
      </w:pPr>
      <w:r w:rsidRPr="00293A96">
        <w:rPr>
          <w:rFonts w:cs="Times New Roman"/>
          <w:noProof/>
          <w:sz w:val="24"/>
          <w:szCs w:val="24"/>
        </w:rPr>
        <w:t>Also, big digital industries</w:t>
      </w:r>
      <w:r w:rsidRPr="00293A96">
        <w:rPr>
          <w:rStyle w:val="FootnoteReference"/>
          <w:noProof/>
          <w:sz w:val="24"/>
          <w:szCs w:val="24"/>
        </w:rPr>
        <w:footnoteReference w:id="264"/>
      </w:r>
      <w:r w:rsidRPr="00293A96">
        <w:rPr>
          <w:rFonts w:cs="Times New Roman"/>
          <w:noProof/>
          <w:sz w:val="24"/>
          <w:szCs w:val="24"/>
        </w:rPr>
        <w:t xml:space="preserve"> and some actors mostly representing the interests of producers or industries</w:t>
      </w:r>
      <w:r w:rsidRPr="00293A96">
        <w:rPr>
          <w:rStyle w:val="FootnoteReference"/>
          <w:noProof/>
          <w:sz w:val="24"/>
          <w:szCs w:val="24"/>
        </w:rPr>
        <w:footnoteReference w:id="265"/>
      </w:r>
      <w:r w:rsidRPr="00293A96">
        <w:rPr>
          <w:rFonts w:cs="Times New Roman"/>
          <w:noProof/>
          <w:sz w:val="24"/>
          <w:szCs w:val="24"/>
        </w:rPr>
        <w:t xml:space="preserve"> were skeptical of the need for a legislative revision of the Directive, preferring to leave the subject unchanged. Among those companies and business associations, some expressed a preference to develop guidelines at the European level for interpreting the current rules. Furthermore, some stakeholders</w:t>
      </w:r>
      <w:r w:rsidRPr="00293A96">
        <w:rPr>
          <w:rStyle w:val="FootnoteReference"/>
          <w:noProof/>
          <w:sz w:val="24"/>
          <w:szCs w:val="24"/>
        </w:rPr>
        <w:footnoteReference w:id="266"/>
      </w:r>
      <w:r w:rsidRPr="00293A96">
        <w:rPr>
          <w:rFonts w:cs="Times New Roman"/>
          <w:noProof/>
          <w:sz w:val="24"/>
          <w:szCs w:val="24"/>
        </w:rPr>
        <w:t xml:space="preserve"> stressed how the general product safety and liability rules should remain technologically neutral. Case-law can adequately address the identified challenges, such as complexity or opacity, and it is only in individual cases that special rules for specific products or uses in particularly dangerous areas may be necessary</w:t>
      </w:r>
      <w:r w:rsidRPr="00293A96">
        <w:rPr>
          <w:rStyle w:val="FootnoteReference"/>
          <w:noProof/>
          <w:sz w:val="24"/>
          <w:szCs w:val="24"/>
        </w:rPr>
        <w:footnoteReference w:id="267"/>
      </w:r>
      <w:r w:rsidRPr="00293A96">
        <w:rPr>
          <w:rFonts w:cs="Times New Roman"/>
          <w:noProof/>
          <w:sz w:val="24"/>
          <w:szCs w:val="24"/>
        </w:rPr>
        <w:t xml:space="preserve">. </w:t>
      </w:r>
    </w:p>
    <w:p w14:paraId="55C98FB9" w14:textId="77777777" w:rsidR="005A3A1C" w:rsidRPr="00293A96" w:rsidRDefault="005A3A1C" w:rsidP="00293A96">
      <w:pPr>
        <w:spacing w:after="240" w:line="240" w:lineRule="auto"/>
        <w:jc w:val="both"/>
        <w:rPr>
          <w:rFonts w:eastAsia="Times New Roman" w:cs="Times New Roman"/>
          <w:noProof/>
          <w:color w:val="222222"/>
          <w:sz w:val="24"/>
          <w:szCs w:val="24"/>
          <w:lang w:eastAsia="en-GB"/>
        </w:rPr>
      </w:pPr>
      <w:r w:rsidRPr="00293A96">
        <w:rPr>
          <w:rFonts w:eastAsia="Times New Roman" w:cs="Times New Roman"/>
          <w:noProof/>
          <w:color w:val="222222"/>
          <w:sz w:val="24"/>
          <w:szCs w:val="24"/>
          <w:lang w:eastAsia="en-GB"/>
        </w:rPr>
        <w:t xml:space="preserve">Replies by </w:t>
      </w:r>
      <w:r w:rsidRPr="00293A96">
        <w:rPr>
          <w:rFonts w:eastAsia="Times New Roman" w:cs="Times New Roman"/>
          <w:b/>
          <w:noProof/>
          <w:color w:val="222222"/>
          <w:sz w:val="24"/>
          <w:szCs w:val="24"/>
          <w:lang w:eastAsia="en-GB"/>
        </w:rPr>
        <w:t>members of the public</w:t>
      </w:r>
      <w:r w:rsidRPr="00293A96">
        <w:rPr>
          <w:rFonts w:eastAsia="Times New Roman" w:cs="Times New Roman"/>
          <w:noProof/>
          <w:color w:val="222222"/>
          <w:sz w:val="24"/>
          <w:szCs w:val="24"/>
          <w:lang w:eastAsia="en-GB"/>
        </w:rPr>
        <w:t>:</w:t>
      </w:r>
    </w:p>
    <w:p w14:paraId="309B7EEE" w14:textId="77777777" w:rsidR="005A3A1C" w:rsidRPr="002F671E" w:rsidRDefault="005A3A1C" w:rsidP="005A3A1C">
      <w:pPr>
        <w:jc w:val="both"/>
        <w:rPr>
          <w:rFonts w:eastAsia="Times New Roman" w:cs="Times New Roman"/>
          <w:noProof/>
          <w:color w:val="222222"/>
          <w:lang w:eastAsia="en-GB"/>
        </w:rPr>
      </w:pPr>
      <w:r w:rsidRPr="002F671E">
        <w:rPr>
          <w:noProof/>
          <w:lang w:eastAsia="en-GB"/>
        </w:rPr>
        <w:drawing>
          <wp:inline distT="0" distB="0" distL="0" distR="0" wp14:anchorId="799A1F8E" wp14:editId="28B98086">
            <wp:extent cx="5966749" cy="3264061"/>
            <wp:effectExtent l="0" t="0" r="1524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613851" w14:textId="77777777" w:rsidR="005A3A1C" w:rsidRPr="00AE2D7C" w:rsidRDefault="005A3A1C" w:rsidP="00AE2D7C">
      <w:pPr>
        <w:spacing w:after="240" w:line="240" w:lineRule="auto"/>
        <w:jc w:val="both"/>
        <w:rPr>
          <w:rFonts w:eastAsia="Times New Roman" w:cs="Times New Roman"/>
          <w:noProof/>
          <w:color w:val="222222"/>
          <w:sz w:val="24"/>
          <w:lang w:eastAsia="en-GB"/>
        </w:rPr>
      </w:pPr>
      <w:r w:rsidRPr="00AE2D7C">
        <w:rPr>
          <w:rFonts w:eastAsia="Times New Roman" w:cs="Times New Roman"/>
          <w:noProof/>
          <w:color w:val="222222"/>
          <w:sz w:val="24"/>
          <w:lang w:eastAsia="en-GB"/>
        </w:rPr>
        <w:t>Members of the public show even stronger agreement, with 90% replying that consumers should get compensation if damaged by defective software or digital services that control how a product works and software upgrades/updates.</w:t>
      </w:r>
    </w:p>
    <w:p w14:paraId="24BA5CAF" w14:textId="77777777" w:rsidR="005A3A1C" w:rsidRPr="00AE2D7C" w:rsidRDefault="005A3A1C" w:rsidP="00DD3B24">
      <w:pPr>
        <w:pStyle w:val="ListParagraph"/>
        <w:numPr>
          <w:ilvl w:val="0"/>
          <w:numId w:val="25"/>
        </w:numPr>
        <w:spacing w:before="240" w:after="120" w:line="276" w:lineRule="auto"/>
        <w:contextualSpacing/>
        <w:jc w:val="both"/>
        <w:rPr>
          <w:b/>
          <w:noProof/>
          <w:color w:val="222222"/>
          <w:sz w:val="24"/>
          <w:szCs w:val="24"/>
          <w:lang w:eastAsia="en-GB"/>
        </w:rPr>
      </w:pPr>
      <w:r w:rsidRPr="00AE2D7C">
        <w:rPr>
          <w:b/>
          <w:noProof/>
          <w:color w:val="222222"/>
          <w:sz w:val="24"/>
          <w:szCs w:val="24"/>
          <w:lang w:eastAsia="en-GB"/>
        </w:rPr>
        <w:t>Online marketplaces and products coming from outside the EU</w:t>
      </w:r>
    </w:p>
    <w:p w14:paraId="1C827693" w14:textId="01CDEBD4" w:rsidR="005A3A1C" w:rsidRPr="00AE2D7C" w:rsidRDefault="005A3A1C" w:rsidP="00AE2D7C">
      <w:pPr>
        <w:spacing w:after="240" w:line="240" w:lineRule="auto"/>
        <w:jc w:val="both"/>
        <w:rPr>
          <w:rFonts w:cs="Times New Roman"/>
          <w:noProof/>
          <w:sz w:val="24"/>
          <w:szCs w:val="24"/>
          <w:lang w:eastAsia="en-GB"/>
        </w:rPr>
      </w:pPr>
      <w:r w:rsidRPr="00AE2D7C">
        <w:rPr>
          <w:rFonts w:eastAsia="Times New Roman" w:cs="Times New Roman"/>
          <w:noProof/>
          <w:color w:val="222222"/>
          <w:sz w:val="24"/>
          <w:szCs w:val="24"/>
          <w:lang w:eastAsia="en-GB"/>
        </w:rPr>
        <w:t xml:space="preserve">Nowadays, online marketplaces enable consumers to buy products from outside the EU without there being an importer. </w:t>
      </w:r>
      <w:r w:rsidRPr="00AE2D7C">
        <w:rPr>
          <w:rFonts w:cs="Times New Roman"/>
          <w:noProof/>
          <w:sz w:val="24"/>
          <w:szCs w:val="24"/>
          <w:lang w:eastAsia="en-GB"/>
        </w:rPr>
        <w:t>Around 64% of all respondents (or 1</w:t>
      </w:r>
      <w:r w:rsidR="00283E68">
        <w:rPr>
          <w:rFonts w:cs="Times New Roman"/>
          <w:noProof/>
          <w:sz w:val="24"/>
          <w:szCs w:val="24"/>
          <w:lang w:eastAsia="en-GB"/>
        </w:rPr>
        <w:t>79</w:t>
      </w:r>
      <w:r w:rsidRPr="00AE2D7C">
        <w:rPr>
          <w:rFonts w:cs="Times New Roman"/>
          <w:noProof/>
          <w:sz w:val="24"/>
          <w:szCs w:val="24"/>
          <w:lang w:eastAsia="en-GB"/>
        </w:rPr>
        <w:t xml:space="preserve"> out of 280) agree or strongly agree that the Directive needs to ensure consumer protection if defective products cause damage bought through online marketplaces where there is no EU-based producer or importer.</w:t>
      </w:r>
      <w:r w:rsidRPr="00AE2D7C">
        <w:rPr>
          <w:rStyle w:val="FootnoteReference"/>
          <w:noProof/>
          <w:sz w:val="24"/>
          <w:szCs w:val="24"/>
          <w:lang w:eastAsia="en-GB"/>
        </w:rPr>
        <w:footnoteReference w:id="268"/>
      </w:r>
      <w:r w:rsidRPr="00AE2D7C">
        <w:rPr>
          <w:rFonts w:cs="Times New Roman"/>
          <w:noProof/>
          <w:sz w:val="24"/>
          <w:szCs w:val="24"/>
          <w:lang w:eastAsia="en-GB"/>
        </w:rPr>
        <w:t xml:space="preserve"> </w:t>
      </w:r>
      <w:r w:rsidR="00283E68">
        <w:rPr>
          <w:rFonts w:cs="Times New Roman"/>
          <w:noProof/>
          <w:sz w:val="24"/>
          <w:szCs w:val="24"/>
          <w:lang w:eastAsia="en-GB"/>
        </w:rPr>
        <w:t>While non-business respondents accounted for 83% (or 148 out of 179), business respondents represented only 17% (or 31).</w:t>
      </w:r>
    </w:p>
    <w:p w14:paraId="540BA670" w14:textId="77777777"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cs="Times New Roman"/>
          <w:noProof/>
          <w:sz w:val="24"/>
          <w:szCs w:val="24"/>
          <w:lang w:eastAsia="en-GB"/>
        </w:rPr>
        <w:t>In contrast, there was greater disagreement among respondents (45% (or 126 out of 280) either disagreed or disagreed strongly) on whether the PLD needs to be adapted to ensure consumer protection if damage is caused by defective products bought through online marketplaces where there is no EU-based producer or importer, while only 29% (or 81) were favourable.</w:t>
      </w:r>
    </w:p>
    <w:p w14:paraId="5DFD0A00" w14:textId="77777777" w:rsidR="005A3A1C" w:rsidRPr="00AE2D7C" w:rsidRDefault="005A3A1C" w:rsidP="00DD3B24">
      <w:pPr>
        <w:pStyle w:val="ListParagraph"/>
        <w:numPr>
          <w:ilvl w:val="0"/>
          <w:numId w:val="25"/>
        </w:numPr>
        <w:spacing w:before="240" w:after="120" w:line="276" w:lineRule="auto"/>
        <w:contextualSpacing/>
        <w:jc w:val="both"/>
        <w:rPr>
          <w:b/>
          <w:noProof/>
          <w:color w:val="222222"/>
          <w:sz w:val="24"/>
          <w:szCs w:val="24"/>
          <w:lang w:eastAsia="en-GB"/>
        </w:rPr>
      </w:pPr>
      <w:r w:rsidRPr="00AE2D7C">
        <w:rPr>
          <w:b/>
          <w:noProof/>
          <w:color w:val="222222"/>
          <w:sz w:val="24"/>
          <w:szCs w:val="24"/>
          <w:lang w:eastAsia="en-GB"/>
        </w:rPr>
        <w:t>New risks and new kinds of damage</w:t>
      </w:r>
    </w:p>
    <w:p w14:paraId="4F7590BE" w14:textId="77777777" w:rsidR="005A3A1C" w:rsidRPr="00AE2D7C" w:rsidRDefault="005A3A1C" w:rsidP="00AE2D7C">
      <w:pPr>
        <w:spacing w:after="120" w:line="240" w:lineRule="auto"/>
        <w:jc w:val="both"/>
        <w:rPr>
          <w:rFonts w:eastAsia="Times New Roman" w:cs="Times New Roman"/>
          <w:noProof/>
          <w:color w:val="222222"/>
          <w:sz w:val="24"/>
          <w:lang w:eastAsia="en-GB"/>
        </w:rPr>
      </w:pPr>
      <w:r w:rsidRPr="00AE2D7C">
        <w:rPr>
          <w:rFonts w:eastAsia="Times New Roman" w:cs="Times New Roman"/>
          <w:noProof/>
          <w:color w:val="222222"/>
          <w:sz w:val="24"/>
          <w:lang w:eastAsia="en-GB"/>
        </w:rPr>
        <w:t xml:space="preserve">Respondents were asked to agree or disagree with a set of statements to better understand their position concerning new risks and kinds of damages that the digital technologies might bring. </w:t>
      </w:r>
    </w:p>
    <w:p w14:paraId="6C3EB4B1" w14:textId="77777777" w:rsidR="005A3A1C" w:rsidRPr="00AE2D7C" w:rsidRDefault="005A3A1C" w:rsidP="00DD3B24">
      <w:pPr>
        <w:pStyle w:val="ListParagraph"/>
        <w:numPr>
          <w:ilvl w:val="0"/>
          <w:numId w:val="26"/>
        </w:numPr>
        <w:spacing w:after="120"/>
        <w:ind w:left="714" w:hanging="357"/>
        <w:jc w:val="both"/>
        <w:rPr>
          <w:noProof/>
          <w:sz w:val="24"/>
          <w:szCs w:val="24"/>
          <w:lang w:eastAsia="en-GB"/>
        </w:rPr>
      </w:pPr>
      <w:r w:rsidRPr="00AE2D7C">
        <w:rPr>
          <w:noProof/>
          <w:sz w:val="24"/>
          <w:szCs w:val="24"/>
          <w:lang w:eastAsia="en-GB"/>
        </w:rPr>
        <w:t>70% of respondents (or 196 out of 280) agree or strongly agree that producers should be liable for</w:t>
      </w:r>
      <w:r w:rsidRPr="00AE2D7C">
        <w:rPr>
          <w:b/>
          <w:noProof/>
          <w:sz w:val="24"/>
          <w:szCs w:val="24"/>
          <w:lang w:eastAsia="en-GB"/>
        </w:rPr>
        <w:t xml:space="preserve"> failing to provide security updates</w:t>
      </w:r>
      <w:r w:rsidRPr="00AE2D7C">
        <w:rPr>
          <w:noProof/>
          <w:sz w:val="24"/>
          <w:szCs w:val="24"/>
          <w:lang w:eastAsia="en-GB"/>
        </w:rPr>
        <w:t>. At a disaggregated level, notable differences were noticed between the positions of business and consumers. While only 31% of business associations and industries agreed or strongly agreed with the statement, 93% of consumer associations, NGOs and citizens agreed or strongly agreed.</w:t>
      </w:r>
    </w:p>
    <w:p w14:paraId="3CA6EB2E" w14:textId="77777777" w:rsidR="005A3A1C" w:rsidRPr="00AE2D7C" w:rsidRDefault="005A3A1C" w:rsidP="00DD3B24">
      <w:pPr>
        <w:pStyle w:val="ListParagraph"/>
        <w:numPr>
          <w:ilvl w:val="0"/>
          <w:numId w:val="26"/>
        </w:numPr>
        <w:spacing w:after="120"/>
        <w:ind w:left="714" w:hanging="357"/>
        <w:jc w:val="both"/>
        <w:rPr>
          <w:noProof/>
          <w:color w:val="000000" w:themeColor="text1"/>
          <w:sz w:val="24"/>
          <w:szCs w:val="24"/>
          <w:lang w:eastAsia="en-GB"/>
        </w:rPr>
      </w:pPr>
      <w:r w:rsidRPr="00AE2D7C">
        <w:rPr>
          <w:noProof/>
          <w:sz w:val="24"/>
          <w:szCs w:val="24"/>
          <w:lang w:eastAsia="en-GB"/>
        </w:rPr>
        <w:t>60% (or 168) agree or strongly agree that producers should be liable for</w:t>
      </w:r>
      <w:r w:rsidRPr="00AE2D7C">
        <w:rPr>
          <w:b/>
          <w:noProof/>
          <w:sz w:val="24"/>
          <w:szCs w:val="24"/>
          <w:lang w:eastAsia="en-GB"/>
        </w:rPr>
        <w:t xml:space="preserve"> damage to data</w:t>
      </w:r>
      <w:r w:rsidRPr="00AE2D7C">
        <w:rPr>
          <w:noProof/>
          <w:color w:val="000000" w:themeColor="text1"/>
          <w:sz w:val="24"/>
          <w:szCs w:val="24"/>
          <w:lang w:eastAsia="en-GB"/>
        </w:rPr>
        <w:t>. There were significant variations in the perspectives of businesses and consumers, with only 18% of business and industry-focused stakeholders agreeing or strongly agreeing, compared to 87% of consumer representative associations and citizens.</w:t>
      </w:r>
    </w:p>
    <w:p w14:paraId="6A99075E" w14:textId="77777777" w:rsidR="005A3A1C" w:rsidRPr="00AE2D7C" w:rsidRDefault="005A3A1C" w:rsidP="00DD3B24">
      <w:pPr>
        <w:pStyle w:val="ListParagraph"/>
        <w:numPr>
          <w:ilvl w:val="0"/>
          <w:numId w:val="26"/>
        </w:numPr>
        <w:spacing w:after="120"/>
        <w:ind w:left="714" w:hanging="357"/>
        <w:jc w:val="both"/>
        <w:rPr>
          <w:noProof/>
          <w:color w:val="222222"/>
          <w:sz w:val="24"/>
          <w:szCs w:val="24"/>
          <w:lang w:eastAsia="en-GB"/>
        </w:rPr>
      </w:pPr>
      <w:r w:rsidRPr="00AE2D7C">
        <w:rPr>
          <w:noProof/>
          <w:sz w:val="24"/>
          <w:szCs w:val="24"/>
          <w:lang w:eastAsia="en-GB"/>
        </w:rPr>
        <w:t xml:space="preserve">59% (or 165) that producers should be liable for </w:t>
      </w:r>
      <w:r w:rsidRPr="00AE2D7C">
        <w:rPr>
          <w:b/>
          <w:noProof/>
          <w:sz w:val="24"/>
          <w:szCs w:val="24"/>
          <w:lang w:eastAsia="en-GB"/>
        </w:rPr>
        <w:t>data protection infringements</w:t>
      </w:r>
      <w:r w:rsidRPr="00AE2D7C">
        <w:rPr>
          <w:noProof/>
          <w:sz w:val="24"/>
          <w:szCs w:val="24"/>
          <w:lang w:eastAsia="en-GB"/>
        </w:rPr>
        <w:t>. There was a significant difference in viewpoints between business and consumers. Whereas only 18% of businesses (individual producers and industry associations) agreed or strongly agreed, 86% of consumer stakeholders and individuals agreed or strongly agreed.</w:t>
      </w:r>
    </w:p>
    <w:p w14:paraId="0BBCA22E" w14:textId="77777777" w:rsidR="005A3A1C" w:rsidRPr="00E2027B" w:rsidRDefault="005A3A1C" w:rsidP="00DD3B24">
      <w:pPr>
        <w:pStyle w:val="ListParagraph"/>
        <w:numPr>
          <w:ilvl w:val="0"/>
          <w:numId w:val="26"/>
        </w:numPr>
        <w:spacing w:after="240"/>
        <w:ind w:left="714" w:hanging="357"/>
        <w:jc w:val="both"/>
        <w:rPr>
          <w:noProof/>
          <w:color w:val="222222"/>
          <w:lang w:eastAsia="en-GB"/>
        </w:rPr>
      </w:pPr>
      <w:r w:rsidRPr="00AE2D7C">
        <w:rPr>
          <w:noProof/>
          <w:sz w:val="24"/>
          <w:szCs w:val="24"/>
          <w:lang w:eastAsia="en-GB"/>
        </w:rPr>
        <w:t xml:space="preserve">Only around 50% of respondents agree or strongly agree that the Directive should </w:t>
      </w:r>
      <w:r w:rsidRPr="00AE2D7C">
        <w:rPr>
          <w:b/>
          <w:noProof/>
          <w:sz w:val="24"/>
          <w:szCs w:val="24"/>
          <w:lang w:eastAsia="en-GB"/>
        </w:rPr>
        <w:t>cover</w:t>
      </w:r>
      <w:r w:rsidRPr="00E2027B">
        <w:rPr>
          <w:b/>
          <w:noProof/>
          <w:lang w:eastAsia="en-GB"/>
        </w:rPr>
        <w:t xml:space="preserve"> new risks and kinds of damages</w:t>
      </w:r>
      <w:r w:rsidRPr="00552C50">
        <w:rPr>
          <w:noProof/>
          <w:lang w:eastAsia="en-GB"/>
        </w:rPr>
        <w:t xml:space="preserve"> that the digital technologies might bring.</w:t>
      </w:r>
    </w:p>
    <w:p w14:paraId="313B3B56" w14:textId="77777777" w:rsidR="005A3A1C" w:rsidRPr="00AE2D7C" w:rsidRDefault="005A3A1C" w:rsidP="00DD3B24">
      <w:pPr>
        <w:pStyle w:val="ListParagraph"/>
        <w:numPr>
          <w:ilvl w:val="0"/>
          <w:numId w:val="25"/>
        </w:numPr>
        <w:spacing w:before="240" w:after="120" w:line="276" w:lineRule="auto"/>
        <w:ind w:left="714" w:hanging="357"/>
        <w:jc w:val="both"/>
        <w:rPr>
          <w:b/>
          <w:noProof/>
          <w:color w:val="222222"/>
          <w:sz w:val="24"/>
          <w:szCs w:val="24"/>
          <w:lang w:eastAsia="en-GB"/>
        </w:rPr>
      </w:pPr>
      <w:r w:rsidRPr="00AE2D7C">
        <w:rPr>
          <w:b/>
          <w:noProof/>
          <w:color w:val="222222"/>
          <w:sz w:val="24"/>
          <w:szCs w:val="24"/>
          <w:lang w:eastAsia="en-GB"/>
        </w:rPr>
        <w:t>Adapting the Directive to the circular economy</w:t>
      </w:r>
    </w:p>
    <w:p w14:paraId="48602497" w14:textId="77777777" w:rsidR="005A3A1C" w:rsidRPr="00AE2D7C" w:rsidRDefault="005A3A1C" w:rsidP="00AE2D7C">
      <w:pPr>
        <w:spacing w:after="240" w:line="240" w:lineRule="auto"/>
        <w:jc w:val="both"/>
        <w:rPr>
          <w:rFonts w:eastAsia="Times New Roman" w:cs="Times New Roman"/>
          <w:noProof/>
          <w:color w:val="222222"/>
          <w:sz w:val="24"/>
          <w:lang w:eastAsia="en-GB"/>
        </w:rPr>
      </w:pPr>
      <w:r w:rsidRPr="00AE2D7C">
        <w:rPr>
          <w:rFonts w:eastAsia="Times New Roman" w:cs="Times New Roman"/>
          <w:noProof/>
          <w:color w:val="222222"/>
          <w:sz w:val="24"/>
          <w:lang w:eastAsia="en-GB"/>
        </w:rPr>
        <w:t>In the context of circular economy business models, changes to products after they are placed on the market are increasingly common. Respondents were asked to agree or disagree on a set of statements to better understand who should be strictly liable when repaired, refurbished or remanufactured products were defective and caused damage.</w:t>
      </w:r>
    </w:p>
    <w:p w14:paraId="2B68803C" w14:textId="77777777" w:rsidR="005A3A1C" w:rsidRPr="002F671E" w:rsidRDefault="005A3A1C" w:rsidP="005A3A1C">
      <w:pPr>
        <w:jc w:val="both"/>
        <w:rPr>
          <w:rFonts w:eastAsia="Times New Roman" w:cs="Times New Roman"/>
          <w:noProof/>
          <w:color w:val="222222"/>
          <w:lang w:eastAsia="en-GB"/>
        </w:rPr>
      </w:pPr>
      <w:r w:rsidRPr="002F671E">
        <w:rPr>
          <w:noProof/>
          <w:lang w:eastAsia="en-GB"/>
        </w:rPr>
        <w:drawing>
          <wp:inline distT="0" distB="0" distL="0" distR="0" wp14:anchorId="6F846AEB" wp14:editId="4606BC32">
            <wp:extent cx="5882640" cy="2610091"/>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30C4D4B" w14:textId="77777777" w:rsidR="005A3A1C" w:rsidRPr="00AE2D7C" w:rsidRDefault="005A3A1C" w:rsidP="00AE2D7C">
      <w:pPr>
        <w:spacing w:after="240" w:line="240" w:lineRule="auto"/>
        <w:jc w:val="both"/>
        <w:rPr>
          <w:rFonts w:cs="Times New Roman"/>
          <w:noProof/>
          <w:sz w:val="24"/>
          <w:szCs w:val="24"/>
          <w:lang w:eastAsia="en-GB"/>
        </w:rPr>
      </w:pPr>
      <w:r w:rsidRPr="00AE2D7C">
        <w:rPr>
          <w:rFonts w:cs="Times New Roman"/>
          <w:noProof/>
          <w:sz w:val="24"/>
          <w:szCs w:val="24"/>
          <w:lang w:eastAsia="en-GB"/>
        </w:rPr>
        <w:t>Over 60% of all respondents (or 164 out of 273) agree or strongly agree that the Directive should also cover defective refurbished or remanufactured products and defective spare parts that cause damage.</w:t>
      </w:r>
    </w:p>
    <w:p w14:paraId="69FE2BBB" w14:textId="77777777" w:rsidR="005A3A1C" w:rsidRPr="00AE2D7C" w:rsidRDefault="005A3A1C" w:rsidP="00AE2D7C">
      <w:pPr>
        <w:spacing w:after="240" w:line="240" w:lineRule="auto"/>
        <w:jc w:val="both"/>
        <w:rPr>
          <w:rFonts w:eastAsia="Times New Roman" w:cs="Times New Roman"/>
          <w:noProof/>
          <w:color w:val="000000" w:themeColor="text1"/>
          <w:sz w:val="24"/>
          <w:szCs w:val="24"/>
          <w:lang w:eastAsia="en-GB"/>
        </w:rPr>
      </w:pPr>
      <w:r w:rsidRPr="00AE2D7C">
        <w:rPr>
          <w:rFonts w:eastAsia="Times New Roman" w:cs="Times New Roman"/>
          <w:noProof/>
          <w:color w:val="000000" w:themeColor="text1"/>
          <w:sz w:val="24"/>
          <w:szCs w:val="24"/>
          <w:lang w:eastAsia="en-GB"/>
        </w:rPr>
        <w:t xml:space="preserve">When asked if companies that refurbish a product and place it back on the market should be strictly liable for defects causing damage, individual citizens and consumer association were more inclined to strongly agree with strict liability being applied to refurbishers, remanufacturers and the producers of defective spare parts being added to a product during repairs. In contrast, businesses were significantly more likely to either disagreeing or having no opinion on this. </w:t>
      </w:r>
    </w:p>
    <w:p w14:paraId="56E09DF1" w14:textId="77777777" w:rsidR="005A3A1C" w:rsidRPr="00AE2D7C" w:rsidRDefault="005A3A1C" w:rsidP="00AE2D7C">
      <w:pPr>
        <w:spacing w:after="240" w:line="240" w:lineRule="auto"/>
        <w:jc w:val="both"/>
        <w:rPr>
          <w:rFonts w:eastAsia="Times New Roman" w:cs="Times New Roman"/>
          <w:noProof/>
          <w:color w:val="000000" w:themeColor="text1"/>
          <w:sz w:val="24"/>
          <w:szCs w:val="24"/>
          <w:lang w:eastAsia="en-GB"/>
        </w:rPr>
      </w:pPr>
      <w:r w:rsidRPr="00AE2D7C">
        <w:rPr>
          <w:rFonts w:eastAsia="Times New Roman" w:cs="Times New Roman"/>
          <w:noProof/>
          <w:color w:val="000000" w:themeColor="text1"/>
          <w:sz w:val="24"/>
          <w:szCs w:val="24"/>
          <w:lang w:eastAsia="en-GB"/>
        </w:rPr>
        <w:t>It can be concluded that there was wide support overall for making changes to update the PLD with respect to the circular economy, and to integrate economic operators such as repairers, refurbishers and remanufacture, but with variations in the extent of support between different types of stakeholders with businesses being tendentially more sceptical.</w:t>
      </w:r>
    </w:p>
    <w:p w14:paraId="02180DCE" w14:textId="77777777" w:rsidR="005A3A1C" w:rsidRPr="00AE2D7C" w:rsidRDefault="005A3A1C" w:rsidP="00AE2D7C">
      <w:pPr>
        <w:pStyle w:val="CommentText"/>
        <w:spacing w:after="240"/>
        <w:jc w:val="both"/>
        <w:rPr>
          <w:rFonts w:cs="Times New Roman"/>
          <w:noProof/>
          <w:sz w:val="24"/>
          <w:szCs w:val="24"/>
        </w:rPr>
      </w:pPr>
      <w:r w:rsidRPr="00AE2D7C">
        <w:rPr>
          <w:rFonts w:cs="Times New Roman"/>
          <w:noProof/>
          <w:sz w:val="24"/>
          <w:szCs w:val="24"/>
        </w:rPr>
        <w:t>Business Europe, France Assureurs and the French Business Confederation (Medef), in their position papers, supported the concept of "substantial modification," in which case the economic operator making the modification assumes responsibility for the safety of the product or part of a product as new risks may arise. These stakeholders also emphasized the importance of better defining "substantial modification" in the Directive. Business Europe further noted the importance of ensuring that such definition would comply with the Machinery Regulation, the Artificial Intelligence Act, and the General Product Safety Regulation.</w:t>
      </w:r>
    </w:p>
    <w:p w14:paraId="6FD656D9" w14:textId="77777777" w:rsidR="005A3A1C" w:rsidRPr="00AE2D7C" w:rsidRDefault="005A3A1C" w:rsidP="00AE2D7C">
      <w:pPr>
        <w:spacing w:after="240" w:line="240" w:lineRule="auto"/>
        <w:jc w:val="both"/>
        <w:rPr>
          <w:rFonts w:eastAsia="Times New Roman" w:cs="Times New Roman"/>
          <w:noProof/>
          <w:color w:val="000000" w:themeColor="text1"/>
          <w:sz w:val="24"/>
          <w:szCs w:val="24"/>
          <w:lang w:eastAsia="en-GB"/>
        </w:rPr>
      </w:pPr>
      <w:r w:rsidRPr="00AE2D7C">
        <w:rPr>
          <w:rFonts w:eastAsia="Times New Roman" w:cs="Times New Roman"/>
          <w:noProof/>
          <w:color w:val="000000" w:themeColor="text1"/>
          <w:sz w:val="24"/>
          <w:szCs w:val="24"/>
          <w:lang w:eastAsia="en-GB"/>
        </w:rPr>
        <w:t xml:space="preserve">More generally, regarding the issues of extending the definition of a producer, some industry stakeholders in the stakeholder consultations were against the possibility of extending it with respect to economic actors relevant to the circular economy (e.g. refurbishers, remanufacturers), on the basis that they perceived the existing Directive as generally working well as it stands (e.g. ORGALIM). However, other industry associations (industry associations representing refurbishers and remanufacturers, and CLEPA, the association representing automotive components suppliers) supported the principle that all economic operators who derive an economic benefit from production should assume their fair share of responsibility, liability and risks, on a proportionate basis. </w:t>
      </w:r>
    </w:p>
    <w:p w14:paraId="0CCEB9D3" w14:textId="77777777" w:rsidR="005A3A1C" w:rsidRPr="00AE2D7C" w:rsidRDefault="005A3A1C" w:rsidP="00AE2D7C">
      <w:pPr>
        <w:spacing w:after="240" w:line="240" w:lineRule="auto"/>
        <w:jc w:val="both"/>
        <w:rPr>
          <w:rFonts w:eastAsia="Times New Roman" w:cs="Times New Roman"/>
          <w:noProof/>
          <w:color w:val="000000" w:themeColor="text1"/>
          <w:sz w:val="24"/>
          <w:szCs w:val="24"/>
          <w:lang w:eastAsia="en-GB"/>
        </w:rPr>
      </w:pPr>
      <w:r w:rsidRPr="00AE2D7C">
        <w:rPr>
          <w:rFonts w:eastAsia="Times New Roman" w:cs="Times New Roman"/>
          <w:noProof/>
          <w:color w:val="000000" w:themeColor="text1"/>
          <w:sz w:val="24"/>
          <w:szCs w:val="24"/>
          <w:lang w:eastAsia="en-GB"/>
        </w:rPr>
        <w:t>Circular economy associations and individual producers were in favour of updating the PLD to reflect the important role played by circular economy economic operators in some industry sectors (e.g. medical devices). Moreover, it was pointed out that in the case of circular products, when damage is incurred due to refurbished medical devices, the framework already sets provisions stipulating that manufacturer’s responsibilities are to be assumed by a person in charge of reprocessing a device, liability being one of those responsibilities under the MDR/IVDR. This allows for the identification of a responsible party and seek redress in case of damage (e.g. mentioned by COCIC medical devices industry association and individual producers such as Siemens Healthineers). The need to ensure alignment in the PLD as a horizontal supporting piece of legislation was emphasised.</w:t>
      </w:r>
    </w:p>
    <w:p w14:paraId="71BB88EC" w14:textId="77777777" w:rsidR="005A3A1C" w:rsidRPr="00AE2D7C" w:rsidRDefault="005A3A1C" w:rsidP="00DD3B24">
      <w:pPr>
        <w:pStyle w:val="ListParagraph"/>
        <w:numPr>
          <w:ilvl w:val="0"/>
          <w:numId w:val="25"/>
        </w:numPr>
        <w:spacing w:before="240" w:after="120"/>
        <w:ind w:left="714" w:hanging="357"/>
        <w:jc w:val="both"/>
        <w:rPr>
          <w:b/>
          <w:noProof/>
          <w:color w:val="222222"/>
          <w:sz w:val="24"/>
          <w:szCs w:val="24"/>
          <w:lang w:eastAsia="en-GB"/>
        </w:rPr>
      </w:pPr>
      <w:r w:rsidRPr="00AE2D7C">
        <w:rPr>
          <w:b/>
          <w:noProof/>
          <w:color w:val="222222"/>
          <w:sz w:val="24"/>
          <w:szCs w:val="24"/>
          <w:lang w:eastAsia="en-GB"/>
        </w:rPr>
        <w:t>Policy options for adapting the Directive to the digital and circular economy</w:t>
      </w:r>
    </w:p>
    <w:p w14:paraId="4280CB8E" w14:textId="77777777" w:rsidR="005A3A1C" w:rsidRPr="00AE2D7C" w:rsidRDefault="005A3A1C" w:rsidP="00AE2D7C">
      <w:pPr>
        <w:pStyle w:val="ListParagraph"/>
        <w:spacing w:after="240"/>
        <w:ind w:left="0"/>
        <w:jc w:val="both"/>
        <w:rPr>
          <w:noProof/>
          <w:sz w:val="24"/>
          <w:lang w:eastAsia="en-GB"/>
        </w:rPr>
      </w:pPr>
      <w:r w:rsidRPr="00AE2D7C">
        <w:rPr>
          <w:noProof/>
          <w:color w:val="222222"/>
          <w:sz w:val="24"/>
          <w:lang w:eastAsia="en-GB"/>
        </w:rPr>
        <w:t xml:space="preserve">Regarding the legislative change, respondents have opposite views, with academic/research institutions, consumer organisations, NGOs and four out of five government ministries supporting it while business associations and company/business organisation opposing it. Among the government ministries, </w:t>
      </w:r>
      <w:r w:rsidRPr="00AE2D7C">
        <w:rPr>
          <w:noProof/>
          <w:sz w:val="24"/>
          <w:lang w:eastAsia="en-GB"/>
        </w:rPr>
        <w:t xml:space="preserve">Austria, Estonia, Finland and Czech Republic support the legislative change, while Bulgaria is against it. </w:t>
      </w:r>
    </w:p>
    <w:p w14:paraId="620DF04F" w14:textId="27EF6624" w:rsidR="005A3A1C" w:rsidRPr="00AE2D7C" w:rsidRDefault="005A3A1C" w:rsidP="00AE2D7C">
      <w:pPr>
        <w:pStyle w:val="ListParagraph"/>
        <w:spacing w:after="120"/>
        <w:ind w:left="0"/>
        <w:jc w:val="both"/>
        <w:rPr>
          <w:noProof/>
          <w:sz w:val="24"/>
          <w:lang w:eastAsia="en-GB"/>
        </w:rPr>
      </w:pPr>
      <w:r w:rsidRPr="00AE2D7C">
        <w:rPr>
          <w:noProof/>
          <w:sz w:val="24"/>
          <w:lang w:eastAsia="en-GB"/>
        </w:rPr>
        <w:t>Overall, 5</w:t>
      </w:r>
      <w:r w:rsidR="00F469CA">
        <w:rPr>
          <w:noProof/>
          <w:sz w:val="24"/>
          <w:lang w:eastAsia="en-GB"/>
        </w:rPr>
        <w:t>6</w:t>
      </w:r>
      <w:r w:rsidRPr="00AE2D7C">
        <w:rPr>
          <w:noProof/>
          <w:sz w:val="24"/>
          <w:lang w:eastAsia="en-GB"/>
        </w:rPr>
        <w:t>%</w:t>
      </w:r>
      <w:r w:rsidR="00F469CA">
        <w:rPr>
          <w:noProof/>
          <w:sz w:val="24"/>
          <w:lang w:eastAsia="en-GB"/>
        </w:rPr>
        <w:t xml:space="preserve"> (or </w:t>
      </w:r>
      <w:r w:rsidR="001504D9">
        <w:rPr>
          <w:noProof/>
          <w:sz w:val="24"/>
          <w:lang w:eastAsia="en-GB"/>
        </w:rPr>
        <w:t>94</w:t>
      </w:r>
      <w:r w:rsidR="00F469CA">
        <w:rPr>
          <w:noProof/>
          <w:sz w:val="24"/>
          <w:lang w:eastAsia="en-GB"/>
        </w:rPr>
        <w:t xml:space="preserve"> out of 168)</w:t>
      </w:r>
      <w:r w:rsidRPr="00AE2D7C">
        <w:rPr>
          <w:noProof/>
          <w:sz w:val="24"/>
          <w:lang w:eastAsia="en-GB"/>
        </w:rPr>
        <w:t xml:space="preserve"> of respondents (excluding EU and Non-EU citizens) are in favour of legislative change. Out of this:</w:t>
      </w:r>
    </w:p>
    <w:p w14:paraId="4BC8EBDA" w14:textId="73DADEC6" w:rsidR="005A3A1C" w:rsidRPr="00AE2D7C" w:rsidRDefault="005A3A1C" w:rsidP="00DD3B24">
      <w:pPr>
        <w:pStyle w:val="ListParagraph"/>
        <w:numPr>
          <w:ilvl w:val="1"/>
          <w:numId w:val="24"/>
        </w:numPr>
        <w:spacing w:after="120"/>
        <w:ind w:left="1077" w:hanging="357"/>
        <w:jc w:val="both"/>
        <w:rPr>
          <w:noProof/>
          <w:sz w:val="24"/>
          <w:lang w:eastAsia="en-GB"/>
        </w:rPr>
      </w:pPr>
      <w:r w:rsidRPr="00AE2D7C">
        <w:rPr>
          <w:noProof/>
          <w:sz w:val="24"/>
          <w:lang w:eastAsia="en-GB"/>
        </w:rPr>
        <w:t>62%</w:t>
      </w:r>
      <w:r w:rsidR="002951C8">
        <w:rPr>
          <w:noProof/>
          <w:sz w:val="24"/>
          <w:lang w:eastAsia="en-GB"/>
        </w:rPr>
        <w:t xml:space="preserve"> (or 58)</w:t>
      </w:r>
      <w:r w:rsidRPr="00AE2D7C">
        <w:rPr>
          <w:noProof/>
          <w:sz w:val="24"/>
          <w:lang w:eastAsia="en-GB"/>
        </w:rPr>
        <w:t xml:space="preserve"> are in favour of treating digital content/software as a product in its own right; </w:t>
      </w:r>
    </w:p>
    <w:p w14:paraId="760CEC46" w14:textId="3CC70D03" w:rsidR="005A3A1C" w:rsidRPr="00AE2D7C" w:rsidRDefault="005A3A1C" w:rsidP="00DD3B24">
      <w:pPr>
        <w:pStyle w:val="ListParagraph"/>
        <w:numPr>
          <w:ilvl w:val="1"/>
          <w:numId w:val="24"/>
        </w:numPr>
        <w:spacing w:after="240"/>
        <w:jc w:val="both"/>
        <w:rPr>
          <w:noProof/>
          <w:sz w:val="24"/>
          <w:lang w:eastAsia="en-GB"/>
        </w:rPr>
      </w:pPr>
      <w:r w:rsidRPr="00AE2D7C">
        <w:rPr>
          <w:noProof/>
          <w:sz w:val="24"/>
          <w:lang w:eastAsia="en-GB"/>
        </w:rPr>
        <w:t xml:space="preserve">38% </w:t>
      </w:r>
      <w:r w:rsidR="002951C8">
        <w:rPr>
          <w:noProof/>
          <w:sz w:val="24"/>
          <w:lang w:eastAsia="en-GB"/>
        </w:rPr>
        <w:t>(or 36)</w:t>
      </w:r>
      <w:r w:rsidRPr="00AE2D7C">
        <w:rPr>
          <w:noProof/>
          <w:sz w:val="24"/>
          <w:lang w:eastAsia="en-GB"/>
        </w:rPr>
        <w:t xml:space="preserve"> are in favour of only covering digital content as a component of a tangible product.</w:t>
      </w:r>
    </w:p>
    <w:p w14:paraId="68D130B7" w14:textId="257DD3AA" w:rsidR="005A3A1C" w:rsidRPr="00AE2D7C" w:rsidRDefault="005A3A1C" w:rsidP="00AE2D7C">
      <w:pPr>
        <w:pStyle w:val="ListParagraph"/>
        <w:spacing w:after="240"/>
        <w:ind w:left="0"/>
        <w:jc w:val="both"/>
        <w:rPr>
          <w:noProof/>
          <w:sz w:val="24"/>
          <w:lang w:eastAsia="en-GB"/>
        </w:rPr>
      </w:pPr>
      <w:r w:rsidRPr="00AE2D7C">
        <w:rPr>
          <w:noProof/>
          <w:sz w:val="24"/>
          <w:lang w:eastAsia="en-GB"/>
        </w:rPr>
        <w:t xml:space="preserve">Among private respondents, 75% </w:t>
      </w:r>
      <w:r w:rsidR="001504D9" w:rsidRPr="00AE2D7C">
        <w:rPr>
          <w:noProof/>
          <w:sz w:val="24"/>
          <w:lang w:eastAsia="en-GB"/>
        </w:rPr>
        <w:t>(</w:t>
      </w:r>
      <w:r w:rsidR="00CD754B">
        <w:rPr>
          <w:noProof/>
          <w:sz w:val="24"/>
          <w:lang w:eastAsia="en-GB"/>
        </w:rPr>
        <w:t xml:space="preserve">or </w:t>
      </w:r>
      <w:r w:rsidR="001504D9" w:rsidRPr="00AE2D7C">
        <w:rPr>
          <w:noProof/>
          <w:sz w:val="24"/>
          <w:lang w:eastAsia="en-GB"/>
        </w:rPr>
        <w:t>93 out of 123)</w:t>
      </w:r>
      <w:r w:rsidR="001504D9">
        <w:rPr>
          <w:noProof/>
          <w:sz w:val="24"/>
          <w:lang w:eastAsia="en-GB"/>
        </w:rPr>
        <w:t xml:space="preserve"> </w:t>
      </w:r>
      <w:r w:rsidRPr="00AE2D7C">
        <w:rPr>
          <w:noProof/>
          <w:sz w:val="24"/>
          <w:lang w:eastAsia="en-GB"/>
        </w:rPr>
        <w:t>replied that the EU should revise the Directive to address the challenges posed by the digital and circular economy.</w:t>
      </w:r>
    </w:p>
    <w:p w14:paraId="3C46BCEA" w14:textId="660C5EE8" w:rsidR="005A3A1C" w:rsidRPr="009E76CC" w:rsidRDefault="002E7937" w:rsidP="002E7937">
      <w:pPr>
        <w:pStyle w:val="Heading2"/>
        <w:rPr>
          <w:noProof/>
        </w:rPr>
      </w:pPr>
      <w:bookmarkStart w:id="873" w:name="_Toc95482008"/>
      <w:bookmarkStart w:id="874" w:name="_Toc96337800"/>
      <w:bookmarkStart w:id="875" w:name="_Toc96446280"/>
      <w:bookmarkStart w:id="876" w:name="_Toc96448052"/>
      <w:bookmarkStart w:id="877" w:name="_Toc96594001"/>
      <w:bookmarkStart w:id="878" w:name="_Toc96597292"/>
      <w:bookmarkStart w:id="879" w:name="_Toc96609227"/>
      <w:bookmarkStart w:id="880" w:name="_Toc97149256"/>
      <w:bookmarkStart w:id="881" w:name="_Toc97191302"/>
      <w:bookmarkStart w:id="882" w:name="_Toc107430112"/>
      <w:r w:rsidRPr="002E7937">
        <w:t>4.5.</w:t>
      </w:r>
      <w:r w:rsidRPr="002E7937">
        <w:tab/>
      </w:r>
      <w:r w:rsidR="005A3A1C" w:rsidRPr="009E76CC">
        <w:rPr>
          <w:noProof/>
        </w:rPr>
        <w:t>Reducing obstacles to making claims and getting compensation</w:t>
      </w:r>
      <w:bookmarkEnd w:id="873"/>
      <w:bookmarkEnd w:id="874"/>
      <w:bookmarkEnd w:id="875"/>
      <w:bookmarkEnd w:id="876"/>
      <w:bookmarkEnd w:id="877"/>
      <w:bookmarkEnd w:id="878"/>
      <w:bookmarkEnd w:id="879"/>
      <w:bookmarkEnd w:id="880"/>
      <w:bookmarkEnd w:id="881"/>
      <w:bookmarkEnd w:id="882"/>
    </w:p>
    <w:p w14:paraId="00CA2E16" w14:textId="77777777" w:rsidR="005A3A1C" w:rsidRPr="00AE2D7C" w:rsidRDefault="005A3A1C" w:rsidP="00AE2D7C">
      <w:pPr>
        <w:spacing w:after="240" w:line="240" w:lineRule="auto"/>
        <w:jc w:val="both"/>
        <w:rPr>
          <w:rFonts w:eastAsia="Times New Roman" w:cs="Times New Roman"/>
          <w:noProof/>
          <w:color w:val="222222"/>
          <w:sz w:val="24"/>
          <w:lang w:eastAsia="en-GB"/>
        </w:rPr>
      </w:pPr>
      <w:r w:rsidRPr="00AE2D7C">
        <w:rPr>
          <w:rFonts w:eastAsia="Times New Roman" w:cs="Times New Roman"/>
          <w:noProof/>
          <w:color w:val="222222"/>
          <w:sz w:val="24"/>
          <w:lang w:eastAsia="en-GB"/>
        </w:rPr>
        <w:t>The Evaluation of the Directive found that in some cases consumers faced or could face significant difficulties in claiming and getting compensation for damage caused by defective products.</w:t>
      </w:r>
    </w:p>
    <w:p w14:paraId="6756A3A2" w14:textId="77777777" w:rsidR="005A3A1C" w:rsidRPr="00AE2D7C" w:rsidRDefault="005A3A1C" w:rsidP="00DD3B24">
      <w:pPr>
        <w:pStyle w:val="ListParagraph"/>
        <w:numPr>
          <w:ilvl w:val="0"/>
          <w:numId w:val="25"/>
        </w:numPr>
        <w:spacing w:before="240" w:after="120" w:line="276" w:lineRule="auto"/>
        <w:ind w:left="714" w:hanging="357"/>
        <w:jc w:val="both"/>
        <w:rPr>
          <w:b/>
          <w:noProof/>
          <w:color w:val="222222"/>
          <w:sz w:val="24"/>
          <w:szCs w:val="24"/>
          <w:lang w:eastAsia="en-GB"/>
        </w:rPr>
      </w:pPr>
      <w:r w:rsidRPr="00AE2D7C">
        <w:rPr>
          <w:b/>
          <w:noProof/>
          <w:color w:val="222222"/>
          <w:sz w:val="24"/>
          <w:szCs w:val="24"/>
          <w:lang w:eastAsia="en-GB"/>
        </w:rPr>
        <w:t>Reducing obstacles to getting compensation</w:t>
      </w:r>
    </w:p>
    <w:p w14:paraId="01D06D0D" w14:textId="19ED8E30"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Respondents point to difficulties in proving defectiveness and causality in the event of damage due to the technical complexity of certain products. In particular, they pointed to moderate, large and very large difficulties in case of: AI-enabled products (77% or 206 out of 268), technically complex products (77% or 206 out of 268), IoT products (72% or 193 out of 268) and pharmaceuticals (65% or 175 out of 270). Consumer organizations, non-governmental organizations, and citizens were all in agreement when it came to emphasizing such challenges, with 95</w:t>
      </w:r>
      <w:r w:rsidR="005C03C0">
        <w:rPr>
          <w:rFonts w:eastAsia="Times New Roman" w:cs="Times New Roman"/>
          <w:noProof/>
          <w:color w:val="222222"/>
          <w:sz w:val="24"/>
          <w:szCs w:val="24"/>
          <w:lang w:eastAsia="en-GB"/>
        </w:rPr>
        <w:t>%, on average,</w:t>
      </w:r>
      <w:r w:rsidRPr="00AE2D7C">
        <w:rPr>
          <w:rFonts w:eastAsia="Times New Roman" w:cs="Times New Roman"/>
          <w:noProof/>
          <w:color w:val="222222"/>
          <w:sz w:val="24"/>
          <w:szCs w:val="24"/>
          <w:lang w:eastAsia="en-GB"/>
        </w:rPr>
        <w:t xml:space="preserve"> pointing to moderate, large, or very large difficulties for each of these items. Business organizations and industries, on the other hand, were less likely to identify such a problem, with 38%, on average, acknowledging such challenges in demonstrating defectiveness and causality in the event of damage caused by the aforementioned products.</w:t>
      </w:r>
    </w:p>
    <w:p w14:paraId="33F43994" w14:textId="77777777" w:rsidR="005A3A1C" w:rsidRPr="00AE2D7C" w:rsidRDefault="005A3A1C" w:rsidP="00AE2D7C">
      <w:pPr>
        <w:pStyle w:val="CommentText"/>
        <w:spacing w:after="240"/>
        <w:jc w:val="both"/>
        <w:rPr>
          <w:rFonts w:cs="Times New Roman"/>
          <w:noProof/>
          <w:sz w:val="24"/>
          <w:szCs w:val="24"/>
          <w:lang w:eastAsia="da-DK"/>
        </w:rPr>
      </w:pPr>
      <w:r w:rsidRPr="00AE2D7C">
        <w:rPr>
          <w:rFonts w:cs="Times New Roman"/>
          <w:noProof/>
          <w:sz w:val="24"/>
          <w:szCs w:val="24"/>
          <w:lang w:eastAsia="da-DK"/>
        </w:rPr>
        <w:t>The digital security industry (Eurosmart) has argued, in its position paper, that the Directive should be aligned with new form of damages such as loss of data, while software developers, given their role in terms of security and safety, should be considered as producers. According to the game developer federation (EGDF), potential loss or damages compensated by a price decrease should be only limited to any economic loss.</w:t>
      </w:r>
    </w:p>
    <w:p w14:paraId="3B51C2E7" w14:textId="6383BE28" w:rsidR="005A3A1C" w:rsidRPr="00AE2D7C" w:rsidRDefault="005A3A1C" w:rsidP="00AE2D7C">
      <w:pPr>
        <w:pStyle w:val="CommentText"/>
        <w:spacing w:after="240"/>
        <w:jc w:val="both"/>
        <w:rPr>
          <w:rFonts w:cs="Times New Roman"/>
          <w:noProof/>
          <w:sz w:val="24"/>
          <w:szCs w:val="24"/>
          <w:lang w:eastAsia="da-DK"/>
        </w:rPr>
      </w:pPr>
      <w:r w:rsidRPr="00AE2D7C">
        <w:rPr>
          <w:rFonts w:cs="Times New Roman"/>
          <w:noProof/>
          <w:sz w:val="24"/>
          <w:szCs w:val="24"/>
          <w:lang w:eastAsia="da-DK"/>
        </w:rPr>
        <w:t>The vast majority</w:t>
      </w:r>
      <w:r w:rsidRPr="00AE2D7C">
        <w:rPr>
          <w:rStyle w:val="FootnoteReference"/>
          <w:noProof/>
          <w:sz w:val="24"/>
          <w:szCs w:val="24"/>
          <w:lang w:eastAsia="da-DK"/>
        </w:rPr>
        <w:footnoteReference w:id="269"/>
      </w:r>
      <w:r w:rsidRPr="00AE2D7C">
        <w:rPr>
          <w:rFonts w:cs="Times New Roman"/>
          <w:noProof/>
          <w:sz w:val="24"/>
          <w:szCs w:val="24"/>
          <w:lang w:eastAsia="da-DK"/>
        </w:rPr>
        <w:t xml:space="preserve"> of digital industries and business associations representing industry interests, who contributed position papers, expressed strong opposition to harmonising compensation also in the case the use of technology cause an immaterial damage. On the contrary, an American digital company (ACM) and other actors representing an academic institution and consumer associations</w:t>
      </w:r>
      <w:r w:rsidRPr="00AE2D7C">
        <w:rPr>
          <w:rStyle w:val="FootnoteReference"/>
          <w:noProof/>
          <w:sz w:val="24"/>
          <w:szCs w:val="24"/>
          <w:lang w:eastAsia="da-DK"/>
        </w:rPr>
        <w:footnoteReference w:id="270"/>
      </w:r>
      <w:r w:rsidRPr="00AE2D7C">
        <w:rPr>
          <w:rFonts w:cs="Times New Roman"/>
          <w:noProof/>
          <w:sz w:val="24"/>
          <w:szCs w:val="24"/>
          <w:lang w:eastAsia="da-DK"/>
        </w:rPr>
        <w:t xml:space="preserve"> advocated for the inclusion of immaterial harm among the damages covered by the revised Directive. The Austrian Chamber of Labour further stated that all enterprises participating in the value chain should be held jointly and severally liable, and suggested that affected people be assigned to a "single point of contact</w:t>
      </w:r>
      <w:r w:rsidR="000E6B57" w:rsidRPr="00AE2D7C">
        <w:rPr>
          <w:rFonts w:cs="Times New Roman"/>
          <w:noProof/>
          <w:sz w:val="24"/>
          <w:szCs w:val="24"/>
          <w:lang w:eastAsia="da-DK"/>
        </w:rPr>
        <w:t>"</w:t>
      </w:r>
      <w:r w:rsidRPr="00AE2D7C">
        <w:rPr>
          <w:rFonts w:cs="Times New Roman"/>
          <w:noProof/>
          <w:sz w:val="24"/>
          <w:szCs w:val="24"/>
          <w:lang w:eastAsia="da-DK"/>
        </w:rPr>
        <w:t>.</w:t>
      </w:r>
    </w:p>
    <w:p w14:paraId="4AAEE41F" w14:textId="4490D131" w:rsidR="005A3A1C" w:rsidRPr="00AE2D7C" w:rsidRDefault="0044165E" w:rsidP="00AE2D7C">
      <w:pPr>
        <w:pStyle w:val="CommentText"/>
        <w:spacing w:after="240"/>
        <w:jc w:val="both"/>
        <w:rPr>
          <w:rFonts w:cs="Times New Roman"/>
          <w:noProof/>
          <w:sz w:val="24"/>
          <w:szCs w:val="24"/>
          <w:lang w:eastAsia="da-DK"/>
        </w:rPr>
      </w:pPr>
      <w:r>
        <w:rPr>
          <w:rFonts w:cs="Times New Roman"/>
          <w:noProof/>
          <w:sz w:val="24"/>
          <w:szCs w:val="24"/>
          <w:lang w:eastAsia="da-DK"/>
        </w:rPr>
        <w:t>T</w:t>
      </w:r>
      <w:r w:rsidR="005A3A1C" w:rsidRPr="00AE2D7C">
        <w:rPr>
          <w:rFonts w:cs="Times New Roman"/>
          <w:noProof/>
          <w:sz w:val="24"/>
          <w:szCs w:val="24"/>
          <w:lang w:eastAsia="da-DK"/>
        </w:rPr>
        <w:t xml:space="preserve">he German Federal Government argued that immaterial damage should be left to Member States, while it would be important, when revising the Directive, to consider damage to digital property, such as loss of data that results in economic loss. BVMed, on the other hand, supports the argument that data breaches or loss are already sufficiently covered by Article 82 of the General Data Protection Regulation (GDPR) and that environmental damages </w:t>
      </w:r>
      <w:r w:rsidR="00606331">
        <w:rPr>
          <w:rFonts w:cs="Times New Roman"/>
          <w:noProof/>
          <w:sz w:val="24"/>
          <w:szCs w:val="24"/>
          <w:lang w:eastAsia="da-DK"/>
        </w:rPr>
        <w:t>is</w:t>
      </w:r>
      <w:r w:rsidR="005A3A1C" w:rsidRPr="00AE2D7C">
        <w:rPr>
          <w:rFonts w:cs="Times New Roman"/>
          <w:noProof/>
          <w:sz w:val="24"/>
          <w:szCs w:val="24"/>
          <w:lang w:eastAsia="da-DK"/>
        </w:rPr>
        <w:t xml:space="preserve"> be governed by special environmental laws. </w:t>
      </w:r>
    </w:p>
    <w:p w14:paraId="327248B0" w14:textId="77777777" w:rsidR="005A3A1C" w:rsidRPr="00AE2D7C" w:rsidRDefault="005A3A1C" w:rsidP="00DD3B24">
      <w:pPr>
        <w:pStyle w:val="ListParagraph"/>
        <w:numPr>
          <w:ilvl w:val="0"/>
          <w:numId w:val="25"/>
        </w:numPr>
        <w:spacing w:before="240" w:after="120" w:line="276" w:lineRule="auto"/>
        <w:ind w:left="714" w:hanging="357"/>
        <w:jc w:val="both"/>
        <w:rPr>
          <w:b/>
          <w:noProof/>
          <w:color w:val="222222"/>
          <w:sz w:val="24"/>
          <w:szCs w:val="24"/>
          <w:lang w:eastAsia="en-GB"/>
        </w:rPr>
      </w:pPr>
      <w:r w:rsidRPr="00AE2D7C">
        <w:rPr>
          <w:b/>
          <w:noProof/>
          <w:color w:val="222222"/>
          <w:sz w:val="24"/>
          <w:szCs w:val="24"/>
          <w:lang w:eastAsia="en-GB"/>
        </w:rPr>
        <w:t>The development risk defence (DRD)</w:t>
      </w:r>
    </w:p>
    <w:p w14:paraId="655B5017" w14:textId="77777777" w:rsidR="005A3A1C" w:rsidRPr="00AE2D7C" w:rsidRDefault="005A3A1C" w:rsidP="00AE2D7C">
      <w:pPr>
        <w:spacing w:after="240" w:line="240" w:lineRule="auto"/>
        <w:jc w:val="both"/>
        <w:rPr>
          <w:rFonts w:eastAsia="Times New Roman" w:cs="Times New Roman"/>
          <w:noProof/>
          <w:color w:val="222222"/>
          <w:sz w:val="24"/>
          <w:lang w:eastAsia="en-GB"/>
        </w:rPr>
      </w:pPr>
      <w:r w:rsidRPr="00AE2D7C">
        <w:rPr>
          <w:rFonts w:eastAsia="Times New Roman" w:cs="Times New Roman"/>
          <w:noProof/>
          <w:color w:val="222222"/>
          <w:sz w:val="24"/>
          <w:lang w:eastAsia="en-GB"/>
        </w:rPr>
        <w:t>Respondents with detailed knowledge of the PLD (excluding members of the public) were consulted on the possibility for producers to use the development risk defence with the following results:</w:t>
      </w:r>
    </w:p>
    <w:p w14:paraId="7B1C7F7C" w14:textId="2B04186A" w:rsidR="005A3A1C" w:rsidRPr="002F671E" w:rsidRDefault="005A3A1C" w:rsidP="005A3A1C">
      <w:pPr>
        <w:jc w:val="both"/>
        <w:rPr>
          <w:rFonts w:eastAsia="Times New Roman" w:cs="Times New Roman"/>
          <w:noProof/>
          <w:color w:val="222222"/>
          <w:lang w:eastAsia="en-GB"/>
        </w:rPr>
      </w:pPr>
      <w:r w:rsidRPr="002F671E">
        <w:rPr>
          <w:noProof/>
          <w:lang w:eastAsia="en-GB"/>
        </w:rPr>
        <w:drawing>
          <wp:inline distT="0" distB="0" distL="0" distR="0" wp14:anchorId="0B6EA9B3" wp14:editId="77533A93">
            <wp:extent cx="5975288" cy="2965010"/>
            <wp:effectExtent l="0" t="0" r="6985"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F539EED" w14:textId="0915A865" w:rsidR="005A3A1C" w:rsidRPr="00AE2D7C" w:rsidRDefault="005A3A1C" w:rsidP="00AE2D7C">
      <w:pPr>
        <w:spacing w:after="240" w:line="240" w:lineRule="auto"/>
        <w:jc w:val="both"/>
        <w:rPr>
          <w:rFonts w:cs="Times New Roman"/>
          <w:noProof/>
          <w:color w:val="FF0000"/>
          <w:sz w:val="24"/>
          <w:lang w:eastAsia="en-GB"/>
        </w:rPr>
      </w:pPr>
      <w:r w:rsidRPr="00AE2D7C">
        <w:rPr>
          <w:rFonts w:cs="Times New Roman"/>
          <w:noProof/>
          <w:sz w:val="24"/>
          <w:lang w:eastAsia="en-GB"/>
        </w:rPr>
        <w:t xml:space="preserve">On the possibility of removing DRD from the Directive, overall 51% (or 57 out of 112) of respondents disagreed or strongly disagreed and among those, the vast majority were business and industries. </w:t>
      </w:r>
      <w:r w:rsidRPr="00AE2D7C">
        <w:rPr>
          <w:rFonts w:cs="Times New Roman"/>
          <w:noProof/>
          <w:color w:val="000000" w:themeColor="text1"/>
          <w:sz w:val="24"/>
          <w:lang w:eastAsia="en-GB"/>
        </w:rPr>
        <w:t>The position papers revealed why industry was generally in favor of maintaining the development risk defen</w:t>
      </w:r>
      <w:r w:rsidR="00606331">
        <w:rPr>
          <w:rFonts w:cs="Times New Roman"/>
          <w:noProof/>
          <w:color w:val="000000" w:themeColor="text1"/>
          <w:sz w:val="24"/>
          <w:lang w:eastAsia="en-GB"/>
        </w:rPr>
        <w:t>c</w:t>
      </w:r>
      <w:r w:rsidRPr="00AE2D7C">
        <w:rPr>
          <w:rFonts w:cs="Times New Roman"/>
          <w:noProof/>
          <w:color w:val="000000" w:themeColor="text1"/>
          <w:sz w:val="24"/>
          <w:lang w:eastAsia="en-GB"/>
        </w:rPr>
        <w:t>e. For example, Insurance Europe argued that removing existing defence mechanisms would deter technological innovation and hinder economic development, as they are needed to help EU producers remain competitive in the international market. Similarly, the European Pharmaceutical Industry Association (EFPIA) determined that development risk defen</w:t>
      </w:r>
      <w:r w:rsidR="00606331">
        <w:rPr>
          <w:rFonts w:cs="Times New Roman"/>
          <w:noProof/>
          <w:color w:val="000000" w:themeColor="text1"/>
          <w:sz w:val="24"/>
          <w:lang w:eastAsia="en-GB"/>
        </w:rPr>
        <w:t>c</w:t>
      </w:r>
      <w:r w:rsidRPr="00AE2D7C">
        <w:rPr>
          <w:rFonts w:cs="Times New Roman"/>
          <w:noProof/>
          <w:color w:val="000000" w:themeColor="text1"/>
          <w:sz w:val="24"/>
          <w:lang w:eastAsia="en-GB"/>
        </w:rPr>
        <w:t>e is critical in ensuring that producers are not penalized for factors beyond their control, especially in fast-paced technological changes and innovation markets with accelerated renewal cycles and frequent product upgrades. Removing the development risk defen</w:t>
      </w:r>
      <w:r w:rsidR="00606331">
        <w:rPr>
          <w:rFonts w:cs="Times New Roman"/>
          <w:noProof/>
          <w:color w:val="000000" w:themeColor="text1"/>
          <w:sz w:val="24"/>
          <w:lang w:eastAsia="en-GB"/>
        </w:rPr>
        <w:t>c</w:t>
      </w:r>
      <w:r w:rsidRPr="00AE2D7C">
        <w:rPr>
          <w:rFonts w:cs="Times New Roman"/>
          <w:noProof/>
          <w:color w:val="000000" w:themeColor="text1"/>
          <w:sz w:val="24"/>
          <w:lang w:eastAsia="en-GB"/>
        </w:rPr>
        <w:t xml:space="preserve">e would "put unreasonable obligations on producers to constantly inspect, validate, and approve future product versions." </w:t>
      </w:r>
    </w:p>
    <w:p w14:paraId="1604ACB6" w14:textId="77777777" w:rsidR="005A3A1C" w:rsidRPr="00AE2D7C" w:rsidRDefault="005A3A1C" w:rsidP="00AE2D7C">
      <w:pPr>
        <w:spacing w:after="240" w:line="240" w:lineRule="auto"/>
        <w:jc w:val="both"/>
        <w:rPr>
          <w:rFonts w:cs="Times New Roman"/>
          <w:noProof/>
          <w:sz w:val="24"/>
          <w:lang w:eastAsia="en-GB"/>
        </w:rPr>
      </w:pPr>
      <w:r w:rsidRPr="00AE2D7C">
        <w:rPr>
          <w:rFonts w:cs="Times New Roman"/>
          <w:noProof/>
          <w:sz w:val="24"/>
          <w:lang w:eastAsia="en-GB"/>
        </w:rPr>
        <w:t xml:space="preserve">Regarding the possibility of keeping the DRD unchanged, this was supported by industry but not by consumers or their representative associations. Overall, 56% (or 63 out of 113) of respondents expressed there should be no change. Out of this 56%, the vast majority of respondents were business or industries while consumer associations, NGOs and citizens strongly favoured the revision of the DRD. </w:t>
      </w:r>
    </w:p>
    <w:p w14:paraId="4C6287F3" w14:textId="689901E7" w:rsidR="005A3A1C" w:rsidRPr="00AE2D7C" w:rsidRDefault="005A3A1C" w:rsidP="00AE2D7C">
      <w:pPr>
        <w:spacing w:after="240" w:line="240" w:lineRule="auto"/>
        <w:jc w:val="both"/>
        <w:rPr>
          <w:rFonts w:eastAsia="Times New Roman" w:cs="Times New Roman"/>
          <w:noProof/>
          <w:color w:val="222222"/>
          <w:sz w:val="24"/>
          <w:lang w:eastAsia="en-GB"/>
        </w:rPr>
      </w:pPr>
      <w:r w:rsidRPr="00AE2D7C">
        <w:rPr>
          <w:rFonts w:cs="Times New Roman"/>
          <w:noProof/>
          <w:sz w:val="24"/>
          <w:lang w:eastAsia="en-GB"/>
        </w:rPr>
        <w:t>Of the possible changes suggested in the questionnaire, the one that received most support (39% of respondents (or 44 out of 112) agreed or strongly agreed) was denying the defence for AI products that continue to learn and adapt while in operation. However, it is important to flag that this question was only asked to respondents with a detailed knowledge of the PLD, 58% of which were from business associations and/or company/business organisations.</w:t>
      </w:r>
      <w:r w:rsidR="00402CDB">
        <w:rPr>
          <w:rFonts w:cs="Times New Roman"/>
          <w:noProof/>
          <w:sz w:val="24"/>
          <w:lang w:eastAsia="en-GB"/>
        </w:rPr>
        <w:t xml:space="preserve"> </w:t>
      </w:r>
    </w:p>
    <w:p w14:paraId="7B065A34" w14:textId="77777777" w:rsidR="005A3A1C" w:rsidRPr="00AE2D7C" w:rsidRDefault="005A3A1C" w:rsidP="00DD3B24">
      <w:pPr>
        <w:pStyle w:val="ListParagraph"/>
        <w:numPr>
          <w:ilvl w:val="0"/>
          <w:numId w:val="25"/>
        </w:numPr>
        <w:spacing w:before="240" w:after="120" w:line="276" w:lineRule="auto"/>
        <w:ind w:left="714" w:hanging="357"/>
        <w:jc w:val="both"/>
        <w:rPr>
          <w:b/>
          <w:noProof/>
          <w:color w:val="222222"/>
          <w:sz w:val="24"/>
          <w:szCs w:val="24"/>
          <w:lang w:eastAsia="en-GB"/>
        </w:rPr>
      </w:pPr>
      <w:r w:rsidRPr="00AE2D7C">
        <w:rPr>
          <w:b/>
          <w:noProof/>
          <w:color w:val="222222"/>
          <w:sz w:val="24"/>
          <w:szCs w:val="24"/>
          <w:lang w:eastAsia="en-GB"/>
        </w:rPr>
        <w:t>Making claims</w:t>
      </w:r>
    </w:p>
    <w:p w14:paraId="3DBF706E" w14:textId="77777777" w:rsidR="005A3A1C" w:rsidRPr="00AE2D7C" w:rsidRDefault="005A3A1C" w:rsidP="00AE2D7C">
      <w:pPr>
        <w:spacing w:after="240" w:line="240" w:lineRule="auto"/>
        <w:jc w:val="both"/>
        <w:rPr>
          <w:rFonts w:eastAsia="Times New Roman" w:cs="Times New Roman"/>
          <w:noProof/>
          <w:color w:val="222222"/>
          <w:sz w:val="24"/>
          <w:lang w:eastAsia="en-GB"/>
        </w:rPr>
      </w:pPr>
      <w:r w:rsidRPr="00AE2D7C">
        <w:rPr>
          <w:rFonts w:eastAsia="Times New Roman" w:cs="Times New Roman"/>
          <w:noProof/>
          <w:color w:val="222222"/>
          <w:sz w:val="24"/>
          <w:lang w:eastAsia="en-GB"/>
        </w:rPr>
        <w:t>Finally, respondents were asked for their opinion on whether the following features of the Directive create obstacles to consumers making compensation claims:</w:t>
      </w:r>
    </w:p>
    <w:p w14:paraId="74490965" w14:textId="77777777"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noProof/>
          <w:sz w:val="24"/>
          <w:szCs w:val="24"/>
          <w:lang w:eastAsia="en-GB"/>
        </w:rPr>
        <w:drawing>
          <wp:inline distT="0" distB="0" distL="0" distR="0" wp14:anchorId="1D6E7E5A" wp14:editId="32F20708">
            <wp:extent cx="5891514" cy="3246699"/>
            <wp:effectExtent l="0" t="0" r="14605"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0FA54F0" w14:textId="467311BB"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Overall, 55% (or 1</w:t>
      </w:r>
      <w:r w:rsidR="004A566B">
        <w:rPr>
          <w:rFonts w:eastAsia="Times New Roman" w:cs="Times New Roman"/>
          <w:noProof/>
          <w:color w:val="222222"/>
          <w:sz w:val="24"/>
          <w:szCs w:val="24"/>
          <w:lang w:eastAsia="en-GB"/>
        </w:rPr>
        <w:t>47</w:t>
      </w:r>
      <w:r w:rsidRPr="00AE2D7C">
        <w:rPr>
          <w:rFonts w:eastAsia="Times New Roman" w:cs="Times New Roman"/>
          <w:noProof/>
          <w:color w:val="222222"/>
          <w:sz w:val="24"/>
          <w:szCs w:val="24"/>
          <w:lang w:eastAsia="en-GB"/>
        </w:rPr>
        <w:t xml:space="preserve"> out of </w:t>
      </w:r>
      <w:r w:rsidR="004A566B">
        <w:rPr>
          <w:rFonts w:eastAsia="Times New Roman" w:cs="Times New Roman"/>
          <w:noProof/>
          <w:color w:val="222222"/>
          <w:sz w:val="24"/>
          <w:szCs w:val="24"/>
          <w:lang w:eastAsia="en-GB"/>
        </w:rPr>
        <w:t>269</w:t>
      </w:r>
      <w:r w:rsidRPr="00AE2D7C">
        <w:rPr>
          <w:rFonts w:eastAsia="Times New Roman" w:cs="Times New Roman"/>
          <w:noProof/>
          <w:color w:val="222222"/>
          <w:sz w:val="24"/>
          <w:szCs w:val="24"/>
          <w:lang w:eastAsia="en-GB"/>
        </w:rPr>
        <w:t xml:space="preserve">) of respondents indicated that the EUR 500 thresholds for damage to property creates obstacles to consumers making compensation claims to either a moderate, large or very large extent. </w:t>
      </w:r>
      <w:r w:rsidR="0077268A">
        <w:rPr>
          <w:rFonts w:eastAsia="Times New Roman" w:cs="Times New Roman"/>
          <w:noProof/>
          <w:color w:val="222222"/>
          <w:sz w:val="24"/>
          <w:szCs w:val="24"/>
          <w:lang w:eastAsia="en-GB"/>
        </w:rPr>
        <w:t xml:space="preserve">While non-business respondents accounted for </w:t>
      </w:r>
      <w:r w:rsidR="00056FB1">
        <w:rPr>
          <w:rFonts w:eastAsia="Times New Roman" w:cs="Times New Roman"/>
          <w:noProof/>
          <w:color w:val="222222"/>
          <w:sz w:val="24"/>
          <w:szCs w:val="24"/>
          <w:lang w:eastAsia="en-GB"/>
        </w:rPr>
        <w:t xml:space="preserve">89% (or 131), business stakeholders </w:t>
      </w:r>
      <w:r w:rsidR="00DC62A7">
        <w:rPr>
          <w:rFonts w:eastAsia="Times New Roman" w:cs="Times New Roman"/>
          <w:noProof/>
          <w:color w:val="222222"/>
          <w:sz w:val="24"/>
          <w:szCs w:val="24"/>
          <w:lang w:eastAsia="en-GB"/>
        </w:rPr>
        <w:t>represented</w:t>
      </w:r>
      <w:r w:rsidR="00056FB1">
        <w:rPr>
          <w:rFonts w:eastAsia="Times New Roman" w:cs="Times New Roman"/>
          <w:noProof/>
          <w:color w:val="222222"/>
          <w:sz w:val="24"/>
          <w:szCs w:val="24"/>
          <w:lang w:eastAsia="en-GB"/>
        </w:rPr>
        <w:t xml:space="preserve"> the remaining 11% (or 19).</w:t>
      </w:r>
      <w:r w:rsidRPr="00AE2D7C">
        <w:rPr>
          <w:rFonts w:eastAsia="Times New Roman" w:cs="Times New Roman"/>
          <w:noProof/>
          <w:color w:val="222222"/>
          <w:sz w:val="24"/>
          <w:szCs w:val="24"/>
          <w:lang w:eastAsia="en-GB"/>
        </w:rPr>
        <w:t xml:space="preserve"> </w:t>
      </w:r>
      <w:r w:rsidR="00056FB1">
        <w:rPr>
          <w:rFonts w:eastAsia="Times New Roman" w:cs="Times New Roman"/>
          <w:noProof/>
          <w:color w:val="222222"/>
          <w:sz w:val="24"/>
          <w:szCs w:val="24"/>
          <w:lang w:eastAsia="en-GB"/>
        </w:rPr>
        <w:t>Furthermore</w:t>
      </w:r>
      <w:r w:rsidRPr="00AE2D7C">
        <w:rPr>
          <w:rFonts w:eastAsia="Times New Roman" w:cs="Times New Roman"/>
          <w:noProof/>
          <w:color w:val="222222"/>
          <w:sz w:val="24"/>
          <w:szCs w:val="24"/>
          <w:lang w:eastAsia="en-GB"/>
        </w:rPr>
        <w:t>, 51% (or 140 out of 274) of respondents indicated that the 10 years-time limit for death/personal injury creates obstacles to consumers making compensation claims to either a moderate, large or very large extent.</w:t>
      </w:r>
      <w:r w:rsidR="00D475D9">
        <w:rPr>
          <w:rFonts w:eastAsia="Times New Roman" w:cs="Times New Roman"/>
          <w:noProof/>
          <w:color w:val="222222"/>
          <w:sz w:val="24"/>
          <w:szCs w:val="24"/>
          <w:lang w:eastAsia="en-GB"/>
        </w:rPr>
        <w:t xml:space="preserve"> </w:t>
      </w:r>
      <w:r w:rsidR="00DC62A7">
        <w:rPr>
          <w:rFonts w:eastAsia="Times New Roman" w:cs="Times New Roman"/>
          <w:noProof/>
          <w:color w:val="222222"/>
          <w:sz w:val="24"/>
          <w:szCs w:val="24"/>
          <w:lang w:eastAsia="en-GB"/>
        </w:rPr>
        <w:t>Out of this 51%, 89% (or 125) were non-business respondents, while 11% (or 15) were</w:t>
      </w:r>
      <w:r w:rsidR="00875060">
        <w:rPr>
          <w:rFonts w:eastAsia="Times New Roman" w:cs="Times New Roman"/>
          <w:noProof/>
          <w:color w:val="222222"/>
          <w:sz w:val="24"/>
          <w:szCs w:val="24"/>
          <w:lang w:eastAsia="en-GB"/>
        </w:rPr>
        <w:t xml:space="preserve"> </w:t>
      </w:r>
      <w:r w:rsidR="00DC62A7">
        <w:rPr>
          <w:rFonts w:eastAsia="Times New Roman" w:cs="Times New Roman"/>
          <w:noProof/>
          <w:color w:val="222222"/>
          <w:sz w:val="24"/>
          <w:szCs w:val="24"/>
          <w:lang w:eastAsia="en-GB"/>
        </w:rPr>
        <w:t>business respondents.</w:t>
      </w:r>
      <w:r w:rsidR="00402CDB">
        <w:rPr>
          <w:rFonts w:eastAsia="Times New Roman" w:cs="Times New Roman"/>
          <w:noProof/>
          <w:color w:val="222222"/>
          <w:sz w:val="24"/>
          <w:szCs w:val="24"/>
          <w:lang w:eastAsia="en-GB"/>
        </w:rPr>
        <w:t xml:space="preserve"> </w:t>
      </w:r>
    </w:p>
    <w:p w14:paraId="0E994EBC" w14:textId="77777777"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 xml:space="preserve">Concerning the possibility of removing the EUR 500 threshold, industry feedback as evidenced by some of the position papers, was mostly negative. One example included the view of the EFPIA association, which found there was still a need to maintain the €500 minimum threshold for damage to launch a claim, in order to avoid litigation in an excessive number of cases. However, BEUC in its position paper argued the threshold to be inadequate because firstly, it excludes a large range of immaterial damages such as data destruction, and second, because the threshold is arbitrary. </w:t>
      </w:r>
    </w:p>
    <w:p w14:paraId="2A6E4A14" w14:textId="77777777" w:rsidR="005A3A1C" w:rsidRPr="00AE2D7C" w:rsidRDefault="005A3A1C" w:rsidP="00AE2D7C">
      <w:pPr>
        <w:spacing w:after="240" w:line="240" w:lineRule="auto"/>
        <w:jc w:val="both"/>
        <w:rPr>
          <w:rFonts w:eastAsia="Times New Roman" w:cs="Times New Roman"/>
          <w:noProof/>
          <w:color w:val="000000" w:themeColor="text1"/>
          <w:sz w:val="24"/>
          <w:szCs w:val="24"/>
          <w:lang w:eastAsia="en-GB"/>
        </w:rPr>
      </w:pPr>
      <w:r w:rsidRPr="00AE2D7C">
        <w:rPr>
          <w:rFonts w:eastAsia="Times New Roman" w:cs="Times New Roman"/>
          <w:noProof/>
          <w:color w:val="000000" w:themeColor="text1"/>
          <w:sz w:val="24"/>
          <w:szCs w:val="24"/>
          <w:lang w:eastAsia="en-GB"/>
        </w:rPr>
        <w:t>Concerning the potential impediment that producers are released from liability for property damage 10 years after placing a product on the market, this was not among the POs considered. While there are some items where personal injury may occur as a result of damage that is only identified later (e.g., latent health injuries), this is not the case for property damage where the harm is discovered within the current maximum time requirement of 10 years. Only 10% (or 27 out of 274) believed this was a major impediment, 14% (or 38) thought it was a major impediment, and 19% (or 53) thought it was a moderate impediment. This compared to 20% (or 55) who stated only to a limited extent and 27% (or 74) who stated not at all. The remaining 10% (or 27) stated that they do not know.</w:t>
      </w:r>
    </w:p>
    <w:p w14:paraId="641CBB8D" w14:textId="5D2F2A3E" w:rsidR="005A3A1C" w:rsidRPr="00AE2D7C" w:rsidRDefault="005A3A1C" w:rsidP="00AE2D7C">
      <w:pPr>
        <w:spacing w:after="240" w:line="240" w:lineRule="auto"/>
        <w:jc w:val="both"/>
        <w:rPr>
          <w:rFonts w:eastAsia="Times New Roman" w:cs="Times New Roman"/>
          <w:noProof/>
          <w:color w:val="000000" w:themeColor="text1"/>
          <w:sz w:val="24"/>
          <w:szCs w:val="24"/>
          <w:lang w:eastAsia="en-GB"/>
        </w:rPr>
      </w:pPr>
      <w:r w:rsidRPr="00AE2D7C">
        <w:rPr>
          <w:rFonts w:eastAsia="Times New Roman" w:cs="Times New Roman"/>
          <w:noProof/>
          <w:color w:val="000000" w:themeColor="text1"/>
          <w:sz w:val="24"/>
          <w:szCs w:val="24"/>
          <w:lang w:eastAsia="en-GB"/>
        </w:rPr>
        <w:t xml:space="preserve">Finally, when it came to the potential impediment that producers are relieved from liability 10 years after placing a product on the market, only 10% (or </w:t>
      </w:r>
      <w:r w:rsidR="00283A39">
        <w:rPr>
          <w:rFonts w:eastAsia="Times New Roman" w:cs="Times New Roman"/>
          <w:noProof/>
          <w:color w:val="000000" w:themeColor="text1"/>
          <w:sz w:val="24"/>
          <w:szCs w:val="24"/>
          <w:lang w:eastAsia="en-GB"/>
        </w:rPr>
        <w:t>26</w:t>
      </w:r>
      <w:r w:rsidR="00283A39" w:rsidRPr="00AE2D7C">
        <w:rPr>
          <w:rFonts w:eastAsia="Times New Roman" w:cs="Times New Roman"/>
          <w:noProof/>
          <w:color w:val="000000" w:themeColor="text1"/>
          <w:sz w:val="24"/>
          <w:szCs w:val="24"/>
          <w:lang w:eastAsia="en-GB"/>
        </w:rPr>
        <w:t xml:space="preserve"> </w:t>
      </w:r>
      <w:r w:rsidRPr="00AE2D7C">
        <w:rPr>
          <w:rFonts w:eastAsia="Times New Roman" w:cs="Times New Roman"/>
          <w:noProof/>
          <w:color w:val="000000" w:themeColor="text1"/>
          <w:sz w:val="24"/>
          <w:szCs w:val="24"/>
          <w:lang w:eastAsia="en-GB"/>
        </w:rPr>
        <w:t>out of 27</w:t>
      </w:r>
      <w:r w:rsidR="00441B30">
        <w:rPr>
          <w:rFonts w:eastAsia="Times New Roman" w:cs="Times New Roman"/>
          <w:noProof/>
          <w:color w:val="000000" w:themeColor="text1"/>
          <w:sz w:val="24"/>
          <w:szCs w:val="24"/>
          <w:lang w:eastAsia="en-GB"/>
        </w:rPr>
        <w:t>1</w:t>
      </w:r>
      <w:r w:rsidR="00A14A23">
        <w:rPr>
          <w:rFonts w:eastAsia="Times New Roman" w:cs="Times New Roman"/>
          <w:noProof/>
          <w:color w:val="000000" w:themeColor="text1"/>
          <w:sz w:val="24"/>
          <w:szCs w:val="24"/>
          <w:lang w:eastAsia="en-GB"/>
        </w:rPr>
        <w:t xml:space="preserve">) thought it was an </w:t>
      </w:r>
      <w:r w:rsidRPr="00AE2D7C">
        <w:rPr>
          <w:rFonts w:eastAsia="Times New Roman" w:cs="Times New Roman"/>
          <w:noProof/>
          <w:color w:val="000000" w:themeColor="text1"/>
          <w:sz w:val="24"/>
          <w:szCs w:val="24"/>
          <w:lang w:eastAsia="en-GB"/>
        </w:rPr>
        <w:t>impediment</w:t>
      </w:r>
      <w:r w:rsidR="00A14A23">
        <w:rPr>
          <w:rFonts w:eastAsia="Times New Roman" w:cs="Times New Roman"/>
          <w:noProof/>
          <w:color w:val="000000" w:themeColor="text1"/>
          <w:sz w:val="24"/>
          <w:szCs w:val="24"/>
          <w:lang w:eastAsia="en-GB"/>
        </w:rPr>
        <w:t xml:space="preserve"> to a very large extent</w:t>
      </w:r>
      <w:r w:rsidRPr="00AE2D7C">
        <w:rPr>
          <w:rFonts w:eastAsia="Times New Roman" w:cs="Times New Roman"/>
          <w:noProof/>
          <w:color w:val="000000" w:themeColor="text1"/>
          <w:sz w:val="24"/>
          <w:szCs w:val="24"/>
          <w:lang w:eastAsia="en-GB"/>
        </w:rPr>
        <w:t>, 14% % (or 38) thought i</w:t>
      </w:r>
      <w:r w:rsidR="00441B30">
        <w:rPr>
          <w:rFonts w:eastAsia="Times New Roman" w:cs="Times New Roman"/>
          <w:noProof/>
          <w:color w:val="000000" w:themeColor="text1"/>
          <w:sz w:val="24"/>
          <w:szCs w:val="24"/>
          <w:lang w:eastAsia="en-GB"/>
        </w:rPr>
        <w:t>t was a</w:t>
      </w:r>
      <w:r w:rsidR="00A14A23">
        <w:rPr>
          <w:rFonts w:eastAsia="Times New Roman" w:cs="Times New Roman"/>
          <w:noProof/>
          <w:color w:val="000000" w:themeColor="text1"/>
          <w:sz w:val="24"/>
          <w:szCs w:val="24"/>
          <w:lang w:eastAsia="en-GB"/>
        </w:rPr>
        <w:t xml:space="preserve">n </w:t>
      </w:r>
      <w:r w:rsidR="00441B30">
        <w:rPr>
          <w:rFonts w:eastAsia="Times New Roman" w:cs="Times New Roman"/>
          <w:noProof/>
          <w:color w:val="000000" w:themeColor="text1"/>
          <w:sz w:val="24"/>
          <w:szCs w:val="24"/>
          <w:lang w:eastAsia="en-GB"/>
        </w:rPr>
        <w:t>impediment</w:t>
      </w:r>
      <w:r w:rsidR="00A14A23">
        <w:rPr>
          <w:rFonts w:eastAsia="Times New Roman" w:cs="Times New Roman"/>
          <w:noProof/>
          <w:color w:val="000000" w:themeColor="text1"/>
          <w:sz w:val="24"/>
          <w:szCs w:val="24"/>
          <w:lang w:eastAsia="en-GB"/>
        </w:rPr>
        <w:t xml:space="preserve"> to a large extent</w:t>
      </w:r>
      <w:r w:rsidR="00441B30">
        <w:rPr>
          <w:rFonts w:eastAsia="Times New Roman" w:cs="Times New Roman"/>
          <w:noProof/>
          <w:color w:val="000000" w:themeColor="text1"/>
          <w:sz w:val="24"/>
          <w:szCs w:val="24"/>
          <w:lang w:eastAsia="en-GB"/>
        </w:rPr>
        <w:t>, an</w:t>
      </w:r>
      <w:r w:rsidR="00283A39">
        <w:rPr>
          <w:rFonts w:eastAsia="Times New Roman" w:cs="Times New Roman"/>
          <w:noProof/>
          <w:color w:val="000000" w:themeColor="text1"/>
          <w:sz w:val="24"/>
          <w:szCs w:val="24"/>
          <w:lang w:eastAsia="en-GB"/>
        </w:rPr>
        <w:t>d</w:t>
      </w:r>
      <w:r w:rsidR="00441B30">
        <w:rPr>
          <w:rFonts w:eastAsia="Times New Roman" w:cs="Times New Roman"/>
          <w:noProof/>
          <w:color w:val="000000" w:themeColor="text1"/>
          <w:sz w:val="24"/>
          <w:szCs w:val="24"/>
          <w:lang w:eastAsia="en-GB"/>
        </w:rPr>
        <w:t xml:space="preserve"> </w:t>
      </w:r>
      <w:r w:rsidR="00283A39">
        <w:rPr>
          <w:rFonts w:eastAsia="Times New Roman" w:cs="Times New Roman"/>
          <w:noProof/>
          <w:color w:val="000000" w:themeColor="text1"/>
          <w:sz w:val="24"/>
          <w:szCs w:val="24"/>
          <w:lang w:eastAsia="en-GB"/>
        </w:rPr>
        <w:t>19%</w:t>
      </w:r>
      <w:r w:rsidRPr="00AE2D7C">
        <w:rPr>
          <w:rFonts w:eastAsia="Times New Roman" w:cs="Times New Roman"/>
          <w:noProof/>
          <w:color w:val="000000" w:themeColor="text1"/>
          <w:sz w:val="24"/>
          <w:szCs w:val="24"/>
          <w:lang w:eastAsia="en-GB"/>
        </w:rPr>
        <w:t xml:space="preserve"> (or </w:t>
      </w:r>
      <w:r w:rsidR="00283A39">
        <w:rPr>
          <w:rFonts w:eastAsia="Times New Roman" w:cs="Times New Roman"/>
          <w:noProof/>
          <w:color w:val="000000" w:themeColor="text1"/>
          <w:sz w:val="24"/>
          <w:szCs w:val="24"/>
          <w:lang w:eastAsia="en-GB"/>
        </w:rPr>
        <w:t>52</w:t>
      </w:r>
      <w:r w:rsidRPr="00AE2D7C">
        <w:rPr>
          <w:rFonts w:eastAsia="Times New Roman" w:cs="Times New Roman"/>
          <w:noProof/>
          <w:color w:val="000000" w:themeColor="text1"/>
          <w:sz w:val="24"/>
          <w:szCs w:val="24"/>
          <w:lang w:eastAsia="en-GB"/>
        </w:rPr>
        <w:t>) thought it was a moderate impediment.</w:t>
      </w:r>
      <w:r w:rsidR="00283A39">
        <w:rPr>
          <w:rStyle w:val="FootnoteReference"/>
          <w:rFonts w:eastAsia="Times New Roman"/>
          <w:noProof/>
          <w:color w:val="000000" w:themeColor="text1"/>
          <w:sz w:val="24"/>
          <w:szCs w:val="24"/>
          <w:lang w:eastAsia="en-GB"/>
        </w:rPr>
        <w:footnoteReference w:id="271"/>
      </w:r>
      <w:r w:rsidRPr="00AE2D7C">
        <w:rPr>
          <w:rFonts w:eastAsia="Times New Roman" w:cs="Times New Roman"/>
          <w:noProof/>
          <w:color w:val="000000" w:themeColor="text1"/>
          <w:sz w:val="24"/>
          <w:szCs w:val="24"/>
          <w:lang w:eastAsia="en-GB"/>
        </w:rPr>
        <w:t xml:space="preserve"> This compares to </w:t>
      </w:r>
      <w:r w:rsidR="00283A39">
        <w:rPr>
          <w:rFonts w:eastAsia="Times New Roman" w:cs="Times New Roman"/>
          <w:noProof/>
          <w:color w:val="000000" w:themeColor="text1"/>
          <w:sz w:val="24"/>
          <w:szCs w:val="24"/>
          <w:lang w:eastAsia="en-GB"/>
        </w:rPr>
        <w:t>20</w:t>
      </w:r>
      <w:r w:rsidRPr="00AE2D7C">
        <w:rPr>
          <w:rFonts w:eastAsia="Times New Roman" w:cs="Times New Roman"/>
          <w:noProof/>
          <w:color w:val="000000" w:themeColor="text1"/>
          <w:sz w:val="24"/>
          <w:szCs w:val="24"/>
          <w:lang w:eastAsia="en-GB"/>
        </w:rPr>
        <w:t>% (or</w:t>
      </w:r>
      <w:r w:rsidR="00283A39">
        <w:rPr>
          <w:rFonts w:eastAsia="Times New Roman" w:cs="Times New Roman"/>
          <w:noProof/>
          <w:color w:val="000000" w:themeColor="text1"/>
          <w:sz w:val="24"/>
          <w:szCs w:val="24"/>
          <w:lang w:eastAsia="en-GB"/>
        </w:rPr>
        <w:t xml:space="preserve"> 55</w:t>
      </w:r>
      <w:r w:rsidRPr="00AE2D7C">
        <w:rPr>
          <w:rFonts w:eastAsia="Times New Roman" w:cs="Times New Roman"/>
          <w:noProof/>
          <w:color w:val="000000" w:themeColor="text1"/>
          <w:sz w:val="24"/>
          <w:szCs w:val="24"/>
          <w:lang w:eastAsia="en-GB"/>
        </w:rPr>
        <w:t xml:space="preserve">) who said only to a limited extent and </w:t>
      </w:r>
      <w:r w:rsidR="00283A39">
        <w:rPr>
          <w:rFonts w:eastAsia="Times New Roman" w:cs="Times New Roman"/>
          <w:noProof/>
          <w:color w:val="000000" w:themeColor="text1"/>
          <w:sz w:val="24"/>
          <w:szCs w:val="24"/>
          <w:lang w:eastAsia="en-GB"/>
        </w:rPr>
        <w:t>27</w:t>
      </w:r>
      <w:r w:rsidRPr="00AE2D7C">
        <w:rPr>
          <w:rFonts w:eastAsia="Times New Roman" w:cs="Times New Roman"/>
          <w:noProof/>
          <w:color w:val="000000" w:themeColor="text1"/>
          <w:sz w:val="24"/>
          <w:szCs w:val="24"/>
          <w:lang w:eastAsia="en-GB"/>
        </w:rPr>
        <w:t>% (or</w:t>
      </w:r>
      <w:r w:rsidR="00283A39">
        <w:rPr>
          <w:rFonts w:eastAsia="Times New Roman" w:cs="Times New Roman"/>
          <w:noProof/>
          <w:color w:val="000000" w:themeColor="text1"/>
          <w:sz w:val="24"/>
          <w:szCs w:val="24"/>
          <w:lang w:eastAsia="en-GB"/>
        </w:rPr>
        <w:t xml:space="preserve"> 73</w:t>
      </w:r>
      <w:r w:rsidRPr="00AE2D7C">
        <w:rPr>
          <w:rFonts w:eastAsia="Times New Roman" w:cs="Times New Roman"/>
          <w:noProof/>
          <w:color w:val="000000" w:themeColor="text1"/>
          <w:sz w:val="24"/>
          <w:szCs w:val="24"/>
          <w:lang w:eastAsia="en-GB"/>
        </w:rPr>
        <w:t xml:space="preserve">) who said not at all. The pharmaceutical industry EFPIA, in its position paper, was against to any extension of the 10-year timeframe noting that it might lead to concerns with data processing and retention methods. The Austrian Chamber of Commerce, on the other hand, concluded that such an expansion would be required to respond to technological growth, since the negative implications of some digital applications would only get more severe. </w:t>
      </w:r>
    </w:p>
    <w:p w14:paraId="3D540BB4" w14:textId="77777777" w:rsidR="005A3A1C" w:rsidRPr="00AE2D7C" w:rsidRDefault="005A3A1C" w:rsidP="00DD3B24">
      <w:pPr>
        <w:pStyle w:val="ListParagraph"/>
        <w:numPr>
          <w:ilvl w:val="0"/>
          <w:numId w:val="25"/>
        </w:numPr>
        <w:spacing w:before="240" w:after="120" w:line="276" w:lineRule="auto"/>
        <w:ind w:left="714" w:hanging="357"/>
        <w:jc w:val="both"/>
        <w:rPr>
          <w:b/>
          <w:noProof/>
          <w:color w:val="222222"/>
          <w:sz w:val="24"/>
          <w:szCs w:val="24"/>
          <w:lang w:eastAsia="en-GB"/>
        </w:rPr>
      </w:pPr>
      <w:r w:rsidRPr="00AE2D7C">
        <w:rPr>
          <w:b/>
          <w:noProof/>
          <w:color w:val="222222"/>
          <w:sz w:val="24"/>
          <w:szCs w:val="24"/>
          <w:lang w:eastAsia="en-GB"/>
        </w:rPr>
        <w:t>Policy Options for reducing obstacles to making claims and getting compensation</w:t>
      </w:r>
    </w:p>
    <w:p w14:paraId="5C51DF6A" w14:textId="77777777"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 xml:space="preserve">Respondents showed opposite views regarding their support to a legislative change for reducing obstacles to making claims and getting compensation. On one side, business associations, company/business organisations as well as the Bulgarian Ministry for the Economy against a legislative change, while academic/research institutions, consumer organisations, NGOs as well as four government ministries (Austria, Estonia, Finland and Czech Republic), supporting the legislative change. </w:t>
      </w:r>
    </w:p>
    <w:p w14:paraId="4BF4DC58" w14:textId="68A2B763"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 xml:space="preserve">Overall, 53% </w:t>
      </w:r>
      <w:r w:rsidR="001504D9">
        <w:rPr>
          <w:rFonts w:eastAsia="Times New Roman" w:cs="Times New Roman"/>
          <w:noProof/>
          <w:color w:val="222222"/>
          <w:sz w:val="24"/>
          <w:szCs w:val="24"/>
          <w:lang w:eastAsia="en-GB"/>
        </w:rPr>
        <w:t>(or 89 out of 168)</w:t>
      </w:r>
      <w:r w:rsidRPr="00AE2D7C">
        <w:rPr>
          <w:rFonts w:eastAsia="Times New Roman" w:cs="Times New Roman"/>
          <w:noProof/>
          <w:color w:val="222222"/>
          <w:sz w:val="24"/>
          <w:szCs w:val="24"/>
          <w:lang w:eastAsia="en-GB"/>
        </w:rPr>
        <w:t xml:space="preserve"> of all respondents (except members of the public) were in favour of legislative change. 75% </w:t>
      </w:r>
      <w:r w:rsidR="002951C8">
        <w:rPr>
          <w:rFonts w:eastAsia="Times New Roman" w:cs="Times New Roman"/>
          <w:noProof/>
          <w:color w:val="222222"/>
          <w:sz w:val="24"/>
          <w:szCs w:val="24"/>
          <w:lang w:eastAsia="en-GB"/>
        </w:rPr>
        <w:t>(or 67)</w:t>
      </w:r>
      <w:r w:rsidRPr="00AE2D7C">
        <w:rPr>
          <w:rFonts w:eastAsia="Times New Roman" w:cs="Times New Roman"/>
          <w:noProof/>
          <w:color w:val="222222"/>
          <w:sz w:val="24"/>
          <w:szCs w:val="24"/>
          <w:lang w:eastAsia="en-GB"/>
        </w:rPr>
        <w:t xml:space="preserve"> of</w:t>
      </w:r>
      <w:r w:rsidR="00402CDB">
        <w:rPr>
          <w:rFonts w:eastAsia="Times New Roman" w:cs="Times New Roman"/>
          <w:noProof/>
          <w:color w:val="222222"/>
          <w:sz w:val="24"/>
          <w:szCs w:val="24"/>
          <w:lang w:eastAsia="en-GB"/>
        </w:rPr>
        <w:t xml:space="preserve"> </w:t>
      </w:r>
      <w:r w:rsidRPr="00AE2D7C">
        <w:rPr>
          <w:rFonts w:eastAsia="Times New Roman" w:cs="Times New Roman"/>
          <w:noProof/>
          <w:color w:val="222222"/>
          <w:sz w:val="24"/>
          <w:szCs w:val="24"/>
          <w:lang w:eastAsia="en-GB"/>
        </w:rPr>
        <w:t xml:space="preserve">respondents (except members of the public) agreed with alleviating the burden of proof for technically complex products by obliging the producer to disclose technical information and by allowing courts to infer that a product is defective or caused the damage under certain circumstances (they indicated it as being either their preferred option or second best option). </w:t>
      </w:r>
    </w:p>
    <w:p w14:paraId="0BB5F8F5" w14:textId="571A3015"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 xml:space="preserve">Among members of the public, 78% </w:t>
      </w:r>
      <w:r w:rsidR="001504D9" w:rsidRPr="00AE2D7C">
        <w:rPr>
          <w:rFonts w:eastAsia="Times New Roman" w:cs="Times New Roman"/>
          <w:noProof/>
          <w:color w:val="222222"/>
          <w:sz w:val="24"/>
          <w:szCs w:val="24"/>
          <w:lang w:eastAsia="en-GB"/>
        </w:rPr>
        <w:t>(96 out of 123)</w:t>
      </w:r>
      <w:r w:rsidRPr="00AE2D7C">
        <w:rPr>
          <w:rFonts w:eastAsia="Times New Roman" w:cs="Times New Roman"/>
          <w:noProof/>
          <w:color w:val="222222"/>
          <w:sz w:val="24"/>
          <w:szCs w:val="24"/>
          <w:lang w:eastAsia="en-GB"/>
        </w:rPr>
        <w:t xml:space="preserve"> replied that the EU should revise the Directive to address obstacles to making claims and getting compensation under the Directive.</w:t>
      </w:r>
    </w:p>
    <w:p w14:paraId="5F1C9270" w14:textId="58984E9A" w:rsidR="005A3A1C" w:rsidRPr="009E76CC" w:rsidRDefault="002E7937" w:rsidP="002E7937">
      <w:pPr>
        <w:pStyle w:val="Heading1"/>
        <w:rPr>
          <w:noProof/>
        </w:rPr>
      </w:pPr>
      <w:bookmarkStart w:id="883" w:name="_Toc95482009"/>
      <w:bookmarkStart w:id="884" w:name="_Toc96337801"/>
      <w:bookmarkStart w:id="885" w:name="_Toc96446281"/>
      <w:bookmarkStart w:id="886" w:name="_Toc96448053"/>
      <w:bookmarkStart w:id="887" w:name="_Toc96594002"/>
      <w:bookmarkStart w:id="888" w:name="_Toc96597293"/>
      <w:bookmarkStart w:id="889" w:name="_Toc96609228"/>
      <w:bookmarkStart w:id="890" w:name="_Toc97149257"/>
      <w:bookmarkStart w:id="891" w:name="_Toc97191303"/>
      <w:bookmarkStart w:id="892" w:name="_Toc107430113"/>
      <w:r w:rsidRPr="002E7937">
        <w:t>5.</w:t>
      </w:r>
      <w:r w:rsidRPr="002E7937">
        <w:tab/>
      </w:r>
      <w:r w:rsidR="005A3A1C" w:rsidRPr="009E76CC">
        <w:rPr>
          <w:noProof/>
        </w:rPr>
        <w:t>Targeted Consultation</w:t>
      </w:r>
      <w:bookmarkEnd w:id="883"/>
      <w:bookmarkEnd w:id="884"/>
      <w:bookmarkEnd w:id="885"/>
      <w:bookmarkEnd w:id="886"/>
      <w:bookmarkEnd w:id="887"/>
      <w:bookmarkEnd w:id="888"/>
      <w:bookmarkEnd w:id="889"/>
      <w:bookmarkEnd w:id="890"/>
      <w:bookmarkEnd w:id="891"/>
      <w:bookmarkEnd w:id="892"/>
    </w:p>
    <w:p w14:paraId="662ABECF" w14:textId="77777777" w:rsidR="005A3A1C" w:rsidRPr="00AE2D7C" w:rsidRDefault="005A3A1C" w:rsidP="00AE2D7C">
      <w:pPr>
        <w:spacing w:after="240" w:line="240" w:lineRule="auto"/>
        <w:jc w:val="both"/>
        <w:rPr>
          <w:rFonts w:eastAsia="Times New Roman" w:cs="Times New Roman"/>
          <w:b/>
          <w:noProof/>
          <w:color w:val="222222"/>
          <w:sz w:val="24"/>
          <w:szCs w:val="24"/>
          <w:lang w:eastAsia="en-GB"/>
        </w:rPr>
      </w:pPr>
      <w:r w:rsidRPr="00AE2D7C">
        <w:rPr>
          <w:rFonts w:eastAsia="Times New Roman" w:cs="Times New Roman"/>
          <w:noProof/>
          <w:color w:val="222222"/>
          <w:sz w:val="24"/>
          <w:szCs w:val="24"/>
          <w:lang w:eastAsia="en-GB"/>
        </w:rPr>
        <w:t xml:space="preserve">The online consultation was launched by the external consultant on 30 July 2021 and closed on 8 November 2021, </w:t>
      </w:r>
      <w:r w:rsidRPr="00AE2D7C">
        <w:rPr>
          <w:rFonts w:cs="Times New Roman"/>
          <w:noProof/>
          <w:sz w:val="24"/>
          <w:szCs w:val="24"/>
        </w:rPr>
        <w:t xml:space="preserve">and received </w:t>
      </w:r>
      <w:r w:rsidRPr="00AE2D7C">
        <w:rPr>
          <w:rFonts w:eastAsia="Times New Roman" w:cs="Times New Roman"/>
          <w:noProof/>
          <w:color w:val="222222"/>
          <w:sz w:val="24"/>
          <w:szCs w:val="24"/>
          <w:lang w:eastAsia="en-GB"/>
        </w:rPr>
        <w:t xml:space="preserve">93 responses. However, among those 93, only 36 participants completed the survey fully, while other 57 partially finalised the questionnaire, only answering selected questions. </w:t>
      </w:r>
    </w:p>
    <w:p w14:paraId="10E6E92A" w14:textId="77777777"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 xml:space="preserve">Out of the total 93 responses, 42 were from industry association (45%). Among the additional stakeholder groups contributing to the responses (both fully complete and incomplete), 14 were Consumer/Victims’ organisations (15%), 14 were Insurance firms (15%), 7 were legal firms (8%), 6 were academic and legal researchers (6%), 6 considered themselves as other (6%), 3 were economic operators (3%) and one was national/notifying authority. </w:t>
      </w:r>
    </w:p>
    <w:p w14:paraId="058B9B32" w14:textId="77777777" w:rsidR="005A3A1C" w:rsidRPr="00AE2D7C" w:rsidRDefault="005A3A1C" w:rsidP="00AE2D7C">
      <w:pPr>
        <w:spacing w:after="240" w:line="240" w:lineRule="auto"/>
        <w:jc w:val="both"/>
        <w:rPr>
          <w:rFonts w:eastAsia="Times New Roman" w:cs="Times New Roman"/>
          <w:noProof/>
          <w:color w:val="222222"/>
          <w:sz w:val="24"/>
          <w:szCs w:val="24"/>
          <w:lang w:eastAsia="en-GB"/>
        </w:rPr>
      </w:pPr>
      <w:r w:rsidRPr="00AE2D7C">
        <w:rPr>
          <w:rFonts w:eastAsia="Times New Roman" w:cs="Times New Roman"/>
          <w:noProof/>
          <w:color w:val="222222"/>
          <w:sz w:val="24"/>
          <w:szCs w:val="24"/>
          <w:lang w:eastAsia="en-GB"/>
        </w:rPr>
        <w:t>The proposed questionnaire was consistent with the questions presented as part of the European Commission's public consultation. Overall, despite the low rate of participation to this consultation, the examination of the findings revealed a high degree of agreement with the outcome of the public consultation.</w:t>
      </w:r>
    </w:p>
    <w:p w14:paraId="57CD83B6" w14:textId="54D05D4E" w:rsidR="005A3A1C" w:rsidRPr="0007095A" w:rsidRDefault="002E7937" w:rsidP="002E7937">
      <w:pPr>
        <w:pStyle w:val="Heading1"/>
        <w:rPr>
          <w:noProof/>
        </w:rPr>
      </w:pPr>
      <w:bookmarkStart w:id="893" w:name="_Toc95482010"/>
      <w:bookmarkStart w:id="894" w:name="_Toc96337802"/>
      <w:bookmarkStart w:id="895" w:name="_Toc96446282"/>
      <w:bookmarkStart w:id="896" w:name="_Toc96448054"/>
      <w:bookmarkStart w:id="897" w:name="_Toc96594003"/>
      <w:bookmarkStart w:id="898" w:name="_Toc96597294"/>
      <w:bookmarkStart w:id="899" w:name="_Toc96609229"/>
      <w:bookmarkStart w:id="900" w:name="_Toc97149258"/>
      <w:bookmarkStart w:id="901" w:name="_Toc97191304"/>
      <w:bookmarkStart w:id="902" w:name="_Toc107430114"/>
      <w:r w:rsidRPr="002E7937">
        <w:t>6.</w:t>
      </w:r>
      <w:r w:rsidRPr="002E7937">
        <w:tab/>
      </w:r>
      <w:r w:rsidR="005A3A1C" w:rsidRPr="0007095A">
        <w:rPr>
          <w:noProof/>
        </w:rPr>
        <w:t>Interviews conducted by external contractor</w:t>
      </w:r>
      <w:bookmarkEnd w:id="893"/>
      <w:bookmarkEnd w:id="894"/>
      <w:bookmarkEnd w:id="895"/>
      <w:bookmarkEnd w:id="896"/>
      <w:bookmarkEnd w:id="897"/>
      <w:bookmarkEnd w:id="898"/>
      <w:bookmarkEnd w:id="899"/>
      <w:bookmarkEnd w:id="900"/>
      <w:bookmarkEnd w:id="901"/>
      <w:bookmarkEnd w:id="902"/>
    </w:p>
    <w:p w14:paraId="0242BFF4" w14:textId="77777777" w:rsidR="005A3A1C" w:rsidRPr="00AE2D7C" w:rsidRDefault="005A3A1C" w:rsidP="00AE2D7C">
      <w:pPr>
        <w:spacing w:after="240" w:line="240" w:lineRule="auto"/>
        <w:jc w:val="both"/>
        <w:rPr>
          <w:rFonts w:cs="Times New Roman"/>
          <w:noProof/>
          <w:sz w:val="24"/>
        </w:rPr>
      </w:pPr>
      <w:r w:rsidRPr="00AE2D7C">
        <w:rPr>
          <w:rFonts w:cs="Times New Roman"/>
          <w:noProof/>
          <w:sz w:val="24"/>
        </w:rPr>
        <w:t xml:space="preserve">80 stakeholders were interviewed in the </w:t>
      </w:r>
      <w:r w:rsidRPr="00AE2D7C">
        <w:rPr>
          <w:rFonts w:cs="Times New Roman"/>
          <w:b/>
          <w:bCs/>
          <w:noProof/>
          <w:sz w:val="24"/>
        </w:rPr>
        <w:t>interview programme</w:t>
      </w:r>
      <w:r w:rsidRPr="00AE2D7C">
        <w:rPr>
          <w:rFonts w:cs="Times New Roman"/>
          <w:noProof/>
          <w:sz w:val="24"/>
        </w:rPr>
        <w:t>, considerably exceeding the target of 30-50 interviews. Interviews were carried out with relevant stakeholders e.g., industry associations (representing large firms and SMEs), producers, consumer associations and / victims’ associations, product liability lawyers (working with both victims / complainants and producers) legal academics, and product liability insurance specialists.</w:t>
      </w:r>
    </w:p>
    <w:p w14:paraId="55CA9728" w14:textId="741CEA36" w:rsidR="005A3A1C" w:rsidRPr="00AE2D7C" w:rsidRDefault="005A3A1C" w:rsidP="00AE2D7C">
      <w:pPr>
        <w:spacing w:after="240" w:line="240" w:lineRule="auto"/>
        <w:jc w:val="both"/>
        <w:rPr>
          <w:rFonts w:cs="Times New Roman"/>
          <w:noProof/>
          <w:sz w:val="24"/>
        </w:rPr>
      </w:pPr>
      <w:r w:rsidRPr="00AE2D7C">
        <w:rPr>
          <w:rFonts w:cs="Times New Roman"/>
          <w:noProof/>
          <w:sz w:val="24"/>
        </w:rPr>
        <w:t>Additional interviews were carried out to ensure that additional stakeholder categories were consulted (e.g. online marketplaces, authorised representatives). This also compensated for the somewhat disappointing response to the targeted survey. However, despite making contact, it was not possible to interview Fulfilment Service Providers (FSPs).</w:t>
      </w:r>
      <w:r w:rsidR="00402CDB">
        <w:rPr>
          <w:rFonts w:cs="Times New Roman"/>
          <w:noProof/>
          <w:sz w:val="24"/>
        </w:rPr>
        <w:t xml:space="preserve"> </w:t>
      </w:r>
    </w:p>
    <w:p w14:paraId="7B86D710" w14:textId="02695F70" w:rsidR="000728DC" w:rsidRDefault="000728DC">
      <w:pPr>
        <w:rPr>
          <w:noProof/>
        </w:rPr>
      </w:pPr>
      <w:r>
        <w:rPr>
          <w:noProof/>
        </w:rPr>
        <w:br w:type="page"/>
      </w:r>
    </w:p>
    <w:p w14:paraId="6296E53E" w14:textId="77777777" w:rsidR="006B087E" w:rsidRDefault="006B087E" w:rsidP="006B087E">
      <w:pPr>
        <w:pStyle w:val="AnnexTitle"/>
        <w:rPr>
          <w:noProof/>
        </w:rPr>
      </w:pPr>
      <w:bookmarkStart w:id="903" w:name="_Toc93401462"/>
      <w:bookmarkStart w:id="904" w:name="_Toc94005559"/>
      <w:bookmarkStart w:id="905" w:name="_Toc95379896"/>
      <w:bookmarkStart w:id="906" w:name="_Toc95391385"/>
      <w:bookmarkStart w:id="907" w:name="_Toc95396454"/>
      <w:bookmarkStart w:id="908" w:name="_Toc95421552"/>
      <w:bookmarkStart w:id="909" w:name="_Toc95482011"/>
      <w:bookmarkStart w:id="910" w:name="_Toc96337803"/>
      <w:bookmarkStart w:id="911" w:name="_Toc96446283"/>
      <w:bookmarkStart w:id="912" w:name="_Toc96448055"/>
      <w:bookmarkStart w:id="913" w:name="_Toc96594004"/>
      <w:bookmarkStart w:id="914" w:name="_Toc96597295"/>
      <w:bookmarkStart w:id="915" w:name="_Toc96609230"/>
      <w:bookmarkStart w:id="916" w:name="_Toc97149259"/>
      <w:bookmarkStart w:id="917" w:name="_Toc97191305"/>
      <w:bookmarkStart w:id="918" w:name="_Toc107430115"/>
      <w:r>
        <w:rPr>
          <w:noProof/>
        </w:rPr>
        <w:t>Annex 3: Who is affected and how?</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51E578F4" w14:textId="490EB8B2" w:rsidR="006B087E" w:rsidRDefault="002E7937" w:rsidP="002E7937">
      <w:pPr>
        <w:pStyle w:val="Heading1"/>
        <w:rPr>
          <w:noProof/>
        </w:rPr>
      </w:pPr>
      <w:bookmarkStart w:id="919" w:name="_Toc93401463"/>
      <w:bookmarkStart w:id="920" w:name="_Toc94005560"/>
      <w:bookmarkStart w:id="921" w:name="_Toc95379897"/>
      <w:bookmarkStart w:id="922" w:name="_Toc95391386"/>
      <w:bookmarkStart w:id="923" w:name="_Toc95396455"/>
      <w:bookmarkStart w:id="924" w:name="_Toc95421553"/>
      <w:bookmarkStart w:id="925" w:name="_Toc95482012"/>
      <w:bookmarkStart w:id="926" w:name="_Toc96337804"/>
      <w:bookmarkStart w:id="927" w:name="_Toc96446284"/>
      <w:bookmarkStart w:id="928" w:name="_Toc96448056"/>
      <w:bookmarkStart w:id="929" w:name="_Toc96594005"/>
      <w:bookmarkStart w:id="930" w:name="_Toc96597296"/>
      <w:bookmarkStart w:id="931" w:name="_Toc96609231"/>
      <w:bookmarkStart w:id="932" w:name="_Toc97149260"/>
      <w:bookmarkStart w:id="933" w:name="_Toc97191306"/>
      <w:bookmarkStart w:id="934" w:name="_Toc107430116"/>
      <w:r w:rsidRPr="002E7937">
        <w:t>1.</w:t>
      </w:r>
      <w:r w:rsidRPr="002E7937">
        <w:tab/>
      </w:r>
      <w:r w:rsidR="006B087E">
        <w:rPr>
          <w:noProof/>
        </w:rPr>
        <w:t>Practical implications of the initiative</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6B5E0506" w14:textId="525627C4" w:rsidR="006B087E" w:rsidRPr="00217D56" w:rsidRDefault="00217D56" w:rsidP="00217D56">
      <w:pPr>
        <w:pStyle w:val="BodyText"/>
        <w:spacing w:after="240"/>
        <w:rPr>
          <w:noProof/>
          <w:sz w:val="24"/>
          <w:szCs w:val="24"/>
        </w:rPr>
      </w:pPr>
      <w:r>
        <w:rPr>
          <w:noProof/>
          <w:sz w:val="24"/>
          <w:szCs w:val="24"/>
        </w:rPr>
        <w:t xml:space="preserve">The </w:t>
      </w:r>
      <w:r w:rsidRPr="00217D56">
        <w:rPr>
          <w:noProof/>
          <w:sz w:val="24"/>
          <w:szCs w:val="24"/>
        </w:rPr>
        <w:t xml:space="preserve">preferred policy package </w:t>
      </w:r>
      <w:r w:rsidR="00BE38AA" w:rsidRPr="00217D56">
        <w:rPr>
          <w:noProof/>
          <w:sz w:val="24"/>
          <w:szCs w:val="24"/>
        </w:rPr>
        <w:t xml:space="preserve">would lead to policy objectives relating to strengthening regulatory certainty and enhancing consumer protection. </w:t>
      </w:r>
      <w:r>
        <w:rPr>
          <w:noProof/>
          <w:sz w:val="24"/>
          <w:szCs w:val="24"/>
        </w:rPr>
        <w:t>T</w:t>
      </w:r>
      <w:r w:rsidR="00BE38AA" w:rsidRPr="00217D56">
        <w:rPr>
          <w:noProof/>
          <w:sz w:val="24"/>
          <w:szCs w:val="24"/>
        </w:rPr>
        <w:t>he PLD’s legislative revision would also contribute towards the achievement of other EU policy objectives in strategic areas for the future of the EU economy, such as the digital, circular and green economies.</w:t>
      </w:r>
    </w:p>
    <w:p w14:paraId="4E40616B" w14:textId="47839B16" w:rsidR="000E6B94" w:rsidRPr="00244A24" w:rsidRDefault="0025699A" w:rsidP="00217D56">
      <w:pPr>
        <w:pStyle w:val="BodyText"/>
        <w:spacing w:after="240"/>
        <w:rPr>
          <w:noProof/>
          <w:sz w:val="24"/>
          <w:szCs w:val="24"/>
          <w:u w:val="single"/>
        </w:rPr>
      </w:pPr>
      <w:r w:rsidRPr="00244A24">
        <w:rPr>
          <w:noProof/>
          <w:sz w:val="24"/>
          <w:szCs w:val="24"/>
          <w:u w:val="single"/>
        </w:rPr>
        <w:t>Impacts on producers</w:t>
      </w:r>
    </w:p>
    <w:p w14:paraId="35698431" w14:textId="35108495" w:rsidR="0025699A" w:rsidRDefault="0025699A" w:rsidP="0025699A">
      <w:pPr>
        <w:pStyle w:val="BodyText"/>
        <w:spacing w:after="120"/>
        <w:rPr>
          <w:noProof/>
          <w:sz w:val="24"/>
          <w:szCs w:val="24"/>
        </w:rPr>
      </w:pPr>
      <w:r w:rsidRPr="0025699A">
        <w:rPr>
          <w:noProof/>
          <w:sz w:val="24"/>
          <w:szCs w:val="24"/>
        </w:rPr>
        <w:t xml:space="preserve">The preferred POs </w:t>
      </w:r>
      <w:r w:rsidR="006F29D9">
        <w:rPr>
          <w:noProof/>
          <w:sz w:val="24"/>
          <w:szCs w:val="24"/>
        </w:rPr>
        <w:t>will s</w:t>
      </w:r>
      <w:r w:rsidR="006F29D9" w:rsidRPr="0025699A">
        <w:rPr>
          <w:noProof/>
          <w:sz w:val="24"/>
          <w:szCs w:val="24"/>
        </w:rPr>
        <w:t>trengthen regulatory certainty</w:t>
      </w:r>
      <w:r w:rsidR="006F29D9">
        <w:rPr>
          <w:noProof/>
          <w:sz w:val="24"/>
          <w:szCs w:val="24"/>
        </w:rPr>
        <w:t xml:space="preserve"> </w:t>
      </w:r>
      <w:r w:rsidR="00EC4F41">
        <w:rPr>
          <w:noProof/>
          <w:sz w:val="24"/>
          <w:szCs w:val="24"/>
        </w:rPr>
        <w:t>for producers</w:t>
      </w:r>
      <w:r w:rsidR="006F29D9">
        <w:rPr>
          <w:noProof/>
          <w:sz w:val="24"/>
          <w:szCs w:val="24"/>
        </w:rPr>
        <w:t xml:space="preserve"> </w:t>
      </w:r>
      <w:r w:rsidRPr="0025699A">
        <w:rPr>
          <w:noProof/>
          <w:sz w:val="24"/>
          <w:szCs w:val="24"/>
        </w:rPr>
        <w:t xml:space="preserve">by extending strict liability to </w:t>
      </w:r>
      <w:r w:rsidR="006217F8">
        <w:rPr>
          <w:noProof/>
          <w:sz w:val="24"/>
          <w:szCs w:val="24"/>
        </w:rPr>
        <w:t>software and digital services necessary to make a product work</w:t>
      </w:r>
      <w:r w:rsidR="006217F8" w:rsidRPr="0025699A">
        <w:rPr>
          <w:noProof/>
          <w:sz w:val="24"/>
          <w:szCs w:val="24"/>
        </w:rPr>
        <w:t xml:space="preserve"> </w:t>
      </w:r>
      <w:r w:rsidR="006217F8">
        <w:rPr>
          <w:noProof/>
          <w:sz w:val="24"/>
          <w:szCs w:val="24"/>
        </w:rPr>
        <w:t xml:space="preserve">and to safety-relevant software, </w:t>
      </w:r>
      <w:r>
        <w:rPr>
          <w:noProof/>
          <w:sz w:val="24"/>
          <w:szCs w:val="24"/>
        </w:rPr>
        <w:t xml:space="preserve">and to </w:t>
      </w:r>
      <w:r w:rsidR="006217F8">
        <w:rPr>
          <w:noProof/>
          <w:sz w:val="24"/>
          <w:szCs w:val="24"/>
        </w:rPr>
        <w:t xml:space="preserve">products and actors in the </w:t>
      </w:r>
      <w:r>
        <w:rPr>
          <w:noProof/>
          <w:sz w:val="24"/>
          <w:szCs w:val="24"/>
        </w:rPr>
        <w:t>circular economy</w:t>
      </w:r>
      <w:r w:rsidR="006F29D9">
        <w:rPr>
          <w:noProof/>
          <w:sz w:val="24"/>
          <w:szCs w:val="24"/>
        </w:rPr>
        <w:t xml:space="preserve">, as well as by including </w:t>
      </w:r>
      <w:r w:rsidR="00C059A0">
        <w:rPr>
          <w:noProof/>
          <w:sz w:val="24"/>
          <w:szCs w:val="24"/>
        </w:rPr>
        <w:t>digital property within the concept of</w:t>
      </w:r>
      <w:r w:rsidR="006F29D9" w:rsidRPr="006F29D9">
        <w:rPr>
          <w:noProof/>
          <w:sz w:val="24"/>
          <w:szCs w:val="24"/>
        </w:rPr>
        <w:t xml:space="preserve"> property damage</w:t>
      </w:r>
      <w:r w:rsidR="006F29D9">
        <w:rPr>
          <w:noProof/>
          <w:sz w:val="24"/>
          <w:szCs w:val="24"/>
        </w:rPr>
        <w:t>.</w:t>
      </w:r>
    </w:p>
    <w:p w14:paraId="27927E19" w14:textId="4569E72B" w:rsidR="006F29D9" w:rsidRDefault="006F29D9" w:rsidP="006F29D9">
      <w:pPr>
        <w:pStyle w:val="BodyText"/>
        <w:spacing w:after="240"/>
        <w:rPr>
          <w:noProof/>
          <w:sz w:val="24"/>
          <w:szCs w:val="24"/>
        </w:rPr>
      </w:pPr>
      <w:r w:rsidRPr="006F29D9">
        <w:rPr>
          <w:noProof/>
          <w:sz w:val="24"/>
          <w:szCs w:val="24"/>
        </w:rPr>
        <w:t xml:space="preserve">Producers in all sectors would be affected by a more common approach to disclosure rules </w:t>
      </w:r>
      <w:r w:rsidR="00E445BC">
        <w:rPr>
          <w:noProof/>
          <w:sz w:val="24"/>
          <w:szCs w:val="24"/>
        </w:rPr>
        <w:t xml:space="preserve">and presumptions </w:t>
      </w:r>
      <w:r w:rsidRPr="006F29D9">
        <w:rPr>
          <w:noProof/>
          <w:sz w:val="24"/>
          <w:szCs w:val="24"/>
        </w:rPr>
        <w:t xml:space="preserve">across the EU-27. However, this would be mitigated by the fact that the great majority of MS already have disclosure rules </w:t>
      </w:r>
      <w:r w:rsidR="00E445BC">
        <w:rPr>
          <w:noProof/>
          <w:sz w:val="24"/>
          <w:szCs w:val="24"/>
        </w:rPr>
        <w:t xml:space="preserve">and mechanisms to ease the burden of proof </w:t>
      </w:r>
      <w:r w:rsidRPr="006F29D9">
        <w:rPr>
          <w:noProof/>
          <w:sz w:val="24"/>
          <w:szCs w:val="24"/>
        </w:rPr>
        <w:t xml:space="preserve">in one form or another. </w:t>
      </w:r>
    </w:p>
    <w:p w14:paraId="2BCF455B" w14:textId="71387A59" w:rsidR="00E168D6" w:rsidRDefault="00E168D6" w:rsidP="006F29D9">
      <w:pPr>
        <w:pStyle w:val="BodyText"/>
        <w:spacing w:after="240"/>
        <w:rPr>
          <w:noProof/>
          <w:sz w:val="24"/>
          <w:szCs w:val="24"/>
        </w:rPr>
      </w:pPr>
      <w:r>
        <w:rPr>
          <w:noProof/>
          <w:sz w:val="24"/>
          <w:szCs w:val="24"/>
        </w:rPr>
        <w:t>In terms of costs, p</w:t>
      </w:r>
      <w:r w:rsidRPr="00E168D6">
        <w:rPr>
          <w:noProof/>
          <w:sz w:val="24"/>
          <w:szCs w:val="24"/>
        </w:rPr>
        <w:t xml:space="preserve">roducers with liability insurance may face an increase in liability insurance premiums. If they are found liable for harm caused by a defective product, the liability insurance would cover the compensation and legal costs. Producers without a liability insurance would face direct compensation costs to victims (costs not considered in the analysis, see </w:t>
      </w:r>
      <w:r w:rsidR="00866C4E">
        <w:rPr>
          <w:noProof/>
          <w:sz w:val="24"/>
          <w:szCs w:val="24"/>
        </w:rPr>
        <w:t>annex 4 for more details</w:t>
      </w:r>
      <w:r w:rsidRPr="00E168D6">
        <w:rPr>
          <w:noProof/>
          <w:sz w:val="24"/>
          <w:szCs w:val="24"/>
        </w:rPr>
        <w:t>), and legal costs if the case goes to court.</w:t>
      </w:r>
    </w:p>
    <w:p w14:paraId="1ABC1EF6" w14:textId="526CA92B" w:rsidR="00E168D6" w:rsidRPr="00E168D6" w:rsidRDefault="00E168D6" w:rsidP="006F29D9">
      <w:pPr>
        <w:pStyle w:val="BodyText"/>
        <w:spacing w:after="240"/>
        <w:rPr>
          <w:noProof/>
          <w:sz w:val="24"/>
          <w:szCs w:val="24"/>
          <w:u w:val="single"/>
        </w:rPr>
      </w:pPr>
      <w:r w:rsidRPr="00E168D6">
        <w:rPr>
          <w:noProof/>
          <w:sz w:val="24"/>
          <w:szCs w:val="24"/>
          <w:u w:val="single"/>
        </w:rPr>
        <w:t>Impacts on insurance companies</w:t>
      </w:r>
    </w:p>
    <w:p w14:paraId="0AD62D9F" w14:textId="16AC5A39" w:rsidR="00061B88" w:rsidRPr="006F29D9" w:rsidRDefault="00061B88" w:rsidP="006F29D9">
      <w:pPr>
        <w:pStyle w:val="BodyText"/>
        <w:spacing w:after="240"/>
        <w:rPr>
          <w:noProof/>
          <w:sz w:val="24"/>
          <w:szCs w:val="24"/>
        </w:rPr>
      </w:pPr>
      <w:r>
        <w:rPr>
          <w:noProof/>
          <w:sz w:val="24"/>
          <w:szCs w:val="24"/>
        </w:rPr>
        <w:t xml:space="preserve">Insurance companies </w:t>
      </w:r>
      <w:r w:rsidR="00E168D6" w:rsidRPr="00E168D6">
        <w:rPr>
          <w:noProof/>
          <w:sz w:val="24"/>
          <w:szCs w:val="24"/>
        </w:rPr>
        <w:t>may have to bear higher compensation costs, but they would off-set that cost by marginally raising insurance premiums, leading to higher revenues. Their net income is therefore assumed to remain stable over time</w:t>
      </w:r>
      <w:r>
        <w:rPr>
          <w:noProof/>
          <w:sz w:val="24"/>
          <w:szCs w:val="24"/>
        </w:rPr>
        <w:t>.</w:t>
      </w:r>
    </w:p>
    <w:p w14:paraId="70978A6B" w14:textId="077D42B5" w:rsidR="00EC4F41" w:rsidRPr="00E43CA5" w:rsidRDefault="00EC4F41" w:rsidP="00EC4F41">
      <w:pPr>
        <w:pStyle w:val="BodyText"/>
        <w:spacing w:after="240"/>
        <w:rPr>
          <w:noProof/>
          <w:sz w:val="24"/>
          <w:szCs w:val="24"/>
          <w:u w:val="single"/>
        </w:rPr>
      </w:pPr>
      <w:r w:rsidRPr="00E43CA5">
        <w:rPr>
          <w:noProof/>
          <w:sz w:val="24"/>
          <w:szCs w:val="24"/>
          <w:u w:val="single"/>
        </w:rPr>
        <w:t xml:space="preserve">Impacts on </w:t>
      </w:r>
      <w:r>
        <w:rPr>
          <w:noProof/>
          <w:sz w:val="24"/>
          <w:szCs w:val="24"/>
          <w:u w:val="single"/>
        </w:rPr>
        <w:t>consumers</w:t>
      </w:r>
    </w:p>
    <w:p w14:paraId="54B82105" w14:textId="4AB9060D" w:rsidR="00EC4F41" w:rsidRPr="00244A24" w:rsidRDefault="00E168D6" w:rsidP="00244A24">
      <w:pPr>
        <w:pStyle w:val="BodyText"/>
        <w:spacing w:after="240"/>
        <w:rPr>
          <w:noProof/>
          <w:sz w:val="24"/>
          <w:szCs w:val="24"/>
          <w:lang w:eastAsia="da-DK"/>
        </w:rPr>
      </w:pPr>
      <w:r>
        <w:rPr>
          <w:noProof/>
          <w:sz w:val="24"/>
          <w:szCs w:val="24"/>
        </w:rPr>
        <w:t>The main impact on consumers is that individuals who suffer harm will receive compensation pay-outs if they prove liability. They are assumed to bear legal costs if they do not win the case. In particular, t</w:t>
      </w:r>
      <w:r w:rsidR="00EC4F41" w:rsidRPr="00200D2B">
        <w:rPr>
          <w:noProof/>
          <w:sz w:val="24"/>
          <w:szCs w:val="24"/>
        </w:rPr>
        <w:t xml:space="preserve">he preferred POs will strengthen </w:t>
      </w:r>
      <w:r w:rsidR="0062209B">
        <w:rPr>
          <w:noProof/>
          <w:sz w:val="24"/>
          <w:szCs w:val="24"/>
        </w:rPr>
        <w:t xml:space="preserve">consumer protection in cases where products with digital elements or software in its own right causes harm, and it will contribute to cybersecurity protection by creating incentives for producers to provide security updates to keep products safe. It will </w:t>
      </w:r>
      <w:r w:rsidR="00AE5EC4">
        <w:rPr>
          <w:noProof/>
          <w:sz w:val="24"/>
          <w:szCs w:val="24"/>
        </w:rPr>
        <w:t xml:space="preserve">ensure that </w:t>
      </w:r>
      <w:r w:rsidR="0062209B">
        <w:rPr>
          <w:noProof/>
          <w:sz w:val="24"/>
          <w:szCs w:val="24"/>
        </w:rPr>
        <w:t xml:space="preserve">damage or destruction of consumers’ </w:t>
      </w:r>
      <w:r w:rsidR="00AE5EC4">
        <w:rPr>
          <w:noProof/>
          <w:sz w:val="24"/>
          <w:szCs w:val="24"/>
        </w:rPr>
        <w:t>digital property can also be compensated within the notion of property damage</w:t>
      </w:r>
      <w:r w:rsidR="00EC4F41" w:rsidRPr="00461BAD">
        <w:rPr>
          <w:noProof/>
          <w:sz w:val="24"/>
          <w:szCs w:val="24"/>
        </w:rPr>
        <w:t xml:space="preserve">. Similarly, they will strengthen consumer protection </w:t>
      </w:r>
      <w:r w:rsidR="00AE5EC4">
        <w:rPr>
          <w:noProof/>
          <w:sz w:val="24"/>
          <w:szCs w:val="24"/>
        </w:rPr>
        <w:t>in cases where substantially modified products cause harm due to defects</w:t>
      </w:r>
      <w:r w:rsidR="00EC4F41" w:rsidRPr="00461BAD">
        <w:rPr>
          <w:noProof/>
          <w:sz w:val="24"/>
          <w:szCs w:val="24"/>
        </w:rPr>
        <w:t xml:space="preserve">. </w:t>
      </w:r>
      <w:r w:rsidR="00EC4F41" w:rsidRPr="00B671A0">
        <w:rPr>
          <w:noProof/>
          <w:sz w:val="24"/>
          <w:szCs w:val="24"/>
        </w:rPr>
        <w:t>The preferred POs will</w:t>
      </w:r>
      <w:r w:rsidR="00EC4F41" w:rsidRPr="00244A24">
        <w:rPr>
          <w:noProof/>
          <w:sz w:val="24"/>
          <w:szCs w:val="24"/>
          <w:lang w:eastAsia="da-DK"/>
        </w:rPr>
        <w:t xml:space="preserve"> also </w:t>
      </w:r>
      <w:r w:rsidR="00AE5EC4">
        <w:rPr>
          <w:noProof/>
          <w:sz w:val="24"/>
          <w:szCs w:val="24"/>
          <w:lang w:eastAsia="da-DK"/>
        </w:rPr>
        <w:t xml:space="preserve">broaden the pool of liable persons from whom to </w:t>
      </w:r>
      <w:r w:rsidR="00B319EB">
        <w:rPr>
          <w:noProof/>
          <w:sz w:val="24"/>
          <w:szCs w:val="24"/>
          <w:lang w:eastAsia="da-DK"/>
        </w:rPr>
        <w:t>seek</w:t>
      </w:r>
      <w:r w:rsidR="00EC4F41" w:rsidRPr="00244A24">
        <w:rPr>
          <w:noProof/>
          <w:sz w:val="24"/>
          <w:szCs w:val="24"/>
          <w:lang w:eastAsia="da-DK"/>
        </w:rPr>
        <w:t xml:space="preserve"> compensation</w:t>
      </w:r>
      <w:r w:rsidR="00B319EB">
        <w:rPr>
          <w:noProof/>
          <w:sz w:val="24"/>
          <w:szCs w:val="24"/>
          <w:lang w:eastAsia="da-DK"/>
        </w:rPr>
        <w:t>,</w:t>
      </w:r>
      <w:r w:rsidR="00EC4F41" w:rsidRPr="00244A24">
        <w:rPr>
          <w:noProof/>
          <w:sz w:val="24"/>
          <w:szCs w:val="24"/>
          <w:lang w:eastAsia="da-DK"/>
        </w:rPr>
        <w:t xml:space="preserve"> </w:t>
      </w:r>
      <w:r w:rsidR="00B319EB">
        <w:rPr>
          <w:noProof/>
          <w:sz w:val="24"/>
          <w:szCs w:val="24"/>
          <w:lang w:eastAsia="da-DK"/>
        </w:rPr>
        <w:t xml:space="preserve">in particular </w:t>
      </w:r>
      <w:r w:rsidR="00EC4F41" w:rsidRPr="00244A24">
        <w:rPr>
          <w:noProof/>
          <w:sz w:val="24"/>
          <w:szCs w:val="24"/>
          <w:lang w:eastAsia="da-DK"/>
        </w:rPr>
        <w:t xml:space="preserve">in </w:t>
      </w:r>
      <w:r w:rsidR="00B319EB">
        <w:rPr>
          <w:noProof/>
          <w:sz w:val="24"/>
          <w:szCs w:val="24"/>
          <w:lang w:eastAsia="da-DK"/>
        </w:rPr>
        <w:t>the</w:t>
      </w:r>
      <w:r w:rsidR="00B319EB" w:rsidRPr="000E1C26">
        <w:rPr>
          <w:noProof/>
          <w:sz w:val="24"/>
          <w:szCs w:val="24"/>
          <w:lang w:eastAsia="da-DK"/>
        </w:rPr>
        <w:t xml:space="preserve"> </w:t>
      </w:r>
      <w:r w:rsidR="00EC4F41" w:rsidRPr="00244A24">
        <w:rPr>
          <w:noProof/>
          <w:sz w:val="24"/>
          <w:szCs w:val="24"/>
          <w:lang w:eastAsia="da-DK"/>
        </w:rPr>
        <w:t>case of third-country products.</w:t>
      </w:r>
    </w:p>
    <w:p w14:paraId="08BCDCD6" w14:textId="6E7DD148" w:rsidR="00EC4F41" w:rsidRPr="00244A24" w:rsidRDefault="00EC4F41" w:rsidP="00244A24">
      <w:pPr>
        <w:pStyle w:val="BodyText"/>
        <w:spacing w:after="240"/>
        <w:rPr>
          <w:noProof/>
          <w:sz w:val="24"/>
          <w:szCs w:val="24"/>
          <w:lang w:eastAsia="da-DK"/>
        </w:rPr>
      </w:pPr>
      <w:r w:rsidRPr="00244A24">
        <w:rPr>
          <w:noProof/>
          <w:sz w:val="24"/>
          <w:szCs w:val="24"/>
          <w:lang w:eastAsia="da-DK"/>
        </w:rPr>
        <w:t>The preferred POs will strengthened access to justice for consumers experiencing property damage and latent health injuries, reducing at the same time information asymmetries for consumers in respect of complex products.</w:t>
      </w:r>
    </w:p>
    <w:p w14:paraId="6BD2AB98" w14:textId="181BE108" w:rsidR="00EC4F41" w:rsidRPr="00244A24" w:rsidRDefault="00EC4F41" w:rsidP="00244A24">
      <w:pPr>
        <w:pStyle w:val="BodyText"/>
        <w:spacing w:after="240"/>
        <w:rPr>
          <w:noProof/>
          <w:sz w:val="24"/>
          <w:szCs w:val="24"/>
          <w:lang w:eastAsia="da-DK"/>
        </w:rPr>
      </w:pPr>
      <w:r w:rsidRPr="00244A24">
        <w:rPr>
          <w:noProof/>
          <w:sz w:val="24"/>
          <w:szCs w:val="24"/>
          <w:lang w:eastAsia="da-DK"/>
        </w:rPr>
        <w:t>The preferred POs will finally ease of the burden of proof for consumers if there are clearly grounds to infer that a product was defective.</w:t>
      </w:r>
    </w:p>
    <w:p w14:paraId="32F340F9" w14:textId="77777777" w:rsidR="0025699A" w:rsidRPr="00244A24" w:rsidRDefault="0025699A" w:rsidP="00244A24">
      <w:pPr>
        <w:pStyle w:val="BodyText"/>
        <w:spacing w:after="240"/>
        <w:rPr>
          <w:rFonts w:eastAsia="Calibri"/>
          <w:noProof/>
          <w:szCs w:val="24"/>
          <w:u w:val="single"/>
        </w:rPr>
      </w:pPr>
      <w:r w:rsidRPr="00244A24">
        <w:rPr>
          <w:rFonts w:eastAsia="Calibri"/>
          <w:noProof/>
          <w:sz w:val="24"/>
          <w:szCs w:val="24"/>
          <w:u w:val="single"/>
        </w:rPr>
        <w:t xml:space="preserve">National authorities and judiciaries </w:t>
      </w:r>
    </w:p>
    <w:p w14:paraId="433EEC96" w14:textId="31601212" w:rsidR="0025699A" w:rsidRPr="00244A24" w:rsidRDefault="0025699A" w:rsidP="00244A24">
      <w:pPr>
        <w:pStyle w:val="BodyText"/>
        <w:spacing w:after="240"/>
        <w:rPr>
          <w:noProof/>
          <w:sz w:val="24"/>
          <w:szCs w:val="24"/>
          <w:lang w:eastAsia="da-DK"/>
        </w:rPr>
      </w:pPr>
      <w:r w:rsidRPr="00244A24">
        <w:rPr>
          <w:noProof/>
          <w:sz w:val="24"/>
          <w:szCs w:val="24"/>
          <w:lang w:eastAsia="da-DK"/>
        </w:rPr>
        <w:t xml:space="preserve">National authorities in each MS responsible for the PLD would need to ensure timely transposition of the revised PLD following its adoption at EU level. National authorities would also need to </w:t>
      </w:r>
    </w:p>
    <w:p w14:paraId="60071BDE" w14:textId="77777777" w:rsidR="0025699A" w:rsidRPr="00244A24" w:rsidRDefault="0025699A" w:rsidP="00DD3B24">
      <w:pPr>
        <w:pStyle w:val="BodyText"/>
        <w:numPr>
          <w:ilvl w:val="0"/>
          <w:numId w:val="29"/>
        </w:numPr>
        <w:spacing w:after="120"/>
        <w:ind w:left="284" w:hanging="357"/>
        <w:rPr>
          <w:noProof/>
          <w:sz w:val="24"/>
          <w:szCs w:val="24"/>
          <w:lang w:eastAsia="da-DK"/>
        </w:rPr>
      </w:pPr>
      <w:r w:rsidRPr="00244A24">
        <w:rPr>
          <w:noProof/>
          <w:sz w:val="24"/>
          <w:szCs w:val="24"/>
          <w:lang w:eastAsia="da-DK"/>
        </w:rPr>
        <w:t xml:space="preserve">Review national tort laws and procedural laws setting out disclosures rules in product liability (civil) cases to ensure that there are not too many obstacles to injured parties making requests for technical information disclosures (with a particular emphasis on complex products, but in some MS, the rules are generally problematic and outdated). </w:t>
      </w:r>
    </w:p>
    <w:p w14:paraId="0BC50AA3" w14:textId="77777777" w:rsidR="0025699A" w:rsidRPr="00244A24" w:rsidRDefault="0025699A" w:rsidP="00DD3B24">
      <w:pPr>
        <w:pStyle w:val="BodyText"/>
        <w:numPr>
          <w:ilvl w:val="0"/>
          <w:numId w:val="29"/>
        </w:numPr>
        <w:spacing w:after="240"/>
        <w:ind w:left="284"/>
        <w:rPr>
          <w:noProof/>
          <w:sz w:val="24"/>
          <w:szCs w:val="24"/>
          <w:lang w:eastAsia="da-DK"/>
        </w:rPr>
      </w:pPr>
      <w:r w:rsidRPr="00244A24">
        <w:rPr>
          <w:noProof/>
          <w:sz w:val="24"/>
          <w:szCs w:val="24"/>
          <w:lang w:eastAsia="da-DK"/>
        </w:rPr>
        <w:t>Review national legal rules on presumptions and ensure that these are clear in the transposition of the revised PLD into national implementing legislation. Also in parallel review evidentiary requirements at national level in relation to the burden of proof in order to ensure that clarifications regarding the circumstances in which presumptions can be used under the PLD are reflected in national legislation (e.g. civil law codes, national tort laws in which the PLD has been transposed).</w:t>
      </w:r>
    </w:p>
    <w:p w14:paraId="2135D3C7" w14:textId="77777777" w:rsidR="0025699A" w:rsidRPr="00244A24" w:rsidRDefault="0025699A" w:rsidP="00244A24">
      <w:pPr>
        <w:pStyle w:val="BodyText"/>
        <w:spacing w:after="120"/>
        <w:rPr>
          <w:noProof/>
          <w:sz w:val="24"/>
          <w:szCs w:val="24"/>
          <w:lang w:eastAsia="da-DK"/>
        </w:rPr>
      </w:pPr>
      <w:r w:rsidRPr="00244A24">
        <w:rPr>
          <w:noProof/>
          <w:sz w:val="24"/>
          <w:szCs w:val="24"/>
          <w:lang w:eastAsia="da-DK"/>
        </w:rPr>
        <w:t xml:space="preserve">Regarding national courts and judiciaries: </w:t>
      </w:r>
    </w:p>
    <w:p w14:paraId="290A347D" w14:textId="77777777" w:rsidR="0025699A" w:rsidRPr="00244A24" w:rsidRDefault="0025699A" w:rsidP="00DD3B24">
      <w:pPr>
        <w:pStyle w:val="BodyText"/>
        <w:numPr>
          <w:ilvl w:val="0"/>
          <w:numId w:val="29"/>
        </w:numPr>
        <w:spacing w:after="120"/>
        <w:ind w:left="284" w:hanging="357"/>
        <w:rPr>
          <w:noProof/>
          <w:sz w:val="24"/>
          <w:szCs w:val="24"/>
          <w:lang w:eastAsia="da-DK"/>
        </w:rPr>
      </w:pPr>
      <w:r w:rsidRPr="00244A24">
        <w:rPr>
          <w:noProof/>
          <w:sz w:val="24"/>
          <w:szCs w:val="24"/>
          <w:lang w:eastAsia="da-DK"/>
        </w:rPr>
        <w:t>Ensure that national courts are well-informed and trained in relation to the specific circumstances in which the burden of proof may be alleviated (such as technically and technologically complex products), given that for most product defects, the burden of proof will continue to lie with the injured party).</w:t>
      </w:r>
    </w:p>
    <w:p w14:paraId="078C65EC" w14:textId="77777777" w:rsidR="0025699A" w:rsidRPr="00244A24" w:rsidRDefault="0025699A" w:rsidP="00DD3B24">
      <w:pPr>
        <w:pStyle w:val="BodyText"/>
        <w:numPr>
          <w:ilvl w:val="0"/>
          <w:numId w:val="29"/>
        </w:numPr>
        <w:spacing w:after="120"/>
        <w:ind w:left="284" w:hanging="357"/>
        <w:rPr>
          <w:noProof/>
          <w:sz w:val="24"/>
          <w:szCs w:val="24"/>
          <w:lang w:eastAsia="da-DK"/>
        </w:rPr>
      </w:pPr>
      <w:r w:rsidRPr="00244A24">
        <w:rPr>
          <w:noProof/>
          <w:sz w:val="24"/>
          <w:szCs w:val="24"/>
          <w:lang w:eastAsia="da-DK"/>
        </w:rPr>
        <w:t xml:space="preserve">This would overcome a seeming reluctance and </w:t>
      </w:r>
      <w:bookmarkStart w:id="935" w:name="_Hlk93494942"/>
      <w:r w:rsidRPr="00244A24">
        <w:rPr>
          <w:noProof/>
          <w:sz w:val="24"/>
          <w:szCs w:val="24"/>
          <w:lang w:eastAsia="da-DK"/>
        </w:rPr>
        <w:t xml:space="preserve">cautiousness </w:t>
      </w:r>
      <w:bookmarkEnd w:id="935"/>
      <w:r w:rsidRPr="00244A24">
        <w:rPr>
          <w:noProof/>
          <w:sz w:val="24"/>
          <w:szCs w:val="24"/>
          <w:lang w:eastAsia="da-DK"/>
        </w:rPr>
        <w:t xml:space="preserve">by national courts that already allow presumptions to actually make use of them. </w:t>
      </w:r>
    </w:p>
    <w:p w14:paraId="10F3B5F6" w14:textId="4AE4DD68" w:rsidR="006B087E" w:rsidRDefault="002E7937" w:rsidP="002E7937">
      <w:pPr>
        <w:pStyle w:val="Heading1"/>
        <w:rPr>
          <w:noProof/>
        </w:rPr>
      </w:pPr>
      <w:bookmarkStart w:id="936" w:name="_Toc93401464"/>
      <w:bookmarkStart w:id="937" w:name="_Toc94005561"/>
      <w:bookmarkStart w:id="938" w:name="_Toc95379898"/>
      <w:bookmarkStart w:id="939" w:name="_Toc95391387"/>
      <w:bookmarkStart w:id="940" w:name="_Toc95396456"/>
      <w:bookmarkStart w:id="941" w:name="_Toc95421554"/>
      <w:bookmarkStart w:id="942" w:name="_Toc95482013"/>
      <w:bookmarkStart w:id="943" w:name="_Toc96337805"/>
      <w:bookmarkStart w:id="944" w:name="_Toc96446285"/>
      <w:bookmarkStart w:id="945" w:name="_Toc96448057"/>
      <w:bookmarkStart w:id="946" w:name="_Toc96594006"/>
      <w:bookmarkStart w:id="947" w:name="_Toc96597297"/>
      <w:bookmarkStart w:id="948" w:name="_Toc96609232"/>
      <w:bookmarkStart w:id="949" w:name="_Toc97149261"/>
      <w:bookmarkStart w:id="950" w:name="_Toc97191307"/>
      <w:bookmarkStart w:id="951" w:name="_Toc107430117"/>
      <w:r w:rsidRPr="002E7937">
        <w:t>2.</w:t>
      </w:r>
      <w:r w:rsidRPr="002E7937">
        <w:tab/>
      </w:r>
      <w:r w:rsidR="006B087E">
        <w:rPr>
          <w:noProof/>
        </w:rPr>
        <w:t>Summary of costs and benefits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3714"/>
      </w:tblGrid>
      <w:tr w:rsidR="006B087E" w:rsidRPr="005C48CC" w14:paraId="11506CD1" w14:textId="77777777" w:rsidTr="006C5B89">
        <w:tc>
          <w:tcPr>
            <w:tcW w:w="10377" w:type="dxa"/>
            <w:gridSpan w:val="3"/>
            <w:tcBorders>
              <w:top w:val="double" w:sz="4" w:space="0" w:color="auto"/>
              <w:bottom w:val="single" w:sz="4" w:space="0" w:color="auto"/>
            </w:tcBorders>
            <w:shd w:val="clear" w:color="auto" w:fill="C6D9F1" w:themeFill="text2" w:themeFillTint="33"/>
          </w:tcPr>
          <w:p w14:paraId="207706E6" w14:textId="77777777" w:rsidR="006B087E" w:rsidRPr="005C48CC" w:rsidRDefault="006B087E" w:rsidP="006C5B89">
            <w:pPr>
              <w:tabs>
                <w:tab w:val="num" w:pos="425"/>
              </w:tabs>
              <w:jc w:val="center"/>
              <w:rPr>
                <w:b/>
                <w:i/>
                <w:noProof/>
              </w:rPr>
            </w:pPr>
            <w:r w:rsidRPr="005C48CC">
              <w:rPr>
                <w:b/>
                <w:i/>
                <w:noProof/>
              </w:rPr>
              <w:t>I. Overview of Benefits (total for all p</w:t>
            </w:r>
            <w:r>
              <w:rPr>
                <w:b/>
                <w:i/>
                <w:noProof/>
              </w:rPr>
              <w:t>rovisions) – Preferred Option</w:t>
            </w:r>
          </w:p>
        </w:tc>
      </w:tr>
      <w:tr w:rsidR="006B087E" w:rsidRPr="005C48CC" w14:paraId="519D4FA5" w14:textId="77777777" w:rsidTr="006C5B89">
        <w:tc>
          <w:tcPr>
            <w:tcW w:w="2552" w:type="dxa"/>
            <w:tcBorders>
              <w:top w:val="single" w:sz="4" w:space="0" w:color="auto"/>
            </w:tcBorders>
            <w:shd w:val="clear" w:color="auto" w:fill="C6D9F1" w:themeFill="text2" w:themeFillTint="33"/>
          </w:tcPr>
          <w:p w14:paraId="556B376F" w14:textId="77777777" w:rsidR="006B087E" w:rsidRPr="00435ADC" w:rsidRDefault="006B087E" w:rsidP="006C5B89">
            <w:pPr>
              <w:tabs>
                <w:tab w:val="num" w:pos="425"/>
              </w:tabs>
              <w:jc w:val="center"/>
              <w:rPr>
                <w:b/>
                <w:i/>
                <w:noProof/>
              </w:rPr>
            </w:pPr>
            <w:r>
              <w:rPr>
                <w:b/>
                <w:i/>
                <w:noProof/>
              </w:rPr>
              <w:t>Description</w:t>
            </w:r>
          </w:p>
        </w:tc>
        <w:tc>
          <w:tcPr>
            <w:tcW w:w="4111" w:type="dxa"/>
            <w:tcBorders>
              <w:top w:val="single" w:sz="4" w:space="0" w:color="auto"/>
            </w:tcBorders>
            <w:shd w:val="clear" w:color="auto" w:fill="C6D9F1" w:themeFill="text2" w:themeFillTint="33"/>
          </w:tcPr>
          <w:p w14:paraId="0D3A8F4B" w14:textId="77777777" w:rsidR="006B087E" w:rsidRPr="00435ADC" w:rsidRDefault="006B087E" w:rsidP="006C5B89">
            <w:pPr>
              <w:tabs>
                <w:tab w:val="num" w:pos="425"/>
              </w:tabs>
              <w:jc w:val="center"/>
              <w:rPr>
                <w:b/>
                <w:i/>
                <w:noProof/>
              </w:rPr>
            </w:pPr>
            <w:r>
              <w:rPr>
                <w:b/>
                <w:i/>
                <w:noProof/>
              </w:rPr>
              <w:t>Amount</w:t>
            </w:r>
          </w:p>
        </w:tc>
        <w:tc>
          <w:tcPr>
            <w:tcW w:w="3714" w:type="dxa"/>
            <w:tcBorders>
              <w:top w:val="single" w:sz="4" w:space="0" w:color="auto"/>
            </w:tcBorders>
            <w:shd w:val="clear" w:color="auto" w:fill="C6D9F1" w:themeFill="text2" w:themeFillTint="33"/>
            <w:tcMar>
              <w:top w:w="57" w:type="dxa"/>
              <w:left w:w="57" w:type="dxa"/>
              <w:bottom w:w="57" w:type="dxa"/>
              <w:right w:w="57" w:type="dxa"/>
            </w:tcMar>
          </w:tcPr>
          <w:p w14:paraId="1A97EE4A" w14:textId="77777777" w:rsidR="006B087E" w:rsidRPr="00435ADC" w:rsidRDefault="006B087E" w:rsidP="006C5B89">
            <w:pPr>
              <w:tabs>
                <w:tab w:val="num" w:pos="425"/>
              </w:tabs>
              <w:jc w:val="center"/>
              <w:rPr>
                <w:b/>
                <w:i/>
                <w:noProof/>
              </w:rPr>
            </w:pPr>
            <w:r w:rsidRPr="00435ADC">
              <w:rPr>
                <w:b/>
                <w:i/>
                <w:noProof/>
              </w:rPr>
              <w:t>Comments</w:t>
            </w:r>
          </w:p>
        </w:tc>
      </w:tr>
      <w:tr w:rsidR="006B087E" w:rsidRPr="005C48CC" w14:paraId="339062CE" w14:textId="77777777" w:rsidTr="006C5B89">
        <w:tc>
          <w:tcPr>
            <w:tcW w:w="10377" w:type="dxa"/>
            <w:gridSpan w:val="3"/>
            <w:tcBorders>
              <w:top w:val="double" w:sz="4" w:space="0" w:color="auto"/>
            </w:tcBorders>
            <w:shd w:val="clear" w:color="auto" w:fill="F2F2F2" w:themeFill="background1" w:themeFillShade="F2"/>
          </w:tcPr>
          <w:p w14:paraId="1B0540B7" w14:textId="77777777" w:rsidR="006B087E" w:rsidRPr="00435ADC" w:rsidRDefault="006B087E" w:rsidP="006C5B89">
            <w:pPr>
              <w:tabs>
                <w:tab w:val="num" w:pos="425"/>
              </w:tabs>
              <w:jc w:val="center"/>
              <w:rPr>
                <w:b/>
                <w:i/>
                <w:noProof/>
              </w:rPr>
            </w:pPr>
            <w:r w:rsidRPr="00435ADC">
              <w:rPr>
                <w:b/>
                <w:i/>
                <w:noProof/>
              </w:rPr>
              <w:t>Direct benefits</w:t>
            </w:r>
          </w:p>
        </w:tc>
      </w:tr>
      <w:tr w:rsidR="006B087E" w:rsidRPr="005C48CC" w14:paraId="3CCE30BD" w14:textId="77777777" w:rsidTr="006C5B89">
        <w:tc>
          <w:tcPr>
            <w:tcW w:w="2552" w:type="dxa"/>
            <w:tcBorders>
              <w:top w:val="double" w:sz="4" w:space="0" w:color="auto"/>
            </w:tcBorders>
          </w:tcPr>
          <w:p w14:paraId="452B46C3" w14:textId="07D80D97" w:rsidR="006B087E" w:rsidRPr="005C48CC" w:rsidRDefault="004A63F8" w:rsidP="006C5B89">
            <w:pPr>
              <w:tabs>
                <w:tab w:val="num" w:pos="425"/>
              </w:tabs>
              <w:rPr>
                <w:noProof/>
              </w:rPr>
            </w:pPr>
            <w:r w:rsidRPr="00684C51">
              <w:rPr>
                <w:noProof/>
                <w:szCs w:val="18"/>
              </w:rPr>
              <w:t>Improved well-being (Protection of injured persons)</w:t>
            </w:r>
          </w:p>
        </w:tc>
        <w:tc>
          <w:tcPr>
            <w:tcW w:w="4111" w:type="dxa"/>
            <w:tcBorders>
              <w:top w:val="double" w:sz="4" w:space="0" w:color="auto"/>
            </w:tcBorders>
            <w:tcMar>
              <w:top w:w="57" w:type="dxa"/>
              <w:left w:w="57" w:type="dxa"/>
              <w:bottom w:w="57" w:type="dxa"/>
              <w:right w:w="57" w:type="dxa"/>
            </w:tcMar>
          </w:tcPr>
          <w:p w14:paraId="28467D16" w14:textId="16338699" w:rsidR="006B087E" w:rsidRPr="00CB6DA7" w:rsidRDefault="004A63F8" w:rsidP="006C5B89">
            <w:pPr>
              <w:tabs>
                <w:tab w:val="num" w:pos="425"/>
              </w:tabs>
              <w:rPr>
                <w:noProof/>
                <w:szCs w:val="18"/>
              </w:rPr>
            </w:pPr>
            <w:r>
              <w:rPr>
                <w:noProof/>
                <w:szCs w:val="18"/>
              </w:rPr>
              <w:t>Total amount n</w:t>
            </w:r>
            <w:r w:rsidRPr="00684C51">
              <w:rPr>
                <w:noProof/>
                <w:szCs w:val="18"/>
              </w:rPr>
              <w:t>ot quantifiable</w:t>
            </w:r>
            <w:r>
              <w:rPr>
                <w:noProof/>
                <w:szCs w:val="18"/>
              </w:rPr>
              <w:t xml:space="preserve"> but </w:t>
            </w:r>
            <w:r w:rsidR="00342C40">
              <w:rPr>
                <w:noProof/>
                <w:szCs w:val="18"/>
              </w:rPr>
              <w:t xml:space="preserve">benefits </w:t>
            </w:r>
            <w:r>
              <w:rPr>
                <w:noProof/>
                <w:szCs w:val="18"/>
              </w:rPr>
              <w:t>generated by</w:t>
            </w:r>
            <w:r w:rsidR="00342C40">
              <w:rPr>
                <w:noProof/>
                <w:szCs w:val="18"/>
              </w:rPr>
              <w:t xml:space="preserve"> measures affecting the digital and circular economy, </w:t>
            </w:r>
            <w:r w:rsidR="00342C40" w:rsidRPr="00342C40">
              <w:rPr>
                <w:noProof/>
                <w:szCs w:val="18"/>
              </w:rPr>
              <w:t>compensable damage</w:t>
            </w:r>
            <w:r w:rsidR="00342C40">
              <w:rPr>
                <w:noProof/>
                <w:szCs w:val="18"/>
              </w:rPr>
              <w:t xml:space="preserve">, </w:t>
            </w:r>
            <w:r w:rsidR="00342C40" w:rsidRPr="00342C40">
              <w:rPr>
                <w:noProof/>
                <w:szCs w:val="18"/>
              </w:rPr>
              <w:t>burden of proof</w:t>
            </w:r>
            <w:r w:rsidR="00342C40">
              <w:rPr>
                <w:noProof/>
                <w:szCs w:val="18"/>
              </w:rPr>
              <w:t xml:space="preserve">, </w:t>
            </w:r>
            <w:r w:rsidR="00342C40" w:rsidRPr="00684C51">
              <w:rPr>
                <w:noProof/>
                <w:szCs w:val="18"/>
              </w:rPr>
              <w:t>restrictions on making claims</w:t>
            </w:r>
            <w:r w:rsidR="00342C40">
              <w:rPr>
                <w:noProof/>
                <w:szCs w:val="18"/>
              </w:rPr>
              <w:t xml:space="preserve">, as well as by </w:t>
            </w:r>
            <w:r w:rsidR="00342C40" w:rsidRPr="00342C40">
              <w:rPr>
                <w:noProof/>
                <w:szCs w:val="18"/>
              </w:rPr>
              <w:t>ensuring the presence of an EU-based liable person</w:t>
            </w:r>
            <w:r w:rsidR="00342C40">
              <w:rPr>
                <w:noProof/>
                <w:szCs w:val="18"/>
              </w:rPr>
              <w:t>.</w:t>
            </w:r>
          </w:p>
        </w:tc>
        <w:tc>
          <w:tcPr>
            <w:tcW w:w="3714" w:type="dxa"/>
            <w:tcBorders>
              <w:top w:val="double" w:sz="4" w:space="0" w:color="auto"/>
            </w:tcBorders>
            <w:tcMar>
              <w:top w:w="57" w:type="dxa"/>
              <w:left w:w="57" w:type="dxa"/>
              <w:bottom w:w="57" w:type="dxa"/>
              <w:right w:w="57" w:type="dxa"/>
            </w:tcMar>
          </w:tcPr>
          <w:p w14:paraId="33396B17" w14:textId="6D455E49" w:rsidR="006B087E" w:rsidRPr="005C48CC" w:rsidRDefault="004A63F8" w:rsidP="006C5B89">
            <w:pPr>
              <w:tabs>
                <w:tab w:val="num" w:pos="425"/>
              </w:tabs>
              <w:rPr>
                <w:noProof/>
              </w:rPr>
            </w:pPr>
            <w:r>
              <w:rPr>
                <w:noProof/>
              </w:rPr>
              <w:t>Consumers</w:t>
            </w:r>
          </w:p>
        </w:tc>
      </w:tr>
      <w:tr w:rsidR="006B087E" w:rsidRPr="005C48CC" w14:paraId="51C4F1D3" w14:textId="77777777" w:rsidTr="006C5B89">
        <w:tc>
          <w:tcPr>
            <w:tcW w:w="2552" w:type="dxa"/>
            <w:tcBorders>
              <w:bottom w:val="double" w:sz="4" w:space="0" w:color="auto"/>
            </w:tcBorders>
          </w:tcPr>
          <w:p w14:paraId="4D30A544" w14:textId="40F42EC4" w:rsidR="006B087E" w:rsidRPr="005C48CC" w:rsidRDefault="00342C40" w:rsidP="006C5B89">
            <w:pPr>
              <w:tabs>
                <w:tab w:val="num" w:pos="425"/>
              </w:tabs>
              <w:rPr>
                <w:noProof/>
              </w:rPr>
            </w:pPr>
            <w:r w:rsidRPr="00684C51">
              <w:rPr>
                <w:noProof/>
                <w:szCs w:val="18"/>
              </w:rPr>
              <w:t>Harmonisation of rules for injured persons and businesses</w:t>
            </w:r>
          </w:p>
        </w:tc>
        <w:tc>
          <w:tcPr>
            <w:tcW w:w="4111" w:type="dxa"/>
            <w:tcBorders>
              <w:bottom w:val="double" w:sz="4" w:space="0" w:color="auto"/>
            </w:tcBorders>
            <w:tcMar>
              <w:top w:w="57" w:type="dxa"/>
              <w:left w:w="57" w:type="dxa"/>
              <w:bottom w:w="57" w:type="dxa"/>
              <w:right w:w="57" w:type="dxa"/>
            </w:tcMar>
          </w:tcPr>
          <w:p w14:paraId="5E40FD0A" w14:textId="6DFFC8AE" w:rsidR="006B087E" w:rsidRPr="00342C40" w:rsidRDefault="00342C40" w:rsidP="006F6233">
            <w:pPr>
              <w:tabs>
                <w:tab w:val="num" w:pos="425"/>
              </w:tabs>
              <w:rPr>
                <w:noProof/>
                <w:szCs w:val="18"/>
              </w:rPr>
            </w:pPr>
            <w:r>
              <w:rPr>
                <w:noProof/>
                <w:szCs w:val="18"/>
              </w:rPr>
              <w:t>Total amount n</w:t>
            </w:r>
            <w:r w:rsidRPr="00684C51">
              <w:rPr>
                <w:noProof/>
                <w:szCs w:val="18"/>
              </w:rPr>
              <w:t>ot quantifiable</w:t>
            </w:r>
            <w:r>
              <w:rPr>
                <w:noProof/>
                <w:szCs w:val="18"/>
              </w:rPr>
              <w:t xml:space="preserve"> but benefits generated by measures affecting the digital and circular economy, </w:t>
            </w:r>
            <w:r w:rsidRPr="00342C40">
              <w:rPr>
                <w:noProof/>
                <w:szCs w:val="18"/>
              </w:rPr>
              <w:t>compensable damage</w:t>
            </w:r>
            <w:r>
              <w:rPr>
                <w:noProof/>
                <w:szCs w:val="18"/>
              </w:rPr>
              <w:t xml:space="preserve">, </w:t>
            </w:r>
            <w:r w:rsidRPr="00342C40">
              <w:rPr>
                <w:noProof/>
                <w:szCs w:val="18"/>
              </w:rPr>
              <w:t>burden of proof</w:t>
            </w:r>
            <w:r>
              <w:rPr>
                <w:noProof/>
                <w:szCs w:val="18"/>
              </w:rPr>
              <w:t xml:space="preserve">, as well as by </w:t>
            </w:r>
            <w:r w:rsidRPr="00342C40">
              <w:rPr>
                <w:noProof/>
                <w:szCs w:val="18"/>
              </w:rPr>
              <w:t>ensuring the presence of an EU-based liable person</w:t>
            </w:r>
            <w:r>
              <w:rPr>
                <w:noProof/>
                <w:szCs w:val="18"/>
              </w:rPr>
              <w:t>.</w:t>
            </w:r>
          </w:p>
        </w:tc>
        <w:tc>
          <w:tcPr>
            <w:tcW w:w="3714" w:type="dxa"/>
            <w:tcBorders>
              <w:bottom w:val="double" w:sz="4" w:space="0" w:color="auto"/>
            </w:tcBorders>
            <w:tcMar>
              <w:top w:w="57" w:type="dxa"/>
              <w:left w:w="57" w:type="dxa"/>
              <w:bottom w:w="57" w:type="dxa"/>
              <w:right w:w="57" w:type="dxa"/>
            </w:tcMar>
          </w:tcPr>
          <w:p w14:paraId="7E385294" w14:textId="73DC4D0C" w:rsidR="006B087E" w:rsidRPr="005C48CC" w:rsidRDefault="00342C40" w:rsidP="006C5B89">
            <w:pPr>
              <w:tabs>
                <w:tab w:val="num" w:pos="425"/>
              </w:tabs>
              <w:rPr>
                <w:noProof/>
              </w:rPr>
            </w:pPr>
            <w:r>
              <w:rPr>
                <w:noProof/>
                <w:szCs w:val="18"/>
              </w:rPr>
              <w:t>P</w:t>
            </w:r>
            <w:r w:rsidRPr="00684C51">
              <w:rPr>
                <w:noProof/>
                <w:szCs w:val="18"/>
              </w:rPr>
              <w:t>roducers and consumers</w:t>
            </w:r>
          </w:p>
        </w:tc>
      </w:tr>
      <w:tr w:rsidR="00C355AA" w:rsidRPr="00C355AA" w14:paraId="112B3DA5" w14:textId="77777777" w:rsidTr="006C5B89">
        <w:tc>
          <w:tcPr>
            <w:tcW w:w="2552" w:type="dxa"/>
            <w:tcBorders>
              <w:bottom w:val="double" w:sz="4" w:space="0" w:color="auto"/>
            </w:tcBorders>
          </w:tcPr>
          <w:p w14:paraId="5962DE2F" w14:textId="4CD5B1D1" w:rsidR="00C355AA" w:rsidRPr="00684C51" w:rsidRDefault="00C355AA" w:rsidP="00C355AA">
            <w:pPr>
              <w:tabs>
                <w:tab w:val="num" w:pos="425"/>
              </w:tabs>
              <w:rPr>
                <w:noProof/>
                <w:szCs w:val="18"/>
              </w:rPr>
            </w:pPr>
            <w:r>
              <w:rPr>
                <w:noProof/>
                <w:szCs w:val="18"/>
              </w:rPr>
              <w:t xml:space="preserve">Higher liability insurance premiums </w:t>
            </w:r>
          </w:p>
        </w:tc>
        <w:tc>
          <w:tcPr>
            <w:tcW w:w="4111" w:type="dxa"/>
            <w:tcBorders>
              <w:bottom w:val="double" w:sz="4" w:space="0" w:color="auto"/>
            </w:tcBorders>
            <w:tcMar>
              <w:top w:w="57" w:type="dxa"/>
              <w:left w:w="57" w:type="dxa"/>
              <w:bottom w:w="57" w:type="dxa"/>
              <w:right w:w="57" w:type="dxa"/>
            </w:tcMar>
          </w:tcPr>
          <w:p w14:paraId="40F29AA6" w14:textId="53E49B24" w:rsidR="00C355AA" w:rsidRDefault="00C355AA" w:rsidP="006F6233">
            <w:pPr>
              <w:tabs>
                <w:tab w:val="num" w:pos="425"/>
              </w:tabs>
              <w:rPr>
                <w:noProof/>
                <w:szCs w:val="18"/>
              </w:rPr>
            </w:pPr>
            <w:r>
              <w:rPr>
                <w:noProof/>
                <w:szCs w:val="18"/>
              </w:rPr>
              <w:t>Total amount not quantifiable but benefits to insurance companies generated by the different measures proposed in the policy options.</w:t>
            </w:r>
          </w:p>
        </w:tc>
        <w:tc>
          <w:tcPr>
            <w:tcW w:w="3714" w:type="dxa"/>
            <w:tcBorders>
              <w:bottom w:val="double" w:sz="4" w:space="0" w:color="auto"/>
            </w:tcBorders>
            <w:tcMar>
              <w:top w:w="57" w:type="dxa"/>
              <w:left w:w="57" w:type="dxa"/>
              <w:bottom w:w="57" w:type="dxa"/>
              <w:right w:w="57" w:type="dxa"/>
            </w:tcMar>
          </w:tcPr>
          <w:p w14:paraId="3623A986" w14:textId="7ECCE739" w:rsidR="00C355AA" w:rsidRDefault="00C355AA" w:rsidP="006C5B89">
            <w:pPr>
              <w:tabs>
                <w:tab w:val="num" w:pos="425"/>
              </w:tabs>
              <w:rPr>
                <w:noProof/>
                <w:szCs w:val="18"/>
              </w:rPr>
            </w:pPr>
            <w:r>
              <w:rPr>
                <w:noProof/>
                <w:szCs w:val="18"/>
              </w:rPr>
              <w:t>Insurance companies</w:t>
            </w:r>
          </w:p>
        </w:tc>
      </w:tr>
      <w:tr w:rsidR="006B087E" w:rsidRPr="005C48CC" w14:paraId="7C0A4B6D" w14:textId="77777777" w:rsidTr="006C5B89">
        <w:tc>
          <w:tcPr>
            <w:tcW w:w="10377" w:type="dxa"/>
            <w:gridSpan w:val="3"/>
            <w:shd w:val="clear" w:color="auto" w:fill="F2F2F2" w:themeFill="background1" w:themeFillShade="F2"/>
          </w:tcPr>
          <w:p w14:paraId="0B7E0173" w14:textId="77777777" w:rsidR="006B087E" w:rsidRPr="00435ADC" w:rsidRDefault="006B087E" w:rsidP="006C5B89">
            <w:pPr>
              <w:tabs>
                <w:tab w:val="num" w:pos="425"/>
              </w:tabs>
              <w:jc w:val="center"/>
              <w:rPr>
                <w:b/>
                <w:i/>
                <w:noProof/>
              </w:rPr>
            </w:pPr>
            <w:r w:rsidRPr="00435ADC">
              <w:rPr>
                <w:b/>
                <w:i/>
                <w:noProof/>
              </w:rPr>
              <w:t>Indirect benefits</w:t>
            </w:r>
          </w:p>
        </w:tc>
      </w:tr>
      <w:tr w:rsidR="006B087E" w:rsidRPr="005C48CC" w14:paraId="6F67DF98" w14:textId="77777777" w:rsidTr="006C5B89">
        <w:tc>
          <w:tcPr>
            <w:tcW w:w="2552" w:type="dxa"/>
            <w:tcBorders>
              <w:top w:val="double" w:sz="4" w:space="0" w:color="auto"/>
            </w:tcBorders>
          </w:tcPr>
          <w:p w14:paraId="31FC8CB5" w14:textId="53111FF4" w:rsidR="006B087E" w:rsidRPr="005C48CC" w:rsidRDefault="005329FD" w:rsidP="006C5B89">
            <w:pPr>
              <w:tabs>
                <w:tab w:val="num" w:pos="425"/>
              </w:tabs>
              <w:rPr>
                <w:noProof/>
              </w:rPr>
            </w:pPr>
            <w:r w:rsidRPr="00684C51">
              <w:rPr>
                <w:noProof/>
                <w:szCs w:val="18"/>
              </w:rPr>
              <w:t>Support to competitiveness in the single market (market efficiency)</w:t>
            </w:r>
          </w:p>
        </w:tc>
        <w:tc>
          <w:tcPr>
            <w:tcW w:w="4111" w:type="dxa"/>
            <w:tcBorders>
              <w:top w:val="double" w:sz="4" w:space="0" w:color="auto"/>
            </w:tcBorders>
            <w:tcMar>
              <w:top w:w="57" w:type="dxa"/>
              <w:left w:w="57" w:type="dxa"/>
              <w:bottom w:w="57" w:type="dxa"/>
              <w:right w:w="57" w:type="dxa"/>
            </w:tcMar>
          </w:tcPr>
          <w:p w14:paraId="40AEDC30" w14:textId="24A2DCBC" w:rsidR="006B087E" w:rsidRPr="005C48CC" w:rsidRDefault="006F6233" w:rsidP="006F6233">
            <w:pPr>
              <w:tabs>
                <w:tab w:val="num" w:pos="425"/>
              </w:tabs>
              <w:rPr>
                <w:noProof/>
              </w:rPr>
            </w:pPr>
            <w:r>
              <w:rPr>
                <w:noProof/>
                <w:szCs w:val="18"/>
              </w:rPr>
              <w:t>Total amount n</w:t>
            </w:r>
            <w:r w:rsidRPr="00684C51">
              <w:rPr>
                <w:noProof/>
                <w:szCs w:val="18"/>
              </w:rPr>
              <w:t>ot quantifiable</w:t>
            </w:r>
            <w:r>
              <w:rPr>
                <w:noProof/>
                <w:szCs w:val="18"/>
              </w:rPr>
              <w:t xml:space="preserve"> but benefits generated by measures affecting the digital and circular economy, </w:t>
            </w:r>
            <w:r w:rsidRPr="00342C40">
              <w:rPr>
                <w:noProof/>
                <w:szCs w:val="18"/>
              </w:rPr>
              <w:t>compensable damage</w:t>
            </w:r>
            <w:r>
              <w:rPr>
                <w:noProof/>
                <w:szCs w:val="18"/>
              </w:rPr>
              <w:t xml:space="preserve">, as well as by </w:t>
            </w:r>
            <w:r w:rsidRPr="00342C40">
              <w:rPr>
                <w:noProof/>
                <w:szCs w:val="18"/>
              </w:rPr>
              <w:t>ensuring the presence of an EU-based liable person</w:t>
            </w:r>
            <w:r>
              <w:rPr>
                <w:noProof/>
                <w:szCs w:val="18"/>
              </w:rPr>
              <w:t>.</w:t>
            </w:r>
          </w:p>
        </w:tc>
        <w:tc>
          <w:tcPr>
            <w:tcW w:w="3714" w:type="dxa"/>
            <w:tcBorders>
              <w:top w:val="double" w:sz="4" w:space="0" w:color="auto"/>
            </w:tcBorders>
            <w:tcMar>
              <w:top w:w="57" w:type="dxa"/>
              <w:left w:w="57" w:type="dxa"/>
              <w:bottom w:w="57" w:type="dxa"/>
              <w:right w:w="57" w:type="dxa"/>
            </w:tcMar>
          </w:tcPr>
          <w:p w14:paraId="0F41EE83" w14:textId="435779C0" w:rsidR="006B087E" w:rsidRPr="005C48CC" w:rsidRDefault="005329FD" w:rsidP="006C5B89">
            <w:pPr>
              <w:tabs>
                <w:tab w:val="num" w:pos="425"/>
              </w:tabs>
              <w:rPr>
                <w:noProof/>
              </w:rPr>
            </w:pPr>
            <w:r>
              <w:rPr>
                <w:noProof/>
                <w:szCs w:val="18"/>
              </w:rPr>
              <w:t>P</w:t>
            </w:r>
            <w:r w:rsidRPr="00684C51">
              <w:rPr>
                <w:noProof/>
                <w:szCs w:val="18"/>
              </w:rPr>
              <w:t>roducers</w:t>
            </w:r>
          </w:p>
        </w:tc>
      </w:tr>
    </w:tbl>
    <w:p w14:paraId="7BDB75FF" w14:textId="73707AC4" w:rsidR="006B087E" w:rsidRDefault="006B087E" w:rsidP="006B087E">
      <w:pPr>
        <w:ind w:left="-624" w:right="-964"/>
        <w:rPr>
          <w:i/>
          <w:noProof/>
          <w:sz w:val="20"/>
        </w:rPr>
      </w:pPr>
      <w:r>
        <w:rPr>
          <w:i/>
          <w:noProof/>
          <w:sz w:val="20"/>
        </w:rPr>
        <w:t>(1) Estimates are relative</w:t>
      </w:r>
      <w:r w:rsidRPr="009B0C20">
        <w:rPr>
          <w:i/>
          <w:noProof/>
          <w:sz w:val="20"/>
        </w:rPr>
        <w:t xml:space="preserve"> to the baseline </w:t>
      </w:r>
      <w:r>
        <w:rPr>
          <w:i/>
          <w:noProof/>
          <w:sz w:val="20"/>
        </w:rPr>
        <w:t xml:space="preserve">for the preferred option as a whole (i.e. the impact of individual actions/obligations of the </w:t>
      </w:r>
      <w:r w:rsidRPr="00436C1E">
        <w:rPr>
          <w:i/>
          <w:noProof/>
          <w:sz w:val="20"/>
          <w:u w:val="single"/>
        </w:rPr>
        <w:t>preferred</w:t>
      </w:r>
      <w:r>
        <w:rPr>
          <w:i/>
          <w:noProof/>
          <w:sz w:val="20"/>
        </w:rPr>
        <w:t xml:space="preserve"> option are aggregated together)</w:t>
      </w:r>
      <w:r w:rsidR="006F6233">
        <w:rPr>
          <w:i/>
          <w:noProof/>
          <w:sz w:val="20"/>
        </w:rPr>
        <w:t>.</w:t>
      </w:r>
    </w:p>
    <w:p w14:paraId="474E0A79" w14:textId="77777777" w:rsidR="006446B8" w:rsidRDefault="006446B8">
      <w:pPr>
        <w:rPr>
          <w:noProof/>
        </w:rPr>
      </w:pPr>
    </w:p>
    <w:p w14:paraId="1BF22855" w14:textId="77777777" w:rsidR="006446B8" w:rsidRDefault="006446B8">
      <w:pPr>
        <w:rPr>
          <w:noProof/>
        </w:rPr>
      </w:pPr>
      <w:r>
        <w:rPr>
          <w:noProof/>
        </w:rPr>
        <w:br w:type="page"/>
      </w: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3"/>
        <w:gridCol w:w="1701"/>
        <w:gridCol w:w="850"/>
        <w:gridCol w:w="212"/>
        <w:gridCol w:w="1489"/>
        <w:gridCol w:w="992"/>
        <w:gridCol w:w="1701"/>
        <w:gridCol w:w="851"/>
        <w:gridCol w:w="1639"/>
      </w:tblGrid>
      <w:tr w:rsidR="006B087E" w:rsidRPr="005C48CC" w14:paraId="03AE5364" w14:textId="77777777" w:rsidTr="00370460">
        <w:tc>
          <w:tcPr>
            <w:tcW w:w="10428" w:type="dxa"/>
            <w:gridSpan w:val="9"/>
            <w:tcBorders>
              <w:top w:val="double" w:sz="4" w:space="0" w:color="auto"/>
            </w:tcBorders>
            <w:shd w:val="clear" w:color="auto" w:fill="C6D9F1" w:themeFill="text2" w:themeFillTint="33"/>
            <w:tcMar>
              <w:top w:w="57" w:type="dxa"/>
              <w:left w:w="57" w:type="dxa"/>
              <w:bottom w:w="57" w:type="dxa"/>
              <w:right w:w="57" w:type="dxa"/>
            </w:tcMar>
          </w:tcPr>
          <w:p w14:paraId="2408E10C" w14:textId="77777777" w:rsidR="006B087E" w:rsidRPr="005C48CC" w:rsidRDefault="006B087E" w:rsidP="006C5B89">
            <w:pPr>
              <w:tabs>
                <w:tab w:val="num" w:pos="425"/>
              </w:tabs>
              <w:jc w:val="center"/>
              <w:rPr>
                <w:b/>
                <w:i/>
                <w:noProof/>
              </w:rPr>
            </w:pPr>
            <w:r w:rsidRPr="005C48CC">
              <w:rPr>
                <w:b/>
                <w:i/>
                <w:noProof/>
              </w:rPr>
              <w:t>I</w:t>
            </w:r>
            <w:r>
              <w:rPr>
                <w:b/>
                <w:i/>
                <w:noProof/>
              </w:rPr>
              <w:t>I</w:t>
            </w:r>
            <w:r w:rsidRPr="005C48CC">
              <w:rPr>
                <w:b/>
                <w:i/>
                <w:noProof/>
              </w:rPr>
              <w:t xml:space="preserve">. Overview of </w:t>
            </w:r>
            <w:r>
              <w:rPr>
                <w:b/>
                <w:i/>
                <w:noProof/>
              </w:rPr>
              <w:t>c</w:t>
            </w:r>
            <w:r w:rsidRPr="005C48CC">
              <w:rPr>
                <w:b/>
                <w:i/>
                <w:noProof/>
              </w:rPr>
              <w:t xml:space="preserve">osts – Preferred </w:t>
            </w:r>
            <w:r>
              <w:rPr>
                <w:b/>
                <w:i/>
                <w:noProof/>
              </w:rPr>
              <w:t>o</w:t>
            </w:r>
            <w:r w:rsidRPr="005C48CC">
              <w:rPr>
                <w:b/>
                <w:i/>
                <w:noProof/>
              </w:rPr>
              <w:t>ption</w:t>
            </w:r>
          </w:p>
        </w:tc>
      </w:tr>
      <w:tr w:rsidR="006B087E" w:rsidRPr="005C48CC" w14:paraId="0A0819F7" w14:textId="77777777" w:rsidTr="00414087">
        <w:tc>
          <w:tcPr>
            <w:tcW w:w="2694"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14:paraId="51C1E87C" w14:textId="77777777" w:rsidR="006B087E" w:rsidRPr="005C48CC" w:rsidRDefault="006B087E" w:rsidP="006C5B89">
            <w:pPr>
              <w:tabs>
                <w:tab w:val="num" w:pos="425"/>
              </w:tabs>
              <w:rPr>
                <w:noProof/>
              </w:rPr>
            </w:pPr>
          </w:p>
        </w:tc>
        <w:tc>
          <w:tcPr>
            <w:tcW w:w="2551" w:type="dxa"/>
            <w:gridSpan w:val="3"/>
            <w:tcBorders>
              <w:left w:val="double" w:sz="4" w:space="0" w:color="auto"/>
            </w:tcBorders>
            <w:tcMar>
              <w:top w:w="57" w:type="dxa"/>
              <w:left w:w="57" w:type="dxa"/>
              <w:bottom w:w="57" w:type="dxa"/>
              <w:right w:w="57" w:type="dxa"/>
            </w:tcMar>
          </w:tcPr>
          <w:p w14:paraId="1700CFFD" w14:textId="77777777" w:rsidR="006B087E" w:rsidRPr="005C48CC" w:rsidRDefault="006B087E" w:rsidP="006C5B89">
            <w:pPr>
              <w:tabs>
                <w:tab w:val="num" w:pos="425"/>
              </w:tabs>
              <w:jc w:val="center"/>
              <w:rPr>
                <w:noProof/>
              </w:rPr>
            </w:pPr>
            <w:r w:rsidRPr="005C48CC">
              <w:rPr>
                <w:noProof/>
              </w:rPr>
              <w:t xml:space="preserve">Citizens/Consumers </w:t>
            </w:r>
          </w:p>
        </w:tc>
        <w:tc>
          <w:tcPr>
            <w:tcW w:w="2693" w:type="dxa"/>
            <w:gridSpan w:val="2"/>
            <w:tcMar>
              <w:top w:w="57" w:type="dxa"/>
              <w:left w:w="57" w:type="dxa"/>
              <w:bottom w:w="57" w:type="dxa"/>
              <w:right w:w="57" w:type="dxa"/>
            </w:tcMar>
          </w:tcPr>
          <w:p w14:paraId="1537E8D1" w14:textId="77777777" w:rsidR="006B087E" w:rsidRPr="005C48CC" w:rsidRDefault="006B087E" w:rsidP="006C5B89">
            <w:pPr>
              <w:tabs>
                <w:tab w:val="num" w:pos="425"/>
              </w:tabs>
              <w:jc w:val="center"/>
              <w:rPr>
                <w:noProof/>
              </w:rPr>
            </w:pPr>
            <w:r w:rsidRPr="005C48CC">
              <w:rPr>
                <w:noProof/>
              </w:rPr>
              <w:t>Businesses</w:t>
            </w:r>
          </w:p>
        </w:tc>
        <w:tc>
          <w:tcPr>
            <w:tcW w:w="2490" w:type="dxa"/>
            <w:gridSpan w:val="2"/>
            <w:tcMar>
              <w:top w:w="57" w:type="dxa"/>
              <w:left w:w="57" w:type="dxa"/>
              <w:bottom w:w="57" w:type="dxa"/>
              <w:right w:w="57" w:type="dxa"/>
            </w:tcMar>
          </w:tcPr>
          <w:p w14:paraId="1CEB4D7B" w14:textId="77777777" w:rsidR="006B087E" w:rsidRPr="005C48CC" w:rsidRDefault="006B087E" w:rsidP="006C5B89">
            <w:pPr>
              <w:tabs>
                <w:tab w:val="num" w:pos="425"/>
              </w:tabs>
              <w:jc w:val="center"/>
              <w:rPr>
                <w:noProof/>
              </w:rPr>
            </w:pPr>
            <w:r w:rsidRPr="005C48CC">
              <w:rPr>
                <w:noProof/>
              </w:rPr>
              <w:t>Administrations</w:t>
            </w:r>
          </w:p>
        </w:tc>
      </w:tr>
      <w:tr w:rsidR="006B087E" w:rsidRPr="005C48CC" w14:paraId="2D2DC13E" w14:textId="77777777" w:rsidTr="00414087">
        <w:trPr>
          <w:trHeight w:val="172"/>
        </w:trPr>
        <w:tc>
          <w:tcPr>
            <w:tcW w:w="2694"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14:paraId="73D8C7A2" w14:textId="77777777" w:rsidR="006B087E" w:rsidRPr="005C48CC" w:rsidRDefault="006B087E" w:rsidP="006C5B89">
            <w:pPr>
              <w:tabs>
                <w:tab w:val="num" w:pos="425"/>
              </w:tabs>
              <w:jc w:val="center"/>
              <w:rPr>
                <w:noProof/>
              </w:rPr>
            </w:pPr>
          </w:p>
        </w:tc>
        <w:tc>
          <w:tcPr>
            <w:tcW w:w="850" w:type="dxa"/>
            <w:tcBorders>
              <w:left w:val="double" w:sz="4" w:space="0" w:color="auto"/>
              <w:bottom w:val="double" w:sz="4" w:space="0" w:color="auto"/>
            </w:tcBorders>
            <w:tcMar>
              <w:top w:w="57" w:type="dxa"/>
              <w:left w:w="57" w:type="dxa"/>
              <w:bottom w:w="57" w:type="dxa"/>
              <w:right w:w="57" w:type="dxa"/>
            </w:tcMar>
          </w:tcPr>
          <w:p w14:paraId="5E6F86D0" w14:textId="77777777" w:rsidR="006B087E" w:rsidRPr="005C48CC" w:rsidRDefault="006B087E" w:rsidP="006C5B89">
            <w:pPr>
              <w:tabs>
                <w:tab w:val="num" w:pos="425"/>
              </w:tabs>
              <w:jc w:val="center"/>
              <w:rPr>
                <w:noProof/>
              </w:rPr>
            </w:pPr>
            <w:r w:rsidRPr="005C48CC">
              <w:rPr>
                <w:noProof/>
              </w:rPr>
              <w:t>One-off</w:t>
            </w:r>
          </w:p>
        </w:tc>
        <w:tc>
          <w:tcPr>
            <w:tcW w:w="1701" w:type="dxa"/>
            <w:gridSpan w:val="2"/>
            <w:tcBorders>
              <w:bottom w:val="double" w:sz="4" w:space="0" w:color="auto"/>
            </w:tcBorders>
            <w:tcMar>
              <w:top w:w="57" w:type="dxa"/>
              <w:left w:w="57" w:type="dxa"/>
              <w:bottom w:w="57" w:type="dxa"/>
              <w:right w:w="57" w:type="dxa"/>
            </w:tcMar>
          </w:tcPr>
          <w:p w14:paraId="7793C83B" w14:textId="77777777" w:rsidR="006B087E" w:rsidRPr="005C48CC" w:rsidRDefault="006B087E" w:rsidP="006C5B89">
            <w:pPr>
              <w:tabs>
                <w:tab w:val="num" w:pos="425"/>
              </w:tabs>
              <w:jc w:val="center"/>
              <w:rPr>
                <w:noProof/>
              </w:rPr>
            </w:pPr>
            <w:r w:rsidRPr="005C48CC">
              <w:rPr>
                <w:noProof/>
              </w:rPr>
              <w:t>Recurrent</w:t>
            </w:r>
          </w:p>
        </w:tc>
        <w:tc>
          <w:tcPr>
            <w:tcW w:w="992" w:type="dxa"/>
            <w:tcBorders>
              <w:bottom w:val="double" w:sz="4" w:space="0" w:color="auto"/>
            </w:tcBorders>
            <w:tcMar>
              <w:top w:w="57" w:type="dxa"/>
              <w:left w:w="57" w:type="dxa"/>
              <w:bottom w:w="57" w:type="dxa"/>
              <w:right w:w="57" w:type="dxa"/>
            </w:tcMar>
          </w:tcPr>
          <w:p w14:paraId="7B756422" w14:textId="77777777" w:rsidR="006B087E" w:rsidRPr="005C48CC" w:rsidRDefault="006B087E" w:rsidP="006C5B89">
            <w:pPr>
              <w:tabs>
                <w:tab w:val="num" w:pos="425"/>
              </w:tabs>
              <w:jc w:val="center"/>
              <w:rPr>
                <w:noProof/>
              </w:rPr>
            </w:pPr>
            <w:r w:rsidRPr="005C48CC">
              <w:rPr>
                <w:noProof/>
              </w:rPr>
              <w:t>One-off</w:t>
            </w:r>
          </w:p>
        </w:tc>
        <w:tc>
          <w:tcPr>
            <w:tcW w:w="1701" w:type="dxa"/>
            <w:tcBorders>
              <w:bottom w:val="double" w:sz="4" w:space="0" w:color="auto"/>
            </w:tcBorders>
            <w:tcMar>
              <w:top w:w="57" w:type="dxa"/>
              <w:left w:w="57" w:type="dxa"/>
              <w:bottom w:w="57" w:type="dxa"/>
              <w:right w:w="57" w:type="dxa"/>
            </w:tcMar>
          </w:tcPr>
          <w:p w14:paraId="618F7159" w14:textId="77777777" w:rsidR="006B087E" w:rsidRPr="005C48CC" w:rsidRDefault="006B087E" w:rsidP="006C5B89">
            <w:pPr>
              <w:tabs>
                <w:tab w:val="num" w:pos="425"/>
              </w:tabs>
              <w:jc w:val="center"/>
              <w:rPr>
                <w:noProof/>
              </w:rPr>
            </w:pPr>
            <w:r w:rsidRPr="005C48CC">
              <w:rPr>
                <w:noProof/>
              </w:rPr>
              <w:t>Recurrent</w:t>
            </w:r>
          </w:p>
        </w:tc>
        <w:tc>
          <w:tcPr>
            <w:tcW w:w="851" w:type="dxa"/>
            <w:tcBorders>
              <w:bottom w:val="double" w:sz="4" w:space="0" w:color="auto"/>
            </w:tcBorders>
            <w:tcMar>
              <w:top w:w="57" w:type="dxa"/>
              <w:left w:w="57" w:type="dxa"/>
              <w:bottom w:w="57" w:type="dxa"/>
              <w:right w:w="57" w:type="dxa"/>
            </w:tcMar>
          </w:tcPr>
          <w:p w14:paraId="56FC4D0E" w14:textId="77777777" w:rsidR="006B087E" w:rsidRPr="005C48CC" w:rsidRDefault="006B087E" w:rsidP="006C5B89">
            <w:pPr>
              <w:tabs>
                <w:tab w:val="num" w:pos="425"/>
              </w:tabs>
              <w:jc w:val="center"/>
              <w:rPr>
                <w:noProof/>
              </w:rPr>
            </w:pPr>
            <w:r w:rsidRPr="005C48CC">
              <w:rPr>
                <w:noProof/>
              </w:rPr>
              <w:t>One-off</w:t>
            </w:r>
          </w:p>
        </w:tc>
        <w:tc>
          <w:tcPr>
            <w:tcW w:w="1639" w:type="dxa"/>
            <w:tcBorders>
              <w:bottom w:val="double" w:sz="4" w:space="0" w:color="auto"/>
            </w:tcBorders>
            <w:tcMar>
              <w:top w:w="57" w:type="dxa"/>
              <w:left w:w="57" w:type="dxa"/>
              <w:bottom w:w="57" w:type="dxa"/>
              <w:right w:w="57" w:type="dxa"/>
            </w:tcMar>
          </w:tcPr>
          <w:p w14:paraId="2824F73E" w14:textId="77777777" w:rsidR="006B087E" w:rsidRPr="005C48CC" w:rsidRDefault="006B087E" w:rsidP="006C5B89">
            <w:pPr>
              <w:tabs>
                <w:tab w:val="num" w:pos="425"/>
              </w:tabs>
              <w:jc w:val="center"/>
              <w:rPr>
                <w:noProof/>
              </w:rPr>
            </w:pPr>
            <w:r w:rsidRPr="005C48CC">
              <w:rPr>
                <w:noProof/>
              </w:rPr>
              <w:t>Recurrent</w:t>
            </w:r>
          </w:p>
        </w:tc>
      </w:tr>
      <w:tr w:rsidR="0077523B" w:rsidRPr="005C48CC" w14:paraId="0F880BDD" w14:textId="77777777" w:rsidTr="00414087">
        <w:trPr>
          <w:trHeight w:val="1210"/>
        </w:trPr>
        <w:tc>
          <w:tcPr>
            <w:tcW w:w="993" w:type="dxa"/>
            <w:vMerge w:val="restart"/>
            <w:tcMar>
              <w:top w:w="57" w:type="dxa"/>
              <w:left w:w="57" w:type="dxa"/>
              <w:bottom w:w="57" w:type="dxa"/>
              <w:right w:w="57" w:type="dxa"/>
            </w:tcMar>
            <w:vAlign w:val="center"/>
          </w:tcPr>
          <w:p w14:paraId="0C078BB3" w14:textId="2ED55819" w:rsidR="0077523B" w:rsidRPr="005C48CC" w:rsidRDefault="0077523B" w:rsidP="0077523B">
            <w:pPr>
              <w:tabs>
                <w:tab w:val="num" w:pos="425"/>
              </w:tabs>
              <w:rPr>
                <w:noProof/>
              </w:rPr>
            </w:pPr>
            <w:r>
              <w:rPr>
                <w:b/>
                <w:noProof/>
              </w:rPr>
              <w:t>Action (a)</w:t>
            </w:r>
            <w:r w:rsidR="00402CDB">
              <w:rPr>
                <w:b/>
                <w:noProof/>
              </w:rPr>
              <w:t xml:space="preserve"> </w:t>
            </w:r>
          </w:p>
          <w:p w14:paraId="18870FFF" w14:textId="6D38F1F6" w:rsidR="0077523B" w:rsidRPr="005C48CC" w:rsidRDefault="0077523B" w:rsidP="0077523B">
            <w:pPr>
              <w:tabs>
                <w:tab w:val="num" w:pos="425"/>
              </w:tabs>
              <w:rPr>
                <w:noProof/>
              </w:rPr>
            </w:pPr>
          </w:p>
          <w:p w14:paraId="4F5B3872" w14:textId="1133044E" w:rsidR="0077523B" w:rsidRPr="005C48CC" w:rsidRDefault="0077523B" w:rsidP="0077523B">
            <w:pPr>
              <w:tabs>
                <w:tab w:val="num" w:pos="425"/>
              </w:tabs>
              <w:rPr>
                <w:noProof/>
              </w:rPr>
            </w:pPr>
          </w:p>
        </w:tc>
        <w:tc>
          <w:tcPr>
            <w:tcW w:w="1701" w:type="dxa"/>
            <w:tcBorders>
              <w:right w:val="double" w:sz="4" w:space="0" w:color="auto"/>
            </w:tcBorders>
            <w:tcMar>
              <w:top w:w="57" w:type="dxa"/>
              <w:left w:w="57" w:type="dxa"/>
              <w:bottom w:w="57" w:type="dxa"/>
              <w:right w:w="57" w:type="dxa"/>
            </w:tcMar>
            <w:vAlign w:val="center"/>
          </w:tcPr>
          <w:p w14:paraId="79914DD8" w14:textId="21621C75" w:rsidR="0077523B" w:rsidRPr="00C10D5A" w:rsidRDefault="00C10D5A" w:rsidP="0077523B">
            <w:pPr>
              <w:tabs>
                <w:tab w:val="num" w:pos="425"/>
              </w:tabs>
              <w:rPr>
                <w:noProof/>
              </w:rPr>
            </w:pPr>
            <w:r w:rsidRPr="00FE4FA6">
              <w:rPr>
                <w:noProof/>
                <w:szCs w:val="18"/>
              </w:rPr>
              <w:t>Benefit: Consumer protection (compensation</w:t>
            </w:r>
            <w:r>
              <w:rPr>
                <w:noProof/>
                <w:szCs w:val="18"/>
              </w:rPr>
              <w:t xml:space="preserve"> pay-outs to consumers/victims</w:t>
            </w:r>
            <w:r w:rsidRPr="00FE4FA6">
              <w:rPr>
                <w:noProof/>
                <w:szCs w:val="18"/>
              </w:rPr>
              <w:t>)</w:t>
            </w:r>
          </w:p>
        </w:tc>
        <w:tc>
          <w:tcPr>
            <w:tcW w:w="850" w:type="dxa"/>
            <w:tcBorders>
              <w:left w:val="double" w:sz="4" w:space="0" w:color="auto"/>
            </w:tcBorders>
            <w:tcMar>
              <w:top w:w="57" w:type="dxa"/>
              <w:left w:w="57" w:type="dxa"/>
              <w:bottom w:w="57" w:type="dxa"/>
              <w:right w:w="57" w:type="dxa"/>
            </w:tcMar>
          </w:tcPr>
          <w:p w14:paraId="56644EE7" w14:textId="5E079E58" w:rsidR="0077523B" w:rsidRPr="005C48CC" w:rsidRDefault="0077523B" w:rsidP="0077523B">
            <w:pPr>
              <w:tabs>
                <w:tab w:val="num" w:pos="425"/>
              </w:tabs>
              <w:rPr>
                <w:noProof/>
              </w:rPr>
            </w:pPr>
            <w:r w:rsidRPr="00684C51">
              <w:rPr>
                <w:noProof/>
                <w:szCs w:val="18"/>
              </w:rPr>
              <w:t xml:space="preserve">Not relevant </w:t>
            </w:r>
          </w:p>
        </w:tc>
        <w:tc>
          <w:tcPr>
            <w:tcW w:w="1701" w:type="dxa"/>
            <w:gridSpan w:val="2"/>
            <w:tcMar>
              <w:top w:w="57" w:type="dxa"/>
              <w:left w:w="57" w:type="dxa"/>
              <w:bottom w:w="57" w:type="dxa"/>
              <w:right w:w="57" w:type="dxa"/>
            </w:tcMar>
          </w:tcPr>
          <w:p w14:paraId="6133E26F" w14:textId="7435F2FF" w:rsidR="0077523B" w:rsidRPr="00414087" w:rsidRDefault="00C10D5A" w:rsidP="00C10D5A">
            <w:pPr>
              <w:tabs>
                <w:tab w:val="num" w:pos="425"/>
              </w:tabs>
              <w:rPr>
                <w:i/>
                <w:noProof/>
              </w:rPr>
            </w:pPr>
            <w:r w:rsidDel="00C10D5A">
              <w:rPr>
                <w:noProof/>
                <w:szCs w:val="18"/>
              </w:rPr>
              <w:t xml:space="preserve"> </w:t>
            </w:r>
            <w:r w:rsidR="00414087" w:rsidRPr="00414087">
              <w:rPr>
                <w:i/>
                <w:noProof/>
                <w:szCs w:val="18"/>
              </w:rPr>
              <w:t xml:space="preserve">[pay-outs to consumers/victims </w:t>
            </w:r>
            <w:r>
              <w:rPr>
                <w:i/>
                <w:noProof/>
                <w:szCs w:val="18"/>
              </w:rPr>
              <w:t>0.34 – 65.67</w:t>
            </w:r>
            <w:r w:rsidR="00126D97" w:rsidRPr="00414087">
              <w:rPr>
                <w:i/>
                <w:noProof/>
                <w:szCs w:val="18"/>
              </w:rPr>
              <w:t xml:space="preserve"> </w:t>
            </w:r>
            <w:r w:rsidR="0077523B" w:rsidRPr="00414087">
              <w:rPr>
                <w:i/>
                <w:noProof/>
                <w:szCs w:val="18"/>
              </w:rPr>
              <w:t>EUR</w:t>
            </w:r>
            <w:r w:rsidR="0077523B" w:rsidRPr="00414087" w:rsidDel="002871B9">
              <w:rPr>
                <w:i/>
                <w:noProof/>
                <w:szCs w:val="18"/>
              </w:rPr>
              <w:t xml:space="preserve"> </w:t>
            </w:r>
            <w:r w:rsidR="0077523B" w:rsidRPr="00414087">
              <w:rPr>
                <w:i/>
                <w:noProof/>
                <w:szCs w:val="18"/>
              </w:rPr>
              <w:t>million annually</w:t>
            </w:r>
            <w:r w:rsidR="00414087" w:rsidRPr="00414087">
              <w:rPr>
                <w:i/>
                <w:noProof/>
                <w:szCs w:val="18"/>
              </w:rPr>
              <w:t>]</w:t>
            </w:r>
          </w:p>
        </w:tc>
        <w:tc>
          <w:tcPr>
            <w:tcW w:w="992" w:type="dxa"/>
            <w:tcMar>
              <w:top w:w="57" w:type="dxa"/>
              <w:left w:w="57" w:type="dxa"/>
              <w:bottom w:w="57" w:type="dxa"/>
              <w:right w:w="57" w:type="dxa"/>
            </w:tcMar>
          </w:tcPr>
          <w:p w14:paraId="1E82B975" w14:textId="77545E33" w:rsidR="0077523B" w:rsidRPr="005C48CC" w:rsidRDefault="0077523B" w:rsidP="0077523B">
            <w:pPr>
              <w:tabs>
                <w:tab w:val="num" w:pos="425"/>
              </w:tabs>
              <w:rPr>
                <w:noProof/>
              </w:rPr>
            </w:pPr>
            <w:r w:rsidRPr="00684C51">
              <w:rPr>
                <w:noProof/>
                <w:szCs w:val="18"/>
              </w:rPr>
              <w:t xml:space="preserve">Not relevant </w:t>
            </w:r>
          </w:p>
        </w:tc>
        <w:tc>
          <w:tcPr>
            <w:tcW w:w="1701" w:type="dxa"/>
            <w:tcMar>
              <w:top w:w="57" w:type="dxa"/>
              <w:left w:w="57" w:type="dxa"/>
              <w:bottom w:w="57" w:type="dxa"/>
              <w:right w:w="57" w:type="dxa"/>
            </w:tcMar>
          </w:tcPr>
          <w:p w14:paraId="18117E05" w14:textId="56076942" w:rsidR="0077523B" w:rsidRPr="005C48CC" w:rsidRDefault="0077523B" w:rsidP="0077523B">
            <w:pPr>
              <w:tabs>
                <w:tab w:val="num" w:pos="425"/>
              </w:tabs>
              <w:rPr>
                <w:noProof/>
              </w:rPr>
            </w:pPr>
            <w:r w:rsidRPr="0007095A">
              <w:rPr>
                <w:noProof/>
                <w:szCs w:val="18"/>
              </w:rPr>
              <w:t>Not relevant</w:t>
            </w:r>
          </w:p>
        </w:tc>
        <w:tc>
          <w:tcPr>
            <w:tcW w:w="851" w:type="dxa"/>
            <w:tcMar>
              <w:top w:w="57" w:type="dxa"/>
              <w:left w:w="57" w:type="dxa"/>
              <w:bottom w:w="57" w:type="dxa"/>
              <w:right w:w="57" w:type="dxa"/>
            </w:tcMar>
          </w:tcPr>
          <w:p w14:paraId="721C485A" w14:textId="213BA1D6" w:rsidR="0077523B" w:rsidRPr="005C48CC" w:rsidRDefault="0077523B" w:rsidP="0077523B">
            <w:pPr>
              <w:tabs>
                <w:tab w:val="num" w:pos="425"/>
              </w:tabs>
              <w:rPr>
                <w:noProof/>
              </w:rPr>
            </w:pPr>
            <w:r w:rsidRPr="0007095A">
              <w:rPr>
                <w:noProof/>
                <w:szCs w:val="18"/>
              </w:rPr>
              <w:t>Not relevant</w:t>
            </w:r>
          </w:p>
        </w:tc>
        <w:tc>
          <w:tcPr>
            <w:tcW w:w="1639" w:type="dxa"/>
            <w:tcMar>
              <w:top w:w="57" w:type="dxa"/>
              <w:left w:w="57" w:type="dxa"/>
              <w:bottom w:w="57" w:type="dxa"/>
              <w:right w:w="57" w:type="dxa"/>
            </w:tcMar>
          </w:tcPr>
          <w:p w14:paraId="421089EC" w14:textId="1482C53E" w:rsidR="0077523B" w:rsidRPr="005C48CC" w:rsidRDefault="0077523B" w:rsidP="0077523B">
            <w:pPr>
              <w:tabs>
                <w:tab w:val="num" w:pos="425"/>
              </w:tabs>
              <w:rPr>
                <w:noProof/>
              </w:rPr>
            </w:pPr>
            <w:r w:rsidRPr="00684C51">
              <w:rPr>
                <w:noProof/>
                <w:szCs w:val="18"/>
              </w:rPr>
              <w:t xml:space="preserve">Not relevant </w:t>
            </w:r>
          </w:p>
        </w:tc>
      </w:tr>
      <w:tr w:rsidR="0077523B" w:rsidRPr="005C48CC" w14:paraId="1694F1CC" w14:textId="77777777" w:rsidTr="00414087">
        <w:trPr>
          <w:trHeight w:val="690"/>
        </w:trPr>
        <w:tc>
          <w:tcPr>
            <w:tcW w:w="993" w:type="dxa"/>
            <w:vMerge/>
            <w:tcMar>
              <w:top w:w="57" w:type="dxa"/>
              <w:left w:w="57" w:type="dxa"/>
              <w:bottom w:w="57" w:type="dxa"/>
              <w:right w:w="57" w:type="dxa"/>
            </w:tcMar>
          </w:tcPr>
          <w:p w14:paraId="713BCAB0" w14:textId="65A1697C" w:rsidR="0077523B" w:rsidRPr="005C48CC" w:rsidRDefault="0077523B" w:rsidP="0077523B">
            <w:pPr>
              <w:tabs>
                <w:tab w:val="num" w:pos="425"/>
              </w:tabs>
              <w:rPr>
                <w:noProof/>
              </w:rPr>
            </w:pPr>
          </w:p>
        </w:tc>
        <w:tc>
          <w:tcPr>
            <w:tcW w:w="1701" w:type="dxa"/>
            <w:tcBorders>
              <w:right w:val="double" w:sz="4" w:space="0" w:color="auto"/>
            </w:tcBorders>
            <w:tcMar>
              <w:top w:w="57" w:type="dxa"/>
              <w:left w:w="57" w:type="dxa"/>
              <w:bottom w:w="57" w:type="dxa"/>
              <w:right w:w="57" w:type="dxa"/>
            </w:tcMar>
          </w:tcPr>
          <w:p w14:paraId="1DDBC4FD" w14:textId="72330256" w:rsidR="0077523B" w:rsidRPr="005C48CC" w:rsidRDefault="00126D97" w:rsidP="0077523B">
            <w:pPr>
              <w:tabs>
                <w:tab w:val="num" w:pos="425"/>
              </w:tabs>
              <w:rPr>
                <w:noProof/>
              </w:rPr>
            </w:pPr>
            <w:r>
              <w:rPr>
                <w:noProof/>
                <w:szCs w:val="18"/>
              </w:rPr>
              <w:t>In</w:t>
            </w:r>
            <w:r w:rsidR="008F2F98">
              <w:rPr>
                <w:noProof/>
                <w:szCs w:val="18"/>
              </w:rPr>
              <w:t>direct cost related to l</w:t>
            </w:r>
            <w:r w:rsidR="0077523B" w:rsidRPr="00684C51">
              <w:rPr>
                <w:noProof/>
                <w:szCs w:val="18"/>
              </w:rPr>
              <w:t xml:space="preserve">iability insurance </w:t>
            </w:r>
          </w:p>
        </w:tc>
        <w:tc>
          <w:tcPr>
            <w:tcW w:w="850" w:type="dxa"/>
            <w:tcBorders>
              <w:left w:val="double" w:sz="4" w:space="0" w:color="auto"/>
            </w:tcBorders>
            <w:tcMar>
              <w:top w:w="57" w:type="dxa"/>
              <w:left w:w="57" w:type="dxa"/>
              <w:bottom w:w="57" w:type="dxa"/>
              <w:right w:w="57" w:type="dxa"/>
            </w:tcMar>
          </w:tcPr>
          <w:p w14:paraId="1320EBEA" w14:textId="65529139" w:rsidR="0077523B" w:rsidRPr="005C48CC" w:rsidRDefault="0077523B" w:rsidP="0077523B">
            <w:pPr>
              <w:tabs>
                <w:tab w:val="num" w:pos="425"/>
              </w:tabs>
              <w:rPr>
                <w:noProof/>
              </w:rPr>
            </w:pPr>
            <w:r w:rsidRPr="00684C51">
              <w:rPr>
                <w:noProof/>
                <w:szCs w:val="18"/>
              </w:rPr>
              <w:t xml:space="preserve">Not relevant </w:t>
            </w:r>
          </w:p>
        </w:tc>
        <w:tc>
          <w:tcPr>
            <w:tcW w:w="1701" w:type="dxa"/>
            <w:gridSpan w:val="2"/>
            <w:tcMar>
              <w:top w:w="57" w:type="dxa"/>
              <w:left w:w="57" w:type="dxa"/>
              <w:bottom w:w="57" w:type="dxa"/>
              <w:right w:w="57" w:type="dxa"/>
            </w:tcMar>
          </w:tcPr>
          <w:p w14:paraId="710726DA" w14:textId="6824E56F" w:rsidR="0077523B" w:rsidRPr="005C48CC" w:rsidRDefault="0077523B" w:rsidP="0077523B">
            <w:pPr>
              <w:tabs>
                <w:tab w:val="num" w:pos="425"/>
              </w:tabs>
              <w:rPr>
                <w:noProof/>
              </w:rPr>
            </w:pPr>
            <w:r w:rsidRPr="00684C51">
              <w:rPr>
                <w:noProof/>
                <w:szCs w:val="18"/>
              </w:rPr>
              <w:t>Not relevant</w:t>
            </w:r>
          </w:p>
        </w:tc>
        <w:tc>
          <w:tcPr>
            <w:tcW w:w="992" w:type="dxa"/>
            <w:tcMar>
              <w:top w:w="57" w:type="dxa"/>
              <w:left w:w="57" w:type="dxa"/>
              <w:bottom w:w="57" w:type="dxa"/>
              <w:right w:w="57" w:type="dxa"/>
            </w:tcMar>
          </w:tcPr>
          <w:p w14:paraId="3A6A77E6" w14:textId="7AAEB24D" w:rsidR="0077523B" w:rsidRPr="005C48CC" w:rsidRDefault="0077523B" w:rsidP="0077523B">
            <w:pPr>
              <w:tabs>
                <w:tab w:val="num" w:pos="425"/>
              </w:tabs>
              <w:rPr>
                <w:noProof/>
              </w:rPr>
            </w:pPr>
            <w:r w:rsidRPr="00684C51">
              <w:rPr>
                <w:noProof/>
                <w:szCs w:val="18"/>
              </w:rPr>
              <w:t xml:space="preserve">Not relevant </w:t>
            </w:r>
          </w:p>
        </w:tc>
        <w:tc>
          <w:tcPr>
            <w:tcW w:w="1701" w:type="dxa"/>
            <w:tcMar>
              <w:top w:w="57" w:type="dxa"/>
              <w:left w:w="57" w:type="dxa"/>
              <w:bottom w:w="57" w:type="dxa"/>
              <w:right w:w="57" w:type="dxa"/>
            </w:tcMar>
          </w:tcPr>
          <w:p w14:paraId="21869264" w14:textId="1BEF7FFA" w:rsidR="0077523B" w:rsidRPr="005C48CC" w:rsidRDefault="00126D97" w:rsidP="00126D97">
            <w:pPr>
              <w:tabs>
                <w:tab w:val="num" w:pos="425"/>
              </w:tabs>
              <w:rPr>
                <w:noProof/>
              </w:rPr>
            </w:pPr>
            <w:r>
              <w:rPr>
                <w:noProof/>
                <w:szCs w:val="18"/>
              </w:rPr>
              <w:t>18.</w:t>
            </w:r>
            <w:r w:rsidR="00AD11BC">
              <w:rPr>
                <w:noProof/>
                <w:szCs w:val="18"/>
              </w:rPr>
              <w:t>70</w:t>
            </w:r>
            <w:r>
              <w:rPr>
                <w:noProof/>
                <w:szCs w:val="18"/>
              </w:rPr>
              <w:t xml:space="preserve"> – 3</w:t>
            </w:r>
            <w:r w:rsidR="00AD11BC">
              <w:rPr>
                <w:noProof/>
                <w:szCs w:val="18"/>
              </w:rPr>
              <w:t>7.40</w:t>
            </w:r>
            <w:r w:rsidR="0077523B">
              <w:rPr>
                <w:noProof/>
                <w:szCs w:val="18"/>
              </w:rPr>
              <w:t xml:space="preserve"> </w:t>
            </w:r>
            <w:r w:rsidR="0077523B" w:rsidRPr="00273F00">
              <w:rPr>
                <w:noProof/>
                <w:szCs w:val="18"/>
              </w:rPr>
              <w:t xml:space="preserve">EUR </w:t>
            </w:r>
            <w:r w:rsidR="0077523B">
              <w:rPr>
                <w:noProof/>
                <w:szCs w:val="18"/>
              </w:rPr>
              <w:t xml:space="preserve">million </w:t>
            </w:r>
            <w:r w:rsidR="0077523B" w:rsidRPr="00273F00">
              <w:rPr>
                <w:noProof/>
                <w:szCs w:val="18"/>
              </w:rPr>
              <w:t>annually</w:t>
            </w:r>
          </w:p>
        </w:tc>
        <w:tc>
          <w:tcPr>
            <w:tcW w:w="851" w:type="dxa"/>
            <w:tcMar>
              <w:top w:w="57" w:type="dxa"/>
              <w:left w:w="57" w:type="dxa"/>
              <w:bottom w:w="57" w:type="dxa"/>
              <w:right w:w="57" w:type="dxa"/>
            </w:tcMar>
          </w:tcPr>
          <w:p w14:paraId="42AAC604" w14:textId="02DE34FF" w:rsidR="0077523B" w:rsidRPr="005C48CC" w:rsidRDefault="0077523B" w:rsidP="0077523B">
            <w:pPr>
              <w:tabs>
                <w:tab w:val="num" w:pos="425"/>
              </w:tabs>
              <w:rPr>
                <w:noProof/>
              </w:rPr>
            </w:pPr>
            <w:r w:rsidRPr="0007095A">
              <w:rPr>
                <w:noProof/>
                <w:szCs w:val="18"/>
              </w:rPr>
              <w:t>Not relevant</w:t>
            </w:r>
          </w:p>
        </w:tc>
        <w:tc>
          <w:tcPr>
            <w:tcW w:w="1639" w:type="dxa"/>
            <w:tcMar>
              <w:top w:w="57" w:type="dxa"/>
              <w:left w:w="57" w:type="dxa"/>
              <w:bottom w:w="57" w:type="dxa"/>
              <w:right w:w="57" w:type="dxa"/>
            </w:tcMar>
          </w:tcPr>
          <w:p w14:paraId="2C7B706E" w14:textId="77D5A1BA" w:rsidR="0077523B" w:rsidRPr="005C48CC" w:rsidRDefault="0077523B" w:rsidP="0077523B">
            <w:pPr>
              <w:tabs>
                <w:tab w:val="num" w:pos="425"/>
              </w:tabs>
              <w:rPr>
                <w:noProof/>
              </w:rPr>
            </w:pPr>
            <w:r w:rsidRPr="00684C51">
              <w:rPr>
                <w:noProof/>
                <w:szCs w:val="18"/>
              </w:rPr>
              <w:t xml:space="preserve">Not relevant </w:t>
            </w:r>
          </w:p>
        </w:tc>
      </w:tr>
      <w:tr w:rsidR="0077523B" w:rsidRPr="005C48CC" w14:paraId="25346293" w14:textId="77777777" w:rsidTr="00414087">
        <w:trPr>
          <w:trHeight w:val="690"/>
        </w:trPr>
        <w:tc>
          <w:tcPr>
            <w:tcW w:w="993" w:type="dxa"/>
            <w:vMerge/>
            <w:tcMar>
              <w:top w:w="57" w:type="dxa"/>
              <w:left w:w="57" w:type="dxa"/>
              <w:bottom w:w="57" w:type="dxa"/>
              <w:right w:w="57" w:type="dxa"/>
            </w:tcMar>
          </w:tcPr>
          <w:p w14:paraId="3AF6D632" w14:textId="34D1FC84" w:rsidR="0077523B" w:rsidRPr="005C48CC" w:rsidRDefault="0077523B" w:rsidP="0077523B">
            <w:pPr>
              <w:tabs>
                <w:tab w:val="num" w:pos="425"/>
              </w:tabs>
              <w:rPr>
                <w:noProof/>
              </w:rPr>
            </w:pPr>
          </w:p>
        </w:tc>
        <w:tc>
          <w:tcPr>
            <w:tcW w:w="1701" w:type="dxa"/>
            <w:tcBorders>
              <w:right w:val="double" w:sz="4" w:space="0" w:color="auto"/>
            </w:tcBorders>
            <w:tcMar>
              <w:top w:w="57" w:type="dxa"/>
              <w:left w:w="57" w:type="dxa"/>
              <w:bottom w:w="57" w:type="dxa"/>
              <w:right w:w="57" w:type="dxa"/>
            </w:tcMar>
          </w:tcPr>
          <w:p w14:paraId="2A840CF0" w14:textId="5EACB566" w:rsidR="0077523B" w:rsidRDefault="00126D97" w:rsidP="0077523B">
            <w:pPr>
              <w:tabs>
                <w:tab w:val="num" w:pos="425"/>
              </w:tabs>
              <w:rPr>
                <w:noProof/>
              </w:rPr>
            </w:pPr>
            <w:r>
              <w:rPr>
                <w:noProof/>
                <w:szCs w:val="18"/>
              </w:rPr>
              <w:t>L</w:t>
            </w:r>
            <w:r w:rsidR="003802CC">
              <w:rPr>
                <w:noProof/>
                <w:szCs w:val="18"/>
              </w:rPr>
              <w:t>egal costs</w:t>
            </w:r>
          </w:p>
        </w:tc>
        <w:tc>
          <w:tcPr>
            <w:tcW w:w="850" w:type="dxa"/>
            <w:tcBorders>
              <w:left w:val="double" w:sz="4" w:space="0" w:color="auto"/>
            </w:tcBorders>
            <w:tcMar>
              <w:top w:w="57" w:type="dxa"/>
              <w:left w:w="57" w:type="dxa"/>
              <w:bottom w:w="57" w:type="dxa"/>
              <w:right w:w="57" w:type="dxa"/>
            </w:tcMar>
          </w:tcPr>
          <w:p w14:paraId="26F125AF" w14:textId="15D77B84" w:rsidR="0077523B" w:rsidRPr="00684C51" w:rsidRDefault="0077523B" w:rsidP="0077523B">
            <w:pPr>
              <w:tabs>
                <w:tab w:val="num" w:pos="425"/>
              </w:tabs>
              <w:rPr>
                <w:noProof/>
                <w:szCs w:val="18"/>
              </w:rPr>
            </w:pPr>
            <w:r w:rsidRPr="00684C51">
              <w:rPr>
                <w:noProof/>
                <w:szCs w:val="18"/>
              </w:rPr>
              <w:t>Not relevant</w:t>
            </w:r>
          </w:p>
        </w:tc>
        <w:tc>
          <w:tcPr>
            <w:tcW w:w="1701" w:type="dxa"/>
            <w:gridSpan w:val="2"/>
            <w:tcMar>
              <w:top w:w="57" w:type="dxa"/>
              <w:left w:w="57" w:type="dxa"/>
              <w:bottom w:w="57" w:type="dxa"/>
              <w:right w:w="57" w:type="dxa"/>
            </w:tcMar>
          </w:tcPr>
          <w:p w14:paraId="5FB86E3D" w14:textId="2C7F4E00" w:rsidR="00414087" w:rsidRDefault="00C10D5A" w:rsidP="0077523B">
            <w:pPr>
              <w:tabs>
                <w:tab w:val="num" w:pos="425"/>
              </w:tabs>
              <w:rPr>
                <w:noProof/>
                <w:szCs w:val="18"/>
              </w:rPr>
            </w:pPr>
            <w:r>
              <w:rPr>
                <w:noProof/>
                <w:szCs w:val="18"/>
              </w:rPr>
              <w:t xml:space="preserve">0.61 – 1.51 </w:t>
            </w:r>
            <w:r w:rsidR="0077523B" w:rsidRPr="009D4C02">
              <w:rPr>
                <w:noProof/>
                <w:szCs w:val="18"/>
              </w:rPr>
              <w:t xml:space="preserve">EUR </w:t>
            </w:r>
            <w:r w:rsidR="0077523B">
              <w:rPr>
                <w:noProof/>
                <w:szCs w:val="18"/>
              </w:rPr>
              <w:t xml:space="preserve">million </w:t>
            </w:r>
            <w:r w:rsidR="0077523B" w:rsidRPr="009D4C02">
              <w:rPr>
                <w:noProof/>
                <w:szCs w:val="18"/>
              </w:rPr>
              <w:t>annually</w:t>
            </w:r>
          </w:p>
          <w:p w14:paraId="0C3F83E4" w14:textId="3AD15B86" w:rsidR="0077523B" w:rsidRPr="00414087" w:rsidRDefault="00414087" w:rsidP="0077523B">
            <w:pPr>
              <w:tabs>
                <w:tab w:val="num" w:pos="425"/>
              </w:tabs>
              <w:rPr>
                <w:i/>
                <w:noProof/>
              </w:rPr>
            </w:pPr>
            <w:r w:rsidRPr="00414087">
              <w:rPr>
                <w:i/>
                <w:noProof/>
                <w:szCs w:val="18"/>
              </w:rPr>
              <w:t>[assuming consumers will pay 40% of legal costs]</w:t>
            </w:r>
          </w:p>
        </w:tc>
        <w:tc>
          <w:tcPr>
            <w:tcW w:w="992" w:type="dxa"/>
            <w:tcMar>
              <w:top w:w="57" w:type="dxa"/>
              <w:left w:w="57" w:type="dxa"/>
              <w:bottom w:w="57" w:type="dxa"/>
              <w:right w:w="57" w:type="dxa"/>
            </w:tcMar>
          </w:tcPr>
          <w:p w14:paraId="7BB38915" w14:textId="1AFB23D8" w:rsidR="0077523B" w:rsidRPr="005C48CC" w:rsidRDefault="0077523B" w:rsidP="0077523B">
            <w:pPr>
              <w:tabs>
                <w:tab w:val="num" w:pos="425"/>
              </w:tabs>
              <w:rPr>
                <w:noProof/>
              </w:rPr>
            </w:pPr>
            <w:r w:rsidRPr="00684C51">
              <w:rPr>
                <w:noProof/>
                <w:szCs w:val="18"/>
              </w:rPr>
              <w:t xml:space="preserve">Not relevant </w:t>
            </w:r>
          </w:p>
        </w:tc>
        <w:tc>
          <w:tcPr>
            <w:tcW w:w="1701" w:type="dxa"/>
            <w:tcMar>
              <w:top w:w="57" w:type="dxa"/>
              <w:left w:w="57" w:type="dxa"/>
              <w:bottom w:w="57" w:type="dxa"/>
              <w:right w:w="57" w:type="dxa"/>
            </w:tcMar>
            <w:vAlign w:val="center"/>
          </w:tcPr>
          <w:p w14:paraId="316955D8" w14:textId="56EC932A" w:rsidR="00414087" w:rsidRDefault="00C10D5A" w:rsidP="0077523B">
            <w:pPr>
              <w:tabs>
                <w:tab w:val="num" w:pos="425"/>
              </w:tabs>
              <w:rPr>
                <w:noProof/>
                <w:szCs w:val="18"/>
              </w:rPr>
            </w:pPr>
            <w:r>
              <w:rPr>
                <w:noProof/>
                <w:szCs w:val="18"/>
              </w:rPr>
              <w:t xml:space="preserve">0.92 – 2.26 </w:t>
            </w:r>
            <w:r w:rsidR="0077523B" w:rsidRPr="009D4C02">
              <w:rPr>
                <w:noProof/>
                <w:szCs w:val="18"/>
              </w:rPr>
              <w:t xml:space="preserve">EUR </w:t>
            </w:r>
            <w:r w:rsidR="0077523B">
              <w:rPr>
                <w:noProof/>
                <w:szCs w:val="18"/>
              </w:rPr>
              <w:t xml:space="preserve">million </w:t>
            </w:r>
            <w:r w:rsidR="0077523B" w:rsidRPr="009D4C02">
              <w:rPr>
                <w:noProof/>
                <w:szCs w:val="18"/>
              </w:rPr>
              <w:t>annually</w:t>
            </w:r>
          </w:p>
          <w:p w14:paraId="319EE0DE" w14:textId="56B8AB35" w:rsidR="0077523B" w:rsidRPr="005C48CC" w:rsidRDefault="00414087" w:rsidP="00414087">
            <w:pPr>
              <w:tabs>
                <w:tab w:val="num" w:pos="425"/>
              </w:tabs>
              <w:rPr>
                <w:noProof/>
              </w:rPr>
            </w:pPr>
            <w:r>
              <w:rPr>
                <w:i/>
                <w:noProof/>
                <w:szCs w:val="18"/>
              </w:rPr>
              <w:t>[assuming producers will pay 6</w:t>
            </w:r>
            <w:r w:rsidRPr="00414087">
              <w:rPr>
                <w:i/>
                <w:noProof/>
                <w:szCs w:val="18"/>
              </w:rPr>
              <w:t>0% of legal costs</w:t>
            </w:r>
            <w:r>
              <w:rPr>
                <w:i/>
                <w:noProof/>
                <w:szCs w:val="18"/>
              </w:rPr>
              <w:t>]</w:t>
            </w:r>
            <w:r w:rsidR="0077523B" w:rsidRPr="009D4C02">
              <w:rPr>
                <w:noProof/>
                <w:szCs w:val="18"/>
              </w:rPr>
              <w:t xml:space="preserve"> </w:t>
            </w:r>
          </w:p>
        </w:tc>
        <w:tc>
          <w:tcPr>
            <w:tcW w:w="851" w:type="dxa"/>
            <w:tcMar>
              <w:top w:w="57" w:type="dxa"/>
              <w:left w:w="57" w:type="dxa"/>
              <w:bottom w:w="57" w:type="dxa"/>
              <w:right w:w="57" w:type="dxa"/>
            </w:tcMar>
          </w:tcPr>
          <w:p w14:paraId="37257067" w14:textId="14C318B0" w:rsidR="0077523B" w:rsidRPr="005C48CC" w:rsidRDefault="0077523B" w:rsidP="0077523B">
            <w:pPr>
              <w:tabs>
                <w:tab w:val="num" w:pos="425"/>
              </w:tabs>
              <w:rPr>
                <w:noProof/>
              </w:rPr>
            </w:pPr>
            <w:r w:rsidRPr="0007095A">
              <w:rPr>
                <w:noProof/>
                <w:szCs w:val="18"/>
              </w:rPr>
              <w:t>Not relevant</w:t>
            </w:r>
          </w:p>
        </w:tc>
        <w:tc>
          <w:tcPr>
            <w:tcW w:w="1639" w:type="dxa"/>
            <w:tcMar>
              <w:top w:w="57" w:type="dxa"/>
              <w:left w:w="57" w:type="dxa"/>
              <w:bottom w:w="57" w:type="dxa"/>
              <w:right w:w="57" w:type="dxa"/>
            </w:tcMar>
          </w:tcPr>
          <w:p w14:paraId="3255EB65" w14:textId="317C4C6C" w:rsidR="0077523B" w:rsidRDefault="0077523B" w:rsidP="0077523B">
            <w:pPr>
              <w:tabs>
                <w:tab w:val="num" w:pos="425"/>
              </w:tabs>
              <w:rPr>
                <w:noProof/>
              </w:rPr>
            </w:pPr>
            <w:r w:rsidRPr="00684C51">
              <w:rPr>
                <w:noProof/>
                <w:szCs w:val="18"/>
              </w:rPr>
              <w:t>Increased litigation leading to higher costs of justice administration</w:t>
            </w:r>
          </w:p>
        </w:tc>
      </w:tr>
      <w:tr w:rsidR="0077523B" w:rsidRPr="005C48CC" w14:paraId="563276A0" w14:textId="77777777" w:rsidTr="00414087">
        <w:trPr>
          <w:trHeight w:val="690"/>
        </w:trPr>
        <w:tc>
          <w:tcPr>
            <w:tcW w:w="993" w:type="dxa"/>
            <w:vMerge/>
            <w:tcBorders>
              <w:bottom w:val="double" w:sz="4" w:space="0" w:color="auto"/>
            </w:tcBorders>
            <w:tcMar>
              <w:top w:w="57" w:type="dxa"/>
              <w:left w:w="57" w:type="dxa"/>
              <w:bottom w:w="57" w:type="dxa"/>
              <w:right w:w="57" w:type="dxa"/>
            </w:tcMar>
          </w:tcPr>
          <w:p w14:paraId="307CA0D2" w14:textId="38A2DA1A" w:rsidR="0077523B" w:rsidRDefault="0077523B" w:rsidP="0077523B">
            <w:pPr>
              <w:tabs>
                <w:tab w:val="num" w:pos="425"/>
              </w:tabs>
              <w:rPr>
                <w:noProof/>
              </w:rPr>
            </w:pPr>
          </w:p>
        </w:tc>
        <w:tc>
          <w:tcPr>
            <w:tcW w:w="1701" w:type="dxa"/>
            <w:tcBorders>
              <w:bottom w:val="double" w:sz="4" w:space="0" w:color="auto"/>
              <w:right w:val="double" w:sz="4" w:space="0" w:color="auto"/>
            </w:tcBorders>
            <w:tcMar>
              <w:top w:w="57" w:type="dxa"/>
              <w:left w:w="57" w:type="dxa"/>
              <w:bottom w:w="57" w:type="dxa"/>
              <w:right w:w="57" w:type="dxa"/>
            </w:tcMar>
          </w:tcPr>
          <w:p w14:paraId="38325A9A" w14:textId="71B9C40A" w:rsidR="0077523B" w:rsidRDefault="0077523B" w:rsidP="0077523B">
            <w:pPr>
              <w:tabs>
                <w:tab w:val="num" w:pos="425"/>
              </w:tabs>
              <w:rPr>
                <w:noProof/>
              </w:rPr>
            </w:pPr>
            <w:r w:rsidRPr="00684C51">
              <w:rPr>
                <w:noProof/>
                <w:szCs w:val="18"/>
              </w:rPr>
              <w:t>Other costs</w:t>
            </w:r>
          </w:p>
        </w:tc>
        <w:tc>
          <w:tcPr>
            <w:tcW w:w="2551" w:type="dxa"/>
            <w:gridSpan w:val="3"/>
            <w:tcBorders>
              <w:left w:val="double" w:sz="4" w:space="0" w:color="auto"/>
              <w:bottom w:val="double" w:sz="4" w:space="0" w:color="auto"/>
            </w:tcBorders>
            <w:tcMar>
              <w:top w:w="57" w:type="dxa"/>
              <w:left w:w="57" w:type="dxa"/>
              <w:bottom w:w="57" w:type="dxa"/>
              <w:right w:w="57" w:type="dxa"/>
            </w:tcMar>
          </w:tcPr>
          <w:p w14:paraId="3CF3A41E" w14:textId="033602A0" w:rsidR="0077523B" w:rsidRPr="005C48CC" w:rsidRDefault="0077523B" w:rsidP="0077523B">
            <w:pPr>
              <w:tabs>
                <w:tab w:val="num" w:pos="425"/>
              </w:tabs>
              <w:rPr>
                <w:noProof/>
              </w:rPr>
            </w:pPr>
            <w:r w:rsidRPr="00684C51">
              <w:rPr>
                <w:noProof/>
                <w:szCs w:val="18"/>
              </w:rPr>
              <w:t>No other incremental costs for consumers would be generated by the preferred option, compared to the baseline scenario.</w:t>
            </w:r>
          </w:p>
        </w:tc>
        <w:tc>
          <w:tcPr>
            <w:tcW w:w="992" w:type="dxa"/>
            <w:tcBorders>
              <w:bottom w:val="double" w:sz="4" w:space="0" w:color="auto"/>
            </w:tcBorders>
            <w:tcMar>
              <w:top w:w="57" w:type="dxa"/>
              <w:left w:w="57" w:type="dxa"/>
              <w:bottom w:w="57" w:type="dxa"/>
              <w:right w:w="57" w:type="dxa"/>
            </w:tcMar>
          </w:tcPr>
          <w:p w14:paraId="69EBDEA6" w14:textId="1967E928" w:rsidR="0077523B" w:rsidRPr="005C48CC" w:rsidRDefault="0077523B" w:rsidP="0077523B">
            <w:pPr>
              <w:tabs>
                <w:tab w:val="num" w:pos="425"/>
              </w:tabs>
              <w:rPr>
                <w:noProof/>
              </w:rPr>
            </w:pPr>
            <w:r w:rsidRPr="00684C51">
              <w:rPr>
                <w:noProof/>
                <w:szCs w:val="18"/>
              </w:rPr>
              <w:t>Costs of familiarisation with new provisions</w:t>
            </w:r>
          </w:p>
        </w:tc>
        <w:tc>
          <w:tcPr>
            <w:tcW w:w="1701" w:type="dxa"/>
            <w:tcBorders>
              <w:bottom w:val="double" w:sz="4" w:space="0" w:color="auto"/>
            </w:tcBorders>
            <w:tcMar>
              <w:top w:w="57" w:type="dxa"/>
              <w:left w:w="57" w:type="dxa"/>
              <w:bottom w:w="57" w:type="dxa"/>
              <w:right w:w="57" w:type="dxa"/>
            </w:tcMar>
            <w:vAlign w:val="center"/>
          </w:tcPr>
          <w:p w14:paraId="18C978A6" w14:textId="532F8EC0" w:rsidR="0077523B" w:rsidRPr="005C48CC" w:rsidRDefault="0077523B" w:rsidP="0077523B">
            <w:pPr>
              <w:tabs>
                <w:tab w:val="num" w:pos="425"/>
              </w:tabs>
              <w:rPr>
                <w:noProof/>
              </w:rPr>
            </w:pPr>
            <w:r w:rsidRPr="00684C51">
              <w:rPr>
                <w:noProof/>
                <w:szCs w:val="18"/>
              </w:rPr>
              <w:t>Not relevant</w:t>
            </w:r>
          </w:p>
        </w:tc>
        <w:tc>
          <w:tcPr>
            <w:tcW w:w="851" w:type="dxa"/>
            <w:tcBorders>
              <w:bottom w:val="double" w:sz="4" w:space="0" w:color="auto"/>
            </w:tcBorders>
            <w:tcMar>
              <w:top w:w="57" w:type="dxa"/>
              <w:left w:w="57" w:type="dxa"/>
              <w:bottom w:w="57" w:type="dxa"/>
              <w:right w:w="57" w:type="dxa"/>
            </w:tcMar>
          </w:tcPr>
          <w:p w14:paraId="042632D4" w14:textId="327DD2F6" w:rsidR="0077523B" w:rsidRPr="005C48CC" w:rsidRDefault="0077523B" w:rsidP="0077523B">
            <w:pPr>
              <w:tabs>
                <w:tab w:val="num" w:pos="425"/>
              </w:tabs>
              <w:rPr>
                <w:noProof/>
              </w:rPr>
            </w:pPr>
            <w:r w:rsidRPr="0007095A">
              <w:rPr>
                <w:noProof/>
                <w:szCs w:val="18"/>
              </w:rPr>
              <w:t>Not relevant</w:t>
            </w:r>
          </w:p>
        </w:tc>
        <w:tc>
          <w:tcPr>
            <w:tcW w:w="1639" w:type="dxa"/>
            <w:tcBorders>
              <w:bottom w:val="double" w:sz="4" w:space="0" w:color="auto"/>
            </w:tcBorders>
            <w:tcMar>
              <w:top w:w="57" w:type="dxa"/>
              <w:left w:w="57" w:type="dxa"/>
              <w:bottom w:w="57" w:type="dxa"/>
              <w:right w:w="57" w:type="dxa"/>
            </w:tcMar>
          </w:tcPr>
          <w:p w14:paraId="48789D2C" w14:textId="6D3051A9" w:rsidR="0077523B" w:rsidRDefault="0077523B" w:rsidP="0077523B">
            <w:pPr>
              <w:tabs>
                <w:tab w:val="num" w:pos="425"/>
              </w:tabs>
              <w:rPr>
                <w:noProof/>
              </w:rPr>
            </w:pPr>
          </w:p>
        </w:tc>
      </w:tr>
      <w:tr w:rsidR="00370460" w:rsidRPr="005C48CC" w14:paraId="40E81E60" w14:textId="77777777" w:rsidTr="00370460">
        <w:trPr>
          <w:trHeight w:val="371"/>
        </w:trPr>
        <w:tc>
          <w:tcPr>
            <w:tcW w:w="10428" w:type="dxa"/>
            <w:gridSpan w:val="9"/>
            <w:tcBorders>
              <w:top w:val="double" w:sz="4" w:space="0" w:color="auto"/>
              <w:bottom w:val="double" w:sz="4" w:space="0" w:color="auto"/>
            </w:tcBorders>
            <w:shd w:val="clear" w:color="auto" w:fill="B8CCE4" w:themeFill="accent1" w:themeFillTint="66"/>
            <w:tcMar>
              <w:top w:w="57" w:type="dxa"/>
              <w:left w:w="57" w:type="dxa"/>
              <w:bottom w:w="57" w:type="dxa"/>
              <w:right w:w="57" w:type="dxa"/>
            </w:tcMar>
          </w:tcPr>
          <w:p w14:paraId="11FA95FE" w14:textId="77777777" w:rsidR="00370460" w:rsidRDefault="00370460" w:rsidP="00370460">
            <w:pPr>
              <w:tabs>
                <w:tab w:val="num" w:pos="425"/>
              </w:tabs>
              <w:jc w:val="center"/>
              <w:rPr>
                <w:b/>
                <w:i/>
                <w:noProof/>
                <w:shd w:val="clear" w:color="auto" w:fill="B8CCE4" w:themeFill="accent1" w:themeFillTint="66"/>
              </w:rPr>
            </w:pPr>
            <w:r w:rsidRPr="00370460">
              <w:rPr>
                <w:b/>
                <w:i/>
                <w:noProof/>
                <w:shd w:val="clear" w:color="auto" w:fill="B8CCE4" w:themeFill="accent1" w:themeFillTint="66"/>
              </w:rPr>
              <w:t>Costs related to the ‘one in, one out’ approach</w:t>
            </w:r>
          </w:p>
          <w:p w14:paraId="648E4489" w14:textId="1D81C2F4" w:rsidR="007917CC" w:rsidRDefault="007917CC" w:rsidP="007917CC">
            <w:pPr>
              <w:tabs>
                <w:tab w:val="num" w:pos="425"/>
              </w:tabs>
              <w:jc w:val="center"/>
              <w:rPr>
                <w:noProof/>
              </w:rPr>
            </w:pPr>
          </w:p>
        </w:tc>
      </w:tr>
      <w:tr w:rsidR="007917CC" w:rsidRPr="005C48CC" w14:paraId="0E2A3DDB" w14:textId="77777777" w:rsidTr="006446B8">
        <w:trPr>
          <w:trHeight w:val="690"/>
        </w:trPr>
        <w:tc>
          <w:tcPr>
            <w:tcW w:w="993" w:type="dxa"/>
            <w:vMerge w:val="restart"/>
            <w:tcBorders>
              <w:top w:val="double" w:sz="4" w:space="0" w:color="auto"/>
            </w:tcBorders>
            <w:shd w:val="clear" w:color="auto" w:fill="D9D9D9" w:themeFill="background1" w:themeFillShade="D9"/>
            <w:tcMar>
              <w:top w:w="57" w:type="dxa"/>
              <w:left w:w="57" w:type="dxa"/>
              <w:bottom w:w="57" w:type="dxa"/>
              <w:right w:w="57" w:type="dxa"/>
            </w:tcMar>
            <w:vAlign w:val="center"/>
          </w:tcPr>
          <w:p w14:paraId="1B98FE0C" w14:textId="55AF4D4B" w:rsidR="007917CC" w:rsidRPr="00370460" w:rsidRDefault="007917CC" w:rsidP="006A6551">
            <w:pPr>
              <w:tabs>
                <w:tab w:val="num" w:pos="425"/>
              </w:tabs>
              <w:rPr>
                <w:b/>
                <w:noProof/>
              </w:rPr>
            </w:pPr>
            <w:r w:rsidRPr="00370460">
              <w:rPr>
                <w:b/>
                <w:noProof/>
              </w:rPr>
              <w:t>Total</w:t>
            </w:r>
          </w:p>
        </w:tc>
        <w:tc>
          <w:tcPr>
            <w:tcW w:w="1701" w:type="dxa"/>
            <w:tcBorders>
              <w:top w:val="double" w:sz="4" w:space="0" w:color="auto"/>
              <w:right w:val="double" w:sz="4" w:space="0" w:color="auto"/>
            </w:tcBorders>
            <w:shd w:val="clear" w:color="auto" w:fill="D9D9D9" w:themeFill="background1" w:themeFillShade="D9"/>
            <w:tcMar>
              <w:top w:w="57" w:type="dxa"/>
              <w:left w:w="57" w:type="dxa"/>
              <w:bottom w:w="57" w:type="dxa"/>
              <w:right w:w="57" w:type="dxa"/>
            </w:tcMar>
            <w:vAlign w:val="center"/>
          </w:tcPr>
          <w:p w14:paraId="5756C7A2" w14:textId="667CEC63" w:rsidR="007917CC" w:rsidRPr="00684C51" w:rsidRDefault="007917CC" w:rsidP="006A6551">
            <w:pPr>
              <w:tabs>
                <w:tab w:val="num" w:pos="425"/>
              </w:tabs>
              <w:rPr>
                <w:noProof/>
                <w:szCs w:val="18"/>
              </w:rPr>
            </w:pPr>
            <w:r>
              <w:rPr>
                <w:noProof/>
              </w:rPr>
              <w:t xml:space="preserve">Direct adjustment costs </w:t>
            </w:r>
          </w:p>
        </w:tc>
        <w:tc>
          <w:tcPr>
            <w:tcW w:w="7734" w:type="dxa"/>
            <w:gridSpan w:val="7"/>
            <w:tcBorders>
              <w:top w:val="double" w:sz="4" w:space="0" w:color="auto"/>
              <w:left w:val="double" w:sz="4" w:space="0" w:color="auto"/>
              <w:bottom w:val="single" w:sz="4" w:space="0" w:color="auto"/>
            </w:tcBorders>
            <w:shd w:val="clear" w:color="auto" w:fill="FFFFFF" w:themeFill="background1"/>
            <w:tcMar>
              <w:top w:w="57" w:type="dxa"/>
              <w:left w:w="57" w:type="dxa"/>
              <w:bottom w:w="57" w:type="dxa"/>
              <w:right w:w="57" w:type="dxa"/>
            </w:tcMar>
          </w:tcPr>
          <w:p w14:paraId="090489E1" w14:textId="6C9CB7CB" w:rsidR="007917CC" w:rsidRPr="007917CC" w:rsidRDefault="007917CC" w:rsidP="007917CC">
            <w:pPr>
              <w:tabs>
                <w:tab w:val="num" w:pos="425"/>
              </w:tabs>
              <w:jc w:val="center"/>
              <w:rPr>
                <w:noProof/>
              </w:rPr>
            </w:pPr>
            <w:r w:rsidRPr="007917CC">
              <w:rPr>
                <w:noProof/>
                <w:shd w:val="clear" w:color="auto" w:fill="FFFFFF" w:themeFill="background1"/>
              </w:rPr>
              <w:t>Given the low administrative costs, the ‘one in, one out’ approach is not applicable to this initiative</w:t>
            </w:r>
          </w:p>
        </w:tc>
      </w:tr>
      <w:tr w:rsidR="00370460" w:rsidRPr="005C48CC" w14:paraId="5F78AB20" w14:textId="77777777" w:rsidTr="00414087">
        <w:trPr>
          <w:trHeight w:val="366"/>
        </w:trPr>
        <w:tc>
          <w:tcPr>
            <w:tcW w:w="993" w:type="dxa"/>
            <w:vMerge/>
            <w:tcBorders>
              <w:top w:val="double" w:sz="4" w:space="0" w:color="auto"/>
            </w:tcBorders>
            <w:tcMar>
              <w:top w:w="57" w:type="dxa"/>
              <w:left w:w="57" w:type="dxa"/>
              <w:bottom w:w="57" w:type="dxa"/>
              <w:right w:w="57" w:type="dxa"/>
            </w:tcMar>
            <w:vAlign w:val="center"/>
          </w:tcPr>
          <w:p w14:paraId="2C673F35" w14:textId="77777777" w:rsidR="00370460" w:rsidRDefault="00370460" w:rsidP="00370460">
            <w:pPr>
              <w:tabs>
                <w:tab w:val="num" w:pos="425"/>
              </w:tabs>
              <w:rPr>
                <w:b/>
                <w:noProof/>
              </w:rPr>
            </w:pPr>
          </w:p>
        </w:tc>
        <w:tc>
          <w:tcPr>
            <w:tcW w:w="1701" w:type="dxa"/>
            <w:tcBorders>
              <w:top w:val="double" w:sz="4" w:space="0" w:color="auto"/>
              <w:right w:val="double" w:sz="4" w:space="0" w:color="auto"/>
            </w:tcBorders>
            <w:shd w:val="clear" w:color="auto" w:fill="D9D9D9" w:themeFill="background1" w:themeFillShade="D9"/>
            <w:tcMar>
              <w:top w:w="57" w:type="dxa"/>
              <w:left w:w="57" w:type="dxa"/>
              <w:bottom w:w="57" w:type="dxa"/>
              <w:right w:w="57" w:type="dxa"/>
            </w:tcMar>
            <w:vAlign w:val="center"/>
          </w:tcPr>
          <w:p w14:paraId="0FF09B10" w14:textId="27BC4C26" w:rsidR="00370460" w:rsidRDefault="00370460" w:rsidP="00370460">
            <w:pPr>
              <w:tabs>
                <w:tab w:val="num" w:pos="425"/>
              </w:tabs>
              <w:rPr>
                <w:noProof/>
              </w:rPr>
            </w:pPr>
            <w:r>
              <w:rPr>
                <w:noProof/>
              </w:rPr>
              <w:t>Indirect adjustment costs</w:t>
            </w:r>
          </w:p>
        </w:tc>
        <w:tc>
          <w:tcPr>
            <w:tcW w:w="1062"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14:paraId="1C79813E" w14:textId="77777777" w:rsidR="00370460" w:rsidRPr="00684C51" w:rsidRDefault="00370460" w:rsidP="00370460">
            <w:pPr>
              <w:tabs>
                <w:tab w:val="num" w:pos="425"/>
              </w:tabs>
              <w:rPr>
                <w:noProof/>
                <w:szCs w:val="18"/>
              </w:rPr>
            </w:pPr>
          </w:p>
        </w:tc>
        <w:tc>
          <w:tcPr>
            <w:tcW w:w="1489" w:type="dxa"/>
            <w:tcBorders>
              <w:top w:val="double" w:sz="4" w:space="0" w:color="auto"/>
              <w:left w:val="single" w:sz="4" w:space="0" w:color="auto"/>
              <w:bottom w:val="single" w:sz="4" w:space="0" w:color="auto"/>
            </w:tcBorders>
            <w:shd w:val="clear" w:color="auto" w:fill="D9D9D9" w:themeFill="background1" w:themeFillShade="D9"/>
          </w:tcPr>
          <w:p w14:paraId="7C5FE57C" w14:textId="77777777" w:rsidR="00370460" w:rsidRPr="00684C51" w:rsidRDefault="00370460" w:rsidP="00370460">
            <w:pPr>
              <w:tabs>
                <w:tab w:val="num" w:pos="425"/>
              </w:tabs>
              <w:rPr>
                <w:noProof/>
                <w:szCs w:val="18"/>
              </w:rPr>
            </w:pPr>
          </w:p>
        </w:tc>
        <w:tc>
          <w:tcPr>
            <w:tcW w:w="992" w:type="dxa"/>
            <w:tcBorders>
              <w:top w:val="double" w:sz="4" w:space="0" w:color="auto"/>
            </w:tcBorders>
            <w:shd w:val="clear" w:color="auto" w:fill="D9D9D9" w:themeFill="background1" w:themeFillShade="D9"/>
            <w:tcMar>
              <w:top w:w="57" w:type="dxa"/>
              <w:left w:w="57" w:type="dxa"/>
              <w:bottom w:w="57" w:type="dxa"/>
              <w:right w:w="57" w:type="dxa"/>
            </w:tcMar>
          </w:tcPr>
          <w:p w14:paraId="05F3CE92" w14:textId="77777777" w:rsidR="00370460" w:rsidRPr="00684C51" w:rsidRDefault="00370460" w:rsidP="00370460">
            <w:pPr>
              <w:tabs>
                <w:tab w:val="num" w:pos="425"/>
              </w:tabs>
              <w:rPr>
                <w:noProof/>
                <w:szCs w:val="18"/>
              </w:rPr>
            </w:pPr>
          </w:p>
        </w:tc>
        <w:tc>
          <w:tcPr>
            <w:tcW w:w="1701" w:type="dxa"/>
            <w:tcBorders>
              <w:top w:val="double" w:sz="4" w:space="0" w:color="auto"/>
            </w:tcBorders>
            <w:shd w:val="clear" w:color="auto" w:fill="D9D9D9" w:themeFill="background1" w:themeFillShade="D9"/>
            <w:tcMar>
              <w:top w:w="57" w:type="dxa"/>
              <w:left w:w="57" w:type="dxa"/>
              <w:bottom w:w="57" w:type="dxa"/>
              <w:right w:w="57" w:type="dxa"/>
            </w:tcMar>
            <w:vAlign w:val="center"/>
          </w:tcPr>
          <w:p w14:paraId="754868B7" w14:textId="77777777" w:rsidR="00370460" w:rsidRPr="00684C51" w:rsidRDefault="00370460" w:rsidP="00370460">
            <w:pPr>
              <w:tabs>
                <w:tab w:val="num" w:pos="425"/>
              </w:tabs>
              <w:rPr>
                <w:noProof/>
                <w:szCs w:val="18"/>
              </w:rPr>
            </w:pPr>
          </w:p>
        </w:tc>
        <w:tc>
          <w:tcPr>
            <w:tcW w:w="851" w:type="dxa"/>
            <w:tcBorders>
              <w:top w:val="double" w:sz="4" w:space="0" w:color="auto"/>
            </w:tcBorders>
            <w:shd w:val="clear" w:color="auto" w:fill="D9D9D9" w:themeFill="background1" w:themeFillShade="D9"/>
            <w:tcMar>
              <w:top w:w="57" w:type="dxa"/>
              <w:left w:w="57" w:type="dxa"/>
              <w:bottom w:w="57" w:type="dxa"/>
              <w:right w:w="57" w:type="dxa"/>
            </w:tcMar>
          </w:tcPr>
          <w:p w14:paraId="75E61EBA" w14:textId="77777777" w:rsidR="00370460" w:rsidRPr="0007095A" w:rsidRDefault="00370460" w:rsidP="00370460">
            <w:pPr>
              <w:tabs>
                <w:tab w:val="num" w:pos="425"/>
              </w:tabs>
              <w:rPr>
                <w:noProof/>
                <w:szCs w:val="18"/>
              </w:rPr>
            </w:pPr>
          </w:p>
        </w:tc>
        <w:tc>
          <w:tcPr>
            <w:tcW w:w="1639" w:type="dxa"/>
            <w:tcBorders>
              <w:top w:val="double" w:sz="4" w:space="0" w:color="auto"/>
            </w:tcBorders>
            <w:shd w:val="clear" w:color="auto" w:fill="D9D9D9" w:themeFill="background1" w:themeFillShade="D9"/>
            <w:tcMar>
              <w:top w:w="57" w:type="dxa"/>
              <w:left w:w="57" w:type="dxa"/>
              <w:bottom w:w="57" w:type="dxa"/>
              <w:right w:w="57" w:type="dxa"/>
            </w:tcMar>
          </w:tcPr>
          <w:p w14:paraId="1835B54B" w14:textId="77777777" w:rsidR="00370460" w:rsidRDefault="00370460" w:rsidP="00370460">
            <w:pPr>
              <w:tabs>
                <w:tab w:val="num" w:pos="425"/>
              </w:tabs>
              <w:rPr>
                <w:noProof/>
              </w:rPr>
            </w:pPr>
          </w:p>
        </w:tc>
      </w:tr>
      <w:tr w:rsidR="00370460" w:rsidRPr="005C48CC" w14:paraId="6E8F9D64" w14:textId="77777777" w:rsidTr="00414087">
        <w:trPr>
          <w:trHeight w:val="474"/>
        </w:trPr>
        <w:tc>
          <w:tcPr>
            <w:tcW w:w="993" w:type="dxa"/>
            <w:vMerge/>
            <w:tcBorders>
              <w:top w:val="double" w:sz="4" w:space="0" w:color="auto"/>
            </w:tcBorders>
            <w:tcMar>
              <w:top w:w="57" w:type="dxa"/>
              <w:left w:w="57" w:type="dxa"/>
              <w:bottom w:w="57" w:type="dxa"/>
              <w:right w:w="57" w:type="dxa"/>
            </w:tcMar>
            <w:vAlign w:val="center"/>
          </w:tcPr>
          <w:p w14:paraId="4473707F" w14:textId="77777777" w:rsidR="00370460" w:rsidRDefault="00370460" w:rsidP="00370460">
            <w:pPr>
              <w:tabs>
                <w:tab w:val="num" w:pos="425"/>
              </w:tabs>
              <w:rPr>
                <w:b/>
                <w:noProof/>
              </w:rPr>
            </w:pPr>
          </w:p>
        </w:tc>
        <w:tc>
          <w:tcPr>
            <w:tcW w:w="1701" w:type="dxa"/>
            <w:tcBorders>
              <w:top w:val="double" w:sz="4" w:space="0" w:color="auto"/>
              <w:right w:val="double" w:sz="4" w:space="0" w:color="auto"/>
            </w:tcBorders>
            <w:shd w:val="clear" w:color="auto" w:fill="D9D9D9" w:themeFill="background1" w:themeFillShade="D9"/>
            <w:tcMar>
              <w:top w:w="57" w:type="dxa"/>
              <w:left w:w="57" w:type="dxa"/>
              <w:bottom w:w="57" w:type="dxa"/>
              <w:right w:w="57" w:type="dxa"/>
            </w:tcMar>
            <w:vAlign w:val="center"/>
          </w:tcPr>
          <w:p w14:paraId="1BAF84B7" w14:textId="2D7A753E" w:rsidR="00370460" w:rsidRDefault="00370460" w:rsidP="00370460">
            <w:pPr>
              <w:tabs>
                <w:tab w:val="num" w:pos="425"/>
              </w:tabs>
              <w:rPr>
                <w:noProof/>
              </w:rPr>
            </w:pPr>
            <w:r>
              <w:rPr>
                <w:noProof/>
              </w:rPr>
              <w:t>Administrative costs (for offsetting)</w:t>
            </w:r>
          </w:p>
        </w:tc>
        <w:tc>
          <w:tcPr>
            <w:tcW w:w="1062"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tcMar>
              <w:top w:w="57" w:type="dxa"/>
              <w:left w:w="57" w:type="dxa"/>
              <w:bottom w:w="57" w:type="dxa"/>
              <w:right w:w="57" w:type="dxa"/>
            </w:tcMar>
          </w:tcPr>
          <w:p w14:paraId="37832C62" w14:textId="77777777" w:rsidR="00370460" w:rsidRPr="00684C51" w:rsidRDefault="00370460" w:rsidP="00370460">
            <w:pPr>
              <w:tabs>
                <w:tab w:val="num" w:pos="425"/>
              </w:tabs>
              <w:rPr>
                <w:noProof/>
                <w:szCs w:val="18"/>
              </w:rPr>
            </w:pPr>
          </w:p>
        </w:tc>
        <w:tc>
          <w:tcPr>
            <w:tcW w:w="1489" w:type="dxa"/>
            <w:tcBorders>
              <w:top w:val="double" w:sz="4" w:space="0" w:color="auto"/>
              <w:left w:val="single" w:sz="4" w:space="0" w:color="auto"/>
              <w:bottom w:val="single" w:sz="4" w:space="0" w:color="auto"/>
            </w:tcBorders>
            <w:shd w:val="clear" w:color="auto" w:fill="D9D9D9" w:themeFill="background1" w:themeFillShade="D9"/>
          </w:tcPr>
          <w:p w14:paraId="3E4A8584" w14:textId="77777777" w:rsidR="00370460" w:rsidRPr="00684C51" w:rsidRDefault="00370460" w:rsidP="00370460">
            <w:pPr>
              <w:tabs>
                <w:tab w:val="num" w:pos="425"/>
              </w:tabs>
              <w:rPr>
                <w:noProof/>
                <w:szCs w:val="18"/>
              </w:rPr>
            </w:pPr>
          </w:p>
        </w:tc>
        <w:tc>
          <w:tcPr>
            <w:tcW w:w="992" w:type="dxa"/>
            <w:tcBorders>
              <w:top w:val="double" w:sz="4" w:space="0" w:color="auto"/>
            </w:tcBorders>
            <w:shd w:val="clear" w:color="auto" w:fill="D9D9D9" w:themeFill="background1" w:themeFillShade="D9"/>
            <w:tcMar>
              <w:top w:w="57" w:type="dxa"/>
              <w:left w:w="57" w:type="dxa"/>
              <w:bottom w:w="57" w:type="dxa"/>
              <w:right w:w="57" w:type="dxa"/>
            </w:tcMar>
          </w:tcPr>
          <w:p w14:paraId="4BF0F198" w14:textId="77777777" w:rsidR="00370460" w:rsidRPr="00684C51" w:rsidRDefault="00370460" w:rsidP="00370460">
            <w:pPr>
              <w:tabs>
                <w:tab w:val="num" w:pos="425"/>
              </w:tabs>
              <w:rPr>
                <w:noProof/>
                <w:szCs w:val="18"/>
              </w:rPr>
            </w:pPr>
          </w:p>
        </w:tc>
        <w:tc>
          <w:tcPr>
            <w:tcW w:w="1701" w:type="dxa"/>
            <w:tcBorders>
              <w:top w:val="double" w:sz="4" w:space="0" w:color="auto"/>
            </w:tcBorders>
            <w:shd w:val="clear" w:color="auto" w:fill="D9D9D9" w:themeFill="background1" w:themeFillShade="D9"/>
            <w:tcMar>
              <w:top w:w="57" w:type="dxa"/>
              <w:left w:w="57" w:type="dxa"/>
              <w:bottom w:w="57" w:type="dxa"/>
              <w:right w:w="57" w:type="dxa"/>
            </w:tcMar>
            <w:vAlign w:val="center"/>
          </w:tcPr>
          <w:p w14:paraId="7571297C" w14:textId="77777777" w:rsidR="00370460" w:rsidRPr="00684C51" w:rsidRDefault="00370460" w:rsidP="00370460">
            <w:pPr>
              <w:tabs>
                <w:tab w:val="num" w:pos="425"/>
              </w:tabs>
              <w:rPr>
                <w:noProof/>
                <w:szCs w:val="18"/>
              </w:rPr>
            </w:pPr>
          </w:p>
        </w:tc>
        <w:tc>
          <w:tcPr>
            <w:tcW w:w="851" w:type="dxa"/>
            <w:tcBorders>
              <w:top w:val="double" w:sz="4" w:space="0" w:color="auto"/>
            </w:tcBorders>
            <w:shd w:val="clear" w:color="auto" w:fill="D9D9D9" w:themeFill="background1" w:themeFillShade="D9"/>
            <w:tcMar>
              <w:top w:w="57" w:type="dxa"/>
              <w:left w:w="57" w:type="dxa"/>
              <w:bottom w:w="57" w:type="dxa"/>
              <w:right w:w="57" w:type="dxa"/>
            </w:tcMar>
          </w:tcPr>
          <w:p w14:paraId="11516F03" w14:textId="77777777" w:rsidR="00370460" w:rsidRPr="0007095A" w:rsidRDefault="00370460" w:rsidP="00370460">
            <w:pPr>
              <w:tabs>
                <w:tab w:val="num" w:pos="425"/>
              </w:tabs>
              <w:rPr>
                <w:noProof/>
                <w:szCs w:val="18"/>
              </w:rPr>
            </w:pPr>
          </w:p>
        </w:tc>
        <w:tc>
          <w:tcPr>
            <w:tcW w:w="1639" w:type="dxa"/>
            <w:tcBorders>
              <w:top w:val="double" w:sz="4" w:space="0" w:color="auto"/>
            </w:tcBorders>
            <w:shd w:val="clear" w:color="auto" w:fill="D9D9D9" w:themeFill="background1" w:themeFillShade="D9"/>
            <w:tcMar>
              <w:top w:w="57" w:type="dxa"/>
              <w:left w:w="57" w:type="dxa"/>
              <w:bottom w:w="57" w:type="dxa"/>
              <w:right w:w="57" w:type="dxa"/>
            </w:tcMar>
          </w:tcPr>
          <w:p w14:paraId="7C1C8E64" w14:textId="77777777" w:rsidR="00370460" w:rsidRDefault="00370460" w:rsidP="00370460">
            <w:pPr>
              <w:tabs>
                <w:tab w:val="num" w:pos="425"/>
              </w:tabs>
              <w:rPr>
                <w:noProof/>
              </w:rPr>
            </w:pPr>
          </w:p>
        </w:tc>
      </w:tr>
    </w:tbl>
    <w:p w14:paraId="5659FD3F" w14:textId="77777777" w:rsidR="006446B8" w:rsidRDefault="00370460" w:rsidP="00370460">
      <w:pPr>
        <w:rPr>
          <w:i/>
          <w:noProof/>
          <w:sz w:val="20"/>
        </w:rPr>
      </w:pPr>
      <w:r>
        <w:rPr>
          <w:i/>
          <w:noProof/>
          <w:sz w:val="20"/>
        </w:rPr>
        <w:t xml:space="preserve">(1) Estimates (gross values) to be provided with respect to the baseline; (2) costs are provided for each identifiable action/obligation of the </w:t>
      </w:r>
      <w:r>
        <w:rPr>
          <w:i/>
          <w:noProof/>
          <w:sz w:val="20"/>
          <w:u w:val="single"/>
        </w:rPr>
        <w:t>preferred</w:t>
      </w:r>
      <w:r>
        <w:rPr>
          <w:i/>
          <w:noProof/>
          <w:sz w:val="20"/>
        </w:rPr>
        <w:t xml:space="preserve"> option otherwise for all retained options when no preferred option is specified</w:t>
      </w:r>
      <w:r w:rsidR="00CB48DE">
        <w:rPr>
          <w:i/>
          <w:noProof/>
          <w:sz w:val="20"/>
        </w:rPr>
        <w:t>.</w:t>
      </w:r>
    </w:p>
    <w:p w14:paraId="1565FD17" w14:textId="33F2D69F" w:rsidR="00370460" w:rsidRDefault="00370460" w:rsidP="00370460">
      <w:pPr>
        <w:rPr>
          <w:i/>
          <w:noProof/>
          <w:sz w:val="20"/>
        </w:rPr>
      </w:pPr>
    </w:p>
    <w:p w14:paraId="5B4EAF05" w14:textId="06461D76" w:rsidR="00B636C3" w:rsidRPr="00F92EAE" w:rsidRDefault="002E7937" w:rsidP="002E7937">
      <w:pPr>
        <w:pStyle w:val="Heading1"/>
        <w:rPr>
          <w:noProof/>
        </w:rPr>
      </w:pPr>
      <w:bookmarkStart w:id="952" w:name="_Toc97072171"/>
      <w:bookmarkStart w:id="953" w:name="_Toc88562937"/>
      <w:bookmarkStart w:id="954" w:name="_Toc95482014"/>
      <w:bookmarkStart w:id="955" w:name="_Toc96337806"/>
      <w:bookmarkStart w:id="956" w:name="_Toc96446286"/>
      <w:bookmarkStart w:id="957" w:name="_Toc96448058"/>
      <w:bookmarkStart w:id="958" w:name="_Toc96594007"/>
      <w:bookmarkStart w:id="959" w:name="_Toc96597298"/>
      <w:bookmarkStart w:id="960" w:name="_Toc96609233"/>
      <w:bookmarkStart w:id="961" w:name="_Toc97149262"/>
      <w:bookmarkStart w:id="962" w:name="_Toc97191308"/>
      <w:bookmarkStart w:id="963" w:name="_Toc107430118"/>
      <w:bookmarkEnd w:id="952"/>
      <w:r w:rsidRPr="002E7937">
        <w:t>3.</w:t>
      </w:r>
      <w:r w:rsidRPr="002E7937">
        <w:tab/>
      </w:r>
      <w:r w:rsidR="00B636C3" w:rsidRPr="00F92EAE">
        <w:rPr>
          <w:noProof/>
        </w:rPr>
        <w:t>Relevant sustainable development goals</w:t>
      </w:r>
      <w:bookmarkEnd w:id="953"/>
      <w:bookmarkEnd w:id="954"/>
      <w:bookmarkEnd w:id="955"/>
      <w:bookmarkEnd w:id="956"/>
      <w:bookmarkEnd w:id="957"/>
      <w:bookmarkEnd w:id="958"/>
      <w:bookmarkEnd w:id="959"/>
      <w:bookmarkEnd w:id="960"/>
      <w:bookmarkEnd w:id="961"/>
      <w:bookmarkEnd w:id="962"/>
      <w:bookmarkEnd w:id="963"/>
    </w:p>
    <w:tbl>
      <w:tblPr>
        <w:tblStyle w:val="CV11"/>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3714"/>
      </w:tblGrid>
      <w:tr w:rsidR="005142DE" w:rsidRPr="00F92EAE" w14:paraId="456804DB" w14:textId="77777777" w:rsidTr="005142DE">
        <w:tc>
          <w:tcPr>
            <w:tcW w:w="10377" w:type="dxa"/>
            <w:gridSpan w:val="3"/>
            <w:tcBorders>
              <w:top w:val="double" w:sz="4" w:space="0" w:color="auto"/>
              <w:bottom w:val="single" w:sz="4" w:space="0" w:color="auto"/>
            </w:tcBorders>
            <w:shd w:val="clear" w:color="auto" w:fill="C6D9F1" w:themeFill="text2" w:themeFillTint="33"/>
          </w:tcPr>
          <w:p w14:paraId="690D7C57" w14:textId="77777777" w:rsidR="005142DE" w:rsidRPr="00F92EAE" w:rsidRDefault="005142DE" w:rsidP="005142DE">
            <w:pPr>
              <w:rPr>
                <w:b/>
                <w:noProof/>
              </w:rPr>
            </w:pPr>
            <w:r w:rsidRPr="00F92EAE">
              <w:rPr>
                <w:b/>
                <w:noProof/>
              </w:rPr>
              <w:t>III. Overview of relevant Sustainable Development Goals – Preferred Option(s)</w:t>
            </w:r>
          </w:p>
        </w:tc>
      </w:tr>
      <w:tr w:rsidR="005142DE" w:rsidRPr="00F92EAE" w14:paraId="39A12283" w14:textId="77777777" w:rsidTr="005142DE">
        <w:tc>
          <w:tcPr>
            <w:tcW w:w="2552" w:type="dxa"/>
            <w:tcBorders>
              <w:top w:val="single" w:sz="4" w:space="0" w:color="auto"/>
            </w:tcBorders>
            <w:shd w:val="clear" w:color="auto" w:fill="C6D9F1" w:themeFill="text2" w:themeFillTint="33"/>
          </w:tcPr>
          <w:p w14:paraId="428F1D26" w14:textId="77777777" w:rsidR="005142DE" w:rsidRPr="00F92EAE" w:rsidRDefault="005142DE" w:rsidP="005142DE">
            <w:pPr>
              <w:rPr>
                <w:b/>
                <w:noProof/>
              </w:rPr>
            </w:pPr>
            <w:r w:rsidRPr="00F92EAE">
              <w:rPr>
                <w:b/>
                <w:noProof/>
              </w:rPr>
              <w:t>Relevant SDG</w:t>
            </w:r>
          </w:p>
        </w:tc>
        <w:tc>
          <w:tcPr>
            <w:tcW w:w="4111" w:type="dxa"/>
            <w:tcBorders>
              <w:top w:val="single" w:sz="4" w:space="0" w:color="auto"/>
            </w:tcBorders>
            <w:shd w:val="clear" w:color="auto" w:fill="C6D9F1" w:themeFill="text2" w:themeFillTint="33"/>
          </w:tcPr>
          <w:p w14:paraId="075E219C" w14:textId="77777777" w:rsidR="005142DE" w:rsidRPr="00F92EAE" w:rsidRDefault="005142DE" w:rsidP="005142DE">
            <w:pPr>
              <w:rPr>
                <w:b/>
                <w:noProof/>
              </w:rPr>
            </w:pPr>
            <w:r w:rsidRPr="00F92EAE">
              <w:rPr>
                <w:b/>
                <w:noProof/>
              </w:rPr>
              <w:t>Expected progress towards the Goal</w:t>
            </w:r>
          </w:p>
        </w:tc>
        <w:tc>
          <w:tcPr>
            <w:tcW w:w="3714" w:type="dxa"/>
            <w:tcBorders>
              <w:top w:val="single" w:sz="4" w:space="0" w:color="auto"/>
            </w:tcBorders>
            <w:shd w:val="clear" w:color="auto" w:fill="C6D9F1" w:themeFill="text2" w:themeFillTint="33"/>
            <w:tcMar>
              <w:top w:w="57" w:type="dxa"/>
              <w:left w:w="57" w:type="dxa"/>
              <w:bottom w:w="57" w:type="dxa"/>
              <w:right w:w="57" w:type="dxa"/>
            </w:tcMar>
          </w:tcPr>
          <w:p w14:paraId="413C193D" w14:textId="77777777" w:rsidR="005142DE" w:rsidRPr="00F92EAE" w:rsidRDefault="005142DE" w:rsidP="005142DE">
            <w:pPr>
              <w:rPr>
                <w:b/>
                <w:noProof/>
              </w:rPr>
            </w:pPr>
            <w:r w:rsidRPr="00F92EAE">
              <w:rPr>
                <w:b/>
                <w:noProof/>
              </w:rPr>
              <w:t>Comments</w:t>
            </w:r>
          </w:p>
        </w:tc>
      </w:tr>
      <w:tr w:rsidR="005142DE" w:rsidRPr="00F92EAE" w14:paraId="3787F715" w14:textId="77777777" w:rsidTr="005142DE">
        <w:tc>
          <w:tcPr>
            <w:tcW w:w="2552" w:type="dxa"/>
            <w:tcBorders>
              <w:top w:val="double" w:sz="4" w:space="0" w:color="auto"/>
              <w:bottom w:val="double" w:sz="4" w:space="0" w:color="auto"/>
            </w:tcBorders>
          </w:tcPr>
          <w:p w14:paraId="75B5BDE6" w14:textId="77777777" w:rsidR="005142DE" w:rsidRPr="00F92EAE" w:rsidRDefault="005142DE" w:rsidP="005142DE">
            <w:pPr>
              <w:rPr>
                <w:noProof/>
              </w:rPr>
            </w:pPr>
            <w:r w:rsidRPr="00F92EAE">
              <w:rPr>
                <w:noProof/>
              </w:rPr>
              <w:t xml:space="preserve">SDG no. </w:t>
            </w:r>
            <w:r>
              <w:rPr>
                <w:noProof/>
              </w:rPr>
              <w:t>3</w:t>
            </w:r>
            <w:r w:rsidRPr="00F92EAE">
              <w:rPr>
                <w:noProof/>
              </w:rPr>
              <w:t xml:space="preserve"> – </w:t>
            </w:r>
            <w:r>
              <w:rPr>
                <w:noProof/>
              </w:rPr>
              <w:t>healthy lives and well being</w:t>
            </w:r>
          </w:p>
        </w:tc>
        <w:tc>
          <w:tcPr>
            <w:tcW w:w="4111" w:type="dxa"/>
            <w:tcBorders>
              <w:top w:val="double" w:sz="4" w:space="0" w:color="auto"/>
              <w:bottom w:val="double" w:sz="4" w:space="0" w:color="auto"/>
            </w:tcBorders>
            <w:tcMar>
              <w:top w:w="57" w:type="dxa"/>
              <w:left w:w="57" w:type="dxa"/>
              <w:bottom w:w="57" w:type="dxa"/>
              <w:right w:w="57" w:type="dxa"/>
            </w:tcMar>
          </w:tcPr>
          <w:p w14:paraId="586FCA1F" w14:textId="77777777" w:rsidR="00C57D74" w:rsidRDefault="00C57D74" w:rsidP="00C57D74">
            <w:pPr>
              <w:rPr>
                <w:noProof/>
              </w:rPr>
            </w:pPr>
            <w:r>
              <w:rPr>
                <w:noProof/>
              </w:rPr>
              <w:t>Promote safe products and compensate victims of harm, it will have positive social impacts on victims’ health and well-being</w:t>
            </w:r>
          </w:p>
          <w:p w14:paraId="5843173D" w14:textId="65763AAF" w:rsidR="005142DE" w:rsidRPr="00F92EAE" w:rsidRDefault="005142DE" w:rsidP="005142DE">
            <w:pPr>
              <w:rPr>
                <w:noProof/>
              </w:rPr>
            </w:pPr>
          </w:p>
        </w:tc>
        <w:tc>
          <w:tcPr>
            <w:tcW w:w="3714" w:type="dxa"/>
            <w:tcBorders>
              <w:top w:val="double" w:sz="4" w:space="0" w:color="auto"/>
              <w:bottom w:val="double" w:sz="4" w:space="0" w:color="auto"/>
            </w:tcBorders>
            <w:tcMar>
              <w:top w:w="57" w:type="dxa"/>
              <w:left w:w="57" w:type="dxa"/>
              <w:bottom w:w="57" w:type="dxa"/>
              <w:right w:w="57" w:type="dxa"/>
            </w:tcMar>
          </w:tcPr>
          <w:p w14:paraId="20DF7493" w14:textId="77777777" w:rsidR="005142DE" w:rsidRPr="00F92EAE" w:rsidRDefault="005142DE" w:rsidP="005142DE">
            <w:pPr>
              <w:rPr>
                <w:noProof/>
              </w:rPr>
            </w:pPr>
          </w:p>
        </w:tc>
      </w:tr>
      <w:tr w:rsidR="005142DE" w:rsidRPr="00F92EAE" w14:paraId="627D8793" w14:textId="77777777" w:rsidTr="00C57D74">
        <w:trPr>
          <w:trHeight w:val="213"/>
        </w:trPr>
        <w:tc>
          <w:tcPr>
            <w:tcW w:w="2552" w:type="dxa"/>
            <w:tcBorders>
              <w:top w:val="double" w:sz="4" w:space="0" w:color="auto"/>
              <w:bottom w:val="double" w:sz="4" w:space="0" w:color="auto"/>
            </w:tcBorders>
          </w:tcPr>
          <w:p w14:paraId="761EA5A3" w14:textId="0A3BD318" w:rsidR="005142DE" w:rsidRDefault="005142DE" w:rsidP="005142DE">
            <w:pPr>
              <w:rPr>
                <w:noProof/>
              </w:rPr>
            </w:pPr>
            <w:r>
              <w:rPr>
                <w:noProof/>
              </w:rPr>
              <w:t>SD</w:t>
            </w:r>
            <w:r w:rsidR="004F0AB2">
              <w:rPr>
                <w:noProof/>
              </w:rPr>
              <w:t>G</w:t>
            </w:r>
            <w:r>
              <w:rPr>
                <w:noProof/>
              </w:rPr>
              <w:t xml:space="preserve"> no. 9 – foster innovation</w:t>
            </w:r>
          </w:p>
        </w:tc>
        <w:tc>
          <w:tcPr>
            <w:tcW w:w="4111" w:type="dxa"/>
            <w:tcBorders>
              <w:top w:val="double" w:sz="4" w:space="0" w:color="auto"/>
              <w:bottom w:val="double" w:sz="4" w:space="0" w:color="auto"/>
            </w:tcBorders>
            <w:tcMar>
              <w:top w:w="57" w:type="dxa"/>
              <w:left w:w="57" w:type="dxa"/>
              <w:bottom w:w="57" w:type="dxa"/>
              <w:right w:w="57" w:type="dxa"/>
            </w:tcMar>
          </w:tcPr>
          <w:p w14:paraId="29699743" w14:textId="77777777" w:rsidR="00C57D74" w:rsidRDefault="00C57D74" w:rsidP="00C57D74">
            <w:pPr>
              <w:rPr>
                <w:noProof/>
              </w:rPr>
            </w:pPr>
            <w:r>
              <w:rPr>
                <w:noProof/>
              </w:rPr>
              <w:t xml:space="preserve">Provide legal certainty for businesses to innovate </w:t>
            </w:r>
          </w:p>
          <w:p w14:paraId="10C54339" w14:textId="03B643EA" w:rsidR="005142DE" w:rsidRDefault="005142DE" w:rsidP="005142DE">
            <w:pPr>
              <w:rPr>
                <w:noProof/>
              </w:rPr>
            </w:pPr>
          </w:p>
        </w:tc>
        <w:tc>
          <w:tcPr>
            <w:tcW w:w="3714" w:type="dxa"/>
            <w:tcBorders>
              <w:top w:val="double" w:sz="4" w:space="0" w:color="auto"/>
              <w:bottom w:val="double" w:sz="4" w:space="0" w:color="auto"/>
            </w:tcBorders>
            <w:tcMar>
              <w:top w:w="57" w:type="dxa"/>
              <w:left w:w="57" w:type="dxa"/>
              <w:bottom w:w="57" w:type="dxa"/>
              <w:right w:w="57" w:type="dxa"/>
            </w:tcMar>
          </w:tcPr>
          <w:p w14:paraId="7AB08F7C" w14:textId="77777777" w:rsidR="005142DE" w:rsidRPr="00F92EAE" w:rsidRDefault="005142DE" w:rsidP="005142DE">
            <w:pPr>
              <w:rPr>
                <w:noProof/>
              </w:rPr>
            </w:pPr>
          </w:p>
        </w:tc>
      </w:tr>
      <w:tr w:rsidR="00C57D74" w:rsidRPr="00F92EAE" w14:paraId="774A1626" w14:textId="77777777" w:rsidTr="005142DE">
        <w:trPr>
          <w:trHeight w:val="213"/>
        </w:trPr>
        <w:tc>
          <w:tcPr>
            <w:tcW w:w="2552" w:type="dxa"/>
            <w:tcBorders>
              <w:top w:val="double" w:sz="4" w:space="0" w:color="auto"/>
              <w:bottom w:val="single" w:sz="4" w:space="0" w:color="auto"/>
            </w:tcBorders>
          </w:tcPr>
          <w:p w14:paraId="081FECF3" w14:textId="1C468A69" w:rsidR="00C57D74" w:rsidRDefault="00C57D74" w:rsidP="005142DE">
            <w:pPr>
              <w:rPr>
                <w:noProof/>
              </w:rPr>
            </w:pPr>
            <w:r>
              <w:rPr>
                <w:noProof/>
              </w:rPr>
              <w:t xml:space="preserve">SDG no. 12 – </w:t>
            </w:r>
            <w:r w:rsidRPr="00C57D74">
              <w:rPr>
                <w:noProof/>
              </w:rPr>
              <w:t>responsible consumption and production</w:t>
            </w:r>
          </w:p>
        </w:tc>
        <w:tc>
          <w:tcPr>
            <w:tcW w:w="4111" w:type="dxa"/>
            <w:tcBorders>
              <w:top w:val="double" w:sz="4" w:space="0" w:color="auto"/>
              <w:bottom w:val="single" w:sz="4" w:space="0" w:color="auto"/>
            </w:tcBorders>
            <w:tcMar>
              <w:top w:w="57" w:type="dxa"/>
              <w:left w:w="57" w:type="dxa"/>
              <w:bottom w:w="57" w:type="dxa"/>
              <w:right w:w="57" w:type="dxa"/>
            </w:tcMar>
          </w:tcPr>
          <w:p w14:paraId="4BD1E644" w14:textId="7C6A0041" w:rsidR="00C57D74" w:rsidRDefault="00C57D74" w:rsidP="00C57D74">
            <w:pPr>
              <w:rPr>
                <w:noProof/>
              </w:rPr>
            </w:pPr>
            <w:r>
              <w:rPr>
                <w:noProof/>
              </w:rPr>
              <w:t>Make people responsible for product safety when they make substantial modifications</w:t>
            </w:r>
          </w:p>
        </w:tc>
        <w:tc>
          <w:tcPr>
            <w:tcW w:w="3714" w:type="dxa"/>
            <w:tcBorders>
              <w:top w:val="double" w:sz="4" w:space="0" w:color="auto"/>
              <w:bottom w:val="single" w:sz="4" w:space="0" w:color="auto"/>
            </w:tcBorders>
            <w:tcMar>
              <w:top w:w="57" w:type="dxa"/>
              <w:left w:w="57" w:type="dxa"/>
              <w:bottom w:w="57" w:type="dxa"/>
              <w:right w:w="57" w:type="dxa"/>
            </w:tcMar>
          </w:tcPr>
          <w:p w14:paraId="4E7B9D30" w14:textId="3AE794CE" w:rsidR="00C57D74" w:rsidRPr="00F92EAE" w:rsidRDefault="00C57D74" w:rsidP="00C57D74">
            <w:pPr>
              <w:rPr>
                <w:noProof/>
              </w:rPr>
            </w:pPr>
          </w:p>
        </w:tc>
      </w:tr>
    </w:tbl>
    <w:p w14:paraId="1CAD1B7A" w14:textId="77777777" w:rsidR="006B087E" w:rsidRDefault="006B087E" w:rsidP="006B087E">
      <w:pPr>
        <w:rPr>
          <w:noProof/>
        </w:rPr>
      </w:pPr>
      <w:r>
        <w:rPr>
          <w:noProof/>
        </w:rPr>
        <w:br w:type="page"/>
      </w:r>
    </w:p>
    <w:p w14:paraId="3803CB2C" w14:textId="77DD0EE9" w:rsidR="006B087E" w:rsidRDefault="006B087E" w:rsidP="006B087E">
      <w:pPr>
        <w:pStyle w:val="AnnexTitle"/>
        <w:rPr>
          <w:noProof/>
        </w:rPr>
      </w:pPr>
      <w:bookmarkStart w:id="964" w:name="_Toc93401465"/>
      <w:bookmarkStart w:id="965" w:name="_Toc94005562"/>
      <w:bookmarkStart w:id="966" w:name="_Toc95379899"/>
      <w:bookmarkStart w:id="967" w:name="_Toc95391388"/>
      <w:bookmarkStart w:id="968" w:name="_Toc95396457"/>
      <w:bookmarkStart w:id="969" w:name="_Toc95421555"/>
      <w:bookmarkStart w:id="970" w:name="_Toc95482015"/>
      <w:bookmarkStart w:id="971" w:name="_Toc96337807"/>
      <w:bookmarkStart w:id="972" w:name="_Toc96446287"/>
      <w:bookmarkStart w:id="973" w:name="_Toc96448059"/>
      <w:bookmarkStart w:id="974" w:name="_Toc96594008"/>
      <w:bookmarkStart w:id="975" w:name="_Toc96597299"/>
      <w:bookmarkStart w:id="976" w:name="_Toc96609234"/>
      <w:bookmarkStart w:id="977" w:name="_Toc97149263"/>
      <w:bookmarkStart w:id="978" w:name="_Toc97191309"/>
      <w:bookmarkStart w:id="979" w:name="_Toc107430119"/>
      <w:r>
        <w:rPr>
          <w:noProof/>
        </w:rPr>
        <w:t>Annex 4: Analytical methods</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7E74823C" w14:textId="7E43B365" w:rsidR="00EC2B83" w:rsidRPr="00122FC4" w:rsidRDefault="002E7937" w:rsidP="002E7937">
      <w:pPr>
        <w:pStyle w:val="Heading1"/>
        <w:rPr>
          <w:noProof/>
        </w:rPr>
      </w:pPr>
      <w:bookmarkStart w:id="980" w:name="_Toc95482016"/>
      <w:bookmarkStart w:id="981" w:name="_Toc96337808"/>
      <w:bookmarkStart w:id="982" w:name="_Toc96446288"/>
      <w:bookmarkStart w:id="983" w:name="_Toc96448060"/>
      <w:bookmarkStart w:id="984" w:name="_Toc96594009"/>
      <w:bookmarkStart w:id="985" w:name="_Toc96597300"/>
      <w:bookmarkStart w:id="986" w:name="_Toc96609235"/>
      <w:bookmarkStart w:id="987" w:name="_Toc97149264"/>
      <w:bookmarkStart w:id="988" w:name="_Toc97191310"/>
      <w:bookmarkStart w:id="989" w:name="_Toc107430120"/>
      <w:r w:rsidRPr="002E7937">
        <w:t>1.</w:t>
      </w:r>
      <w:r w:rsidRPr="002E7937">
        <w:tab/>
      </w:r>
      <w:r w:rsidR="00EC2B83" w:rsidRPr="00C1491C">
        <w:rPr>
          <w:noProof/>
        </w:rPr>
        <w:t>Data gaps and limitations</w:t>
      </w:r>
      <w:bookmarkEnd w:id="980"/>
      <w:bookmarkEnd w:id="981"/>
      <w:bookmarkEnd w:id="982"/>
      <w:bookmarkEnd w:id="983"/>
      <w:bookmarkEnd w:id="984"/>
      <w:bookmarkEnd w:id="985"/>
      <w:bookmarkEnd w:id="986"/>
      <w:bookmarkEnd w:id="987"/>
      <w:bookmarkEnd w:id="988"/>
      <w:bookmarkEnd w:id="989"/>
    </w:p>
    <w:p w14:paraId="56B52F15" w14:textId="45F1F379" w:rsidR="00EC2B83" w:rsidRDefault="00EC2B83" w:rsidP="00EC2B83">
      <w:pPr>
        <w:pStyle w:val="BodyText"/>
        <w:spacing w:after="240"/>
        <w:rPr>
          <w:noProof/>
          <w:color w:val="000000" w:themeColor="text1"/>
          <w:sz w:val="24"/>
        </w:rPr>
      </w:pPr>
      <w:r w:rsidRPr="00330C97">
        <w:rPr>
          <w:noProof/>
          <w:color w:val="000000" w:themeColor="text1"/>
          <w:sz w:val="24"/>
          <w:lang w:eastAsia="da-DK"/>
        </w:rPr>
        <w:t xml:space="preserve">There is a lack of data on the number of injuries and deaths caused by </w:t>
      </w:r>
      <w:r w:rsidRPr="00330C97">
        <w:rPr>
          <w:noProof/>
          <w:color w:val="000000" w:themeColor="text1"/>
          <w:sz w:val="24"/>
        </w:rPr>
        <w:t xml:space="preserve">defective products in Europe </w:t>
      </w:r>
      <w:r>
        <w:rPr>
          <w:noProof/>
          <w:color w:val="000000" w:themeColor="text1"/>
          <w:sz w:val="24"/>
        </w:rPr>
        <w:t xml:space="preserve">and </w:t>
      </w:r>
      <w:r w:rsidRPr="00330C97">
        <w:rPr>
          <w:bCs/>
          <w:noProof/>
          <w:color w:val="000000" w:themeColor="text1"/>
          <w:sz w:val="24"/>
          <w:lang w:eastAsia="da-DK"/>
        </w:rPr>
        <w:t>no common injury database with meaningful information to support product safety work is in force in the EU</w:t>
      </w:r>
      <w:r w:rsidRPr="00330C97">
        <w:rPr>
          <w:rStyle w:val="FootnoteReference"/>
          <w:noProof/>
          <w:color w:val="000000" w:themeColor="text1"/>
          <w:sz w:val="24"/>
          <w:lang w:eastAsia="da-DK"/>
        </w:rPr>
        <w:footnoteReference w:id="272"/>
      </w:r>
      <w:r w:rsidRPr="00330C97">
        <w:rPr>
          <w:noProof/>
          <w:color w:val="000000" w:themeColor="text1"/>
          <w:sz w:val="24"/>
          <w:lang w:eastAsia="da-DK"/>
        </w:rPr>
        <w:t>. In the literature, it has been noted that w</w:t>
      </w:r>
      <w:r w:rsidRPr="00330C97">
        <w:rPr>
          <w:noProof/>
          <w:color w:val="000000" w:themeColor="text1"/>
          <w:sz w:val="24"/>
        </w:rPr>
        <w:t>hile the amount of information available and potentially of use for product safety is considerable in some EU countries, its usability at EU level is difficult due to high fragmentation of the data sources, the diversity of data collection methods and increasing data protection concerns</w:t>
      </w:r>
      <w:r w:rsidRPr="00330C97">
        <w:rPr>
          <w:rStyle w:val="FootnoteReference"/>
          <w:noProof/>
          <w:color w:val="000000" w:themeColor="text1"/>
          <w:sz w:val="24"/>
        </w:rPr>
        <w:footnoteReference w:id="273"/>
      </w:r>
      <w:r w:rsidRPr="00330C97">
        <w:rPr>
          <w:noProof/>
          <w:color w:val="000000" w:themeColor="text1"/>
          <w:sz w:val="24"/>
        </w:rPr>
        <w:t xml:space="preserve">. This was confirmed through contacts with relevant stakeholders, who </w:t>
      </w:r>
      <w:r w:rsidR="00C27E98">
        <w:rPr>
          <w:noProof/>
          <w:color w:val="000000" w:themeColor="text1"/>
          <w:sz w:val="24"/>
        </w:rPr>
        <w:t xml:space="preserve">stated </w:t>
      </w:r>
      <w:r w:rsidRPr="00330C97">
        <w:rPr>
          <w:noProof/>
          <w:color w:val="000000" w:themeColor="text1"/>
          <w:sz w:val="24"/>
        </w:rPr>
        <w:t xml:space="preserve">that the collection of data about unsafe products and defective products </w:t>
      </w:r>
      <w:r w:rsidR="00C27E98">
        <w:rPr>
          <w:noProof/>
          <w:color w:val="000000" w:themeColor="text1"/>
          <w:sz w:val="24"/>
        </w:rPr>
        <w:t xml:space="preserve">in future </w:t>
      </w:r>
      <w:r w:rsidRPr="00330C97">
        <w:rPr>
          <w:noProof/>
          <w:color w:val="000000" w:themeColor="text1"/>
          <w:sz w:val="24"/>
        </w:rPr>
        <w:t xml:space="preserve">could be useful for product safety policy, market surveillance and enforcement purposes, but as such, no such data is currently </w:t>
      </w:r>
      <w:r w:rsidR="00C27E98">
        <w:rPr>
          <w:noProof/>
          <w:color w:val="000000" w:themeColor="text1"/>
          <w:sz w:val="24"/>
        </w:rPr>
        <w:t xml:space="preserve">being </w:t>
      </w:r>
      <w:r w:rsidRPr="00330C97">
        <w:rPr>
          <w:noProof/>
          <w:color w:val="000000" w:themeColor="text1"/>
          <w:sz w:val="24"/>
        </w:rPr>
        <w:t>collected.</w:t>
      </w:r>
    </w:p>
    <w:p w14:paraId="7FDC190F" w14:textId="020EAE3F" w:rsidR="00EC2B83" w:rsidRPr="00122FC4" w:rsidRDefault="00EC2B83" w:rsidP="00EC2B83">
      <w:pPr>
        <w:pStyle w:val="BodyText"/>
        <w:spacing w:after="240"/>
        <w:rPr>
          <w:noProof/>
          <w:color w:val="000000" w:themeColor="text1"/>
          <w:sz w:val="24"/>
        </w:rPr>
      </w:pPr>
      <w:r w:rsidRPr="00122FC4">
        <w:rPr>
          <w:noProof/>
          <w:color w:val="000000" w:themeColor="text1"/>
          <w:sz w:val="24"/>
        </w:rPr>
        <w:t>Data is instead collected on the number of injuries and deaths generally through the European Injury Database (EU-IDB). Whilst this database includes some data on injuries that involved products, this covers all types of accidents, and not product defects (i.e. injuries caused by falling off a ladder, but not whether any injuries have been caused by the ladder proving to be a defective product as defined under the PLD).</w:t>
      </w:r>
      <w:r w:rsidR="00402CDB">
        <w:rPr>
          <w:noProof/>
          <w:color w:val="000000" w:themeColor="text1"/>
          <w:sz w:val="24"/>
        </w:rPr>
        <w:t xml:space="preserve"> </w:t>
      </w:r>
    </w:p>
    <w:p w14:paraId="39BA4BE3" w14:textId="5772229D" w:rsidR="00EC2B83" w:rsidRDefault="00EC2B83" w:rsidP="00EC2B83">
      <w:pPr>
        <w:pStyle w:val="BodyText"/>
        <w:spacing w:after="240"/>
        <w:rPr>
          <w:noProof/>
          <w:color w:val="000000" w:themeColor="text1"/>
          <w:sz w:val="24"/>
        </w:rPr>
      </w:pPr>
      <w:r w:rsidRPr="00122FC4">
        <w:rPr>
          <w:noProof/>
          <w:color w:val="000000" w:themeColor="text1"/>
          <w:sz w:val="24"/>
        </w:rPr>
        <w:t>The evaluation of the General Product Safety Directive</w:t>
      </w:r>
      <w:r w:rsidRPr="000D0339">
        <w:rPr>
          <w:noProof/>
          <w:color w:val="000000" w:themeColor="text1"/>
          <w:sz w:val="24"/>
          <w:vertAlign w:val="superscript"/>
        </w:rPr>
        <w:footnoteReference w:id="274"/>
      </w:r>
      <w:r w:rsidRPr="00122FC4">
        <w:rPr>
          <w:noProof/>
          <w:color w:val="000000" w:themeColor="text1"/>
          <w:sz w:val="24"/>
        </w:rPr>
        <w:t xml:space="preserve"> conducted on behalf of the European Commission in 2021, making use of EuroSafe data, estimated product-related injuries related to a sub-set of product groups (not coinciding with the overall PLD scope) to be about 11 million injuries each year on average. In addition, based on WHO data from the WHO Mortality Database</w:t>
      </w:r>
      <w:r w:rsidR="0095191A">
        <w:rPr>
          <w:rStyle w:val="FootnoteReference"/>
          <w:noProof/>
          <w:color w:val="000000" w:themeColor="text1"/>
          <w:sz w:val="24"/>
        </w:rPr>
        <w:footnoteReference w:id="275"/>
      </w:r>
      <w:r w:rsidRPr="00122FC4">
        <w:rPr>
          <w:noProof/>
          <w:color w:val="000000" w:themeColor="text1"/>
          <w:sz w:val="24"/>
        </w:rPr>
        <w:t xml:space="preserve">, the study estimates 8,632 fatalities per year. </w:t>
      </w:r>
      <w:r w:rsidR="00DB6D35">
        <w:rPr>
          <w:noProof/>
          <w:color w:val="000000" w:themeColor="text1"/>
          <w:sz w:val="24"/>
        </w:rPr>
        <w:t xml:space="preserve">A </w:t>
      </w:r>
      <w:r w:rsidR="00347138">
        <w:rPr>
          <w:noProof/>
          <w:color w:val="000000" w:themeColor="text1"/>
          <w:sz w:val="24"/>
        </w:rPr>
        <w:t>significant</w:t>
      </w:r>
      <w:r w:rsidR="00DB6D35">
        <w:rPr>
          <w:noProof/>
          <w:color w:val="000000" w:themeColor="text1"/>
          <w:sz w:val="24"/>
        </w:rPr>
        <w:t xml:space="preserve"> limitation of this database is the impossibility </w:t>
      </w:r>
      <w:r w:rsidR="00DB6D35" w:rsidRPr="00122FC4">
        <w:rPr>
          <w:noProof/>
          <w:color w:val="000000" w:themeColor="text1"/>
          <w:sz w:val="24"/>
        </w:rPr>
        <w:t>of determining how many of these are due to defective products</w:t>
      </w:r>
      <w:r w:rsidR="00DB6D35">
        <w:rPr>
          <w:noProof/>
          <w:color w:val="000000" w:themeColor="text1"/>
          <w:sz w:val="24"/>
        </w:rPr>
        <w:t xml:space="preserve">, which are the fatalities that should be looked at when assessing costs and benefits related to </w:t>
      </w:r>
      <w:r w:rsidR="00347138">
        <w:rPr>
          <w:noProof/>
          <w:color w:val="000000" w:themeColor="text1"/>
          <w:sz w:val="24"/>
        </w:rPr>
        <w:t xml:space="preserve">the </w:t>
      </w:r>
      <w:r w:rsidR="00DB6D35">
        <w:rPr>
          <w:noProof/>
          <w:color w:val="000000" w:themeColor="text1"/>
          <w:sz w:val="24"/>
        </w:rPr>
        <w:t>PLD</w:t>
      </w:r>
      <w:r w:rsidR="00DB6D35" w:rsidRPr="00122FC4">
        <w:rPr>
          <w:noProof/>
          <w:color w:val="000000" w:themeColor="text1"/>
          <w:sz w:val="24"/>
        </w:rPr>
        <w:t>.</w:t>
      </w:r>
      <w:r w:rsidR="00DB6D35">
        <w:rPr>
          <w:noProof/>
          <w:color w:val="000000" w:themeColor="text1"/>
          <w:sz w:val="24"/>
        </w:rPr>
        <w:t xml:space="preserve"> </w:t>
      </w:r>
      <w:r w:rsidR="00721E92">
        <w:rPr>
          <w:noProof/>
          <w:color w:val="000000" w:themeColor="text1"/>
          <w:sz w:val="24"/>
        </w:rPr>
        <w:t xml:space="preserve">Counting all </w:t>
      </w:r>
      <w:r w:rsidR="00DB6D35" w:rsidRPr="00122FC4">
        <w:rPr>
          <w:noProof/>
          <w:color w:val="000000" w:themeColor="text1"/>
          <w:sz w:val="24"/>
        </w:rPr>
        <w:t>product-related injuries</w:t>
      </w:r>
      <w:r w:rsidR="00DB6D35">
        <w:rPr>
          <w:noProof/>
          <w:color w:val="000000" w:themeColor="text1"/>
          <w:sz w:val="24"/>
        </w:rPr>
        <w:t xml:space="preserve"> would result in a major overestimation of impacts. On the other hand,</w:t>
      </w:r>
      <w:r w:rsidR="00DB6D35" w:rsidRPr="00122FC4" w:rsidDel="00DB6D35">
        <w:rPr>
          <w:noProof/>
          <w:color w:val="000000" w:themeColor="text1"/>
          <w:sz w:val="24"/>
        </w:rPr>
        <w:t xml:space="preserve"> </w:t>
      </w:r>
      <w:r w:rsidRPr="00122FC4">
        <w:rPr>
          <w:noProof/>
          <w:color w:val="000000" w:themeColor="text1"/>
          <w:sz w:val="24"/>
        </w:rPr>
        <w:t>these figures do not include, among others, pharmaceutical products or medical devices, which according to the 2018 PLD evaluation are among the most relevant products in terms of liability claims, nor food and beverages, sectors also covered under the Directive.</w:t>
      </w:r>
      <w:r>
        <w:rPr>
          <w:noProof/>
          <w:color w:val="000000" w:themeColor="text1"/>
          <w:sz w:val="24"/>
        </w:rPr>
        <w:t xml:space="preserve"> </w:t>
      </w:r>
      <w:r w:rsidRPr="00122FC4">
        <w:rPr>
          <w:noProof/>
          <w:color w:val="000000" w:themeColor="text1"/>
          <w:sz w:val="24"/>
        </w:rPr>
        <w:t xml:space="preserve">The EU-IDB data is </w:t>
      </w:r>
      <w:r w:rsidR="00DB6D35">
        <w:rPr>
          <w:noProof/>
          <w:color w:val="000000" w:themeColor="text1"/>
          <w:sz w:val="24"/>
        </w:rPr>
        <w:t xml:space="preserve">thus </w:t>
      </w:r>
      <w:r w:rsidRPr="00122FC4">
        <w:rPr>
          <w:noProof/>
          <w:color w:val="000000" w:themeColor="text1"/>
          <w:sz w:val="24"/>
        </w:rPr>
        <w:t>useful in demonstrating that the problem of injuries and accidents (including those relating to products) is significant in the EU</w:t>
      </w:r>
      <w:r w:rsidR="00DB6D35">
        <w:rPr>
          <w:noProof/>
          <w:color w:val="000000" w:themeColor="text1"/>
          <w:sz w:val="24"/>
        </w:rPr>
        <w:t xml:space="preserve"> but cannot be used in this specific analysis</w:t>
      </w:r>
      <w:r w:rsidRPr="00122FC4">
        <w:rPr>
          <w:noProof/>
          <w:color w:val="000000" w:themeColor="text1"/>
          <w:sz w:val="24"/>
        </w:rPr>
        <w:t xml:space="preserve">. </w:t>
      </w:r>
    </w:p>
    <w:p w14:paraId="3AFE0B9F" w14:textId="77777777" w:rsidR="00EC2B83" w:rsidRDefault="00EC2B83" w:rsidP="00EC2B83">
      <w:pPr>
        <w:spacing w:after="240" w:line="240" w:lineRule="auto"/>
        <w:jc w:val="both"/>
        <w:rPr>
          <w:rFonts w:eastAsia="Times New Roman" w:cs="Times New Roman"/>
          <w:noProof/>
          <w:color w:val="000000" w:themeColor="text1"/>
          <w:sz w:val="24"/>
          <w:szCs w:val="20"/>
        </w:rPr>
      </w:pPr>
      <w:r>
        <w:rPr>
          <w:rFonts w:eastAsia="Times New Roman" w:cs="Times New Roman"/>
          <w:noProof/>
          <w:color w:val="000000" w:themeColor="text1"/>
          <w:sz w:val="24"/>
          <w:szCs w:val="20"/>
        </w:rPr>
        <w:t>Finally, there is n</w:t>
      </w:r>
      <w:r w:rsidRPr="000D0339">
        <w:rPr>
          <w:rFonts w:eastAsia="Times New Roman" w:cs="Times New Roman"/>
          <w:noProof/>
          <w:color w:val="000000" w:themeColor="text1"/>
          <w:sz w:val="24"/>
          <w:szCs w:val="20"/>
        </w:rPr>
        <w:t>o data available concerning damages to property caused by defective products.</w:t>
      </w:r>
    </w:p>
    <w:p w14:paraId="3F10A987" w14:textId="77777777" w:rsidR="00EC2B83" w:rsidRPr="008E08D4" w:rsidRDefault="00EC2B83" w:rsidP="00EC2B83">
      <w:pPr>
        <w:spacing w:after="120" w:line="240" w:lineRule="auto"/>
        <w:jc w:val="both"/>
        <w:rPr>
          <w:rFonts w:eastAsia="Times New Roman" w:cs="Times New Roman"/>
          <w:noProof/>
          <w:color w:val="000000" w:themeColor="text1"/>
          <w:sz w:val="24"/>
          <w:szCs w:val="20"/>
          <w:u w:val="single"/>
        </w:rPr>
      </w:pPr>
      <w:r w:rsidRPr="008E08D4">
        <w:rPr>
          <w:rFonts w:eastAsia="Times New Roman" w:cs="Times New Roman"/>
          <w:noProof/>
          <w:color w:val="000000" w:themeColor="text1"/>
          <w:sz w:val="24"/>
          <w:szCs w:val="20"/>
          <w:u w:val="single"/>
        </w:rPr>
        <w:t>Challenges in the quantification of costs and benefits</w:t>
      </w:r>
    </w:p>
    <w:p w14:paraId="4A7DA532" w14:textId="0A5EC868" w:rsidR="00DD3B24" w:rsidRPr="00DD3B24" w:rsidRDefault="00DD3B24" w:rsidP="00DD3B24">
      <w:pPr>
        <w:pStyle w:val="Bullet1"/>
        <w:widowControl w:val="0"/>
        <w:numPr>
          <w:ilvl w:val="0"/>
          <w:numId w:val="20"/>
        </w:numPr>
        <w:ind w:left="714" w:hanging="357"/>
        <w:rPr>
          <w:rFonts w:ascii="Times New Roman" w:hAnsi="Times New Roman"/>
          <w:bCs/>
          <w:noProof/>
          <w:color w:val="000000" w:themeColor="text1"/>
          <w:sz w:val="24"/>
        </w:rPr>
      </w:pPr>
      <w:r>
        <w:rPr>
          <w:rFonts w:ascii="Times New Roman" w:hAnsi="Times New Roman"/>
          <w:bCs/>
          <w:noProof/>
          <w:color w:val="000000" w:themeColor="text1"/>
          <w:sz w:val="24"/>
        </w:rPr>
        <w:t>R</w:t>
      </w:r>
      <w:r w:rsidRPr="00DD3B24">
        <w:rPr>
          <w:rFonts w:ascii="Times New Roman" w:hAnsi="Times New Roman"/>
          <w:bCs/>
          <w:noProof/>
          <w:color w:val="000000" w:themeColor="text1"/>
          <w:sz w:val="24"/>
        </w:rPr>
        <w:t>elating to the general problem of reliable baseline data, which is either absent altogether or based on survey data from the 2018 evaluation, but not actual data (e.g. number of injuries and deaths due to defective products, number of out-of-court cases falling under the PLD, % of firms with product liability insurance).</w:t>
      </w:r>
    </w:p>
    <w:p w14:paraId="7D4486EB" w14:textId="06432E69" w:rsidR="00EC2B83" w:rsidRPr="00475BA9" w:rsidRDefault="00EC2B83" w:rsidP="00DD3B24">
      <w:pPr>
        <w:pStyle w:val="Bullet1"/>
        <w:widowControl w:val="0"/>
        <w:numPr>
          <w:ilvl w:val="0"/>
          <w:numId w:val="20"/>
        </w:numPr>
        <w:rPr>
          <w:rFonts w:ascii="Times New Roman" w:hAnsi="Times New Roman"/>
          <w:noProof/>
          <w:color w:val="000000" w:themeColor="text1"/>
          <w:sz w:val="24"/>
        </w:rPr>
      </w:pPr>
      <w:r w:rsidRPr="00475BA9">
        <w:rPr>
          <w:rFonts w:ascii="Times New Roman" w:hAnsi="Times New Roman"/>
          <w:bCs/>
          <w:noProof/>
          <w:color w:val="000000" w:themeColor="text1"/>
          <w:sz w:val="24"/>
        </w:rPr>
        <w:t xml:space="preserve">Insufficient information and data are currently available on likely future trends </w:t>
      </w:r>
      <w:r w:rsidR="00DD3B24" w:rsidRPr="00DD3B24">
        <w:rPr>
          <w:rFonts w:ascii="Times New Roman" w:hAnsi="Times New Roman"/>
          <w:bCs/>
          <w:noProof/>
          <w:color w:val="000000" w:themeColor="text1"/>
          <w:sz w:val="24"/>
        </w:rPr>
        <w:t xml:space="preserve">in market size and structure </w:t>
      </w:r>
      <w:r w:rsidRPr="00475BA9">
        <w:rPr>
          <w:rFonts w:ascii="Times New Roman" w:hAnsi="Times New Roman"/>
          <w:noProof/>
          <w:color w:val="000000" w:themeColor="text1"/>
          <w:sz w:val="24"/>
        </w:rPr>
        <w:t xml:space="preserve">for all product groups to translate these into a full quantitative analysis. </w:t>
      </w:r>
    </w:p>
    <w:p w14:paraId="0C0E124C" w14:textId="37B32F51" w:rsidR="00EC2B83" w:rsidRDefault="00EC2B83" w:rsidP="00DD3B24">
      <w:pPr>
        <w:pStyle w:val="ListParagraph"/>
        <w:numPr>
          <w:ilvl w:val="0"/>
          <w:numId w:val="20"/>
        </w:numPr>
        <w:spacing w:after="120"/>
        <w:jc w:val="both"/>
        <w:rPr>
          <w:bCs/>
          <w:noProof/>
          <w:color w:val="000000" w:themeColor="text1"/>
          <w:sz w:val="24"/>
        </w:rPr>
      </w:pPr>
      <w:r w:rsidRPr="00DB5703">
        <w:rPr>
          <w:noProof/>
          <w:color w:val="000000" w:themeColor="text1"/>
          <w:sz w:val="24"/>
        </w:rPr>
        <w:t xml:space="preserve">A general </w:t>
      </w:r>
      <w:r w:rsidRPr="00DB5703">
        <w:rPr>
          <w:bCs/>
          <w:noProof/>
          <w:color w:val="000000" w:themeColor="text1"/>
          <w:sz w:val="24"/>
        </w:rPr>
        <w:t>lack of granular information on the economic and social impacts of the PLD as it currently stands</w:t>
      </w:r>
      <w:r w:rsidRPr="00DB5703">
        <w:rPr>
          <w:noProof/>
          <w:color w:val="000000" w:themeColor="text1"/>
          <w:sz w:val="24"/>
        </w:rPr>
        <w:t>.</w:t>
      </w:r>
      <w:r w:rsidR="00D73FF0">
        <w:rPr>
          <w:noProof/>
          <w:color w:val="000000" w:themeColor="text1"/>
          <w:sz w:val="24"/>
        </w:rPr>
        <w:t xml:space="preserve"> </w:t>
      </w:r>
      <w:r w:rsidRPr="00475BA9">
        <w:rPr>
          <w:bCs/>
          <w:noProof/>
          <w:color w:val="000000" w:themeColor="text1"/>
          <w:sz w:val="24"/>
        </w:rPr>
        <w:t>Uncertainty as to whether technological innovation and digitalisation will increase the number of product liability legal cases</w:t>
      </w:r>
      <w:r w:rsidR="00DD3B24" w:rsidRPr="00DD3B24">
        <w:rPr>
          <w:bCs/>
          <w:noProof/>
          <w:color w:val="000000" w:themeColor="text1"/>
          <w:sz w:val="24"/>
        </w:rPr>
        <w:t>, as there have been very low numbers of legal cases to date relating to new technologies, software and digital elements</w:t>
      </w:r>
      <w:r>
        <w:rPr>
          <w:bCs/>
          <w:noProof/>
          <w:color w:val="000000" w:themeColor="text1"/>
          <w:sz w:val="24"/>
        </w:rPr>
        <w:t>.</w:t>
      </w:r>
    </w:p>
    <w:p w14:paraId="009FF832" w14:textId="1EEFA56C" w:rsidR="00DB5703" w:rsidRPr="00475BA9" w:rsidRDefault="00DB5703" w:rsidP="00DD3B24">
      <w:pPr>
        <w:pStyle w:val="ListParagraph"/>
        <w:numPr>
          <w:ilvl w:val="0"/>
          <w:numId w:val="20"/>
        </w:numPr>
        <w:spacing w:after="120"/>
        <w:jc w:val="both"/>
        <w:rPr>
          <w:bCs/>
          <w:noProof/>
          <w:color w:val="000000" w:themeColor="text1"/>
          <w:sz w:val="24"/>
        </w:rPr>
      </w:pPr>
      <w:r>
        <w:rPr>
          <w:bCs/>
          <w:noProof/>
          <w:color w:val="000000" w:themeColor="text1"/>
          <w:sz w:val="24"/>
        </w:rPr>
        <w:t xml:space="preserve">Uncertainty about the impact of the ongoing revision of product safety rules on reducing the incidence of defective products and therefore reducing the number of product liability cases. </w:t>
      </w:r>
    </w:p>
    <w:p w14:paraId="2B60B438" w14:textId="733B3757" w:rsidR="00D20FCB" w:rsidRPr="00475BA9" w:rsidRDefault="00D20FCB" w:rsidP="00DD3B24">
      <w:pPr>
        <w:pStyle w:val="ListParagraph"/>
        <w:numPr>
          <w:ilvl w:val="0"/>
          <w:numId w:val="20"/>
        </w:numPr>
        <w:spacing w:after="120"/>
        <w:jc w:val="both"/>
        <w:rPr>
          <w:bCs/>
          <w:noProof/>
          <w:color w:val="000000" w:themeColor="text1"/>
          <w:sz w:val="24"/>
        </w:rPr>
      </w:pPr>
      <w:r>
        <w:rPr>
          <w:bCs/>
          <w:noProof/>
          <w:color w:val="000000" w:themeColor="text1"/>
          <w:sz w:val="24"/>
        </w:rPr>
        <w:t xml:space="preserve">Uncertainty </w:t>
      </w:r>
      <w:r w:rsidR="003C057A">
        <w:rPr>
          <w:bCs/>
          <w:noProof/>
          <w:color w:val="000000" w:themeColor="text1"/>
          <w:sz w:val="24"/>
        </w:rPr>
        <w:t xml:space="preserve">about the impact </w:t>
      </w:r>
      <w:r>
        <w:rPr>
          <w:bCs/>
          <w:noProof/>
          <w:color w:val="000000" w:themeColor="text1"/>
          <w:sz w:val="24"/>
        </w:rPr>
        <w:t xml:space="preserve">of the </w:t>
      </w:r>
      <w:r w:rsidR="003C057A">
        <w:rPr>
          <w:bCs/>
          <w:noProof/>
          <w:color w:val="000000" w:themeColor="text1"/>
          <w:sz w:val="24"/>
        </w:rPr>
        <w:t xml:space="preserve">PLD’s </w:t>
      </w:r>
      <w:r>
        <w:rPr>
          <w:bCs/>
          <w:noProof/>
          <w:color w:val="000000" w:themeColor="text1"/>
          <w:sz w:val="24"/>
        </w:rPr>
        <w:t xml:space="preserve">deterrent effect </w:t>
      </w:r>
      <w:r w:rsidR="003C057A">
        <w:rPr>
          <w:bCs/>
          <w:noProof/>
          <w:color w:val="000000" w:themeColor="text1"/>
          <w:sz w:val="24"/>
        </w:rPr>
        <w:t>(</w:t>
      </w:r>
      <w:r>
        <w:rPr>
          <w:bCs/>
          <w:noProof/>
          <w:color w:val="000000" w:themeColor="text1"/>
          <w:sz w:val="24"/>
        </w:rPr>
        <w:t>which</w:t>
      </w:r>
      <w:r w:rsidRPr="001838A0">
        <w:rPr>
          <w:noProof/>
          <w:sz w:val="24"/>
        </w:rPr>
        <w:t xml:space="preserve"> encourages producers to place only safe products on the market</w:t>
      </w:r>
      <w:r w:rsidR="003C057A">
        <w:rPr>
          <w:noProof/>
          <w:sz w:val="24"/>
        </w:rPr>
        <w:t>) on</w:t>
      </w:r>
      <w:r w:rsidRPr="001838A0">
        <w:rPr>
          <w:noProof/>
          <w:sz w:val="24"/>
        </w:rPr>
        <w:t xml:space="preserve"> reducing the </w:t>
      </w:r>
      <w:r w:rsidR="003C057A">
        <w:rPr>
          <w:noProof/>
          <w:sz w:val="24"/>
        </w:rPr>
        <w:t>incidence of defective products and therefore reducing</w:t>
      </w:r>
      <w:r w:rsidRPr="001838A0">
        <w:rPr>
          <w:noProof/>
          <w:sz w:val="24"/>
        </w:rPr>
        <w:t xml:space="preserve"> the </w:t>
      </w:r>
      <w:r w:rsidR="003C057A">
        <w:rPr>
          <w:noProof/>
          <w:sz w:val="24"/>
        </w:rPr>
        <w:t>number of product liability cases</w:t>
      </w:r>
      <w:r w:rsidR="003C057A" w:rsidRPr="001838A0">
        <w:rPr>
          <w:noProof/>
          <w:sz w:val="24"/>
        </w:rPr>
        <w:t>.</w:t>
      </w:r>
      <w:r w:rsidRPr="001838A0">
        <w:rPr>
          <w:noProof/>
          <w:sz w:val="24"/>
        </w:rPr>
        <w:t xml:space="preserve"> </w:t>
      </w:r>
    </w:p>
    <w:p w14:paraId="12E0B04C" w14:textId="7C586C4A" w:rsidR="00EC2B83" w:rsidRPr="00475BA9" w:rsidRDefault="00EC2B83" w:rsidP="00DD3B24">
      <w:pPr>
        <w:pStyle w:val="ListParagraph"/>
        <w:numPr>
          <w:ilvl w:val="0"/>
          <w:numId w:val="20"/>
        </w:numPr>
        <w:spacing w:after="120"/>
        <w:jc w:val="both"/>
        <w:rPr>
          <w:noProof/>
          <w:color w:val="000000" w:themeColor="text1"/>
          <w:sz w:val="24"/>
        </w:rPr>
      </w:pPr>
      <w:r w:rsidRPr="00475BA9">
        <w:rPr>
          <w:noProof/>
          <w:color w:val="000000" w:themeColor="text1"/>
          <w:sz w:val="24"/>
        </w:rPr>
        <w:t xml:space="preserve">Data on the </w:t>
      </w:r>
      <w:r w:rsidRPr="00475BA9">
        <w:rPr>
          <w:bCs/>
          <w:noProof/>
          <w:color w:val="000000" w:themeColor="text1"/>
          <w:sz w:val="24"/>
        </w:rPr>
        <w:t>number of affected economic operators in the value chain</w:t>
      </w:r>
      <w:r w:rsidRPr="00475BA9">
        <w:rPr>
          <w:noProof/>
          <w:color w:val="000000" w:themeColor="text1"/>
          <w:sz w:val="24"/>
        </w:rPr>
        <w:t xml:space="preserve"> is difficult to generate</w:t>
      </w:r>
      <w:r w:rsidR="00DD3B24" w:rsidRPr="00DD3B24">
        <w:rPr>
          <w:noProof/>
          <w:color w:val="000000" w:themeColor="text1"/>
          <w:sz w:val="24"/>
        </w:rPr>
        <w:t>, as the PLD covers all sectors and all product groups (although some policy packages and measures within these will impact some sectors more than others).</w:t>
      </w:r>
    </w:p>
    <w:p w14:paraId="50D82069" w14:textId="3DBB06B7" w:rsidR="00EC2B83" w:rsidRPr="00DD3B24" w:rsidRDefault="00EC2B83" w:rsidP="00DD3B24">
      <w:pPr>
        <w:pStyle w:val="ListParagraph"/>
        <w:numPr>
          <w:ilvl w:val="0"/>
          <w:numId w:val="20"/>
        </w:numPr>
        <w:spacing w:after="240"/>
        <w:jc w:val="both"/>
        <w:rPr>
          <w:bCs/>
          <w:noProof/>
          <w:color w:val="000000" w:themeColor="text1"/>
          <w:sz w:val="24"/>
        </w:rPr>
      </w:pPr>
      <w:r w:rsidRPr="00475BA9">
        <w:rPr>
          <w:bCs/>
          <w:noProof/>
          <w:color w:val="000000" w:themeColor="text1"/>
          <w:sz w:val="24"/>
        </w:rPr>
        <w:t xml:space="preserve">The costs </w:t>
      </w:r>
      <w:r w:rsidR="0095191A">
        <w:rPr>
          <w:bCs/>
          <w:noProof/>
          <w:color w:val="000000" w:themeColor="text1"/>
          <w:sz w:val="24"/>
        </w:rPr>
        <w:t>for</w:t>
      </w:r>
      <w:r w:rsidRPr="00475BA9">
        <w:rPr>
          <w:bCs/>
          <w:noProof/>
          <w:color w:val="000000" w:themeColor="text1"/>
          <w:sz w:val="24"/>
        </w:rPr>
        <w:t xml:space="preserve"> strict liability </w:t>
      </w:r>
      <w:r w:rsidR="00DD3B24" w:rsidRPr="00DD3B24">
        <w:rPr>
          <w:bCs/>
          <w:noProof/>
          <w:color w:val="000000" w:themeColor="text1"/>
          <w:sz w:val="24"/>
        </w:rPr>
        <w:t xml:space="preserve">for defective products </w:t>
      </w:r>
      <w:r w:rsidRPr="00475BA9">
        <w:rPr>
          <w:bCs/>
          <w:noProof/>
          <w:color w:val="000000" w:themeColor="text1"/>
          <w:sz w:val="24"/>
        </w:rPr>
        <w:t>borne by economic operators can vary significantly</w:t>
      </w:r>
      <w:r w:rsidR="00DD3B24" w:rsidRPr="00DD3B24">
        <w:rPr>
          <w:bCs/>
          <w:noProof/>
          <w:color w:val="000000" w:themeColor="text1"/>
          <w:sz w:val="24"/>
        </w:rPr>
        <w:t>, as the number of compensation claims, the type of damage and the amount of compensation costs vary between sectors and different product types</w:t>
      </w:r>
      <w:r w:rsidR="00DD3B24" w:rsidRPr="00DD3B24">
        <w:rPr>
          <w:rStyle w:val="FootnoteReference"/>
          <w:bCs/>
          <w:noProof/>
          <w:color w:val="000000" w:themeColor="text1"/>
          <w:sz w:val="24"/>
        </w:rPr>
        <w:footnoteReference w:id="276"/>
      </w:r>
      <w:r w:rsidR="00DD3B24" w:rsidRPr="00DD3B24">
        <w:rPr>
          <w:bCs/>
          <w:noProof/>
          <w:color w:val="000000" w:themeColor="text1"/>
          <w:sz w:val="24"/>
        </w:rPr>
        <w:t>.</w:t>
      </w:r>
    </w:p>
    <w:p w14:paraId="2B60C5AF" w14:textId="77777777" w:rsidR="004E796A" w:rsidRDefault="00EC2B83" w:rsidP="00EC2B83">
      <w:pPr>
        <w:spacing w:after="240" w:line="240" w:lineRule="auto"/>
        <w:jc w:val="both"/>
        <w:rPr>
          <w:rFonts w:eastAsia="Times New Roman" w:cs="Times New Roman"/>
          <w:noProof/>
          <w:color w:val="000000" w:themeColor="text1"/>
          <w:sz w:val="24"/>
          <w:szCs w:val="20"/>
        </w:rPr>
      </w:pPr>
      <w:r>
        <w:rPr>
          <w:rFonts w:eastAsia="Times New Roman" w:cs="Times New Roman"/>
          <w:noProof/>
          <w:color w:val="000000" w:themeColor="text1"/>
          <w:sz w:val="24"/>
          <w:szCs w:val="20"/>
        </w:rPr>
        <w:t>Thus,</w:t>
      </w:r>
      <w:r w:rsidRPr="00475BA9">
        <w:rPr>
          <w:rFonts w:eastAsia="Times New Roman" w:cs="Times New Roman"/>
          <w:noProof/>
          <w:color w:val="000000" w:themeColor="text1"/>
          <w:sz w:val="24"/>
          <w:szCs w:val="20"/>
        </w:rPr>
        <w:t xml:space="preserve"> </w:t>
      </w:r>
      <w:r>
        <w:rPr>
          <w:rFonts w:eastAsia="Times New Roman" w:cs="Times New Roman"/>
          <w:noProof/>
          <w:color w:val="000000" w:themeColor="text1"/>
          <w:sz w:val="24"/>
          <w:szCs w:val="20"/>
        </w:rPr>
        <w:t xml:space="preserve">it was not feasible to conduct </w:t>
      </w:r>
      <w:r w:rsidRPr="00475BA9">
        <w:rPr>
          <w:rFonts w:eastAsia="Times New Roman" w:cs="Times New Roman"/>
          <w:noProof/>
          <w:color w:val="000000" w:themeColor="text1"/>
          <w:sz w:val="24"/>
          <w:szCs w:val="20"/>
        </w:rPr>
        <w:t>a comprehensive quanti</w:t>
      </w:r>
      <w:r>
        <w:rPr>
          <w:rFonts w:eastAsia="Times New Roman" w:cs="Times New Roman"/>
          <w:noProof/>
          <w:color w:val="000000" w:themeColor="text1"/>
          <w:sz w:val="24"/>
          <w:szCs w:val="20"/>
        </w:rPr>
        <w:t xml:space="preserve">fication of costs and benefits for </w:t>
      </w:r>
      <w:r w:rsidRPr="00475BA9">
        <w:rPr>
          <w:rFonts w:eastAsia="Times New Roman" w:cs="Times New Roman"/>
          <w:noProof/>
          <w:color w:val="000000" w:themeColor="text1"/>
          <w:sz w:val="24"/>
          <w:szCs w:val="20"/>
        </w:rPr>
        <w:t>the baseline scenario and different policy options</w:t>
      </w:r>
      <w:r>
        <w:rPr>
          <w:rFonts w:eastAsia="Times New Roman" w:cs="Times New Roman"/>
          <w:noProof/>
          <w:color w:val="000000" w:themeColor="text1"/>
          <w:sz w:val="24"/>
          <w:szCs w:val="20"/>
        </w:rPr>
        <w:t>.</w:t>
      </w:r>
      <w:r w:rsidR="00991869">
        <w:rPr>
          <w:rFonts w:eastAsia="Times New Roman" w:cs="Times New Roman"/>
          <w:noProof/>
          <w:color w:val="000000" w:themeColor="text1"/>
          <w:sz w:val="24"/>
          <w:szCs w:val="20"/>
        </w:rPr>
        <w:t xml:space="preserve"> </w:t>
      </w:r>
      <w:r w:rsidR="004E796A">
        <w:rPr>
          <w:rFonts w:eastAsia="Times New Roman" w:cs="Times New Roman"/>
          <w:noProof/>
          <w:color w:val="000000" w:themeColor="text1"/>
          <w:sz w:val="24"/>
          <w:szCs w:val="20"/>
        </w:rPr>
        <w:t xml:space="preserve">The aim of the assessment is to provide </w:t>
      </w:r>
      <w:r w:rsidR="004E796A" w:rsidRPr="00E23538">
        <w:rPr>
          <w:rFonts w:eastAsia="Times New Roman" w:cs="Times New Roman"/>
          <w:noProof/>
          <w:color w:val="000000" w:themeColor="text1"/>
          <w:sz w:val="24"/>
          <w:szCs w:val="20"/>
        </w:rPr>
        <w:t xml:space="preserve">ranges of </w:t>
      </w:r>
      <w:r w:rsidR="004E796A">
        <w:rPr>
          <w:rFonts w:eastAsia="Times New Roman" w:cs="Times New Roman"/>
          <w:noProof/>
          <w:color w:val="000000" w:themeColor="text1"/>
          <w:sz w:val="24"/>
          <w:szCs w:val="20"/>
        </w:rPr>
        <w:t xml:space="preserve">the </w:t>
      </w:r>
      <w:r w:rsidR="004E796A" w:rsidRPr="00E23538">
        <w:rPr>
          <w:rFonts w:eastAsia="Times New Roman" w:cs="Times New Roman"/>
          <w:noProof/>
          <w:color w:val="000000" w:themeColor="text1"/>
          <w:sz w:val="24"/>
          <w:szCs w:val="20"/>
        </w:rPr>
        <w:t xml:space="preserve">magnitude of potential impacts </w:t>
      </w:r>
      <w:r w:rsidR="004E796A">
        <w:rPr>
          <w:rFonts w:eastAsia="Times New Roman" w:cs="Times New Roman"/>
          <w:noProof/>
          <w:color w:val="000000" w:themeColor="text1"/>
          <w:sz w:val="24"/>
          <w:szCs w:val="20"/>
        </w:rPr>
        <w:t xml:space="preserve">generated by each policy option, </w:t>
      </w:r>
      <w:r w:rsidR="004E796A" w:rsidRPr="00E23538">
        <w:rPr>
          <w:rFonts w:eastAsia="Times New Roman" w:cs="Times New Roman"/>
          <w:noProof/>
          <w:color w:val="000000" w:themeColor="text1"/>
          <w:sz w:val="24"/>
          <w:szCs w:val="20"/>
        </w:rPr>
        <w:t>rather than exact monetisation</w:t>
      </w:r>
      <w:r w:rsidR="004E796A">
        <w:rPr>
          <w:rFonts w:eastAsia="Times New Roman" w:cs="Times New Roman"/>
          <w:noProof/>
          <w:color w:val="000000" w:themeColor="text1"/>
          <w:sz w:val="24"/>
          <w:szCs w:val="20"/>
        </w:rPr>
        <w:t xml:space="preserve">. </w:t>
      </w:r>
    </w:p>
    <w:p w14:paraId="60DBD1BB" w14:textId="63BD5825" w:rsidR="00CB6CDE" w:rsidRDefault="004E796A" w:rsidP="00CB6CDE">
      <w:pPr>
        <w:pStyle w:val="BodyText"/>
        <w:spacing w:after="240"/>
        <w:rPr>
          <w:noProof/>
          <w:sz w:val="24"/>
        </w:rPr>
      </w:pPr>
      <w:r>
        <w:rPr>
          <w:noProof/>
          <w:color w:val="000000" w:themeColor="text1"/>
          <w:sz w:val="24"/>
        </w:rPr>
        <w:t xml:space="preserve">The </w:t>
      </w:r>
      <w:r w:rsidRPr="00E23538">
        <w:rPr>
          <w:noProof/>
          <w:color w:val="000000" w:themeColor="text1"/>
          <w:sz w:val="24"/>
        </w:rPr>
        <w:t>quantification</w:t>
      </w:r>
      <w:r>
        <w:rPr>
          <w:noProof/>
          <w:color w:val="000000" w:themeColor="text1"/>
          <w:sz w:val="24"/>
        </w:rPr>
        <w:t>s</w:t>
      </w:r>
      <w:r w:rsidRPr="00E23538">
        <w:rPr>
          <w:noProof/>
          <w:color w:val="000000" w:themeColor="text1"/>
          <w:sz w:val="24"/>
        </w:rPr>
        <w:t xml:space="preserve"> of costs and benefits are based on </w:t>
      </w:r>
      <w:r>
        <w:rPr>
          <w:noProof/>
          <w:color w:val="000000" w:themeColor="text1"/>
          <w:sz w:val="24"/>
        </w:rPr>
        <w:t xml:space="preserve">a </w:t>
      </w:r>
      <w:r w:rsidRPr="00E23538">
        <w:rPr>
          <w:noProof/>
          <w:color w:val="000000" w:themeColor="text1"/>
          <w:sz w:val="24"/>
        </w:rPr>
        <w:t xml:space="preserve">number of assumptions </w:t>
      </w:r>
      <w:r w:rsidRPr="00991869">
        <w:rPr>
          <w:noProof/>
          <w:color w:val="000000" w:themeColor="text1"/>
          <w:sz w:val="24"/>
        </w:rPr>
        <w:t xml:space="preserve">made in the study </w:t>
      </w:r>
      <w:r>
        <w:rPr>
          <w:noProof/>
          <w:color w:val="000000" w:themeColor="text1"/>
          <w:sz w:val="24"/>
        </w:rPr>
        <w:t xml:space="preserve">supporting this </w:t>
      </w:r>
      <w:r w:rsidRPr="00991869">
        <w:rPr>
          <w:noProof/>
          <w:color w:val="000000" w:themeColor="text1"/>
          <w:sz w:val="24"/>
        </w:rPr>
        <w:t xml:space="preserve">IA </w:t>
      </w:r>
      <w:r w:rsidRPr="00E23538">
        <w:rPr>
          <w:noProof/>
          <w:color w:val="000000" w:themeColor="text1"/>
          <w:sz w:val="24"/>
        </w:rPr>
        <w:t xml:space="preserve">coming from stakeholder feedback and </w:t>
      </w:r>
      <w:r w:rsidRPr="00475BA9">
        <w:rPr>
          <w:noProof/>
          <w:color w:val="000000" w:themeColor="text1"/>
          <w:sz w:val="24"/>
        </w:rPr>
        <w:t>evidence gathered through interviews and desk research</w:t>
      </w:r>
      <w:r>
        <w:rPr>
          <w:noProof/>
          <w:color w:val="000000" w:themeColor="text1"/>
          <w:sz w:val="24"/>
        </w:rPr>
        <w:t xml:space="preserve">. </w:t>
      </w:r>
      <w:r w:rsidR="00B85260" w:rsidRPr="00B85260">
        <w:rPr>
          <w:noProof/>
          <w:sz w:val="24"/>
        </w:rPr>
        <w:t>The underlying assumptions were also presented to, and discussed with, a wider group of stakeholders during the study-validation workshop and were not challenged.</w:t>
      </w:r>
    </w:p>
    <w:p w14:paraId="6914E1F4" w14:textId="476B43A9" w:rsidR="004E796A" w:rsidRDefault="004E796A" w:rsidP="00EC2B83">
      <w:pPr>
        <w:spacing w:after="240" w:line="240" w:lineRule="auto"/>
        <w:jc w:val="both"/>
        <w:rPr>
          <w:rFonts w:eastAsia="Times New Roman" w:cs="Times New Roman"/>
          <w:noProof/>
          <w:color w:val="000000" w:themeColor="text1"/>
          <w:sz w:val="24"/>
          <w:szCs w:val="20"/>
        </w:rPr>
      </w:pPr>
      <w:r>
        <w:rPr>
          <w:rFonts w:eastAsia="Times New Roman" w:cs="Times New Roman"/>
          <w:noProof/>
          <w:color w:val="000000" w:themeColor="text1"/>
          <w:sz w:val="24"/>
          <w:szCs w:val="20"/>
        </w:rPr>
        <w:t>The following sections will present the main assumption</w:t>
      </w:r>
      <w:r w:rsidR="007738B5">
        <w:rPr>
          <w:rFonts w:eastAsia="Times New Roman" w:cs="Times New Roman"/>
          <w:noProof/>
          <w:color w:val="000000" w:themeColor="text1"/>
          <w:sz w:val="24"/>
          <w:szCs w:val="20"/>
        </w:rPr>
        <w:t>s of the analysis. F</w:t>
      </w:r>
      <w:r>
        <w:rPr>
          <w:rFonts w:eastAsia="Times New Roman" w:cs="Times New Roman"/>
          <w:noProof/>
          <w:color w:val="000000" w:themeColor="text1"/>
          <w:sz w:val="24"/>
          <w:szCs w:val="20"/>
        </w:rPr>
        <w:t>urther details and comprehensive explanations and justifications can be found in the study accompanying this IA</w:t>
      </w:r>
      <w:r>
        <w:rPr>
          <w:rStyle w:val="FootnoteReference"/>
          <w:noProof/>
          <w:color w:val="000000" w:themeColor="text1"/>
          <w:sz w:val="24"/>
        </w:rPr>
        <w:footnoteReference w:id="277"/>
      </w:r>
      <w:r>
        <w:rPr>
          <w:rFonts w:eastAsia="Times New Roman" w:cs="Times New Roman"/>
          <w:noProof/>
          <w:color w:val="000000" w:themeColor="text1"/>
          <w:sz w:val="24"/>
          <w:szCs w:val="20"/>
        </w:rPr>
        <w:t>.</w:t>
      </w:r>
    </w:p>
    <w:p w14:paraId="588702BF" w14:textId="0CA703A6" w:rsidR="00EC2B83" w:rsidRDefault="002E7937" w:rsidP="002E7937">
      <w:pPr>
        <w:pStyle w:val="Heading1"/>
        <w:rPr>
          <w:noProof/>
        </w:rPr>
      </w:pPr>
      <w:bookmarkStart w:id="990" w:name="_Toc95482017"/>
      <w:bookmarkStart w:id="991" w:name="_Toc96337809"/>
      <w:bookmarkStart w:id="992" w:name="_Toc96446289"/>
      <w:bookmarkStart w:id="993" w:name="_Toc96448061"/>
      <w:bookmarkStart w:id="994" w:name="_Toc96594010"/>
      <w:bookmarkStart w:id="995" w:name="_Toc96597301"/>
      <w:bookmarkStart w:id="996" w:name="_Toc96609236"/>
      <w:bookmarkStart w:id="997" w:name="_Toc97149265"/>
      <w:bookmarkStart w:id="998" w:name="_Toc97191311"/>
      <w:bookmarkStart w:id="999" w:name="_Toc107430121"/>
      <w:bookmarkStart w:id="1000" w:name="_Toc95417402"/>
      <w:bookmarkStart w:id="1001" w:name="_Toc95420475"/>
      <w:r w:rsidRPr="002E7937">
        <w:t>2.</w:t>
      </w:r>
      <w:r w:rsidRPr="002E7937">
        <w:tab/>
      </w:r>
      <w:r w:rsidR="00EC2B83" w:rsidRPr="00827C69">
        <w:rPr>
          <w:noProof/>
        </w:rPr>
        <w:t>Gross value added of industries under the scope of the PLD</w:t>
      </w:r>
      <w:bookmarkEnd w:id="990"/>
      <w:bookmarkEnd w:id="991"/>
      <w:bookmarkEnd w:id="992"/>
      <w:bookmarkEnd w:id="993"/>
      <w:bookmarkEnd w:id="994"/>
      <w:bookmarkEnd w:id="995"/>
      <w:bookmarkEnd w:id="996"/>
      <w:bookmarkEnd w:id="997"/>
      <w:bookmarkEnd w:id="998"/>
      <w:bookmarkEnd w:id="999"/>
      <w:r w:rsidR="00EC2B83" w:rsidRPr="00827C69">
        <w:rPr>
          <w:noProof/>
        </w:rPr>
        <w:t xml:space="preserve"> </w:t>
      </w:r>
    </w:p>
    <w:p w14:paraId="4E814D9A" w14:textId="200C091D" w:rsidR="00EC2B83" w:rsidRPr="00827C69" w:rsidRDefault="00EC2B83" w:rsidP="00EC2B83">
      <w:pPr>
        <w:pStyle w:val="BodyText"/>
        <w:spacing w:after="240"/>
        <w:rPr>
          <w:noProof/>
          <w:sz w:val="24"/>
          <w:lang w:val="en-US"/>
        </w:rPr>
      </w:pPr>
      <w:r w:rsidRPr="00827C69">
        <w:rPr>
          <w:noProof/>
          <w:sz w:val="24"/>
          <w:lang w:val="en-US"/>
        </w:rPr>
        <w:t xml:space="preserve">To approximate the size of the market covered </w:t>
      </w:r>
      <w:r w:rsidR="00D92F02">
        <w:rPr>
          <w:noProof/>
          <w:sz w:val="24"/>
          <w:lang w:val="en-US"/>
        </w:rPr>
        <w:t>with</w:t>
      </w:r>
      <w:r w:rsidRPr="00827C69">
        <w:rPr>
          <w:noProof/>
          <w:sz w:val="24"/>
          <w:lang w:val="en-US"/>
        </w:rPr>
        <w:t xml:space="preserve">in the scope of the </w:t>
      </w:r>
      <w:r w:rsidR="00D92F02">
        <w:rPr>
          <w:noProof/>
          <w:sz w:val="24"/>
          <w:lang w:val="en-US"/>
        </w:rPr>
        <w:t>PLD, data on the G</w:t>
      </w:r>
      <w:r w:rsidRPr="00827C69">
        <w:rPr>
          <w:noProof/>
          <w:sz w:val="24"/>
          <w:lang w:val="en-US"/>
        </w:rPr>
        <w:t xml:space="preserve">ross </w:t>
      </w:r>
      <w:r w:rsidR="00D92F02">
        <w:rPr>
          <w:noProof/>
          <w:sz w:val="24"/>
          <w:lang w:val="en-US"/>
        </w:rPr>
        <w:t>V</w:t>
      </w:r>
      <w:r w:rsidRPr="00827C69">
        <w:rPr>
          <w:noProof/>
          <w:sz w:val="24"/>
          <w:lang w:val="en-US"/>
        </w:rPr>
        <w:t xml:space="preserve">alue </w:t>
      </w:r>
      <w:r w:rsidR="00D92F02">
        <w:rPr>
          <w:noProof/>
          <w:sz w:val="24"/>
          <w:lang w:val="en-US"/>
        </w:rPr>
        <w:t>A</w:t>
      </w:r>
      <w:r w:rsidRPr="00827C69">
        <w:rPr>
          <w:noProof/>
          <w:sz w:val="24"/>
          <w:lang w:val="en-US"/>
        </w:rPr>
        <w:t xml:space="preserve">dded </w:t>
      </w:r>
      <w:r w:rsidR="00F47BF8">
        <w:rPr>
          <w:noProof/>
          <w:sz w:val="24"/>
          <w:lang w:val="en-US"/>
        </w:rPr>
        <w:t xml:space="preserve">(GVA) </w:t>
      </w:r>
      <w:r w:rsidRPr="00827C69">
        <w:rPr>
          <w:noProof/>
          <w:sz w:val="24"/>
          <w:lang w:val="en-US"/>
        </w:rPr>
        <w:t>of a selection of industries has been extracted from Eurostat. Seventeen industries (based on the statistical classification of economic activities in the European Community – NACE Rev. 2) have been included in the query</w:t>
      </w:r>
      <w:r w:rsidRPr="00827C69">
        <w:rPr>
          <w:rStyle w:val="FootnoteReference"/>
          <w:noProof/>
          <w:sz w:val="24"/>
          <w:lang w:val="en-US"/>
        </w:rPr>
        <w:footnoteReference w:id="278"/>
      </w:r>
      <w:r w:rsidRPr="00827C69">
        <w:rPr>
          <w:noProof/>
          <w:sz w:val="24"/>
          <w:lang w:val="en-US"/>
        </w:rPr>
        <w:t>.</w:t>
      </w:r>
    </w:p>
    <w:p w14:paraId="518ADC38" w14:textId="79F4690E" w:rsidR="00EC2B83" w:rsidRDefault="00EC2B83" w:rsidP="00EC2B83">
      <w:pPr>
        <w:pStyle w:val="BodyText"/>
        <w:spacing w:after="240"/>
        <w:rPr>
          <w:noProof/>
          <w:sz w:val="24"/>
        </w:rPr>
      </w:pPr>
      <w:r w:rsidRPr="00827C69">
        <w:rPr>
          <w:noProof/>
          <w:sz w:val="24"/>
        </w:rPr>
        <w:t xml:space="preserve">This approximation of the market size of the industries under the PLD </w:t>
      </w:r>
      <w:r w:rsidRPr="00315A5D">
        <w:rPr>
          <w:noProof/>
          <w:sz w:val="24"/>
        </w:rPr>
        <w:t xml:space="preserve">scope covers almost the entire manufacturing sector as defined in the NACE classification (with the single exclusion of </w:t>
      </w:r>
      <w:r w:rsidRPr="00F47BF8">
        <w:rPr>
          <w:noProof/>
          <w:sz w:val="24"/>
        </w:rPr>
        <w:t xml:space="preserve">C33 – Repair and installation of machinery and equipment). </w:t>
      </w:r>
      <w:r w:rsidR="00F47BF8" w:rsidRPr="00F47BF8">
        <w:rPr>
          <w:noProof/>
          <w:sz w:val="24"/>
        </w:rPr>
        <w:t>Based on this approximation, the total GVA of the industries under the PLD scope amounted to over 2,250 billion EUR in 2019. With GVA of 356 billion EUR, Computer programming, consultancy, and information service activities represent the industry with the largest gross value added (16% of the total)</w:t>
      </w:r>
      <w:r w:rsidR="00F47BF8" w:rsidRPr="00F47BF8">
        <w:rPr>
          <w:rStyle w:val="FootnoteReference"/>
          <w:noProof/>
          <w:sz w:val="24"/>
        </w:rPr>
        <w:footnoteReference w:id="279"/>
      </w:r>
      <w:r w:rsidR="00F47BF8" w:rsidRPr="00F47BF8">
        <w:rPr>
          <w:noProof/>
          <w:sz w:val="24"/>
        </w:rPr>
        <w:t xml:space="preserve"> in the PLD scope, followed by the manufacture of food products, beverages and tobacco products (C10-C12), with 251 billion EUR (11%). </w:t>
      </w:r>
      <w:r w:rsidR="00E20043" w:rsidRPr="00E20043">
        <w:rPr>
          <w:noProof/>
          <w:sz w:val="24"/>
        </w:rPr>
        <w:t>Manufacture of basic pharmaceutical products and pharmaceutical preparations (C21)</w:t>
      </w:r>
      <w:r w:rsidR="00E20043">
        <w:rPr>
          <w:noProof/>
          <w:sz w:val="24"/>
        </w:rPr>
        <w:t xml:space="preserve"> accounts for 4%. </w:t>
      </w:r>
      <w:r w:rsidR="00F47BF8" w:rsidRPr="00F47BF8">
        <w:rPr>
          <w:noProof/>
          <w:sz w:val="24"/>
        </w:rPr>
        <w:t>Sometimes the NACE code classification does not correspond wholly to PLD scope, for instance, software falls within the NACE on computer programming, but consultancy and information services is outside the PLD’s scope.</w:t>
      </w:r>
    </w:p>
    <w:p w14:paraId="4874D31B" w14:textId="1B61A942" w:rsidR="00EC2B83" w:rsidRPr="00C94086" w:rsidRDefault="002E7937" w:rsidP="002E7937">
      <w:pPr>
        <w:pStyle w:val="Heading1"/>
        <w:rPr>
          <w:rFonts w:eastAsia="Calibri"/>
          <w:noProof/>
          <w:szCs w:val="24"/>
          <w:u w:val="single"/>
        </w:rPr>
      </w:pPr>
      <w:bookmarkStart w:id="1002" w:name="_Toc97191312"/>
      <w:bookmarkStart w:id="1003" w:name="_Toc107430122"/>
      <w:bookmarkStart w:id="1004" w:name="_Toc95482018"/>
      <w:bookmarkStart w:id="1005" w:name="_Toc96337810"/>
      <w:bookmarkStart w:id="1006" w:name="_Toc96446290"/>
      <w:bookmarkStart w:id="1007" w:name="_Toc96448062"/>
      <w:bookmarkStart w:id="1008" w:name="_Toc96594011"/>
      <w:bookmarkStart w:id="1009" w:name="_Toc96597302"/>
      <w:bookmarkStart w:id="1010" w:name="_Toc96609237"/>
      <w:bookmarkStart w:id="1011" w:name="_Toc97149266"/>
      <w:r w:rsidRPr="002E7937">
        <w:t>3.</w:t>
      </w:r>
      <w:r w:rsidRPr="002E7937">
        <w:tab/>
      </w:r>
      <w:r w:rsidR="00C94086" w:rsidRPr="00C94086">
        <w:rPr>
          <w:noProof/>
        </w:rPr>
        <w:t xml:space="preserve">Number of </w:t>
      </w:r>
      <w:r w:rsidR="0041508B" w:rsidRPr="00C94086">
        <w:rPr>
          <w:noProof/>
        </w:rPr>
        <w:t xml:space="preserve">legal cases </w:t>
      </w:r>
      <w:r w:rsidR="0041508B">
        <w:rPr>
          <w:noProof/>
        </w:rPr>
        <w:t xml:space="preserve">and </w:t>
      </w:r>
      <w:r w:rsidR="00C94086" w:rsidRPr="00C94086">
        <w:rPr>
          <w:noProof/>
        </w:rPr>
        <w:t xml:space="preserve">compensation claims </w:t>
      </w:r>
      <w:bookmarkEnd w:id="1002"/>
      <w:bookmarkEnd w:id="1003"/>
      <w:bookmarkEnd w:id="1000"/>
      <w:bookmarkEnd w:id="1001"/>
      <w:bookmarkEnd w:id="1004"/>
      <w:bookmarkEnd w:id="1005"/>
      <w:bookmarkEnd w:id="1006"/>
      <w:bookmarkEnd w:id="1007"/>
      <w:bookmarkEnd w:id="1008"/>
      <w:bookmarkEnd w:id="1009"/>
      <w:bookmarkEnd w:id="1010"/>
      <w:bookmarkEnd w:id="1011"/>
    </w:p>
    <w:p w14:paraId="7B3653C2" w14:textId="57350077" w:rsidR="006A33F7" w:rsidRDefault="006A33F7" w:rsidP="00EC2B83">
      <w:pPr>
        <w:pStyle w:val="BodyText"/>
        <w:spacing w:after="240"/>
        <w:rPr>
          <w:rFonts w:eastAsia="Calibri"/>
          <w:noProof/>
          <w:sz w:val="24"/>
          <w:szCs w:val="24"/>
        </w:rPr>
      </w:pPr>
      <w:r>
        <w:rPr>
          <w:rFonts w:eastAsia="Calibri"/>
          <w:noProof/>
          <w:sz w:val="24"/>
          <w:szCs w:val="24"/>
        </w:rPr>
        <w:t>A</w:t>
      </w:r>
      <w:r w:rsidRPr="00841EC5">
        <w:rPr>
          <w:noProof/>
          <w:sz w:val="24"/>
          <w:szCs w:val="24"/>
        </w:rPr>
        <w:t>ccording to the 2018 evaluation study, in the reporting period (2000-2016)</w:t>
      </w:r>
      <w:r w:rsidRPr="002A5804">
        <w:rPr>
          <w:noProof/>
          <w:sz w:val="24"/>
          <w:szCs w:val="24"/>
        </w:rPr>
        <w:t xml:space="preserve">, there were </w:t>
      </w:r>
      <w:r>
        <w:rPr>
          <w:noProof/>
          <w:sz w:val="24"/>
          <w:szCs w:val="24"/>
        </w:rPr>
        <w:t xml:space="preserve">only </w:t>
      </w:r>
      <w:r w:rsidRPr="002A5804">
        <w:rPr>
          <w:noProof/>
          <w:sz w:val="24"/>
          <w:szCs w:val="24"/>
        </w:rPr>
        <w:t xml:space="preserve">798 court cases based on </w:t>
      </w:r>
      <w:r>
        <w:rPr>
          <w:noProof/>
          <w:sz w:val="24"/>
          <w:szCs w:val="24"/>
        </w:rPr>
        <w:t>product liability rules in EU27</w:t>
      </w:r>
      <w:r w:rsidRPr="00841EC5">
        <w:rPr>
          <w:noProof/>
          <w:sz w:val="24"/>
          <w:szCs w:val="24"/>
        </w:rPr>
        <w:t xml:space="preserve">, with </w:t>
      </w:r>
      <w:r>
        <w:rPr>
          <w:noProof/>
          <w:sz w:val="24"/>
          <w:szCs w:val="24"/>
        </w:rPr>
        <w:t>50-</w:t>
      </w:r>
      <w:r w:rsidRPr="00841EC5">
        <w:rPr>
          <w:noProof/>
          <w:sz w:val="24"/>
          <w:szCs w:val="24"/>
        </w:rPr>
        <w:t>60 cases per year</w:t>
      </w:r>
      <w:r w:rsidRPr="00841EC5">
        <w:rPr>
          <w:rFonts w:eastAsia="Calibri"/>
          <w:noProof/>
          <w:sz w:val="24"/>
          <w:szCs w:val="24"/>
        </w:rPr>
        <w:t>.</w:t>
      </w:r>
      <w:r>
        <w:rPr>
          <w:rFonts w:eastAsia="Calibri"/>
          <w:noProof/>
          <w:sz w:val="24"/>
          <w:szCs w:val="24"/>
        </w:rPr>
        <w:t xml:space="preserve"> </w:t>
      </w:r>
      <w:r w:rsidRPr="00827C69">
        <w:rPr>
          <w:rFonts w:eastAsia="Calibri"/>
          <w:noProof/>
          <w:sz w:val="24"/>
          <w:szCs w:val="24"/>
        </w:rPr>
        <w:t xml:space="preserve">Around 60 claims based on product liability rules per years in EU27 as a whole, covering deaths, personal injuries and property damages. </w:t>
      </w:r>
      <w:r w:rsidRPr="000F29FC">
        <w:rPr>
          <w:rFonts w:eastAsia="Calibri"/>
          <w:noProof/>
          <w:sz w:val="24"/>
          <w:szCs w:val="24"/>
        </w:rPr>
        <w:t xml:space="preserve">The </w:t>
      </w:r>
      <w:r>
        <w:rPr>
          <w:rFonts w:eastAsia="Calibri"/>
          <w:noProof/>
          <w:sz w:val="24"/>
          <w:szCs w:val="24"/>
        </w:rPr>
        <w:t xml:space="preserve">evaluation </w:t>
      </w:r>
      <w:r w:rsidRPr="000F29FC">
        <w:rPr>
          <w:rFonts w:eastAsia="Calibri"/>
          <w:noProof/>
          <w:sz w:val="24"/>
          <w:szCs w:val="24"/>
        </w:rPr>
        <w:t xml:space="preserve">study acknowledged that </w:t>
      </w:r>
      <w:r>
        <w:rPr>
          <w:rFonts w:eastAsia="Calibri"/>
          <w:noProof/>
          <w:sz w:val="24"/>
          <w:szCs w:val="24"/>
        </w:rPr>
        <w:t xml:space="preserve">this was </w:t>
      </w:r>
      <w:r w:rsidRPr="000F29FC">
        <w:rPr>
          <w:rFonts w:eastAsia="Calibri"/>
          <w:noProof/>
          <w:sz w:val="24"/>
          <w:szCs w:val="24"/>
        </w:rPr>
        <w:t xml:space="preserve">likely </w:t>
      </w:r>
      <w:r>
        <w:rPr>
          <w:rFonts w:eastAsia="Calibri"/>
          <w:noProof/>
          <w:sz w:val="24"/>
          <w:szCs w:val="24"/>
        </w:rPr>
        <w:t>an underestimate</w:t>
      </w:r>
      <w:r w:rsidRPr="002A5804">
        <w:rPr>
          <w:rStyle w:val="FootnoteReference"/>
          <w:noProof/>
          <w:sz w:val="24"/>
          <w:szCs w:val="24"/>
        </w:rPr>
        <w:footnoteReference w:id="280"/>
      </w:r>
      <w:r w:rsidRPr="000F29FC">
        <w:rPr>
          <w:rFonts w:eastAsia="Calibri"/>
          <w:noProof/>
          <w:sz w:val="24"/>
          <w:szCs w:val="24"/>
        </w:rPr>
        <w:t>.</w:t>
      </w:r>
    </w:p>
    <w:p w14:paraId="52C42FF6" w14:textId="0BFFE184" w:rsidR="00637AF9" w:rsidRDefault="007E554D" w:rsidP="00637AF9">
      <w:pPr>
        <w:spacing w:after="240" w:line="240" w:lineRule="auto"/>
        <w:jc w:val="both"/>
        <w:rPr>
          <w:rFonts w:eastAsia="Times New Roman" w:cs="Times New Roman"/>
          <w:noProof/>
          <w:color w:val="000000" w:themeColor="text1"/>
          <w:sz w:val="24"/>
          <w:szCs w:val="20"/>
        </w:rPr>
      </w:pPr>
      <w:r w:rsidRPr="007E554D">
        <w:rPr>
          <w:rFonts w:eastAsia="Calibri"/>
          <w:noProof/>
          <w:sz w:val="24"/>
          <w:szCs w:val="24"/>
        </w:rPr>
        <w:t xml:space="preserve">Data from selected Member States concerning the number of judgments on EU product liability law published in recent years confirm that the figure of product liability cases in the EU27 per year is considerably higher than </w:t>
      </w:r>
      <w:r>
        <w:rPr>
          <w:rFonts w:eastAsia="Calibri"/>
          <w:noProof/>
          <w:sz w:val="24"/>
          <w:szCs w:val="24"/>
        </w:rPr>
        <w:t xml:space="preserve">was reported in the evaluation study. </w:t>
      </w:r>
      <w:r w:rsidRPr="007E554D">
        <w:rPr>
          <w:rFonts w:eastAsia="Calibri"/>
          <w:noProof/>
          <w:sz w:val="24"/>
          <w:szCs w:val="24"/>
        </w:rPr>
        <w:t>Considering only Austria, France, Germany, the Netherlands and Spain, the number of cases per year between 2018 and 2021 has a range of between 28 and 47</w:t>
      </w:r>
      <w:r>
        <w:rPr>
          <w:rStyle w:val="FootnoteReference"/>
          <w:rFonts w:eastAsia="Calibri"/>
          <w:noProof/>
          <w:sz w:val="24"/>
          <w:szCs w:val="24"/>
        </w:rPr>
        <w:footnoteReference w:id="281"/>
      </w:r>
      <w:r>
        <w:rPr>
          <w:rFonts w:eastAsia="Calibri"/>
          <w:noProof/>
          <w:sz w:val="24"/>
          <w:szCs w:val="24"/>
        </w:rPr>
        <w:t xml:space="preserve">. </w:t>
      </w:r>
      <w:r w:rsidR="00AB2E7E">
        <w:rPr>
          <w:rFonts w:eastAsia="Calibri"/>
          <w:noProof/>
          <w:sz w:val="24"/>
          <w:szCs w:val="24"/>
        </w:rPr>
        <w:t xml:space="preserve">Moreover, </w:t>
      </w:r>
      <w:r w:rsidR="00AB2E7E" w:rsidRPr="00AB2E7E">
        <w:rPr>
          <w:rFonts w:eastAsia="Calibri"/>
          <w:noProof/>
          <w:sz w:val="24"/>
          <w:szCs w:val="24"/>
        </w:rPr>
        <w:t>only the legal database from the Netherlands and Spain can be considered to be sufficiently comprehensive, as</w:t>
      </w:r>
      <w:r w:rsidR="00AB2E7E">
        <w:rPr>
          <w:rFonts w:eastAsia="Calibri"/>
          <w:noProof/>
          <w:sz w:val="24"/>
          <w:szCs w:val="24"/>
        </w:rPr>
        <w:t xml:space="preserve"> they also include </w:t>
      </w:r>
      <w:r w:rsidR="00AB2E7E" w:rsidRPr="00AB2E7E">
        <w:rPr>
          <w:rFonts w:eastAsia="Calibri"/>
          <w:noProof/>
          <w:sz w:val="24"/>
          <w:szCs w:val="24"/>
        </w:rPr>
        <w:t xml:space="preserve">many cases from both </w:t>
      </w:r>
      <w:r w:rsidR="00AB2E7E">
        <w:rPr>
          <w:rFonts w:eastAsia="Calibri"/>
          <w:noProof/>
          <w:sz w:val="24"/>
          <w:szCs w:val="24"/>
        </w:rPr>
        <w:t>low</w:t>
      </w:r>
      <w:r w:rsidR="00C552FE">
        <w:rPr>
          <w:rFonts w:eastAsia="Calibri"/>
          <w:noProof/>
          <w:sz w:val="24"/>
          <w:szCs w:val="24"/>
        </w:rPr>
        <w:t>-</w:t>
      </w:r>
      <w:r w:rsidR="00AB2E7E">
        <w:rPr>
          <w:rFonts w:eastAsia="Calibri"/>
          <w:noProof/>
          <w:sz w:val="24"/>
          <w:szCs w:val="24"/>
        </w:rPr>
        <w:t xml:space="preserve">instance courts </w:t>
      </w:r>
      <w:r w:rsidR="00AB2E7E" w:rsidRPr="00AB2E7E">
        <w:rPr>
          <w:rFonts w:eastAsia="Calibri"/>
          <w:noProof/>
          <w:sz w:val="24"/>
          <w:szCs w:val="24"/>
        </w:rPr>
        <w:t>and high</w:t>
      </w:r>
      <w:r w:rsidR="00C552FE">
        <w:rPr>
          <w:rFonts w:eastAsia="Calibri"/>
          <w:noProof/>
          <w:sz w:val="24"/>
          <w:szCs w:val="24"/>
        </w:rPr>
        <w:t>-</w:t>
      </w:r>
      <w:r w:rsidR="00AB2E7E" w:rsidRPr="00AB2E7E">
        <w:rPr>
          <w:rFonts w:eastAsia="Calibri"/>
          <w:noProof/>
          <w:sz w:val="24"/>
          <w:szCs w:val="24"/>
        </w:rPr>
        <w:t>instance courts</w:t>
      </w:r>
      <w:r w:rsidR="00637AF9">
        <w:rPr>
          <w:rFonts w:eastAsia="Calibri"/>
          <w:noProof/>
          <w:sz w:val="24"/>
          <w:szCs w:val="24"/>
        </w:rPr>
        <w:t>, while l</w:t>
      </w:r>
      <w:r w:rsidR="00C14C37">
        <w:rPr>
          <w:rFonts w:eastAsia="Calibri"/>
          <w:noProof/>
          <w:sz w:val="24"/>
          <w:szCs w:val="24"/>
        </w:rPr>
        <w:t>egal databases from France, Germany and Austria</w:t>
      </w:r>
      <w:r w:rsidR="00AB2E7E" w:rsidRPr="00AB2E7E">
        <w:rPr>
          <w:rFonts w:eastAsia="Calibri"/>
          <w:noProof/>
          <w:sz w:val="24"/>
          <w:szCs w:val="24"/>
        </w:rPr>
        <w:t xml:space="preserve"> tend to reflect </w:t>
      </w:r>
      <w:r w:rsidR="00C552FE">
        <w:rPr>
          <w:rFonts w:eastAsia="Calibri"/>
          <w:noProof/>
          <w:sz w:val="24"/>
          <w:szCs w:val="24"/>
        </w:rPr>
        <w:t>only</w:t>
      </w:r>
      <w:r w:rsidR="00AB2E7E" w:rsidRPr="00AB2E7E">
        <w:rPr>
          <w:rFonts w:eastAsia="Calibri"/>
          <w:noProof/>
          <w:sz w:val="24"/>
          <w:szCs w:val="24"/>
        </w:rPr>
        <w:t xml:space="preserve"> higher</w:t>
      </w:r>
      <w:r w:rsidR="00C552FE">
        <w:rPr>
          <w:rFonts w:eastAsia="Calibri"/>
          <w:noProof/>
          <w:sz w:val="24"/>
          <w:szCs w:val="24"/>
        </w:rPr>
        <w:t>-</w:t>
      </w:r>
      <w:r w:rsidR="00AB2E7E" w:rsidRPr="00AB2E7E">
        <w:rPr>
          <w:rFonts w:eastAsia="Calibri"/>
          <w:noProof/>
          <w:sz w:val="24"/>
          <w:szCs w:val="24"/>
        </w:rPr>
        <w:t xml:space="preserve">level court </w:t>
      </w:r>
      <w:r w:rsidR="00AB2E7E" w:rsidRPr="00C14C37">
        <w:rPr>
          <w:rFonts w:eastAsia="Calibri"/>
          <w:noProof/>
          <w:sz w:val="24"/>
          <w:szCs w:val="24"/>
        </w:rPr>
        <w:t>judgements</w:t>
      </w:r>
      <w:r w:rsidR="00AB2E7E" w:rsidRPr="00C14C37">
        <w:rPr>
          <w:noProof/>
          <w:sz w:val="24"/>
          <w:szCs w:val="24"/>
          <w:vertAlign w:val="superscript"/>
          <w:lang w:eastAsia="fr-BE"/>
        </w:rPr>
        <w:footnoteReference w:id="282"/>
      </w:r>
      <w:r w:rsidR="00AB2E7E" w:rsidRPr="00C14C37">
        <w:rPr>
          <w:rFonts w:eastAsia="Calibri"/>
          <w:noProof/>
          <w:sz w:val="24"/>
          <w:szCs w:val="24"/>
        </w:rPr>
        <w:t>.</w:t>
      </w:r>
      <w:r w:rsidR="00C14C37" w:rsidRPr="00C14C37">
        <w:rPr>
          <w:rFonts w:eastAsia="Calibri"/>
          <w:noProof/>
          <w:sz w:val="24"/>
          <w:szCs w:val="24"/>
        </w:rPr>
        <w:t xml:space="preserve"> </w:t>
      </w:r>
      <w:r w:rsidR="00C14C37">
        <w:rPr>
          <w:rFonts w:eastAsia="Calibri"/>
          <w:noProof/>
          <w:sz w:val="24"/>
          <w:szCs w:val="24"/>
        </w:rPr>
        <w:t xml:space="preserve">To make use of </w:t>
      </w:r>
      <w:r w:rsidR="00C14C37" w:rsidRPr="00C14C37">
        <w:rPr>
          <w:rFonts w:eastAsia="Calibri"/>
          <w:noProof/>
          <w:sz w:val="24"/>
          <w:szCs w:val="24"/>
        </w:rPr>
        <w:t xml:space="preserve">data from </w:t>
      </w:r>
      <w:r w:rsidR="00637AF9">
        <w:rPr>
          <w:rFonts w:eastAsia="Calibri"/>
          <w:noProof/>
          <w:sz w:val="24"/>
          <w:szCs w:val="24"/>
        </w:rPr>
        <w:t>these three M</w:t>
      </w:r>
      <w:r w:rsidR="00C552FE">
        <w:rPr>
          <w:rFonts w:eastAsia="Calibri"/>
          <w:noProof/>
          <w:sz w:val="24"/>
          <w:szCs w:val="24"/>
        </w:rPr>
        <w:t xml:space="preserve">ember </w:t>
      </w:r>
      <w:r w:rsidR="00637AF9">
        <w:rPr>
          <w:rFonts w:eastAsia="Calibri"/>
          <w:noProof/>
          <w:sz w:val="24"/>
          <w:szCs w:val="24"/>
        </w:rPr>
        <w:t>S</w:t>
      </w:r>
      <w:r w:rsidR="00C552FE">
        <w:rPr>
          <w:rFonts w:eastAsia="Calibri"/>
          <w:noProof/>
          <w:sz w:val="24"/>
          <w:szCs w:val="24"/>
        </w:rPr>
        <w:t>tate</w:t>
      </w:r>
      <w:r w:rsidR="00637AF9">
        <w:rPr>
          <w:rFonts w:eastAsia="Calibri"/>
          <w:noProof/>
          <w:sz w:val="24"/>
          <w:szCs w:val="24"/>
        </w:rPr>
        <w:t>s</w:t>
      </w:r>
      <w:r w:rsidR="00C14C37" w:rsidRPr="00C14C37">
        <w:rPr>
          <w:rFonts w:eastAsia="Calibri"/>
          <w:noProof/>
          <w:sz w:val="24"/>
          <w:szCs w:val="24"/>
        </w:rPr>
        <w:t>,</w:t>
      </w:r>
      <w:r w:rsidR="00C14C37">
        <w:rPr>
          <w:rFonts w:eastAsia="Calibri"/>
          <w:noProof/>
          <w:sz w:val="24"/>
          <w:szCs w:val="24"/>
        </w:rPr>
        <w:t xml:space="preserve"> </w:t>
      </w:r>
      <w:r w:rsidR="00C14C37" w:rsidRPr="00C14C37">
        <w:rPr>
          <w:rFonts w:eastAsia="Calibri"/>
          <w:noProof/>
          <w:sz w:val="24"/>
          <w:szCs w:val="24"/>
        </w:rPr>
        <w:t xml:space="preserve">the results of the respective </w:t>
      </w:r>
      <w:r w:rsidR="00C14C37" w:rsidRPr="0092643F">
        <w:rPr>
          <w:rFonts w:eastAsia="Calibri"/>
          <w:noProof/>
          <w:sz w:val="24"/>
          <w:szCs w:val="24"/>
        </w:rPr>
        <w:t xml:space="preserve">database extractions </w:t>
      </w:r>
      <w:r w:rsidR="00637AF9">
        <w:rPr>
          <w:rFonts w:eastAsia="Calibri"/>
          <w:noProof/>
          <w:sz w:val="24"/>
          <w:szCs w:val="24"/>
        </w:rPr>
        <w:t>have been scaled up to estimate a total number of both low</w:t>
      </w:r>
      <w:r w:rsidR="00C552FE">
        <w:rPr>
          <w:rFonts w:eastAsia="Calibri"/>
          <w:noProof/>
          <w:sz w:val="24"/>
          <w:szCs w:val="24"/>
        </w:rPr>
        <w:t>-</w:t>
      </w:r>
      <w:r w:rsidR="00637AF9">
        <w:rPr>
          <w:rFonts w:eastAsia="Calibri"/>
          <w:noProof/>
          <w:sz w:val="24"/>
          <w:szCs w:val="24"/>
        </w:rPr>
        <w:t>instance and high</w:t>
      </w:r>
      <w:r w:rsidR="00C552FE">
        <w:rPr>
          <w:rFonts w:eastAsia="Calibri"/>
          <w:noProof/>
          <w:sz w:val="24"/>
          <w:szCs w:val="24"/>
        </w:rPr>
        <w:t>-</w:t>
      </w:r>
      <w:r w:rsidR="00637AF9">
        <w:rPr>
          <w:rFonts w:eastAsia="Calibri"/>
          <w:noProof/>
          <w:sz w:val="24"/>
          <w:szCs w:val="24"/>
        </w:rPr>
        <w:t>instance court cases</w:t>
      </w:r>
      <w:r w:rsidR="00637AF9">
        <w:rPr>
          <w:rStyle w:val="FootnoteReference"/>
          <w:rFonts w:eastAsia="Calibri"/>
          <w:noProof/>
          <w:sz w:val="24"/>
          <w:szCs w:val="24"/>
        </w:rPr>
        <w:footnoteReference w:id="283"/>
      </w:r>
      <w:r w:rsidR="00637AF9">
        <w:rPr>
          <w:rFonts w:eastAsia="Calibri"/>
          <w:noProof/>
          <w:sz w:val="24"/>
          <w:szCs w:val="24"/>
        </w:rPr>
        <w:t xml:space="preserve">. </w:t>
      </w:r>
    </w:p>
    <w:p w14:paraId="7430B796" w14:textId="3FD954AB" w:rsidR="0092643F" w:rsidRPr="0092643F" w:rsidRDefault="0092643F" w:rsidP="0092643F">
      <w:pPr>
        <w:pStyle w:val="BodyText"/>
        <w:rPr>
          <w:rFonts w:eastAsia="Calibri"/>
          <w:noProof/>
          <w:sz w:val="24"/>
          <w:szCs w:val="24"/>
        </w:rPr>
      </w:pPr>
      <w:r w:rsidRPr="0092643F">
        <w:rPr>
          <w:rFonts w:eastAsia="Calibri"/>
          <w:noProof/>
          <w:sz w:val="24"/>
          <w:szCs w:val="24"/>
        </w:rPr>
        <w:t xml:space="preserve">To scale up the number of cases to the EU27 level, the population size has been used as a proxy. While it </w:t>
      </w:r>
      <w:r w:rsidR="00C552FE">
        <w:rPr>
          <w:rFonts w:eastAsia="Calibri"/>
          <w:noProof/>
          <w:sz w:val="24"/>
          <w:szCs w:val="24"/>
        </w:rPr>
        <w:t xml:space="preserve">is </w:t>
      </w:r>
      <w:r w:rsidRPr="0092643F">
        <w:rPr>
          <w:rFonts w:eastAsia="Calibri"/>
          <w:noProof/>
          <w:sz w:val="24"/>
          <w:szCs w:val="24"/>
        </w:rPr>
        <w:t xml:space="preserve">recognised that there are also other relevant factors that influence the number of cases in each country (such as differences in national legal systems, the national transposition of the Directive, and the availability of alternative </w:t>
      </w:r>
      <w:r w:rsidR="00C552FE">
        <w:rPr>
          <w:rFonts w:eastAsia="Calibri"/>
          <w:noProof/>
          <w:sz w:val="24"/>
          <w:szCs w:val="24"/>
        </w:rPr>
        <w:t xml:space="preserve">routes to compensation in </w:t>
      </w:r>
      <w:r w:rsidRPr="0092643F">
        <w:rPr>
          <w:rFonts w:eastAsia="Calibri"/>
          <w:noProof/>
          <w:sz w:val="24"/>
          <w:szCs w:val="24"/>
        </w:rPr>
        <w:t>national tort law</w:t>
      </w:r>
      <w:r w:rsidRPr="0092643F">
        <w:rPr>
          <w:rStyle w:val="FootnoteReference"/>
          <w:rFonts w:eastAsia="Calibri"/>
          <w:noProof/>
          <w:sz w:val="24"/>
          <w:szCs w:val="24"/>
        </w:rPr>
        <w:footnoteReference w:id="284"/>
      </w:r>
      <w:r w:rsidRPr="0092643F">
        <w:rPr>
          <w:rFonts w:eastAsia="Calibri"/>
          <w:noProof/>
          <w:sz w:val="24"/>
          <w:szCs w:val="24"/>
        </w:rPr>
        <w:t xml:space="preserve">), population size is a variable that has an indirect influence on the number of cases. Moreover, cross-checking the data provided in the 2018 evaluation reveals that, in aggregated terms, population size </w:t>
      </w:r>
      <w:r w:rsidR="00C552FE">
        <w:rPr>
          <w:rFonts w:eastAsia="Calibri"/>
          <w:noProof/>
          <w:sz w:val="24"/>
          <w:szCs w:val="24"/>
        </w:rPr>
        <w:t>is</w:t>
      </w:r>
      <w:r w:rsidRPr="0092643F">
        <w:rPr>
          <w:rFonts w:eastAsia="Calibri"/>
          <w:noProof/>
          <w:sz w:val="24"/>
          <w:szCs w:val="24"/>
        </w:rPr>
        <w:t xml:space="preserve"> a relatively </w:t>
      </w:r>
      <w:r w:rsidR="00C552FE">
        <w:rPr>
          <w:rFonts w:eastAsia="Calibri"/>
          <w:noProof/>
          <w:sz w:val="24"/>
          <w:szCs w:val="24"/>
        </w:rPr>
        <w:t>reliable</w:t>
      </w:r>
      <w:r w:rsidRPr="0092643F">
        <w:rPr>
          <w:rFonts w:eastAsia="Calibri"/>
          <w:noProof/>
          <w:sz w:val="24"/>
          <w:szCs w:val="24"/>
        </w:rPr>
        <w:t xml:space="preserve"> proxy. </w:t>
      </w:r>
    </w:p>
    <w:p w14:paraId="61BA5F47" w14:textId="6A46CE0C" w:rsidR="00EC2B83" w:rsidRPr="00623B91" w:rsidRDefault="00EC2B83" w:rsidP="00EC2B83">
      <w:pPr>
        <w:spacing w:after="240" w:line="240" w:lineRule="auto"/>
        <w:jc w:val="both"/>
        <w:rPr>
          <w:rFonts w:cs="Times New Roman"/>
          <w:noProof/>
          <w:sz w:val="24"/>
          <w:szCs w:val="24"/>
          <w:lang w:eastAsia="fr-BE"/>
        </w:rPr>
      </w:pPr>
      <w:r w:rsidRPr="00827C69">
        <w:rPr>
          <w:rFonts w:cs="Times New Roman"/>
          <w:noProof/>
          <w:sz w:val="24"/>
          <w:szCs w:val="24"/>
          <w:lang w:eastAsia="fr-BE"/>
        </w:rPr>
        <w:t xml:space="preserve">The corresponding </w:t>
      </w:r>
      <w:r w:rsidRPr="00041CEE">
        <w:rPr>
          <w:rFonts w:cs="Times New Roman"/>
          <w:b/>
          <w:noProof/>
          <w:sz w:val="24"/>
          <w:szCs w:val="24"/>
          <w:lang w:eastAsia="fr-BE"/>
        </w:rPr>
        <w:t xml:space="preserve">annual number of court cases at EU27 level can then be estimated in the range between </w:t>
      </w:r>
      <w:r w:rsidR="00C645E4">
        <w:rPr>
          <w:rFonts w:cs="Times New Roman"/>
          <w:b/>
          <w:noProof/>
          <w:sz w:val="24"/>
          <w:szCs w:val="24"/>
          <w:lang w:eastAsia="fr-BE"/>
        </w:rPr>
        <w:t>209 and 452</w:t>
      </w:r>
      <w:r w:rsidR="006A33F7" w:rsidRPr="006A33F7">
        <w:rPr>
          <w:rStyle w:val="FootnoteReference"/>
          <w:noProof/>
          <w:sz w:val="24"/>
          <w:szCs w:val="24"/>
          <w:lang w:eastAsia="fr-BE"/>
        </w:rPr>
        <w:footnoteReference w:id="285"/>
      </w:r>
      <w:r w:rsidRPr="006A33F7">
        <w:rPr>
          <w:rFonts w:cs="Times New Roman"/>
          <w:noProof/>
          <w:sz w:val="24"/>
          <w:szCs w:val="24"/>
          <w:lang w:eastAsia="fr-BE"/>
        </w:rPr>
        <w:t>.</w:t>
      </w:r>
      <w:r w:rsidRPr="00827C69">
        <w:rPr>
          <w:rFonts w:cs="Times New Roman"/>
          <w:noProof/>
          <w:sz w:val="24"/>
          <w:szCs w:val="24"/>
          <w:lang w:eastAsia="fr-BE"/>
        </w:rPr>
        <w:t xml:space="preserve"> Despite the considerable differences in legal and dispute culture and court systems across EU27 Member States, this range seems consistent with the upwards trend observed in the </w:t>
      </w:r>
      <w:r w:rsidRPr="00623B91">
        <w:rPr>
          <w:rFonts w:cs="Times New Roman"/>
          <w:noProof/>
          <w:sz w:val="24"/>
          <w:szCs w:val="24"/>
          <w:lang w:eastAsia="fr-BE"/>
        </w:rPr>
        <w:t>2018 evaluation.</w:t>
      </w:r>
    </w:p>
    <w:p w14:paraId="3A68F746" w14:textId="3C99049B" w:rsidR="006A33F7" w:rsidRPr="00623B91" w:rsidRDefault="006A33F7" w:rsidP="006A33F7">
      <w:pPr>
        <w:spacing w:after="240" w:line="240" w:lineRule="auto"/>
        <w:jc w:val="both"/>
        <w:rPr>
          <w:rFonts w:cs="Times New Roman"/>
          <w:noProof/>
          <w:sz w:val="24"/>
          <w:szCs w:val="24"/>
          <w:lang w:eastAsia="fr-BE"/>
        </w:rPr>
      </w:pPr>
      <w:bookmarkStart w:id="1012" w:name="_Hlk96434767"/>
      <w:r w:rsidRPr="00623B91">
        <w:rPr>
          <w:rFonts w:cs="Times New Roman"/>
          <w:noProof/>
          <w:sz w:val="24"/>
          <w:szCs w:val="24"/>
          <w:lang w:eastAsia="fr-BE"/>
        </w:rPr>
        <w:t xml:space="preserve">For the purpose of cost </w:t>
      </w:r>
      <w:r w:rsidRPr="00404B5C">
        <w:rPr>
          <w:rFonts w:cs="Times New Roman"/>
          <w:noProof/>
          <w:sz w:val="24"/>
          <w:szCs w:val="24"/>
          <w:lang w:eastAsia="fr-BE"/>
        </w:rPr>
        <w:t xml:space="preserve">quantification, </w:t>
      </w:r>
      <w:r w:rsidR="00B2779A" w:rsidRPr="00404B5C">
        <w:rPr>
          <w:noProof/>
          <w:sz w:val="24"/>
          <w:szCs w:val="24"/>
        </w:rPr>
        <w:t xml:space="preserve">independent experts considered </w:t>
      </w:r>
      <w:r w:rsidRPr="00404B5C">
        <w:rPr>
          <w:rFonts w:cs="Times New Roman"/>
          <w:noProof/>
          <w:sz w:val="24"/>
          <w:szCs w:val="24"/>
          <w:lang w:eastAsia="fr-BE"/>
        </w:rPr>
        <w:t>20</w:t>
      </w:r>
      <w:r w:rsidRPr="00623B91">
        <w:rPr>
          <w:rFonts w:cs="Times New Roman"/>
          <w:noProof/>
          <w:sz w:val="24"/>
          <w:szCs w:val="24"/>
          <w:lang w:eastAsia="fr-BE"/>
        </w:rPr>
        <w:t>% of annual legal cases under the PLD to be related to deaths; 40% related to personal injuries; 40% related to property damage.</w:t>
      </w:r>
      <w:bookmarkEnd w:id="1012"/>
      <w:r w:rsidRPr="00623B91">
        <w:rPr>
          <w:rFonts w:cs="Times New Roman"/>
          <w:noProof/>
          <w:sz w:val="24"/>
          <w:szCs w:val="24"/>
          <w:lang w:eastAsia="fr-BE"/>
        </w:rPr>
        <w:t xml:space="preserve"> Whilst it was not possible to obtain disaggregated data based on the 2018 evaluation, this has been estimated based on desk research and interview feedback</w:t>
      </w:r>
      <w:r w:rsidRPr="00623B91">
        <w:rPr>
          <w:rStyle w:val="FootnoteReference"/>
          <w:noProof/>
          <w:sz w:val="24"/>
          <w:szCs w:val="24"/>
          <w:lang w:eastAsia="fr-BE"/>
        </w:rPr>
        <w:footnoteReference w:id="286"/>
      </w:r>
      <w:r w:rsidRPr="00623B91">
        <w:rPr>
          <w:rFonts w:cs="Times New Roman"/>
          <w:noProof/>
          <w:sz w:val="24"/>
          <w:szCs w:val="24"/>
          <w:lang w:eastAsia="fr-BE"/>
        </w:rPr>
        <w:t xml:space="preserve">. </w:t>
      </w:r>
    </w:p>
    <w:p w14:paraId="54F59F4F" w14:textId="1B3E6B2D" w:rsidR="00596D52" w:rsidRDefault="00623B91" w:rsidP="00623B91">
      <w:pPr>
        <w:pStyle w:val="BodyText"/>
        <w:spacing w:after="240"/>
        <w:rPr>
          <w:noProof/>
          <w:sz w:val="24"/>
          <w:szCs w:val="24"/>
          <w:lang w:eastAsia="fr-BE"/>
        </w:rPr>
      </w:pPr>
      <w:r w:rsidRPr="00623B91">
        <w:rPr>
          <w:noProof/>
          <w:sz w:val="24"/>
          <w:szCs w:val="24"/>
          <w:lang w:eastAsia="fr-BE"/>
        </w:rPr>
        <w:t>The</w:t>
      </w:r>
      <w:r>
        <w:rPr>
          <w:noProof/>
          <w:sz w:val="24"/>
          <w:szCs w:val="24"/>
          <w:lang w:eastAsia="fr-BE"/>
        </w:rPr>
        <w:t xml:space="preserve"> </w:t>
      </w:r>
      <w:r w:rsidR="00B2779A">
        <w:rPr>
          <w:noProof/>
          <w:sz w:val="24"/>
          <w:szCs w:val="24"/>
          <w:lang w:eastAsia="fr-BE"/>
        </w:rPr>
        <w:t xml:space="preserve">evaluation </w:t>
      </w:r>
      <w:r>
        <w:rPr>
          <w:noProof/>
          <w:sz w:val="24"/>
          <w:szCs w:val="24"/>
          <w:lang w:eastAsia="fr-BE"/>
        </w:rPr>
        <w:t xml:space="preserve">study </w:t>
      </w:r>
      <w:r w:rsidR="00EC2B83" w:rsidRPr="00827C69">
        <w:rPr>
          <w:noProof/>
          <w:sz w:val="24"/>
          <w:szCs w:val="24"/>
          <w:lang w:eastAsia="fr-BE"/>
        </w:rPr>
        <w:t xml:space="preserve">also </w:t>
      </w:r>
      <w:r w:rsidR="00C552FE">
        <w:rPr>
          <w:noProof/>
          <w:sz w:val="24"/>
          <w:szCs w:val="24"/>
          <w:lang w:eastAsia="fr-BE"/>
        </w:rPr>
        <w:t xml:space="preserve">found </w:t>
      </w:r>
      <w:r w:rsidR="00EC2B83" w:rsidRPr="00827C69">
        <w:rPr>
          <w:noProof/>
          <w:sz w:val="24"/>
          <w:szCs w:val="24"/>
          <w:lang w:eastAsia="fr-BE"/>
        </w:rPr>
        <w:t>that, for the 2000-2016 period, most liability claims were settled out of court, with 46% settled in direct negotiation, 32% in court, 15% through alternative dispute settlement mechanisms and a residual 7% solved through other means, such as the insurance of the responsible party</w:t>
      </w:r>
      <w:r>
        <w:rPr>
          <w:rStyle w:val="FootnoteReference"/>
          <w:noProof/>
          <w:sz w:val="24"/>
          <w:szCs w:val="24"/>
          <w:lang w:eastAsia="fr-BE"/>
        </w:rPr>
        <w:footnoteReference w:id="287"/>
      </w:r>
      <w:r w:rsidR="00EC2B83" w:rsidRPr="00827C69">
        <w:rPr>
          <w:noProof/>
          <w:sz w:val="24"/>
          <w:szCs w:val="24"/>
          <w:lang w:eastAsia="fr-BE"/>
        </w:rPr>
        <w:t xml:space="preserve">. </w:t>
      </w:r>
      <w:r w:rsidR="00596D52">
        <w:rPr>
          <w:noProof/>
          <w:sz w:val="24"/>
          <w:szCs w:val="24"/>
          <w:lang w:eastAsia="fr-BE"/>
        </w:rPr>
        <w:t>In other words,</w:t>
      </w:r>
      <w:r w:rsidR="00EC2B83" w:rsidRPr="00827C69">
        <w:rPr>
          <w:noProof/>
          <w:sz w:val="24"/>
          <w:szCs w:val="24"/>
          <w:lang w:eastAsia="fr-BE"/>
        </w:rPr>
        <w:t xml:space="preserve"> court cases </w:t>
      </w:r>
      <w:r w:rsidR="00C552FE">
        <w:rPr>
          <w:noProof/>
          <w:sz w:val="24"/>
          <w:szCs w:val="24"/>
          <w:lang w:eastAsia="fr-BE"/>
        </w:rPr>
        <w:t>were assumed to</w:t>
      </w:r>
      <w:r w:rsidR="00C552FE" w:rsidRPr="00827C69">
        <w:rPr>
          <w:noProof/>
          <w:sz w:val="24"/>
          <w:szCs w:val="24"/>
          <w:lang w:eastAsia="fr-BE"/>
        </w:rPr>
        <w:t xml:space="preserve"> </w:t>
      </w:r>
      <w:r w:rsidR="00EC2B83" w:rsidRPr="00827C69">
        <w:rPr>
          <w:noProof/>
          <w:sz w:val="24"/>
          <w:szCs w:val="24"/>
          <w:lang w:eastAsia="fr-BE"/>
        </w:rPr>
        <w:t xml:space="preserve">represent only one third of the total compensation claims based on product liability rules. </w:t>
      </w:r>
    </w:p>
    <w:p w14:paraId="45E60C19" w14:textId="57A85245" w:rsidR="00EC2B83" w:rsidRPr="00D74E4A" w:rsidRDefault="00596D52" w:rsidP="00623B91">
      <w:pPr>
        <w:pStyle w:val="BodyText"/>
        <w:spacing w:after="240"/>
        <w:rPr>
          <w:noProof/>
          <w:sz w:val="24"/>
          <w:szCs w:val="24"/>
          <w:lang w:eastAsia="fr-BE"/>
        </w:rPr>
      </w:pPr>
      <w:r>
        <w:rPr>
          <w:noProof/>
          <w:sz w:val="24"/>
          <w:szCs w:val="24"/>
          <w:lang w:eastAsia="fr-BE"/>
        </w:rPr>
        <w:t xml:space="preserve">The IA study checked this assumption with </w:t>
      </w:r>
      <w:r w:rsidR="00EC2B83" w:rsidRPr="00827C69">
        <w:rPr>
          <w:noProof/>
          <w:sz w:val="24"/>
          <w:szCs w:val="24"/>
          <w:lang w:eastAsia="fr-BE"/>
        </w:rPr>
        <w:t>industry associations and product liability lawyers</w:t>
      </w:r>
      <w:r w:rsidR="00C552FE">
        <w:rPr>
          <w:noProof/>
          <w:sz w:val="24"/>
          <w:szCs w:val="24"/>
          <w:lang w:eastAsia="fr-BE"/>
        </w:rPr>
        <w:t>, however,</w:t>
      </w:r>
      <w:r w:rsidR="00EC2B83" w:rsidRPr="00827C69">
        <w:rPr>
          <w:noProof/>
          <w:sz w:val="24"/>
          <w:szCs w:val="24"/>
          <w:lang w:eastAsia="fr-BE"/>
        </w:rPr>
        <w:t xml:space="preserve"> </w:t>
      </w:r>
      <w:r>
        <w:rPr>
          <w:noProof/>
          <w:sz w:val="24"/>
          <w:szCs w:val="24"/>
          <w:lang w:eastAsia="fr-BE"/>
        </w:rPr>
        <w:t>and found</w:t>
      </w:r>
      <w:r w:rsidR="00EC2B83" w:rsidRPr="00827C69">
        <w:rPr>
          <w:noProof/>
          <w:sz w:val="24"/>
          <w:szCs w:val="24"/>
          <w:lang w:eastAsia="fr-BE"/>
        </w:rPr>
        <w:t xml:space="preserve"> that there may be as many as </w:t>
      </w:r>
      <w:r w:rsidR="00E16AC0">
        <w:rPr>
          <w:noProof/>
          <w:sz w:val="24"/>
          <w:szCs w:val="24"/>
          <w:lang w:eastAsia="fr-BE"/>
        </w:rPr>
        <w:t>6</w:t>
      </w:r>
      <w:r w:rsidR="00C27E98">
        <w:rPr>
          <w:noProof/>
          <w:sz w:val="24"/>
          <w:szCs w:val="24"/>
          <w:lang w:eastAsia="fr-BE"/>
        </w:rPr>
        <w:t>-7</w:t>
      </w:r>
      <w:r w:rsidR="00EC2B83" w:rsidRPr="00827C69">
        <w:rPr>
          <w:noProof/>
          <w:sz w:val="24"/>
          <w:szCs w:val="24"/>
          <w:lang w:eastAsia="fr-BE"/>
        </w:rPr>
        <w:t xml:space="preserve"> times the number of cases settled out-of-court compared with cases that actually go to court.</w:t>
      </w:r>
      <w:r w:rsidR="00EC2B83" w:rsidRPr="00827C69">
        <w:rPr>
          <w:rStyle w:val="FootnoteReference"/>
          <w:noProof/>
          <w:sz w:val="24"/>
          <w:szCs w:val="24"/>
          <w:lang w:eastAsia="fr-BE"/>
        </w:rPr>
        <w:footnoteReference w:id="288"/>
      </w:r>
      <w:r w:rsidR="00C27E98">
        <w:rPr>
          <w:noProof/>
          <w:sz w:val="24"/>
          <w:szCs w:val="24"/>
          <w:lang w:eastAsia="fr-BE"/>
        </w:rPr>
        <w:t xml:space="preserve"> This is because it is very costly to go through a court case, and from a producer perspective, as the PLD is based on strict liability, there is a high risk they could lose the case given they are liable regardless of fault</w:t>
      </w:r>
      <w:r w:rsidR="00C27E98" w:rsidRPr="00D74E4A">
        <w:rPr>
          <w:noProof/>
          <w:sz w:val="24"/>
          <w:szCs w:val="24"/>
          <w:lang w:eastAsia="fr-BE"/>
        </w:rPr>
        <w:t xml:space="preserve">. </w:t>
      </w:r>
      <w:r w:rsidR="00D74E4A" w:rsidRPr="00D74E4A">
        <w:rPr>
          <w:noProof/>
          <w:sz w:val="24"/>
          <w:szCs w:val="24"/>
          <w:lang w:eastAsia="fr-BE"/>
        </w:rPr>
        <w:t>The number of compensation claims ending up in a court case depends on national legal systems and the existence of alternative mechanisms to reach a settlement, namely through direct contact between producers and claimants and the role of Alternative Dispute Resolution (ADR).</w:t>
      </w:r>
      <w:r w:rsidR="00402CDB">
        <w:rPr>
          <w:noProof/>
          <w:sz w:val="24"/>
          <w:szCs w:val="24"/>
          <w:lang w:eastAsia="fr-BE"/>
        </w:rPr>
        <w:t xml:space="preserve"> </w:t>
      </w:r>
      <w:r w:rsidR="00C27E98" w:rsidRPr="00D74E4A">
        <w:rPr>
          <w:noProof/>
          <w:sz w:val="24"/>
          <w:szCs w:val="24"/>
          <w:lang w:eastAsia="fr-BE"/>
        </w:rPr>
        <w:t>For instance, in France, there are more than 80 ADRs nationally (only some of which may deal with defective products), and it is common to resolve claims through ADRs. In Ireland, there were many claims for compensation involving hip replacement defects and an ADR was specifically set up to address these.</w:t>
      </w:r>
    </w:p>
    <w:p w14:paraId="19915C8D" w14:textId="2421982B" w:rsidR="00D74E4A" w:rsidRPr="00827C69" w:rsidRDefault="00D74E4A" w:rsidP="00623B91">
      <w:pPr>
        <w:pStyle w:val="BodyText"/>
        <w:spacing w:after="240"/>
        <w:rPr>
          <w:noProof/>
          <w:sz w:val="24"/>
          <w:szCs w:val="24"/>
          <w:lang w:eastAsia="fr-BE"/>
        </w:rPr>
      </w:pPr>
      <w:r w:rsidRPr="00D74E4A">
        <w:rPr>
          <w:noProof/>
          <w:sz w:val="24"/>
          <w:szCs w:val="24"/>
          <w:lang w:eastAsia="fr-BE"/>
        </w:rPr>
        <w:t>Moreover, it is difficult to get any information on cases resolved directly between producers’ lawyers and claimants and/ or their legal representatives as the agreements are confidential, subject to non-disclosure agreements and the producer wants to avoid any reputational damage.</w:t>
      </w:r>
    </w:p>
    <w:p w14:paraId="256AE4BD" w14:textId="66B40D6B" w:rsidR="00EC2B83" w:rsidRDefault="00EC2B83" w:rsidP="00EC2B83">
      <w:pPr>
        <w:spacing w:after="240" w:line="240" w:lineRule="auto"/>
        <w:jc w:val="both"/>
        <w:rPr>
          <w:rFonts w:cs="Times New Roman"/>
          <w:noProof/>
          <w:sz w:val="24"/>
          <w:szCs w:val="24"/>
          <w:lang w:eastAsia="fr-BE"/>
        </w:rPr>
      </w:pPr>
      <w:r w:rsidRPr="00827C69">
        <w:rPr>
          <w:rFonts w:cs="Times New Roman"/>
          <w:noProof/>
          <w:sz w:val="24"/>
          <w:szCs w:val="24"/>
          <w:lang w:eastAsia="fr-BE"/>
        </w:rPr>
        <w:t xml:space="preserve">Assuming that out-of-court proceedings overall account for six to seven times as many claims cases as in-court proceedings, it is estimated a range between </w:t>
      </w:r>
      <w:r w:rsidR="00BE3843" w:rsidRPr="00BE3843">
        <w:rPr>
          <w:rFonts w:cs="Times New Roman"/>
          <w:b/>
          <w:noProof/>
          <w:sz w:val="24"/>
          <w:szCs w:val="24"/>
          <w:lang w:eastAsia="fr-BE"/>
        </w:rPr>
        <w:t>1,255 and 3,165</w:t>
      </w:r>
      <w:r w:rsidR="00BE3843">
        <w:rPr>
          <w:rFonts w:cs="Times New Roman"/>
          <w:noProof/>
          <w:sz w:val="24"/>
          <w:szCs w:val="24"/>
          <w:lang w:eastAsia="fr-BE"/>
        </w:rPr>
        <w:t xml:space="preserve"> </w:t>
      </w:r>
      <w:r w:rsidRPr="00041CEE">
        <w:rPr>
          <w:rFonts w:cs="Times New Roman"/>
          <w:b/>
          <w:noProof/>
          <w:sz w:val="24"/>
          <w:szCs w:val="24"/>
          <w:lang w:eastAsia="fr-BE"/>
        </w:rPr>
        <w:t>for cases settled out of court per year across the EU-27</w:t>
      </w:r>
      <w:r w:rsidRPr="00827C69">
        <w:rPr>
          <w:rFonts w:cs="Times New Roman"/>
          <w:noProof/>
          <w:sz w:val="24"/>
          <w:szCs w:val="24"/>
          <w:lang w:eastAsia="fr-BE"/>
        </w:rPr>
        <w:t>.</w:t>
      </w:r>
    </w:p>
    <w:p w14:paraId="54C68CF4" w14:textId="04A9F87C" w:rsidR="00BA0B70" w:rsidRPr="00BA0B70" w:rsidRDefault="00BA0B70" w:rsidP="00BA0B70">
      <w:pPr>
        <w:spacing w:after="240" w:line="240" w:lineRule="auto"/>
        <w:jc w:val="both"/>
        <w:rPr>
          <w:rFonts w:cs="Times New Roman"/>
          <w:noProof/>
          <w:sz w:val="24"/>
          <w:szCs w:val="24"/>
        </w:rPr>
      </w:pPr>
      <w:r>
        <w:rPr>
          <w:rFonts w:cs="Times New Roman"/>
          <w:noProof/>
          <w:sz w:val="24"/>
          <w:szCs w:val="24"/>
        </w:rPr>
        <w:t xml:space="preserve">The number of </w:t>
      </w:r>
      <w:r w:rsidRPr="002A5804">
        <w:rPr>
          <w:noProof/>
          <w:sz w:val="24"/>
          <w:szCs w:val="24"/>
        </w:rPr>
        <w:t xml:space="preserve">cases based on </w:t>
      </w:r>
      <w:r>
        <w:rPr>
          <w:noProof/>
          <w:sz w:val="24"/>
          <w:szCs w:val="24"/>
        </w:rPr>
        <w:t>product liability rules</w:t>
      </w:r>
      <w:r>
        <w:rPr>
          <w:rFonts w:cs="Times New Roman"/>
          <w:noProof/>
          <w:sz w:val="24"/>
          <w:szCs w:val="24"/>
        </w:rPr>
        <w:t xml:space="preserve"> will likely be impacted by the ongoing product safety-related legislative proposals</w:t>
      </w:r>
      <w:r w:rsidR="00CA54FF">
        <w:rPr>
          <w:rFonts w:cs="Times New Roman"/>
          <w:noProof/>
          <w:sz w:val="24"/>
          <w:szCs w:val="24"/>
        </w:rPr>
        <w:t>, even though</w:t>
      </w:r>
      <w:r w:rsidR="00F67FDD">
        <w:rPr>
          <w:rFonts w:cs="Times New Roman"/>
          <w:noProof/>
          <w:sz w:val="24"/>
          <w:szCs w:val="24"/>
        </w:rPr>
        <w:t xml:space="preserve"> </w:t>
      </w:r>
      <w:r>
        <w:rPr>
          <w:rFonts w:cs="Times New Roman"/>
          <w:noProof/>
          <w:sz w:val="24"/>
          <w:szCs w:val="24"/>
        </w:rPr>
        <w:t xml:space="preserve">it is not possible to </w:t>
      </w:r>
      <w:r w:rsidR="00CA54FF">
        <w:rPr>
          <w:rFonts w:cs="Times New Roman"/>
          <w:noProof/>
          <w:sz w:val="24"/>
          <w:szCs w:val="24"/>
        </w:rPr>
        <w:t>accurately</w:t>
      </w:r>
      <w:r>
        <w:rPr>
          <w:rFonts w:cs="Times New Roman"/>
          <w:noProof/>
          <w:sz w:val="24"/>
          <w:szCs w:val="24"/>
        </w:rPr>
        <w:t xml:space="preserve"> quantify these impacts</w:t>
      </w:r>
      <w:r w:rsidR="00CA54FF">
        <w:rPr>
          <w:rFonts w:cs="Times New Roman"/>
          <w:noProof/>
          <w:sz w:val="24"/>
          <w:szCs w:val="24"/>
        </w:rPr>
        <w:t>.</w:t>
      </w:r>
      <w:r w:rsidRPr="00BA0B70">
        <w:rPr>
          <w:rFonts w:cs="Times New Roman"/>
          <w:noProof/>
          <w:sz w:val="24"/>
          <w:szCs w:val="24"/>
        </w:rPr>
        <w:t xml:space="preserve"> </w:t>
      </w:r>
      <w:r w:rsidR="00CA54FF">
        <w:rPr>
          <w:rFonts w:cs="Times New Roman"/>
          <w:noProof/>
          <w:sz w:val="24"/>
          <w:szCs w:val="24"/>
        </w:rPr>
        <w:t>O</w:t>
      </w:r>
      <w:r>
        <w:rPr>
          <w:rFonts w:cs="Times New Roman"/>
          <w:noProof/>
          <w:sz w:val="24"/>
          <w:szCs w:val="24"/>
        </w:rPr>
        <w:t>ngoing product safety-related legislative proposals</w:t>
      </w:r>
      <w:r w:rsidRPr="00BA0B70">
        <w:rPr>
          <w:rFonts w:cs="Times New Roman"/>
          <w:noProof/>
          <w:sz w:val="24"/>
          <w:szCs w:val="24"/>
        </w:rPr>
        <w:t xml:space="preserve"> will </w:t>
      </w:r>
      <w:r w:rsidR="00CA54FF">
        <w:rPr>
          <w:rFonts w:cs="Times New Roman"/>
          <w:noProof/>
          <w:sz w:val="24"/>
          <w:szCs w:val="24"/>
        </w:rPr>
        <w:t xml:space="preserve">in </w:t>
      </w:r>
      <w:r w:rsidRPr="00BA0B70">
        <w:rPr>
          <w:rFonts w:cs="Times New Roman"/>
          <w:noProof/>
          <w:sz w:val="24"/>
          <w:szCs w:val="24"/>
        </w:rPr>
        <w:t>part</w:t>
      </w:r>
      <w:r w:rsidR="00402CDB">
        <w:rPr>
          <w:rFonts w:cs="Times New Roman"/>
          <w:noProof/>
          <w:sz w:val="24"/>
          <w:szCs w:val="24"/>
        </w:rPr>
        <w:t xml:space="preserve"> </w:t>
      </w:r>
      <w:r w:rsidR="00CA54FF">
        <w:rPr>
          <w:rFonts w:cs="Times New Roman"/>
          <w:noProof/>
          <w:sz w:val="24"/>
          <w:szCs w:val="24"/>
        </w:rPr>
        <w:t xml:space="preserve">suppress </w:t>
      </w:r>
      <w:r w:rsidRPr="00BA0B70">
        <w:rPr>
          <w:rFonts w:cs="Times New Roman"/>
          <w:noProof/>
          <w:sz w:val="24"/>
          <w:szCs w:val="24"/>
        </w:rPr>
        <w:t xml:space="preserve">a future rise in accidents caused by novel risks, but </w:t>
      </w:r>
      <w:r w:rsidR="00A008A7">
        <w:rPr>
          <w:rFonts w:cs="Times New Roman"/>
          <w:noProof/>
          <w:sz w:val="24"/>
          <w:szCs w:val="24"/>
        </w:rPr>
        <w:t xml:space="preserve">might </w:t>
      </w:r>
      <w:r w:rsidRPr="00BA0B70">
        <w:rPr>
          <w:rFonts w:cs="Times New Roman"/>
          <w:noProof/>
          <w:sz w:val="24"/>
          <w:szCs w:val="24"/>
        </w:rPr>
        <w:t>also</w:t>
      </w:r>
      <w:r w:rsidR="00A008A7">
        <w:rPr>
          <w:rFonts w:cs="Times New Roman"/>
          <w:noProof/>
          <w:sz w:val="24"/>
          <w:szCs w:val="24"/>
        </w:rPr>
        <w:t>, to a small extent,</w:t>
      </w:r>
      <w:r w:rsidRPr="00BA0B70">
        <w:rPr>
          <w:rFonts w:cs="Times New Roman"/>
          <w:noProof/>
          <w:sz w:val="24"/>
          <w:szCs w:val="24"/>
        </w:rPr>
        <w:t xml:space="preserve"> reduc</w:t>
      </w:r>
      <w:r w:rsidR="00CA54FF">
        <w:rPr>
          <w:rFonts w:cs="Times New Roman"/>
          <w:noProof/>
          <w:sz w:val="24"/>
          <w:szCs w:val="24"/>
        </w:rPr>
        <w:t>e</w:t>
      </w:r>
      <w:r w:rsidRPr="00BA0B70">
        <w:rPr>
          <w:rFonts w:cs="Times New Roman"/>
          <w:noProof/>
          <w:sz w:val="24"/>
          <w:szCs w:val="24"/>
        </w:rPr>
        <w:t xml:space="preserve"> accidents </w:t>
      </w:r>
      <w:r w:rsidR="00CA54FF">
        <w:rPr>
          <w:rFonts w:cs="Times New Roman"/>
          <w:noProof/>
          <w:sz w:val="24"/>
          <w:szCs w:val="24"/>
        </w:rPr>
        <w:t xml:space="preserve">in real terms </w:t>
      </w:r>
      <w:r w:rsidRPr="00BA0B70">
        <w:rPr>
          <w:rFonts w:cs="Times New Roman"/>
          <w:noProof/>
          <w:sz w:val="24"/>
          <w:szCs w:val="24"/>
        </w:rPr>
        <w:t xml:space="preserve">by </w:t>
      </w:r>
      <w:r w:rsidR="00CA54FF">
        <w:rPr>
          <w:rFonts w:cs="Times New Roman"/>
          <w:noProof/>
          <w:sz w:val="24"/>
          <w:szCs w:val="24"/>
        </w:rPr>
        <w:t>improving</w:t>
      </w:r>
      <w:r w:rsidRPr="00BA0B70">
        <w:rPr>
          <w:rFonts w:cs="Times New Roman"/>
          <w:noProof/>
          <w:sz w:val="24"/>
          <w:szCs w:val="24"/>
        </w:rPr>
        <w:t xml:space="preserve"> </w:t>
      </w:r>
      <w:r w:rsidR="00CA54FF">
        <w:rPr>
          <w:rFonts w:cs="Times New Roman"/>
          <w:noProof/>
          <w:sz w:val="24"/>
          <w:szCs w:val="24"/>
        </w:rPr>
        <w:t xml:space="preserve">the </w:t>
      </w:r>
      <w:r w:rsidRPr="00BA0B70">
        <w:rPr>
          <w:rFonts w:cs="Times New Roman"/>
          <w:noProof/>
          <w:sz w:val="24"/>
          <w:szCs w:val="24"/>
        </w:rPr>
        <w:t>safety of products</w:t>
      </w:r>
      <w:r w:rsidR="00CA54FF">
        <w:rPr>
          <w:rFonts w:cs="Times New Roman"/>
          <w:noProof/>
          <w:sz w:val="24"/>
          <w:szCs w:val="24"/>
        </w:rPr>
        <w:t>, inter alia,</w:t>
      </w:r>
      <w:r w:rsidRPr="00BA0B70">
        <w:rPr>
          <w:rFonts w:cs="Times New Roman"/>
          <w:noProof/>
          <w:sz w:val="24"/>
          <w:szCs w:val="24"/>
        </w:rPr>
        <w:t xml:space="preserve"> </w:t>
      </w:r>
      <w:r w:rsidR="00CA54FF">
        <w:rPr>
          <w:rFonts w:cs="Times New Roman"/>
          <w:noProof/>
          <w:sz w:val="24"/>
          <w:szCs w:val="24"/>
        </w:rPr>
        <w:t xml:space="preserve">by addressing products </w:t>
      </w:r>
      <w:r w:rsidRPr="00BA0B70">
        <w:rPr>
          <w:rFonts w:cs="Times New Roman"/>
          <w:noProof/>
          <w:sz w:val="24"/>
          <w:szCs w:val="24"/>
        </w:rPr>
        <w:t>from outside the EU</w:t>
      </w:r>
      <w:r w:rsidR="00CA54FF">
        <w:rPr>
          <w:rFonts w:cs="Times New Roman"/>
          <w:noProof/>
          <w:sz w:val="24"/>
          <w:szCs w:val="24"/>
        </w:rPr>
        <w:t>,</w:t>
      </w:r>
      <w:r w:rsidRPr="00BA0B70">
        <w:rPr>
          <w:rFonts w:cs="Times New Roman"/>
          <w:noProof/>
          <w:sz w:val="24"/>
          <w:szCs w:val="24"/>
        </w:rPr>
        <w:t xml:space="preserve"> </w:t>
      </w:r>
      <w:r w:rsidR="00CA54FF">
        <w:rPr>
          <w:rFonts w:cs="Times New Roman"/>
          <w:noProof/>
          <w:sz w:val="24"/>
          <w:szCs w:val="24"/>
        </w:rPr>
        <w:t>reinforcing</w:t>
      </w:r>
      <w:r w:rsidRPr="00BA0B70">
        <w:rPr>
          <w:rFonts w:cs="Times New Roman"/>
          <w:noProof/>
          <w:sz w:val="24"/>
          <w:szCs w:val="24"/>
        </w:rPr>
        <w:t xml:space="preserve"> market surveillance and reducing exposure to</w:t>
      </w:r>
      <w:r w:rsidR="00CA54FF">
        <w:rPr>
          <w:rFonts w:cs="Times New Roman"/>
          <w:noProof/>
          <w:sz w:val="24"/>
          <w:szCs w:val="24"/>
        </w:rPr>
        <w:t>, say,</w:t>
      </w:r>
      <w:r w:rsidRPr="00BA0B70">
        <w:rPr>
          <w:rFonts w:cs="Times New Roman"/>
          <w:noProof/>
          <w:sz w:val="24"/>
          <w:szCs w:val="24"/>
        </w:rPr>
        <w:t xml:space="preserve"> chemicals in toys etc. </w:t>
      </w:r>
    </w:p>
    <w:p w14:paraId="6DEA434F" w14:textId="07AE6060" w:rsidR="00BA0B70" w:rsidRDefault="00BA0B70" w:rsidP="00BA0B70">
      <w:pPr>
        <w:spacing w:after="240" w:line="240" w:lineRule="auto"/>
        <w:jc w:val="both"/>
        <w:rPr>
          <w:rFonts w:cs="Times New Roman"/>
          <w:noProof/>
          <w:sz w:val="24"/>
          <w:szCs w:val="24"/>
        </w:rPr>
      </w:pPr>
      <w:r>
        <w:rPr>
          <w:rFonts w:cs="Times New Roman"/>
          <w:noProof/>
          <w:sz w:val="24"/>
          <w:szCs w:val="24"/>
        </w:rPr>
        <w:t xml:space="preserve">The expected </w:t>
      </w:r>
      <w:r w:rsidR="005E329F">
        <w:rPr>
          <w:rFonts w:cs="Times New Roman"/>
          <w:noProof/>
          <w:sz w:val="24"/>
          <w:szCs w:val="24"/>
        </w:rPr>
        <w:t>modest</w:t>
      </w:r>
      <w:r w:rsidR="00A008A7">
        <w:rPr>
          <w:rFonts w:cs="Times New Roman"/>
          <w:noProof/>
          <w:sz w:val="24"/>
          <w:szCs w:val="24"/>
        </w:rPr>
        <w:t xml:space="preserve"> </w:t>
      </w:r>
      <w:r>
        <w:rPr>
          <w:rFonts w:cs="Times New Roman"/>
          <w:noProof/>
          <w:sz w:val="24"/>
          <w:szCs w:val="24"/>
        </w:rPr>
        <w:t xml:space="preserve">reduction in product-related harm as a result of ongoing product safety-related legislative proposals has been </w:t>
      </w:r>
      <w:r w:rsidRPr="00BA0B70">
        <w:rPr>
          <w:rFonts w:cs="Times New Roman"/>
          <w:noProof/>
          <w:sz w:val="24"/>
          <w:szCs w:val="24"/>
        </w:rPr>
        <w:t>factored into the baseline scenario</w:t>
      </w:r>
      <w:r>
        <w:rPr>
          <w:rFonts w:cs="Times New Roman"/>
          <w:noProof/>
          <w:sz w:val="24"/>
          <w:szCs w:val="24"/>
        </w:rPr>
        <w:t xml:space="preserve">, </w:t>
      </w:r>
      <w:r w:rsidR="0009150A">
        <w:rPr>
          <w:rFonts w:cs="Times New Roman"/>
          <w:noProof/>
          <w:sz w:val="24"/>
          <w:szCs w:val="24"/>
        </w:rPr>
        <w:t xml:space="preserve">in particular by making conservative </w:t>
      </w:r>
      <w:r>
        <w:rPr>
          <w:rFonts w:cs="Times New Roman"/>
          <w:noProof/>
          <w:sz w:val="24"/>
          <w:szCs w:val="24"/>
        </w:rPr>
        <w:t xml:space="preserve">assumptions for the lower range of both </w:t>
      </w:r>
      <w:r w:rsidR="00CA54FF">
        <w:rPr>
          <w:rFonts w:cs="Times New Roman"/>
          <w:noProof/>
          <w:sz w:val="24"/>
          <w:szCs w:val="24"/>
        </w:rPr>
        <w:t>in-</w:t>
      </w:r>
      <w:r>
        <w:rPr>
          <w:rFonts w:cs="Times New Roman"/>
          <w:noProof/>
          <w:sz w:val="24"/>
          <w:szCs w:val="24"/>
        </w:rPr>
        <w:t xml:space="preserve">court and out-of-court cases. </w:t>
      </w:r>
    </w:p>
    <w:p w14:paraId="74C5A13F" w14:textId="064833E4" w:rsidR="0041508B" w:rsidRDefault="0041508B" w:rsidP="00404B5C">
      <w:pPr>
        <w:spacing w:after="240" w:line="240" w:lineRule="auto"/>
        <w:jc w:val="both"/>
        <w:rPr>
          <w:rFonts w:cs="Times New Roman"/>
          <w:noProof/>
          <w:sz w:val="24"/>
          <w:szCs w:val="24"/>
        </w:rPr>
      </w:pPr>
      <w:r w:rsidRPr="00404B5C">
        <w:rPr>
          <w:noProof/>
          <w:sz w:val="24"/>
          <w:szCs w:val="24"/>
          <w:lang w:eastAsia="fr-BE"/>
        </w:rPr>
        <w:t>Finally, the 2018 evaluation study</w:t>
      </w:r>
      <w:r w:rsidRPr="00404B5C">
        <w:rPr>
          <w:rFonts w:eastAsia="Calibri"/>
          <w:noProof/>
          <w:sz w:val="24"/>
          <w:szCs w:val="24"/>
        </w:rPr>
        <w:t xml:space="preserve"> found that 60% (476 out of 798) of claims for defective products were successful for injured parties from 2000 to 2016 and that there was no particular difference in the level of success of injured parties if the case was settled in court rather than out of court. The other cases were decided in favour of producers. The analysis considered a success rate of 60% for the baseline scenario, differently affected</w:t>
      </w:r>
      <w:r>
        <w:rPr>
          <w:rFonts w:eastAsia="Calibri"/>
          <w:noProof/>
          <w:sz w:val="24"/>
          <w:szCs w:val="24"/>
        </w:rPr>
        <w:t xml:space="preserve"> by the policy options analysed (as </w:t>
      </w:r>
      <w:r w:rsidR="00FC4CC9">
        <w:rPr>
          <w:rFonts w:eastAsia="Calibri"/>
          <w:noProof/>
          <w:sz w:val="24"/>
          <w:szCs w:val="24"/>
        </w:rPr>
        <w:t xml:space="preserve">further </w:t>
      </w:r>
      <w:r>
        <w:rPr>
          <w:rFonts w:eastAsia="Calibri"/>
          <w:noProof/>
          <w:sz w:val="24"/>
          <w:szCs w:val="24"/>
        </w:rPr>
        <w:t xml:space="preserve">explained in section 4.1 of this annex). </w:t>
      </w:r>
    </w:p>
    <w:p w14:paraId="76738538" w14:textId="5AF8F1D0" w:rsidR="00EC2B83" w:rsidRPr="00A479AA" w:rsidRDefault="002E7937" w:rsidP="002E7937">
      <w:pPr>
        <w:pStyle w:val="Heading1"/>
        <w:rPr>
          <w:noProof/>
        </w:rPr>
      </w:pPr>
      <w:bookmarkStart w:id="1013" w:name="_Toc95482019"/>
      <w:bookmarkStart w:id="1014" w:name="_Toc96337811"/>
      <w:bookmarkStart w:id="1015" w:name="_Toc96446291"/>
      <w:bookmarkStart w:id="1016" w:name="_Toc96448063"/>
      <w:bookmarkStart w:id="1017" w:name="_Toc96594012"/>
      <w:bookmarkStart w:id="1018" w:name="_Toc96597303"/>
      <w:bookmarkStart w:id="1019" w:name="_Toc96609238"/>
      <w:bookmarkStart w:id="1020" w:name="_Toc97149267"/>
      <w:bookmarkStart w:id="1021" w:name="_Toc97191313"/>
      <w:bookmarkStart w:id="1022" w:name="_Toc107430123"/>
      <w:r w:rsidRPr="002E7937">
        <w:t>4.</w:t>
      </w:r>
      <w:r w:rsidRPr="002E7937">
        <w:tab/>
      </w:r>
      <w:r w:rsidR="00EC2B83" w:rsidRPr="00A479AA">
        <w:rPr>
          <w:noProof/>
        </w:rPr>
        <w:t>Cost and Benefit Analysis</w:t>
      </w:r>
      <w:bookmarkEnd w:id="1013"/>
      <w:bookmarkEnd w:id="1014"/>
      <w:bookmarkEnd w:id="1015"/>
      <w:bookmarkEnd w:id="1016"/>
      <w:bookmarkEnd w:id="1017"/>
      <w:bookmarkEnd w:id="1018"/>
      <w:bookmarkEnd w:id="1019"/>
      <w:bookmarkEnd w:id="1020"/>
      <w:bookmarkEnd w:id="1021"/>
      <w:bookmarkEnd w:id="1022"/>
    </w:p>
    <w:p w14:paraId="33FB96B9" w14:textId="0C20A8D8" w:rsidR="00371506" w:rsidRPr="00371506" w:rsidRDefault="00EC2B83" w:rsidP="00EC2B83">
      <w:pPr>
        <w:pStyle w:val="BodyText"/>
        <w:spacing w:after="240"/>
        <w:rPr>
          <w:noProof/>
          <w:sz w:val="24"/>
          <w:szCs w:val="24"/>
        </w:rPr>
      </w:pPr>
      <w:r w:rsidRPr="00310C5D">
        <w:rPr>
          <w:noProof/>
          <w:sz w:val="24"/>
          <w:szCs w:val="24"/>
        </w:rPr>
        <w:t xml:space="preserve">The cost-benefit assessment follows the guidance for the categorisation of costs in the </w:t>
      </w:r>
      <w:r w:rsidRPr="00371506">
        <w:rPr>
          <w:noProof/>
          <w:sz w:val="24"/>
          <w:szCs w:val="24"/>
        </w:rPr>
        <w:t xml:space="preserve">Better Regulation guidelines, which identify direct, indirect, </w:t>
      </w:r>
      <w:r w:rsidR="001C5197">
        <w:rPr>
          <w:noProof/>
          <w:sz w:val="24"/>
          <w:szCs w:val="24"/>
        </w:rPr>
        <w:t>enforcement/</w:t>
      </w:r>
      <w:r w:rsidR="00CB48DE" w:rsidRPr="00371506">
        <w:rPr>
          <w:noProof/>
          <w:sz w:val="24"/>
          <w:szCs w:val="24"/>
        </w:rPr>
        <w:t xml:space="preserve">legal </w:t>
      </w:r>
      <w:r w:rsidR="00371506" w:rsidRPr="00371506">
        <w:rPr>
          <w:noProof/>
          <w:sz w:val="24"/>
          <w:szCs w:val="24"/>
        </w:rPr>
        <w:t>costs.</w:t>
      </w:r>
    </w:p>
    <w:p w14:paraId="76066AC4" w14:textId="77777777" w:rsidR="00371506" w:rsidRPr="00371506" w:rsidRDefault="00371506" w:rsidP="00371506">
      <w:pPr>
        <w:pStyle w:val="BodyText"/>
        <w:spacing w:after="240"/>
        <w:rPr>
          <w:noProof/>
          <w:sz w:val="24"/>
        </w:rPr>
      </w:pPr>
      <w:r w:rsidRPr="00371506">
        <w:rPr>
          <w:noProof/>
          <w:sz w:val="24"/>
          <w:szCs w:val="24"/>
        </w:rPr>
        <w:t xml:space="preserve">There are no relevant administrative costs under the PLD in contrast to much product safety legislation, as there are no specific obligations or information requirements for economic operators. There will be one-off </w:t>
      </w:r>
      <w:r w:rsidRPr="00371506">
        <w:rPr>
          <w:b/>
          <w:noProof/>
          <w:sz w:val="24"/>
          <w:szCs w:val="24"/>
        </w:rPr>
        <w:t>familiarisation costs</w:t>
      </w:r>
      <w:r w:rsidRPr="00371506">
        <w:rPr>
          <w:noProof/>
          <w:sz w:val="24"/>
          <w:szCs w:val="24"/>
        </w:rPr>
        <w:t xml:space="preserve"> for economic operators not previously covered as producers under the PLD, which are minimal.</w:t>
      </w:r>
    </w:p>
    <w:p w14:paraId="3F622BB8" w14:textId="1E614B0C" w:rsidR="00371506" w:rsidRDefault="00371506" w:rsidP="00371506">
      <w:pPr>
        <w:pStyle w:val="BodyText"/>
        <w:spacing w:after="240"/>
        <w:rPr>
          <w:noProof/>
          <w:sz w:val="24"/>
        </w:rPr>
      </w:pPr>
      <w:r w:rsidRPr="00371506">
        <w:rPr>
          <w:noProof/>
          <w:sz w:val="24"/>
        </w:rPr>
        <w:t xml:space="preserve">Policy options mainly involve a re-attribution of costs between stakeholders, either from victims to the producers whose defective products caused the costs, or between economic operators by enlarging the notion of “producer”. </w:t>
      </w:r>
    </w:p>
    <w:p w14:paraId="6A2072F0" w14:textId="77777777" w:rsidR="00612CB4" w:rsidRPr="00371506" w:rsidRDefault="00612CB4" w:rsidP="00612CB4">
      <w:pPr>
        <w:pStyle w:val="BodyText"/>
        <w:spacing w:after="240"/>
        <w:rPr>
          <w:noProof/>
          <w:sz w:val="24"/>
        </w:rPr>
      </w:pPr>
      <w:r>
        <w:rPr>
          <w:noProof/>
          <w:sz w:val="24"/>
        </w:rPr>
        <w:t xml:space="preserve">The cost-benefit analysis mainly considers the effects of the proposed policy options on the following actors: </w:t>
      </w:r>
    </w:p>
    <w:p w14:paraId="59F08782" w14:textId="77777777" w:rsidR="00612CB4" w:rsidRDefault="00612CB4" w:rsidP="00612CB4">
      <w:pPr>
        <w:pStyle w:val="BodyText"/>
        <w:numPr>
          <w:ilvl w:val="0"/>
          <w:numId w:val="38"/>
        </w:numPr>
        <w:spacing w:after="240"/>
        <w:rPr>
          <w:noProof/>
          <w:sz w:val="24"/>
          <w:szCs w:val="24"/>
        </w:rPr>
      </w:pPr>
      <w:r>
        <w:rPr>
          <w:noProof/>
          <w:sz w:val="24"/>
          <w:szCs w:val="24"/>
        </w:rPr>
        <w:t>The main impact on consumers is that individuals who suffer harm will receive compensation pay-outs if they prove liability. They are assumed to bear legal costs if they do not win the case.</w:t>
      </w:r>
    </w:p>
    <w:p w14:paraId="43F2D1D9" w14:textId="66D966AC" w:rsidR="00612CB4" w:rsidRDefault="00612CB4" w:rsidP="00612CB4">
      <w:pPr>
        <w:pStyle w:val="BodyText"/>
        <w:numPr>
          <w:ilvl w:val="0"/>
          <w:numId w:val="38"/>
        </w:numPr>
        <w:spacing w:after="240"/>
        <w:rPr>
          <w:noProof/>
          <w:sz w:val="24"/>
          <w:szCs w:val="24"/>
        </w:rPr>
      </w:pPr>
      <w:r>
        <w:rPr>
          <w:noProof/>
          <w:sz w:val="24"/>
          <w:szCs w:val="24"/>
        </w:rPr>
        <w:t>In terms of costs, p</w:t>
      </w:r>
      <w:r w:rsidRPr="00E168D6">
        <w:rPr>
          <w:noProof/>
          <w:sz w:val="24"/>
          <w:szCs w:val="24"/>
        </w:rPr>
        <w:t>roducers with liability insurance may face an increase in liability insurance premiums. If they are found liable for harm caused by a defective product, the liability insurance would cover the compensation and legal costs. Producers without a liability insurance would face direct compensation costs to victims (costs not considered in the analysis), and legal costs if the case goes to court.</w:t>
      </w:r>
    </w:p>
    <w:p w14:paraId="40EB154A" w14:textId="77777777" w:rsidR="00612CB4" w:rsidRPr="006F29D9" w:rsidRDefault="00612CB4" w:rsidP="00612CB4">
      <w:pPr>
        <w:pStyle w:val="BodyText"/>
        <w:numPr>
          <w:ilvl w:val="0"/>
          <w:numId w:val="38"/>
        </w:numPr>
        <w:spacing w:after="240"/>
        <w:rPr>
          <w:noProof/>
          <w:sz w:val="24"/>
          <w:szCs w:val="24"/>
        </w:rPr>
      </w:pPr>
      <w:r>
        <w:rPr>
          <w:noProof/>
          <w:sz w:val="24"/>
          <w:szCs w:val="24"/>
        </w:rPr>
        <w:t xml:space="preserve">Insurance companies </w:t>
      </w:r>
      <w:r w:rsidRPr="00E168D6">
        <w:rPr>
          <w:noProof/>
          <w:sz w:val="24"/>
          <w:szCs w:val="24"/>
        </w:rPr>
        <w:t>may have to bear higher compensation costs, but they would off-set that cost by marginally raising insurance premiums, leading to higher revenues. Their net income is therefore assumed to remain stable over time</w:t>
      </w:r>
      <w:r>
        <w:rPr>
          <w:noProof/>
          <w:sz w:val="24"/>
          <w:szCs w:val="24"/>
        </w:rPr>
        <w:t>.</w:t>
      </w:r>
    </w:p>
    <w:p w14:paraId="556BF8D9" w14:textId="285188C7" w:rsidR="00EC2B83" w:rsidRPr="00A479AA" w:rsidRDefault="002E7937" w:rsidP="002E7937">
      <w:pPr>
        <w:pStyle w:val="Heading1"/>
        <w:rPr>
          <w:noProof/>
        </w:rPr>
      </w:pPr>
      <w:bookmarkStart w:id="1023" w:name="_Toc95482020"/>
      <w:bookmarkStart w:id="1024" w:name="_Toc96337812"/>
      <w:bookmarkStart w:id="1025" w:name="_Toc96446292"/>
      <w:bookmarkStart w:id="1026" w:name="_Toc96448064"/>
      <w:bookmarkStart w:id="1027" w:name="_Toc96594013"/>
      <w:bookmarkStart w:id="1028" w:name="_Toc96597304"/>
      <w:bookmarkStart w:id="1029" w:name="_Toc96609239"/>
      <w:bookmarkStart w:id="1030" w:name="_Toc97149268"/>
      <w:bookmarkStart w:id="1031" w:name="_Toc97191314"/>
      <w:bookmarkStart w:id="1032" w:name="_Toc107430124"/>
      <w:r w:rsidRPr="002E7937">
        <w:t>4.1.</w:t>
      </w:r>
      <w:r w:rsidRPr="002E7937">
        <w:tab/>
      </w:r>
      <w:r w:rsidR="00EC2B83">
        <w:rPr>
          <w:noProof/>
        </w:rPr>
        <w:t xml:space="preserve">Assessment of the </w:t>
      </w:r>
      <w:r w:rsidR="00EC2B83" w:rsidRPr="00A479AA">
        <w:rPr>
          <w:noProof/>
        </w:rPr>
        <w:t>Benefit</w:t>
      </w:r>
      <w:r w:rsidR="00EC2B83">
        <w:rPr>
          <w:noProof/>
        </w:rPr>
        <w:t>s</w:t>
      </w:r>
      <w:r w:rsidR="00EC2B83" w:rsidRPr="00A479AA">
        <w:rPr>
          <w:noProof/>
        </w:rPr>
        <w:t xml:space="preserve"> </w:t>
      </w:r>
      <w:r w:rsidR="00EC2B83" w:rsidRPr="00124A82">
        <w:rPr>
          <w:noProof/>
        </w:rPr>
        <w:t>attributable to strict liability under the PLD</w:t>
      </w:r>
      <w:bookmarkEnd w:id="1023"/>
      <w:bookmarkEnd w:id="1024"/>
      <w:bookmarkEnd w:id="1025"/>
      <w:bookmarkEnd w:id="1026"/>
      <w:bookmarkEnd w:id="1027"/>
      <w:bookmarkEnd w:id="1028"/>
      <w:bookmarkEnd w:id="1029"/>
      <w:bookmarkEnd w:id="1030"/>
      <w:bookmarkEnd w:id="1031"/>
      <w:bookmarkEnd w:id="1032"/>
    </w:p>
    <w:p w14:paraId="2BADF76D" w14:textId="2438B4FD" w:rsidR="006D0C74" w:rsidRDefault="001C5197" w:rsidP="00F06B63">
      <w:pPr>
        <w:pStyle w:val="BodyText"/>
        <w:spacing w:after="240"/>
        <w:rPr>
          <w:rFonts w:eastAsia="Calibri"/>
          <w:noProof/>
          <w:sz w:val="24"/>
          <w:szCs w:val="24"/>
        </w:rPr>
      </w:pPr>
      <w:r w:rsidRPr="00371506">
        <w:rPr>
          <w:noProof/>
          <w:sz w:val="24"/>
        </w:rPr>
        <w:t xml:space="preserve">The </w:t>
      </w:r>
      <w:r w:rsidRPr="00371506">
        <w:rPr>
          <w:b/>
          <w:noProof/>
          <w:sz w:val="24"/>
        </w:rPr>
        <w:t>main measurable benefit</w:t>
      </w:r>
      <w:r w:rsidRPr="00371506">
        <w:rPr>
          <w:noProof/>
          <w:sz w:val="24"/>
        </w:rPr>
        <w:t xml:space="preserve"> for consumers is the compensation </w:t>
      </w:r>
      <w:r w:rsidR="005C3DF2">
        <w:rPr>
          <w:noProof/>
          <w:sz w:val="24"/>
        </w:rPr>
        <w:t xml:space="preserve">they receive if </w:t>
      </w:r>
      <w:r w:rsidR="00BD5C67">
        <w:rPr>
          <w:noProof/>
          <w:sz w:val="24"/>
        </w:rPr>
        <w:t>they successfully prove the liability of the producer</w:t>
      </w:r>
      <w:r w:rsidRPr="00371506">
        <w:rPr>
          <w:noProof/>
          <w:sz w:val="24"/>
        </w:rPr>
        <w:t xml:space="preserve">. </w:t>
      </w:r>
      <w:r w:rsidR="005C3DF2">
        <w:rPr>
          <w:noProof/>
          <w:sz w:val="24"/>
        </w:rPr>
        <w:t>Regardless the number of claims, o</w:t>
      </w:r>
      <w:r w:rsidR="00F06B63" w:rsidRPr="00A84A0B">
        <w:rPr>
          <w:noProof/>
          <w:sz w:val="24"/>
        </w:rPr>
        <w:t>nly successful cases are considered for the assessment of victims’ compensation. This success rate is assumed to be 60% for in</w:t>
      </w:r>
      <w:r w:rsidR="00BD5C67">
        <w:rPr>
          <w:noProof/>
          <w:sz w:val="24"/>
        </w:rPr>
        <w:t>-</w:t>
      </w:r>
      <w:r w:rsidR="00F06B63" w:rsidRPr="00A84A0B">
        <w:rPr>
          <w:noProof/>
          <w:sz w:val="24"/>
        </w:rPr>
        <w:t>court and out</w:t>
      </w:r>
      <w:r w:rsidR="00BD5C67">
        <w:rPr>
          <w:noProof/>
          <w:sz w:val="24"/>
        </w:rPr>
        <w:t>-</w:t>
      </w:r>
      <w:r w:rsidR="00F06B63" w:rsidRPr="00A84A0B">
        <w:rPr>
          <w:noProof/>
          <w:sz w:val="24"/>
        </w:rPr>
        <w:t>of</w:t>
      </w:r>
      <w:r w:rsidR="00BD5C67">
        <w:rPr>
          <w:noProof/>
          <w:sz w:val="24"/>
        </w:rPr>
        <w:t>-</w:t>
      </w:r>
      <w:r w:rsidR="00F06B63" w:rsidRPr="00A84A0B">
        <w:rPr>
          <w:noProof/>
          <w:sz w:val="24"/>
        </w:rPr>
        <w:t>court cases based on the findings of the Evaluation.</w:t>
      </w:r>
      <w:r w:rsidR="006D0C74" w:rsidRPr="006D0C74">
        <w:rPr>
          <w:rFonts w:eastAsia="Calibri"/>
          <w:noProof/>
          <w:sz w:val="24"/>
          <w:szCs w:val="24"/>
        </w:rPr>
        <w:t xml:space="preserve"> </w:t>
      </w:r>
    </w:p>
    <w:p w14:paraId="00BE3BB1" w14:textId="6E256559" w:rsidR="00F06B63" w:rsidRPr="00A84A0B" w:rsidRDefault="006D0C74" w:rsidP="00F06B63">
      <w:pPr>
        <w:pStyle w:val="BodyText"/>
        <w:spacing w:after="240"/>
        <w:rPr>
          <w:noProof/>
          <w:sz w:val="24"/>
        </w:rPr>
      </w:pPr>
      <w:r>
        <w:rPr>
          <w:rFonts w:eastAsia="Calibri"/>
          <w:noProof/>
          <w:sz w:val="24"/>
          <w:szCs w:val="24"/>
        </w:rPr>
        <w:t xml:space="preserve">The </w:t>
      </w:r>
      <w:r w:rsidRPr="006D0C74">
        <w:rPr>
          <w:rFonts w:eastAsia="Calibri"/>
          <w:b/>
          <w:noProof/>
          <w:sz w:val="24"/>
          <w:szCs w:val="24"/>
        </w:rPr>
        <w:t>number of successful cases</w:t>
      </w:r>
      <w:r w:rsidRPr="00371506">
        <w:rPr>
          <w:rFonts w:eastAsia="Calibri"/>
          <w:noProof/>
          <w:sz w:val="24"/>
          <w:szCs w:val="24"/>
        </w:rPr>
        <w:t xml:space="preserve">, multiplied by the </w:t>
      </w:r>
      <w:r w:rsidRPr="006D0C74">
        <w:rPr>
          <w:b/>
          <w:noProof/>
          <w:sz w:val="24"/>
          <w:szCs w:val="24"/>
          <w:lang w:val="en-IE"/>
        </w:rPr>
        <w:t>average compensation pay-outs</w:t>
      </w:r>
      <w:r w:rsidRPr="00371506">
        <w:rPr>
          <w:noProof/>
          <w:sz w:val="24"/>
          <w:szCs w:val="24"/>
          <w:lang w:val="en-IE"/>
        </w:rPr>
        <w:t xml:space="preserve">, will provide ranges for the estimates on the </w:t>
      </w:r>
      <w:r>
        <w:rPr>
          <w:noProof/>
          <w:sz w:val="24"/>
          <w:szCs w:val="24"/>
          <w:lang w:val="en-IE"/>
        </w:rPr>
        <w:t xml:space="preserve">economic </w:t>
      </w:r>
      <w:r w:rsidRPr="00371506">
        <w:rPr>
          <w:noProof/>
          <w:sz w:val="24"/>
          <w:szCs w:val="24"/>
          <w:lang w:val="en-IE"/>
        </w:rPr>
        <w:t>benefits for consumers.</w:t>
      </w:r>
    </w:p>
    <w:p w14:paraId="79911F92" w14:textId="03E95DD2" w:rsidR="005C3DF2" w:rsidRDefault="00F06B63" w:rsidP="00F06B63">
      <w:pPr>
        <w:pStyle w:val="BodyText"/>
        <w:spacing w:after="240"/>
        <w:rPr>
          <w:rFonts w:eastAsia="Calibri"/>
          <w:noProof/>
          <w:sz w:val="24"/>
          <w:szCs w:val="24"/>
        </w:rPr>
      </w:pPr>
      <w:r w:rsidRPr="00371506">
        <w:rPr>
          <w:rFonts w:eastAsia="Calibri"/>
          <w:noProof/>
          <w:sz w:val="24"/>
          <w:szCs w:val="24"/>
        </w:rPr>
        <w:t>The measures proposed by each policy option might affect</w:t>
      </w:r>
      <w:r w:rsidR="00E47103" w:rsidRPr="00E47103">
        <w:rPr>
          <w:rFonts w:eastAsia="Calibri"/>
          <w:noProof/>
          <w:sz w:val="24"/>
          <w:szCs w:val="24"/>
        </w:rPr>
        <w:t xml:space="preserve"> </w:t>
      </w:r>
      <w:r w:rsidR="00E47103">
        <w:rPr>
          <w:rFonts w:eastAsia="Calibri"/>
          <w:noProof/>
          <w:sz w:val="24"/>
          <w:szCs w:val="24"/>
        </w:rPr>
        <w:t xml:space="preserve">the </w:t>
      </w:r>
      <w:r w:rsidR="00E47103" w:rsidRPr="005C3DF2">
        <w:rPr>
          <w:rFonts w:eastAsia="Calibri"/>
          <w:noProof/>
          <w:sz w:val="24"/>
          <w:szCs w:val="24"/>
        </w:rPr>
        <w:t>number of successful cases, i.e. cases for which consumers are recognised as victims and receive compensation pay-out</w:t>
      </w:r>
      <w:r w:rsidR="00D35844">
        <w:rPr>
          <w:rFonts w:eastAsia="Calibri"/>
          <w:noProof/>
          <w:sz w:val="24"/>
          <w:szCs w:val="24"/>
        </w:rPr>
        <w:t>s</w:t>
      </w:r>
      <w:r w:rsidR="00E47103" w:rsidRPr="005C3DF2">
        <w:rPr>
          <w:rFonts w:eastAsia="Calibri"/>
          <w:noProof/>
          <w:sz w:val="24"/>
          <w:szCs w:val="24"/>
        </w:rPr>
        <w:t xml:space="preserve"> for the damage suffered</w:t>
      </w:r>
      <w:r w:rsidR="00E47103">
        <w:rPr>
          <w:rFonts w:eastAsia="Calibri"/>
          <w:noProof/>
          <w:sz w:val="24"/>
          <w:szCs w:val="24"/>
        </w:rPr>
        <w:t>, by affecting</w:t>
      </w:r>
      <w:r w:rsidR="005C3DF2">
        <w:rPr>
          <w:rFonts w:eastAsia="Calibri"/>
          <w:noProof/>
          <w:sz w:val="24"/>
          <w:szCs w:val="24"/>
        </w:rPr>
        <w:t xml:space="preserve">: </w:t>
      </w:r>
    </w:p>
    <w:p w14:paraId="64972A31" w14:textId="5E35F428" w:rsidR="005C3DF2" w:rsidRDefault="00F06B63" w:rsidP="005C3DF2">
      <w:pPr>
        <w:pStyle w:val="BodyText"/>
        <w:numPr>
          <w:ilvl w:val="0"/>
          <w:numId w:val="37"/>
        </w:numPr>
        <w:spacing w:after="240"/>
        <w:rPr>
          <w:rFonts w:eastAsia="Calibri"/>
          <w:noProof/>
          <w:sz w:val="24"/>
          <w:szCs w:val="24"/>
        </w:rPr>
      </w:pPr>
      <w:r w:rsidRPr="00371506">
        <w:rPr>
          <w:rFonts w:eastAsia="Calibri"/>
          <w:noProof/>
          <w:sz w:val="24"/>
          <w:szCs w:val="24"/>
        </w:rPr>
        <w:t xml:space="preserve">the </w:t>
      </w:r>
      <w:r w:rsidR="00E47103">
        <w:rPr>
          <w:rFonts w:eastAsia="Calibri"/>
          <w:noProof/>
          <w:sz w:val="24"/>
          <w:szCs w:val="24"/>
        </w:rPr>
        <w:t xml:space="preserve">actual </w:t>
      </w:r>
      <w:r w:rsidR="005C3DF2">
        <w:rPr>
          <w:rFonts w:eastAsia="Calibri"/>
          <w:noProof/>
          <w:sz w:val="24"/>
          <w:szCs w:val="24"/>
        </w:rPr>
        <w:t xml:space="preserve">number </w:t>
      </w:r>
      <w:r w:rsidRPr="00371506">
        <w:rPr>
          <w:rFonts w:eastAsia="Calibri"/>
          <w:noProof/>
          <w:sz w:val="24"/>
          <w:szCs w:val="24"/>
        </w:rPr>
        <w:t>of cases brought under the PLD</w:t>
      </w:r>
      <w:r w:rsidR="00E47103">
        <w:rPr>
          <w:rFonts w:eastAsia="Calibri"/>
          <w:noProof/>
          <w:sz w:val="24"/>
          <w:szCs w:val="24"/>
        </w:rPr>
        <w:t xml:space="preserve">. All the policy options considered are assumed to increase </w:t>
      </w:r>
      <w:r w:rsidR="00D35844">
        <w:rPr>
          <w:rFonts w:eastAsia="Calibri"/>
          <w:noProof/>
          <w:sz w:val="24"/>
          <w:szCs w:val="24"/>
        </w:rPr>
        <w:t>that</w:t>
      </w:r>
      <w:r w:rsidR="00E47103">
        <w:rPr>
          <w:rFonts w:eastAsia="Calibri"/>
          <w:noProof/>
          <w:sz w:val="24"/>
          <w:szCs w:val="24"/>
        </w:rPr>
        <w:t xml:space="preserve"> number compared to the baseline scenario</w:t>
      </w:r>
      <w:r w:rsidR="00F43F40">
        <w:rPr>
          <w:rStyle w:val="FootnoteReference"/>
          <w:rFonts w:eastAsia="Calibri"/>
          <w:noProof/>
          <w:sz w:val="24"/>
          <w:szCs w:val="24"/>
        </w:rPr>
        <w:footnoteReference w:id="289"/>
      </w:r>
      <w:r w:rsidR="00E47103">
        <w:rPr>
          <w:rFonts w:eastAsia="Calibri"/>
          <w:noProof/>
          <w:sz w:val="24"/>
          <w:szCs w:val="24"/>
        </w:rPr>
        <w:t>.</w:t>
      </w:r>
      <w:r w:rsidR="00402CDB">
        <w:rPr>
          <w:rFonts w:eastAsia="Calibri"/>
          <w:noProof/>
          <w:sz w:val="24"/>
          <w:szCs w:val="24"/>
        </w:rPr>
        <w:t xml:space="preserve"> </w:t>
      </w:r>
    </w:p>
    <w:p w14:paraId="2D364E02" w14:textId="68FD1645" w:rsidR="005C3DF2" w:rsidRDefault="00F06B63" w:rsidP="005C3DF2">
      <w:pPr>
        <w:pStyle w:val="BodyText"/>
        <w:numPr>
          <w:ilvl w:val="0"/>
          <w:numId w:val="37"/>
        </w:numPr>
        <w:spacing w:after="240"/>
        <w:rPr>
          <w:rFonts w:eastAsia="Calibri"/>
          <w:noProof/>
          <w:sz w:val="24"/>
          <w:szCs w:val="24"/>
        </w:rPr>
      </w:pPr>
      <w:r w:rsidRPr="00371506">
        <w:rPr>
          <w:rFonts w:eastAsia="Calibri"/>
          <w:noProof/>
          <w:sz w:val="24"/>
          <w:szCs w:val="24"/>
        </w:rPr>
        <w:t>the success rate of claims</w:t>
      </w:r>
      <w:r w:rsidR="00E47103">
        <w:rPr>
          <w:rFonts w:eastAsia="Calibri"/>
          <w:noProof/>
          <w:sz w:val="24"/>
          <w:szCs w:val="24"/>
        </w:rPr>
        <w:t xml:space="preserve">. </w:t>
      </w:r>
      <w:r w:rsidR="00983899">
        <w:rPr>
          <w:rFonts w:eastAsia="Calibri"/>
          <w:noProof/>
          <w:sz w:val="24"/>
          <w:szCs w:val="24"/>
        </w:rPr>
        <w:t>Only p</w:t>
      </w:r>
      <w:r w:rsidR="00E47103">
        <w:rPr>
          <w:rFonts w:eastAsia="Calibri"/>
          <w:noProof/>
          <w:sz w:val="24"/>
          <w:szCs w:val="24"/>
        </w:rPr>
        <w:t>olicy options 2a and 2b are assumed to increase the success rate of claims compared to the baseline scenario</w:t>
      </w:r>
      <w:r w:rsidR="00F43F40">
        <w:rPr>
          <w:rStyle w:val="FootnoteReference"/>
          <w:rFonts w:eastAsia="Calibri"/>
          <w:noProof/>
          <w:sz w:val="24"/>
          <w:szCs w:val="24"/>
        </w:rPr>
        <w:footnoteReference w:id="290"/>
      </w:r>
      <w:r w:rsidR="00E47103">
        <w:rPr>
          <w:rFonts w:eastAsia="Calibri"/>
          <w:noProof/>
          <w:sz w:val="24"/>
          <w:szCs w:val="24"/>
        </w:rPr>
        <w:t xml:space="preserve">. </w:t>
      </w:r>
    </w:p>
    <w:p w14:paraId="2D8B7E25" w14:textId="4059DDDF" w:rsidR="00F06B63" w:rsidRDefault="00F06B63" w:rsidP="00F06B63">
      <w:pPr>
        <w:pStyle w:val="BodyText"/>
        <w:spacing w:after="240"/>
        <w:rPr>
          <w:noProof/>
          <w:sz w:val="24"/>
        </w:rPr>
      </w:pPr>
    </w:p>
    <w:p w14:paraId="28B04A73" w14:textId="462C4D0D" w:rsidR="003D71F6" w:rsidRDefault="003D71F6" w:rsidP="001C5197">
      <w:pPr>
        <w:pStyle w:val="BodyText"/>
        <w:spacing w:after="240"/>
        <w:rPr>
          <w:noProof/>
          <w:sz w:val="24"/>
          <w:szCs w:val="24"/>
        </w:rPr>
      </w:pPr>
      <w:r>
        <w:rPr>
          <w:noProof/>
          <w:sz w:val="24"/>
          <w:szCs w:val="24"/>
        </w:rPr>
        <w:t>The i</w:t>
      </w:r>
      <w:r w:rsidRPr="003D71F6">
        <w:rPr>
          <w:noProof/>
          <w:sz w:val="24"/>
          <w:szCs w:val="24"/>
        </w:rPr>
        <w:t xml:space="preserve">ndependent experts </w:t>
      </w:r>
      <w:r>
        <w:rPr>
          <w:noProof/>
          <w:sz w:val="24"/>
          <w:szCs w:val="24"/>
        </w:rPr>
        <w:t xml:space="preserve">considered that the measures of the different policy options would have no effects on the </w:t>
      </w:r>
      <w:r w:rsidR="00E7622D" w:rsidRPr="00573683">
        <w:rPr>
          <w:noProof/>
          <w:sz w:val="24"/>
          <w:szCs w:val="24"/>
        </w:rPr>
        <w:t>average compensation pay-outs</w:t>
      </w:r>
      <w:r w:rsidR="00573683" w:rsidRPr="00573683">
        <w:rPr>
          <w:noProof/>
          <w:sz w:val="24"/>
          <w:szCs w:val="24"/>
        </w:rPr>
        <w:t>,</w:t>
      </w:r>
      <w:r>
        <w:rPr>
          <w:noProof/>
          <w:sz w:val="24"/>
          <w:szCs w:val="24"/>
        </w:rPr>
        <w:t xml:space="preserve"> since the ranges used for the baseline scenario were already extremely wide: </w:t>
      </w:r>
    </w:p>
    <w:p w14:paraId="18D88AC3" w14:textId="77777777" w:rsidR="003D71F6" w:rsidRDefault="003D71F6" w:rsidP="003D71F6">
      <w:pPr>
        <w:pStyle w:val="ListParagraph"/>
        <w:numPr>
          <w:ilvl w:val="0"/>
          <w:numId w:val="34"/>
        </w:numPr>
        <w:spacing w:after="120"/>
        <w:ind w:left="714" w:hanging="357"/>
        <w:jc w:val="both"/>
        <w:rPr>
          <w:noProof/>
          <w:color w:val="000000" w:themeColor="text1"/>
          <w:sz w:val="24"/>
          <w:szCs w:val="24"/>
        </w:rPr>
      </w:pPr>
      <w:r w:rsidRPr="00E7622D">
        <w:rPr>
          <w:noProof/>
          <w:color w:val="000000" w:themeColor="text1"/>
          <w:sz w:val="24"/>
          <w:szCs w:val="24"/>
        </w:rPr>
        <w:t>The limited data available from selected countries suggests a range between 20,000 and 1,500,000 EUR for compensation paid for</w:t>
      </w:r>
      <w:r w:rsidRPr="00E7622D">
        <w:rPr>
          <w:b/>
          <w:noProof/>
          <w:color w:val="000000" w:themeColor="text1"/>
          <w:sz w:val="24"/>
          <w:szCs w:val="24"/>
        </w:rPr>
        <w:t xml:space="preserve"> deaths.</w:t>
      </w:r>
      <w:r w:rsidRPr="00E7622D">
        <w:rPr>
          <w:noProof/>
          <w:color w:val="000000" w:themeColor="text1"/>
          <w:sz w:val="24"/>
          <w:szCs w:val="24"/>
        </w:rPr>
        <w:t xml:space="preserve"> </w:t>
      </w:r>
    </w:p>
    <w:p w14:paraId="46501DAD" w14:textId="77777777" w:rsidR="003D71F6" w:rsidRDefault="003D71F6" w:rsidP="003D71F6">
      <w:pPr>
        <w:pStyle w:val="ListParagraph"/>
        <w:numPr>
          <w:ilvl w:val="0"/>
          <w:numId w:val="34"/>
        </w:numPr>
        <w:spacing w:after="120"/>
        <w:ind w:left="714" w:hanging="357"/>
        <w:jc w:val="both"/>
        <w:rPr>
          <w:noProof/>
          <w:color w:val="000000" w:themeColor="text1"/>
          <w:sz w:val="24"/>
          <w:szCs w:val="24"/>
        </w:rPr>
      </w:pPr>
      <w:r w:rsidRPr="00E7622D">
        <w:rPr>
          <w:noProof/>
          <w:color w:val="000000" w:themeColor="text1"/>
          <w:sz w:val="24"/>
          <w:szCs w:val="24"/>
        </w:rPr>
        <w:t xml:space="preserve">The compensation paid for </w:t>
      </w:r>
      <w:r w:rsidRPr="00E7622D">
        <w:rPr>
          <w:b/>
          <w:noProof/>
          <w:color w:val="000000" w:themeColor="text1"/>
          <w:sz w:val="24"/>
          <w:szCs w:val="24"/>
        </w:rPr>
        <w:t>personal injuries</w:t>
      </w:r>
      <w:r w:rsidRPr="00E7622D">
        <w:rPr>
          <w:noProof/>
          <w:color w:val="000000" w:themeColor="text1"/>
          <w:sz w:val="24"/>
          <w:szCs w:val="24"/>
        </w:rPr>
        <w:t xml:space="preserve"> varies from 1,500 to 700,000 EUR</w:t>
      </w:r>
      <w:r w:rsidRPr="00827C69">
        <w:rPr>
          <w:rStyle w:val="FootnoteReference"/>
          <w:noProof/>
          <w:color w:val="000000" w:themeColor="text1"/>
          <w:sz w:val="24"/>
          <w:szCs w:val="24"/>
        </w:rPr>
        <w:footnoteReference w:id="291"/>
      </w:r>
      <w:r w:rsidRPr="00E7622D">
        <w:rPr>
          <w:noProof/>
          <w:color w:val="000000" w:themeColor="text1"/>
          <w:sz w:val="24"/>
          <w:szCs w:val="24"/>
        </w:rPr>
        <w:t xml:space="preserve">. </w:t>
      </w:r>
    </w:p>
    <w:p w14:paraId="0A8F5097" w14:textId="77777777" w:rsidR="003D71F6" w:rsidRPr="00E7622D" w:rsidRDefault="003D71F6" w:rsidP="003D71F6">
      <w:pPr>
        <w:pStyle w:val="ListParagraph"/>
        <w:numPr>
          <w:ilvl w:val="0"/>
          <w:numId w:val="34"/>
        </w:numPr>
        <w:spacing w:after="240"/>
        <w:jc w:val="both"/>
        <w:rPr>
          <w:noProof/>
          <w:color w:val="000000" w:themeColor="text1"/>
          <w:sz w:val="24"/>
          <w:szCs w:val="24"/>
        </w:rPr>
      </w:pPr>
      <w:r w:rsidRPr="00E7622D">
        <w:rPr>
          <w:noProof/>
          <w:color w:val="000000" w:themeColor="text1"/>
          <w:sz w:val="24"/>
          <w:szCs w:val="24"/>
        </w:rPr>
        <w:t xml:space="preserve">Finally, </w:t>
      </w:r>
      <w:r w:rsidRPr="00E7622D">
        <w:rPr>
          <w:b/>
          <w:noProof/>
          <w:color w:val="000000" w:themeColor="text1"/>
          <w:sz w:val="24"/>
          <w:szCs w:val="24"/>
        </w:rPr>
        <w:t>property damage</w:t>
      </w:r>
      <w:r w:rsidRPr="00E7622D">
        <w:rPr>
          <w:noProof/>
          <w:sz w:val="24"/>
          <w:szCs w:val="24"/>
        </w:rPr>
        <w:t xml:space="preserve"> </w:t>
      </w:r>
      <w:r w:rsidRPr="00E7622D">
        <w:rPr>
          <w:noProof/>
          <w:color w:val="000000" w:themeColor="text1"/>
          <w:sz w:val="24"/>
          <w:szCs w:val="24"/>
        </w:rPr>
        <w:t>is estimated in a range between 5,000-25,000 EUR.</w:t>
      </w:r>
    </w:p>
    <w:p w14:paraId="417A8A52" w14:textId="46CDC85C" w:rsidR="00E7622D" w:rsidRDefault="003D71F6" w:rsidP="003D71F6">
      <w:pPr>
        <w:pStyle w:val="BodyText"/>
        <w:spacing w:after="240"/>
        <w:rPr>
          <w:noProof/>
          <w:sz w:val="24"/>
          <w:szCs w:val="24"/>
          <w:lang w:val="en-IE"/>
        </w:rPr>
      </w:pPr>
      <w:r>
        <w:rPr>
          <w:noProof/>
          <w:sz w:val="24"/>
          <w:szCs w:val="24"/>
        </w:rPr>
        <w:t>E</w:t>
      </w:r>
      <w:r w:rsidRPr="00573683">
        <w:rPr>
          <w:noProof/>
          <w:sz w:val="24"/>
          <w:szCs w:val="24"/>
        </w:rPr>
        <w:t>vidence collected</w:t>
      </w:r>
      <w:r w:rsidRPr="00573683">
        <w:rPr>
          <w:noProof/>
          <w:vertAlign w:val="superscript"/>
        </w:rPr>
        <w:footnoteReference w:id="292"/>
      </w:r>
      <w:r w:rsidRPr="00573683">
        <w:rPr>
          <w:noProof/>
          <w:sz w:val="24"/>
          <w:szCs w:val="24"/>
        </w:rPr>
        <w:t xml:space="preserve"> through stakeholder consultation </w:t>
      </w:r>
      <w:r w:rsidR="00D35844">
        <w:rPr>
          <w:noProof/>
          <w:sz w:val="24"/>
          <w:szCs w:val="24"/>
        </w:rPr>
        <w:t>for</w:t>
      </w:r>
      <w:r w:rsidRPr="00573683">
        <w:rPr>
          <w:noProof/>
          <w:sz w:val="24"/>
          <w:szCs w:val="24"/>
        </w:rPr>
        <w:t xml:space="preserve"> the IA study 2021-22 confirms the 2018 evaluation’s finding that </w:t>
      </w:r>
      <w:r>
        <w:rPr>
          <w:noProof/>
          <w:sz w:val="24"/>
          <w:szCs w:val="24"/>
        </w:rPr>
        <w:t xml:space="preserve">the </w:t>
      </w:r>
      <w:r w:rsidR="007F1CAC" w:rsidRPr="00573683">
        <w:rPr>
          <w:noProof/>
          <w:sz w:val="24"/>
          <w:szCs w:val="24"/>
        </w:rPr>
        <w:t>financial size of compensation</w:t>
      </w:r>
      <w:r w:rsidR="00D35844">
        <w:rPr>
          <w:noProof/>
          <w:sz w:val="24"/>
          <w:szCs w:val="24"/>
        </w:rPr>
        <w:t xml:space="preserve"> pay-out</w:t>
      </w:r>
      <w:r w:rsidR="007F1CAC" w:rsidRPr="00573683">
        <w:rPr>
          <w:noProof/>
          <w:sz w:val="24"/>
          <w:szCs w:val="24"/>
        </w:rPr>
        <w:t xml:space="preserve">s varies </w:t>
      </w:r>
      <w:r w:rsidR="00D35844">
        <w:rPr>
          <w:noProof/>
          <w:sz w:val="24"/>
          <w:szCs w:val="24"/>
        </w:rPr>
        <w:t xml:space="preserve">widely </w:t>
      </w:r>
      <w:r w:rsidR="007F1CAC" w:rsidRPr="00573683">
        <w:rPr>
          <w:noProof/>
          <w:sz w:val="24"/>
          <w:szCs w:val="24"/>
        </w:rPr>
        <w:t xml:space="preserve">depending on the </w:t>
      </w:r>
      <w:r w:rsidR="00D35844">
        <w:rPr>
          <w:noProof/>
          <w:sz w:val="24"/>
          <w:szCs w:val="24"/>
        </w:rPr>
        <w:t>Member State</w:t>
      </w:r>
      <w:r w:rsidR="007F1CAC" w:rsidRPr="00573683">
        <w:rPr>
          <w:noProof/>
          <w:sz w:val="24"/>
          <w:szCs w:val="24"/>
        </w:rPr>
        <w:t>, the product and sector, the nature and extent of the damage, as well as on the circumstances of individual cases</w:t>
      </w:r>
      <w:r w:rsidR="007F1CAC">
        <w:rPr>
          <w:noProof/>
          <w:sz w:val="24"/>
          <w:szCs w:val="24"/>
        </w:rPr>
        <w:t xml:space="preserve">. </w:t>
      </w:r>
    </w:p>
    <w:p w14:paraId="127CB395" w14:textId="1B710EFE" w:rsidR="00EC2B83" w:rsidRDefault="00EC2B83" w:rsidP="00EC2B83">
      <w:pPr>
        <w:pStyle w:val="BodyText"/>
        <w:spacing w:after="240"/>
        <w:rPr>
          <w:rFonts w:cstheme="minorHAnsi"/>
          <w:noProof/>
          <w:sz w:val="24"/>
          <w:szCs w:val="24"/>
        </w:rPr>
      </w:pPr>
      <w:r>
        <w:rPr>
          <w:noProof/>
          <w:sz w:val="24"/>
          <w:szCs w:val="24"/>
        </w:rPr>
        <w:t xml:space="preserve">The table below summarises the assumptions used to calculate the impacts for each policy option. In particular, </w:t>
      </w:r>
      <w:r w:rsidR="006179C4">
        <w:rPr>
          <w:noProof/>
          <w:sz w:val="24"/>
          <w:szCs w:val="24"/>
        </w:rPr>
        <w:t xml:space="preserve">for each policy options, the table </w:t>
      </w:r>
      <w:r>
        <w:rPr>
          <w:noProof/>
          <w:sz w:val="24"/>
          <w:szCs w:val="24"/>
        </w:rPr>
        <w:t xml:space="preserve">shows the estimated </w:t>
      </w:r>
      <w:r w:rsidRPr="006179C4">
        <w:rPr>
          <w:b/>
          <w:noProof/>
          <w:sz w:val="24"/>
          <w:szCs w:val="24"/>
        </w:rPr>
        <w:t>increase in the number of</w:t>
      </w:r>
      <w:r w:rsidR="00857679" w:rsidRPr="006179C4">
        <w:rPr>
          <w:b/>
          <w:noProof/>
          <w:sz w:val="24"/>
          <w:szCs w:val="24"/>
        </w:rPr>
        <w:t xml:space="preserve"> successful</w:t>
      </w:r>
      <w:r w:rsidRPr="006179C4">
        <w:rPr>
          <w:b/>
          <w:noProof/>
          <w:sz w:val="24"/>
          <w:szCs w:val="24"/>
        </w:rPr>
        <w:t xml:space="preserve"> legal cases</w:t>
      </w:r>
      <w:r>
        <w:rPr>
          <w:noProof/>
          <w:sz w:val="24"/>
          <w:szCs w:val="24"/>
        </w:rPr>
        <w:t xml:space="preserve"> </w:t>
      </w:r>
      <w:r w:rsidR="00B70EAB">
        <w:rPr>
          <w:noProof/>
          <w:sz w:val="24"/>
          <w:szCs w:val="24"/>
        </w:rPr>
        <w:t xml:space="preserve">(in court and out of court) </w:t>
      </w:r>
      <w:r w:rsidRPr="0092098A">
        <w:rPr>
          <w:rFonts w:cstheme="minorHAnsi"/>
          <w:noProof/>
          <w:sz w:val="24"/>
          <w:szCs w:val="24"/>
        </w:rPr>
        <w:t>for the three types of damage covered under the PLD: death, personal injur</w:t>
      </w:r>
      <w:r w:rsidR="00D35844">
        <w:rPr>
          <w:rFonts w:cstheme="minorHAnsi"/>
          <w:noProof/>
          <w:sz w:val="24"/>
          <w:szCs w:val="24"/>
        </w:rPr>
        <w:t>y</w:t>
      </w:r>
      <w:r w:rsidRPr="0092098A">
        <w:rPr>
          <w:rFonts w:cstheme="minorHAnsi"/>
          <w:noProof/>
          <w:sz w:val="24"/>
          <w:szCs w:val="24"/>
        </w:rPr>
        <w:t>, property damage</w:t>
      </w:r>
      <w:r>
        <w:rPr>
          <w:rStyle w:val="FootnoteReference"/>
          <w:noProof/>
          <w:sz w:val="24"/>
          <w:szCs w:val="24"/>
        </w:rPr>
        <w:footnoteReference w:id="293"/>
      </w:r>
      <w:r>
        <w:rPr>
          <w:rFonts w:cstheme="minorHAnsi"/>
          <w:noProof/>
          <w:sz w:val="24"/>
          <w:szCs w:val="24"/>
        </w:rPr>
        <w:t>.</w:t>
      </w:r>
      <w:r w:rsidR="006179C4">
        <w:rPr>
          <w:rFonts w:cstheme="minorHAnsi"/>
          <w:noProof/>
          <w:sz w:val="24"/>
          <w:szCs w:val="24"/>
        </w:rPr>
        <w:t xml:space="preserve"> </w:t>
      </w:r>
    </w:p>
    <w:p w14:paraId="4169C043" w14:textId="67ABC44F" w:rsidR="00DA3188"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9</w:t>
      </w:r>
      <w:r w:rsidRPr="00463BC5">
        <w:rPr>
          <w:noProof/>
          <w:color w:val="auto"/>
          <w:sz w:val="20"/>
        </w:rPr>
        <w:fldChar w:fldCharType="end"/>
      </w:r>
      <w:r w:rsidRPr="00463BC5">
        <w:rPr>
          <w:noProof/>
          <w:color w:val="auto"/>
          <w:sz w:val="20"/>
        </w:rPr>
        <w:t xml:space="preserve">: </w:t>
      </w:r>
      <w:r w:rsidR="00DA3188" w:rsidRPr="00463BC5">
        <w:rPr>
          <w:noProof/>
          <w:color w:val="auto"/>
          <w:sz w:val="20"/>
        </w:rPr>
        <w:t>Changes in variables for the calculation of the benefit under the different policy</w:t>
      </w:r>
      <w:r w:rsidR="00D35844" w:rsidRPr="00463BC5">
        <w:rPr>
          <w:noProof/>
          <w:color w:val="auto"/>
          <w:sz w:val="20"/>
        </w:rPr>
        <w:t xml:space="preserve"> options</w:t>
      </w:r>
      <w:r w:rsidR="00DA3188" w:rsidRPr="00463BC5">
        <w:rPr>
          <w:noProof/>
          <w:color w:val="auto"/>
          <w:sz w:val="20"/>
        </w:rPr>
        <w:t>, compared to baseline</w:t>
      </w:r>
    </w:p>
    <w:tbl>
      <w:tblPr>
        <w:tblW w:w="5000" w:type="pct"/>
        <w:tblLook w:val="04A0" w:firstRow="1" w:lastRow="0" w:firstColumn="1" w:lastColumn="0" w:noHBand="0" w:noVBand="1"/>
      </w:tblPr>
      <w:tblGrid>
        <w:gridCol w:w="1050"/>
        <w:gridCol w:w="2461"/>
        <w:gridCol w:w="2551"/>
        <w:gridCol w:w="2772"/>
      </w:tblGrid>
      <w:tr w:rsidR="00EC2B83" w:rsidRPr="005F4452" w14:paraId="02942B0F" w14:textId="77777777" w:rsidTr="00A81DCE">
        <w:trPr>
          <w:trHeight w:val="20"/>
        </w:trPr>
        <w:tc>
          <w:tcPr>
            <w:tcW w:w="594" w:type="pct"/>
            <w:tcBorders>
              <w:top w:val="single" w:sz="8" w:space="0" w:color="FFFFFF"/>
              <w:left w:val="single" w:sz="8" w:space="0" w:color="FFFFFF"/>
              <w:bottom w:val="single" w:sz="8" w:space="0" w:color="FFFFFF"/>
              <w:right w:val="single" w:sz="8" w:space="0" w:color="FFFFFF"/>
            </w:tcBorders>
            <w:shd w:val="clear" w:color="auto" w:fill="002060"/>
            <w:vAlign w:val="center"/>
          </w:tcPr>
          <w:p w14:paraId="550218B8" w14:textId="77777777" w:rsidR="00EC2B83" w:rsidRPr="00124A82" w:rsidRDefault="00EC2B83" w:rsidP="00C77D30">
            <w:pPr>
              <w:spacing w:after="0" w:line="240" w:lineRule="auto"/>
              <w:jc w:val="center"/>
              <w:rPr>
                <w:rFonts w:cs="Times New Roman"/>
                <w:b/>
                <w:bCs/>
                <w:noProof/>
                <w:color w:val="FFFFFF" w:themeColor="background1"/>
                <w:sz w:val="20"/>
                <w:lang w:eastAsia="en-GB"/>
              </w:rPr>
            </w:pPr>
          </w:p>
        </w:tc>
        <w:tc>
          <w:tcPr>
            <w:tcW w:w="1393" w:type="pct"/>
            <w:tcBorders>
              <w:top w:val="nil"/>
              <w:left w:val="nil"/>
              <w:bottom w:val="single" w:sz="8" w:space="0" w:color="FFFFFF"/>
              <w:right w:val="single" w:sz="8" w:space="0" w:color="FFFFFF"/>
            </w:tcBorders>
            <w:shd w:val="clear" w:color="auto" w:fill="002060"/>
            <w:hideMark/>
          </w:tcPr>
          <w:p w14:paraId="4C7B3085" w14:textId="77777777" w:rsidR="00EC2B83" w:rsidRPr="00124A82" w:rsidRDefault="00EC2B83" w:rsidP="00C77D30">
            <w:pPr>
              <w:spacing w:after="0" w:line="240" w:lineRule="auto"/>
              <w:jc w:val="center"/>
              <w:rPr>
                <w:rFonts w:cs="Times New Roman"/>
                <w:b/>
                <w:bCs/>
                <w:noProof/>
                <w:color w:val="FFFFFF" w:themeColor="background1"/>
                <w:sz w:val="20"/>
                <w:lang w:eastAsia="en-GB"/>
              </w:rPr>
            </w:pPr>
            <w:r w:rsidRPr="00124A82">
              <w:rPr>
                <w:rFonts w:cs="Times New Roman"/>
                <w:b/>
                <w:bCs/>
                <w:noProof/>
                <w:sz w:val="20"/>
              </w:rPr>
              <w:t>Number of legal cases under the PLD in the EU27 per year, related to deaths</w:t>
            </w:r>
          </w:p>
        </w:tc>
        <w:tc>
          <w:tcPr>
            <w:tcW w:w="1444" w:type="pct"/>
            <w:tcBorders>
              <w:top w:val="nil"/>
              <w:left w:val="nil"/>
              <w:bottom w:val="single" w:sz="8" w:space="0" w:color="FFFFFF"/>
              <w:right w:val="single" w:sz="8" w:space="0" w:color="FFFFFF"/>
            </w:tcBorders>
            <w:shd w:val="clear" w:color="auto" w:fill="002060"/>
            <w:hideMark/>
          </w:tcPr>
          <w:p w14:paraId="2D014AD0" w14:textId="77777777" w:rsidR="00EC2B83" w:rsidRPr="00124A82" w:rsidRDefault="00EC2B83" w:rsidP="00C77D30">
            <w:pPr>
              <w:spacing w:after="0" w:line="240" w:lineRule="auto"/>
              <w:jc w:val="center"/>
              <w:rPr>
                <w:rFonts w:cs="Times New Roman"/>
                <w:b/>
                <w:bCs/>
                <w:noProof/>
                <w:color w:val="FFFFFF" w:themeColor="background1"/>
                <w:sz w:val="20"/>
                <w:lang w:eastAsia="en-GB"/>
              </w:rPr>
            </w:pPr>
            <w:r w:rsidRPr="00124A82">
              <w:rPr>
                <w:rFonts w:cs="Times New Roman"/>
                <w:b/>
                <w:bCs/>
                <w:noProof/>
                <w:sz w:val="20"/>
              </w:rPr>
              <w:t>Number of legal cases under the PLD in the EU27 per year, related to personal injuries</w:t>
            </w:r>
          </w:p>
        </w:tc>
        <w:tc>
          <w:tcPr>
            <w:tcW w:w="1569" w:type="pct"/>
            <w:tcBorders>
              <w:top w:val="nil"/>
              <w:left w:val="nil"/>
              <w:bottom w:val="single" w:sz="8" w:space="0" w:color="FFFFFF"/>
              <w:right w:val="single" w:sz="8" w:space="0" w:color="FFFFFF"/>
            </w:tcBorders>
            <w:shd w:val="clear" w:color="auto" w:fill="002060"/>
            <w:hideMark/>
          </w:tcPr>
          <w:p w14:paraId="259FE801" w14:textId="77777777" w:rsidR="00EC2B83" w:rsidRPr="00124A82" w:rsidRDefault="00EC2B83" w:rsidP="00C77D30">
            <w:pPr>
              <w:spacing w:after="0" w:line="240" w:lineRule="auto"/>
              <w:jc w:val="center"/>
              <w:rPr>
                <w:rFonts w:cs="Times New Roman"/>
                <w:b/>
                <w:bCs/>
                <w:noProof/>
                <w:color w:val="FFFFFF" w:themeColor="background1"/>
                <w:sz w:val="20"/>
                <w:lang w:eastAsia="en-GB"/>
              </w:rPr>
            </w:pPr>
            <w:r w:rsidRPr="00124A82">
              <w:rPr>
                <w:rFonts w:cs="Times New Roman"/>
                <w:b/>
                <w:bCs/>
                <w:noProof/>
                <w:sz w:val="20"/>
              </w:rPr>
              <w:t xml:space="preserve">Number of legal cases under the PLD in the EU27 per year, related to damages to property (&gt;500 EUR) </w:t>
            </w:r>
          </w:p>
        </w:tc>
      </w:tr>
      <w:tr w:rsidR="00EC2B83" w:rsidRPr="005F4452" w14:paraId="1A45DDB9" w14:textId="77777777" w:rsidTr="00A81DCE">
        <w:trPr>
          <w:trHeight w:val="265"/>
        </w:trPr>
        <w:tc>
          <w:tcPr>
            <w:tcW w:w="594" w:type="pct"/>
            <w:tcBorders>
              <w:top w:val="nil"/>
              <w:left w:val="nil"/>
              <w:bottom w:val="single" w:sz="8" w:space="0" w:color="FFFFFF"/>
              <w:right w:val="single" w:sz="8" w:space="0" w:color="FFFFFF"/>
            </w:tcBorders>
            <w:shd w:val="clear" w:color="000000" w:fill="002060"/>
            <w:vAlign w:val="center"/>
            <w:hideMark/>
          </w:tcPr>
          <w:p w14:paraId="094496E0" w14:textId="77777777" w:rsidR="00EC2B83" w:rsidRPr="00124A82" w:rsidRDefault="00EC2B83" w:rsidP="00285AED">
            <w:pPr>
              <w:spacing w:after="0" w:line="240" w:lineRule="auto"/>
              <w:jc w:val="center"/>
              <w:rPr>
                <w:rFonts w:cs="Times New Roman"/>
                <w:b/>
                <w:bCs/>
                <w:noProof/>
                <w:color w:val="FFFFFF"/>
                <w:sz w:val="20"/>
                <w:lang w:eastAsia="en-GB"/>
              </w:rPr>
            </w:pPr>
            <w:r>
              <w:rPr>
                <w:rFonts w:cs="Times New Roman"/>
                <w:b/>
                <w:bCs/>
                <w:noProof/>
                <w:sz w:val="20"/>
                <w:lang w:eastAsia="en-GB"/>
              </w:rPr>
              <w:t>PO1a</w:t>
            </w:r>
          </w:p>
        </w:tc>
        <w:tc>
          <w:tcPr>
            <w:tcW w:w="1393" w:type="pct"/>
            <w:tcBorders>
              <w:top w:val="nil"/>
              <w:left w:val="nil"/>
              <w:bottom w:val="single" w:sz="8" w:space="0" w:color="FFFFFF"/>
              <w:right w:val="single" w:sz="8" w:space="0" w:color="FFFFFF"/>
            </w:tcBorders>
            <w:shd w:val="clear" w:color="000000" w:fill="DBDBE0"/>
          </w:tcPr>
          <w:p w14:paraId="6A06B83D" w14:textId="5E1F895E" w:rsidR="00573683" w:rsidRDefault="00573683" w:rsidP="00573683">
            <w:pPr>
              <w:pStyle w:val="ListParagraph"/>
              <w:numPr>
                <w:ilvl w:val="0"/>
                <w:numId w:val="35"/>
              </w:numPr>
              <w:ind w:left="80" w:hanging="142"/>
              <w:rPr>
                <w:iCs/>
                <w:noProof/>
                <w:color w:val="000000"/>
                <w:sz w:val="20"/>
                <w:lang w:eastAsia="en-GB"/>
              </w:rPr>
            </w:pPr>
            <w:r w:rsidRPr="00573683">
              <w:rPr>
                <w:iCs/>
                <w:noProof/>
                <w:color w:val="000000"/>
                <w:sz w:val="20"/>
                <w:lang w:eastAsia="en-GB"/>
              </w:rPr>
              <w:t>1% increase for software developers, i.e. 10% of industry under PLD scope</w:t>
            </w:r>
          </w:p>
          <w:p w14:paraId="7AE5CF36" w14:textId="18B1F8EF" w:rsidR="00573683" w:rsidRDefault="00573683" w:rsidP="00573683">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275CBA3D" w14:textId="22099453" w:rsidR="00EC2B83" w:rsidRPr="00573683" w:rsidRDefault="00573683" w:rsidP="00573683">
            <w:pPr>
              <w:pStyle w:val="ListParagraph"/>
              <w:numPr>
                <w:ilvl w:val="0"/>
                <w:numId w:val="35"/>
              </w:numPr>
              <w:ind w:left="80" w:hanging="142"/>
              <w:rPr>
                <w:iCs/>
                <w:noProof/>
                <w:color w:val="000000"/>
                <w:sz w:val="20"/>
                <w:lang w:eastAsia="en-GB"/>
              </w:rPr>
            </w:pPr>
            <w:r>
              <w:rPr>
                <w:iCs/>
                <w:noProof/>
                <w:color w:val="000000"/>
                <w:sz w:val="20"/>
                <w:lang w:eastAsia="en-GB"/>
              </w:rPr>
              <w:t>1% increase for expanding liability to Authorised Representatives</w:t>
            </w:r>
          </w:p>
        </w:tc>
        <w:tc>
          <w:tcPr>
            <w:tcW w:w="1444" w:type="pct"/>
            <w:tcBorders>
              <w:top w:val="nil"/>
              <w:left w:val="nil"/>
              <w:bottom w:val="single" w:sz="8" w:space="0" w:color="FFFFFF"/>
              <w:right w:val="single" w:sz="8" w:space="0" w:color="FFFFFF"/>
            </w:tcBorders>
            <w:shd w:val="clear" w:color="000000" w:fill="DBDBE0"/>
          </w:tcPr>
          <w:p w14:paraId="76386A70" w14:textId="77777777" w:rsidR="00573683" w:rsidRDefault="00573683" w:rsidP="00573683">
            <w:pPr>
              <w:pStyle w:val="ListParagraph"/>
              <w:numPr>
                <w:ilvl w:val="0"/>
                <w:numId w:val="35"/>
              </w:numPr>
              <w:ind w:left="80" w:hanging="142"/>
              <w:rPr>
                <w:iCs/>
                <w:noProof/>
                <w:color w:val="000000"/>
                <w:sz w:val="20"/>
                <w:lang w:eastAsia="en-GB"/>
              </w:rPr>
            </w:pPr>
            <w:r w:rsidRPr="00573683">
              <w:rPr>
                <w:iCs/>
                <w:noProof/>
                <w:color w:val="000000"/>
                <w:sz w:val="20"/>
                <w:lang w:eastAsia="en-GB"/>
              </w:rPr>
              <w:t>1% increase for software developers, i.e. 10% of industry under PLD scope</w:t>
            </w:r>
          </w:p>
          <w:p w14:paraId="3E5C12BF" w14:textId="77777777" w:rsidR="00753086" w:rsidRDefault="00573683" w:rsidP="00573683">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2B617CBC" w14:textId="7D4AEC66" w:rsidR="00EC2B83" w:rsidRPr="00753086" w:rsidRDefault="00573683" w:rsidP="00573683">
            <w:pPr>
              <w:pStyle w:val="ListParagraph"/>
              <w:numPr>
                <w:ilvl w:val="0"/>
                <w:numId w:val="35"/>
              </w:numPr>
              <w:ind w:left="80" w:hanging="142"/>
              <w:rPr>
                <w:iCs/>
                <w:noProof/>
                <w:color w:val="000000"/>
                <w:sz w:val="20"/>
                <w:lang w:eastAsia="en-GB"/>
              </w:rPr>
            </w:pPr>
            <w:r w:rsidRPr="00753086">
              <w:rPr>
                <w:iCs/>
                <w:noProof/>
                <w:color w:val="000000"/>
                <w:sz w:val="20"/>
                <w:lang w:eastAsia="en-GB"/>
              </w:rPr>
              <w:t>1% increase for expanding liability to Authorised Representatives</w:t>
            </w:r>
          </w:p>
        </w:tc>
        <w:tc>
          <w:tcPr>
            <w:tcW w:w="1569" w:type="pct"/>
            <w:tcBorders>
              <w:top w:val="nil"/>
              <w:left w:val="nil"/>
              <w:bottom w:val="single" w:sz="8" w:space="0" w:color="FFFFFF"/>
              <w:right w:val="single" w:sz="8" w:space="0" w:color="FFFFFF"/>
            </w:tcBorders>
            <w:shd w:val="clear" w:color="000000" w:fill="DBDBE0"/>
          </w:tcPr>
          <w:p w14:paraId="55F5BFEE" w14:textId="77777777" w:rsidR="00573683" w:rsidRDefault="00573683" w:rsidP="00573683">
            <w:pPr>
              <w:pStyle w:val="ListParagraph"/>
              <w:numPr>
                <w:ilvl w:val="0"/>
                <w:numId w:val="35"/>
              </w:numPr>
              <w:ind w:left="80" w:hanging="142"/>
              <w:rPr>
                <w:iCs/>
                <w:noProof/>
                <w:color w:val="000000"/>
                <w:sz w:val="20"/>
                <w:lang w:eastAsia="en-GB"/>
              </w:rPr>
            </w:pPr>
            <w:r w:rsidRPr="00573683">
              <w:rPr>
                <w:iCs/>
                <w:noProof/>
                <w:color w:val="000000"/>
                <w:sz w:val="20"/>
                <w:lang w:eastAsia="en-GB"/>
              </w:rPr>
              <w:t>1% increase for software developers, i.e. 10% of industry under PLD scope</w:t>
            </w:r>
          </w:p>
          <w:p w14:paraId="60EDD90D" w14:textId="77777777" w:rsidR="00753086" w:rsidRDefault="00573683" w:rsidP="00573683">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55FB06EF" w14:textId="687EBB8C" w:rsidR="00EC2B83" w:rsidRPr="00753086" w:rsidRDefault="00573683" w:rsidP="00573683">
            <w:pPr>
              <w:pStyle w:val="ListParagraph"/>
              <w:numPr>
                <w:ilvl w:val="0"/>
                <w:numId w:val="35"/>
              </w:numPr>
              <w:ind w:left="80" w:hanging="142"/>
              <w:rPr>
                <w:iCs/>
                <w:noProof/>
                <w:color w:val="000000"/>
                <w:sz w:val="20"/>
                <w:lang w:eastAsia="en-GB"/>
              </w:rPr>
            </w:pPr>
            <w:r w:rsidRPr="00753086">
              <w:rPr>
                <w:iCs/>
                <w:noProof/>
                <w:color w:val="000000"/>
                <w:sz w:val="20"/>
                <w:lang w:eastAsia="en-GB"/>
              </w:rPr>
              <w:t>1% increase for expanding liability to Authorised Representatives</w:t>
            </w:r>
          </w:p>
        </w:tc>
      </w:tr>
      <w:tr w:rsidR="00EC2B83" w:rsidRPr="005F4452" w14:paraId="02F57243" w14:textId="77777777" w:rsidTr="00A81DCE">
        <w:trPr>
          <w:trHeight w:val="303"/>
        </w:trPr>
        <w:tc>
          <w:tcPr>
            <w:tcW w:w="594" w:type="pct"/>
            <w:tcBorders>
              <w:top w:val="nil"/>
              <w:left w:val="nil"/>
              <w:bottom w:val="single" w:sz="8" w:space="0" w:color="FFFFFF"/>
              <w:right w:val="single" w:sz="8" w:space="0" w:color="FFFFFF"/>
            </w:tcBorders>
            <w:shd w:val="clear" w:color="000000" w:fill="002060"/>
            <w:vAlign w:val="center"/>
            <w:hideMark/>
          </w:tcPr>
          <w:p w14:paraId="0557CABE" w14:textId="77777777" w:rsidR="00EC2B83" w:rsidRPr="00124A82" w:rsidRDefault="00EC2B83" w:rsidP="00285AED">
            <w:pPr>
              <w:spacing w:after="0" w:line="240" w:lineRule="auto"/>
              <w:jc w:val="center"/>
              <w:rPr>
                <w:rFonts w:cs="Times New Roman"/>
                <w:b/>
                <w:bCs/>
                <w:noProof/>
                <w:color w:val="FFFFFF"/>
                <w:sz w:val="20"/>
                <w:lang w:eastAsia="en-GB"/>
              </w:rPr>
            </w:pPr>
            <w:r>
              <w:rPr>
                <w:rFonts w:cs="Times New Roman"/>
                <w:b/>
                <w:bCs/>
                <w:noProof/>
                <w:sz w:val="20"/>
                <w:lang w:eastAsia="en-GB"/>
              </w:rPr>
              <w:t>PO1b</w:t>
            </w:r>
          </w:p>
        </w:tc>
        <w:tc>
          <w:tcPr>
            <w:tcW w:w="1393" w:type="pct"/>
            <w:tcBorders>
              <w:top w:val="nil"/>
              <w:left w:val="nil"/>
              <w:bottom w:val="single" w:sz="8" w:space="0" w:color="FFFFFF"/>
              <w:right w:val="single" w:sz="8" w:space="0" w:color="FFFFFF"/>
            </w:tcBorders>
            <w:shd w:val="clear" w:color="000000" w:fill="DBDBE0"/>
            <w:vAlign w:val="center"/>
          </w:tcPr>
          <w:p w14:paraId="1116BCED" w14:textId="5D10DFDA" w:rsidR="00991FEC" w:rsidRDefault="00991FEC" w:rsidP="00991FEC">
            <w:pPr>
              <w:pStyle w:val="ListParagraph"/>
              <w:numPr>
                <w:ilvl w:val="0"/>
                <w:numId w:val="35"/>
              </w:numPr>
              <w:ind w:left="80" w:hanging="142"/>
              <w:rPr>
                <w:iCs/>
                <w:noProof/>
                <w:color w:val="000000"/>
                <w:sz w:val="20"/>
                <w:lang w:eastAsia="en-GB"/>
              </w:rPr>
            </w:pPr>
            <w:r w:rsidRPr="00573683">
              <w:rPr>
                <w:iCs/>
                <w:noProof/>
                <w:color w:val="000000"/>
                <w:sz w:val="20"/>
                <w:lang w:eastAsia="en-GB"/>
              </w:rPr>
              <w:t>1% increase for software developers, i.e. 10% of industry under PLD scope</w:t>
            </w:r>
          </w:p>
          <w:p w14:paraId="5CBFF3FD" w14:textId="77777777" w:rsidR="00991FEC" w:rsidRDefault="00991FEC" w:rsidP="00991FEC">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140987E9" w14:textId="41DC4322" w:rsidR="00EC2B83" w:rsidRPr="00237C4D" w:rsidRDefault="00237C4D" w:rsidP="00285AED">
            <w:pPr>
              <w:pStyle w:val="ListParagraph"/>
              <w:numPr>
                <w:ilvl w:val="0"/>
                <w:numId w:val="35"/>
              </w:numPr>
              <w:ind w:left="80" w:hanging="142"/>
              <w:rPr>
                <w:iCs/>
                <w:noProof/>
                <w:color w:val="000000"/>
                <w:sz w:val="20"/>
                <w:lang w:eastAsia="en-GB"/>
              </w:rPr>
            </w:pPr>
            <w:r>
              <w:rPr>
                <w:iCs/>
                <w:noProof/>
                <w:color w:val="000000"/>
                <w:sz w:val="20"/>
                <w:lang w:eastAsia="en-GB"/>
              </w:rPr>
              <w:t>1.5% increase for expanding liability to Authorised Representatives and Fulfilment Service Providers</w:t>
            </w:r>
          </w:p>
        </w:tc>
        <w:tc>
          <w:tcPr>
            <w:tcW w:w="1444" w:type="pct"/>
            <w:tcBorders>
              <w:top w:val="nil"/>
              <w:left w:val="nil"/>
              <w:bottom w:val="single" w:sz="8" w:space="0" w:color="FFFFFF"/>
              <w:right w:val="single" w:sz="8" w:space="0" w:color="FFFFFF"/>
            </w:tcBorders>
            <w:shd w:val="clear" w:color="000000" w:fill="DBDBE0"/>
            <w:vAlign w:val="center"/>
          </w:tcPr>
          <w:p w14:paraId="35A91CF3" w14:textId="00E0B4EC" w:rsidR="00991FEC" w:rsidRDefault="00991FEC" w:rsidP="00991FEC">
            <w:pPr>
              <w:pStyle w:val="ListParagraph"/>
              <w:numPr>
                <w:ilvl w:val="0"/>
                <w:numId w:val="35"/>
              </w:numPr>
              <w:ind w:left="80" w:hanging="142"/>
              <w:rPr>
                <w:iCs/>
                <w:noProof/>
                <w:color w:val="000000"/>
                <w:sz w:val="20"/>
                <w:lang w:eastAsia="en-GB"/>
              </w:rPr>
            </w:pPr>
            <w:r>
              <w:rPr>
                <w:iCs/>
                <w:noProof/>
                <w:color w:val="000000"/>
                <w:sz w:val="20"/>
                <w:lang w:eastAsia="en-GB"/>
              </w:rPr>
              <w:t>2</w:t>
            </w:r>
            <w:r w:rsidRPr="00573683">
              <w:rPr>
                <w:iCs/>
                <w:noProof/>
                <w:color w:val="000000"/>
                <w:sz w:val="20"/>
                <w:lang w:eastAsia="en-GB"/>
              </w:rPr>
              <w:t>% for software developers, i.e. 10% of industry under PLD scope</w:t>
            </w:r>
          </w:p>
          <w:p w14:paraId="2343F84E" w14:textId="56B4F7FF" w:rsidR="00991FEC" w:rsidRDefault="00991FEC" w:rsidP="00991FEC">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4CAFA18D" w14:textId="6899A49A" w:rsidR="00EC2B83" w:rsidRPr="00237C4D" w:rsidRDefault="00237C4D" w:rsidP="00237C4D">
            <w:pPr>
              <w:pStyle w:val="ListParagraph"/>
              <w:numPr>
                <w:ilvl w:val="0"/>
                <w:numId w:val="35"/>
              </w:numPr>
              <w:ind w:left="80" w:hanging="142"/>
              <w:rPr>
                <w:iCs/>
                <w:noProof/>
                <w:color w:val="000000"/>
                <w:sz w:val="20"/>
                <w:lang w:eastAsia="en-GB"/>
              </w:rPr>
            </w:pPr>
            <w:r>
              <w:rPr>
                <w:iCs/>
                <w:noProof/>
                <w:color w:val="000000"/>
                <w:sz w:val="20"/>
                <w:lang w:eastAsia="en-GB"/>
              </w:rPr>
              <w:t>1.</w:t>
            </w:r>
            <w:r w:rsidR="0008092A">
              <w:rPr>
                <w:iCs/>
                <w:noProof/>
                <w:color w:val="000000"/>
                <w:sz w:val="20"/>
                <w:lang w:eastAsia="en-GB"/>
              </w:rPr>
              <w:t>5</w:t>
            </w:r>
            <w:r>
              <w:rPr>
                <w:iCs/>
                <w:noProof/>
                <w:color w:val="000000"/>
                <w:sz w:val="20"/>
                <w:lang w:eastAsia="en-GB"/>
              </w:rPr>
              <w:t>% increase for expanding liability to Authorised Representatives and Fulfilment Service Providers</w:t>
            </w:r>
          </w:p>
        </w:tc>
        <w:tc>
          <w:tcPr>
            <w:tcW w:w="1569" w:type="pct"/>
            <w:tcBorders>
              <w:top w:val="nil"/>
              <w:left w:val="nil"/>
              <w:bottom w:val="single" w:sz="8" w:space="0" w:color="FFFFFF"/>
              <w:right w:val="single" w:sz="8" w:space="0" w:color="FFFFFF"/>
            </w:tcBorders>
            <w:shd w:val="clear" w:color="000000" w:fill="DBDBE0"/>
            <w:vAlign w:val="center"/>
          </w:tcPr>
          <w:p w14:paraId="1C6D66AE" w14:textId="438B8734" w:rsidR="00991FEC" w:rsidRDefault="00991FEC" w:rsidP="00991FEC">
            <w:pPr>
              <w:pStyle w:val="ListParagraph"/>
              <w:numPr>
                <w:ilvl w:val="0"/>
                <w:numId w:val="35"/>
              </w:numPr>
              <w:ind w:left="80" w:hanging="142"/>
              <w:rPr>
                <w:iCs/>
                <w:noProof/>
                <w:color w:val="000000"/>
                <w:sz w:val="20"/>
                <w:lang w:eastAsia="en-GB"/>
              </w:rPr>
            </w:pPr>
            <w:r>
              <w:rPr>
                <w:iCs/>
                <w:noProof/>
                <w:color w:val="000000"/>
                <w:sz w:val="20"/>
                <w:lang w:eastAsia="en-GB"/>
              </w:rPr>
              <w:t>2</w:t>
            </w:r>
            <w:r w:rsidRPr="00573683">
              <w:rPr>
                <w:iCs/>
                <w:noProof/>
                <w:color w:val="000000"/>
                <w:sz w:val="20"/>
                <w:lang w:eastAsia="en-GB"/>
              </w:rPr>
              <w:t>% increase for software developers, i.e. 10% of industry under PLD scope</w:t>
            </w:r>
          </w:p>
          <w:p w14:paraId="361E70F2" w14:textId="77777777" w:rsidR="00991FEC" w:rsidRDefault="00991FEC" w:rsidP="00285AED">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p>
          <w:p w14:paraId="55A17D45" w14:textId="77777777" w:rsidR="00EC2B83" w:rsidRDefault="00991FEC" w:rsidP="00237C4D">
            <w:pPr>
              <w:pStyle w:val="ListParagraph"/>
              <w:numPr>
                <w:ilvl w:val="0"/>
                <w:numId w:val="35"/>
              </w:numPr>
              <w:ind w:left="80" w:hanging="142"/>
              <w:rPr>
                <w:iCs/>
                <w:noProof/>
                <w:color w:val="000000"/>
                <w:sz w:val="20"/>
                <w:lang w:eastAsia="en-GB"/>
              </w:rPr>
            </w:pPr>
            <w:r w:rsidRPr="00991FEC">
              <w:rPr>
                <w:iCs/>
                <w:noProof/>
                <w:color w:val="000000"/>
                <w:sz w:val="20"/>
                <w:lang w:eastAsia="en-GB"/>
              </w:rPr>
              <w:t xml:space="preserve">15% </w:t>
            </w:r>
            <w:r>
              <w:rPr>
                <w:iCs/>
                <w:noProof/>
                <w:color w:val="000000"/>
                <w:sz w:val="20"/>
                <w:lang w:eastAsia="en-GB"/>
              </w:rPr>
              <w:t>increase for</w:t>
            </w:r>
            <w:r w:rsidR="00237C4D" w:rsidRPr="00237C4D">
              <w:rPr>
                <w:iCs/>
                <w:noProof/>
                <w:color w:val="000000"/>
                <w:sz w:val="20"/>
                <w:lang w:eastAsia="en-GB"/>
              </w:rPr>
              <w:t xml:space="preserve"> manufacturers of electronic devices</w:t>
            </w:r>
            <w:r w:rsidR="00237C4D">
              <w:rPr>
                <w:iCs/>
                <w:noProof/>
                <w:color w:val="000000"/>
                <w:sz w:val="20"/>
                <w:lang w:eastAsia="en-GB"/>
              </w:rPr>
              <w:t xml:space="preserve">, i.e. </w:t>
            </w:r>
            <w:r w:rsidRPr="00991FEC">
              <w:rPr>
                <w:iCs/>
                <w:noProof/>
                <w:color w:val="000000"/>
                <w:sz w:val="20"/>
                <w:lang w:eastAsia="en-GB"/>
              </w:rPr>
              <w:t>16% of industry under PLD scope</w:t>
            </w:r>
          </w:p>
          <w:p w14:paraId="08D58900" w14:textId="31B101F9" w:rsidR="00237C4D" w:rsidRPr="00237C4D" w:rsidRDefault="00237C4D" w:rsidP="00237C4D">
            <w:pPr>
              <w:pStyle w:val="ListParagraph"/>
              <w:numPr>
                <w:ilvl w:val="0"/>
                <w:numId w:val="35"/>
              </w:numPr>
              <w:ind w:left="80" w:hanging="142"/>
              <w:rPr>
                <w:iCs/>
                <w:noProof/>
                <w:color w:val="000000"/>
                <w:sz w:val="20"/>
                <w:lang w:eastAsia="en-GB"/>
              </w:rPr>
            </w:pPr>
            <w:r>
              <w:rPr>
                <w:iCs/>
                <w:noProof/>
                <w:color w:val="000000"/>
                <w:sz w:val="20"/>
                <w:lang w:eastAsia="en-GB"/>
              </w:rPr>
              <w:t>2% increase for expanding liability to Authorised Representatives and Fulfilment Service Providers</w:t>
            </w:r>
          </w:p>
        </w:tc>
      </w:tr>
      <w:tr w:rsidR="00EC2B83" w:rsidRPr="005F4452" w14:paraId="014B6127" w14:textId="77777777" w:rsidTr="00A81DCE">
        <w:trPr>
          <w:trHeight w:val="20"/>
        </w:trPr>
        <w:tc>
          <w:tcPr>
            <w:tcW w:w="594" w:type="pct"/>
            <w:tcBorders>
              <w:top w:val="nil"/>
              <w:left w:val="nil"/>
              <w:bottom w:val="single" w:sz="8" w:space="0" w:color="FFFFFF"/>
              <w:right w:val="single" w:sz="8" w:space="0" w:color="FFFFFF"/>
            </w:tcBorders>
            <w:shd w:val="clear" w:color="000000" w:fill="002060"/>
            <w:vAlign w:val="center"/>
            <w:hideMark/>
          </w:tcPr>
          <w:p w14:paraId="1D2D1CBB" w14:textId="77777777" w:rsidR="00EC2B83" w:rsidRPr="00124A82" w:rsidRDefault="00EC2B83" w:rsidP="00285AED">
            <w:pPr>
              <w:spacing w:after="0" w:line="240" w:lineRule="auto"/>
              <w:jc w:val="center"/>
              <w:rPr>
                <w:rFonts w:cs="Times New Roman"/>
                <w:b/>
                <w:bCs/>
                <w:noProof/>
                <w:color w:val="FFFFFF"/>
                <w:sz w:val="20"/>
                <w:lang w:eastAsia="en-GB"/>
              </w:rPr>
            </w:pPr>
            <w:r>
              <w:rPr>
                <w:rFonts w:cs="Times New Roman"/>
                <w:b/>
                <w:bCs/>
                <w:noProof/>
                <w:sz w:val="20"/>
                <w:lang w:eastAsia="en-GB"/>
              </w:rPr>
              <w:t>PO1c</w:t>
            </w:r>
          </w:p>
        </w:tc>
        <w:tc>
          <w:tcPr>
            <w:tcW w:w="1393" w:type="pct"/>
            <w:tcBorders>
              <w:top w:val="nil"/>
              <w:left w:val="nil"/>
              <w:bottom w:val="single" w:sz="8" w:space="0" w:color="FFFFFF"/>
              <w:right w:val="single" w:sz="8" w:space="0" w:color="FFFFFF"/>
            </w:tcBorders>
            <w:shd w:val="clear" w:color="000000" w:fill="DBDBE0"/>
            <w:vAlign w:val="center"/>
          </w:tcPr>
          <w:p w14:paraId="31E42163" w14:textId="77777777" w:rsidR="0008092A" w:rsidRDefault="0008092A" w:rsidP="0008092A">
            <w:pPr>
              <w:pStyle w:val="ListParagraph"/>
              <w:numPr>
                <w:ilvl w:val="0"/>
                <w:numId w:val="35"/>
              </w:numPr>
              <w:ind w:left="80" w:hanging="142"/>
              <w:rPr>
                <w:iCs/>
                <w:noProof/>
                <w:color w:val="000000"/>
                <w:sz w:val="20"/>
                <w:lang w:eastAsia="en-GB"/>
              </w:rPr>
            </w:pPr>
            <w:r w:rsidRPr="00573683">
              <w:rPr>
                <w:iCs/>
                <w:noProof/>
                <w:color w:val="000000"/>
                <w:sz w:val="20"/>
                <w:lang w:eastAsia="en-GB"/>
              </w:rPr>
              <w:t>1% increase for software developers, i.e. 10% of industry under PLD scope</w:t>
            </w:r>
          </w:p>
          <w:p w14:paraId="5ECE39F0" w14:textId="77777777" w:rsidR="00A81DCE" w:rsidRDefault="0008092A" w:rsidP="00285AED">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p>
          <w:p w14:paraId="66B3E1BD" w14:textId="13A93E78" w:rsidR="00EC2B83" w:rsidRPr="00A81DCE" w:rsidRDefault="00A81DCE" w:rsidP="00285AED">
            <w:pPr>
              <w:pStyle w:val="ListParagraph"/>
              <w:numPr>
                <w:ilvl w:val="0"/>
                <w:numId w:val="35"/>
              </w:numPr>
              <w:ind w:left="80" w:hanging="142"/>
              <w:rPr>
                <w:iCs/>
                <w:noProof/>
                <w:color w:val="000000"/>
                <w:sz w:val="20"/>
                <w:lang w:eastAsia="en-GB"/>
              </w:rPr>
            </w:pPr>
            <w:r w:rsidRPr="00A81DCE">
              <w:rPr>
                <w:iCs/>
                <w:noProof/>
                <w:color w:val="000000"/>
                <w:sz w:val="20"/>
                <w:lang w:eastAsia="en-GB"/>
              </w:rPr>
              <w:t>1.5% increase for expanding liability to Authorised Representatives and Fulfilment Service Providers</w:t>
            </w:r>
          </w:p>
        </w:tc>
        <w:tc>
          <w:tcPr>
            <w:tcW w:w="1444" w:type="pct"/>
            <w:tcBorders>
              <w:top w:val="nil"/>
              <w:left w:val="nil"/>
              <w:bottom w:val="single" w:sz="8" w:space="0" w:color="FFFFFF"/>
              <w:right w:val="single" w:sz="8" w:space="0" w:color="FFFFFF"/>
            </w:tcBorders>
            <w:shd w:val="clear" w:color="000000" w:fill="DBDBE0"/>
            <w:vAlign w:val="center"/>
          </w:tcPr>
          <w:p w14:paraId="6F0CA8D0" w14:textId="0BB529B9" w:rsidR="0008092A" w:rsidRDefault="0008092A" w:rsidP="0008092A">
            <w:pPr>
              <w:pStyle w:val="ListParagraph"/>
              <w:numPr>
                <w:ilvl w:val="0"/>
                <w:numId w:val="35"/>
              </w:numPr>
              <w:ind w:left="80" w:hanging="142"/>
              <w:rPr>
                <w:iCs/>
                <w:noProof/>
                <w:color w:val="000000"/>
                <w:sz w:val="20"/>
                <w:lang w:eastAsia="en-GB"/>
              </w:rPr>
            </w:pPr>
            <w:r>
              <w:rPr>
                <w:iCs/>
                <w:noProof/>
                <w:color w:val="000000"/>
                <w:sz w:val="20"/>
                <w:lang w:eastAsia="en-GB"/>
              </w:rPr>
              <w:t>4</w:t>
            </w:r>
            <w:r w:rsidRPr="00573683">
              <w:rPr>
                <w:iCs/>
                <w:noProof/>
                <w:color w:val="000000"/>
                <w:sz w:val="20"/>
                <w:lang w:eastAsia="en-GB"/>
              </w:rPr>
              <w:t>% increase for software developers, i.e. 10% of industry under PLD scope</w:t>
            </w:r>
          </w:p>
          <w:p w14:paraId="7AAD68B0" w14:textId="77777777" w:rsidR="0008092A" w:rsidRDefault="0008092A" w:rsidP="0008092A">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33A87741" w14:textId="77777777" w:rsidR="00A81DCE" w:rsidRDefault="0008092A" w:rsidP="00285AED">
            <w:pPr>
              <w:pStyle w:val="ListParagraph"/>
              <w:numPr>
                <w:ilvl w:val="0"/>
                <w:numId w:val="35"/>
              </w:numPr>
              <w:ind w:left="80" w:hanging="142"/>
              <w:rPr>
                <w:iCs/>
                <w:noProof/>
                <w:color w:val="000000"/>
                <w:sz w:val="20"/>
                <w:lang w:eastAsia="en-GB"/>
              </w:rPr>
            </w:pPr>
            <w:r w:rsidRPr="00991FEC">
              <w:rPr>
                <w:iCs/>
                <w:noProof/>
                <w:color w:val="000000"/>
                <w:sz w:val="20"/>
                <w:lang w:eastAsia="en-GB"/>
              </w:rPr>
              <w:t xml:space="preserve">15% </w:t>
            </w:r>
            <w:r>
              <w:rPr>
                <w:iCs/>
                <w:noProof/>
                <w:color w:val="000000"/>
                <w:sz w:val="20"/>
                <w:lang w:eastAsia="en-GB"/>
              </w:rPr>
              <w:t>increase for</w:t>
            </w:r>
            <w:r w:rsidRPr="00237C4D">
              <w:rPr>
                <w:iCs/>
                <w:noProof/>
                <w:color w:val="000000"/>
                <w:sz w:val="20"/>
                <w:lang w:eastAsia="en-GB"/>
              </w:rPr>
              <w:t xml:space="preserve"> manufacturers of electronic devices</w:t>
            </w:r>
            <w:r>
              <w:rPr>
                <w:iCs/>
                <w:noProof/>
                <w:color w:val="000000"/>
                <w:sz w:val="20"/>
                <w:lang w:eastAsia="en-GB"/>
              </w:rPr>
              <w:t xml:space="preserve">, i.e. </w:t>
            </w:r>
            <w:r w:rsidRPr="00991FEC">
              <w:rPr>
                <w:iCs/>
                <w:noProof/>
                <w:color w:val="000000"/>
                <w:sz w:val="20"/>
                <w:lang w:eastAsia="en-GB"/>
              </w:rPr>
              <w:t>16% of industry under PLD scope</w:t>
            </w:r>
          </w:p>
          <w:p w14:paraId="1DE7FC29" w14:textId="55A84694" w:rsidR="00EC2B83" w:rsidRPr="00A81DCE" w:rsidRDefault="00A81DCE" w:rsidP="00285AED">
            <w:pPr>
              <w:pStyle w:val="ListParagraph"/>
              <w:numPr>
                <w:ilvl w:val="0"/>
                <w:numId w:val="35"/>
              </w:numPr>
              <w:ind w:left="80" w:hanging="142"/>
              <w:rPr>
                <w:iCs/>
                <w:noProof/>
                <w:color w:val="000000"/>
                <w:sz w:val="20"/>
                <w:lang w:eastAsia="en-GB"/>
              </w:rPr>
            </w:pPr>
            <w:r w:rsidRPr="00A81DCE">
              <w:rPr>
                <w:iCs/>
                <w:noProof/>
                <w:color w:val="000000"/>
                <w:sz w:val="20"/>
                <w:lang w:eastAsia="en-GB"/>
              </w:rPr>
              <w:t>1.5% increase for expanding liability to Authorised Representatives and Fulfilment Service Providers</w:t>
            </w:r>
          </w:p>
        </w:tc>
        <w:tc>
          <w:tcPr>
            <w:tcW w:w="1569" w:type="pct"/>
            <w:tcBorders>
              <w:top w:val="nil"/>
              <w:left w:val="nil"/>
              <w:bottom w:val="single" w:sz="8" w:space="0" w:color="FFFFFF"/>
              <w:right w:val="single" w:sz="8" w:space="0" w:color="FFFFFF"/>
            </w:tcBorders>
            <w:shd w:val="clear" w:color="000000" w:fill="DBDBE0"/>
            <w:vAlign w:val="center"/>
          </w:tcPr>
          <w:p w14:paraId="7D4DB348" w14:textId="261CB8DA" w:rsidR="0008092A" w:rsidRDefault="0008092A" w:rsidP="0008092A">
            <w:pPr>
              <w:pStyle w:val="ListParagraph"/>
              <w:numPr>
                <w:ilvl w:val="0"/>
                <w:numId w:val="35"/>
              </w:numPr>
              <w:ind w:left="80" w:hanging="142"/>
              <w:rPr>
                <w:iCs/>
                <w:noProof/>
                <w:color w:val="000000"/>
                <w:sz w:val="20"/>
                <w:lang w:eastAsia="en-GB"/>
              </w:rPr>
            </w:pPr>
            <w:r>
              <w:rPr>
                <w:iCs/>
                <w:noProof/>
                <w:color w:val="000000"/>
                <w:sz w:val="20"/>
                <w:lang w:eastAsia="en-GB"/>
              </w:rPr>
              <w:t>4</w:t>
            </w:r>
            <w:r w:rsidRPr="00573683">
              <w:rPr>
                <w:iCs/>
                <w:noProof/>
                <w:color w:val="000000"/>
                <w:sz w:val="20"/>
                <w:lang w:eastAsia="en-GB"/>
              </w:rPr>
              <w:t>% increase for software developers, i.e. 10% of industry under PLD scope</w:t>
            </w:r>
          </w:p>
          <w:p w14:paraId="77426050" w14:textId="77777777" w:rsidR="0008092A" w:rsidRDefault="0008092A" w:rsidP="0008092A">
            <w:pPr>
              <w:pStyle w:val="ListParagraph"/>
              <w:numPr>
                <w:ilvl w:val="0"/>
                <w:numId w:val="35"/>
              </w:numPr>
              <w:ind w:left="80" w:hanging="142"/>
              <w:rPr>
                <w:iCs/>
                <w:noProof/>
                <w:color w:val="000000"/>
                <w:sz w:val="20"/>
                <w:lang w:eastAsia="en-GB"/>
              </w:rPr>
            </w:pPr>
            <w:r w:rsidRPr="00573683">
              <w:rPr>
                <w:iCs/>
                <w:noProof/>
                <w:color w:val="000000"/>
                <w:sz w:val="20"/>
                <w:lang w:eastAsia="en-GB"/>
              </w:rPr>
              <w:t xml:space="preserve">1.5% </w:t>
            </w:r>
            <w:r>
              <w:rPr>
                <w:iCs/>
                <w:noProof/>
                <w:color w:val="000000"/>
                <w:sz w:val="20"/>
                <w:lang w:eastAsia="en-GB"/>
              </w:rPr>
              <w:t xml:space="preserve">increase </w:t>
            </w:r>
            <w:r w:rsidRPr="00573683">
              <w:rPr>
                <w:iCs/>
                <w:noProof/>
                <w:color w:val="000000"/>
                <w:sz w:val="20"/>
                <w:lang w:eastAsia="en-GB"/>
              </w:rPr>
              <w:t>for remanufacturers and refurbishers</w:t>
            </w:r>
            <w:r>
              <w:rPr>
                <w:iCs/>
                <w:noProof/>
                <w:color w:val="000000"/>
                <w:sz w:val="20"/>
                <w:lang w:eastAsia="en-GB"/>
              </w:rPr>
              <w:t xml:space="preserve">, i.e. </w:t>
            </w:r>
            <w:r w:rsidRPr="00573683">
              <w:rPr>
                <w:iCs/>
                <w:noProof/>
                <w:color w:val="000000"/>
                <w:sz w:val="20"/>
                <w:lang w:eastAsia="en-GB"/>
              </w:rPr>
              <w:t>2%</w:t>
            </w:r>
            <w:r>
              <w:rPr>
                <w:iCs/>
                <w:noProof/>
                <w:color w:val="000000"/>
                <w:sz w:val="20"/>
                <w:lang w:eastAsia="en-GB"/>
              </w:rPr>
              <w:t xml:space="preserve"> of industry under PLD scope</w:t>
            </w:r>
            <w:r w:rsidRPr="00573683">
              <w:rPr>
                <w:iCs/>
                <w:noProof/>
                <w:color w:val="000000"/>
                <w:sz w:val="20"/>
                <w:lang w:eastAsia="en-GB"/>
              </w:rPr>
              <w:t xml:space="preserve"> </w:t>
            </w:r>
          </w:p>
          <w:p w14:paraId="69AE6B33" w14:textId="05E5A278" w:rsidR="0008092A" w:rsidRDefault="0008092A" w:rsidP="0008092A">
            <w:pPr>
              <w:pStyle w:val="ListParagraph"/>
              <w:numPr>
                <w:ilvl w:val="0"/>
                <w:numId w:val="35"/>
              </w:numPr>
              <w:ind w:left="80" w:hanging="142"/>
              <w:rPr>
                <w:iCs/>
                <w:noProof/>
                <w:color w:val="000000"/>
                <w:sz w:val="20"/>
                <w:lang w:eastAsia="en-GB"/>
              </w:rPr>
            </w:pPr>
            <w:r>
              <w:rPr>
                <w:iCs/>
                <w:noProof/>
                <w:color w:val="000000"/>
                <w:sz w:val="20"/>
                <w:lang w:eastAsia="en-GB"/>
              </w:rPr>
              <w:t>2</w:t>
            </w:r>
            <w:r w:rsidRPr="00991FEC">
              <w:rPr>
                <w:iCs/>
                <w:noProof/>
                <w:color w:val="000000"/>
                <w:sz w:val="20"/>
                <w:lang w:eastAsia="en-GB"/>
              </w:rPr>
              <w:t xml:space="preserve">5% </w:t>
            </w:r>
            <w:r>
              <w:rPr>
                <w:iCs/>
                <w:noProof/>
                <w:color w:val="000000"/>
                <w:sz w:val="20"/>
                <w:lang w:eastAsia="en-GB"/>
              </w:rPr>
              <w:t>increase for</w:t>
            </w:r>
            <w:r w:rsidRPr="00237C4D">
              <w:rPr>
                <w:iCs/>
                <w:noProof/>
                <w:color w:val="000000"/>
                <w:sz w:val="20"/>
                <w:lang w:eastAsia="en-GB"/>
              </w:rPr>
              <w:t xml:space="preserve"> manufacturers of electronic devices</w:t>
            </w:r>
            <w:r>
              <w:rPr>
                <w:iCs/>
                <w:noProof/>
                <w:color w:val="000000"/>
                <w:sz w:val="20"/>
                <w:lang w:eastAsia="en-GB"/>
              </w:rPr>
              <w:t xml:space="preserve">, i.e. </w:t>
            </w:r>
            <w:r w:rsidRPr="00991FEC">
              <w:rPr>
                <w:iCs/>
                <w:noProof/>
                <w:color w:val="000000"/>
                <w:sz w:val="20"/>
                <w:lang w:eastAsia="en-GB"/>
              </w:rPr>
              <w:t>16% of industry under PLD scope</w:t>
            </w:r>
          </w:p>
          <w:p w14:paraId="67C164F8" w14:textId="5B4F3B56" w:rsidR="00EC2B83" w:rsidRPr="00A81DCE" w:rsidRDefault="00A81DCE" w:rsidP="00285AED">
            <w:pPr>
              <w:pStyle w:val="ListParagraph"/>
              <w:numPr>
                <w:ilvl w:val="0"/>
                <w:numId w:val="35"/>
              </w:numPr>
              <w:ind w:left="80" w:hanging="142"/>
              <w:rPr>
                <w:iCs/>
                <w:noProof/>
                <w:color w:val="000000"/>
                <w:sz w:val="20"/>
                <w:lang w:eastAsia="en-GB"/>
              </w:rPr>
            </w:pPr>
            <w:r>
              <w:rPr>
                <w:iCs/>
                <w:noProof/>
                <w:color w:val="000000"/>
                <w:sz w:val="20"/>
                <w:lang w:eastAsia="en-GB"/>
              </w:rPr>
              <w:t>2% increase for expanding liability to Authorised Representatives and Fulfilment Service Providers</w:t>
            </w:r>
          </w:p>
        </w:tc>
      </w:tr>
      <w:tr w:rsidR="00EC2B83" w:rsidRPr="00EF0FCD" w14:paraId="0959501C" w14:textId="77777777" w:rsidTr="00A81DCE">
        <w:trPr>
          <w:trHeight w:val="20"/>
        </w:trPr>
        <w:tc>
          <w:tcPr>
            <w:tcW w:w="594" w:type="pct"/>
            <w:tcBorders>
              <w:top w:val="nil"/>
              <w:left w:val="nil"/>
              <w:bottom w:val="single" w:sz="8" w:space="0" w:color="FFFFFF"/>
              <w:right w:val="single" w:sz="8" w:space="0" w:color="FFFFFF"/>
            </w:tcBorders>
            <w:shd w:val="clear" w:color="000000" w:fill="002060"/>
            <w:vAlign w:val="center"/>
            <w:hideMark/>
          </w:tcPr>
          <w:p w14:paraId="43DACD97" w14:textId="77777777" w:rsidR="00EC2B83" w:rsidRPr="00EF0FCD" w:rsidRDefault="00EC2B83" w:rsidP="00285AED">
            <w:pPr>
              <w:spacing w:after="0" w:line="240" w:lineRule="auto"/>
              <w:jc w:val="center"/>
              <w:rPr>
                <w:rFonts w:cs="Times New Roman"/>
                <w:b/>
                <w:bCs/>
                <w:noProof/>
                <w:color w:val="FFFFFF"/>
                <w:sz w:val="20"/>
                <w:lang w:eastAsia="en-GB"/>
              </w:rPr>
            </w:pPr>
            <w:r w:rsidRPr="00EF0FCD">
              <w:rPr>
                <w:rFonts w:cs="Times New Roman"/>
                <w:b/>
                <w:bCs/>
                <w:noProof/>
                <w:sz w:val="20"/>
                <w:lang w:eastAsia="en-GB"/>
              </w:rPr>
              <w:t>PO2a</w:t>
            </w:r>
          </w:p>
        </w:tc>
        <w:tc>
          <w:tcPr>
            <w:tcW w:w="1393" w:type="pct"/>
            <w:tcBorders>
              <w:top w:val="nil"/>
              <w:left w:val="nil"/>
              <w:bottom w:val="single" w:sz="8" w:space="0" w:color="FFFFFF"/>
              <w:right w:val="single" w:sz="8" w:space="0" w:color="FFFFFF"/>
            </w:tcBorders>
            <w:shd w:val="clear" w:color="000000" w:fill="DBDBE0"/>
            <w:vAlign w:val="center"/>
          </w:tcPr>
          <w:p w14:paraId="4E17CDD6" w14:textId="5D19C611" w:rsidR="006A64C3" w:rsidRPr="00EF0FCD" w:rsidRDefault="006A64C3"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 xml:space="preserve">7% increase for </w:t>
            </w:r>
            <w:r w:rsidR="005F3968" w:rsidRPr="00EF0FCD">
              <w:rPr>
                <w:iCs/>
                <w:noProof/>
                <w:color w:val="000000"/>
                <w:sz w:val="20"/>
                <w:lang w:eastAsia="en-GB"/>
              </w:rPr>
              <w:t xml:space="preserve">easing the burden of proof for </w:t>
            </w:r>
            <w:r w:rsidRPr="00EF0FCD">
              <w:rPr>
                <w:iCs/>
                <w:noProof/>
                <w:color w:val="000000"/>
                <w:sz w:val="20"/>
                <w:lang w:eastAsia="en-GB"/>
              </w:rPr>
              <w:t xml:space="preserve">complex products, i.e. manufacturers of electronic devices counting for 16% of industry under PLD scope </w:t>
            </w:r>
            <w:r w:rsidR="005F3968" w:rsidRPr="00EF0FCD">
              <w:rPr>
                <w:iCs/>
                <w:noProof/>
                <w:color w:val="000000"/>
                <w:sz w:val="20"/>
                <w:lang w:eastAsia="en-GB"/>
              </w:rPr>
              <w:t>+</w:t>
            </w:r>
            <w:r w:rsidRPr="00EF0FCD">
              <w:rPr>
                <w:iCs/>
                <w:noProof/>
                <w:color w:val="000000"/>
                <w:sz w:val="20"/>
                <w:lang w:eastAsia="en-GB"/>
              </w:rPr>
              <w:t xml:space="preserve"> </w:t>
            </w:r>
            <w:r w:rsidR="005F3968" w:rsidRPr="00EF0FCD">
              <w:rPr>
                <w:iCs/>
                <w:noProof/>
                <w:color w:val="000000"/>
                <w:sz w:val="20"/>
                <w:lang w:eastAsia="en-GB"/>
              </w:rPr>
              <w:t>pharmaceutical products and pharmaceutical preparations counting for 4% of industry under PLD scope</w:t>
            </w:r>
          </w:p>
          <w:p w14:paraId="3C0DEB14" w14:textId="73B54FA0" w:rsidR="00EC2B83"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2% increase for reducing restrictions in making claims</w:t>
            </w:r>
          </w:p>
        </w:tc>
        <w:tc>
          <w:tcPr>
            <w:tcW w:w="1444" w:type="pct"/>
            <w:tcBorders>
              <w:top w:val="nil"/>
              <w:left w:val="nil"/>
              <w:bottom w:val="single" w:sz="8" w:space="0" w:color="FFFFFF"/>
              <w:right w:val="single" w:sz="8" w:space="0" w:color="FFFFFF"/>
            </w:tcBorders>
            <w:shd w:val="clear" w:color="000000" w:fill="DBDBE0"/>
            <w:vAlign w:val="center"/>
          </w:tcPr>
          <w:p w14:paraId="3B5F3E59" w14:textId="77777777" w:rsidR="005F3968"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7% increase for easing the burden of proof for complex products, i.e. manufacturers of electronic devices counting for 16% of industry under PLD scope + pharmaceutical products and pharmaceutical preparations counting for 4% of industry under PLD scope</w:t>
            </w:r>
          </w:p>
          <w:p w14:paraId="7D003FAB" w14:textId="2DDD490A" w:rsidR="00EC2B83"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2% increase for reducing restrictions in making claims</w:t>
            </w:r>
          </w:p>
        </w:tc>
        <w:tc>
          <w:tcPr>
            <w:tcW w:w="1569" w:type="pct"/>
            <w:tcBorders>
              <w:top w:val="nil"/>
              <w:left w:val="nil"/>
              <w:bottom w:val="single" w:sz="8" w:space="0" w:color="FFFFFF"/>
              <w:right w:val="single" w:sz="8" w:space="0" w:color="FFFFFF"/>
            </w:tcBorders>
            <w:shd w:val="clear" w:color="000000" w:fill="DBDBE0"/>
            <w:vAlign w:val="center"/>
          </w:tcPr>
          <w:p w14:paraId="6C7984EE" w14:textId="77777777" w:rsidR="005F3968"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7% increase for easing the burden of proof for complex products, i.e. manufacturers of electronic devices counting for 16% of industry under PLD scope + pharmaceutical products and pharmaceutical preparations counting for 4% of industry under PLD scope</w:t>
            </w:r>
          </w:p>
          <w:p w14:paraId="0D97886C" w14:textId="5F7441CE" w:rsidR="00EC2B83"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 xml:space="preserve"> 2% increase for reducing restrictions in making claims</w:t>
            </w:r>
          </w:p>
        </w:tc>
      </w:tr>
      <w:tr w:rsidR="00EC2B83" w:rsidRPr="005F4452" w14:paraId="725A98C2" w14:textId="77777777" w:rsidTr="00A81DCE">
        <w:trPr>
          <w:trHeight w:val="20"/>
        </w:trPr>
        <w:tc>
          <w:tcPr>
            <w:tcW w:w="594" w:type="pct"/>
            <w:tcBorders>
              <w:top w:val="nil"/>
              <w:left w:val="nil"/>
              <w:bottom w:val="single" w:sz="8" w:space="0" w:color="FFFFFF"/>
              <w:right w:val="single" w:sz="8" w:space="0" w:color="FFFFFF"/>
            </w:tcBorders>
            <w:shd w:val="clear" w:color="000000" w:fill="002060"/>
            <w:vAlign w:val="center"/>
            <w:hideMark/>
          </w:tcPr>
          <w:p w14:paraId="4262F07A" w14:textId="77777777" w:rsidR="00EC2B83" w:rsidRPr="00EF0FCD" w:rsidRDefault="00EC2B83" w:rsidP="00285AED">
            <w:pPr>
              <w:spacing w:after="0" w:line="240" w:lineRule="auto"/>
              <w:jc w:val="center"/>
              <w:rPr>
                <w:rFonts w:cs="Times New Roman"/>
                <w:b/>
                <w:bCs/>
                <w:noProof/>
                <w:color w:val="FFFFFF"/>
                <w:sz w:val="20"/>
                <w:lang w:eastAsia="en-GB"/>
              </w:rPr>
            </w:pPr>
            <w:r w:rsidRPr="00EF0FCD">
              <w:rPr>
                <w:rFonts w:cs="Times New Roman"/>
                <w:b/>
                <w:bCs/>
                <w:noProof/>
                <w:sz w:val="20"/>
                <w:lang w:eastAsia="en-GB"/>
              </w:rPr>
              <w:t>PO2b</w:t>
            </w:r>
          </w:p>
        </w:tc>
        <w:tc>
          <w:tcPr>
            <w:tcW w:w="1393" w:type="pct"/>
            <w:tcBorders>
              <w:top w:val="nil"/>
              <w:left w:val="nil"/>
              <w:bottom w:val="single" w:sz="8" w:space="0" w:color="FFFFFF"/>
              <w:right w:val="single" w:sz="8" w:space="0" w:color="FFFFFF"/>
            </w:tcBorders>
            <w:shd w:val="clear" w:color="000000" w:fill="DBDBE0"/>
            <w:vAlign w:val="center"/>
          </w:tcPr>
          <w:p w14:paraId="37812C54" w14:textId="7D194E09" w:rsidR="005F3968"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12% increase for reversing the burden of proof for all products</w:t>
            </w:r>
          </w:p>
          <w:p w14:paraId="68B05BE6" w14:textId="5695F483" w:rsidR="00EC2B83"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5% increase for further reducing restrictions</w:t>
            </w:r>
            <w:r w:rsidR="00A71B86">
              <w:rPr>
                <w:iCs/>
                <w:noProof/>
                <w:color w:val="000000"/>
                <w:sz w:val="20"/>
                <w:lang w:eastAsia="en-GB"/>
              </w:rPr>
              <w:t xml:space="preserve"> in making claims</w:t>
            </w:r>
          </w:p>
        </w:tc>
        <w:tc>
          <w:tcPr>
            <w:tcW w:w="1444" w:type="pct"/>
            <w:tcBorders>
              <w:top w:val="nil"/>
              <w:left w:val="nil"/>
              <w:bottom w:val="single" w:sz="8" w:space="0" w:color="FFFFFF"/>
              <w:right w:val="single" w:sz="8" w:space="0" w:color="FFFFFF"/>
            </w:tcBorders>
            <w:shd w:val="clear" w:color="000000" w:fill="DBDBE0"/>
            <w:vAlign w:val="center"/>
          </w:tcPr>
          <w:p w14:paraId="057C78DF" w14:textId="77777777" w:rsidR="005F3968"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12% increase for reversing the burden of proof for all products</w:t>
            </w:r>
          </w:p>
          <w:p w14:paraId="50C26FC1" w14:textId="70360F16" w:rsidR="00EC2B83" w:rsidRPr="00EF0FCD" w:rsidRDefault="005F3968" w:rsidP="00A71B86">
            <w:pPr>
              <w:pStyle w:val="ListParagraph"/>
              <w:numPr>
                <w:ilvl w:val="0"/>
                <w:numId w:val="35"/>
              </w:numPr>
              <w:ind w:left="80" w:hanging="142"/>
              <w:rPr>
                <w:iCs/>
                <w:noProof/>
                <w:color w:val="000000"/>
                <w:sz w:val="20"/>
                <w:lang w:eastAsia="en-GB"/>
              </w:rPr>
            </w:pPr>
            <w:r w:rsidRPr="00EF0FCD">
              <w:rPr>
                <w:iCs/>
                <w:noProof/>
                <w:color w:val="000000"/>
                <w:sz w:val="20"/>
                <w:lang w:eastAsia="en-GB"/>
              </w:rPr>
              <w:t>5% increase for further reducing restrictions</w:t>
            </w:r>
            <w:r w:rsidR="00A71B86">
              <w:rPr>
                <w:iCs/>
                <w:noProof/>
                <w:color w:val="000000"/>
                <w:sz w:val="20"/>
                <w:lang w:eastAsia="en-GB"/>
              </w:rPr>
              <w:t xml:space="preserve"> in making claims</w:t>
            </w:r>
          </w:p>
        </w:tc>
        <w:tc>
          <w:tcPr>
            <w:tcW w:w="1569" w:type="pct"/>
            <w:tcBorders>
              <w:top w:val="nil"/>
              <w:left w:val="nil"/>
              <w:bottom w:val="single" w:sz="8" w:space="0" w:color="FFFFFF"/>
              <w:right w:val="single" w:sz="8" w:space="0" w:color="FFFFFF"/>
            </w:tcBorders>
            <w:shd w:val="clear" w:color="000000" w:fill="DBDBE0"/>
            <w:vAlign w:val="center"/>
          </w:tcPr>
          <w:p w14:paraId="4E3A1860" w14:textId="77777777" w:rsidR="005F3968"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12% increase for reversing the burden of proof for all products</w:t>
            </w:r>
          </w:p>
          <w:p w14:paraId="4E4619DA" w14:textId="6FF1C5CF" w:rsidR="00EC2B83" w:rsidRPr="00EF0FCD" w:rsidRDefault="005F3968" w:rsidP="005F3968">
            <w:pPr>
              <w:pStyle w:val="ListParagraph"/>
              <w:numPr>
                <w:ilvl w:val="0"/>
                <w:numId w:val="35"/>
              </w:numPr>
              <w:ind w:left="80" w:hanging="142"/>
              <w:rPr>
                <w:iCs/>
                <w:noProof/>
                <w:color w:val="000000"/>
                <w:sz w:val="20"/>
                <w:lang w:eastAsia="en-GB"/>
              </w:rPr>
            </w:pPr>
            <w:r w:rsidRPr="00EF0FCD">
              <w:rPr>
                <w:iCs/>
                <w:noProof/>
                <w:color w:val="000000"/>
                <w:sz w:val="20"/>
                <w:lang w:eastAsia="en-GB"/>
              </w:rPr>
              <w:t>5% increase for further reducing restrictions</w:t>
            </w:r>
            <w:r w:rsidR="00A71B86">
              <w:rPr>
                <w:iCs/>
                <w:noProof/>
                <w:color w:val="000000"/>
                <w:sz w:val="20"/>
                <w:lang w:eastAsia="en-GB"/>
              </w:rPr>
              <w:t xml:space="preserve"> in making claims</w:t>
            </w:r>
          </w:p>
        </w:tc>
      </w:tr>
    </w:tbl>
    <w:p w14:paraId="18A33F25" w14:textId="5696431A" w:rsidR="00EC2B83" w:rsidRPr="00AC4406" w:rsidRDefault="00EC2B83" w:rsidP="00EC2B83">
      <w:pPr>
        <w:pStyle w:val="BodyText"/>
        <w:spacing w:after="240"/>
        <w:rPr>
          <w:i/>
          <w:noProof/>
          <w:sz w:val="20"/>
        </w:rPr>
      </w:pPr>
      <w:r w:rsidRPr="00FD29A4">
        <w:rPr>
          <w:i/>
          <w:noProof/>
          <w:sz w:val="20"/>
        </w:rPr>
        <w:t>Source</w:t>
      </w:r>
      <w:r w:rsidR="008A39A5">
        <w:rPr>
          <w:i/>
          <w:noProof/>
          <w:sz w:val="20"/>
        </w:rPr>
        <w:t xml:space="preserve">: </w:t>
      </w:r>
      <w:r w:rsidR="008A39A5" w:rsidRPr="008A39A5">
        <w:rPr>
          <w:i/>
          <w:noProof/>
          <w:sz w:val="20"/>
        </w:rPr>
        <w:t>CSES, Wavestone, CSIL (2022)</w:t>
      </w:r>
    </w:p>
    <w:p w14:paraId="49BA1AE0" w14:textId="7148F1B3" w:rsidR="00EC2B83" w:rsidRDefault="006179C4" w:rsidP="00EC2B83">
      <w:pPr>
        <w:pStyle w:val="BodyText"/>
        <w:spacing w:after="240"/>
        <w:rPr>
          <w:noProof/>
          <w:sz w:val="24"/>
        </w:rPr>
      </w:pPr>
      <w:r>
        <w:rPr>
          <w:noProof/>
          <w:sz w:val="24"/>
        </w:rPr>
        <w:t xml:space="preserve">The increase number of successful cases multiplied by the average compensation pay-outs provide the </w:t>
      </w:r>
      <w:r w:rsidR="00EC2B83" w:rsidRPr="000D4B81">
        <w:rPr>
          <w:noProof/>
          <w:sz w:val="24"/>
        </w:rPr>
        <w:t xml:space="preserve">incremental </w:t>
      </w:r>
      <w:r w:rsidR="00F35D09">
        <w:rPr>
          <w:noProof/>
          <w:sz w:val="24"/>
        </w:rPr>
        <w:t xml:space="preserve">benefits, i.e. increase in the </w:t>
      </w:r>
      <w:r w:rsidR="0064488A">
        <w:rPr>
          <w:noProof/>
          <w:sz w:val="24"/>
        </w:rPr>
        <w:t>compensation</w:t>
      </w:r>
      <w:r w:rsidR="00F35D09">
        <w:rPr>
          <w:noProof/>
          <w:sz w:val="24"/>
        </w:rPr>
        <w:t xml:space="preserve"> pay-outs to victims, </w:t>
      </w:r>
      <w:r w:rsidR="00EC2B83" w:rsidRPr="000D4B81">
        <w:rPr>
          <w:noProof/>
          <w:sz w:val="24"/>
        </w:rPr>
        <w:t>compared to the baseline scenario.</w:t>
      </w:r>
      <w:r w:rsidR="00EC2B83">
        <w:rPr>
          <w:noProof/>
          <w:sz w:val="24"/>
        </w:rPr>
        <w:t xml:space="preserve"> </w:t>
      </w:r>
      <w:r w:rsidR="00FE193D">
        <w:rPr>
          <w:noProof/>
          <w:sz w:val="24"/>
        </w:rPr>
        <w:t>Results are shown in the following table</w:t>
      </w:r>
      <w:r w:rsidR="00FE193D">
        <w:rPr>
          <w:rStyle w:val="FootnoteReference"/>
          <w:noProof/>
          <w:sz w:val="24"/>
        </w:rPr>
        <w:footnoteReference w:id="294"/>
      </w:r>
      <w:r w:rsidR="00FE193D">
        <w:rPr>
          <w:noProof/>
          <w:sz w:val="24"/>
        </w:rPr>
        <w:t xml:space="preserve">. </w:t>
      </w:r>
    </w:p>
    <w:p w14:paraId="4C0E8D81" w14:textId="2A38D693" w:rsidR="002F5F39"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10</w:t>
      </w:r>
      <w:r w:rsidRPr="00463BC5">
        <w:rPr>
          <w:noProof/>
          <w:color w:val="auto"/>
          <w:sz w:val="20"/>
        </w:rPr>
        <w:fldChar w:fldCharType="end"/>
      </w:r>
      <w:r w:rsidRPr="00463BC5">
        <w:rPr>
          <w:noProof/>
          <w:color w:val="auto"/>
          <w:sz w:val="20"/>
        </w:rPr>
        <w:t xml:space="preserve">: </w:t>
      </w:r>
      <w:r w:rsidR="002F5F39" w:rsidRPr="00463BC5">
        <w:rPr>
          <w:noProof/>
          <w:color w:val="auto"/>
          <w:sz w:val="20"/>
        </w:rPr>
        <w:t xml:space="preserve">Annual benefit of </w:t>
      </w:r>
      <w:r w:rsidR="001C5197" w:rsidRPr="00463BC5">
        <w:rPr>
          <w:noProof/>
          <w:color w:val="auto"/>
          <w:sz w:val="20"/>
        </w:rPr>
        <w:t>consumers’</w:t>
      </w:r>
      <w:r w:rsidR="002F5F39" w:rsidRPr="00463BC5">
        <w:rPr>
          <w:noProof/>
          <w:color w:val="auto"/>
          <w:sz w:val="20"/>
        </w:rPr>
        <w:t xml:space="preserve"> protection (increased compensation) under the different policy packages (EUR million)</w:t>
      </w:r>
    </w:p>
    <w:tbl>
      <w:tblPr>
        <w:tblW w:w="4290" w:type="pct"/>
        <w:jc w:val="center"/>
        <w:tblLook w:val="04A0" w:firstRow="1" w:lastRow="0" w:firstColumn="1" w:lastColumn="0" w:noHBand="0" w:noVBand="1"/>
      </w:tblPr>
      <w:tblGrid>
        <w:gridCol w:w="1484"/>
        <w:gridCol w:w="2990"/>
        <w:gridCol w:w="3106"/>
      </w:tblGrid>
      <w:tr w:rsidR="001C5197" w14:paraId="72C35E6E" w14:textId="77777777" w:rsidTr="00285AED">
        <w:trPr>
          <w:tblHeader/>
          <w:jc w:val="center"/>
        </w:trPr>
        <w:tc>
          <w:tcPr>
            <w:tcW w:w="9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3A5D234" w14:textId="77777777" w:rsidR="001C5197" w:rsidRPr="00463BC5" w:rsidRDefault="001C5197" w:rsidP="00C77D30">
            <w:pPr>
              <w:spacing w:after="0" w:line="240" w:lineRule="auto"/>
              <w:jc w:val="center"/>
              <w:rPr>
                <w:bCs/>
                <w:noProof/>
                <w:sz w:val="20"/>
              </w:rPr>
            </w:pPr>
          </w:p>
        </w:tc>
        <w:tc>
          <w:tcPr>
            <w:tcW w:w="19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B7DCBAB" w14:textId="77777777" w:rsidR="001C5197" w:rsidRPr="00463BC5" w:rsidRDefault="001C5197" w:rsidP="00C77D30">
            <w:pPr>
              <w:spacing w:after="0" w:line="240" w:lineRule="auto"/>
              <w:jc w:val="center"/>
              <w:rPr>
                <w:b/>
                <w:bCs/>
                <w:noProof/>
                <w:sz w:val="20"/>
              </w:rPr>
            </w:pPr>
            <w:r w:rsidRPr="00463BC5">
              <w:rPr>
                <w:noProof/>
                <w:sz w:val="20"/>
              </w:rPr>
              <w:t>Incremental benefit compared to baseline (low)</w:t>
            </w:r>
          </w:p>
        </w:tc>
        <w:tc>
          <w:tcPr>
            <w:tcW w:w="20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0C077DF" w14:textId="77777777" w:rsidR="001C5197" w:rsidRPr="00463BC5" w:rsidRDefault="001C5197" w:rsidP="00C77D30">
            <w:pPr>
              <w:spacing w:after="0" w:line="240" w:lineRule="auto"/>
              <w:jc w:val="center"/>
              <w:rPr>
                <w:b/>
                <w:bCs/>
                <w:noProof/>
                <w:sz w:val="20"/>
              </w:rPr>
            </w:pPr>
            <w:r w:rsidRPr="00463BC5">
              <w:rPr>
                <w:noProof/>
                <w:sz w:val="20"/>
              </w:rPr>
              <w:t>Incremental benefit compared to baseline (high)</w:t>
            </w:r>
          </w:p>
        </w:tc>
      </w:tr>
      <w:tr w:rsidR="001C5197" w14:paraId="482918C7" w14:textId="77777777" w:rsidTr="00285AED">
        <w:trPr>
          <w:trHeight w:val="337"/>
          <w:jc w:val="center"/>
        </w:trPr>
        <w:tc>
          <w:tcPr>
            <w:tcW w:w="9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4C0A998C" w14:textId="4BD672CD" w:rsidR="001C5197" w:rsidRPr="00463BC5" w:rsidRDefault="00463BC5" w:rsidP="00285AED">
            <w:pPr>
              <w:spacing w:after="0" w:line="240" w:lineRule="auto"/>
              <w:jc w:val="center"/>
              <w:rPr>
                <w:rFonts w:cstheme="minorHAnsi"/>
                <w:b/>
                <w:bCs/>
                <w:noProof/>
                <w:sz w:val="20"/>
              </w:rPr>
            </w:pPr>
            <w:r>
              <w:rPr>
                <w:rFonts w:cstheme="minorHAnsi"/>
                <w:b/>
                <w:bCs/>
                <w:noProof/>
                <w:sz w:val="20"/>
              </w:rPr>
              <w:t>PO1a</w:t>
            </w:r>
          </w:p>
        </w:tc>
        <w:tc>
          <w:tcPr>
            <w:tcW w:w="19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DB17157" w14:textId="5BAF75C4" w:rsidR="001C5197" w:rsidRPr="00463BC5" w:rsidRDefault="006F5512" w:rsidP="00A16903">
            <w:pPr>
              <w:spacing w:after="0" w:line="240" w:lineRule="auto"/>
              <w:jc w:val="center"/>
              <w:rPr>
                <w:rFonts w:cstheme="minorHAnsi"/>
                <w:noProof/>
                <w:sz w:val="20"/>
                <w:highlight w:val="yellow"/>
              </w:rPr>
            </w:pPr>
            <w:r w:rsidRPr="00463BC5">
              <w:rPr>
                <w:noProof/>
                <w:sz w:val="20"/>
              </w:rPr>
              <w:t>0.0</w:t>
            </w:r>
            <w:r w:rsidR="00A16903" w:rsidRPr="00463BC5">
              <w:rPr>
                <w:noProof/>
                <w:sz w:val="20"/>
              </w:rPr>
              <w:t>7</w:t>
            </w:r>
          </w:p>
        </w:tc>
        <w:tc>
          <w:tcPr>
            <w:tcW w:w="20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CC4E244" w14:textId="3BC986D7" w:rsidR="001C5197" w:rsidRPr="00463BC5" w:rsidRDefault="00A16903" w:rsidP="00A16903">
            <w:pPr>
              <w:spacing w:after="0" w:line="240" w:lineRule="auto"/>
              <w:jc w:val="center"/>
              <w:rPr>
                <w:rFonts w:cstheme="minorHAnsi"/>
                <w:noProof/>
                <w:sz w:val="20"/>
                <w:highlight w:val="yellow"/>
              </w:rPr>
            </w:pPr>
            <w:r w:rsidRPr="00463BC5">
              <w:rPr>
                <w:noProof/>
                <w:sz w:val="20"/>
              </w:rPr>
              <w:t>14.47</w:t>
            </w:r>
            <w:r w:rsidRPr="00463BC5" w:rsidDel="00A16903">
              <w:rPr>
                <w:noProof/>
                <w:sz w:val="20"/>
              </w:rPr>
              <w:t xml:space="preserve"> </w:t>
            </w:r>
          </w:p>
        </w:tc>
      </w:tr>
      <w:tr w:rsidR="001C5197" w14:paraId="1D0BD562" w14:textId="77777777" w:rsidTr="00285AED">
        <w:trPr>
          <w:trHeight w:val="337"/>
          <w:jc w:val="center"/>
        </w:trPr>
        <w:tc>
          <w:tcPr>
            <w:tcW w:w="9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BA86E78" w14:textId="6BBC5B04" w:rsidR="001C5197" w:rsidRPr="00463BC5" w:rsidRDefault="00463BC5" w:rsidP="00285AED">
            <w:pPr>
              <w:spacing w:after="0" w:line="240" w:lineRule="auto"/>
              <w:jc w:val="center"/>
              <w:rPr>
                <w:rFonts w:cstheme="minorHAnsi"/>
                <w:b/>
                <w:bCs/>
                <w:noProof/>
                <w:sz w:val="20"/>
              </w:rPr>
            </w:pPr>
            <w:r>
              <w:rPr>
                <w:rFonts w:cstheme="minorHAnsi"/>
                <w:b/>
                <w:bCs/>
                <w:noProof/>
                <w:sz w:val="20"/>
              </w:rPr>
              <w:t>PO1b</w:t>
            </w:r>
          </w:p>
        </w:tc>
        <w:tc>
          <w:tcPr>
            <w:tcW w:w="19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7A2EC2D" w14:textId="3A246B43" w:rsidR="001C5197" w:rsidRPr="00463BC5" w:rsidRDefault="001C5197" w:rsidP="00A16903">
            <w:pPr>
              <w:spacing w:after="0" w:line="240" w:lineRule="auto"/>
              <w:jc w:val="center"/>
              <w:rPr>
                <w:noProof/>
                <w:sz w:val="20"/>
                <w:highlight w:val="yellow"/>
              </w:rPr>
            </w:pPr>
            <w:r w:rsidRPr="00463BC5">
              <w:rPr>
                <w:noProof/>
                <w:sz w:val="20"/>
              </w:rPr>
              <w:t>0.</w:t>
            </w:r>
            <w:r w:rsidR="00527627" w:rsidRPr="00463BC5">
              <w:rPr>
                <w:noProof/>
                <w:sz w:val="20"/>
              </w:rPr>
              <w:t>1</w:t>
            </w:r>
            <w:r w:rsidR="00A16903" w:rsidRPr="00463BC5">
              <w:rPr>
                <w:noProof/>
                <w:sz w:val="20"/>
              </w:rPr>
              <w:t>5</w:t>
            </w:r>
          </w:p>
        </w:tc>
        <w:tc>
          <w:tcPr>
            <w:tcW w:w="20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5DAFC3E" w14:textId="4C5B45BB" w:rsidR="001C5197" w:rsidRPr="00463BC5" w:rsidRDefault="00A16903" w:rsidP="00A16903">
            <w:pPr>
              <w:spacing w:after="0" w:line="240" w:lineRule="auto"/>
              <w:jc w:val="center"/>
              <w:rPr>
                <w:noProof/>
                <w:sz w:val="20"/>
                <w:highlight w:val="yellow"/>
              </w:rPr>
            </w:pPr>
            <w:r w:rsidRPr="00463BC5">
              <w:rPr>
                <w:noProof/>
                <w:sz w:val="20"/>
              </w:rPr>
              <w:t>22.13</w:t>
            </w:r>
            <w:r w:rsidRPr="00463BC5" w:rsidDel="00A16903">
              <w:rPr>
                <w:noProof/>
                <w:sz w:val="20"/>
              </w:rPr>
              <w:t xml:space="preserve"> </w:t>
            </w:r>
          </w:p>
        </w:tc>
      </w:tr>
      <w:tr w:rsidR="001C5197" w14:paraId="00E4E97A" w14:textId="77777777" w:rsidTr="00285AED">
        <w:trPr>
          <w:trHeight w:val="337"/>
          <w:jc w:val="center"/>
        </w:trPr>
        <w:tc>
          <w:tcPr>
            <w:tcW w:w="9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A05BFF4" w14:textId="42679E5F" w:rsidR="001C5197" w:rsidRPr="00463BC5" w:rsidRDefault="00463BC5" w:rsidP="00285AED">
            <w:pPr>
              <w:spacing w:after="0" w:line="240" w:lineRule="auto"/>
              <w:jc w:val="center"/>
              <w:rPr>
                <w:rFonts w:cstheme="minorHAnsi"/>
                <w:b/>
                <w:bCs/>
                <w:noProof/>
                <w:sz w:val="20"/>
              </w:rPr>
            </w:pPr>
            <w:r>
              <w:rPr>
                <w:rFonts w:cstheme="minorHAnsi"/>
                <w:b/>
                <w:bCs/>
                <w:noProof/>
                <w:sz w:val="20"/>
              </w:rPr>
              <w:t>PO1c</w:t>
            </w:r>
          </w:p>
        </w:tc>
        <w:tc>
          <w:tcPr>
            <w:tcW w:w="19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79A1EC0C" w14:textId="1153D2A6" w:rsidR="001C5197" w:rsidRPr="00463BC5" w:rsidRDefault="001C5197" w:rsidP="00A16903">
            <w:pPr>
              <w:spacing w:after="0" w:line="240" w:lineRule="auto"/>
              <w:jc w:val="center"/>
              <w:rPr>
                <w:noProof/>
                <w:sz w:val="20"/>
                <w:highlight w:val="yellow"/>
              </w:rPr>
            </w:pPr>
            <w:r w:rsidRPr="00463BC5">
              <w:rPr>
                <w:noProof/>
                <w:sz w:val="20"/>
              </w:rPr>
              <w:t>0.</w:t>
            </w:r>
            <w:r w:rsidR="00527627" w:rsidRPr="00463BC5">
              <w:rPr>
                <w:noProof/>
                <w:sz w:val="20"/>
              </w:rPr>
              <w:t>1</w:t>
            </w:r>
            <w:r w:rsidR="00A16903" w:rsidRPr="00463BC5">
              <w:rPr>
                <w:noProof/>
                <w:sz w:val="20"/>
              </w:rPr>
              <w:t>7</w:t>
            </w:r>
          </w:p>
        </w:tc>
        <w:tc>
          <w:tcPr>
            <w:tcW w:w="20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09074FD" w14:textId="46CA10EB" w:rsidR="001C5197" w:rsidRPr="00463BC5" w:rsidRDefault="00A16903" w:rsidP="00A16903">
            <w:pPr>
              <w:spacing w:after="0" w:line="240" w:lineRule="auto"/>
              <w:jc w:val="center"/>
              <w:rPr>
                <w:noProof/>
                <w:sz w:val="20"/>
                <w:highlight w:val="yellow"/>
              </w:rPr>
            </w:pPr>
            <w:r w:rsidRPr="00463BC5">
              <w:rPr>
                <w:noProof/>
                <w:sz w:val="20"/>
              </w:rPr>
              <w:t>47.70</w:t>
            </w:r>
            <w:r w:rsidRPr="00463BC5" w:rsidDel="00A16903">
              <w:rPr>
                <w:noProof/>
                <w:sz w:val="20"/>
              </w:rPr>
              <w:t xml:space="preserve"> </w:t>
            </w:r>
          </w:p>
        </w:tc>
      </w:tr>
      <w:tr w:rsidR="001C5197" w14:paraId="793CCDF2" w14:textId="77777777" w:rsidTr="00285AED">
        <w:trPr>
          <w:trHeight w:val="337"/>
          <w:jc w:val="center"/>
        </w:trPr>
        <w:tc>
          <w:tcPr>
            <w:tcW w:w="9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8DD9F72" w14:textId="31B88375" w:rsidR="001C5197" w:rsidRPr="00463BC5" w:rsidRDefault="00463BC5" w:rsidP="00285AED">
            <w:pPr>
              <w:spacing w:after="0" w:line="240" w:lineRule="auto"/>
              <w:jc w:val="center"/>
              <w:rPr>
                <w:rFonts w:cstheme="minorHAnsi"/>
                <w:b/>
                <w:bCs/>
                <w:noProof/>
                <w:sz w:val="20"/>
              </w:rPr>
            </w:pPr>
            <w:r>
              <w:rPr>
                <w:rFonts w:cstheme="minorHAnsi"/>
                <w:b/>
                <w:bCs/>
                <w:noProof/>
                <w:sz w:val="20"/>
              </w:rPr>
              <w:t>PO2a</w:t>
            </w:r>
          </w:p>
        </w:tc>
        <w:tc>
          <w:tcPr>
            <w:tcW w:w="19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93AC61D" w14:textId="38F7A11D" w:rsidR="001C5197" w:rsidRPr="00463BC5" w:rsidRDefault="001C5197" w:rsidP="00A16903">
            <w:pPr>
              <w:spacing w:after="0" w:line="240" w:lineRule="auto"/>
              <w:jc w:val="center"/>
              <w:rPr>
                <w:noProof/>
                <w:sz w:val="20"/>
                <w:highlight w:val="yellow"/>
              </w:rPr>
            </w:pPr>
            <w:r w:rsidRPr="00463BC5">
              <w:rPr>
                <w:noProof/>
                <w:sz w:val="20"/>
              </w:rPr>
              <w:t>0.</w:t>
            </w:r>
            <w:r w:rsidR="00A16903" w:rsidRPr="00463BC5">
              <w:rPr>
                <w:noProof/>
                <w:sz w:val="20"/>
              </w:rPr>
              <w:t>20</w:t>
            </w:r>
          </w:p>
        </w:tc>
        <w:tc>
          <w:tcPr>
            <w:tcW w:w="20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69EE825" w14:textId="7A2640CF" w:rsidR="001C5197" w:rsidRPr="00463BC5" w:rsidRDefault="00A16903" w:rsidP="00A16903">
            <w:pPr>
              <w:spacing w:after="0" w:line="240" w:lineRule="auto"/>
              <w:jc w:val="center"/>
              <w:rPr>
                <w:noProof/>
                <w:sz w:val="20"/>
                <w:highlight w:val="yellow"/>
              </w:rPr>
            </w:pPr>
            <w:r w:rsidRPr="00463BC5">
              <w:rPr>
                <w:noProof/>
                <w:sz w:val="20"/>
              </w:rPr>
              <w:t>43.54</w:t>
            </w:r>
            <w:r w:rsidRPr="00463BC5" w:rsidDel="00A16903">
              <w:rPr>
                <w:noProof/>
                <w:sz w:val="20"/>
              </w:rPr>
              <w:t xml:space="preserve"> </w:t>
            </w:r>
          </w:p>
        </w:tc>
      </w:tr>
      <w:tr w:rsidR="001C5197" w14:paraId="0D7BD45A" w14:textId="77777777" w:rsidTr="00285AED">
        <w:trPr>
          <w:trHeight w:val="337"/>
          <w:jc w:val="center"/>
        </w:trPr>
        <w:tc>
          <w:tcPr>
            <w:tcW w:w="9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2CB5BC72" w14:textId="4FD7A270" w:rsidR="001C5197" w:rsidRPr="00463BC5" w:rsidRDefault="00463BC5" w:rsidP="00285AED">
            <w:pPr>
              <w:spacing w:after="0" w:line="240" w:lineRule="auto"/>
              <w:jc w:val="center"/>
              <w:rPr>
                <w:rFonts w:cstheme="minorHAnsi"/>
                <w:b/>
                <w:bCs/>
                <w:noProof/>
                <w:sz w:val="20"/>
              </w:rPr>
            </w:pPr>
            <w:r>
              <w:rPr>
                <w:rFonts w:cstheme="minorHAnsi"/>
                <w:b/>
                <w:bCs/>
                <w:noProof/>
                <w:sz w:val="20"/>
              </w:rPr>
              <w:t>PO2b</w:t>
            </w:r>
          </w:p>
        </w:tc>
        <w:tc>
          <w:tcPr>
            <w:tcW w:w="19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30B1AE2" w14:textId="1D9C5AFE" w:rsidR="001C5197" w:rsidRPr="00463BC5" w:rsidRDefault="00527627" w:rsidP="00A16903">
            <w:pPr>
              <w:spacing w:after="0" w:line="240" w:lineRule="auto"/>
              <w:jc w:val="center"/>
              <w:rPr>
                <w:noProof/>
                <w:sz w:val="20"/>
                <w:highlight w:val="yellow"/>
              </w:rPr>
            </w:pPr>
            <w:r w:rsidRPr="00463BC5">
              <w:rPr>
                <w:noProof/>
                <w:sz w:val="20"/>
              </w:rPr>
              <w:t>0.</w:t>
            </w:r>
            <w:r w:rsidR="00A16903" w:rsidRPr="00463BC5">
              <w:rPr>
                <w:noProof/>
                <w:sz w:val="20"/>
              </w:rPr>
              <w:t>99</w:t>
            </w:r>
          </w:p>
        </w:tc>
        <w:tc>
          <w:tcPr>
            <w:tcW w:w="20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8115F25" w14:textId="72C644E4" w:rsidR="001C5197" w:rsidRPr="00463BC5" w:rsidRDefault="00A16903" w:rsidP="00A16903">
            <w:pPr>
              <w:spacing w:after="0" w:line="240" w:lineRule="auto"/>
              <w:jc w:val="center"/>
              <w:rPr>
                <w:noProof/>
                <w:sz w:val="20"/>
                <w:highlight w:val="yellow"/>
              </w:rPr>
            </w:pPr>
            <w:r w:rsidRPr="00463BC5">
              <w:rPr>
                <w:noProof/>
                <w:sz w:val="20"/>
              </w:rPr>
              <w:t>217.70</w:t>
            </w:r>
            <w:r w:rsidRPr="00463BC5" w:rsidDel="00A16903">
              <w:rPr>
                <w:noProof/>
                <w:sz w:val="20"/>
              </w:rPr>
              <w:t xml:space="preserve"> </w:t>
            </w:r>
          </w:p>
        </w:tc>
      </w:tr>
    </w:tbl>
    <w:p w14:paraId="628E463A" w14:textId="3387BA9C" w:rsidR="00EC2B83" w:rsidRDefault="00EC2B83" w:rsidP="00EC2B83">
      <w:pPr>
        <w:pStyle w:val="BodyText"/>
        <w:spacing w:after="240"/>
        <w:rPr>
          <w:noProof/>
          <w:sz w:val="24"/>
        </w:rPr>
      </w:pPr>
      <w:r>
        <w:rPr>
          <w:noProof/>
        </w:rPr>
        <w:br/>
      </w:r>
      <w:r w:rsidRPr="001C5197">
        <w:rPr>
          <w:noProof/>
          <w:sz w:val="24"/>
        </w:rPr>
        <w:t>Compensation paid to victims, thus benefits for consumers, increases with the increase of the level of intervention of the policy options.</w:t>
      </w:r>
    </w:p>
    <w:p w14:paraId="223BE314" w14:textId="7B5934F5" w:rsidR="001C5197" w:rsidRPr="00A479AA" w:rsidRDefault="002E7937" w:rsidP="002E7937">
      <w:pPr>
        <w:pStyle w:val="Heading1"/>
        <w:rPr>
          <w:noProof/>
        </w:rPr>
      </w:pPr>
      <w:bookmarkStart w:id="1033" w:name="_Toc97191315"/>
      <w:bookmarkStart w:id="1034" w:name="_Toc107430125"/>
      <w:r w:rsidRPr="002E7937">
        <w:t>4.2.</w:t>
      </w:r>
      <w:r w:rsidRPr="002E7937">
        <w:tab/>
      </w:r>
      <w:r w:rsidR="001C5197">
        <w:rPr>
          <w:noProof/>
        </w:rPr>
        <w:t>Assessment of the costs</w:t>
      </w:r>
      <w:r w:rsidR="001C5197" w:rsidRPr="00A479AA">
        <w:rPr>
          <w:noProof/>
        </w:rPr>
        <w:t xml:space="preserve"> </w:t>
      </w:r>
      <w:r w:rsidR="001C5197" w:rsidRPr="00124A82">
        <w:rPr>
          <w:noProof/>
        </w:rPr>
        <w:t>attributable to strict liability under the PLD</w:t>
      </w:r>
      <w:bookmarkEnd w:id="1033"/>
      <w:bookmarkEnd w:id="1034"/>
    </w:p>
    <w:p w14:paraId="1EDDDEB2" w14:textId="4AD979EE" w:rsidR="001C5197" w:rsidRDefault="001C5197" w:rsidP="001C5197">
      <w:pPr>
        <w:pStyle w:val="BodyText"/>
        <w:spacing w:after="240"/>
        <w:rPr>
          <w:noProof/>
          <w:sz w:val="24"/>
        </w:rPr>
      </w:pPr>
      <w:r w:rsidRPr="00F93AEF">
        <w:rPr>
          <w:noProof/>
          <w:sz w:val="24"/>
        </w:rPr>
        <w:t xml:space="preserve">The </w:t>
      </w:r>
      <w:r w:rsidRPr="00FE7DCB">
        <w:rPr>
          <w:noProof/>
          <w:sz w:val="24"/>
        </w:rPr>
        <w:t xml:space="preserve">main </w:t>
      </w:r>
      <w:r w:rsidR="00FE7DCB" w:rsidRPr="00FE7DCB">
        <w:rPr>
          <w:noProof/>
          <w:sz w:val="24"/>
        </w:rPr>
        <w:t>quantified</w:t>
      </w:r>
      <w:r w:rsidR="00FE7DCB">
        <w:rPr>
          <w:b/>
          <w:noProof/>
          <w:sz w:val="24"/>
        </w:rPr>
        <w:t xml:space="preserve"> </w:t>
      </w:r>
      <w:r w:rsidRPr="00F93AEF">
        <w:rPr>
          <w:b/>
          <w:noProof/>
          <w:sz w:val="24"/>
        </w:rPr>
        <w:t>indirect costs</w:t>
      </w:r>
      <w:r w:rsidRPr="00F93AEF">
        <w:rPr>
          <w:noProof/>
          <w:sz w:val="24"/>
        </w:rPr>
        <w:t xml:space="preserve"> generated by the PLD are liability insurance costs attributable to strict liability under the PLD</w:t>
      </w:r>
      <w:r>
        <w:rPr>
          <w:noProof/>
          <w:sz w:val="24"/>
        </w:rPr>
        <w:t xml:space="preserve"> as well as</w:t>
      </w:r>
      <w:r w:rsidRPr="00F93AEF">
        <w:rPr>
          <w:noProof/>
          <w:sz w:val="24"/>
        </w:rPr>
        <w:t xml:space="preserve"> </w:t>
      </w:r>
      <w:r w:rsidRPr="00E56399">
        <w:rPr>
          <w:noProof/>
          <w:sz w:val="24"/>
        </w:rPr>
        <w:t>legal</w:t>
      </w:r>
      <w:r w:rsidRPr="00F93AEF" w:rsidDel="00010AB5">
        <w:rPr>
          <w:noProof/>
          <w:sz w:val="24"/>
        </w:rPr>
        <w:t xml:space="preserve"> costs</w:t>
      </w:r>
      <w:r w:rsidRPr="00E56399">
        <w:rPr>
          <w:noProof/>
          <w:sz w:val="24"/>
        </w:rPr>
        <w:t xml:space="preserve"> that producers and consumers have to bear in</w:t>
      </w:r>
      <w:r>
        <w:rPr>
          <w:noProof/>
          <w:sz w:val="24"/>
        </w:rPr>
        <w:t xml:space="preserve"> the</w:t>
      </w:r>
      <w:r w:rsidRPr="00E56399">
        <w:rPr>
          <w:noProof/>
          <w:sz w:val="24"/>
        </w:rPr>
        <w:t xml:space="preserve"> case of a product liability claim</w:t>
      </w:r>
      <w:r>
        <w:rPr>
          <w:noProof/>
          <w:sz w:val="24"/>
        </w:rPr>
        <w:t xml:space="preserve">, </w:t>
      </w:r>
      <w:r w:rsidRPr="00E56399">
        <w:rPr>
          <w:noProof/>
          <w:sz w:val="24"/>
        </w:rPr>
        <w:t xml:space="preserve">whether </w:t>
      </w:r>
      <w:r>
        <w:rPr>
          <w:noProof/>
          <w:sz w:val="24"/>
        </w:rPr>
        <w:t xml:space="preserve">in-court or </w:t>
      </w:r>
      <w:r w:rsidRPr="00E56399">
        <w:rPr>
          <w:noProof/>
          <w:sz w:val="24"/>
        </w:rPr>
        <w:t>out-of-court</w:t>
      </w:r>
      <w:r>
        <w:rPr>
          <w:noProof/>
          <w:sz w:val="24"/>
        </w:rPr>
        <w:t>.</w:t>
      </w:r>
    </w:p>
    <w:p w14:paraId="6072B25B" w14:textId="2624A847" w:rsidR="00BE7760" w:rsidRDefault="002F0BC5" w:rsidP="001C5197">
      <w:pPr>
        <w:pStyle w:val="BodyText"/>
        <w:spacing w:after="240"/>
        <w:rPr>
          <w:noProof/>
          <w:sz w:val="24"/>
        </w:rPr>
      </w:pPr>
      <w:r>
        <w:rPr>
          <w:noProof/>
          <w:sz w:val="24"/>
        </w:rPr>
        <w:t>Compensation costs are not assessed as costs for producers, because adding them to the increased cost of liability insurance premiums would have led to</w:t>
      </w:r>
      <w:r w:rsidRPr="00AA1A26">
        <w:rPr>
          <w:noProof/>
          <w:sz w:val="24"/>
        </w:rPr>
        <w:t xml:space="preserve"> double counting</w:t>
      </w:r>
      <w:r>
        <w:rPr>
          <w:noProof/>
          <w:sz w:val="24"/>
        </w:rPr>
        <w:t xml:space="preserve">. </w:t>
      </w:r>
    </w:p>
    <w:p w14:paraId="174F1B57" w14:textId="33B6795B" w:rsidR="00B85260" w:rsidRPr="00B85260" w:rsidRDefault="0064488A" w:rsidP="00B85260">
      <w:pPr>
        <w:pStyle w:val="BodyText"/>
        <w:spacing w:after="240"/>
        <w:rPr>
          <w:noProof/>
          <w:sz w:val="24"/>
        </w:rPr>
      </w:pPr>
      <w:r>
        <w:rPr>
          <w:noProof/>
          <w:sz w:val="24"/>
        </w:rPr>
        <w:t>The large majority of e</w:t>
      </w:r>
      <w:r w:rsidR="00B85260" w:rsidRPr="00B85260">
        <w:rPr>
          <w:noProof/>
          <w:sz w:val="24"/>
        </w:rPr>
        <w:t xml:space="preserve">conomic operators </w:t>
      </w:r>
      <w:r>
        <w:rPr>
          <w:noProof/>
          <w:sz w:val="24"/>
        </w:rPr>
        <w:t xml:space="preserve">are </w:t>
      </w:r>
      <w:r w:rsidR="00B85260" w:rsidRPr="00B85260">
        <w:rPr>
          <w:noProof/>
          <w:sz w:val="24"/>
        </w:rPr>
        <w:t>covered by liability insurance</w:t>
      </w:r>
      <w:r>
        <w:rPr>
          <w:rStyle w:val="FootnoteReference"/>
          <w:noProof/>
          <w:sz w:val="24"/>
        </w:rPr>
        <w:footnoteReference w:id="295"/>
      </w:r>
      <w:r w:rsidR="00B85260" w:rsidRPr="00B85260">
        <w:rPr>
          <w:noProof/>
          <w:sz w:val="24"/>
        </w:rPr>
        <w:t xml:space="preserve"> </w:t>
      </w:r>
      <w:r>
        <w:rPr>
          <w:noProof/>
          <w:sz w:val="24"/>
        </w:rPr>
        <w:t xml:space="preserve">and would therefore </w:t>
      </w:r>
      <w:r w:rsidR="00B85260" w:rsidRPr="00B85260">
        <w:rPr>
          <w:noProof/>
          <w:sz w:val="24"/>
        </w:rPr>
        <w:t xml:space="preserve">not bear direct compensation costs vis-à-vis victims in </w:t>
      </w:r>
      <w:r>
        <w:rPr>
          <w:noProof/>
          <w:sz w:val="24"/>
        </w:rPr>
        <w:t>the event</w:t>
      </w:r>
      <w:r w:rsidR="00B85260" w:rsidRPr="00B85260">
        <w:rPr>
          <w:noProof/>
          <w:sz w:val="24"/>
        </w:rPr>
        <w:t xml:space="preserve"> of a product liability claim, whether in-court or out-of-court, since this w</w:t>
      </w:r>
      <w:r>
        <w:rPr>
          <w:noProof/>
          <w:sz w:val="24"/>
        </w:rPr>
        <w:t>ould</w:t>
      </w:r>
      <w:r w:rsidR="00B85260" w:rsidRPr="00B85260">
        <w:rPr>
          <w:noProof/>
          <w:sz w:val="24"/>
        </w:rPr>
        <w:t xml:space="preserve"> be covered by their insurers. </w:t>
      </w:r>
      <w:r>
        <w:rPr>
          <w:noProof/>
          <w:sz w:val="24"/>
        </w:rPr>
        <w:t>They could, however, face a marginal increase in their insurance premiums. That is why</w:t>
      </w:r>
      <w:r w:rsidR="00B85260" w:rsidRPr="00B85260">
        <w:rPr>
          <w:noProof/>
          <w:sz w:val="24"/>
        </w:rPr>
        <w:t xml:space="preserve"> direct compensations costs for companies are not included in the cost estimates, while insurance premium increases are included.</w:t>
      </w:r>
    </w:p>
    <w:p w14:paraId="2B7D8A04" w14:textId="08CE86D1" w:rsidR="00B85260" w:rsidRPr="00B85260" w:rsidRDefault="00B85260" w:rsidP="00B85260">
      <w:pPr>
        <w:pStyle w:val="BodyText"/>
        <w:spacing w:after="240"/>
        <w:rPr>
          <w:noProof/>
          <w:sz w:val="24"/>
        </w:rPr>
      </w:pPr>
      <w:r w:rsidRPr="00B85260">
        <w:rPr>
          <w:noProof/>
          <w:sz w:val="24"/>
        </w:rPr>
        <w:t xml:space="preserve">Economic operators without a liability insurance would, on the other hand, face direct compensation costs, which could be included in the cost calculations. However, there is no information or data to make robust estimates on which economic operators have insurance and which do not. The 2018 evaluation stated that around 80% of producers in the entire manufacturing sector have product liability insurance, but provides no further information or breakdowns on the remaining 20%. </w:t>
      </w:r>
    </w:p>
    <w:p w14:paraId="0A247693" w14:textId="77777777" w:rsidR="00B85260" w:rsidRPr="00B85260" w:rsidRDefault="00B85260" w:rsidP="00B85260">
      <w:pPr>
        <w:pStyle w:val="BodyText"/>
        <w:spacing w:after="240"/>
        <w:rPr>
          <w:noProof/>
          <w:sz w:val="24"/>
        </w:rPr>
      </w:pPr>
      <w:r w:rsidRPr="00B85260">
        <w:rPr>
          <w:noProof/>
          <w:sz w:val="24"/>
        </w:rPr>
        <w:t xml:space="preserve">Assuming this 20% to be equally spread across all manufacturing sectors would entail a high risk of overestimating costs: interviews with the insurance industry suggest that this 20% represents mainly producers of lower-risk products: products, in other words, that are not usually the subject of compensation claims (e.g. clothing, for which only 11 cases were reported between 2000 and 2016). </w:t>
      </w:r>
    </w:p>
    <w:p w14:paraId="33E5A4F1" w14:textId="77777777" w:rsidR="00B85260" w:rsidRPr="00B85260" w:rsidRDefault="00B85260" w:rsidP="00B85260">
      <w:pPr>
        <w:pStyle w:val="BodyText"/>
        <w:spacing w:after="240"/>
        <w:rPr>
          <w:noProof/>
          <w:sz w:val="24"/>
        </w:rPr>
      </w:pPr>
      <w:r w:rsidRPr="00B85260">
        <w:rPr>
          <w:noProof/>
          <w:sz w:val="24"/>
        </w:rPr>
        <w:t xml:space="preserve">In contrast, the producers of the sorts of products for which the scope is being extended (e.g. autonomous vehicles, robots) or for which the burden of proof is currently challenging (e.g. complex products like pharmaceuticals or Internet of Things devices) are more likely to have liability insurance at present, since there is a higher risk of those products being subject to compensation claims. Thus adding direct compensation pay-outs to liability insurance premiums could generate double counting. </w:t>
      </w:r>
    </w:p>
    <w:p w14:paraId="142771F6" w14:textId="707ED984" w:rsidR="002F0BC5" w:rsidRDefault="002F0BC5" w:rsidP="00BE7760">
      <w:pPr>
        <w:pStyle w:val="BodyText"/>
        <w:spacing w:after="240"/>
        <w:rPr>
          <w:noProof/>
          <w:sz w:val="24"/>
          <w:szCs w:val="24"/>
        </w:rPr>
      </w:pPr>
      <w:r>
        <w:rPr>
          <w:noProof/>
          <w:sz w:val="24"/>
          <w:szCs w:val="24"/>
        </w:rPr>
        <w:t>It is acknowledged that not assessing compensation costs as a cost for producers may lead to a small underestimat</w:t>
      </w:r>
      <w:r w:rsidR="008E5409">
        <w:rPr>
          <w:noProof/>
          <w:sz w:val="24"/>
          <w:szCs w:val="24"/>
        </w:rPr>
        <w:t>ion</w:t>
      </w:r>
      <w:r>
        <w:rPr>
          <w:noProof/>
          <w:sz w:val="24"/>
          <w:szCs w:val="24"/>
        </w:rPr>
        <w:t xml:space="preserve"> of costs.</w:t>
      </w:r>
    </w:p>
    <w:p w14:paraId="155B55C5" w14:textId="7725D055" w:rsidR="00BE7760" w:rsidRDefault="00BE7760" w:rsidP="00BE7760">
      <w:pPr>
        <w:pStyle w:val="BodyText"/>
        <w:spacing w:after="240"/>
        <w:rPr>
          <w:noProof/>
          <w:sz w:val="24"/>
          <w:szCs w:val="24"/>
        </w:rPr>
      </w:pPr>
      <w:r w:rsidRPr="00B5765A">
        <w:rPr>
          <w:noProof/>
          <w:sz w:val="24"/>
          <w:szCs w:val="24"/>
        </w:rPr>
        <w:t xml:space="preserve"> </w:t>
      </w:r>
    </w:p>
    <w:p w14:paraId="4D8EA643" w14:textId="658A07C6" w:rsidR="001C5197" w:rsidRPr="001C5197" w:rsidRDefault="002E7937" w:rsidP="002E7937">
      <w:pPr>
        <w:pStyle w:val="Heading1"/>
        <w:rPr>
          <w:noProof/>
        </w:rPr>
      </w:pPr>
      <w:bookmarkStart w:id="1035" w:name="_Toc97191316"/>
      <w:bookmarkStart w:id="1036" w:name="_Toc107430126"/>
      <w:bookmarkStart w:id="1037" w:name="_Toc95482021"/>
      <w:bookmarkStart w:id="1038" w:name="_Toc96337813"/>
      <w:bookmarkStart w:id="1039" w:name="_Toc96446293"/>
      <w:bookmarkStart w:id="1040" w:name="_Toc96448065"/>
      <w:bookmarkStart w:id="1041" w:name="_Toc96594014"/>
      <w:bookmarkStart w:id="1042" w:name="_Toc96597305"/>
      <w:bookmarkStart w:id="1043" w:name="_Toc96609240"/>
      <w:bookmarkStart w:id="1044" w:name="_Toc97149269"/>
      <w:r w:rsidRPr="002E7937">
        <w:t>4.2.1.</w:t>
      </w:r>
      <w:r w:rsidRPr="002E7937">
        <w:tab/>
      </w:r>
      <w:r w:rsidR="001C5197" w:rsidRPr="00FC335D">
        <w:rPr>
          <w:noProof/>
        </w:rPr>
        <w:t>Product liability insurance cost</w:t>
      </w:r>
      <w:r w:rsidR="00E7622D">
        <w:rPr>
          <w:noProof/>
        </w:rPr>
        <w:t>s</w:t>
      </w:r>
      <w:bookmarkEnd w:id="1035"/>
      <w:bookmarkEnd w:id="1036"/>
      <w:r w:rsidR="001C5197" w:rsidRPr="00FC335D">
        <w:rPr>
          <w:noProof/>
        </w:rPr>
        <w:t xml:space="preserve"> </w:t>
      </w:r>
      <w:bookmarkEnd w:id="1037"/>
      <w:bookmarkEnd w:id="1038"/>
      <w:bookmarkEnd w:id="1039"/>
      <w:bookmarkEnd w:id="1040"/>
      <w:bookmarkEnd w:id="1041"/>
      <w:bookmarkEnd w:id="1042"/>
      <w:bookmarkEnd w:id="1043"/>
      <w:bookmarkEnd w:id="1044"/>
    </w:p>
    <w:p w14:paraId="372F6D71" w14:textId="6FEC6FAB" w:rsidR="005804C6" w:rsidRDefault="005804C6" w:rsidP="005804C6">
      <w:pPr>
        <w:pStyle w:val="BodyText"/>
        <w:spacing w:after="240"/>
        <w:rPr>
          <w:noProof/>
          <w:sz w:val="24"/>
        </w:rPr>
      </w:pPr>
      <w:r w:rsidRPr="005A143F">
        <w:rPr>
          <w:noProof/>
          <w:sz w:val="24"/>
        </w:rPr>
        <w:t xml:space="preserve">The liability insurance costs </w:t>
      </w:r>
      <w:r w:rsidR="003F7456">
        <w:rPr>
          <w:noProof/>
          <w:sz w:val="24"/>
        </w:rPr>
        <w:t>are</w:t>
      </w:r>
      <w:r w:rsidRPr="005A143F">
        <w:rPr>
          <w:noProof/>
          <w:sz w:val="24"/>
        </w:rPr>
        <w:t xml:space="preserve"> defined as insurance premiums related specifically to strict liability. </w:t>
      </w:r>
      <w:r>
        <w:rPr>
          <w:noProof/>
          <w:sz w:val="24"/>
        </w:rPr>
        <w:t>Usually economic operators have g</w:t>
      </w:r>
      <w:r w:rsidRPr="00D44BD6">
        <w:rPr>
          <w:noProof/>
          <w:sz w:val="24"/>
          <w:szCs w:val="24"/>
        </w:rPr>
        <w:t xml:space="preserve">eneral </w:t>
      </w:r>
      <w:r w:rsidRPr="00D44BD6">
        <w:rPr>
          <w:rFonts w:eastAsia="Calibri"/>
          <w:noProof/>
          <w:sz w:val="24"/>
          <w:szCs w:val="24"/>
        </w:rPr>
        <w:t>product liability in</w:t>
      </w:r>
      <w:r>
        <w:rPr>
          <w:rFonts w:eastAsia="Calibri"/>
          <w:noProof/>
          <w:sz w:val="24"/>
          <w:szCs w:val="24"/>
        </w:rPr>
        <w:t xml:space="preserve">surance policies, </w:t>
      </w:r>
      <w:r w:rsidRPr="00D44BD6">
        <w:rPr>
          <w:rFonts w:eastAsia="Calibri"/>
          <w:noProof/>
          <w:sz w:val="24"/>
          <w:szCs w:val="24"/>
        </w:rPr>
        <w:t>cover</w:t>
      </w:r>
      <w:r>
        <w:rPr>
          <w:rFonts w:eastAsia="Calibri"/>
          <w:noProof/>
          <w:sz w:val="24"/>
          <w:szCs w:val="24"/>
        </w:rPr>
        <w:t>ing</w:t>
      </w:r>
      <w:r w:rsidRPr="00D44BD6">
        <w:rPr>
          <w:rFonts w:eastAsia="Calibri"/>
          <w:noProof/>
          <w:sz w:val="24"/>
          <w:szCs w:val="24"/>
        </w:rPr>
        <w:t xml:space="preserve"> a number of different types of liability, not only strictly liability (e.g. contractual, extra-contractual, including fault-based liability where national rules exist).</w:t>
      </w:r>
    </w:p>
    <w:p w14:paraId="7EDD762A" w14:textId="77777777" w:rsidR="005804C6" w:rsidRDefault="005804C6" w:rsidP="001C5197">
      <w:pPr>
        <w:pStyle w:val="BodyText"/>
        <w:spacing w:after="240"/>
        <w:rPr>
          <w:rFonts w:eastAsia="Calibri"/>
          <w:noProof/>
          <w:sz w:val="24"/>
          <w:szCs w:val="24"/>
        </w:rPr>
      </w:pPr>
      <w:r w:rsidRPr="00D44BD6">
        <w:rPr>
          <w:rFonts w:eastAsia="Calibri"/>
          <w:noProof/>
          <w:sz w:val="24"/>
          <w:szCs w:val="24"/>
        </w:rPr>
        <w:t>Therefore, only a percentage of total product liability insurance costs (estimated at 1-2%</w:t>
      </w:r>
      <w:r w:rsidRPr="00D44BD6">
        <w:rPr>
          <w:rFonts w:eastAsia="Calibri"/>
          <w:noProof/>
          <w:sz w:val="24"/>
          <w:szCs w:val="24"/>
          <w:vertAlign w:val="superscript"/>
        </w:rPr>
        <w:footnoteReference w:id="296"/>
      </w:r>
      <w:r w:rsidRPr="00D44BD6">
        <w:rPr>
          <w:rFonts w:eastAsia="Calibri"/>
          <w:noProof/>
          <w:sz w:val="24"/>
          <w:szCs w:val="24"/>
        </w:rPr>
        <w:t xml:space="preserve">) relates to strict liability. </w:t>
      </w:r>
    </w:p>
    <w:p w14:paraId="36F5908D" w14:textId="285BCDEA" w:rsidR="005804C6" w:rsidRDefault="005804C6" w:rsidP="001C5197">
      <w:pPr>
        <w:pStyle w:val="BodyText"/>
        <w:spacing w:after="240"/>
        <w:rPr>
          <w:noProof/>
          <w:sz w:val="24"/>
        </w:rPr>
      </w:pPr>
      <w:r w:rsidRPr="00827C69">
        <w:rPr>
          <w:rFonts w:eastAsia="Calibri"/>
          <w:noProof/>
          <w:sz w:val="24"/>
          <w:szCs w:val="24"/>
        </w:rPr>
        <w:t>T</w:t>
      </w:r>
      <w:r>
        <w:rPr>
          <w:rFonts w:eastAsia="Calibri"/>
          <w:noProof/>
          <w:sz w:val="24"/>
          <w:szCs w:val="24"/>
        </w:rPr>
        <w:t>he t</w:t>
      </w:r>
      <w:r w:rsidRPr="00827C69">
        <w:rPr>
          <w:rFonts w:eastAsia="Calibri"/>
          <w:noProof/>
          <w:sz w:val="24"/>
          <w:szCs w:val="24"/>
        </w:rPr>
        <w:t xml:space="preserve">otal </w:t>
      </w:r>
      <w:r>
        <w:rPr>
          <w:rFonts w:eastAsia="Calibri"/>
          <w:noProof/>
          <w:sz w:val="24"/>
          <w:szCs w:val="24"/>
        </w:rPr>
        <w:t>amount</w:t>
      </w:r>
      <w:r w:rsidRPr="00827C69">
        <w:rPr>
          <w:rFonts w:eastAsia="Calibri"/>
          <w:noProof/>
          <w:sz w:val="24"/>
          <w:szCs w:val="24"/>
        </w:rPr>
        <w:t xml:space="preserve"> </w:t>
      </w:r>
      <w:r>
        <w:rPr>
          <w:rFonts w:eastAsia="Calibri"/>
          <w:noProof/>
          <w:sz w:val="24"/>
          <w:szCs w:val="24"/>
        </w:rPr>
        <w:t xml:space="preserve">of </w:t>
      </w:r>
      <w:r w:rsidRPr="004A4921">
        <w:rPr>
          <w:rFonts w:eastAsia="Calibri"/>
          <w:noProof/>
          <w:sz w:val="24"/>
          <w:szCs w:val="24"/>
        </w:rPr>
        <w:t xml:space="preserve">liability insurance costs </w:t>
      </w:r>
      <w:r w:rsidRPr="00827C69">
        <w:rPr>
          <w:rFonts w:eastAsia="Calibri"/>
          <w:noProof/>
          <w:sz w:val="24"/>
          <w:szCs w:val="24"/>
        </w:rPr>
        <w:t xml:space="preserve">in the EU27 in 2021 </w:t>
      </w:r>
      <w:r>
        <w:rPr>
          <w:rFonts w:eastAsia="Calibri"/>
          <w:noProof/>
          <w:sz w:val="24"/>
          <w:szCs w:val="24"/>
        </w:rPr>
        <w:t xml:space="preserve">was in the range between 333 million EUR – 667 million EUR. Thus, applying the 1-2%, it was estimated that the </w:t>
      </w:r>
      <w:r w:rsidRPr="00827C69">
        <w:rPr>
          <w:rFonts w:eastAsia="Calibri"/>
          <w:noProof/>
          <w:sz w:val="24"/>
          <w:szCs w:val="24"/>
        </w:rPr>
        <w:t xml:space="preserve">direct premiums </w:t>
      </w:r>
      <w:r>
        <w:rPr>
          <w:rFonts w:eastAsia="Calibri"/>
          <w:noProof/>
          <w:sz w:val="24"/>
          <w:szCs w:val="24"/>
        </w:rPr>
        <w:t xml:space="preserve">of general product liability insurance </w:t>
      </w:r>
      <w:r w:rsidRPr="00827C69">
        <w:rPr>
          <w:rFonts w:eastAsia="Calibri"/>
          <w:noProof/>
          <w:sz w:val="24"/>
          <w:szCs w:val="24"/>
        </w:rPr>
        <w:t xml:space="preserve">in the EU27 in 2021 was </w:t>
      </w:r>
      <w:r>
        <w:rPr>
          <w:rFonts w:eastAsia="Calibri"/>
          <w:noProof/>
          <w:sz w:val="24"/>
          <w:szCs w:val="24"/>
        </w:rPr>
        <w:t>to be</w:t>
      </w:r>
      <w:r w:rsidRPr="00827C69">
        <w:rPr>
          <w:rFonts w:eastAsia="Calibri"/>
          <w:noProof/>
          <w:sz w:val="24"/>
          <w:szCs w:val="24"/>
        </w:rPr>
        <w:t xml:space="preserve"> 37.94 billion USD, or 33.38 billion EUR (adopting a conversion rate of 1 USD = 0.88 EUR)</w:t>
      </w:r>
      <w:r w:rsidRPr="00827C69">
        <w:rPr>
          <w:rStyle w:val="FootnoteReference"/>
          <w:rFonts w:eastAsia="Calibri"/>
          <w:noProof/>
          <w:sz w:val="24"/>
          <w:szCs w:val="24"/>
        </w:rPr>
        <w:footnoteReference w:id="297"/>
      </w:r>
      <w:r>
        <w:rPr>
          <w:rFonts w:eastAsia="Calibri"/>
          <w:noProof/>
          <w:sz w:val="24"/>
          <w:szCs w:val="24"/>
        </w:rPr>
        <w:t>.</w:t>
      </w:r>
    </w:p>
    <w:p w14:paraId="0857C739" w14:textId="5200EBAB" w:rsidR="005F25FB" w:rsidRDefault="00C75B0D" w:rsidP="005F25FB">
      <w:pPr>
        <w:pStyle w:val="BodyText"/>
        <w:spacing w:after="240"/>
        <w:rPr>
          <w:rFonts w:cstheme="minorHAnsi"/>
          <w:noProof/>
          <w:sz w:val="24"/>
          <w:szCs w:val="24"/>
        </w:rPr>
      </w:pPr>
      <w:r>
        <w:rPr>
          <w:noProof/>
          <w:sz w:val="24"/>
        </w:rPr>
        <w:t>The m</w:t>
      </w:r>
      <w:r w:rsidR="00D13BFC">
        <w:rPr>
          <w:noProof/>
          <w:sz w:val="24"/>
        </w:rPr>
        <w:t xml:space="preserve">easures proposed in the policy options will affect the </w:t>
      </w:r>
      <w:r w:rsidR="00D13BFC" w:rsidRPr="00827C69">
        <w:rPr>
          <w:rFonts w:eastAsia="Calibri"/>
          <w:noProof/>
          <w:sz w:val="24"/>
          <w:szCs w:val="24"/>
        </w:rPr>
        <w:t xml:space="preserve">direct premiums </w:t>
      </w:r>
      <w:r w:rsidR="00D13BFC">
        <w:rPr>
          <w:rFonts w:eastAsia="Calibri"/>
          <w:noProof/>
          <w:sz w:val="24"/>
          <w:szCs w:val="24"/>
        </w:rPr>
        <w:t xml:space="preserve">of general product liability insurance </w:t>
      </w:r>
      <w:r w:rsidR="00D13BFC" w:rsidRPr="00827C69">
        <w:rPr>
          <w:rFonts w:eastAsia="Calibri"/>
          <w:noProof/>
          <w:sz w:val="24"/>
          <w:szCs w:val="24"/>
        </w:rPr>
        <w:t>in the EU27 in 2021</w:t>
      </w:r>
      <w:r w:rsidR="00D13BFC">
        <w:rPr>
          <w:rFonts w:eastAsia="Calibri"/>
          <w:noProof/>
          <w:sz w:val="24"/>
          <w:szCs w:val="24"/>
        </w:rPr>
        <w:t xml:space="preserve">, depending on the magnitude of the measure and the </w:t>
      </w:r>
      <w:r w:rsidR="00CC2644">
        <w:rPr>
          <w:rFonts w:eastAsia="Calibri"/>
          <w:noProof/>
          <w:sz w:val="24"/>
          <w:szCs w:val="24"/>
        </w:rPr>
        <w:t xml:space="preserve">market share of the </w:t>
      </w:r>
      <w:r w:rsidR="00D13BFC">
        <w:rPr>
          <w:rFonts w:eastAsia="Calibri"/>
          <w:noProof/>
          <w:sz w:val="24"/>
          <w:szCs w:val="24"/>
        </w:rPr>
        <w:t xml:space="preserve">economic operators potentially affected. </w:t>
      </w:r>
      <w:r w:rsidR="005F25FB">
        <w:rPr>
          <w:noProof/>
          <w:sz w:val="24"/>
          <w:szCs w:val="24"/>
        </w:rPr>
        <w:t>The table below summarises the assumptions used to calculate these impacts</w:t>
      </w:r>
      <w:r w:rsidR="005F25FB">
        <w:rPr>
          <w:rStyle w:val="FootnoteReference"/>
          <w:noProof/>
          <w:sz w:val="24"/>
          <w:szCs w:val="24"/>
        </w:rPr>
        <w:footnoteReference w:id="298"/>
      </w:r>
      <w:r>
        <w:rPr>
          <w:noProof/>
          <w:sz w:val="24"/>
          <w:szCs w:val="24"/>
        </w:rPr>
        <w:t xml:space="preserve">, providing the percentage increase in the </w:t>
      </w:r>
      <w:r w:rsidRPr="00827C69">
        <w:rPr>
          <w:rFonts w:eastAsia="Calibri"/>
          <w:noProof/>
          <w:sz w:val="24"/>
          <w:szCs w:val="24"/>
        </w:rPr>
        <w:t xml:space="preserve">direct premiums </w:t>
      </w:r>
      <w:r>
        <w:rPr>
          <w:rFonts w:eastAsia="Calibri"/>
          <w:noProof/>
          <w:sz w:val="24"/>
          <w:szCs w:val="24"/>
        </w:rPr>
        <w:t>of general product liability insurance for the relevant producers</w:t>
      </w:r>
      <w:r w:rsidR="005F25FB">
        <w:rPr>
          <w:rFonts w:cstheme="minorHAnsi"/>
          <w:noProof/>
          <w:sz w:val="24"/>
          <w:szCs w:val="24"/>
        </w:rPr>
        <w:t>.</w:t>
      </w:r>
    </w:p>
    <w:p w14:paraId="6937C9D2" w14:textId="26F70F0A" w:rsidR="00EC2B83"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11</w:t>
      </w:r>
      <w:r w:rsidRPr="00463BC5">
        <w:rPr>
          <w:noProof/>
          <w:color w:val="auto"/>
          <w:sz w:val="20"/>
        </w:rPr>
        <w:fldChar w:fldCharType="end"/>
      </w:r>
      <w:r w:rsidRPr="00463BC5">
        <w:rPr>
          <w:noProof/>
          <w:color w:val="auto"/>
          <w:sz w:val="20"/>
        </w:rPr>
        <w:t xml:space="preserve">: </w:t>
      </w:r>
      <w:r w:rsidR="00A76243" w:rsidRPr="00463BC5">
        <w:rPr>
          <w:noProof/>
          <w:color w:val="auto"/>
          <w:sz w:val="20"/>
        </w:rPr>
        <w:t>Estimated changes in variables for the calculation of the insurance cost under the different policy packages, compared to baseline</w:t>
      </w:r>
    </w:p>
    <w:tbl>
      <w:tblPr>
        <w:tblStyle w:val="CSEStable"/>
        <w:tblW w:w="5000" w:type="pct"/>
        <w:jc w:val="center"/>
        <w:tblLook w:val="04A0" w:firstRow="1" w:lastRow="0" w:firstColumn="1" w:lastColumn="0" w:noHBand="0" w:noVBand="1"/>
      </w:tblPr>
      <w:tblGrid>
        <w:gridCol w:w="1766"/>
        <w:gridCol w:w="1767"/>
        <w:gridCol w:w="1767"/>
        <w:gridCol w:w="1767"/>
        <w:gridCol w:w="1767"/>
      </w:tblGrid>
      <w:tr w:rsidR="00EC2B83" w:rsidRPr="009058A2" w14:paraId="19F33F5E" w14:textId="77777777" w:rsidTr="00C77D30">
        <w:trPr>
          <w:cnfStyle w:val="100000000000" w:firstRow="1" w:lastRow="0" w:firstColumn="0" w:lastColumn="0" w:oddVBand="0" w:evenVBand="0" w:oddHBand="0" w:evenHBand="0" w:firstRowFirstColumn="0" w:firstRowLastColumn="0" w:lastRowFirstColumn="0" w:lastRowLastColumn="0"/>
          <w:tblHeader/>
          <w:jc w:val="center"/>
        </w:trPr>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37F8E31" w14:textId="77777777" w:rsidR="00EC2B83" w:rsidRPr="009058A2" w:rsidRDefault="00EC2B83" w:rsidP="00C77D30">
            <w:pPr>
              <w:jc w:val="center"/>
              <w:rPr>
                <w:rFonts w:cs="Times New Roman"/>
                <w:bCs/>
                <w:noProof/>
                <w:sz w:val="18"/>
                <w:szCs w:val="18"/>
              </w:rPr>
            </w:pPr>
            <w:r w:rsidRPr="009058A2">
              <w:rPr>
                <w:rFonts w:cs="Times New Roman"/>
                <w:bCs/>
                <w:noProof/>
                <w:sz w:val="18"/>
                <w:szCs w:val="18"/>
              </w:rPr>
              <w:t>PO1A</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F7EC5C4" w14:textId="77777777" w:rsidR="00EC2B83" w:rsidRPr="009058A2" w:rsidRDefault="00EC2B83" w:rsidP="00C77D30">
            <w:pPr>
              <w:jc w:val="center"/>
              <w:rPr>
                <w:rFonts w:cs="Times New Roman"/>
                <w:b w:val="0"/>
                <w:bCs/>
                <w:noProof/>
                <w:sz w:val="18"/>
                <w:szCs w:val="18"/>
              </w:rPr>
            </w:pPr>
            <w:r w:rsidRPr="009058A2">
              <w:rPr>
                <w:rFonts w:cs="Times New Roman"/>
                <w:bCs/>
                <w:noProof/>
                <w:sz w:val="18"/>
                <w:szCs w:val="18"/>
              </w:rPr>
              <w:t>PO1B</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D75D37C" w14:textId="77777777" w:rsidR="00EC2B83" w:rsidRPr="009058A2" w:rsidRDefault="00EC2B83" w:rsidP="00C77D30">
            <w:pPr>
              <w:jc w:val="center"/>
              <w:rPr>
                <w:rFonts w:cs="Times New Roman"/>
                <w:b w:val="0"/>
                <w:bCs/>
                <w:noProof/>
                <w:sz w:val="18"/>
                <w:szCs w:val="18"/>
              </w:rPr>
            </w:pPr>
            <w:r w:rsidRPr="009058A2">
              <w:rPr>
                <w:rFonts w:cs="Times New Roman"/>
                <w:bCs/>
                <w:noProof/>
                <w:sz w:val="18"/>
                <w:szCs w:val="18"/>
              </w:rPr>
              <w:t>PO1C</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C3F095F" w14:textId="77777777" w:rsidR="00EC2B83" w:rsidRPr="009058A2" w:rsidRDefault="00EC2B83" w:rsidP="00C77D30">
            <w:pPr>
              <w:jc w:val="center"/>
              <w:rPr>
                <w:rFonts w:cs="Times New Roman"/>
                <w:b w:val="0"/>
                <w:bCs/>
                <w:noProof/>
                <w:sz w:val="18"/>
                <w:szCs w:val="18"/>
              </w:rPr>
            </w:pPr>
            <w:r w:rsidRPr="009058A2">
              <w:rPr>
                <w:rFonts w:cs="Times New Roman"/>
                <w:bCs/>
                <w:noProof/>
                <w:sz w:val="18"/>
                <w:szCs w:val="18"/>
              </w:rPr>
              <w:t>PO2A</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9576CBC" w14:textId="77777777" w:rsidR="00EC2B83" w:rsidRPr="009058A2" w:rsidRDefault="00EC2B83" w:rsidP="00C77D30">
            <w:pPr>
              <w:jc w:val="center"/>
              <w:rPr>
                <w:rFonts w:cs="Times New Roman"/>
                <w:b w:val="0"/>
                <w:bCs/>
                <w:noProof/>
                <w:sz w:val="18"/>
                <w:szCs w:val="18"/>
              </w:rPr>
            </w:pPr>
            <w:r w:rsidRPr="009058A2">
              <w:rPr>
                <w:rFonts w:cs="Times New Roman"/>
                <w:bCs/>
                <w:noProof/>
                <w:sz w:val="18"/>
                <w:szCs w:val="18"/>
              </w:rPr>
              <w:t>PO2B</w:t>
            </w:r>
          </w:p>
        </w:tc>
      </w:tr>
      <w:tr w:rsidR="00EC2B83" w:rsidRPr="00EC2B83" w14:paraId="70FE19F6" w14:textId="77777777" w:rsidTr="00FD29A4">
        <w:trPr>
          <w:trHeight w:val="540"/>
          <w:jc w:val="center"/>
        </w:trPr>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081E02A" w14:textId="23511142" w:rsidR="00CE525E" w:rsidRP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3% increase for software developers, i.e. 10% of industry under PLD scope</w:t>
            </w:r>
          </w:p>
          <w:p w14:paraId="49205FA3" w14:textId="5CDB62C9" w:rsidR="00CE525E" w:rsidRP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 xml:space="preserve">3% increase for remanufacturers and refurbishers, i.e. 2% of industry under PLD scope </w:t>
            </w:r>
          </w:p>
          <w:p w14:paraId="5F89691F" w14:textId="5EE3AAD3" w:rsidR="00EC2B83" w:rsidRPr="00CE525E" w:rsidRDefault="00CE525E" w:rsidP="00CE525E">
            <w:pPr>
              <w:pStyle w:val="ListParagraph"/>
              <w:numPr>
                <w:ilvl w:val="0"/>
                <w:numId w:val="35"/>
              </w:numPr>
              <w:ind w:left="80" w:hanging="142"/>
              <w:rPr>
                <w:rFonts w:eastAsia="Calibri"/>
                <w:iCs/>
                <w:noProof/>
                <w:sz w:val="18"/>
                <w:szCs w:val="18"/>
              </w:rPr>
            </w:pPr>
            <w:r w:rsidRPr="00CE525E">
              <w:rPr>
                <w:iCs/>
                <w:noProof/>
                <w:color w:val="000000"/>
                <w:lang w:eastAsia="en-GB"/>
              </w:rPr>
              <w:t>15% increase for Authorised Representatives, i.e. 0.01% of industry under PLD scope</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091C6187" w14:textId="2BB5D5BC" w:rsidR="00CE525E" w:rsidRPr="00CE525E" w:rsidRDefault="00CE525E" w:rsidP="00CE525E">
            <w:pPr>
              <w:pStyle w:val="ListParagraph"/>
              <w:numPr>
                <w:ilvl w:val="0"/>
                <w:numId w:val="35"/>
              </w:numPr>
              <w:ind w:left="80" w:hanging="142"/>
              <w:rPr>
                <w:iCs/>
                <w:noProof/>
                <w:color w:val="000000"/>
                <w:lang w:eastAsia="en-GB"/>
              </w:rPr>
            </w:pPr>
            <w:r>
              <w:rPr>
                <w:iCs/>
                <w:noProof/>
                <w:color w:val="000000"/>
                <w:lang w:eastAsia="en-GB"/>
              </w:rPr>
              <w:t>10</w:t>
            </w:r>
            <w:r w:rsidRPr="00CE525E">
              <w:rPr>
                <w:iCs/>
                <w:noProof/>
                <w:color w:val="000000"/>
                <w:lang w:eastAsia="en-GB"/>
              </w:rPr>
              <w:t>% increase for software developers, i.e. 10% of industry under PLD scope</w:t>
            </w:r>
          </w:p>
          <w:p w14:paraId="0AA14D9A" w14:textId="0D0BDBA4" w:rsid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 xml:space="preserve">3% increase for remanufacturers and refurbishers, i.e. 2% of industry under PLD scope </w:t>
            </w:r>
          </w:p>
          <w:p w14:paraId="324FD558" w14:textId="660EF708" w:rsidR="00CE525E" w:rsidRDefault="00CE525E" w:rsidP="00CE525E">
            <w:pPr>
              <w:pStyle w:val="ListParagraph"/>
              <w:numPr>
                <w:ilvl w:val="0"/>
                <w:numId w:val="35"/>
              </w:numPr>
              <w:ind w:left="80" w:hanging="142"/>
              <w:rPr>
                <w:iCs/>
                <w:noProof/>
                <w:color w:val="000000"/>
                <w:lang w:eastAsia="en-GB"/>
              </w:rPr>
            </w:pPr>
            <w:r w:rsidRPr="00991FEC">
              <w:rPr>
                <w:iCs/>
                <w:noProof/>
                <w:color w:val="000000"/>
                <w:lang w:eastAsia="en-GB"/>
              </w:rPr>
              <w:t>1</w:t>
            </w:r>
            <w:r>
              <w:rPr>
                <w:iCs/>
                <w:noProof/>
                <w:color w:val="000000"/>
                <w:lang w:eastAsia="en-GB"/>
              </w:rPr>
              <w:t>.</w:t>
            </w:r>
            <w:r w:rsidRPr="00991FEC">
              <w:rPr>
                <w:iCs/>
                <w:noProof/>
                <w:color w:val="000000"/>
                <w:lang w:eastAsia="en-GB"/>
              </w:rPr>
              <w:t xml:space="preserve">5% </w:t>
            </w:r>
            <w:r>
              <w:rPr>
                <w:iCs/>
                <w:noProof/>
                <w:color w:val="000000"/>
                <w:lang w:eastAsia="en-GB"/>
              </w:rPr>
              <w:t>increase for</w:t>
            </w:r>
            <w:r w:rsidRPr="00237C4D">
              <w:rPr>
                <w:iCs/>
                <w:noProof/>
                <w:color w:val="000000"/>
                <w:lang w:eastAsia="en-GB"/>
              </w:rPr>
              <w:t xml:space="preserve"> manufacturers of electronic devices</w:t>
            </w:r>
            <w:r>
              <w:rPr>
                <w:iCs/>
                <w:noProof/>
                <w:color w:val="000000"/>
                <w:lang w:eastAsia="en-GB"/>
              </w:rPr>
              <w:t xml:space="preserve">, i.e. </w:t>
            </w:r>
            <w:r w:rsidRPr="00991FEC">
              <w:rPr>
                <w:iCs/>
                <w:noProof/>
                <w:color w:val="000000"/>
                <w:lang w:eastAsia="en-GB"/>
              </w:rPr>
              <w:t>16% of industry under PLD scope</w:t>
            </w:r>
          </w:p>
          <w:p w14:paraId="172AE0CE" w14:textId="77777777" w:rsid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15% increase for Authorised Representatives, i.e. 0.01% of industry under PLD scope</w:t>
            </w:r>
          </w:p>
          <w:p w14:paraId="752A43C8" w14:textId="19664077" w:rsidR="00EC2B83" w:rsidRP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 xml:space="preserve">5% increase for </w:t>
            </w:r>
            <w:r>
              <w:rPr>
                <w:iCs/>
                <w:noProof/>
                <w:color w:val="000000"/>
                <w:lang w:eastAsia="en-GB"/>
              </w:rPr>
              <w:t>Fulfilment Service Providers</w:t>
            </w:r>
            <w:r w:rsidRPr="00CE525E">
              <w:rPr>
                <w:iCs/>
                <w:noProof/>
                <w:color w:val="000000"/>
                <w:lang w:eastAsia="en-GB"/>
              </w:rPr>
              <w:t>, i.e. 0.01% of industry under PLD scope</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089FD74" w14:textId="524E3621" w:rsidR="00CE525E" w:rsidRPr="00CE525E" w:rsidRDefault="00CE525E" w:rsidP="00CE525E">
            <w:pPr>
              <w:pStyle w:val="ListParagraph"/>
              <w:numPr>
                <w:ilvl w:val="0"/>
                <w:numId w:val="35"/>
              </w:numPr>
              <w:ind w:left="80" w:hanging="142"/>
              <w:rPr>
                <w:iCs/>
                <w:noProof/>
                <w:color w:val="000000"/>
                <w:lang w:eastAsia="en-GB"/>
              </w:rPr>
            </w:pPr>
            <w:r>
              <w:rPr>
                <w:iCs/>
                <w:noProof/>
                <w:color w:val="000000"/>
                <w:lang w:eastAsia="en-GB"/>
              </w:rPr>
              <w:t>15</w:t>
            </w:r>
            <w:r w:rsidRPr="00CE525E">
              <w:rPr>
                <w:iCs/>
                <w:noProof/>
                <w:color w:val="000000"/>
                <w:lang w:eastAsia="en-GB"/>
              </w:rPr>
              <w:t>% increase for software developers, i.e. 10% of industry under PLD scope</w:t>
            </w:r>
          </w:p>
          <w:p w14:paraId="28CD2F79" w14:textId="77777777" w:rsid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 xml:space="preserve">3% increase for remanufacturers and refurbishers, i.e. 2% of industry under PLD scope </w:t>
            </w:r>
          </w:p>
          <w:p w14:paraId="62A2F0BF" w14:textId="5699A601" w:rsidR="00CE525E" w:rsidRDefault="00CE525E" w:rsidP="00CE525E">
            <w:pPr>
              <w:pStyle w:val="ListParagraph"/>
              <w:numPr>
                <w:ilvl w:val="0"/>
                <w:numId w:val="35"/>
              </w:numPr>
              <w:ind w:left="80" w:hanging="142"/>
              <w:rPr>
                <w:iCs/>
                <w:noProof/>
                <w:color w:val="000000"/>
                <w:lang w:eastAsia="en-GB"/>
              </w:rPr>
            </w:pPr>
            <w:r>
              <w:rPr>
                <w:iCs/>
                <w:noProof/>
                <w:color w:val="000000"/>
                <w:lang w:eastAsia="en-GB"/>
              </w:rPr>
              <w:t>2.</w:t>
            </w:r>
            <w:r w:rsidRPr="00991FEC">
              <w:rPr>
                <w:iCs/>
                <w:noProof/>
                <w:color w:val="000000"/>
                <w:lang w:eastAsia="en-GB"/>
              </w:rPr>
              <w:t xml:space="preserve">5% </w:t>
            </w:r>
            <w:r>
              <w:rPr>
                <w:iCs/>
                <w:noProof/>
                <w:color w:val="000000"/>
                <w:lang w:eastAsia="en-GB"/>
              </w:rPr>
              <w:t>increase for</w:t>
            </w:r>
            <w:r w:rsidRPr="00237C4D">
              <w:rPr>
                <w:iCs/>
                <w:noProof/>
                <w:color w:val="000000"/>
                <w:lang w:eastAsia="en-GB"/>
              </w:rPr>
              <w:t xml:space="preserve"> manufacturers of electronic devices</w:t>
            </w:r>
            <w:r>
              <w:rPr>
                <w:iCs/>
                <w:noProof/>
                <w:color w:val="000000"/>
                <w:lang w:eastAsia="en-GB"/>
              </w:rPr>
              <w:t xml:space="preserve">, i.e. </w:t>
            </w:r>
            <w:r w:rsidRPr="00991FEC">
              <w:rPr>
                <w:iCs/>
                <w:noProof/>
                <w:color w:val="000000"/>
                <w:lang w:eastAsia="en-GB"/>
              </w:rPr>
              <w:t>16% of industry under PLD scope</w:t>
            </w:r>
          </w:p>
          <w:p w14:paraId="1FFACDA5" w14:textId="77777777" w:rsidR="00CE525E" w:rsidRDefault="00CE525E" w:rsidP="00CE525E">
            <w:pPr>
              <w:pStyle w:val="ListParagraph"/>
              <w:numPr>
                <w:ilvl w:val="0"/>
                <w:numId w:val="35"/>
              </w:numPr>
              <w:ind w:left="80" w:hanging="142"/>
              <w:rPr>
                <w:iCs/>
                <w:noProof/>
                <w:color w:val="000000"/>
                <w:lang w:eastAsia="en-GB"/>
              </w:rPr>
            </w:pPr>
            <w:r w:rsidRPr="00CE525E">
              <w:rPr>
                <w:iCs/>
                <w:noProof/>
                <w:color w:val="000000"/>
                <w:lang w:eastAsia="en-GB"/>
              </w:rPr>
              <w:t>15% increase for Authorised Representatives, i.e. 0.01% of industry under PLD scope</w:t>
            </w:r>
          </w:p>
          <w:p w14:paraId="2CAFE615" w14:textId="73AFE8E3" w:rsidR="00EC2B83" w:rsidRPr="00CE525E" w:rsidRDefault="00CE525E" w:rsidP="00CE525E">
            <w:pPr>
              <w:rPr>
                <w:rFonts w:eastAsia="Calibri" w:cs="Times New Roman"/>
                <w:iCs/>
                <w:noProof/>
                <w:sz w:val="18"/>
                <w:szCs w:val="18"/>
              </w:rPr>
            </w:pPr>
            <w:r w:rsidRPr="00CE525E">
              <w:rPr>
                <w:iCs/>
                <w:noProof/>
                <w:color w:val="000000"/>
                <w:lang w:eastAsia="en-GB"/>
              </w:rPr>
              <w:t xml:space="preserve">5% increase for </w:t>
            </w:r>
            <w:r>
              <w:rPr>
                <w:iCs/>
                <w:noProof/>
                <w:color w:val="000000"/>
                <w:lang w:eastAsia="en-GB"/>
              </w:rPr>
              <w:t>Fulfilment Service Providers</w:t>
            </w:r>
            <w:r w:rsidRPr="00CE525E">
              <w:rPr>
                <w:iCs/>
                <w:noProof/>
                <w:color w:val="000000"/>
                <w:lang w:eastAsia="en-GB"/>
              </w:rPr>
              <w:t>, i.e. 0.01% of industry under PLD scope</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5C78896" w14:textId="331658A1" w:rsidR="007D782F" w:rsidRPr="00EF0FCD" w:rsidRDefault="007D782F" w:rsidP="007D782F">
            <w:pPr>
              <w:pStyle w:val="ListParagraph"/>
              <w:numPr>
                <w:ilvl w:val="0"/>
                <w:numId w:val="35"/>
              </w:numPr>
              <w:ind w:left="80" w:hanging="142"/>
              <w:rPr>
                <w:iCs/>
                <w:noProof/>
                <w:color w:val="000000"/>
                <w:lang w:eastAsia="en-GB"/>
              </w:rPr>
            </w:pPr>
            <w:r>
              <w:rPr>
                <w:iCs/>
                <w:noProof/>
                <w:color w:val="000000"/>
                <w:lang w:eastAsia="en-GB"/>
              </w:rPr>
              <w:t>4</w:t>
            </w:r>
            <w:r w:rsidRPr="00EF0FCD">
              <w:rPr>
                <w:iCs/>
                <w:noProof/>
                <w:color w:val="000000"/>
                <w:lang w:eastAsia="en-GB"/>
              </w:rPr>
              <w:t>% increase for reversing the burden of proof for complex products</w:t>
            </w:r>
            <w:r>
              <w:rPr>
                <w:iCs/>
                <w:noProof/>
                <w:color w:val="000000"/>
                <w:lang w:eastAsia="en-GB"/>
              </w:rPr>
              <w:t xml:space="preserve"> producers</w:t>
            </w:r>
            <w:r w:rsidRPr="00EF0FCD">
              <w:rPr>
                <w:iCs/>
                <w:noProof/>
                <w:color w:val="000000"/>
                <w:lang w:eastAsia="en-GB"/>
              </w:rPr>
              <w:t>, i.e. manufacturers of electronic devices counting for 16% of industry under PLD scope + pharmaceutical products and pharmaceutical preparations counting for 4% of industry under PLD scope</w:t>
            </w:r>
          </w:p>
          <w:p w14:paraId="26DD1BEE" w14:textId="0F84288B" w:rsidR="00EC2B83" w:rsidRPr="007D782F" w:rsidRDefault="007D782F" w:rsidP="007D782F">
            <w:pPr>
              <w:pStyle w:val="ListParagraph"/>
              <w:numPr>
                <w:ilvl w:val="0"/>
                <w:numId w:val="35"/>
              </w:numPr>
              <w:ind w:left="80" w:hanging="142"/>
              <w:rPr>
                <w:iCs/>
                <w:noProof/>
                <w:color w:val="000000"/>
                <w:lang w:eastAsia="en-GB"/>
              </w:rPr>
            </w:pPr>
            <w:r>
              <w:rPr>
                <w:iCs/>
                <w:noProof/>
                <w:color w:val="000000"/>
                <w:lang w:eastAsia="en-GB"/>
              </w:rPr>
              <w:t>3.5</w:t>
            </w:r>
            <w:r w:rsidRPr="00EF0FCD">
              <w:rPr>
                <w:iCs/>
                <w:noProof/>
                <w:color w:val="000000"/>
                <w:lang w:eastAsia="en-GB"/>
              </w:rPr>
              <w:t xml:space="preserve">% increase for </w:t>
            </w:r>
            <w:r>
              <w:rPr>
                <w:iCs/>
                <w:noProof/>
                <w:color w:val="000000"/>
                <w:lang w:eastAsia="en-GB"/>
              </w:rPr>
              <w:t xml:space="preserve">total insurance costs for </w:t>
            </w:r>
            <w:r w:rsidRPr="00EF0FCD">
              <w:rPr>
                <w:iCs/>
                <w:noProof/>
                <w:color w:val="000000"/>
                <w:lang w:eastAsia="en-GB"/>
              </w:rPr>
              <w:t>reducing restrictions in making claims</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853742F" w14:textId="20E8FC61" w:rsidR="00B66244" w:rsidRDefault="00B66244" w:rsidP="00B66244">
            <w:pPr>
              <w:pStyle w:val="ListParagraph"/>
              <w:numPr>
                <w:ilvl w:val="0"/>
                <w:numId w:val="35"/>
              </w:numPr>
              <w:ind w:left="80" w:hanging="142"/>
              <w:rPr>
                <w:iCs/>
                <w:noProof/>
                <w:color w:val="000000"/>
                <w:lang w:eastAsia="en-GB"/>
              </w:rPr>
            </w:pPr>
            <w:r>
              <w:rPr>
                <w:iCs/>
                <w:noProof/>
                <w:color w:val="000000"/>
                <w:lang w:eastAsia="en-GB"/>
              </w:rPr>
              <w:t>7</w:t>
            </w:r>
            <w:r w:rsidRPr="00EF0FCD">
              <w:rPr>
                <w:iCs/>
                <w:noProof/>
                <w:color w:val="000000"/>
                <w:lang w:eastAsia="en-GB"/>
              </w:rPr>
              <w:t xml:space="preserve">% increase for </w:t>
            </w:r>
            <w:r>
              <w:rPr>
                <w:iCs/>
                <w:noProof/>
                <w:color w:val="000000"/>
                <w:lang w:eastAsia="en-GB"/>
              </w:rPr>
              <w:t xml:space="preserve">total insurance costs </w:t>
            </w:r>
            <w:r w:rsidRPr="00EF0FCD">
              <w:rPr>
                <w:iCs/>
                <w:noProof/>
                <w:color w:val="000000"/>
                <w:lang w:eastAsia="en-GB"/>
              </w:rPr>
              <w:t>for reversing the burden of proof for all products</w:t>
            </w:r>
          </w:p>
          <w:p w14:paraId="3ED448EA" w14:textId="1111915E" w:rsidR="00EC2B83" w:rsidRPr="00B66244" w:rsidRDefault="00B66244" w:rsidP="00B66244">
            <w:pPr>
              <w:pStyle w:val="ListParagraph"/>
              <w:numPr>
                <w:ilvl w:val="0"/>
                <w:numId w:val="35"/>
              </w:numPr>
              <w:ind w:left="80" w:hanging="142"/>
              <w:rPr>
                <w:iCs/>
                <w:noProof/>
                <w:color w:val="000000"/>
                <w:lang w:eastAsia="en-GB"/>
              </w:rPr>
            </w:pPr>
            <w:r w:rsidRPr="00B66244">
              <w:rPr>
                <w:iCs/>
                <w:noProof/>
                <w:color w:val="000000"/>
                <w:lang w:eastAsia="en-GB"/>
              </w:rPr>
              <w:t>5% increase</w:t>
            </w:r>
            <w:r w:rsidRPr="00EF0FCD">
              <w:rPr>
                <w:iCs/>
                <w:noProof/>
                <w:color w:val="000000"/>
                <w:lang w:eastAsia="en-GB"/>
              </w:rPr>
              <w:t xml:space="preserve"> for </w:t>
            </w:r>
            <w:r>
              <w:rPr>
                <w:iCs/>
                <w:noProof/>
                <w:color w:val="000000"/>
                <w:lang w:eastAsia="en-GB"/>
              </w:rPr>
              <w:t>total insurance costs</w:t>
            </w:r>
            <w:r w:rsidRPr="00B66244">
              <w:rPr>
                <w:iCs/>
                <w:noProof/>
                <w:color w:val="000000"/>
                <w:lang w:eastAsia="en-GB"/>
              </w:rPr>
              <w:t xml:space="preserve"> for further reducing restrictions</w:t>
            </w:r>
            <w:r>
              <w:rPr>
                <w:iCs/>
                <w:noProof/>
                <w:color w:val="000000"/>
                <w:lang w:eastAsia="en-GB"/>
              </w:rPr>
              <w:t xml:space="preserve"> in making claims</w:t>
            </w:r>
          </w:p>
        </w:tc>
      </w:tr>
    </w:tbl>
    <w:p w14:paraId="37AC0493" w14:textId="62B5A942" w:rsidR="00FD29A4" w:rsidRPr="00AC4406" w:rsidRDefault="00FD29A4" w:rsidP="00FD29A4">
      <w:pPr>
        <w:pStyle w:val="BodyText"/>
        <w:spacing w:after="240"/>
        <w:rPr>
          <w:i/>
          <w:noProof/>
          <w:sz w:val="20"/>
        </w:rPr>
      </w:pPr>
      <w:r w:rsidRPr="00FD29A4">
        <w:rPr>
          <w:i/>
          <w:noProof/>
          <w:sz w:val="20"/>
        </w:rPr>
        <w:t xml:space="preserve">Source: </w:t>
      </w:r>
      <w:r w:rsidR="0059206F" w:rsidRPr="008A39A5">
        <w:rPr>
          <w:i/>
          <w:noProof/>
          <w:sz w:val="20"/>
        </w:rPr>
        <w:t>CSES, Wavestone, CSIL (2022)</w:t>
      </w:r>
    </w:p>
    <w:p w14:paraId="5A43D9F0" w14:textId="26D4E686" w:rsidR="00EC2B83" w:rsidRDefault="005B41C4" w:rsidP="00EC2B83">
      <w:pPr>
        <w:pStyle w:val="BodyText"/>
        <w:spacing w:after="240"/>
        <w:rPr>
          <w:noProof/>
          <w:sz w:val="24"/>
        </w:rPr>
      </w:pPr>
      <w:r>
        <w:rPr>
          <w:noProof/>
          <w:sz w:val="24"/>
        </w:rPr>
        <w:t xml:space="preserve">Thus, </w:t>
      </w:r>
      <w:r w:rsidRPr="00827C69">
        <w:rPr>
          <w:rFonts w:eastAsia="Calibri"/>
          <w:noProof/>
          <w:sz w:val="24"/>
          <w:szCs w:val="24"/>
        </w:rPr>
        <w:t xml:space="preserve">direct premiums </w:t>
      </w:r>
      <w:r>
        <w:rPr>
          <w:rFonts w:eastAsia="Calibri"/>
          <w:noProof/>
          <w:sz w:val="24"/>
          <w:szCs w:val="24"/>
        </w:rPr>
        <w:t xml:space="preserve">of general product liability insurance </w:t>
      </w:r>
      <w:r w:rsidRPr="00827C69">
        <w:rPr>
          <w:rFonts w:eastAsia="Calibri"/>
          <w:noProof/>
          <w:sz w:val="24"/>
          <w:szCs w:val="24"/>
        </w:rPr>
        <w:t>in the EU27</w:t>
      </w:r>
      <w:r>
        <w:rPr>
          <w:rFonts w:eastAsia="Calibri"/>
          <w:noProof/>
          <w:sz w:val="24"/>
          <w:szCs w:val="24"/>
        </w:rPr>
        <w:t xml:space="preserve"> will be affected by the different measures proposed by each policy option.</w:t>
      </w:r>
      <w:r w:rsidR="00C75B0D">
        <w:rPr>
          <w:rFonts w:eastAsia="Calibri"/>
          <w:noProof/>
          <w:sz w:val="24"/>
          <w:szCs w:val="24"/>
        </w:rPr>
        <w:t xml:space="preserve"> </w:t>
      </w:r>
      <w:r w:rsidR="00EC2B83" w:rsidRPr="000D4B81">
        <w:rPr>
          <w:noProof/>
          <w:sz w:val="24"/>
        </w:rPr>
        <w:t>The table below summarises the incremental changes compared to the baseline scenario</w:t>
      </w:r>
      <w:r w:rsidR="00EC2B83">
        <w:rPr>
          <w:noProof/>
          <w:sz w:val="24"/>
        </w:rPr>
        <w:t>, providing t</w:t>
      </w:r>
      <w:r>
        <w:rPr>
          <w:noProof/>
          <w:sz w:val="24"/>
        </w:rPr>
        <w:t xml:space="preserve">he incremental costs using low </w:t>
      </w:r>
      <w:r w:rsidR="00EC2B83">
        <w:rPr>
          <w:noProof/>
          <w:sz w:val="24"/>
        </w:rPr>
        <w:t xml:space="preserve">and high values. </w:t>
      </w:r>
    </w:p>
    <w:p w14:paraId="02F0B29C" w14:textId="337DFCC4" w:rsidR="00DE7ADD"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12</w:t>
      </w:r>
      <w:r w:rsidRPr="00463BC5">
        <w:rPr>
          <w:noProof/>
          <w:color w:val="auto"/>
          <w:sz w:val="20"/>
        </w:rPr>
        <w:fldChar w:fldCharType="end"/>
      </w:r>
      <w:r w:rsidRPr="00463BC5">
        <w:rPr>
          <w:noProof/>
          <w:color w:val="auto"/>
          <w:sz w:val="20"/>
        </w:rPr>
        <w:t xml:space="preserve">: </w:t>
      </w:r>
      <w:r w:rsidR="00DE7ADD" w:rsidRPr="00463BC5">
        <w:rPr>
          <w:noProof/>
          <w:color w:val="auto"/>
          <w:sz w:val="20"/>
        </w:rPr>
        <w:t>Annual insurance cost under the different policy packages (EUR million)</w:t>
      </w:r>
    </w:p>
    <w:tbl>
      <w:tblPr>
        <w:tblStyle w:val="CSEStable"/>
        <w:tblW w:w="4566" w:type="pct"/>
        <w:jc w:val="center"/>
        <w:tblLook w:val="04A0" w:firstRow="1" w:lastRow="0" w:firstColumn="1" w:lastColumn="0" w:noHBand="0" w:noVBand="1"/>
      </w:tblPr>
      <w:tblGrid>
        <w:gridCol w:w="1555"/>
        <w:gridCol w:w="3377"/>
        <w:gridCol w:w="3135"/>
      </w:tblGrid>
      <w:tr w:rsidR="00EB3705" w14:paraId="459688B3" w14:textId="77777777" w:rsidTr="00C21E74">
        <w:trPr>
          <w:cnfStyle w:val="100000000000" w:firstRow="1" w:lastRow="0" w:firstColumn="0" w:lastColumn="0" w:oddVBand="0" w:evenVBand="0" w:oddHBand="0" w:evenHBand="0" w:firstRowFirstColumn="0" w:firstRowLastColumn="0" w:lastRowFirstColumn="0" w:lastRowLastColumn="0"/>
          <w:trHeight w:val="20"/>
          <w:tblHeader/>
          <w:jc w:val="center"/>
        </w:trPr>
        <w:tc>
          <w:tcPr>
            <w:tcW w:w="9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80CC4F8" w14:textId="77777777" w:rsidR="00EB3705" w:rsidRDefault="00EB3705" w:rsidP="00C77D30">
            <w:pPr>
              <w:jc w:val="center"/>
              <w:rPr>
                <w:noProof/>
              </w:rPr>
            </w:pPr>
          </w:p>
        </w:tc>
        <w:tc>
          <w:tcPr>
            <w:tcW w:w="20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ED56CE" w14:textId="77777777" w:rsidR="00EB3705" w:rsidRDefault="00EB3705" w:rsidP="00C77D30">
            <w:pPr>
              <w:jc w:val="center"/>
              <w:rPr>
                <w:noProof/>
              </w:rPr>
            </w:pPr>
            <w:r>
              <w:rPr>
                <w:noProof/>
              </w:rPr>
              <w:t xml:space="preserve">Incremental costs compared to baseline (low) </w:t>
            </w:r>
          </w:p>
        </w:tc>
        <w:tc>
          <w:tcPr>
            <w:tcW w:w="19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E07355A" w14:textId="77777777" w:rsidR="00EB3705" w:rsidRDefault="00EB3705" w:rsidP="00C77D30">
            <w:pPr>
              <w:jc w:val="center"/>
              <w:rPr>
                <w:noProof/>
              </w:rPr>
            </w:pPr>
            <w:r>
              <w:rPr>
                <w:noProof/>
              </w:rPr>
              <w:t xml:space="preserve">Incremental costs compared to baseline (high) </w:t>
            </w:r>
          </w:p>
        </w:tc>
      </w:tr>
      <w:tr w:rsidR="00EB3705" w14:paraId="2A151B5D" w14:textId="77777777" w:rsidTr="00C21E74">
        <w:trPr>
          <w:trHeight w:val="331"/>
          <w:jc w:val="center"/>
        </w:trPr>
        <w:tc>
          <w:tcPr>
            <w:tcW w:w="9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3B070E0C" w14:textId="77777777" w:rsidR="00EB3705" w:rsidRDefault="00EB3705" w:rsidP="00285AED">
            <w:pPr>
              <w:jc w:val="center"/>
              <w:rPr>
                <w:rFonts w:cstheme="minorHAnsi"/>
                <w:b/>
                <w:bCs/>
                <w:noProof/>
                <w:color w:val="002060"/>
              </w:rPr>
            </w:pPr>
            <w:r>
              <w:rPr>
                <w:rFonts w:cstheme="minorHAnsi"/>
                <w:b/>
                <w:bCs/>
                <w:noProof/>
                <w:color w:val="002060"/>
              </w:rPr>
              <w:t>PO1a</w:t>
            </w:r>
          </w:p>
        </w:tc>
        <w:tc>
          <w:tcPr>
            <w:tcW w:w="20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8B2C617" w14:textId="6B9F7662" w:rsidR="00EB3705" w:rsidRDefault="00EB3705" w:rsidP="00285AED">
            <w:pPr>
              <w:jc w:val="center"/>
              <w:rPr>
                <w:noProof/>
                <w:highlight w:val="yellow"/>
              </w:rPr>
            </w:pPr>
            <w:r>
              <w:rPr>
                <w:noProof/>
              </w:rPr>
              <w:t>1.21</w:t>
            </w:r>
          </w:p>
        </w:tc>
        <w:tc>
          <w:tcPr>
            <w:tcW w:w="19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7477917B" w14:textId="5C50D7ED" w:rsidR="00EB3705" w:rsidRDefault="00EB3705" w:rsidP="00285AED">
            <w:pPr>
              <w:jc w:val="center"/>
              <w:rPr>
                <w:noProof/>
                <w:highlight w:val="yellow"/>
              </w:rPr>
            </w:pPr>
            <w:r>
              <w:rPr>
                <w:noProof/>
              </w:rPr>
              <w:t>2.41</w:t>
            </w:r>
          </w:p>
        </w:tc>
      </w:tr>
      <w:tr w:rsidR="00EB3705" w14:paraId="6FDFA5CF" w14:textId="77777777" w:rsidTr="00C21E74">
        <w:trPr>
          <w:trHeight w:val="331"/>
          <w:jc w:val="center"/>
        </w:trPr>
        <w:tc>
          <w:tcPr>
            <w:tcW w:w="9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6C7860C" w14:textId="77777777" w:rsidR="00EB3705" w:rsidRDefault="00EB3705" w:rsidP="00285AED">
            <w:pPr>
              <w:jc w:val="center"/>
              <w:rPr>
                <w:rFonts w:cstheme="minorHAnsi"/>
                <w:b/>
                <w:bCs/>
                <w:noProof/>
                <w:color w:val="002060"/>
              </w:rPr>
            </w:pPr>
            <w:r>
              <w:rPr>
                <w:rFonts w:cstheme="minorHAnsi"/>
                <w:b/>
                <w:bCs/>
                <w:noProof/>
                <w:color w:val="002060"/>
              </w:rPr>
              <w:t>PO1b</w:t>
            </w:r>
          </w:p>
        </w:tc>
        <w:tc>
          <w:tcPr>
            <w:tcW w:w="20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2F6E23DF" w14:textId="6CE82880" w:rsidR="00EB3705" w:rsidRDefault="00EB3705" w:rsidP="00285AED">
            <w:pPr>
              <w:jc w:val="center"/>
              <w:rPr>
                <w:noProof/>
                <w:highlight w:val="yellow"/>
              </w:rPr>
            </w:pPr>
            <w:r>
              <w:rPr>
                <w:noProof/>
              </w:rPr>
              <w:t>4.35</w:t>
            </w:r>
          </w:p>
        </w:tc>
        <w:tc>
          <w:tcPr>
            <w:tcW w:w="19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01428471" w14:textId="46DDAC70" w:rsidR="00EB3705" w:rsidRDefault="00EB3705" w:rsidP="00285AED">
            <w:pPr>
              <w:jc w:val="center"/>
              <w:rPr>
                <w:noProof/>
                <w:highlight w:val="yellow"/>
              </w:rPr>
            </w:pPr>
            <w:r>
              <w:rPr>
                <w:noProof/>
              </w:rPr>
              <w:t>8.69</w:t>
            </w:r>
          </w:p>
        </w:tc>
      </w:tr>
      <w:tr w:rsidR="00EB3705" w14:paraId="54536E04" w14:textId="77777777" w:rsidTr="00C21E74">
        <w:trPr>
          <w:trHeight w:val="331"/>
          <w:jc w:val="center"/>
        </w:trPr>
        <w:tc>
          <w:tcPr>
            <w:tcW w:w="9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1E8F055" w14:textId="77777777" w:rsidR="00EB3705" w:rsidRDefault="00EB3705" w:rsidP="00285AED">
            <w:pPr>
              <w:jc w:val="center"/>
              <w:rPr>
                <w:rFonts w:cstheme="minorHAnsi"/>
                <w:b/>
                <w:bCs/>
                <w:noProof/>
                <w:color w:val="002060"/>
              </w:rPr>
            </w:pPr>
            <w:r>
              <w:rPr>
                <w:rFonts w:cstheme="minorHAnsi"/>
                <w:b/>
                <w:bCs/>
                <w:noProof/>
                <w:color w:val="002060"/>
              </w:rPr>
              <w:t>PO1c</w:t>
            </w:r>
          </w:p>
        </w:tc>
        <w:tc>
          <w:tcPr>
            <w:tcW w:w="20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058D51B" w14:textId="10D130B2" w:rsidR="00EB3705" w:rsidRDefault="00EB3705" w:rsidP="00285AED">
            <w:pPr>
              <w:jc w:val="center"/>
              <w:rPr>
                <w:noProof/>
                <w:highlight w:val="yellow"/>
              </w:rPr>
            </w:pPr>
            <w:r>
              <w:rPr>
                <w:noProof/>
              </w:rPr>
              <w:t>6.55</w:t>
            </w:r>
          </w:p>
        </w:tc>
        <w:tc>
          <w:tcPr>
            <w:tcW w:w="19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658B638" w14:textId="3ED815B9" w:rsidR="00EB3705" w:rsidRDefault="00EB3705" w:rsidP="00285AED">
            <w:pPr>
              <w:jc w:val="center"/>
              <w:rPr>
                <w:noProof/>
                <w:highlight w:val="yellow"/>
              </w:rPr>
            </w:pPr>
            <w:r>
              <w:rPr>
                <w:noProof/>
              </w:rPr>
              <w:t>13.10</w:t>
            </w:r>
          </w:p>
        </w:tc>
      </w:tr>
      <w:tr w:rsidR="00EB3705" w14:paraId="0C3F0441" w14:textId="77777777" w:rsidTr="00C21E74">
        <w:trPr>
          <w:trHeight w:val="331"/>
          <w:jc w:val="center"/>
        </w:trPr>
        <w:tc>
          <w:tcPr>
            <w:tcW w:w="9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1FB069F8" w14:textId="77777777" w:rsidR="00EB3705" w:rsidRDefault="00EB3705" w:rsidP="00285AED">
            <w:pPr>
              <w:jc w:val="center"/>
              <w:rPr>
                <w:rFonts w:cstheme="minorHAnsi"/>
                <w:b/>
                <w:bCs/>
                <w:noProof/>
                <w:color w:val="002060"/>
              </w:rPr>
            </w:pPr>
            <w:r>
              <w:rPr>
                <w:rFonts w:cstheme="minorHAnsi"/>
                <w:b/>
                <w:bCs/>
                <w:noProof/>
                <w:color w:val="002060"/>
              </w:rPr>
              <w:t>PO2a</w:t>
            </w:r>
          </w:p>
        </w:tc>
        <w:tc>
          <w:tcPr>
            <w:tcW w:w="20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DDE12C1" w14:textId="632CE7EA" w:rsidR="00EB3705" w:rsidRDefault="00EB3705" w:rsidP="00F353D6">
            <w:pPr>
              <w:jc w:val="center"/>
              <w:rPr>
                <w:noProof/>
                <w:highlight w:val="yellow"/>
              </w:rPr>
            </w:pPr>
            <w:r>
              <w:rPr>
                <w:noProof/>
              </w:rPr>
              <w:t>1</w:t>
            </w:r>
            <w:r w:rsidR="00F353D6">
              <w:rPr>
                <w:noProof/>
              </w:rPr>
              <w:t>4.35</w:t>
            </w:r>
          </w:p>
        </w:tc>
        <w:tc>
          <w:tcPr>
            <w:tcW w:w="19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161B3E4" w14:textId="24859DE9" w:rsidR="00EB3705" w:rsidRDefault="00EB3705" w:rsidP="00F353D6">
            <w:pPr>
              <w:jc w:val="center"/>
              <w:rPr>
                <w:noProof/>
                <w:highlight w:val="yellow"/>
              </w:rPr>
            </w:pPr>
            <w:r>
              <w:rPr>
                <w:noProof/>
              </w:rPr>
              <w:t>2</w:t>
            </w:r>
            <w:r w:rsidR="00F353D6">
              <w:rPr>
                <w:noProof/>
              </w:rPr>
              <w:t>8.71</w:t>
            </w:r>
          </w:p>
        </w:tc>
      </w:tr>
      <w:tr w:rsidR="00EB3705" w14:paraId="59F97693" w14:textId="77777777" w:rsidTr="00C21E74">
        <w:trPr>
          <w:trHeight w:val="331"/>
          <w:jc w:val="center"/>
        </w:trPr>
        <w:tc>
          <w:tcPr>
            <w:tcW w:w="9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892DD98" w14:textId="77777777" w:rsidR="00EB3705" w:rsidRDefault="00EB3705" w:rsidP="00285AED">
            <w:pPr>
              <w:jc w:val="center"/>
              <w:rPr>
                <w:rFonts w:cstheme="minorHAnsi"/>
                <w:b/>
                <w:bCs/>
                <w:noProof/>
                <w:color w:val="002060"/>
              </w:rPr>
            </w:pPr>
            <w:r>
              <w:rPr>
                <w:rFonts w:cstheme="minorHAnsi"/>
                <w:b/>
                <w:bCs/>
                <w:noProof/>
                <w:color w:val="002060"/>
              </w:rPr>
              <w:t>PO2b</w:t>
            </w:r>
          </w:p>
        </w:tc>
        <w:tc>
          <w:tcPr>
            <w:tcW w:w="20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54C01F5" w14:textId="3337B5F8" w:rsidR="00EB3705" w:rsidRDefault="00EB3705" w:rsidP="00285AED">
            <w:pPr>
              <w:jc w:val="center"/>
              <w:rPr>
                <w:noProof/>
                <w:highlight w:val="yellow"/>
              </w:rPr>
            </w:pPr>
            <w:r>
              <w:rPr>
                <w:noProof/>
              </w:rPr>
              <w:t>41.73</w:t>
            </w:r>
          </w:p>
        </w:tc>
        <w:tc>
          <w:tcPr>
            <w:tcW w:w="19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02B58C6" w14:textId="792C793C" w:rsidR="00EB3705" w:rsidRDefault="00EB3705" w:rsidP="00285AED">
            <w:pPr>
              <w:jc w:val="center"/>
              <w:rPr>
                <w:noProof/>
                <w:highlight w:val="yellow"/>
              </w:rPr>
            </w:pPr>
            <w:r>
              <w:rPr>
                <w:noProof/>
              </w:rPr>
              <w:t>83.46</w:t>
            </w:r>
          </w:p>
        </w:tc>
      </w:tr>
    </w:tbl>
    <w:p w14:paraId="5246CCA7" w14:textId="2E115398" w:rsidR="00EC2B83" w:rsidRDefault="00EC2B83" w:rsidP="00EC2B83">
      <w:pPr>
        <w:pStyle w:val="BodyText"/>
        <w:spacing w:after="240"/>
        <w:rPr>
          <w:noProof/>
          <w:sz w:val="24"/>
        </w:rPr>
      </w:pPr>
    </w:p>
    <w:p w14:paraId="0126080D" w14:textId="0780715F" w:rsidR="00EC2B83" w:rsidRPr="0092098A" w:rsidRDefault="002E7937" w:rsidP="002E7937">
      <w:pPr>
        <w:pStyle w:val="Heading1"/>
        <w:rPr>
          <w:noProof/>
        </w:rPr>
      </w:pPr>
      <w:bookmarkStart w:id="1045" w:name="_Toc97191317"/>
      <w:bookmarkStart w:id="1046" w:name="_Toc107430127"/>
      <w:bookmarkStart w:id="1047" w:name="_Toc95482022"/>
      <w:bookmarkStart w:id="1048" w:name="_Toc96337814"/>
      <w:bookmarkStart w:id="1049" w:name="_Toc96446294"/>
      <w:bookmarkStart w:id="1050" w:name="_Toc96448066"/>
      <w:bookmarkStart w:id="1051" w:name="_Toc96594015"/>
      <w:bookmarkStart w:id="1052" w:name="_Toc96597306"/>
      <w:bookmarkStart w:id="1053" w:name="_Toc96609241"/>
      <w:bookmarkStart w:id="1054" w:name="_Toc97149270"/>
      <w:r w:rsidRPr="002E7937">
        <w:t>4.2.2.</w:t>
      </w:r>
      <w:r w:rsidRPr="002E7937">
        <w:tab/>
      </w:r>
      <w:r w:rsidR="00CB48DE">
        <w:rPr>
          <w:noProof/>
        </w:rPr>
        <w:t>legal</w:t>
      </w:r>
      <w:r w:rsidR="00CB48DE" w:rsidRPr="00B30C99">
        <w:rPr>
          <w:noProof/>
        </w:rPr>
        <w:t xml:space="preserve"> </w:t>
      </w:r>
      <w:r w:rsidR="00EC2B83" w:rsidRPr="00B30C99">
        <w:rPr>
          <w:noProof/>
        </w:rPr>
        <w:t>cost</w:t>
      </w:r>
      <w:r w:rsidR="00EC2B83">
        <w:rPr>
          <w:noProof/>
        </w:rPr>
        <w:t>s</w:t>
      </w:r>
      <w:bookmarkEnd w:id="1045"/>
      <w:bookmarkEnd w:id="1046"/>
      <w:r w:rsidR="00EC2B83">
        <w:rPr>
          <w:noProof/>
        </w:rPr>
        <w:t xml:space="preserve"> </w:t>
      </w:r>
      <w:bookmarkEnd w:id="1047"/>
      <w:bookmarkEnd w:id="1048"/>
      <w:bookmarkEnd w:id="1049"/>
      <w:bookmarkEnd w:id="1050"/>
      <w:bookmarkEnd w:id="1051"/>
      <w:bookmarkEnd w:id="1052"/>
      <w:bookmarkEnd w:id="1053"/>
      <w:bookmarkEnd w:id="1054"/>
    </w:p>
    <w:p w14:paraId="2B0F84FC" w14:textId="21F271DD" w:rsidR="00EC2B83" w:rsidRPr="00402CDB" w:rsidRDefault="00EC2B83" w:rsidP="00EC2B83">
      <w:pPr>
        <w:pStyle w:val="BodyText"/>
        <w:spacing w:after="240"/>
        <w:rPr>
          <w:noProof/>
          <w:sz w:val="24"/>
        </w:rPr>
      </w:pPr>
      <w:r w:rsidRPr="009058A2">
        <w:rPr>
          <w:noProof/>
          <w:sz w:val="24"/>
        </w:rPr>
        <w:t xml:space="preserve">The </w:t>
      </w:r>
      <w:r w:rsidR="00CB48DE">
        <w:rPr>
          <w:noProof/>
          <w:sz w:val="24"/>
        </w:rPr>
        <w:t>legal</w:t>
      </w:r>
      <w:r w:rsidR="00CB48DE" w:rsidRPr="009058A2">
        <w:rPr>
          <w:noProof/>
          <w:sz w:val="24"/>
        </w:rPr>
        <w:t xml:space="preserve"> </w:t>
      </w:r>
      <w:r w:rsidRPr="009058A2">
        <w:rPr>
          <w:noProof/>
          <w:sz w:val="24"/>
        </w:rPr>
        <w:t xml:space="preserve">cost relates to the costs that producers and consumers have to bear in case of a product liability claim (whether out-of-court or through a judicial proceeding). In principle, in case of in-court settlement, the total </w:t>
      </w:r>
      <w:r w:rsidR="00CB48DE">
        <w:rPr>
          <w:noProof/>
          <w:sz w:val="24"/>
        </w:rPr>
        <w:t xml:space="preserve">legal </w:t>
      </w:r>
      <w:r w:rsidRPr="009058A2">
        <w:rPr>
          <w:noProof/>
          <w:sz w:val="24"/>
        </w:rPr>
        <w:t xml:space="preserve">cost consists of all costs related to judicial proceedings (lawyers’ fees, bailiffs’ fees, court fees). In case of out-of-court settlement, it consists of lawyers’, mediators’ and arbitrators’ fees. However, due to a lack of data and the fact that legal costs are reported to be the main cost among </w:t>
      </w:r>
      <w:r w:rsidR="00CB48DE">
        <w:rPr>
          <w:noProof/>
          <w:sz w:val="24"/>
        </w:rPr>
        <w:t>legal</w:t>
      </w:r>
      <w:r w:rsidR="00CB48DE" w:rsidRPr="009058A2">
        <w:rPr>
          <w:noProof/>
          <w:sz w:val="24"/>
        </w:rPr>
        <w:t xml:space="preserve"> </w:t>
      </w:r>
      <w:r w:rsidRPr="009058A2">
        <w:rPr>
          <w:noProof/>
          <w:sz w:val="24"/>
        </w:rPr>
        <w:t xml:space="preserve">costs, the analysis focuses on legal fees </w:t>
      </w:r>
      <w:r w:rsidRPr="00402CDB">
        <w:rPr>
          <w:noProof/>
          <w:sz w:val="24"/>
        </w:rPr>
        <w:t>only</w:t>
      </w:r>
      <w:r w:rsidRPr="00402CDB">
        <w:rPr>
          <w:rStyle w:val="FootnoteReference"/>
          <w:noProof/>
          <w:sz w:val="24"/>
        </w:rPr>
        <w:footnoteReference w:id="299"/>
      </w:r>
      <w:r w:rsidRPr="00402CDB">
        <w:rPr>
          <w:noProof/>
          <w:sz w:val="24"/>
        </w:rPr>
        <w:t>.</w:t>
      </w:r>
    </w:p>
    <w:p w14:paraId="0D6D7C1C" w14:textId="5436F6E5" w:rsidR="00EC2B83" w:rsidRDefault="00EC2B83" w:rsidP="00EC2B83">
      <w:pPr>
        <w:pStyle w:val="BodyText"/>
        <w:spacing w:after="240"/>
        <w:rPr>
          <w:rFonts w:cstheme="minorHAnsi"/>
          <w:noProof/>
          <w:sz w:val="24"/>
        </w:rPr>
      </w:pPr>
      <w:r w:rsidRPr="009058A2">
        <w:rPr>
          <w:noProof/>
          <w:sz w:val="24"/>
        </w:rPr>
        <w:t xml:space="preserve">To estimate this cost in </w:t>
      </w:r>
      <w:r w:rsidRPr="009058A2">
        <w:rPr>
          <w:rFonts w:cstheme="minorHAnsi"/>
          <w:noProof/>
          <w:sz w:val="24"/>
        </w:rPr>
        <w:t>case of in-court settlement, the sum of judicial proceedings and out-of-court settlements is multiplied by the average lawyers’ fees.</w:t>
      </w:r>
      <w:r w:rsidR="00A845BD">
        <w:rPr>
          <w:rFonts w:cstheme="minorHAnsi"/>
          <w:noProof/>
          <w:sz w:val="24"/>
        </w:rPr>
        <w:t xml:space="preserve"> </w:t>
      </w:r>
    </w:p>
    <w:p w14:paraId="10770B06" w14:textId="0F7F7B02" w:rsidR="00C94086" w:rsidRPr="00827C69" w:rsidRDefault="00C94086" w:rsidP="00C94086">
      <w:pPr>
        <w:pStyle w:val="BodyText"/>
        <w:spacing w:after="240"/>
        <w:rPr>
          <w:rFonts w:eastAsia="Calibri"/>
          <w:noProof/>
          <w:sz w:val="24"/>
          <w:szCs w:val="24"/>
        </w:rPr>
      </w:pPr>
      <w:r w:rsidRPr="00827C69">
        <w:rPr>
          <w:rFonts w:eastAsia="Calibri"/>
          <w:noProof/>
          <w:sz w:val="24"/>
          <w:szCs w:val="24"/>
        </w:rPr>
        <w:t xml:space="preserve">There is considerable variance in the </w:t>
      </w:r>
      <w:r w:rsidRPr="00827C69">
        <w:rPr>
          <w:rFonts w:eastAsia="Calibri"/>
          <w:b/>
          <w:noProof/>
          <w:sz w:val="24"/>
          <w:szCs w:val="24"/>
        </w:rPr>
        <w:t>legal costs</w:t>
      </w:r>
      <w:r w:rsidRPr="00827C69">
        <w:rPr>
          <w:rFonts w:eastAsia="Calibri"/>
          <w:noProof/>
          <w:sz w:val="24"/>
          <w:szCs w:val="24"/>
        </w:rPr>
        <w:t xml:space="preserve"> involving compensation claims falling under the PLD, depending on: (1) the product and its complexity</w:t>
      </w:r>
      <w:r w:rsidRPr="00827C69">
        <w:rPr>
          <w:rFonts w:eastAsia="Calibri"/>
          <w:noProof/>
          <w:sz w:val="24"/>
          <w:szCs w:val="24"/>
          <w:vertAlign w:val="superscript"/>
        </w:rPr>
        <w:footnoteReference w:id="300"/>
      </w:r>
      <w:r w:rsidRPr="00827C69">
        <w:rPr>
          <w:rFonts w:eastAsia="Calibri"/>
          <w:noProof/>
          <w:sz w:val="24"/>
          <w:szCs w:val="24"/>
        </w:rPr>
        <w:t xml:space="preserve"> (2) the circumstances of the case and (3) the Member State concerned and the prevailing differences in legal costs (e.g. legal fees in central and Eastern Europe tend to be considerably below those in Western Europe).</w:t>
      </w:r>
    </w:p>
    <w:p w14:paraId="41EEAC83" w14:textId="5D5FCA72" w:rsidR="00C94086" w:rsidRDefault="00C94086" w:rsidP="00C94086">
      <w:pPr>
        <w:pStyle w:val="BodyText"/>
        <w:spacing w:after="240"/>
        <w:rPr>
          <w:rFonts w:eastAsia="Calibri"/>
          <w:noProof/>
          <w:sz w:val="24"/>
          <w:szCs w:val="24"/>
        </w:rPr>
      </w:pPr>
      <w:r w:rsidRPr="00827C69">
        <w:rPr>
          <w:rFonts w:eastAsia="Calibri"/>
          <w:noProof/>
          <w:sz w:val="24"/>
          <w:szCs w:val="24"/>
        </w:rPr>
        <w:t>The data and information collected about legal costs for court proceeding shows a very wide range of costs from 500 to 40,000 EUR. The legal cost per out-of-court proceeding across Europe is estimated in the range of 500 to 25,000 EUR</w:t>
      </w:r>
      <w:r w:rsidR="00A8373B">
        <w:rPr>
          <w:rStyle w:val="FootnoteReference"/>
          <w:rFonts w:eastAsia="Calibri"/>
          <w:noProof/>
          <w:sz w:val="24"/>
          <w:szCs w:val="24"/>
        </w:rPr>
        <w:footnoteReference w:id="301"/>
      </w:r>
      <w:r w:rsidRPr="00827C69">
        <w:rPr>
          <w:rFonts w:eastAsia="Calibri"/>
          <w:noProof/>
          <w:sz w:val="24"/>
          <w:szCs w:val="24"/>
        </w:rPr>
        <w:t>.</w:t>
      </w:r>
    </w:p>
    <w:p w14:paraId="3C3F04DE" w14:textId="770BE3BE" w:rsidR="00EC2B83" w:rsidRPr="009058A2" w:rsidRDefault="00A845BD" w:rsidP="00EC2B83">
      <w:pPr>
        <w:pStyle w:val="BodyText"/>
        <w:spacing w:after="240"/>
        <w:rPr>
          <w:noProof/>
          <w:sz w:val="24"/>
        </w:rPr>
      </w:pPr>
      <w:r>
        <w:rPr>
          <w:rFonts w:cstheme="minorHAnsi"/>
          <w:noProof/>
          <w:sz w:val="24"/>
        </w:rPr>
        <w:t>T</w:t>
      </w:r>
      <w:r>
        <w:rPr>
          <w:noProof/>
          <w:sz w:val="24"/>
        </w:rPr>
        <w:t xml:space="preserve">he </w:t>
      </w:r>
      <w:r w:rsidR="00EC2B83" w:rsidRPr="009058A2">
        <w:rPr>
          <w:noProof/>
          <w:sz w:val="24"/>
        </w:rPr>
        <w:t>number of proceedings and lawyers’ fees are subject respectively to the following two impacts generated by the policy options: i) a shift from other grounds of liability (e.g. national fault-based liability) to the PLD; ii) less expensive cases (e.g. strict liability cases are expected to be shorter and cheaper, as fault does not have to be proven; also, presuming defectiveness in very complex cases is expected to speed up the procedure by putting the onus on the better informed party).</w:t>
      </w:r>
    </w:p>
    <w:p w14:paraId="31FB6FCA" w14:textId="6FA5B149" w:rsidR="00EC2B83" w:rsidRDefault="00EC2B83" w:rsidP="00EC2B83">
      <w:pPr>
        <w:pStyle w:val="BodyText"/>
        <w:spacing w:after="240"/>
        <w:rPr>
          <w:noProof/>
          <w:sz w:val="24"/>
        </w:rPr>
      </w:pPr>
      <w:r w:rsidRPr="00C94086">
        <w:rPr>
          <w:noProof/>
          <w:sz w:val="24"/>
        </w:rPr>
        <w:t xml:space="preserve">It may also be noted that some policy options are expected to lead to </w:t>
      </w:r>
      <w:r w:rsidR="00C27E98" w:rsidRPr="00C94086">
        <w:rPr>
          <w:noProof/>
          <w:sz w:val="24"/>
        </w:rPr>
        <w:t>an increase in the number of legal</w:t>
      </w:r>
      <w:r w:rsidRPr="00C94086">
        <w:rPr>
          <w:noProof/>
          <w:sz w:val="24"/>
        </w:rPr>
        <w:t xml:space="preserve"> cases</w:t>
      </w:r>
      <w:r w:rsidR="00B70EAB">
        <w:rPr>
          <w:noProof/>
          <w:sz w:val="24"/>
        </w:rPr>
        <w:t xml:space="preserve">, </w:t>
      </w:r>
      <w:r w:rsidR="00B70EAB">
        <w:rPr>
          <w:noProof/>
          <w:sz w:val="24"/>
          <w:szCs w:val="24"/>
        </w:rPr>
        <w:t>both in court and out of court</w:t>
      </w:r>
      <w:r w:rsidRPr="00C94086">
        <w:rPr>
          <w:noProof/>
          <w:sz w:val="24"/>
        </w:rPr>
        <w:t xml:space="preserve"> (e.g. through the inclusion of immaterial harm under the PLD coverage, or through reduced restrictions).</w:t>
      </w:r>
    </w:p>
    <w:p w14:paraId="4EDF1278" w14:textId="256AA085" w:rsidR="00A845BD" w:rsidRDefault="00A845BD" w:rsidP="00A845BD">
      <w:pPr>
        <w:pStyle w:val="BodyText"/>
        <w:spacing w:after="240"/>
        <w:rPr>
          <w:rFonts w:cstheme="minorHAnsi"/>
          <w:noProof/>
          <w:sz w:val="24"/>
          <w:szCs w:val="24"/>
        </w:rPr>
      </w:pPr>
      <w:r>
        <w:rPr>
          <w:noProof/>
          <w:sz w:val="24"/>
          <w:szCs w:val="24"/>
        </w:rPr>
        <w:t>The table below summarises the assumptions used to calculate these impacts</w:t>
      </w:r>
      <w:r>
        <w:rPr>
          <w:rStyle w:val="FootnoteReference"/>
          <w:noProof/>
          <w:sz w:val="24"/>
          <w:szCs w:val="24"/>
        </w:rPr>
        <w:footnoteReference w:id="302"/>
      </w:r>
      <w:r>
        <w:rPr>
          <w:rFonts w:cstheme="minorHAnsi"/>
          <w:noProof/>
          <w:sz w:val="24"/>
          <w:szCs w:val="24"/>
        </w:rPr>
        <w:t>.</w:t>
      </w:r>
    </w:p>
    <w:p w14:paraId="5FB0BF3A" w14:textId="30D5C6B2" w:rsidR="003942BE"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13</w:t>
      </w:r>
      <w:r w:rsidRPr="00463BC5">
        <w:rPr>
          <w:noProof/>
          <w:color w:val="auto"/>
          <w:sz w:val="20"/>
        </w:rPr>
        <w:fldChar w:fldCharType="end"/>
      </w:r>
      <w:r w:rsidRPr="00463BC5">
        <w:rPr>
          <w:noProof/>
          <w:color w:val="auto"/>
          <w:sz w:val="20"/>
        </w:rPr>
        <w:t xml:space="preserve">: </w:t>
      </w:r>
      <w:r w:rsidR="003942BE" w:rsidRPr="00463BC5">
        <w:rPr>
          <w:noProof/>
          <w:color w:val="auto"/>
          <w:sz w:val="20"/>
        </w:rPr>
        <w:t xml:space="preserve">Changes generated by Policy Options in relation to </w:t>
      </w:r>
      <w:r w:rsidR="00CB48DE" w:rsidRPr="00463BC5">
        <w:rPr>
          <w:noProof/>
          <w:color w:val="auto"/>
          <w:sz w:val="20"/>
        </w:rPr>
        <w:t xml:space="preserve">legal </w:t>
      </w:r>
      <w:r w:rsidR="003942BE" w:rsidRPr="00463BC5">
        <w:rPr>
          <w:noProof/>
          <w:color w:val="auto"/>
          <w:sz w:val="20"/>
        </w:rPr>
        <w:t>cost</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4A0" w:firstRow="1" w:lastRow="0" w:firstColumn="1" w:lastColumn="0" w:noHBand="0" w:noVBand="1"/>
      </w:tblPr>
      <w:tblGrid>
        <w:gridCol w:w="1304"/>
        <w:gridCol w:w="3404"/>
        <w:gridCol w:w="3966"/>
      </w:tblGrid>
      <w:tr w:rsidR="00FD29A4" w:rsidRPr="007E0CFC" w14:paraId="5B2874C2" w14:textId="405688F7" w:rsidTr="00285AED">
        <w:trPr>
          <w:trHeight w:val="538"/>
          <w:tblHeader/>
        </w:trPr>
        <w:tc>
          <w:tcPr>
            <w:tcW w:w="752" w:type="pct"/>
            <w:vMerge w:val="restart"/>
            <w:shd w:val="clear" w:color="auto" w:fill="002060"/>
            <w:noWrap/>
            <w:hideMark/>
          </w:tcPr>
          <w:p w14:paraId="15FC6051" w14:textId="77777777" w:rsidR="00FD29A4" w:rsidRPr="007E0CFC" w:rsidRDefault="00FD29A4" w:rsidP="00C77D30">
            <w:pPr>
              <w:spacing w:after="40"/>
              <w:rPr>
                <w:b/>
                <w:bCs/>
                <w:noProof/>
                <w:sz w:val="20"/>
                <w:szCs w:val="18"/>
              </w:rPr>
            </w:pPr>
          </w:p>
        </w:tc>
        <w:tc>
          <w:tcPr>
            <w:tcW w:w="4248" w:type="pct"/>
            <w:gridSpan w:val="2"/>
            <w:shd w:val="clear" w:color="auto" w:fill="002060"/>
            <w:noWrap/>
            <w:vAlign w:val="center"/>
          </w:tcPr>
          <w:p w14:paraId="52D15155" w14:textId="362B4AB0" w:rsidR="00FD29A4" w:rsidRDefault="00FD29A4" w:rsidP="00C21E74">
            <w:pPr>
              <w:spacing w:after="40"/>
              <w:jc w:val="center"/>
              <w:rPr>
                <w:b/>
                <w:bCs/>
                <w:noProof/>
                <w:sz w:val="20"/>
                <w:szCs w:val="18"/>
              </w:rPr>
            </w:pPr>
            <w:r>
              <w:rPr>
                <w:b/>
                <w:bCs/>
                <w:noProof/>
                <w:sz w:val="20"/>
                <w:szCs w:val="18"/>
              </w:rPr>
              <w:t>Changes generated by Policy Option in relation to legal cost</w:t>
            </w:r>
          </w:p>
        </w:tc>
      </w:tr>
      <w:tr w:rsidR="00FD29A4" w:rsidRPr="007E0CFC" w14:paraId="20391923" w14:textId="27C0D74A" w:rsidTr="00887154">
        <w:trPr>
          <w:trHeight w:val="272"/>
          <w:tblHeader/>
        </w:trPr>
        <w:tc>
          <w:tcPr>
            <w:tcW w:w="752" w:type="pct"/>
            <w:vMerge/>
            <w:shd w:val="clear" w:color="auto" w:fill="002060"/>
            <w:noWrap/>
            <w:vAlign w:val="center"/>
          </w:tcPr>
          <w:p w14:paraId="3A141E41" w14:textId="77777777" w:rsidR="00FD29A4" w:rsidRDefault="00FD29A4" w:rsidP="00C77D30">
            <w:pPr>
              <w:spacing w:after="40"/>
              <w:jc w:val="center"/>
              <w:rPr>
                <w:b/>
                <w:bCs/>
                <w:noProof/>
                <w:sz w:val="20"/>
                <w:szCs w:val="18"/>
              </w:rPr>
            </w:pPr>
          </w:p>
        </w:tc>
        <w:tc>
          <w:tcPr>
            <w:tcW w:w="1962" w:type="pct"/>
            <w:shd w:val="clear" w:color="auto" w:fill="002060"/>
            <w:vAlign w:val="center"/>
          </w:tcPr>
          <w:p w14:paraId="30D96D0B" w14:textId="77777777" w:rsidR="00FD29A4" w:rsidRDefault="00FD29A4" w:rsidP="00C77D30">
            <w:pPr>
              <w:spacing w:after="40"/>
              <w:jc w:val="center"/>
              <w:rPr>
                <w:b/>
                <w:bCs/>
                <w:noProof/>
                <w:sz w:val="20"/>
                <w:szCs w:val="18"/>
              </w:rPr>
            </w:pPr>
            <w:r>
              <w:rPr>
                <w:b/>
                <w:bCs/>
                <w:noProof/>
                <w:sz w:val="20"/>
                <w:szCs w:val="18"/>
              </w:rPr>
              <w:t>L</w:t>
            </w:r>
            <w:r w:rsidRPr="00864DA8">
              <w:rPr>
                <w:b/>
                <w:bCs/>
                <w:noProof/>
                <w:sz w:val="20"/>
                <w:szCs w:val="18"/>
              </w:rPr>
              <w:t>ess expensive cases</w:t>
            </w:r>
          </w:p>
        </w:tc>
        <w:tc>
          <w:tcPr>
            <w:tcW w:w="2286" w:type="pct"/>
            <w:shd w:val="clear" w:color="auto" w:fill="002060"/>
          </w:tcPr>
          <w:p w14:paraId="2C0FEDD4" w14:textId="7B7D8A30" w:rsidR="00FD29A4" w:rsidRDefault="00FD29A4" w:rsidP="00C77D30">
            <w:pPr>
              <w:spacing w:after="40"/>
              <w:jc w:val="center"/>
              <w:rPr>
                <w:b/>
                <w:bCs/>
                <w:noProof/>
                <w:sz w:val="20"/>
                <w:szCs w:val="18"/>
              </w:rPr>
            </w:pPr>
            <w:r>
              <w:rPr>
                <w:b/>
                <w:bCs/>
                <w:noProof/>
                <w:sz w:val="20"/>
                <w:szCs w:val="18"/>
              </w:rPr>
              <w:t>Increase in the number of cases under the PLD</w:t>
            </w:r>
          </w:p>
        </w:tc>
      </w:tr>
      <w:tr w:rsidR="00FD29A4" w:rsidRPr="007E0CFC" w14:paraId="798226BF" w14:textId="6D2FFD75" w:rsidTr="00887154">
        <w:trPr>
          <w:trHeight w:val="252"/>
        </w:trPr>
        <w:tc>
          <w:tcPr>
            <w:tcW w:w="752" w:type="pct"/>
            <w:shd w:val="clear" w:color="auto" w:fill="DBDBE0"/>
            <w:noWrap/>
            <w:hideMark/>
          </w:tcPr>
          <w:p w14:paraId="49861AE5" w14:textId="77777777" w:rsidR="00FD29A4" w:rsidRPr="007E0CFC" w:rsidRDefault="00FD29A4" w:rsidP="00285AED">
            <w:pPr>
              <w:spacing w:after="0" w:line="240" w:lineRule="auto"/>
              <w:jc w:val="center"/>
              <w:rPr>
                <w:rFonts w:cstheme="minorHAnsi"/>
                <w:b/>
                <w:bCs/>
                <w:noProof/>
                <w:color w:val="002060"/>
                <w:sz w:val="20"/>
                <w:szCs w:val="18"/>
              </w:rPr>
            </w:pPr>
            <w:r w:rsidRPr="007E0CFC">
              <w:rPr>
                <w:rFonts w:cstheme="minorHAnsi"/>
                <w:b/>
                <w:bCs/>
                <w:noProof/>
                <w:color w:val="002060"/>
                <w:sz w:val="20"/>
                <w:szCs w:val="18"/>
              </w:rPr>
              <w:t>PO1a</w:t>
            </w:r>
          </w:p>
        </w:tc>
        <w:tc>
          <w:tcPr>
            <w:tcW w:w="1962" w:type="pct"/>
            <w:shd w:val="clear" w:color="auto" w:fill="DBDBE0"/>
          </w:tcPr>
          <w:p w14:paraId="6A5E5EBF" w14:textId="1B225468" w:rsidR="00A845BD" w:rsidRPr="00CE525E" w:rsidRDefault="00A845BD" w:rsidP="00527627">
            <w:pPr>
              <w:pStyle w:val="ListParagraph"/>
              <w:numPr>
                <w:ilvl w:val="0"/>
                <w:numId w:val="35"/>
              </w:numPr>
              <w:ind w:left="255" w:hanging="142"/>
              <w:rPr>
                <w:iCs/>
                <w:noProof/>
                <w:color w:val="000000"/>
                <w:lang w:eastAsia="en-GB"/>
              </w:rPr>
            </w:pPr>
            <w:r>
              <w:rPr>
                <w:iCs/>
                <w:noProof/>
                <w:color w:val="000000"/>
                <w:lang w:eastAsia="en-GB"/>
              </w:rPr>
              <w:t xml:space="preserve">-2% </w:t>
            </w:r>
            <w:r w:rsidRPr="00A845BD">
              <w:rPr>
                <w:iCs/>
                <w:noProof/>
                <w:color w:val="000000"/>
                <w:lang w:eastAsia="en-GB"/>
              </w:rPr>
              <w:t>cost reduction for software developers and related consumers</w:t>
            </w:r>
            <w:r w:rsidRPr="00CE525E">
              <w:rPr>
                <w:iCs/>
                <w:noProof/>
                <w:color w:val="000000"/>
                <w:lang w:eastAsia="en-GB"/>
              </w:rPr>
              <w:t>, i.e. 10% of industry under PLD scope</w:t>
            </w:r>
          </w:p>
          <w:p w14:paraId="18330CE3" w14:textId="6B1DA1ED" w:rsidR="00FD29A4" w:rsidRPr="00DC6D7E" w:rsidDel="00BB3DD6" w:rsidRDefault="00FD29A4" w:rsidP="00527627">
            <w:pPr>
              <w:spacing w:after="0" w:line="240" w:lineRule="auto"/>
              <w:ind w:left="255"/>
              <w:rPr>
                <w:rFonts w:ascii="Calibri" w:hAnsi="Calibri" w:cs="Calibri"/>
                <w:iCs/>
                <w:noProof/>
                <w:color w:val="000000"/>
                <w:sz w:val="20"/>
                <w:szCs w:val="18"/>
                <w:lang w:eastAsia="en-GB"/>
              </w:rPr>
            </w:pPr>
          </w:p>
        </w:tc>
        <w:tc>
          <w:tcPr>
            <w:tcW w:w="2286" w:type="pct"/>
            <w:shd w:val="clear" w:color="auto" w:fill="DBDBE0"/>
          </w:tcPr>
          <w:p w14:paraId="6E33B99E" w14:textId="23FC562D" w:rsidR="00A845BD" w:rsidRPr="00CE525E" w:rsidRDefault="00A845BD" w:rsidP="00527627">
            <w:pPr>
              <w:pStyle w:val="ListParagraph"/>
              <w:numPr>
                <w:ilvl w:val="0"/>
                <w:numId w:val="35"/>
              </w:numPr>
              <w:ind w:left="257" w:hanging="142"/>
              <w:rPr>
                <w:iCs/>
                <w:noProof/>
                <w:color w:val="000000"/>
                <w:lang w:eastAsia="en-GB"/>
              </w:rPr>
            </w:pPr>
            <w:r>
              <w:rPr>
                <w:iCs/>
                <w:noProof/>
                <w:color w:val="000000"/>
                <w:lang w:eastAsia="en-GB"/>
              </w:rPr>
              <w:t xml:space="preserve">1% increase in the number of legal cases </w:t>
            </w:r>
            <w:r w:rsidRPr="00A845BD">
              <w:rPr>
                <w:iCs/>
                <w:noProof/>
                <w:color w:val="000000"/>
                <w:lang w:eastAsia="en-GB"/>
              </w:rPr>
              <w:t>for software developers and related consumers</w:t>
            </w:r>
            <w:r w:rsidRPr="00CE525E">
              <w:rPr>
                <w:iCs/>
                <w:noProof/>
                <w:color w:val="000000"/>
                <w:lang w:eastAsia="en-GB"/>
              </w:rPr>
              <w:t>, i.e. 10% of industry under PLD scope</w:t>
            </w:r>
          </w:p>
          <w:p w14:paraId="651B633E" w14:textId="60B8D598" w:rsidR="00FD29A4" w:rsidRPr="00A845BD" w:rsidRDefault="00A845BD" w:rsidP="00527627">
            <w:pPr>
              <w:pStyle w:val="ListParagraph"/>
              <w:numPr>
                <w:ilvl w:val="0"/>
                <w:numId w:val="35"/>
              </w:numPr>
              <w:ind w:left="257" w:hanging="142"/>
              <w:rPr>
                <w:iCs/>
                <w:noProof/>
                <w:color w:val="000000"/>
                <w:lang w:eastAsia="en-GB"/>
              </w:rPr>
            </w:pPr>
            <w:r w:rsidRPr="00A845BD">
              <w:rPr>
                <w:iCs/>
                <w:noProof/>
                <w:color w:val="000000"/>
                <w:lang w:eastAsia="en-GB"/>
              </w:rPr>
              <w:t xml:space="preserve">1% increase </w:t>
            </w:r>
            <w:r>
              <w:rPr>
                <w:iCs/>
                <w:noProof/>
                <w:color w:val="000000"/>
                <w:lang w:eastAsia="en-GB"/>
              </w:rPr>
              <w:t xml:space="preserve">in the number of legal cases </w:t>
            </w:r>
            <w:r w:rsidRPr="00A845BD">
              <w:rPr>
                <w:iCs/>
                <w:noProof/>
                <w:color w:val="000000"/>
                <w:lang w:eastAsia="en-GB"/>
              </w:rPr>
              <w:t>for expanding liability to Authorised Representatives</w:t>
            </w:r>
          </w:p>
        </w:tc>
      </w:tr>
      <w:tr w:rsidR="00FD29A4" w:rsidRPr="007E0CFC" w14:paraId="1FCB50D7" w14:textId="54BF38C8" w:rsidTr="00887154">
        <w:trPr>
          <w:trHeight w:val="288"/>
        </w:trPr>
        <w:tc>
          <w:tcPr>
            <w:tcW w:w="752" w:type="pct"/>
            <w:shd w:val="clear" w:color="auto" w:fill="DBDBE0"/>
            <w:noWrap/>
            <w:hideMark/>
          </w:tcPr>
          <w:p w14:paraId="111555C4" w14:textId="77777777" w:rsidR="00FD29A4" w:rsidRPr="007E0CFC" w:rsidRDefault="00FD29A4" w:rsidP="00285AED">
            <w:pPr>
              <w:spacing w:after="0" w:line="240" w:lineRule="auto"/>
              <w:jc w:val="center"/>
              <w:rPr>
                <w:rFonts w:cstheme="minorHAnsi"/>
                <w:b/>
                <w:bCs/>
                <w:noProof/>
                <w:color w:val="002060"/>
                <w:sz w:val="20"/>
                <w:szCs w:val="18"/>
              </w:rPr>
            </w:pPr>
            <w:r w:rsidRPr="007E0CFC">
              <w:rPr>
                <w:rFonts w:cstheme="minorHAnsi"/>
                <w:b/>
                <w:bCs/>
                <w:noProof/>
                <w:color w:val="002060"/>
                <w:sz w:val="20"/>
                <w:szCs w:val="18"/>
              </w:rPr>
              <w:t>PO1b</w:t>
            </w:r>
          </w:p>
        </w:tc>
        <w:tc>
          <w:tcPr>
            <w:tcW w:w="1962" w:type="pct"/>
            <w:shd w:val="clear" w:color="auto" w:fill="DBDBE0"/>
          </w:tcPr>
          <w:p w14:paraId="15B98965" w14:textId="7ADB91CA" w:rsidR="00A845BD" w:rsidRPr="00CE525E" w:rsidRDefault="00A845BD" w:rsidP="00527627">
            <w:pPr>
              <w:pStyle w:val="ListParagraph"/>
              <w:numPr>
                <w:ilvl w:val="0"/>
                <w:numId w:val="35"/>
              </w:numPr>
              <w:ind w:left="255" w:hanging="142"/>
              <w:rPr>
                <w:iCs/>
                <w:noProof/>
                <w:color w:val="000000"/>
                <w:lang w:eastAsia="en-GB"/>
              </w:rPr>
            </w:pPr>
            <w:r>
              <w:rPr>
                <w:iCs/>
                <w:noProof/>
                <w:color w:val="000000"/>
                <w:lang w:eastAsia="en-GB"/>
              </w:rPr>
              <w:t xml:space="preserve">-4% </w:t>
            </w:r>
            <w:r w:rsidRPr="00A845BD">
              <w:rPr>
                <w:iCs/>
                <w:noProof/>
                <w:color w:val="000000"/>
                <w:lang w:eastAsia="en-GB"/>
              </w:rPr>
              <w:t>cost reduction for software developers and related consumers</w:t>
            </w:r>
            <w:r w:rsidRPr="00CE525E">
              <w:rPr>
                <w:iCs/>
                <w:noProof/>
                <w:color w:val="000000"/>
                <w:lang w:eastAsia="en-GB"/>
              </w:rPr>
              <w:t>, i.e. 10% of industry under PLD scope</w:t>
            </w:r>
          </w:p>
          <w:p w14:paraId="262620F6" w14:textId="1620DCB3" w:rsidR="00FD29A4" w:rsidRPr="00DC6D7E" w:rsidDel="00BB3DD6" w:rsidRDefault="00FD29A4" w:rsidP="00527627">
            <w:pPr>
              <w:spacing w:after="0" w:line="240" w:lineRule="auto"/>
              <w:ind w:left="255"/>
              <w:rPr>
                <w:rFonts w:ascii="Calibri" w:hAnsi="Calibri" w:cs="Calibri"/>
                <w:iCs/>
                <w:noProof/>
                <w:color w:val="000000"/>
                <w:sz w:val="20"/>
                <w:szCs w:val="18"/>
                <w:lang w:eastAsia="en-GB"/>
              </w:rPr>
            </w:pPr>
          </w:p>
        </w:tc>
        <w:tc>
          <w:tcPr>
            <w:tcW w:w="2286" w:type="pct"/>
            <w:shd w:val="clear" w:color="auto" w:fill="DBDBE0"/>
          </w:tcPr>
          <w:p w14:paraId="25B0CE17" w14:textId="075190E3" w:rsidR="00A845BD" w:rsidRDefault="00A845BD" w:rsidP="00527627">
            <w:pPr>
              <w:pStyle w:val="ListParagraph"/>
              <w:numPr>
                <w:ilvl w:val="0"/>
                <w:numId w:val="35"/>
              </w:numPr>
              <w:ind w:left="257" w:hanging="142"/>
              <w:rPr>
                <w:iCs/>
                <w:noProof/>
                <w:color w:val="000000"/>
                <w:lang w:eastAsia="en-GB"/>
              </w:rPr>
            </w:pPr>
            <w:r>
              <w:rPr>
                <w:iCs/>
                <w:noProof/>
                <w:color w:val="000000"/>
                <w:lang w:eastAsia="en-GB"/>
              </w:rPr>
              <w:t xml:space="preserve">1.8% increase in the number of legal cases </w:t>
            </w:r>
            <w:r w:rsidRPr="00A845BD">
              <w:rPr>
                <w:iCs/>
                <w:noProof/>
                <w:color w:val="000000"/>
                <w:lang w:eastAsia="en-GB"/>
              </w:rPr>
              <w:t>for software developers and related consumers</w:t>
            </w:r>
            <w:r w:rsidRPr="00CE525E">
              <w:rPr>
                <w:iCs/>
                <w:noProof/>
                <w:color w:val="000000"/>
                <w:lang w:eastAsia="en-GB"/>
              </w:rPr>
              <w:t>, i.e. 10% of industry under PLD scope</w:t>
            </w:r>
          </w:p>
          <w:p w14:paraId="4B04A8C5" w14:textId="44B56262" w:rsidR="009C5BB0" w:rsidRPr="009C5BB0" w:rsidRDefault="009C5BB0" w:rsidP="00527627">
            <w:pPr>
              <w:pStyle w:val="ListParagraph"/>
              <w:numPr>
                <w:ilvl w:val="0"/>
                <w:numId w:val="35"/>
              </w:numPr>
              <w:ind w:left="257" w:hanging="142"/>
              <w:rPr>
                <w:iCs/>
                <w:noProof/>
                <w:color w:val="000000"/>
                <w:lang w:eastAsia="en-GB"/>
              </w:rPr>
            </w:pPr>
            <w:r>
              <w:rPr>
                <w:iCs/>
                <w:noProof/>
                <w:color w:val="000000"/>
                <w:lang w:eastAsia="en-GB"/>
              </w:rPr>
              <w:t>6</w:t>
            </w:r>
            <w:r w:rsidRPr="009C5BB0">
              <w:rPr>
                <w:iCs/>
                <w:noProof/>
                <w:color w:val="000000"/>
                <w:lang w:eastAsia="en-GB"/>
              </w:rPr>
              <w:t xml:space="preserve">% increase </w:t>
            </w:r>
            <w:r>
              <w:rPr>
                <w:iCs/>
                <w:noProof/>
                <w:color w:val="000000"/>
                <w:lang w:eastAsia="en-GB"/>
              </w:rPr>
              <w:t xml:space="preserve">in the number of legal cases </w:t>
            </w:r>
            <w:r w:rsidRPr="009C5BB0">
              <w:rPr>
                <w:iCs/>
                <w:noProof/>
                <w:color w:val="000000"/>
                <w:lang w:eastAsia="en-GB"/>
              </w:rPr>
              <w:t>for manufacturers of electronic devices, i.e. 16% of industry under PLD scope</w:t>
            </w:r>
          </w:p>
          <w:p w14:paraId="46F238A8" w14:textId="51A36D5A" w:rsidR="00FD29A4" w:rsidRPr="00A845BD" w:rsidRDefault="00A845BD" w:rsidP="00527627">
            <w:pPr>
              <w:pStyle w:val="ListParagraph"/>
              <w:numPr>
                <w:ilvl w:val="0"/>
                <w:numId w:val="35"/>
              </w:numPr>
              <w:ind w:left="257" w:hanging="142"/>
              <w:rPr>
                <w:iCs/>
                <w:noProof/>
                <w:color w:val="000000"/>
                <w:lang w:eastAsia="en-GB"/>
              </w:rPr>
            </w:pPr>
            <w:r>
              <w:rPr>
                <w:iCs/>
                <w:noProof/>
                <w:color w:val="000000"/>
                <w:lang w:eastAsia="en-GB"/>
              </w:rPr>
              <w:t>2</w:t>
            </w:r>
            <w:r w:rsidRPr="00A845BD">
              <w:rPr>
                <w:iCs/>
                <w:noProof/>
                <w:color w:val="000000"/>
                <w:lang w:eastAsia="en-GB"/>
              </w:rPr>
              <w:t>% increase in the number of legal cases for expanding liability to Authorised Representatives</w:t>
            </w:r>
            <w:r>
              <w:rPr>
                <w:iCs/>
                <w:noProof/>
                <w:color w:val="000000"/>
                <w:lang w:eastAsia="en-GB"/>
              </w:rPr>
              <w:t xml:space="preserve"> and Fulfilment Service Providers</w:t>
            </w:r>
          </w:p>
        </w:tc>
      </w:tr>
      <w:tr w:rsidR="00FD29A4" w:rsidRPr="007E0CFC" w14:paraId="51B86606" w14:textId="541F7E67" w:rsidTr="00887154">
        <w:trPr>
          <w:trHeight w:val="288"/>
        </w:trPr>
        <w:tc>
          <w:tcPr>
            <w:tcW w:w="752" w:type="pct"/>
            <w:shd w:val="clear" w:color="auto" w:fill="DBDBE0"/>
            <w:noWrap/>
            <w:hideMark/>
          </w:tcPr>
          <w:p w14:paraId="55E908EB" w14:textId="77777777" w:rsidR="00FD29A4" w:rsidRPr="007E0CFC" w:rsidRDefault="00FD29A4" w:rsidP="00285AED">
            <w:pPr>
              <w:spacing w:after="0" w:line="240" w:lineRule="auto"/>
              <w:jc w:val="center"/>
              <w:rPr>
                <w:rFonts w:cstheme="minorHAnsi"/>
                <w:b/>
                <w:bCs/>
                <w:noProof/>
                <w:color w:val="002060"/>
                <w:sz w:val="20"/>
                <w:szCs w:val="18"/>
              </w:rPr>
            </w:pPr>
            <w:r w:rsidRPr="007E0CFC">
              <w:rPr>
                <w:rFonts w:cstheme="minorHAnsi"/>
                <w:b/>
                <w:bCs/>
                <w:noProof/>
                <w:color w:val="002060"/>
                <w:sz w:val="20"/>
                <w:szCs w:val="18"/>
              </w:rPr>
              <w:t>PO1c</w:t>
            </w:r>
          </w:p>
        </w:tc>
        <w:tc>
          <w:tcPr>
            <w:tcW w:w="1962" w:type="pct"/>
            <w:shd w:val="clear" w:color="auto" w:fill="DBDBE0"/>
          </w:tcPr>
          <w:p w14:paraId="2B25519B" w14:textId="12147585" w:rsidR="00FD29A4" w:rsidRPr="0003735C" w:rsidDel="00BB3DD6" w:rsidRDefault="0003735C" w:rsidP="00527627">
            <w:pPr>
              <w:pStyle w:val="ListParagraph"/>
              <w:numPr>
                <w:ilvl w:val="0"/>
                <w:numId w:val="35"/>
              </w:numPr>
              <w:ind w:left="255" w:hanging="142"/>
              <w:rPr>
                <w:iCs/>
                <w:noProof/>
                <w:color w:val="000000"/>
                <w:lang w:eastAsia="en-GB"/>
              </w:rPr>
            </w:pPr>
            <w:r>
              <w:rPr>
                <w:iCs/>
                <w:noProof/>
                <w:color w:val="000000"/>
                <w:lang w:eastAsia="en-GB"/>
              </w:rPr>
              <w:t xml:space="preserve">-6% </w:t>
            </w:r>
            <w:r w:rsidRPr="00A845BD">
              <w:rPr>
                <w:iCs/>
                <w:noProof/>
                <w:color w:val="000000"/>
                <w:lang w:eastAsia="en-GB"/>
              </w:rPr>
              <w:t>cost reduction for software developers and related consumers</w:t>
            </w:r>
            <w:r w:rsidRPr="00CE525E">
              <w:rPr>
                <w:iCs/>
                <w:noProof/>
                <w:color w:val="000000"/>
                <w:lang w:eastAsia="en-GB"/>
              </w:rPr>
              <w:t>, i.e. 10% of industry under PLD scope</w:t>
            </w:r>
          </w:p>
        </w:tc>
        <w:tc>
          <w:tcPr>
            <w:tcW w:w="2286" w:type="pct"/>
            <w:shd w:val="clear" w:color="auto" w:fill="DBDBE0"/>
          </w:tcPr>
          <w:p w14:paraId="15BF4A0E" w14:textId="61CCE57A" w:rsidR="0003735C" w:rsidRDefault="0003735C" w:rsidP="00527627">
            <w:pPr>
              <w:pStyle w:val="ListParagraph"/>
              <w:numPr>
                <w:ilvl w:val="0"/>
                <w:numId w:val="35"/>
              </w:numPr>
              <w:ind w:left="257" w:hanging="142"/>
              <w:rPr>
                <w:iCs/>
                <w:noProof/>
                <w:color w:val="000000"/>
                <w:lang w:eastAsia="en-GB"/>
              </w:rPr>
            </w:pPr>
            <w:r>
              <w:rPr>
                <w:iCs/>
                <w:noProof/>
                <w:color w:val="000000"/>
                <w:lang w:eastAsia="en-GB"/>
              </w:rPr>
              <w:t xml:space="preserve">3.4% increase in the number of legal cases </w:t>
            </w:r>
            <w:r w:rsidRPr="00A845BD">
              <w:rPr>
                <w:iCs/>
                <w:noProof/>
                <w:color w:val="000000"/>
                <w:lang w:eastAsia="en-GB"/>
              </w:rPr>
              <w:t>for software developers and related consumers</w:t>
            </w:r>
            <w:r w:rsidRPr="00CE525E">
              <w:rPr>
                <w:iCs/>
                <w:noProof/>
                <w:color w:val="000000"/>
                <w:lang w:eastAsia="en-GB"/>
              </w:rPr>
              <w:t>, i.e. 10% of industry under PLD scope</w:t>
            </w:r>
          </w:p>
          <w:p w14:paraId="15C231ED" w14:textId="77777777" w:rsidR="0003735C" w:rsidRDefault="0003735C" w:rsidP="00527627">
            <w:pPr>
              <w:pStyle w:val="ListParagraph"/>
              <w:numPr>
                <w:ilvl w:val="0"/>
                <w:numId w:val="35"/>
              </w:numPr>
              <w:ind w:left="257" w:hanging="142"/>
              <w:rPr>
                <w:iCs/>
                <w:noProof/>
                <w:color w:val="000000"/>
                <w:lang w:eastAsia="en-GB"/>
              </w:rPr>
            </w:pPr>
            <w:r>
              <w:rPr>
                <w:iCs/>
                <w:noProof/>
                <w:color w:val="000000"/>
                <w:lang w:eastAsia="en-GB"/>
              </w:rPr>
              <w:t>16</w:t>
            </w:r>
            <w:r w:rsidRPr="009C5BB0">
              <w:rPr>
                <w:iCs/>
                <w:noProof/>
                <w:color w:val="000000"/>
                <w:lang w:eastAsia="en-GB"/>
              </w:rPr>
              <w:t xml:space="preserve">% increase </w:t>
            </w:r>
            <w:r>
              <w:rPr>
                <w:iCs/>
                <w:noProof/>
                <w:color w:val="000000"/>
                <w:lang w:eastAsia="en-GB"/>
              </w:rPr>
              <w:t xml:space="preserve">in the number of legal cases </w:t>
            </w:r>
            <w:r w:rsidRPr="009C5BB0">
              <w:rPr>
                <w:iCs/>
                <w:noProof/>
                <w:color w:val="000000"/>
                <w:lang w:eastAsia="en-GB"/>
              </w:rPr>
              <w:t>for manufacturers of electronic devices, i.e. 16% of industry under PLD scope</w:t>
            </w:r>
          </w:p>
          <w:p w14:paraId="57411A32" w14:textId="4DD23EDB" w:rsidR="00FD29A4" w:rsidRPr="0003735C" w:rsidRDefault="0003735C" w:rsidP="00527627">
            <w:pPr>
              <w:pStyle w:val="ListParagraph"/>
              <w:numPr>
                <w:ilvl w:val="0"/>
                <w:numId w:val="35"/>
              </w:numPr>
              <w:ind w:left="257" w:hanging="142"/>
              <w:rPr>
                <w:iCs/>
                <w:noProof/>
                <w:color w:val="000000"/>
                <w:lang w:eastAsia="en-GB"/>
              </w:rPr>
            </w:pPr>
            <w:r w:rsidRPr="0003735C">
              <w:rPr>
                <w:iCs/>
                <w:noProof/>
                <w:color w:val="000000"/>
                <w:lang w:eastAsia="en-GB"/>
              </w:rPr>
              <w:t>2% increase in the number of legal cases for expanding liability to Authorised Representatives and Fulfilment Service Providers</w:t>
            </w:r>
          </w:p>
        </w:tc>
      </w:tr>
      <w:tr w:rsidR="00FD29A4" w:rsidRPr="007E0CFC" w14:paraId="113CD10E" w14:textId="6B49D591" w:rsidTr="00887154">
        <w:trPr>
          <w:trHeight w:val="288"/>
        </w:trPr>
        <w:tc>
          <w:tcPr>
            <w:tcW w:w="752" w:type="pct"/>
            <w:shd w:val="clear" w:color="auto" w:fill="DBDBE0"/>
            <w:noWrap/>
            <w:hideMark/>
          </w:tcPr>
          <w:p w14:paraId="2A2ECF4B" w14:textId="77777777" w:rsidR="00FD29A4" w:rsidRPr="007E0CFC" w:rsidRDefault="00FD29A4" w:rsidP="00285AED">
            <w:pPr>
              <w:spacing w:after="0" w:line="240" w:lineRule="auto"/>
              <w:jc w:val="center"/>
              <w:rPr>
                <w:rFonts w:cstheme="minorHAnsi"/>
                <w:b/>
                <w:bCs/>
                <w:noProof/>
                <w:color w:val="002060"/>
                <w:sz w:val="20"/>
                <w:szCs w:val="18"/>
              </w:rPr>
            </w:pPr>
            <w:r w:rsidRPr="007E0CFC">
              <w:rPr>
                <w:rFonts w:cstheme="minorHAnsi"/>
                <w:b/>
                <w:bCs/>
                <w:noProof/>
                <w:color w:val="002060"/>
                <w:sz w:val="20"/>
                <w:szCs w:val="18"/>
              </w:rPr>
              <w:t>PO2a</w:t>
            </w:r>
          </w:p>
        </w:tc>
        <w:tc>
          <w:tcPr>
            <w:tcW w:w="1962" w:type="pct"/>
            <w:shd w:val="clear" w:color="auto" w:fill="DBDBE0"/>
          </w:tcPr>
          <w:p w14:paraId="7C3B7D24" w14:textId="47685A94" w:rsidR="00FD29A4" w:rsidRPr="00DC6D7E" w:rsidDel="00BB3DD6" w:rsidRDefault="0003735C" w:rsidP="00527627">
            <w:pPr>
              <w:pStyle w:val="ListParagraph"/>
              <w:numPr>
                <w:ilvl w:val="0"/>
                <w:numId w:val="35"/>
              </w:numPr>
              <w:ind w:left="255" w:hanging="142"/>
              <w:rPr>
                <w:rFonts w:ascii="Calibri" w:eastAsia="Calibri" w:hAnsi="Calibri" w:cs="Calibri"/>
                <w:iCs/>
                <w:noProof/>
                <w:sz w:val="20"/>
                <w:szCs w:val="18"/>
              </w:rPr>
            </w:pPr>
            <w:r>
              <w:rPr>
                <w:iCs/>
                <w:noProof/>
                <w:color w:val="000000"/>
                <w:lang w:eastAsia="en-GB"/>
              </w:rPr>
              <w:t xml:space="preserve">-10% </w:t>
            </w:r>
            <w:r w:rsidRPr="00A845BD">
              <w:rPr>
                <w:iCs/>
                <w:noProof/>
                <w:color w:val="000000"/>
                <w:lang w:eastAsia="en-GB"/>
              </w:rPr>
              <w:t>cost reduction for</w:t>
            </w:r>
            <w:r>
              <w:rPr>
                <w:iCs/>
                <w:noProof/>
                <w:color w:val="000000"/>
                <w:lang w:eastAsia="en-GB"/>
              </w:rPr>
              <w:t xml:space="preserve"> easing the burden of proof for </w:t>
            </w:r>
            <w:r w:rsidRPr="0003735C">
              <w:rPr>
                <w:iCs/>
                <w:noProof/>
                <w:color w:val="000000"/>
                <w:lang w:eastAsia="en-GB"/>
              </w:rPr>
              <w:t>complex products producers, i.e. manufacturers of electronic devices counting for 16% of industry under PLD scope + pharmaceutical products and pharmaceutical preparations counting for 4% of industry under PLD scope</w:t>
            </w:r>
          </w:p>
        </w:tc>
        <w:tc>
          <w:tcPr>
            <w:tcW w:w="2286" w:type="pct"/>
            <w:shd w:val="clear" w:color="auto" w:fill="DBDBE0"/>
          </w:tcPr>
          <w:p w14:paraId="15B7C98C" w14:textId="3DEEB799" w:rsidR="0003735C" w:rsidRDefault="0003735C" w:rsidP="00527627">
            <w:pPr>
              <w:pStyle w:val="ListParagraph"/>
              <w:numPr>
                <w:ilvl w:val="0"/>
                <w:numId w:val="35"/>
              </w:numPr>
              <w:ind w:left="257" w:hanging="142"/>
              <w:rPr>
                <w:iCs/>
                <w:noProof/>
                <w:color w:val="000000"/>
                <w:lang w:eastAsia="en-GB"/>
              </w:rPr>
            </w:pPr>
            <w:r>
              <w:rPr>
                <w:iCs/>
                <w:noProof/>
                <w:color w:val="000000"/>
                <w:lang w:eastAsia="en-GB"/>
              </w:rPr>
              <w:t xml:space="preserve">5% increase in the number of legal cases </w:t>
            </w:r>
            <w:r w:rsidRPr="00A845BD">
              <w:rPr>
                <w:iCs/>
                <w:noProof/>
                <w:color w:val="000000"/>
                <w:lang w:eastAsia="en-GB"/>
              </w:rPr>
              <w:t>for</w:t>
            </w:r>
            <w:r>
              <w:rPr>
                <w:iCs/>
                <w:noProof/>
                <w:color w:val="000000"/>
                <w:lang w:eastAsia="en-GB"/>
              </w:rPr>
              <w:t xml:space="preserve"> easing the burden of proof for</w:t>
            </w:r>
            <w:r w:rsidRPr="0003735C">
              <w:rPr>
                <w:iCs/>
                <w:noProof/>
                <w:color w:val="000000"/>
                <w:lang w:eastAsia="en-GB"/>
              </w:rPr>
              <w:t xml:space="preserve"> complex products producers, i.e. manufacturers of electronic devices counting for 16% of industry under PLD scope + pharmaceutical products and pharmaceutical preparations counting for 4% of industry under PLD scope</w:t>
            </w:r>
          </w:p>
          <w:p w14:paraId="0A930567" w14:textId="2944B3D5" w:rsidR="00FD29A4" w:rsidRPr="0003735C" w:rsidRDefault="0003735C" w:rsidP="00527627">
            <w:pPr>
              <w:pStyle w:val="ListParagraph"/>
              <w:numPr>
                <w:ilvl w:val="0"/>
                <w:numId w:val="35"/>
              </w:numPr>
              <w:ind w:left="257" w:hanging="142"/>
              <w:rPr>
                <w:iCs/>
                <w:noProof/>
                <w:color w:val="000000"/>
                <w:lang w:eastAsia="en-GB"/>
              </w:rPr>
            </w:pPr>
            <w:r>
              <w:rPr>
                <w:iCs/>
                <w:noProof/>
                <w:color w:val="000000"/>
                <w:lang w:eastAsia="en-GB"/>
              </w:rPr>
              <w:t>2% increase in the number of legal cases for all products for reducing restriction in making claims</w:t>
            </w:r>
          </w:p>
        </w:tc>
      </w:tr>
      <w:tr w:rsidR="00FD29A4" w:rsidRPr="007E0CFC" w14:paraId="0CE51A83" w14:textId="101FFC0F" w:rsidTr="00887154">
        <w:trPr>
          <w:trHeight w:val="288"/>
        </w:trPr>
        <w:tc>
          <w:tcPr>
            <w:tcW w:w="752" w:type="pct"/>
            <w:shd w:val="clear" w:color="auto" w:fill="DBDBE0"/>
            <w:noWrap/>
            <w:hideMark/>
          </w:tcPr>
          <w:p w14:paraId="652CCD0B" w14:textId="77777777" w:rsidR="00FD29A4" w:rsidRPr="007E0CFC" w:rsidRDefault="00FD29A4" w:rsidP="00285AED">
            <w:pPr>
              <w:spacing w:after="0" w:line="240" w:lineRule="auto"/>
              <w:jc w:val="center"/>
              <w:rPr>
                <w:rFonts w:cstheme="minorHAnsi"/>
                <w:b/>
                <w:bCs/>
                <w:noProof/>
                <w:color w:val="002060"/>
                <w:sz w:val="20"/>
                <w:szCs w:val="18"/>
              </w:rPr>
            </w:pPr>
            <w:r w:rsidRPr="007E0CFC">
              <w:rPr>
                <w:rFonts w:cstheme="minorHAnsi"/>
                <w:b/>
                <w:bCs/>
                <w:noProof/>
                <w:color w:val="002060"/>
                <w:sz w:val="20"/>
                <w:szCs w:val="18"/>
              </w:rPr>
              <w:t>PO2b</w:t>
            </w:r>
          </w:p>
        </w:tc>
        <w:tc>
          <w:tcPr>
            <w:tcW w:w="1962" w:type="pct"/>
            <w:shd w:val="clear" w:color="auto" w:fill="DBDBE0"/>
          </w:tcPr>
          <w:p w14:paraId="02C2F95D" w14:textId="76F03676" w:rsidR="00FD29A4" w:rsidRPr="0003735C" w:rsidDel="00BB3DD6" w:rsidRDefault="00FD29A4" w:rsidP="0003735C">
            <w:pPr>
              <w:pStyle w:val="ListParagraph"/>
              <w:ind w:left="113"/>
              <w:rPr>
                <w:iCs/>
                <w:noProof/>
                <w:color w:val="000000"/>
                <w:lang w:eastAsia="en-GB"/>
              </w:rPr>
            </w:pPr>
          </w:p>
        </w:tc>
        <w:tc>
          <w:tcPr>
            <w:tcW w:w="2286" w:type="pct"/>
            <w:shd w:val="clear" w:color="auto" w:fill="DBDBE0"/>
          </w:tcPr>
          <w:p w14:paraId="3A0F0913" w14:textId="17948380" w:rsidR="0003735C" w:rsidRDefault="0003735C" w:rsidP="00527627">
            <w:pPr>
              <w:pStyle w:val="ListParagraph"/>
              <w:numPr>
                <w:ilvl w:val="0"/>
                <w:numId w:val="35"/>
              </w:numPr>
              <w:ind w:left="257" w:hanging="142"/>
              <w:rPr>
                <w:iCs/>
                <w:noProof/>
                <w:color w:val="000000"/>
                <w:lang w:eastAsia="en-GB"/>
              </w:rPr>
            </w:pPr>
            <w:r>
              <w:rPr>
                <w:iCs/>
                <w:noProof/>
                <w:color w:val="000000"/>
                <w:lang w:eastAsia="en-GB"/>
              </w:rPr>
              <w:t xml:space="preserve">10 % increase in the number of legal cases </w:t>
            </w:r>
            <w:r w:rsidRPr="00A845BD">
              <w:rPr>
                <w:iCs/>
                <w:noProof/>
                <w:color w:val="000000"/>
                <w:lang w:eastAsia="en-GB"/>
              </w:rPr>
              <w:t>for</w:t>
            </w:r>
            <w:r>
              <w:rPr>
                <w:iCs/>
                <w:noProof/>
                <w:color w:val="000000"/>
                <w:lang w:eastAsia="en-GB"/>
              </w:rPr>
              <w:t xml:space="preserve"> easing the burden of proof for all products</w:t>
            </w:r>
          </w:p>
          <w:p w14:paraId="361585E5" w14:textId="1B682B94" w:rsidR="00FD29A4" w:rsidRPr="0003735C" w:rsidRDefault="0003735C" w:rsidP="00527627">
            <w:pPr>
              <w:pStyle w:val="ListParagraph"/>
              <w:numPr>
                <w:ilvl w:val="0"/>
                <w:numId w:val="35"/>
              </w:numPr>
              <w:ind w:left="257" w:hanging="142"/>
              <w:rPr>
                <w:iCs/>
                <w:noProof/>
                <w:color w:val="000000"/>
                <w:lang w:eastAsia="en-GB"/>
              </w:rPr>
            </w:pPr>
            <w:r>
              <w:rPr>
                <w:iCs/>
                <w:noProof/>
                <w:color w:val="000000"/>
                <w:lang w:eastAsia="en-GB"/>
              </w:rPr>
              <w:t>5% increase in the number of legal cases for all products for reducing restriction in making claims</w:t>
            </w:r>
          </w:p>
        </w:tc>
      </w:tr>
    </w:tbl>
    <w:p w14:paraId="4C36D022" w14:textId="7C930BB8" w:rsidR="00EC2B83" w:rsidRPr="00AC4406" w:rsidRDefault="00887154" w:rsidP="00EC2B83">
      <w:pPr>
        <w:pStyle w:val="BodyText"/>
        <w:spacing w:after="240"/>
        <w:rPr>
          <w:i/>
          <w:noProof/>
          <w:sz w:val="20"/>
        </w:rPr>
      </w:pPr>
      <w:r w:rsidRPr="00FD29A4">
        <w:rPr>
          <w:i/>
          <w:noProof/>
          <w:sz w:val="20"/>
        </w:rPr>
        <w:t xml:space="preserve">Source: </w:t>
      </w:r>
      <w:r w:rsidRPr="008A39A5">
        <w:rPr>
          <w:i/>
          <w:noProof/>
          <w:sz w:val="20"/>
        </w:rPr>
        <w:t>CSES, Wavestone, CSIL (2022)</w:t>
      </w:r>
    </w:p>
    <w:p w14:paraId="6DDB9031" w14:textId="449957C0" w:rsidR="00EC2B83" w:rsidRDefault="00EC2B83" w:rsidP="00EC2B83">
      <w:pPr>
        <w:pStyle w:val="BodyText"/>
        <w:spacing w:after="240"/>
        <w:rPr>
          <w:noProof/>
          <w:sz w:val="24"/>
        </w:rPr>
      </w:pPr>
      <w:r w:rsidRPr="000D4B81">
        <w:rPr>
          <w:noProof/>
          <w:sz w:val="24"/>
        </w:rPr>
        <w:t xml:space="preserve">Total </w:t>
      </w:r>
      <w:r w:rsidR="00CB48DE">
        <w:rPr>
          <w:noProof/>
          <w:sz w:val="24"/>
        </w:rPr>
        <w:t>legal</w:t>
      </w:r>
      <w:r w:rsidR="00CB48DE" w:rsidRPr="009058A2">
        <w:rPr>
          <w:noProof/>
          <w:sz w:val="24"/>
        </w:rPr>
        <w:t xml:space="preserve"> </w:t>
      </w:r>
      <w:r w:rsidRPr="009058A2">
        <w:rPr>
          <w:noProof/>
          <w:sz w:val="24"/>
        </w:rPr>
        <w:t>cost</w:t>
      </w:r>
      <w:r>
        <w:rPr>
          <w:noProof/>
          <w:sz w:val="24"/>
        </w:rPr>
        <w:t>s</w:t>
      </w:r>
      <w:r w:rsidRPr="009058A2">
        <w:rPr>
          <w:noProof/>
          <w:sz w:val="24"/>
        </w:rPr>
        <w:t xml:space="preserve"> under the PLD </w:t>
      </w:r>
      <w:r w:rsidRPr="000D4B81">
        <w:rPr>
          <w:noProof/>
          <w:sz w:val="24"/>
        </w:rPr>
        <w:t>differ according to the proposed measures in each of the policy section. The table below summarises the incremental changes compared to the baseline scenario</w:t>
      </w:r>
      <w:r>
        <w:rPr>
          <w:noProof/>
          <w:sz w:val="24"/>
        </w:rPr>
        <w:t>, providing the incremental cost</w:t>
      </w:r>
      <w:r w:rsidR="006C522E">
        <w:rPr>
          <w:noProof/>
          <w:sz w:val="24"/>
        </w:rPr>
        <w:t xml:space="preserve">s using low </w:t>
      </w:r>
      <w:r>
        <w:rPr>
          <w:noProof/>
          <w:sz w:val="24"/>
        </w:rPr>
        <w:t xml:space="preserve">and high values. </w:t>
      </w:r>
    </w:p>
    <w:p w14:paraId="554104D3" w14:textId="0FD9BEC5" w:rsidR="003942BE"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14</w:t>
      </w:r>
      <w:r w:rsidRPr="00463BC5">
        <w:rPr>
          <w:noProof/>
          <w:color w:val="auto"/>
          <w:sz w:val="20"/>
        </w:rPr>
        <w:fldChar w:fldCharType="end"/>
      </w:r>
      <w:r w:rsidRPr="00463BC5">
        <w:rPr>
          <w:noProof/>
          <w:color w:val="auto"/>
          <w:sz w:val="20"/>
        </w:rPr>
        <w:t xml:space="preserve">: </w:t>
      </w:r>
      <w:r w:rsidR="003942BE" w:rsidRPr="00463BC5">
        <w:rPr>
          <w:noProof/>
          <w:color w:val="auto"/>
          <w:sz w:val="20"/>
        </w:rPr>
        <w:t xml:space="preserve">Annual </w:t>
      </w:r>
      <w:r w:rsidR="00CB48DE" w:rsidRPr="00463BC5">
        <w:rPr>
          <w:noProof/>
          <w:color w:val="auto"/>
          <w:sz w:val="20"/>
        </w:rPr>
        <w:t xml:space="preserve">legal </w:t>
      </w:r>
      <w:r w:rsidR="003942BE" w:rsidRPr="00463BC5">
        <w:rPr>
          <w:noProof/>
          <w:color w:val="auto"/>
          <w:sz w:val="20"/>
        </w:rPr>
        <w:t>costs compensation under the different policy packages (EUR million)</w:t>
      </w:r>
    </w:p>
    <w:tbl>
      <w:tblPr>
        <w:tblW w:w="4517" w:type="pct"/>
        <w:jc w:val="center"/>
        <w:tblLook w:val="04A0" w:firstRow="1" w:lastRow="0" w:firstColumn="1" w:lastColumn="0" w:noHBand="0" w:noVBand="1"/>
      </w:tblPr>
      <w:tblGrid>
        <w:gridCol w:w="1036"/>
        <w:gridCol w:w="4008"/>
        <w:gridCol w:w="2937"/>
      </w:tblGrid>
      <w:tr w:rsidR="00EB3705" w14:paraId="4DF38EF3" w14:textId="77777777" w:rsidTr="00C21E74">
        <w:trPr>
          <w:tblHeader/>
          <w:jc w:val="center"/>
        </w:trPr>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B378F48" w14:textId="77777777" w:rsidR="00EB3705" w:rsidRDefault="00EB3705" w:rsidP="00C77D30">
            <w:pPr>
              <w:spacing w:after="0" w:line="240" w:lineRule="auto"/>
              <w:jc w:val="center"/>
              <w:rPr>
                <w:bCs/>
                <w:noProof/>
              </w:rPr>
            </w:pPr>
          </w:p>
        </w:tc>
        <w:tc>
          <w:tcPr>
            <w:tcW w:w="25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D806ACA" w14:textId="77777777" w:rsidR="00EB3705" w:rsidRDefault="00EB3705" w:rsidP="00C77D30">
            <w:pPr>
              <w:spacing w:after="0" w:line="240" w:lineRule="auto"/>
              <w:jc w:val="center"/>
              <w:rPr>
                <w:b/>
                <w:bCs/>
                <w:noProof/>
              </w:rPr>
            </w:pPr>
            <w:r w:rsidRPr="00BE2251">
              <w:rPr>
                <w:noProof/>
              </w:rPr>
              <w:t>Incremental cost compared to baseline (low</w:t>
            </w:r>
            <w:r>
              <w:rPr>
                <w:noProof/>
              </w:rPr>
              <w:t xml:space="preserve"> estimate</w:t>
            </w:r>
            <w:r w:rsidRPr="00BE2251">
              <w:rPr>
                <w:noProof/>
              </w:rPr>
              <w:t>)</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C3E529A" w14:textId="77777777" w:rsidR="00EB3705" w:rsidRDefault="00EB3705" w:rsidP="00C77D30">
            <w:pPr>
              <w:spacing w:after="0" w:line="240" w:lineRule="auto"/>
              <w:jc w:val="center"/>
              <w:rPr>
                <w:b/>
                <w:bCs/>
                <w:noProof/>
              </w:rPr>
            </w:pPr>
            <w:r w:rsidRPr="00BE2251">
              <w:rPr>
                <w:noProof/>
              </w:rPr>
              <w:t>Incremental cost compared to baseline (high</w:t>
            </w:r>
            <w:r>
              <w:rPr>
                <w:noProof/>
              </w:rPr>
              <w:t xml:space="preserve"> estimate</w:t>
            </w:r>
            <w:r w:rsidRPr="00BE2251">
              <w:rPr>
                <w:noProof/>
              </w:rPr>
              <w:t>)</w:t>
            </w:r>
          </w:p>
        </w:tc>
      </w:tr>
      <w:tr w:rsidR="00EB3705" w14:paraId="75AFD35C" w14:textId="77777777" w:rsidTr="00C21E74">
        <w:trPr>
          <w:trHeight w:val="337"/>
          <w:jc w:val="center"/>
        </w:trPr>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13BFE92C" w14:textId="77777777" w:rsidR="00EB3705" w:rsidRDefault="00EB3705" w:rsidP="00285AED">
            <w:pPr>
              <w:spacing w:after="0" w:line="240" w:lineRule="auto"/>
              <w:jc w:val="center"/>
              <w:rPr>
                <w:rFonts w:cstheme="minorHAnsi"/>
                <w:b/>
                <w:bCs/>
                <w:noProof/>
                <w:color w:val="002060"/>
              </w:rPr>
            </w:pPr>
            <w:r>
              <w:rPr>
                <w:rFonts w:cstheme="minorHAnsi"/>
                <w:b/>
                <w:bCs/>
                <w:noProof/>
                <w:color w:val="002060"/>
              </w:rPr>
              <w:t>PO1a</w:t>
            </w:r>
          </w:p>
        </w:tc>
        <w:tc>
          <w:tcPr>
            <w:tcW w:w="25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460EC90" w14:textId="40ACA0D3" w:rsidR="00EB3705" w:rsidRDefault="00EB3705" w:rsidP="005F52EB">
            <w:pPr>
              <w:spacing w:after="0" w:line="240" w:lineRule="auto"/>
              <w:jc w:val="center"/>
              <w:rPr>
                <w:noProof/>
                <w:highlight w:val="yellow"/>
              </w:rPr>
            </w:pPr>
            <w:r>
              <w:rPr>
                <w:noProof/>
              </w:rPr>
              <w:t>0.</w:t>
            </w:r>
            <w:r w:rsidR="005F52EB">
              <w:rPr>
                <w:noProof/>
              </w:rPr>
              <w:t>41</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734F535" w14:textId="7D60ACF0" w:rsidR="00EB3705" w:rsidRDefault="005F52EB" w:rsidP="005F52EB">
            <w:pPr>
              <w:spacing w:after="0" w:line="240" w:lineRule="auto"/>
              <w:jc w:val="center"/>
              <w:rPr>
                <w:noProof/>
                <w:highlight w:val="yellow"/>
              </w:rPr>
            </w:pPr>
            <w:r>
              <w:rPr>
                <w:noProof/>
              </w:rPr>
              <w:t>1.02</w:t>
            </w:r>
            <w:r w:rsidDel="005F52EB">
              <w:rPr>
                <w:noProof/>
              </w:rPr>
              <w:t xml:space="preserve"> </w:t>
            </w:r>
          </w:p>
        </w:tc>
      </w:tr>
      <w:tr w:rsidR="00EB3705" w14:paraId="1B9F9B3E" w14:textId="77777777" w:rsidTr="00C21E74">
        <w:trPr>
          <w:trHeight w:val="337"/>
          <w:jc w:val="center"/>
        </w:trPr>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54C59D8" w14:textId="77777777" w:rsidR="00EB3705" w:rsidRDefault="00EB3705" w:rsidP="00285AED">
            <w:pPr>
              <w:spacing w:after="0" w:line="240" w:lineRule="auto"/>
              <w:jc w:val="center"/>
              <w:rPr>
                <w:rFonts w:cstheme="minorHAnsi"/>
                <w:b/>
                <w:bCs/>
                <w:noProof/>
                <w:color w:val="002060"/>
              </w:rPr>
            </w:pPr>
            <w:r>
              <w:rPr>
                <w:rFonts w:cstheme="minorHAnsi"/>
                <w:b/>
                <w:bCs/>
                <w:noProof/>
                <w:color w:val="002060"/>
              </w:rPr>
              <w:t>PO1b</w:t>
            </w:r>
          </w:p>
        </w:tc>
        <w:tc>
          <w:tcPr>
            <w:tcW w:w="25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0D1FA331" w14:textId="7A3A1DCA" w:rsidR="00EB3705" w:rsidRDefault="009F4813" w:rsidP="005F52EB">
            <w:pPr>
              <w:spacing w:after="0" w:line="240" w:lineRule="auto"/>
              <w:jc w:val="center"/>
              <w:rPr>
                <w:noProof/>
                <w:highlight w:val="yellow"/>
              </w:rPr>
            </w:pPr>
            <w:r>
              <w:rPr>
                <w:noProof/>
              </w:rPr>
              <w:t>1.</w:t>
            </w:r>
            <w:r w:rsidR="005F52EB">
              <w:rPr>
                <w:noProof/>
              </w:rPr>
              <w:t>12</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0327AD9" w14:textId="555EBDEF" w:rsidR="00EB3705" w:rsidRDefault="009F4813" w:rsidP="005F52EB">
            <w:pPr>
              <w:spacing w:after="0" w:line="240" w:lineRule="auto"/>
              <w:jc w:val="center"/>
              <w:rPr>
                <w:noProof/>
                <w:highlight w:val="yellow"/>
              </w:rPr>
            </w:pPr>
            <w:r>
              <w:rPr>
                <w:noProof/>
              </w:rPr>
              <w:t>2.</w:t>
            </w:r>
            <w:r w:rsidR="005F52EB">
              <w:rPr>
                <w:noProof/>
              </w:rPr>
              <w:t>75</w:t>
            </w:r>
          </w:p>
        </w:tc>
      </w:tr>
      <w:tr w:rsidR="00EB3705" w14:paraId="149A1500" w14:textId="77777777" w:rsidTr="00C21E74">
        <w:trPr>
          <w:trHeight w:val="337"/>
          <w:jc w:val="center"/>
        </w:trPr>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55136D24" w14:textId="77777777" w:rsidR="00EB3705" w:rsidRDefault="00EB3705" w:rsidP="00285AED">
            <w:pPr>
              <w:spacing w:after="0" w:line="240" w:lineRule="auto"/>
              <w:jc w:val="center"/>
              <w:rPr>
                <w:rFonts w:cstheme="minorHAnsi"/>
                <w:b/>
                <w:bCs/>
                <w:noProof/>
                <w:color w:val="002060"/>
              </w:rPr>
            </w:pPr>
            <w:r>
              <w:rPr>
                <w:rFonts w:cstheme="minorHAnsi"/>
                <w:b/>
                <w:bCs/>
                <w:noProof/>
                <w:color w:val="002060"/>
              </w:rPr>
              <w:t>PO1c</w:t>
            </w:r>
          </w:p>
        </w:tc>
        <w:tc>
          <w:tcPr>
            <w:tcW w:w="25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54EF330" w14:textId="42B586A5" w:rsidR="00EB3705" w:rsidRDefault="00EB3705" w:rsidP="005F52EB">
            <w:pPr>
              <w:spacing w:after="0" w:line="240" w:lineRule="auto"/>
              <w:jc w:val="center"/>
              <w:rPr>
                <w:noProof/>
                <w:highlight w:val="yellow"/>
              </w:rPr>
            </w:pPr>
            <w:r>
              <w:rPr>
                <w:noProof/>
              </w:rPr>
              <w:t>1.</w:t>
            </w:r>
            <w:r w:rsidR="005F52EB">
              <w:rPr>
                <w:noProof/>
              </w:rPr>
              <w:t>83</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1982397" w14:textId="4224476E" w:rsidR="00EB3705" w:rsidRDefault="005F52EB" w:rsidP="005F52EB">
            <w:pPr>
              <w:spacing w:after="0" w:line="240" w:lineRule="auto"/>
              <w:jc w:val="center"/>
              <w:rPr>
                <w:noProof/>
                <w:highlight w:val="yellow"/>
              </w:rPr>
            </w:pPr>
            <w:r>
              <w:rPr>
                <w:noProof/>
              </w:rPr>
              <w:t>4.50</w:t>
            </w:r>
            <w:r w:rsidDel="005F52EB">
              <w:rPr>
                <w:noProof/>
              </w:rPr>
              <w:t xml:space="preserve"> </w:t>
            </w:r>
          </w:p>
        </w:tc>
      </w:tr>
      <w:tr w:rsidR="00EB3705" w14:paraId="31284948" w14:textId="77777777" w:rsidTr="00C21E74">
        <w:trPr>
          <w:trHeight w:val="337"/>
          <w:jc w:val="center"/>
        </w:trPr>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6245CDD" w14:textId="77777777" w:rsidR="00EB3705" w:rsidRDefault="00EB3705" w:rsidP="00285AED">
            <w:pPr>
              <w:spacing w:after="0" w:line="240" w:lineRule="auto"/>
              <w:jc w:val="center"/>
              <w:rPr>
                <w:rFonts w:cstheme="minorHAnsi"/>
                <w:b/>
                <w:bCs/>
                <w:noProof/>
                <w:color w:val="002060"/>
              </w:rPr>
            </w:pPr>
            <w:r>
              <w:rPr>
                <w:rFonts w:cstheme="minorHAnsi"/>
                <w:b/>
                <w:bCs/>
                <w:noProof/>
                <w:color w:val="002060"/>
              </w:rPr>
              <w:t>PO2a</w:t>
            </w:r>
          </w:p>
        </w:tc>
        <w:tc>
          <w:tcPr>
            <w:tcW w:w="25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C0B8F81" w14:textId="04C1B59A" w:rsidR="00EB3705" w:rsidRDefault="00EB3705" w:rsidP="005F52EB">
            <w:pPr>
              <w:spacing w:after="0" w:line="240" w:lineRule="auto"/>
              <w:jc w:val="center"/>
              <w:rPr>
                <w:noProof/>
                <w:highlight w:val="yellow"/>
              </w:rPr>
            </w:pPr>
            <w:r>
              <w:rPr>
                <w:noProof/>
              </w:rPr>
              <w:t>0.</w:t>
            </w:r>
            <w:r w:rsidR="005F52EB">
              <w:rPr>
                <w:noProof/>
              </w:rPr>
              <w:t>41</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0D90882" w14:textId="0E96EA8E" w:rsidR="00EB3705" w:rsidRDefault="005F52EB" w:rsidP="005F52EB">
            <w:pPr>
              <w:spacing w:after="0" w:line="240" w:lineRule="auto"/>
              <w:jc w:val="center"/>
              <w:rPr>
                <w:noProof/>
                <w:highlight w:val="yellow"/>
              </w:rPr>
            </w:pPr>
            <w:r>
              <w:rPr>
                <w:noProof/>
              </w:rPr>
              <w:t>1.02</w:t>
            </w:r>
            <w:r w:rsidDel="005F52EB">
              <w:rPr>
                <w:noProof/>
              </w:rPr>
              <w:t xml:space="preserve"> </w:t>
            </w:r>
          </w:p>
        </w:tc>
      </w:tr>
      <w:tr w:rsidR="00EB3705" w14:paraId="581F93A4" w14:textId="77777777" w:rsidTr="00C21E74">
        <w:trPr>
          <w:trHeight w:val="337"/>
          <w:jc w:val="center"/>
        </w:trPr>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19011C4" w14:textId="77777777" w:rsidR="00EB3705" w:rsidRDefault="00EB3705" w:rsidP="00285AED">
            <w:pPr>
              <w:spacing w:after="0" w:line="240" w:lineRule="auto"/>
              <w:jc w:val="center"/>
              <w:rPr>
                <w:rFonts w:cstheme="minorHAnsi"/>
                <w:b/>
                <w:bCs/>
                <w:noProof/>
                <w:color w:val="002060"/>
              </w:rPr>
            </w:pPr>
            <w:r>
              <w:rPr>
                <w:rFonts w:cstheme="minorHAnsi"/>
                <w:b/>
                <w:bCs/>
                <w:noProof/>
                <w:color w:val="002060"/>
              </w:rPr>
              <w:t>PO2b</w:t>
            </w:r>
          </w:p>
        </w:tc>
        <w:tc>
          <w:tcPr>
            <w:tcW w:w="25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F067866" w14:textId="37BFBE29" w:rsidR="00EB3705" w:rsidRDefault="005F52EB" w:rsidP="005F52EB">
            <w:pPr>
              <w:spacing w:after="0" w:line="240" w:lineRule="auto"/>
              <w:jc w:val="center"/>
              <w:rPr>
                <w:noProof/>
                <w:highlight w:val="yellow"/>
              </w:rPr>
            </w:pPr>
            <w:r>
              <w:rPr>
                <w:noProof/>
              </w:rPr>
              <w:t>6.90</w:t>
            </w:r>
            <w:r w:rsidDel="005F52EB">
              <w:rPr>
                <w:noProof/>
              </w:rPr>
              <w:t xml:space="preserve"> </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DC921B8" w14:textId="3B371F03" w:rsidR="00EB3705" w:rsidRDefault="005F52EB" w:rsidP="005F52EB">
            <w:pPr>
              <w:spacing w:after="0" w:line="240" w:lineRule="auto"/>
              <w:jc w:val="center"/>
              <w:rPr>
                <w:noProof/>
                <w:highlight w:val="yellow"/>
              </w:rPr>
            </w:pPr>
            <w:r>
              <w:rPr>
                <w:noProof/>
              </w:rPr>
              <w:t>16.96</w:t>
            </w:r>
            <w:r w:rsidDel="005F52EB">
              <w:rPr>
                <w:noProof/>
              </w:rPr>
              <w:t xml:space="preserve"> </w:t>
            </w:r>
          </w:p>
        </w:tc>
      </w:tr>
    </w:tbl>
    <w:p w14:paraId="2B081465" w14:textId="77777777" w:rsidR="006C522E" w:rsidRDefault="006C522E">
      <w:pPr>
        <w:rPr>
          <w:noProof/>
        </w:rPr>
      </w:pPr>
    </w:p>
    <w:p w14:paraId="714BF56F" w14:textId="66A4179B" w:rsidR="006C522E" w:rsidRDefault="006C522E" w:rsidP="006C522E">
      <w:pPr>
        <w:pStyle w:val="BodyText"/>
        <w:spacing w:after="240"/>
        <w:rPr>
          <w:noProof/>
          <w:sz w:val="24"/>
        </w:rPr>
      </w:pPr>
      <w:r w:rsidRPr="000D4B81">
        <w:rPr>
          <w:noProof/>
          <w:sz w:val="24"/>
        </w:rPr>
        <w:t>T</w:t>
      </w:r>
      <w:r>
        <w:rPr>
          <w:noProof/>
          <w:sz w:val="24"/>
        </w:rPr>
        <w:t xml:space="preserve">he </w:t>
      </w:r>
      <w:r w:rsidR="003C3109">
        <w:rPr>
          <w:noProof/>
          <w:sz w:val="24"/>
        </w:rPr>
        <w:t xml:space="preserve">following summarised the quantified benefits and costs of the different policy options. </w:t>
      </w:r>
    </w:p>
    <w:p w14:paraId="77DCDD1E" w14:textId="77777777" w:rsidR="00A65245" w:rsidRDefault="00A65245" w:rsidP="00A65245">
      <w:pPr>
        <w:pStyle w:val="BodyText"/>
        <w:spacing w:after="240"/>
        <w:rPr>
          <w:noProof/>
          <w:sz w:val="24"/>
        </w:rPr>
      </w:pPr>
      <w:r>
        <w:rPr>
          <w:noProof/>
          <w:sz w:val="24"/>
        </w:rPr>
        <w:t>These values should not be seen as a</w:t>
      </w:r>
      <w:r w:rsidRPr="003C3109">
        <w:rPr>
          <w:noProof/>
          <w:sz w:val="24"/>
        </w:rPr>
        <w:t xml:space="preserve"> comprehensive quantification of </w:t>
      </w:r>
      <w:r>
        <w:rPr>
          <w:noProof/>
          <w:sz w:val="24"/>
        </w:rPr>
        <w:t xml:space="preserve">the </w:t>
      </w:r>
      <w:r w:rsidRPr="003C3109">
        <w:rPr>
          <w:noProof/>
          <w:sz w:val="24"/>
        </w:rPr>
        <w:t xml:space="preserve">costs and benefits </w:t>
      </w:r>
      <w:r>
        <w:rPr>
          <w:noProof/>
          <w:sz w:val="24"/>
        </w:rPr>
        <w:t xml:space="preserve">for each of the policy option analysed but rather they aim at providing </w:t>
      </w:r>
      <w:r w:rsidRPr="003C3109">
        <w:rPr>
          <w:noProof/>
          <w:sz w:val="24"/>
        </w:rPr>
        <w:t xml:space="preserve">the magnitude of </w:t>
      </w:r>
      <w:r>
        <w:rPr>
          <w:noProof/>
          <w:sz w:val="24"/>
        </w:rPr>
        <w:t xml:space="preserve">the </w:t>
      </w:r>
      <w:r w:rsidRPr="003C3109">
        <w:rPr>
          <w:noProof/>
          <w:sz w:val="24"/>
        </w:rPr>
        <w:t>potential impacts generated by each policy option.</w:t>
      </w:r>
    </w:p>
    <w:p w14:paraId="43FBA5BF" w14:textId="3043B74C" w:rsidR="00DB28FC" w:rsidRPr="00463BC5" w:rsidRDefault="00463BC5" w:rsidP="00463BC5">
      <w:pPr>
        <w:pStyle w:val="Caption"/>
        <w:spacing w:after="0"/>
        <w:rPr>
          <w:noProof/>
          <w:color w:val="auto"/>
          <w:sz w:val="20"/>
        </w:rPr>
      </w:pPr>
      <w:r w:rsidRPr="00463BC5">
        <w:rPr>
          <w:noProof/>
          <w:color w:val="auto"/>
          <w:sz w:val="20"/>
        </w:rPr>
        <w:t xml:space="preserve">Table </w:t>
      </w:r>
      <w:r w:rsidRPr="00463BC5">
        <w:rPr>
          <w:noProof/>
          <w:color w:val="auto"/>
          <w:sz w:val="20"/>
        </w:rPr>
        <w:fldChar w:fldCharType="begin"/>
      </w:r>
      <w:r w:rsidRPr="00463BC5">
        <w:rPr>
          <w:noProof/>
          <w:color w:val="auto"/>
          <w:sz w:val="20"/>
        </w:rPr>
        <w:instrText xml:space="preserve"> SEQ Table \* ARABIC </w:instrText>
      </w:r>
      <w:r w:rsidRPr="00463BC5">
        <w:rPr>
          <w:noProof/>
          <w:color w:val="auto"/>
          <w:sz w:val="20"/>
        </w:rPr>
        <w:fldChar w:fldCharType="separate"/>
      </w:r>
      <w:r w:rsidR="00BC2C3A">
        <w:rPr>
          <w:noProof/>
          <w:color w:val="auto"/>
          <w:sz w:val="20"/>
        </w:rPr>
        <w:t>15</w:t>
      </w:r>
      <w:r w:rsidRPr="00463BC5">
        <w:rPr>
          <w:noProof/>
          <w:color w:val="auto"/>
          <w:sz w:val="20"/>
        </w:rPr>
        <w:fldChar w:fldCharType="end"/>
      </w:r>
      <w:r w:rsidRPr="00463BC5">
        <w:rPr>
          <w:noProof/>
          <w:color w:val="auto"/>
          <w:sz w:val="20"/>
        </w:rPr>
        <w:t xml:space="preserve">: </w:t>
      </w:r>
      <w:r w:rsidR="00C760B0" w:rsidRPr="00463BC5">
        <w:rPr>
          <w:noProof/>
          <w:color w:val="auto"/>
          <w:sz w:val="20"/>
        </w:rPr>
        <w:t>Costs &amp; Benefits summary table (EUR million annual)</w:t>
      </w:r>
    </w:p>
    <w:tbl>
      <w:tblPr>
        <w:tblStyle w:val="CSEStable"/>
        <w:tblW w:w="4952" w:type="pct"/>
        <w:jc w:val="center"/>
        <w:tblLayout w:type="fixed"/>
        <w:tblLook w:val="04A0" w:firstRow="1" w:lastRow="0" w:firstColumn="1" w:lastColumn="0" w:noHBand="0" w:noVBand="1"/>
      </w:tblPr>
      <w:tblGrid>
        <w:gridCol w:w="913"/>
        <w:gridCol w:w="1421"/>
        <w:gridCol w:w="1417"/>
        <w:gridCol w:w="1277"/>
        <w:gridCol w:w="1276"/>
        <w:gridCol w:w="1143"/>
        <w:gridCol w:w="1302"/>
      </w:tblGrid>
      <w:tr w:rsidR="00AD11BC" w14:paraId="5A5719C5" w14:textId="77777777" w:rsidTr="00AD11BC">
        <w:trPr>
          <w:cnfStyle w:val="100000000000" w:firstRow="1" w:lastRow="0" w:firstColumn="0" w:lastColumn="0" w:oddVBand="0" w:evenVBand="0" w:oddHBand="0" w:evenHBand="0" w:firstRowFirstColumn="0" w:firstRowLastColumn="0" w:lastRowFirstColumn="0" w:lastRowLastColumn="0"/>
          <w:trHeight w:val="618"/>
          <w:tblHeader/>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7772114" w14:textId="77777777" w:rsidR="00AD11BC" w:rsidRPr="003A32FD" w:rsidRDefault="00AD11BC" w:rsidP="00AD11BC">
            <w:pPr>
              <w:jc w:val="center"/>
              <w:rPr>
                <w:noProof/>
                <w:szCs w:val="20"/>
              </w:rPr>
            </w:pPr>
          </w:p>
        </w:tc>
        <w:tc>
          <w:tcPr>
            <w:tcW w:w="16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03CEF95" w14:textId="77777777" w:rsidR="00AD11BC" w:rsidRDefault="00AD11BC" w:rsidP="00AD11BC">
            <w:pPr>
              <w:jc w:val="center"/>
              <w:rPr>
                <w:b w:val="0"/>
                <w:bCs/>
                <w:noProof/>
                <w:szCs w:val="20"/>
              </w:rPr>
            </w:pPr>
            <w:r>
              <w:rPr>
                <w:b w:val="0"/>
                <w:bCs/>
                <w:noProof/>
                <w:szCs w:val="20"/>
              </w:rPr>
              <w:t>Incremental benefits compared to baseline</w:t>
            </w:r>
          </w:p>
        </w:tc>
        <w:tc>
          <w:tcPr>
            <w:tcW w:w="2856"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CBFEF96" w14:textId="77777777" w:rsidR="00AD11BC" w:rsidRDefault="00AD11BC" w:rsidP="00AD11BC">
            <w:pPr>
              <w:jc w:val="center"/>
              <w:rPr>
                <w:b w:val="0"/>
                <w:noProof/>
                <w:szCs w:val="20"/>
              </w:rPr>
            </w:pPr>
            <w:r>
              <w:rPr>
                <w:rFonts w:cs="Times New Roman"/>
                <w:b w:val="0"/>
                <w:noProof/>
                <w:szCs w:val="20"/>
              </w:rPr>
              <w:t>Incremental costs compared to baseline</w:t>
            </w:r>
          </w:p>
        </w:tc>
      </w:tr>
      <w:tr w:rsidR="00AD11BC" w14:paraId="21667CA2" w14:textId="77777777" w:rsidTr="00AD11BC">
        <w:trPr>
          <w:cnfStyle w:val="100000000000" w:firstRow="1" w:lastRow="0" w:firstColumn="0" w:lastColumn="0" w:oddVBand="0" w:evenVBand="0" w:oddHBand="0" w:evenHBand="0" w:firstRowFirstColumn="0" w:firstRowLastColumn="0" w:lastRowFirstColumn="0" w:lastRowLastColumn="0"/>
          <w:trHeight w:val="618"/>
          <w:tblHeader/>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A8470F5" w14:textId="77777777" w:rsidR="00AD11BC" w:rsidRPr="003A32FD" w:rsidRDefault="00AD11BC" w:rsidP="00AD11BC">
            <w:pPr>
              <w:jc w:val="center"/>
              <w:rPr>
                <w:noProof/>
                <w:szCs w:val="20"/>
              </w:rPr>
            </w:pPr>
          </w:p>
        </w:tc>
        <w:tc>
          <w:tcPr>
            <w:tcW w:w="16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5EE5167" w14:textId="77777777" w:rsidR="00AD11BC" w:rsidRPr="00DD674B" w:rsidRDefault="00AD11BC" w:rsidP="00AD11BC">
            <w:pPr>
              <w:jc w:val="center"/>
              <w:rPr>
                <w:b w:val="0"/>
                <w:bCs/>
                <w:noProof/>
                <w:szCs w:val="20"/>
              </w:rPr>
            </w:pPr>
            <w:r w:rsidRPr="007136FF">
              <w:rPr>
                <w:b w:val="0"/>
                <w:bCs/>
                <w:noProof/>
                <w:szCs w:val="20"/>
              </w:rPr>
              <w:t xml:space="preserve">Incremental </w:t>
            </w:r>
            <w:r>
              <w:rPr>
                <w:b w:val="0"/>
                <w:bCs/>
                <w:noProof/>
                <w:szCs w:val="20"/>
              </w:rPr>
              <w:t xml:space="preserve">annual </w:t>
            </w:r>
            <w:r w:rsidRPr="007136FF">
              <w:rPr>
                <w:b w:val="0"/>
                <w:bCs/>
                <w:noProof/>
                <w:szCs w:val="20"/>
              </w:rPr>
              <w:t>compensation paid to victims</w:t>
            </w:r>
            <w:r w:rsidRPr="00DD674B">
              <w:rPr>
                <w:b w:val="0"/>
                <w:bCs/>
                <w:noProof/>
                <w:szCs w:val="20"/>
                <w:vertAlign w:val="superscript"/>
              </w:rPr>
              <w:t>(*)</w:t>
            </w:r>
          </w:p>
        </w:tc>
        <w:tc>
          <w:tcPr>
            <w:tcW w:w="14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2B5B38F" w14:textId="77777777" w:rsidR="00AD11BC" w:rsidRPr="00DD674B" w:rsidRDefault="00AD11BC" w:rsidP="00AD11BC">
            <w:pPr>
              <w:jc w:val="center"/>
              <w:rPr>
                <w:rFonts w:cs="Times New Roman"/>
                <w:b w:val="0"/>
                <w:noProof/>
                <w:szCs w:val="20"/>
              </w:rPr>
            </w:pPr>
            <w:r>
              <w:rPr>
                <w:rFonts w:cs="Times New Roman"/>
                <w:b w:val="0"/>
                <w:noProof/>
                <w:szCs w:val="20"/>
              </w:rPr>
              <w:t>Incremental annual product liability</w:t>
            </w:r>
            <w:r w:rsidRPr="007136FF">
              <w:rPr>
                <w:rFonts w:cs="Times New Roman"/>
                <w:b w:val="0"/>
                <w:noProof/>
                <w:szCs w:val="20"/>
              </w:rPr>
              <w:t xml:space="preserve"> insurance </w:t>
            </w:r>
            <w:r>
              <w:rPr>
                <w:rFonts w:cs="Times New Roman"/>
                <w:b w:val="0"/>
                <w:noProof/>
                <w:szCs w:val="20"/>
              </w:rPr>
              <w:t xml:space="preserve">costs </w:t>
            </w:r>
          </w:p>
        </w:tc>
        <w:tc>
          <w:tcPr>
            <w:tcW w:w="139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FB6584E" w14:textId="77777777" w:rsidR="00AD11BC" w:rsidRPr="00051412" w:rsidRDefault="00AD11BC" w:rsidP="00AD11BC">
            <w:pPr>
              <w:jc w:val="center"/>
              <w:rPr>
                <w:rFonts w:cs="Times New Roman"/>
                <w:b w:val="0"/>
                <w:noProof/>
                <w:szCs w:val="20"/>
              </w:rPr>
            </w:pPr>
            <w:r w:rsidRPr="007136FF">
              <w:rPr>
                <w:b w:val="0"/>
                <w:noProof/>
                <w:szCs w:val="20"/>
              </w:rPr>
              <w:t xml:space="preserve">Incremental annual </w:t>
            </w:r>
            <w:r>
              <w:rPr>
                <w:b w:val="0"/>
                <w:noProof/>
                <w:szCs w:val="20"/>
              </w:rPr>
              <w:t xml:space="preserve">legal </w:t>
            </w:r>
            <w:r w:rsidRPr="007136FF">
              <w:rPr>
                <w:b w:val="0"/>
                <w:noProof/>
                <w:szCs w:val="20"/>
              </w:rPr>
              <w:t>costs</w:t>
            </w:r>
          </w:p>
        </w:tc>
      </w:tr>
      <w:tr w:rsidR="00AD11BC" w14:paraId="5F897097" w14:textId="77777777" w:rsidTr="00AD11BC">
        <w:trPr>
          <w:cnfStyle w:val="100000000000" w:firstRow="1" w:lastRow="0" w:firstColumn="0" w:lastColumn="0" w:oddVBand="0" w:evenVBand="0" w:oddHBand="0" w:evenHBand="0" w:firstRowFirstColumn="0" w:firstRowLastColumn="0" w:lastRowFirstColumn="0" w:lastRowLastColumn="0"/>
          <w:tblHeader/>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3C81396" w14:textId="77777777" w:rsidR="00AD11BC" w:rsidRPr="003A32FD" w:rsidRDefault="00AD11BC" w:rsidP="00AD11BC">
            <w:pPr>
              <w:jc w:val="center"/>
              <w:rPr>
                <w:noProof/>
                <w:szCs w:val="20"/>
              </w:rPr>
            </w:pPr>
          </w:p>
        </w:tc>
        <w:tc>
          <w:tcPr>
            <w:tcW w:w="8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DA45F4C" w14:textId="77777777" w:rsidR="00AD11BC" w:rsidRPr="003A32FD" w:rsidRDefault="00AD11BC" w:rsidP="00AD11BC">
            <w:pPr>
              <w:jc w:val="center"/>
              <w:rPr>
                <w:b w:val="0"/>
                <w:noProof/>
                <w:szCs w:val="20"/>
              </w:rPr>
            </w:pPr>
            <w:r w:rsidRPr="007136FF">
              <w:rPr>
                <w:b w:val="0"/>
                <w:bCs/>
                <w:noProof/>
                <w:szCs w:val="20"/>
              </w:rPr>
              <w:t>Low end</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5E8BF8E" w14:textId="77777777" w:rsidR="00AD11BC" w:rsidRPr="003A32FD" w:rsidRDefault="00AD11BC" w:rsidP="00AD11BC">
            <w:pPr>
              <w:jc w:val="center"/>
              <w:rPr>
                <w:b w:val="0"/>
                <w:noProof/>
                <w:szCs w:val="20"/>
              </w:rPr>
            </w:pPr>
            <w:r w:rsidRPr="007136FF">
              <w:rPr>
                <w:b w:val="0"/>
                <w:bCs/>
                <w:noProof/>
                <w:szCs w:val="20"/>
              </w:rPr>
              <w:t>High end</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D094F00" w14:textId="77777777" w:rsidR="00AD11BC" w:rsidRPr="00051412" w:rsidRDefault="00AD11BC" w:rsidP="00AD11BC">
            <w:pPr>
              <w:jc w:val="center"/>
              <w:rPr>
                <w:rFonts w:cs="Times New Roman"/>
                <w:b w:val="0"/>
                <w:noProof/>
                <w:szCs w:val="20"/>
              </w:rPr>
            </w:pPr>
            <w:r w:rsidRPr="007136FF">
              <w:rPr>
                <w:b w:val="0"/>
                <w:bCs/>
                <w:noProof/>
                <w:szCs w:val="20"/>
              </w:rPr>
              <w:t>Low end</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928977A" w14:textId="77777777" w:rsidR="00AD11BC" w:rsidRPr="00051412" w:rsidRDefault="00AD11BC" w:rsidP="00AD11BC">
            <w:pPr>
              <w:jc w:val="center"/>
              <w:rPr>
                <w:rFonts w:cs="Times New Roman"/>
                <w:b w:val="0"/>
                <w:noProof/>
                <w:szCs w:val="20"/>
              </w:rPr>
            </w:pPr>
            <w:r w:rsidRPr="007136FF">
              <w:rPr>
                <w:b w:val="0"/>
                <w:bCs/>
                <w:noProof/>
                <w:szCs w:val="20"/>
              </w:rPr>
              <w:t>High end</w:t>
            </w:r>
          </w:p>
        </w:tc>
        <w:tc>
          <w:tcPr>
            <w:tcW w:w="6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548136A" w14:textId="77777777" w:rsidR="00AD11BC" w:rsidRPr="003A32FD" w:rsidRDefault="00AD11BC" w:rsidP="00AD11BC">
            <w:pPr>
              <w:jc w:val="center"/>
              <w:rPr>
                <w:b w:val="0"/>
                <w:noProof/>
                <w:szCs w:val="20"/>
              </w:rPr>
            </w:pPr>
            <w:r w:rsidRPr="007136FF">
              <w:rPr>
                <w:b w:val="0"/>
                <w:bCs/>
                <w:noProof/>
                <w:szCs w:val="20"/>
              </w:rPr>
              <w:t>Low end</w:t>
            </w:r>
          </w:p>
        </w:tc>
        <w:tc>
          <w:tcPr>
            <w:tcW w:w="7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91D9928" w14:textId="77777777" w:rsidR="00AD11BC" w:rsidRPr="003A32FD" w:rsidRDefault="00AD11BC" w:rsidP="00AD11BC">
            <w:pPr>
              <w:jc w:val="center"/>
              <w:rPr>
                <w:b w:val="0"/>
                <w:noProof/>
                <w:szCs w:val="20"/>
              </w:rPr>
            </w:pPr>
            <w:r w:rsidRPr="007136FF">
              <w:rPr>
                <w:b w:val="0"/>
                <w:bCs/>
                <w:noProof/>
                <w:szCs w:val="20"/>
              </w:rPr>
              <w:t>High end</w:t>
            </w:r>
          </w:p>
        </w:tc>
      </w:tr>
      <w:tr w:rsidR="00AD11BC" w14:paraId="16624E7B" w14:textId="77777777" w:rsidTr="00AD11BC">
        <w:trPr>
          <w:trHeight w:val="21"/>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36B141A0" w14:textId="77777777" w:rsidR="00AD11BC" w:rsidRPr="003A32FD" w:rsidRDefault="00AD11BC" w:rsidP="00AD11BC">
            <w:pPr>
              <w:jc w:val="both"/>
              <w:rPr>
                <w:rFonts w:cstheme="minorHAnsi"/>
                <w:b/>
                <w:noProof/>
                <w:szCs w:val="20"/>
              </w:rPr>
            </w:pPr>
            <w:r w:rsidRPr="007136FF">
              <w:rPr>
                <w:rFonts w:cstheme="minorHAnsi"/>
                <w:b/>
                <w:bCs/>
                <w:noProof/>
                <w:szCs w:val="20"/>
              </w:rPr>
              <w:t>PO1a</w:t>
            </w:r>
          </w:p>
        </w:tc>
        <w:tc>
          <w:tcPr>
            <w:tcW w:w="8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492F58C3" w14:textId="7AABBD68" w:rsidR="00AD11BC" w:rsidRPr="00AA67A8" w:rsidRDefault="00AD11BC" w:rsidP="00DB28FC">
            <w:pPr>
              <w:jc w:val="center"/>
              <w:rPr>
                <w:rFonts w:cstheme="minorHAnsi"/>
                <w:noProof/>
                <w:szCs w:val="20"/>
              </w:rPr>
            </w:pPr>
            <w:r w:rsidRPr="00AA67A8">
              <w:rPr>
                <w:noProof/>
                <w:szCs w:val="20"/>
              </w:rPr>
              <w:t>0.0</w:t>
            </w:r>
            <w:r w:rsidR="00DB28FC">
              <w:rPr>
                <w:noProof/>
                <w:szCs w:val="20"/>
              </w:rPr>
              <w:t>7</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386D0F2D" w14:textId="06EC80DE" w:rsidR="00AD11BC" w:rsidRPr="00AA67A8" w:rsidRDefault="00DB28FC" w:rsidP="00DB28FC">
            <w:pPr>
              <w:jc w:val="center"/>
              <w:rPr>
                <w:rFonts w:cstheme="minorHAnsi"/>
                <w:noProof/>
                <w:szCs w:val="20"/>
              </w:rPr>
            </w:pPr>
            <w:r>
              <w:rPr>
                <w:noProof/>
                <w:szCs w:val="20"/>
              </w:rPr>
              <w:t>14.47</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AEBFF1F" w14:textId="77777777" w:rsidR="00AD11BC" w:rsidRPr="00AA67A8" w:rsidRDefault="00AD11BC" w:rsidP="00AD11BC">
            <w:pPr>
              <w:jc w:val="center"/>
              <w:rPr>
                <w:noProof/>
                <w:szCs w:val="20"/>
              </w:rPr>
            </w:pPr>
            <w:r w:rsidRPr="00AA67A8">
              <w:rPr>
                <w:noProof/>
                <w:szCs w:val="20"/>
              </w:rPr>
              <w:t>1.21</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AA736EE" w14:textId="77777777" w:rsidR="00AD11BC" w:rsidRPr="00AA67A8" w:rsidRDefault="00AD11BC" w:rsidP="00AD11BC">
            <w:pPr>
              <w:jc w:val="center"/>
              <w:rPr>
                <w:noProof/>
                <w:szCs w:val="20"/>
              </w:rPr>
            </w:pPr>
            <w:r w:rsidRPr="00AA67A8">
              <w:rPr>
                <w:noProof/>
                <w:szCs w:val="20"/>
              </w:rPr>
              <w:t>2.41</w:t>
            </w:r>
          </w:p>
        </w:tc>
        <w:tc>
          <w:tcPr>
            <w:tcW w:w="6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BF32D2A" w14:textId="1B181327" w:rsidR="00AD11BC" w:rsidRPr="00AA67A8" w:rsidRDefault="00AD11BC" w:rsidP="003624B9">
            <w:pPr>
              <w:jc w:val="center"/>
              <w:rPr>
                <w:rFonts w:cs="Times New Roman"/>
                <w:noProof/>
                <w:szCs w:val="20"/>
              </w:rPr>
            </w:pPr>
            <w:r>
              <w:rPr>
                <w:noProof/>
              </w:rPr>
              <w:t>0.</w:t>
            </w:r>
            <w:r w:rsidR="003624B9">
              <w:rPr>
                <w:noProof/>
              </w:rPr>
              <w:t>41</w:t>
            </w:r>
          </w:p>
        </w:tc>
        <w:tc>
          <w:tcPr>
            <w:tcW w:w="7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B1882E5" w14:textId="5BFDB67E" w:rsidR="00AD11BC" w:rsidRPr="00AA67A8" w:rsidRDefault="008D169F" w:rsidP="008D169F">
            <w:pPr>
              <w:jc w:val="center"/>
              <w:rPr>
                <w:rFonts w:cs="Times New Roman"/>
                <w:noProof/>
                <w:szCs w:val="20"/>
              </w:rPr>
            </w:pPr>
            <w:r>
              <w:rPr>
                <w:noProof/>
              </w:rPr>
              <w:t>1.02</w:t>
            </w:r>
          </w:p>
        </w:tc>
      </w:tr>
      <w:tr w:rsidR="00AD11BC" w14:paraId="005C948E" w14:textId="77777777" w:rsidTr="00AD11BC">
        <w:trPr>
          <w:trHeight w:val="21"/>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54697C81" w14:textId="77777777" w:rsidR="00AD11BC" w:rsidRPr="003A32FD" w:rsidRDefault="00AD11BC" w:rsidP="00AD11BC">
            <w:pPr>
              <w:jc w:val="both"/>
              <w:rPr>
                <w:rFonts w:cstheme="minorHAnsi"/>
                <w:b/>
                <w:noProof/>
                <w:szCs w:val="20"/>
              </w:rPr>
            </w:pPr>
            <w:r w:rsidRPr="007136FF">
              <w:rPr>
                <w:rFonts w:cstheme="minorHAnsi"/>
                <w:b/>
                <w:bCs/>
                <w:noProof/>
                <w:szCs w:val="20"/>
              </w:rPr>
              <w:t>PO1b</w:t>
            </w:r>
          </w:p>
        </w:tc>
        <w:tc>
          <w:tcPr>
            <w:tcW w:w="8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DDA4710" w14:textId="5809D829" w:rsidR="00AD11BC" w:rsidRPr="00AA67A8" w:rsidRDefault="00AD11BC" w:rsidP="00DB28FC">
            <w:pPr>
              <w:jc w:val="center"/>
              <w:rPr>
                <w:noProof/>
                <w:szCs w:val="20"/>
              </w:rPr>
            </w:pPr>
            <w:r>
              <w:rPr>
                <w:noProof/>
                <w:szCs w:val="20"/>
              </w:rPr>
              <w:t>0.1</w:t>
            </w:r>
            <w:r w:rsidR="00DB28FC">
              <w:rPr>
                <w:noProof/>
                <w:szCs w:val="20"/>
              </w:rPr>
              <w:t>5</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9E527B9" w14:textId="335AD3C7" w:rsidR="00AD11BC" w:rsidRPr="00AA67A8" w:rsidRDefault="00DB28FC" w:rsidP="00DB28FC">
            <w:pPr>
              <w:jc w:val="center"/>
              <w:rPr>
                <w:noProof/>
                <w:szCs w:val="20"/>
              </w:rPr>
            </w:pPr>
            <w:r>
              <w:rPr>
                <w:noProof/>
                <w:szCs w:val="20"/>
              </w:rPr>
              <w:t>22.13</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731C83D" w14:textId="77777777" w:rsidR="00AD11BC" w:rsidRPr="00AA67A8" w:rsidRDefault="00AD11BC" w:rsidP="00AD11BC">
            <w:pPr>
              <w:jc w:val="center"/>
              <w:rPr>
                <w:noProof/>
                <w:szCs w:val="20"/>
              </w:rPr>
            </w:pPr>
            <w:r>
              <w:rPr>
                <w:noProof/>
                <w:szCs w:val="20"/>
              </w:rPr>
              <w:t>4.35</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BDB9271" w14:textId="77777777" w:rsidR="00AD11BC" w:rsidRPr="00AA67A8" w:rsidRDefault="00AD11BC" w:rsidP="00AD11BC">
            <w:pPr>
              <w:jc w:val="center"/>
              <w:rPr>
                <w:noProof/>
                <w:szCs w:val="20"/>
              </w:rPr>
            </w:pPr>
            <w:r>
              <w:rPr>
                <w:noProof/>
                <w:szCs w:val="20"/>
              </w:rPr>
              <w:t>8.69</w:t>
            </w:r>
          </w:p>
        </w:tc>
        <w:tc>
          <w:tcPr>
            <w:tcW w:w="6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18DE16D" w14:textId="0A4145A0" w:rsidR="00AD11BC" w:rsidRPr="00AA67A8" w:rsidRDefault="00AD11BC" w:rsidP="008D169F">
            <w:pPr>
              <w:jc w:val="center"/>
              <w:rPr>
                <w:rFonts w:cs="Times New Roman"/>
                <w:noProof/>
                <w:szCs w:val="20"/>
              </w:rPr>
            </w:pPr>
            <w:r>
              <w:rPr>
                <w:noProof/>
              </w:rPr>
              <w:t>1.</w:t>
            </w:r>
            <w:r w:rsidR="008D169F">
              <w:rPr>
                <w:noProof/>
              </w:rPr>
              <w:t>12</w:t>
            </w:r>
          </w:p>
        </w:tc>
        <w:tc>
          <w:tcPr>
            <w:tcW w:w="7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B0DED7D" w14:textId="07F4B02F" w:rsidR="00AD11BC" w:rsidRPr="00AA67A8" w:rsidRDefault="008D169F" w:rsidP="008D169F">
            <w:pPr>
              <w:jc w:val="center"/>
              <w:rPr>
                <w:rFonts w:cs="Times New Roman"/>
                <w:noProof/>
                <w:szCs w:val="20"/>
              </w:rPr>
            </w:pPr>
            <w:r>
              <w:rPr>
                <w:noProof/>
              </w:rPr>
              <w:t>2.75</w:t>
            </w:r>
          </w:p>
        </w:tc>
      </w:tr>
      <w:tr w:rsidR="00AD11BC" w14:paraId="57D4A40E" w14:textId="77777777" w:rsidTr="00AD11BC">
        <w:trPr>
          <w:trHeight w:val="173"/>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ABBAB47" w14:textId="77777777" w:rsidR="00AD11BC" w:rsidRPr="003A32FD" w:rsidRDefault="00AD11BC" w:rsidP="00AD11BC">
            <w:pPr>
              <w:jc w:val="both"/>
              <w:rPr>
                <w:rFonts w:cstheme="minorHAnsi"/>
                <w:b/>
                <w:noProof/>
                <w:szCs w:val="20"/>
              </w:rPr>
            </w:pPr>
            <w:r w:rsidRPr="007136FF">
              <w:rPr>
                <w:rFonts w:cstheme="minorHAnsi"/>
                <w:b/>
                <w:bCs/>
                <w:noProof/>
                <w:szCs w:val="20"/>
              </w:rPr>
              <w:t>PO1c</w:t>
            </w:r>
          </w:p>
        </w:tc>
        <w:tc>
          <w:tcPr>
            <w:tcW w:w="8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0CA6BCA2" w14:textId="0F6E283D" w:rsidR="00AD11BC" w:rsidRPr="00AA67A8" w:rsidRDefault="00AD11BC" w:rsidP="00DB28FC">
            <w:pPr>
              <w:jc w:val="center"/>
              <w:rPr>
                <w:noProof/>
                <w:szCs w:val="20"/>
              </w:rPr>
            </w:pPr>
            <w:r w:rsidRPr="00AA67A8">
              <w:rPr>
                <w:noProof/>
                <w:szCs w:val="20"/>
              </w:rPr>
              <w:t>0.</w:t>
            </w:r>
            <w:r>
              <w:rPr>
                <w:noProof/>
                <w:szCs w:val="20"/>
              </w:rPr>
              <w:t>1</w:t>
            </w:r>
            <w:r w:rsidR="00DB28FC">
              <w:rPr>
                <w:noProof/>
                <w:szCs w:val="20"/>
              </w:rPr>
              <w:t>7</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39F3BAF" w14:textId="7DD8A9B0" w:rsidR="00AD11BC" w:rsidRPr="00AA67A8" w:rsidRDefault="00DB28FC" w:rsidP="00DB28FC">
            <w:pPr>
              <w:jc w:val="center"/>
              <w:rPr>
                <w:noProof/>
                <w:szCs w:val="20"/>
              </w:rPr>
            </w:pPr>
            <w:r>
              <w:rPr>
                <w:noProof/>
                <w:szCs w:val="20"/>
              </w:rPr>
              <w:t>47.70</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3EC1A88D" w14:textId="77777777" w:rsidR="00AD11BC" w:rsidRPr="00AA67A8" w:rsidRDefault="00AD11BC" w:rsidP="00AD11BC">
            <w:pPr>
              <w:jc w:val="center"/>
              <w:rPr>
                <w:noProof/>
                <w:szCs w:val="20"/>
              </w:rPr>
            </w:pPr>
            <w:r>
              <w:rPr>
                <w:noProof/>
                <w:szCs w:val="20"/>
              </w:rPr>
              <w:t>6.55</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266C0C5B" w14:textId="77777777" w:rsidR="00AD11BC" w:rsidRPr="00AA67A8" w:rsidRDefault="00AD11BC" w:rsidP="00AD11BC">
            <w:pPr>
              <w:jc w:val="center"/>
              <w:rPr>
                <w:noProof/>
                <w:szCs w:val="20"/>
              </w:rPr>
            </w:pPr>
            <w:r>
              <w:rPr>
                <w:noProof/>
                <w:szCs w:val="20"/>
              </w:rPr>
              <w:t>13.10</w:t>
            </w:r>
          </w:p>
        </w:tc>
        <w:tc>
          <w:tcPr>
            <w:tcW w:w="6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A22BE73" w14:textId="253FE29A" w:rsidR="00AD11BC" w:rsidRPr="00AA67A8" w:rsidRDefault="00AD11BC" w:rsidP="008D169F">
            <w:pPr>
              <w:jc w:val="center"/>
              <w:rPr>
                <w:rFonts w:cs="Times New Roman"/>
                <w:noProof/>
                <w:szCs w:val="20"/>
              </w:rPr>
            </w:pPr>
            <w:r>
              <w:rPr>
                <w:noProof/>
              </w:rPr>
              <w:t>1.</w:t>
            </w:r>
            <w:r w:rsidR="008D169F">
              <w:rPr>
                <w:noProof/>
              </w:rPr>
              <w:t>83</w:t>
            </w:r>
          </w:p>
        </w:tc>
        <w:tc>
          <w:tcPr>
            <w:tcW w:w="7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1F10EE1" w14:textId="680CFD6A" w:rsidR="00AD11BC" w:rsidRPr="00AA67A8" w:rsidRDefault="008D169F" w:rsidP="008D169F">
            <w:pPr>
              <w:jc w:val="center"/>
              <w:rPr>
                <w:rFonts w:cs="Times New Roman"/>
                <w:noProof/>
                <w:szCs w:val="20"/>
              </w:rPr>
            </w:pPr>
            <w:r>
              <w:rPr>
                <w:noProof/>
              </w:rPr>
              <w:t>4.50</w:t>
            </w:r>
          </w:p>
        </w:tc>
      </w:tr>
      <w:tr w:rsidR="00AD11BC" w14:paraId="5433AF5F" w14:textId="77777777" w:rsidTr="00AD11BC">
        <w:trPr>
          <w:trHeight w:val="157"/>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13A69085" w14:textId="77777777" w:rsidR="00AD11BC" w:rsidRPr="003A32FD" w:rsidRDefault="00AD11BC" w:rsidP="00AD11BC">
            <w:pPr>
              <w:jc w:val="both"/>
              <w:rPr>
                <w:rFonts w:cstheme="minorHAnsi"/>
                <w:b/>
                <w:noProof/>
                <w:szCs w:val="20"/>
              </w:rPr>
            </w:pPr>
            <w:r w:rsidRPr="007136FF">
              <w:rPr>
                <w:rFonts w:cstheme="minorHAnsi"/>
                <w:b/>
                <w:bCs/>
                <w:noProof/>
                <w:szCs w:val="20"/>
              </w:rPr>
              <w:t>PO2a</w:t>
            </w:r>
          </w:p>
        </w:tc>
        <w:tc>
          <w:tcPr>
            <w:tcW w:w="8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7802F336" w14:textId="5FCD20B6" w:rsidR="00AD11BC" w:rsidRPr="00AA67A8" w:rsidRDefault="00AD11BC" w:rsidP="00DB28FC">
            <w:pPr>
              <w:jc w:val="center"/>
              <w:rPr>
                <w:noProof/>
                <w:szCs w:val="20"/>
              </w:rPr>
            </w:pPr>
            <w:r>
              <w:rPr>
                <w:noProof/>
                <w:szCs w:val="20"/>
              </w:rPr>
              <w:t>0.</w:t>
            </w:r>
            <w:r w:rsidR="00DB28FC">
              <w:rPr>
                <w:noProof/>
                <w:szCs w:val="20"/>
              </w:rPr>
              <w:t>20</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243967F6" w14:textId="0D3EB630" w:rsidR="00AD11BC" w:rsidRPr="00AA67A8" w:rsidRDefault="00DB28FC" w:rsidP="00DB28FC">
            <w:pPr>
              <w:jc w:val="center"/>
              <w:rPr>
                <w:noProof/>
                <w:szCs w:val="20"/>
              </w:rPr>
            </w:pPr>
            <w:r>
              <w:rPr>
                <w:noProof/>
                <w:szCs w:val="20"/>
              </w:rPr>
              <w:t>43.54</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49562042" w14:textId="77777777" w:rsidR="00AD11BC" w:rsidRPr="00AA67A8" w:rsidRDefault="00AD11BC" w:rsidP="00AD11BC">
            <w:pPr>
              <w:jc w:val="center"/>
              <w:rPr>
                <w:noProof/>
                <w:szCs w:val="20"/>
              </w:rPr>
            </w:pPr>
            <w:r w:rsidRPr="00AA67A8">
              <w:rPr>
                <w:noProof/>
                <w:szCs w:val="20"/>
              </w:rPr>
              <w:t>1</w:t>
            </w:r>
            <w:r>
              <w:rPr>
                <w:noProof/>
                <w:szCs w:val="20"/>
              </w:rPr>
              <w:t>4.35</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0820604B" w14:textId="77777777" w:rsidR="00AD11BC" w:rsidRPr="00AA67A8" w:rsidRDefault="00AD11BC" w:rsidP="00AD11BC">
            <w:pPr>
              <w:jc w:val="center"/>
              <w:rPr>
                <w:noProof/>
                <w:szCs w:val="20"/>
              </w:rPr>
            </w:pPr>
            <w:r>
              <w:rPr>
                <w:noProof/>
                <w:szCs w:val="20"/>
              </w:rPr>
              <w:t>28.71</w:t>
            </w:r>
          </w:p>
        </w:tc>
        <w:tc>
          <w:tcPr>
            <w:tcW w:w="6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5D1AC854" w14:textId="50C843AE" w:rsidR="00AD11BC" w:rsidRPr="00AA67A8" w:rsidRDefault="00AD11BC" w:rsidP="008D169F">
            <w:pPr>
              <w:jc w:val="center"/>
              <w:rPr>
                <w:rFonts w:cs="Times New Roman"/>
                <w:noProof/>
                <w:szCs w:val="20"/>
              </w:rPr>
            </w:pPr>
            <w:r>
              <w:rPr>
                <w:noProof/>
              </w:rPr>
              <w:t>0.</w:t>
            </w:r>
            <w:r w:rsidR="008D169F">
              <w:rPr>
                <w:noProof/>
              </w:rPr>
              <w:t>41</w:t>
            </w:r>
          </w:p>
        </w:tc>
        <w:tc>
          <w:tcPr>
            <w:tcW w:w="7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784295C" w14:textId="32FD9301" w:rsidR="00AD11BC" w:rsidRPr="00AA67A8" w:rsidRDefault="008D169F" w:rsidP="008D169F">
            <w:pPr>
              <w:jc w:val="center"/>
              <w:rPr>
                <w:rFonts w:cs="Times New Roman"/>
                <w:noProof/>
                <w:szCs w:val="20"/>
              </w:rPr>
            </w:pPr>
            <w:r>
              <w:rPr>
                <w:noProof/>
              </w:rPr>
              <w:t>1.02</w:t>
            </w:r>
          </w:p>
        </w:tc>
      </w:tr>
      <w:tr w:rsidR="00AD11BC" w14:paraId="07239108" w14:textId="77777777" w:rsidTr="00AD11BC">
        <w:trPr>
          <w:trHeight w:val="177"/>
          <w:jc w:val="center"/>
        </w:trPr>
        <w:tc>
          <w:tcPr>
            <w:tcW w:w="5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5DDBC081" w14:textId="77777777" w:rsidR="00AD11BC" w:rsidRPr="003A32FD" w:rsidRDefault="00AD11BC" w:rsidP="00AD11BC">
            <w:pPr>
              <w:jc w:val="both"/>
              <w:rPr>
                <w:rFonts w:cstheme="minorHAnsi"/>
                <w:b/>
                <w:noProof/>
                <w:szCs w:val="20"/>
              </w:rPr>
            </w:pPr>
            <w:r w:rsidRPr="007136FF">
              <w:rPr>
                <w:rFonts w:cstheme="minorHAnsi"/>
                <w:b/>
                <w:bCs/>
                <w:noProof/>
                <w:szCs w:val="20"/>
              </w:rPr>
              <w:t>PO2b</w:t>
            </w:r>
          </w:p>
        </w:tc>
        <w:tc>
          <w:tcPr>
            <w:tcW w:w="8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5274EB68" w14:textId="2AAF63B1" w:rsidR="00AD11BC" w:rsidRPr="00AA67A8" w:rsidRDefault="00AD11BC" w:rsidP="00DB28FC">
            <w:pPr>
              <w:jc w:val="center"/>
              <w:rPr>
                <w:noProof/>
                <w:szCs w:val="20"/>
              </w:rPr>
            </w:pPr>
            <w:r>
              <w:rPr>
                <w:noProof/>
                <w:szCs w:val="20"/>
              </w:rPr>
              <w:t>0.</w:t>
            </w:r>
            <w:r w:rsidR="00DB28FC">
              <w:rPr>
                <w:noProof/>
                <w:szCs w:val="20"/>
              </w:rPr>
              <w:t>99</w:t>
            </w: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hideMark/>
          </w:tcPr>
          <w:p w14:paraId="6A77C6C0" w14:textId="213BE578" w:rsidR="00AD11BC" w:rsidRPr="00AA67A8" w:rsidRDefault="00DB28FC" w:rsidP="00DB28FC">
            <w:pPr>
              <w:jc w:val="center"/>
              <w:rPr>
                <w:noProof/>
                <w:szCs w:val="20"/>
              </w:rPr>
            </w:pPr>
            <w:r>
              <w:rPr>
                <w:noProof/>
                <w:szCs w:val="20"/>
              </w:rPr>
              <w:t>217.70</w:t>
            </w:r>
          </w:p>
        </w:tc>
        <w:tc>
          <w:tcPr>
            <w:tcW w:w="7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010A904" w14:textId="77777777" w:rsidR="00AD11BC" w:rsidRPr="00AA67A8" w:rsidRDefault="00AD11BC" w:rsidP="00AD11BC">
            <w:pPr>
              <w:jc w:val="center"/>
              <w:rPr>
                <w:noProof/>
                <w:szCs w:val="20"/>
              </w:rPr>
            </w:pPr>
            <w:r w:rsidRPr="00AA67A8">
              <w:rPr>
                <w:noProof/>
                <w:szCs w:val="20"/>
              </w:rPr>
              <w:t>41.73</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A30BC31" w14:textId="77777777" w:rsidR="00AD11BC" w:rsidRPr="00AA67A8" w:rsidRDefault="00AD11BC" w:rsidP="00AD11BC">
            <w:pPr>
              <w:jc w:val="center"/>
              <w:rPr>
                <w:noProof/>
                <w:szCs w:val="20"/>
              </w:rPr>
            </w:pPr>
            <w:r w:rsidRPr="00AA67A8">
              <w:rPr>
                <w:noProof/>
                <w:szCs w:val="20"/>
              </w:rPr>
              <w:t>83.46</w:t>
            </w:r>
          </w:p>
        </w:tc>
        <w:tc>
          <w:tcPr>
            <w:tcW w:w="6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6AB0976A" w14:textId="086F152E" w:rsidR="00AD11BC" w:rsidRPr="00AA67A8" w:rsidRDefault="008D169F" w:rsidP="008D169F">
            <w:pPr>
              <w:jc w:val="center"/>
              <w:rPr>
                <w:rFonts w:cs="Times New Roman"/>
                <w:noProof/>
                <w:szCs w:val="20"/>
              </w:rPr>
            </w:pPr>
            <w:r>
              <w:rPr>
                <w:noProof/>
              </w:rPr>
              <w:t>6.90</w:t>
            </w:r>
          </w:p>
        </w:tc>
        <w:tc>
          <w:tcPr>
            <w:tcW w:w="7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E0"/>
          </w:tcPr>
          <w:p w14:paraId="13ADA1C4" w14:textId="71790593" w:rsidR="00AD11BC" w:rsidRPr="00AA67A8" w:rsidRDefault="008D169F" w:rsidP="008D169F">
            <w:pPr>
              <w:jc w:val="center"/>
              <w:rPr>
                <w:rFonts w:cs="Times New Roman"/>
                <w:noProof/>
                <w:szCs w:val="20"/>
              </w:rPr>
            </w:pPr>
            <w:r>
              <w:rPr>
                <w:noProof/>
              </w:rPr>
              <w:t>16.96</w:t>
            </w:r>
          </w:p>
        </w:tc>
      </w:tr>
    </w:tbl>
    <w:p w14:paraId="584AD898" w14:textId="124434E4" w:rsidR="00AD11BC" w:rsidRDefault="00AD11BC" w:rsidP="00C760B0">
      <w:pPr>
        <w:pStyle w:val="BodyText"/>
        <w:spacing w:after="0"/>
        <w:ind w:right="113"/>
        <w:rPr>
          <w:b/>
          <w:i/>
          <w:noProof/>
        </w:rPr>
      </w:pPr>
    </w:p>
    <w:p w14:paraId="5DADDCD4" w14:textId="77777777" w:rsidR="00AD11BC" w:rsidRPr="00C760B0" w:rsidRDefault="00AD11BC" w:rsidP="00C760B0">
      <w:pPr>
        <w:pStyle w:val="BodyText"/>
        <w:spacing w:after="0"/>
        <w:ind w:right="113"/>
        <w:rPr>
          <w:b/>
          <w:i/>
          <w:noProof/>
        </w:rPr>
      </w:pPr>
    </w:p>
    <w:p w14:paraId="5E152982" w14:textId="222E1E41" w:rsidR="00C760B0" w:rsidRPr="00DD674B" w:rsidRDefault="00C760B0" w:rsidP="00C760B0">
      <w:pPr>
        <w:spacing w:after="240" w:line="240" w:lineRule="auto"/>
        <w:rPr>
          <w:i/>
          <w:noProof/>
          <w:sz w:val="20"/>
        </w:rPr>
      </w:pPr>
    </w:p>
    <w:p w14:paraId="021B9139" w14:textId="648D21E5" w:rsidR="000B2459" w:rsidRDefault="00EC2B83" w:rsidP="006B087E">
      <w:pPr>
        <w:rPr>
          <w:noProof/>
        </w:rPr>
      </w:pPr>
      <w:r>
        <w:rPr>
          <w:noProof/>
        </w:rPr>
        <w:br w:type="page"/>
      </w:r>
    </w:p>
    <w:p w14:paraId="47CED0E8" w14:textId="77777777" w:rsidR="006C522E" w:rsidRDefault="006C522E" w:rsidP="006B087E">
      <w:pPr>
        <w:rPr>
          <w:noProof/>
        </w:rPr>
        <w:sectPr w:rsidR="006C522E" w:rsidSect="008D025F">
          <w:headerReference w:type="even" r:id="rId38"/>
          <w:headerReference w:type="default" r:id="rId39"/>
          <w:footerReference w:type="even" r:id="rId40"/>
          <w:footerReference w:type="default" r:id="rId41"/>
          <w:headerReference w:type="first" r:id="rId42"/>
          <w:footerReference w:type="first" r:id="rId43"/>
          <w:pgSz w:w="11906" w:h="16838"/>
          <w:pgMar w:top="1020" w:right="1701" w:bottom="1020" w:left="1587" w:header="601" w:footer="1077" w:gutter="0"/>
          <w:cols w:space="720"/>
          <w:titlePg/>
          <w:docGrid w:linePitch="299"/>
        </w:sectPr>
      </w:pPr>
    </w:p>
    <w:p w14:paraId="1207F056" w14:textId="471563B5" w:rsidR="00F23D15" w:rsidRDefault="00F23D15" w:rsidP="00F23D15">
      <w:pPr>
        <w:pStyle w:val="AnnexTitle"/>
        <w:jc w:val="both"/>
        <w:rPr>
          <w:noProof/>
        </w:rPr>
      </w:pPr>
      <w:bookmarkStart w:id="1055" w:name="_Toc97149271"/>
      <w:bookmarkStart w:id="1056" w:name="_Toc97191318"/>
      <w:bookmarkStart w:id="1057" w:name="_Toc107430128"/>
      <w:bookmarkStart w:id="1058" w:name="_Toc96337816"/>
      <w:bookmarkStart w:id="1059" w:name="_Toc96446296"/>
      <w:bookmarkStart w:id="1060" w:name="_Toc96448068"/>
      <w:bookmarkStart w:id="1061" w:name="_Toc96594017"/>
      <w:bookmarkStart w:id="1062" w:name="_Toc96597308"/>
      <w:bookmarkStart w:id="1063" w:name="_Toc96609243"/>
      <w:r>
        <w:rPr>
          <w:noProof/>
        </w:rPr>
        <w:t>Annex 5 – Matters to be clarified in the context of revising the Product Liability Directive</w:t>
      </w:r>
      <w:bookmarkEnd w:id="1055"/>
      <w:bookmarkEnd w:id="1056"/>
      <w:bookmarkEnd w:id="1057"/>
    </w:p>
    <w:p w14:paraId="559BCECF" w14:textId="77777777" w:rsidR="00F23D15" w:rsidRPr="00CE6CF8" w:rsidRDefault="00F23D15" w:rsidP="00F23D15">
      <w:pPr>
        <w:spacing w:after="240" w:line="240" w:lineRule="auto"/>
        <w:jc w:val="both"/>
        <w:rPr>
          <w:noProof/>
          <w:sz w:val="24"/>
          <w:szCs w:val="24"/>
        </w:rPr>
      </w:pPr>
      <w:r w:rsidRPr="00CE6CF8">
        <w:rPr>
          <w:noProof/>
          <w:sz w:val="24"/>
          <w:szCs w:val="24"/>
        </w:rPr>
        <w:t>There are a number</w:t>
      </w:r>
      <w:r>
        <w:rPr>
          <w:noProof/>
          <w:sz w:val="24"/>
          <w:szCs w:val="24"/>
        </w:rPr>
        <w:t xml:space="preserve"> of matters that call for clarification in the context of revising the PLD, </w:t>
      </w:r>
      <w:r w:rsidRPr="0091182C">
        <w:rPr>
          <w:b/>
          <w:noProof/>
          <w:sz w:val="24"/>
          <w:szCs w:val="24"/>
        </w:rPr>
        <w:t>but which do not form part of the problem definition in the main report</w:t>
      </w:r>
      <w:r>
        <w:rPr>
          <w:noProof/>
          <w:sz w:val="24"/>
          <w:szCs w:val="24"/>
        </w:rPr>
        <w:t>.</w:t>
      </w:r>
    </w:p>
    <w:p w14:paraId="6FD61788" w14:textId="77777777" w:rsidR="00F23D15" w:rsidRPr="00023478" w:rsidRDefault="00F23D15" w:rsidP="00C05DFC">
      <w:pPr>
        <w:spacing w:before="360" w:after="240" w:line="240" w:lineRule="auto"/>
        <w:jc w:val="both"/>
        <w:rPr>
          <w:noProof/>
          <w:sz w:val="24"/>
          <w:szCs w:val="24"/>
          <w:u w:val="single"/>
        </w:rPr>
      </w:pPr>
      <w:r>
        <w:rPr>
          <w:noProof/>
          <w:sz w:val="24"/>
          <w:szCs w:val="24"/>
          <w:u w:val="single"/>
        </w:rPr>
        <w:t xml:space="preserve">Compensable </w:t>
      </w:r>
      <w:r w:rsidRPr="00023478">
        <w:rPr>
          <w:noProof/>
          <w:sz w:val="24"/>
          <w:szCs w:val="24"/>
          <w:u w:val="single"/>
        </w:rPr>
        <w:t>damage</w:t>
      </w:r>
      <w:r>
        <w:rPr>
          <w:noProof/>
          <w:sz w:val="24"/>
          <w:szCs w:val="24"/>
          <w:u w:val="single"/>
        </w:rPr>
        <w:t>: psychological damage as personal injury</w:t>
      </w:r>
    </w:p>
    <w:p w14:paraId="0351B319" w14:textId="77777777" w:rsidR="00F23D15" w:rsidRDefault="00F23D15" w:rsidP="00F23D15">
      <w:pPr>
        <w:spacing w:after="240" w:line="240" w:lineRule="auto"/>
        <w:jc w:val="both"/>
        <w:rPr>
          <w:noProof/>
          <w:sz w:val="24"/>
          <w:szCs w:val="24"/>
        </w:rPr>
      </w:pPr>
      <w:r>
        <w:rPr>
          <w:noProof/>
          <w:sz w:val="24"/>
          <w:szCs w:val="24"/>
        </w:rPr>
        <w:t>Section 2.2.1.1 “Liability rules not adapted for products in the digital age” includes discussion of what types of compensable damage should be covered by the PLD. In this context, t</w:t>
      </w:r>
      <w:r w:rsidRPr="0080294C">
        <w:rPr>
          <w:noProof/>
          <w:sz w:val="24"/>
          <w:szCs w:val="24"/>
        </w:rPr>
        <w:t>here is evidence that new digital technologies can have a psychological impact on users, such as anxiety and loss of sleep</w:t>
      </w:r>
      <w:r w:rsidRPr="0080294C">
        <w:rPr>
          <w:noProof/>
          <w:sz w:val="24"/>
          <w:szCs w:val="24"/>
          <w:vertAlign w:val="superscript"/>
        </w:rPr>
        <w:footnoteReference w:id="303"/>
      </w:r>
      <w:r>
        <w:rPr>
          <w:noProof/>
          <w:sz w:val="24"/>
          <w:szCs w:val="24"/>
        </w:rPr>
        <w:t>. M</w:t>
      </w:r>
      <w:r w:rsidRPr="00501CD2">
        <w:rPr>
          <w:rFonts w:cs="Times New Roman"/>
          <w:noProof/>
          <w:sz w:val="24"/>
          <w:szCs w:val="24"/>
          <w:lang w:eastAsia="da-DK"/>
        </w:rPr>
        <w:t>edically diagnosed psychological damage</w:t>
      </w:r>
      <w:r>
        <w:rPr>
          <w:rFonts w:cs="Times New Roman"/>
          <w:noProof/>
          <w:sz w:val="24"/>
          <w:szCs w:val="24"/>
          <w:lang w:eastAsia="da-DK"/>
        </w:rPr>
        <w:t xml:space="preserve"> is generally accepted as falling under the concept of “personal injury”, while just stress or anxiety is not</w:t>
      </w:r>
      <w:r>
        <w:rPr>
          <w:rStyle w:val="FootnoteReference"/>
          <w:noProof/>
          <w:sz w:val="24"/>
          <w:szCs w:val="24"/>
          <w:lang w:eastAsia="da-DK"/>
        </w:rPr>
        <w:footnoteReference w:id="304"/>
      </w:r>
      <w:r>
        <w:rPr>
          <w:rFonts w:cs="Times New Roman"/>
          <w:noProof/>
          <w:sz w:val="24"/>
          <w:szCs w:val="24"/>
          <w:lang w:eastAsia="da-DK"/>
        </w:rPr>
        <w:t xml:space="preserve">, and this should be clarified in the revision. </w:t>
      </w:r>
    </w:p>
    <w:p w14:paraId="4A49A19B" w14:textId="4682E901" w:rsidR="008E5409" w:rsidRPr="00E00B1A" w:rsidRDefault="008E5409" w:rsidP="00C05DFC">
      <w:pPr>
        <w:spacing w:before="360" w:after="240" w:line="240" w:lineRule="auto"/>
        <w:jc w:val="both"/>
        <w:rPr>
          <w:noProof/>
          <w:sz w:val="24"/>
          <w:szCs w:val="24"/>
          <w:u w:val="single"/>
        </w:rPr>
      </w:pPr>
      <w:r w:rsidRPr="00E00B1A">
        <w:rPr>
          <w:noProof/>
          <w:sz w:val="24"/>
          <w:szCs w:val="24"/>
          <w:u w:val="single"/>
        </w:rPr>
        <w:t xml:space="preserve">Compensable damage: damage to property intended </w:t>
      </w:r>
      <w:r w:rsidR="009F72B7">
        <w:rPr>
          <w:noProof/>
          <w:sz w:val="24"/>
          <w:szCs w:val="24"/>
          <w:u w:val="single"/>
        </w:rPr>
        <w:t xml:space="preserve">or used </w:t>
      </w:r>
      <w:r w:rsidRPr="00E00B1A">
        <w:rPr>
          <w:noProof/>
          <w:sz w:val="24"/>
          <w:szCs w:val="24"/>
          <w:u w:val="single"/>
        </w:rPr>
        <w:t xml:space="preserve">for professional </w:t>
      </w:r>
      <w:r w:rsidR="009F72B7">
        <w:rPr>
          <w:noProof/>
          <w:sz w:val="24"/>
          <w:szCs w:val="24"/>
          <w:u w:val="single"/>
        </w:rPr>
        <w:t>purposes</w:t>
      </w:r>
    </w:p>
    <w:p w14:paraId="11FBB5D9" w14:textId="363A2FC6" w:rsidR="008E5409" w:rsidRDefault="009F72B7" w:rsidP="00F23D15">
      <w:pPr>
        <w:spacing w:after="240" w:line="240" w:lineRule="auto"/>
        <w:jc w:val="both"/>
        <w:rPr>
          <w:noProof/>
          <w:sz w:val="24"/>
          <w:szCs w:val="24"/>
        </w:rPr>
      </w:pPr>
      <w:r>
        <w:rPr>
          <w:noProof/>
          <w:sz w:val="24"/>
          <w:szCs w:val="24"/>
        </w:rPr>
        <w:t xml:space="preserve">The PLD </w:t>
      </w:r>
      <w:r w:rsidR="00E00B1A">
        <w:rPr>
          <w:noProof/>
          <w:sz w:val="24"/>
          <w:szCs w:val="24"/>
        </w:rPr>
        <w:t xml:space="preserve">provides for compensation for damage to property intended for and actually used for private purposes. In the public consultation conducted for the </w:t>
      </w:r>
      <w:r>
        <w:rPr>
          <w:noProof/>
          <w:sz w:val="24"/>
          <w:szCs w:val="24"/>
        </w:rPr>
        <w:t>2018 evaluation</w:t>
      </w:r>
      <w:r w:rsidR="00E00B1A">
        <w:rPr>
          <w:noProof/>
          <w:sz w:val="24"/>
          <w:szCs w:val="24"/>
        </w:rPr>
        <w:t>, 83% of respondents stated that it was sometimes difficult to distinguish between private and professional use of property</w:t>
      </w:r>
      <w:r w:rsidR="009F27BB">
        <w:rPr>
          <w:rStyle w:val="FootnoteReference"/>
          <w:noProof/>
          <w:sz w:val="24"/>
          <w:szCs w:val="24"/>
        </w:rPr>
        <w:footnoteReference w:id="305"/>
      </w:r>
      <w:r w:rsidR="00E00B1A">
        <w:rPr>
          <w:noProof/>
          <w:sz w:val="24"/>
          <w:szCs w:val="24"/>
        </w:rPr>
        <w:t>. This is all the more so in the context of modern working practices where goods like home office equipment or computers may be used both for private and professional purposes. This distinction should be clarified in the revision.</w:t>
      </w:r>
    </w:p>
    <w:p w14:paraId="58B6473F" w14:textId="7402B887" w:rsidR="00F23D15" w:rsidRPr="00B85387" w:rsidRDefault="00F23D15" w:rsidP="00C05DFC">
      <w:pPr>
        <w:spacing w:before="360" w:after="240" w:line="240" w:lineRule="auto"/>
        <w:jc w:val="both"/>
        <w:rPr>
          <w:noProof/>
          <w:sz w:val="24"/>
          <w:szCs w:val="24"/>
          <w:u w:val="single"/>
        </w:rPr>
      </w:pPr>
      <w:r w:rsidRPr="00B85387">
        <w:rPr>
          <w:noProof/>
          <w:sz w:val="24"/>
          <w:szCs w:val="24"/>
          <w:u w:val="single"/>
        </w:rPr>
        <w:t xml:space="preserve">Liability of </w:t>
      </w:r>
      <w:r w:rsidR="00057ADB">
        <w:rPr>
          <w:noProof/>
          <w:sz w:val="24"/>
          <w:szCs w:val="24"/>
          <w:u w:val="single"/>
        </w:rPr>
        <w:t xml:space="preserve">providers of </w:t>
      </w:r>
      <w:r w:rsidRPr="00B85387">
        <w:rPr>
          <w:noProof/>
          <w:sz w:val="24"/>
          <w:szCs w:val="24"/>
          <w:u w:val="single"/>
        </w:rPr>
        <w:t>online marketplaces depending on role</w:t>
      </w:r>
      <w:r>
        <w:rPr>
          <w:noProof/>
          <w:sz w:val="24"/>
          <w:szCs w:val="24"/>
          <w:u w:val="single"/>
        </w:rPr>
        <w:t xml:space="preserve"> in supply chain</w:t>
      </w:r>
    </w:p>
    <w:p w14:paraId="1D542BD6" w14:textId="13F09D24" w:rsidR="00642952" w:rsidRDefault="00F23D15" w:rsidP="00F23D15">
      <w:pPr>
        <w:spacing w:after="240" w:line="240" w:lineRule="auto"/>
        <w:jc w:val="both"/>
        <w:rPr>
          <w:noProof/>
          <w:sz w:val="24"/>
          <w:szCs w:val="24"/>
        </w:rPr>
      </w:pPr>
      <w:r>
        <w:rPr>
          <w:noProof/>
          <w:sz w:val="24"/>
          <w:szCs w:val="24"/>
        </w:rPr>
        <w:t>Section 2.2.1.3 “</w:t>
      </w:r>
      <w:r w:rsidRPr="00A20B95">
        <w:rPr>
          <w:noProof/>
          <w:sz w:val="24"/>
          <w:szCs w:val="24"/>
        </w:rPr>
        <w:t>No liable person under the PLD when consumer purchases product from a 3rd country directly</w:t>
      </w:r>
      <w:r>
        <w:rPr>
          <w:noProof/>
          <w:sz w:val="24"/>
          <w:szCs w:val="24"/>
        </w:rPr>
        <w:t xml:space="preserve">” concerns situations in which there is no EU-based producer or importer from whom to seek compensation for harm caused by a defective product. Such products are typically bought via an online marketplace, </w:t>
      </w:r>
      <w:r w:rsidR="00C45E16">
        <w:rPr>
          <w:noProof/>
          <w:sz w:val="24"/>
          <w:szCs w:val="24"/>
        </w:rPr>
        <w:t xml:space="preserve">the provider of which </w:t>
      </w:r>
      <w:r>
        <w:rPr>
          <w:noProof/>
          <w:sz w:val="24"/>
          <w:szCs w:val="24"/>
        </w:rPr>
        <w:t xml:space="preserve">intermediates the sale between the non-EU trader and the EU-consumer. </w:t>
      </w:r>
    </w:p>
    <w:p w14:paraId="49FA8B99" w14:textId="544BB485" w:rsidR="00642952" w:rsidRPr="00642952" w:rsidRDefault="00057ADB" w:rsidP="00642952">
      <w:pPr>
        <w:spacing w:after="240" w:line="240" w:lineRule="auto"/>
        <w:jc w:val="both"/>
        <w:rPr>
          <w:noProof/>
          <w:sz w:val="24"/>
          <w:szCs w:val="24"/>
        </w:rPr>
      </w:pPr>
      <w:r>
        <w:rPr>
          <w:noProof/>
          <w:sz w:val="24"/>
          <w:szCs w:val="24"/>
        </w:rPr>
        <w:t>Providers of o</w:t>
      </w:r>
      <w:r w:rsidR="000762C1">
        <w:rPr>
          <w:noProof/>
          <w:sz w:val="24"/>
          <w:szCs w:val="24"/>
        </w:rPr>
        <w:t xml:space="preserve">nline marketplaces are </w:t>
      </w:r>
      <w:r w:rsidR="00642952" w:rsidRPr="00642952">
        <w:rPr>
          <w:noProof/>
          <w:sz w:val="24"/>
          <w:szCs w:val="24"/>
        </w:rPr>
        <w:t xml:space="preserve">subject to a conditional liability </w:t>
      </w:r>
      <w:r w:rsidR="000762C1">
        <w:rPr>
          <w:noProof/>
          <w:sz w:val="24"/>
          <w:szCs w:val="24"/>
        </w:rPr>
        <w:t xml:space="preserve">exemption </w:t>
      </w:r>
      <w:r w:rsidR="00642952" w:rsidRPr="00642952">
        <w:rPr>
          <w:noProof/>
          <w:sz w:val="24"/>
          <w:szCs w:val="24"/>
        </w:rPr>
        <w:t>under the eCommerce Directive and proposal for a Digital Services Act</w:t>
      </w:r>
      <w:r w:rsidR="00642952" w:rsidRPr="00642952">
        <w:rPr>
          <w:noProof/>
          <w:sz w:val="24"/>
          <w:szCs w:val="24"/>
          <w:vertAlign w:val="superscript"/>
        </w:rPr>
        <w:footnoteReference w:id="306"/>
      </w:r>
      <w:r w:rsidR="000762C1">
        <w:rPr>
          <w:noProof/>
          <w:sz w:val="24"/>
          <w:szCs w:val="24"/>
        </w:rPr>
        <w:t>, by virtue of being a provider of an online platform</w:t>
      </w:r>
      <w:r>
        <w:rPr>
          <w:noProof/>
          <w:sz w:val="24"/>
          <w:szCs w:val="24"/>
        </w:rPr>
        <w:t>, which is a type of information society service</w:t>
      </w:r>
      <w:r w:rsidR="00642952" w:rsidRPr="00642952">
        <w:rPr>
          <w:noProof/>
          <w:sz w:val="24"/>
          <w:szCs w:val="24"/>
        </w:rPr>
        <w:t xml:space="preserve">. </w:t>
      </w:r>
      <w:r w:rsidR="000762C1">
        <w:rPr>
          <w:noProof/>
          <w:sz w:val="24"/>
          <w:szCs w:val="24"/>
        </w:rPr>
        <w:t>P</w:t>
      </w:r>
      <w:r w:rsidR="00642952" w:rsidRPr="00642952">
        <w:rPr>
          <w:noProof/>
          <w:sz w:val="24"/>
          <w:szCs w:val="24"/>
        </w:rPr>
        <w:t xml:space="preserve">roviders of online marketplaces are </w:t>
      </w:r>
      <w:r w:rsidR="000762C1">
        <w:rPr>
          <w:noProof/>
          <w:sz w:val="24"/>
          <w:szCs w:val="24"/>
        </w:rPr>
        <w:t xml:space="preserve">therefore </w:t>
      </w:r>
      <w:r w:rsidR="00642952" w:rsidRPr="00642952">
        <w:rPr>
          <w:noProof/>
          <w:sz w:val="24"/>
          <w:szCs w:val="24"/>
        </w:rPr>
        <w:t>not liable for the products or services</w:t>
      </w:r>
      <w:r w:rsidR="00642952">
        <w:rPr>
          <w:noProof/>
          <w:sz w:val="24"/>
          <w:szCs w:val="24"/>
        </w:rPr>
        <w:t xml:space="preserve"> </w:t>
      </w:r>
      <w:r w:rsidR="000762C1">
        <w:rPr>
          <w:noProof/>
          <w:sz w:val="24"/>
          <w:szCs w:val="24"/>
        </w:rPr>
        <w:t xml:space="preserve">whose sale </w:t>
      </w:r>
      <w:r w:rsidR="00642952" w:rsidRPr="00642952">
        <w:rPr>
          <w:noProof/>
          <w:sz w:val="24"/>
          <w:szCs w:val="24"/>
        </w:rPr>
        <w:t xml:space="preserve">they </w:t>
      </w:r>
      <w:r w:rsidR="000762C1">
        <w:rPr>
          <w:noProof/>
          <w:sz w:val="24"/>
          <w:szCs w:val="24"/>
        </w:rPr>
        <w:t>intermediate</w:t>
      </w:r>
      <w:r w:rsidR="00642952" w:rsidRPr="00642952">
        <w:rPr>
          <w:noProof/>
          <w:sz w:val="24"/>
          <w:szCs w:val="24"/>
        </w:rPr>
        <w:t xml:space="preserve">. Nonetheless, the provider cannot rely on the exemption from liability if it was aware of facts or circumstances on the basis of which it should have realised that the products or services for sale in question were unlawful and, in the event of it being so aware, failed to act expeditiously in accordance with Article 14(1)(b) of Directive 2000/31 and Article 5(1)(b) of the proposal for a Digital Services Act. </w:t>
      </w:r>
    </w:p>
    <w:p w14:paraId="0BA8BBA4" w14:textId="621D66A6" w:rsidR="00642952" w:rsidRPr="00642952" w:rsidRDefault="006340C2" w:rsidP="00642952">
      <w:pPr>
        <w:spacing w:after="240" w:line="240" w:lineRule="auto"/>
        <w:jc w:val="both"/>
        <w:rPr>
          <w:noProof/>
          <w:sz w:val="24"/>
          <w:szCs w:val="24"/>
        </w:rPr>
      </w:pPr>
      <w:r>
        <w:rPr>
          <w:noProof/>
          <w:sz w:val="24"/>
          <w:szCs w:val="24"/>
        </w:rPr>
        <w:t>I</w:t>
      </w:r>
      <w:r w:rsidR="00642952" w:rsidRPr="00642952">
        <w:rPr>
          <w:noProof/>
          <w:sz w:val="24"/>
          <w:szCs w:val="24"/>
        </w:rPr>
        <w:t>n addition to the well-established liability exemptions, the proposal for a Digital Services Act includes clarifications to the liability regime for consumer protection:</w:t>
      </w:r>
    </w:p>
    <w:p w14:paraId="63333561" w14:textId="77777777" w:rsidR="00642952" w:rsidRPr="00642952" w:rsidRDefault="00642952" w:rsidP="00DD3B24">
      <w:pPr>
        <w:numPr>
          <w:ilvl w:val="0"/>
          <w:numId w:val="8"/>
        </w:numPr>
        <w:spacing w:after="240" w:line="240" w:lineRule="auto"/>
        <w:jc w:val="both"/>
        <w:rPr>
          <w:noProof/>
          <w:sz w:val="24"/>
          <w:szCs w:val="24"/>
        </w:rPr>
      </w:pPr>
      <w:r w:rsidRPr="00642952">
        <w:rPr>
          <w:noProof/>
          <w:sz w:val="24"/>
          <w:szCs w:val="24"/>
        </w:rPr>
        <w:t>the liability exemption does not apply when the content uploader acts under the authority or control of the service provider (Article 5(2));</w:t>
      </w:r>
    </w:p>
    <w:p w14:paraId="3E93A9EC" w14:textId="072F7DB7" w:rsidR="00642952" w:rsidRPr="00642952" w:rsidRDefault="00642952" w:rsidP="00DD3B24">
      <w:pPr>
        <w:numPr>
          <w:ilvl w:val="0"/>
          <w:numId w:val="8"/>
        </w:numPr>
        <w:spacing w:after="240" w:line="240" w:lineRule="auto"/>
        <w:jc w:val="both"/>
        <w:rPr>
          <w:noProof/>
          <w:sz w:val="24"/>
          <w:szCs w:val="24"/>
        </w:rPr>
      </w:pPr>
      <w:r w:rsidRPr="00642952">
        <w:rPr>
          <w:noProof/>
          <w:sz w:val="24"/>
          <w:szCs w:val="24"/>
        </w:rPr>
        <w:t>online marketplaces do not benefit from the liability exemption when they present products to consumers in a way that confuses them as to whether it is the marketplace</w:t>
      </w:r>
      <w:r w:rsidR="000762C1">
        <w:rPr>
          <w:noProof/>
          <w:sz w:val="24"/>
          <w:szCs w:val="24"/>
        </w:rPr>
        <w:t xml:space="preserve"> or a third-</w:t>
      </w:r>
      <w:r w:rsidRPr="00642952">
        <w:rPr>
          <w:noProof/>
          <w:sz w:val="24"/>
          <w:szCs w:val="24"/>
        </w:rPr>
        <w:t>party seller offering the products (Article 5(3)).</w:t>
      </w:r>
    </w:p>
    <w:p w14:paraId="41EA9ADA" w14:textId="6CC6C9CC" w:rsidR="00642952" w:rsidRPr="00642952" w:rsidRDefault="00642952" w:rsidP="00642952">
      <w:pPr>
        <w:spacing w:after="240" w:line="240" w:lineRule="auto"/>
        <w:jc w:val="both"/>
        <w:rPr>
          <w:noProof/>
          <w:sz w:val="24"/>
          <w:szCs w:val="24"/>
        </w:rPr>
      </w:pPr>
      <w:r w:rsidRPr="00642952">
        <w:rPr>
          <w:noProof/>
          <w:sz w:val="24"/>
          <w:szCs w:val="24"/>
        </w:rPr>
        <w:t>These clarifications allow to enhance consumer protection, while stimulating innovation, and ensuring continuity with the existing case law</w:t>
      </w:r>
      <w:r w:rsidRPr="00642952">
        <w:rPr>
          <w:noProof/>
          <w:sz w:val="24"/>
          <w:szCs w:val="24"/>
          <w:vertAlign w:val="superscript"/>
        </w:rPr>
        <w:footnoteReference w:id="307"/>
      </w:r>
      <w:r w:rsidRPr="00642952">
        <w:rPr>
          <w:noProof/>
          <w:sz w:val="24"/>
          <w:szCs w:val="24"/>
        </w:rPr>
        <w:t>, which has given the sector legal certainty and predictability.</w:t>
      </w:r>
    </w:p>
    <w:p w14:paraId="46F8C7EF" w14:textId="2543148B" w:rsidR="00642952" w:rsidRDefault="007766C0" w:rsidP="00F23D15">
      <w:pPr>
        <w:spacing w:after="240" w:line="240" w:lineRule="auto"/>
        <w:jc w:val="both"/>
        <w:rPr>
          <w:noProof/>
          <w:sz w:val="24"/>
          <w:szCs w:val="24"/>
        </w:rPr>
      </w:pPr>
      <w:r>
        <w:rPr>
          <w:noProof/>
          <w:sz w:val="24"/>
          <w:szCs w:val="24"/>
        </w:rPr>
        <w:t xml:space="preserve">Since liability under the PLD is triggered by harm caused by the inherent defectiveness of a product and not by </w:t>
      </w:r>
      <w:r w:rsidR="00C45E16">
        <w:rPr>
          <w:noProof/>
          <w:sz w:val="24"/>
          <w:szCs w:val="24"/>
        </w:rPr>
        <w:t xml:space="preserve">the </w:t>
      </w:r>
      <w:r>
        <w:rPr>
          <w:noProof/>
          <w:sz w:val="24"/>
          <w:szCs w:val="24"/>
        </w:rPr>
        <w:t xml:space="preserve">actions or omissions of an economic operator (since liability is irrespective of fault), it is under national fault-based rules that consumers could seek compensation in cases where the liability exemption </w:t>
      </w:r>
      <w:r w:rsidR="00C45E16">
        <w:rPr>
          <w:noProof/>
          <w:sz w:val="24"/>
          <w:szCs w:val="24"/>
        </w:rPr>
        <w:t xml:space="preserve">of providers of online marketplaces </w:t>
      </w:r>
      <w:r>
        <w:rPr>
          <w:noProof/>
          <w:sz w:val="24"/>
          <w:szCs w:val="24"/>
        </w:rPr>
        <w:t>does not apply.</w:t>
      </w:r>
    </w:p>
    <w:p w14:paraId="741C8E5C" w14:textId="1BB427F0" w:rsidR="00F23D15" w:rsidRDefault="00F23D15" w:rsidP="00F23D15">
      <w:pPr>
        <w:spacing w:after="240" w:line="240" w:lineRule="auto"/>
        <w:jc w:val="both"/>
        <w:rPr>
          <w:noProof/>
          <w:sz w:val="24"/>
          <w:szCs w:val="24"/>
        </w:rPr>
      </w:pPr>
      <w:r>
        <w:rPr>
          <w:noProof/>
          <w:sz w:val="24"/>
          <w:szCs w:val="24"/>
        </w:rPr>
        <w:t xml:space="preserve">However, it should be clarified in the revision </w:t>
      </w:r>
      <w:r w:rsidR="007766C0">
        <w:rPr>
          <w:noProof/>
          <w:sz w:val="24"/>
          <w:szCs w:val="24"/>
        </w:rPr>
        <w:t xml:space="preserve">of the PLD </w:t>
      </w:r>
      <w:r>
        <w:rPr>
          <w:noProof/>
          <w:sz w:val="24"/>
          <w:szCs w:val="24"/>
        </w:rPr>
        <w:t>that a</w:t>
      </w:r>
      <w:r w:rsidR="007766C0">
        <w:rPr>
          <w:noProof/>
          <w:sz w:val="24"/>
          <w:szCs w:val="24"/>
        </w:rPr>
        <w:t xml:space="preserve"> provider of</w:t>
      </w:r>
      <w:r>
        <w:rPr>
          <w:noProof/>
          <w:sz w:val="24"/>
          <w:szCs w:val="24"/>
        </w:rPr>
        <w:t xml:space="preserve"> </w:t>
      </w:r>
      <w:r w:rsidR="00C45E16">
        <w:rPr>
          <w:noProof/>
          <w:sz w:val="24"/>
          <w:szCs w:val="24"/>
        </w:rPr>
        <w:t xml:space="preserve">an </w:t>
      </w:r>
      <w:r>
        <w:rPr>
          <w:noProof/>
          <w:sz w:val="24"/>
          <w:szCs w:val="24"/>
        </w:rPr>
        <w:t xml:space="preserve">online marketplace may </w:t>
      </w:r>
      <w:r w:rsidR="00C45E16">
        <w:rPr>
          <w:noProof/>
          <w:sz w:val="24"/>
          <w:szCs w:val="24"/>
        </w:rPr>
        <w:t xml:space="preserve">also </w:t>
      </w:r>
      <w:r w:rsidR="007766C0">
        <w:rPr>
          <w:noProof/>
          <w:sz w:val="24"/>
          <w:szCs w:val="24"/>
        </w:rPr>
        <w:t xml:space="preserve">provide services other </w:t>
      </w:r>
      <w:r w:rsidR="00C45E16">
        <w:rPr>
          <w:noProof/>
          <w:sz w:val="24"/>
          <w:szCs w:val="24"/>
        </w:rPr>
        <w:t xml:space="preserve">than intermediation </w:t>
      </w:r>
      <w:r w:rsidR="007766C0">
        <w:rPr>
          <w:noProof/>
          <w:sz w:val="24"/>
          <w:szCs w:val="24"/>
        </w:rPr>
        <w:t xml:space="preserve">services and </w:t>
      </w:r>
      <w:r w:rsidR="00C45E16">
        <w:rPr>
          <w:noProof/>
          <w:sz w:val="24"/>
          <w:szCs w:val="24"/>
        </w:rPr>
        <w:t>may thereby</w:t>
      </w:r>
      <w:r w:rsidR="007766C0">
        <w:rPr>
          <w:noProof/>
          <w:sz w:val="24"/>
          <w:szCs w:val="24"/>
        </w:rPr>
        <w:t xml:space="preserve"> </w:t>
      </w:r>
      <w:r>
        <w:rPr>
          <w:noProof/>
          <w:sz w:val="24"/>
          <w:szCs w:val="24"/>
        </w:rPr>
        <w:t xml:space="preserve">play </w:t>
      </w:r>
      <w:r w:rsidR="00C45E16">
        <w:rPr>
          <w:noProof/>
          <w:sz w:val="24"/>
          <w:szCs w:val="24"/>
        </w:rPr>
        <w:t>a</w:t>
      </w:r>
      <w:r w:rsidR="007766C0">
        <w:rPr>
          <w:noProof/>
          <w:sz w:val="24"/>
          <w:szCs w:val="24"/>
        </w:rPr>
        <w:t xml:space="preserve"> </w:t>
      </w:r>
      <w:r>
        <w:rPr>
          <w:noProof/>
          <w:sz w:val="24"/>
          <w:szCs w:val="24"/>
        </w:rPr>
        <w:t xml:space="preserve">role in the supply chain for a given product </w:t>
      </w:r>
      <w:r w:rsidR="00C45E16">
        <w:rPr>
          <w:noProof/>
          <w:sz w:val="24"/>
          <w:szCs w:val="24"/>
        </w:rPr>
        <w:t>that</w:t>
      </w:r>
      <w:r>
        <w:rPr>
          <w:noProof/>
          <w:sz w:val="24"/>
          <w:szCs w:val="24"/>
        </w:rPr>
        <w:t xml:space="preserve"> </w:t>
      </w:r>
      <w:r w:rsidRPr="008D43D6">
        <w:rPr>
          <w:i/>
          <w:noProof/>
          <w:sz w:val="24"/>
          <w:szCs w:val="24"/>
        </w:rPr>
        <w:t>would</w:t>
      </w:r>
      <w:r>
        <w:rPr>
          <w:noProof/>
          <w:sz w:val="24"/>
          <w:szCs w:val="24"/>
        </w:rPr>
        <w:t xml:space="preserve"> attract liability under the PLD: </w:t>
      </w:r>
    </w:p>
    <w:p w14:paraId="068E56A3" w14:textId="7C4398B5" w:rsidR="00F23D15" w:rsidRDefault="00F23D15" w:rsidP="00DD3B24">
      <w:pPr>
        <w:pStyle w:val="ListParagraph"/>
        <w:numPr>
          <w:ilvl w:val="0"/>
          <w:numId w:val="32"/>
        </w:numPr>
        <w:jc w:val="both"/>
        <w:rPr>
          <w:noProof/>
          <w:sz w:val="24"/>
          <w:szCs w:val="24"/>
        </w:rPr>
      </w:pPr>
      <w:r>
        <w:rPr>
          <w:noProof/>
          <w:sz w:val="24"/>
          <w:szCs w:val="24"/>
        </w:rPr>
        <w:t>If a</w:t>
      </w:r>
      <w:r w:rsidR="007766C0">
        <w:rPr>
          <w:noProof/>
          <w:sz w:val="24"/>
          <w:szCs w:val="24"/>
        </w:rPr>
        <w:t xml:space="preserve"> provider of</w:t>
      </w:r>
      <w:r>
        <w:rPr>
          <w:noProof/>
          <w:sz w:val="24"/>
          <w:szCs w:val="24"/>
        </w:rPr>
        <w:t xml:space="preserve"> an online marketplace manufacturers a product or attaches its trademark to it, it is the producer and can be liable as such under the PLD;</w:t>
      </w:r>
    </w:p>
    <w:p w14:paraId="1D9E5E65" w14:textId="287A7508" w:rsidR="00F23D15" w:rsidRDefault="00F23D15" w:rsidP="00DD3B24">
      <w:pPr>
        <w:pStyle w:val="ListParagraph"/>
        <w:numPr>
          <w:ilvl w:val="0"/>
          <w:numId w:val="32"/>
        </w:numPr>
        <w:jc w:val="both"/>
        <w:rPr>
          <w:noProof/>
          <w:sz w:val="24"/>
          <w:szCs w:val="24"/>
        </w:rPr>
      </w:pPr>
      <w:r>
        <w:rPr>
          <w:noProof/>
          <w:sz w:val="24"/>
          <w:szCs w:val="24"/>
        </w:rPr>
        <w:t>If a</w:t>
      </w:r>
      <w:r w:rsidR="007766C0">
        <w:rPr>
          <w:noProof/>
          <w:sz w:val="24"/>
          <w:szCs w:val="24"/>
        </w:rPr>
        <w:t xml:space="preserve"> provider of</w:t>
      </w:r>
      <w:r>
        <w:rPr>
          <w:noProof/>
          <w:sz w:val="24"/>
          <w:szCs w:val="24"/>
        </w:rPr>
        <w:t xml:space="preserve"> an online marketplace imports a product, it is the importer and can be liable as such under the PLD;</w:t>
      </w:r>
    </w:p>
    <w:p w14:paraId="5F97FE7D" w14:textId="132C9B0A" w:rsidR="00F23D15" w:rsidRPr="00C40675" w:rsidRDefault="00F23D15" w:rsidP="00DD3B24">
      <w:pPr>
        <w:pStyle w:val="ListParagraph"/>
        <w:numPr>
          <w:ilvl w:val="0"/>
          <w:numId w:val="32"/>
        </w:numPr>
        <w:jc w:val="both"/>
        <w:rPr>
          <w:i/>
          <w:noProof/>
        </w:rPr>
      </w:pPr>
      <w:r w:rsidRPr="000C1ABE">
        <w:rPr>
          <w:noProof/>
          <w:sz w:val="24"/>
          <w:szCs w:val="24"/>
        </w:rPr>
        <w:t>If a</w:t>
      </w:r>
      <w:r w:rsidR="007766C0">
        <w:rPr>
          <w:noProof/>
          <w:sz w:val="24"/>
          <w:szCs w:val="24"/>
        </w:rPr>
        <w:t xml:space="preserve"> provider of</w:t>
      </w:r>
      <w:r w:rsidRPr="000C1ABE">
        <w:rPr>
          <w:noProof/>
          <w:sz w:val="24"/>
          <w:szCs w:val="24"/>
        </w:rPr>
        <w:t xml:space="preserve"> an online marketplace itself sells the product, it is (in the language of the PLD) the “supplier”, and could be held liable unless it identifies the producer.</w:t>
      </w:r>
    </w:p>
    <w:p w14:paraId="650AEB48" w14:textId="77777777" w:rsidR="00F23D15" w:rsidRDefault="00F23D15" w:rsidP="00F23D15">
      <w:pPr>
        <w:jc w:val="both"/>
        <w:rPr>
          <w:noProof/>
        </w:rPr>
      </w:pPr>
    </w:p>
    <w:p w14:paraId="5190DB4C" w14:textId="77777777" w:rsidR="00F23D15" w:rsidRDefault="00F23D15" w:rsidP="000B2459">
      <w:pPr>
        <w:pStyle w:val="AnnexTitle"/>
        <w:rPr>
          <w:noProof/>
        </w:rPr>
        <w:sectPr w:rsidR="00F23D15" w:rsidSect="006C5B89">
          <w:headerReference w:type="even" r:id="rId44"/>
          <w:headerReference w:type="default" r:id="rId45"/>
          <w:footerReference w:type="even" r:id="rId46"/>
          <w:footerReference w:type="default" r:id="rId47"/>
          <w:headerReference w:type="first" r:id="rId48"/>
          <w:footerReference w:type="first" r:id="rId49"/>
          <w:pgSz w:w="11906" w:h="16838"/>
          <w:pgMar w:top="1020" w:right="1701" w:bottom="1020" w:left="1587" w:header="601" w:footer="1077" w:gutter="0"/>
          <w:cols w:space="720"/>
          <w:titlePg/>
        </w:sectPr>
      </w:pPr>
    </w:p>
    <w:p w14:paraId="0E73D266" w14:textId="175667DC" w:rsidR="006B087E" w:rsidRDefault="000B2459" w:rsidP="000B2459">
      <w:pPr>
        <w:pStyle w:val="AnnexTitle"/>
        <w:rPr>
          <w:noProof/>
        </w:rPr>
      </w:pPr>
      <w:bookmarkStart w:id="1064" w:name="_Toc97149272"/>
      <w:bookmarkStart w:id="1065" w:name="_Toc97191319"/>
      <w:bookmarkStart w:id="1066" w:name="_Toc107430129"/>
      <w:r>
        <w:rPr>
          <w:noProof/>
        </w:rPr>
        <w:t xml:space="preserve">Annex 6: </w:t>
      </w:r>
      <w:r w:rsidR="00B627AC">
        <w:rPr>
          <w:noProof/>
        </w:rPr>
        <w:t>V</w:t>
      </w:r>
      <w:r>
        <w:rPr>
          <w:noProof/>
        </w:rPr>
        <w:t xml:space="preserve">iability of </w:t>
      </w:r>
      <w:r w:rsidR="00B627AC">
        <w:rPr>
          <w:noProof/>
        </w:rPr>
        <w:t xml:space="preserve">non-binding </w:t>
      </w:r>
      <w:r>
        <w:rPr>
          <w:noProof/>
        </w:rPr>
        <w:t>guidance</w:t>
      </w:r>
      <w:bookmarkEnd w:id="1058"/>
      <w:bookmarkEnd w:id="1059"/>
      <w:bookmarkEnd w:id="1060"/>
      <w:bookmarkEnd w:id="1061"/>
      <w:bookmarkEnd w:id="1062"/>
      <w:bookmarkEnd w:id="1063"/>
      <w:bookmarkEnd w:id="1064"/>
      <w:bookmarkEnd w:id="1065"/>
      <w:bookmarkEnd w:id="1066"/>
    </w:p>
    <w:p w14:paraId="56B6B011" w14:textId="7DEF2A70" w:rsidR="00606B9E" w:rsidRDefault="002024F2" w:rsidP="00D515C0">
      <w:pPr>
        <w:spacing w:after="240" w:line="240" w:lineRule="auto"/>
        <w:jc w:val="both"/>
        <w:rPr>
          <w:noProof/>
          <w:sz w:val="24"/>
          <w:szCs w:val="24"/>
        </w:rPr>
      </w:pPr>
      <w:r>
        <w:rPr>
          <w:noProof/>
          <w:sz w:val="24"/>
          <w:szCs w:val="24"/>
        </w:rPr>
        <w:t xml:space="preserve">Issuing non-binding guidance was discarded as a policy option (see section 5.3). </w:t>
      </w:r>
      <w:r w:rsidRPr="002024F2">
        <w:rPr>
          <w:noProof/>
          <w:sz w:val="24"/>
          <w:szCs w:val="24"/>
        </w:rPr>
        <w:t xml:space="preserve">This </w:t>
      </w:r>
      <w:r>
        <w:rPr>
          <w:noProof/>
          <w:sz w:val="24"/>
          <w:szCs w:val="24"/>
        </w:rPr>
        <w:t>annex assesses</w:t>
      </w:r>
      <w:r w:rsidR="00411F62">
        <w:rPr>
          <w:noProof/>
          <w:sz w:val="24"/>
          <w:szCs w:val="24"/>
        </w:rPr>
        <w:t xml:space="preserve"> in more detail</w:t>
      </w:r>
      <w:r>
        <w:rPr>
          <w:noProof/>
          <w:sz w:val="24"/>
          <w:szCs w:val="24"/>
        </w:rPr>
        <w:t xml:space="preserve"> the extent to which non-binding guidance would be capable of achieving the specific objectives set for the revision of the PLD.</w:t>
      </w:r>
      <w:r w:rsidR="005043B2">
        <w:rPr>
          <w:noProof/>
          <w:sz w:val="24"/>
          <w:szCs w:val="24"/>
        </w:rPr>
        <w:t xml:space="preserve"> </w:t>
      </w:r>
    </w:p>
    <w:p w14:paraId="339B76AB" w14:textId="77777777" w:rsidR="002024F2" w:rsidRDefault="002024F2" w:rsidP="00D515C0">
      <w:pPr>
        <w:spacing w:after="240" w:line="240" w:lineRule="auto"/>
        <w:jc w:val="both"/>
        <w:rPr>
          <w:noProof/>
          <w:sz w:val="24"/>
          <w:szCs w:val="24"/>
        </w:rPr>
      </w:pPr>
    </w:p>
    <w:p w14:paraId="424AADDD" w14:textId="77777777" w:rsidR="002024F2" w:rsidRPr="00C36852" w:rsidRDefault="002024F2" w:rsidP="00DD3B24">
      <w:pPr>
        <w:pStyle w:val="ListParagraph"/>
        <w:numPr>
          <w:ilvl w:val="0"/>
          <w:numId w:val="7"/>
        </w:numPr>
        <w:spacing w:after="240"/>
        <w:ind w:left="714" w:hanging="357"/>
        <w:jc w:val="both"/>
        <w:rPr>
          <w:b/>
          <w:noProof/>
          <w:sz w:val="24"/>
          <w:szCs w:val="24"/>
          <w:lang w:val="en-IE"/>
        </w:rPr>
      </w:pPr>
      <w:r w:rsidRPr="00C36852">
        <w:rPr>
          <w:b/>
          <w:noProof/>
          <w:sz w:val="24"/>
          <w:szCs w:val="24"/>
          <w:lang w:val="en-IE"/>
        </w:rPr>
        <w:t>SO 1: Adapt PLD to reflect nature and risks of products in the digital age</w:t>
      </w:r>
    </w:p>
    <w:p w14:paraId="17D19166" w14:textId="77777777" w:rsidR="00486B8D" w:rsidRDefault="001B42A9" w:rsidP="00D515C0">
      <w:pPr>
        <w:spacing w:after="240" w:line="240" w:lineRule="auto"/>
        <w:jc w:val="both"/>
        <w:rPr>
          <w:noProof/>
          <w:sz w:val="24"/>
          <w:szCs w:val="24"/>
        </w:rPr>
      </w:pPr>
      <w:r>
        <w:rPr>
          <w:noProof/>
          <w:sz w:val="24"/>
          <w:szCs w:val="24"/>
        </w:rPr>
        <w:t xml:space="preserve">Discussions in the </w:t>
      </w:r>
      <w:r w:rsidRPr="001E37C1">
        <w:rPr>
          <w:noProof/>
          <w:sz w:val="24"/>
          <w:szCs w:val="24"/>
        </w:rPr>
        <w:t>Expert Group on liability and new technologies (PLD formation)</w:t>
      </w:r>
      <w:r>
        <w:rPr>
          <w:noProof/>
          <w:sz w:val="24"/>
          <w:szCs w:val="24"/>
        </w:rPr>
        <w:t xml:space="preserve"> about how the current text of the PLD should be interpreted </w:t>
      </w:r>
      <w:r w:rsidR="00411F62">
        <w:rPr>
          <w:noProof/>
          <w:sz w:val="24"/>
          <w:szCs w:val="24"/>
        </w:rPr>
        <w:t xml:space="preserve">in the context of digital technologies </w:t>
      </w:r>
      <w:r>
        <w:rPr>
          <w:noProof/>
          <w:sz w:val="24"/>
          <w:szCs w:val="24"/>
        </w:rPr>
        <w:t xml:space="preserve">were inconclusive. </w:t>
      </w:r>
      <w:r w:rsidR="00411F62">
        <w:rPr>
          <w:rFonts w:cs="Times New Roman"/>
          <w:noProof/>
          <w:sz w:val="24"/>
          <w:szCs w:val="24"/>
          <w:lang w:eastAsia="da-DK"/>
        </w:rPr>
        <w:t xml:space="preserve">Members of the Expert Group </w:t>
      </w:r>
      <w:r w:rsidR="00411F62" w:rsidRPr="00501CD2">
        <w:rPr>
          <w:rFonts w:cs="Times New Roman"/>
          <w:noProof/>
          <w:sz w:val="24"/>
          <w:szCs w:val="24"/>
          <w:lang w:eastAsia="da-DK"/>
        </w:rPr>
        <w:t>argue</w:t>
      </w:r>
      <w:r w:rsidR="00411F62">
        <w:rPr>
          <w:rFonts w:cs="Times New Roman"/>
          <w:noProof/>
          <w:sz w:val="24"/>
          <w:szCs w:val="24"/>
          <w:lang w:eastAsia="da-DK"/>
        </w:rPr>
        <w:t>d</w:t>
      </w:r>
      <w:r w:rsidR="00411F62" w:rsidRPr="00501CD2">
        <w:rPr>
          <w:rFonts w:cs="Times New Roman"/>
          <w:noProof/>
          <w:sz w:val="24"/>
          <w:szCs w:val="24"/>
          <w:lang w:eastAsia="da-DK"/>
        </w:rPr>
        <w:t xml:space="preserve"> variously that only software physically embedded at the time the tangible product </w:t>
      </w:r>
      <w:r w:rsidR="00411F62">
        <w:rPr>
          <w:rFonts w:cs="Times New Roman"/>
          <w:noProof/>
          <w:sz w:val="24"/>
          <w:szCs w:val="24"/>
          <w:lang w:eastAsia="da-DK"/>
        </w:rPr>
        <w:t>was</w:t>
      </w:r>
      <w:r w:rsidR="00411F62" w:rsidRPr="00501CD2">
        <w:rPr>
          <w:rFonts w:cs="Times New Roman"/>
          <w:noProof/>
          <w:sz w:val="24"/>
          <w:szCs w:val="24"/>
          <w:lang w:eastAsia="da-DK"/>
        </w:rPr>
        <w:t xml:space="preserve"> put into circulation </w:t>
      </w:r>
      <w:r w:rsidR="00411F62">
        <w:rPr>
          <w:rFonts w:cs="Times New Roman"/>
          <w:noProof/>
          <w:sz w:val="24"/>
          <w:szCs w:val="24"/>
          <w:lang w:eastAsia="da-DK"/>
        </w:rPr>
        <w:t>was</w:t>
      </w:r>
      <w:r w:rsidR="00411F62" w:rsidRPr="00501CD2">
        <w:rPr>
          <w:rFonts w:cs="Times New Roman"/>
          <w:noProof/>
          <w:sz w:val="24"/>
          <w:szCs w:val="24"/>
          <w:lang w:eastAsia="da-DK"/>
        </w:rPr>
        <w:t xml:space="preserve"> covered, but not any subsequently downloaded software (e.g. updates/upgrades); some insist</w:t>
      </w:r>
      <w:r w:rsidR="00411F62">
        <w:rPr>
          <w:rFonts w:cs="Times New Roman"/>
          <w:noProof/>
          <w:sz w:val="24"/>
          <w:szCs w:val="24"/>
          <w:lang w:eastAsia="da-DK"/>
        </w:rPr>
        <w:t>ed</w:t>
      </w:r>
      <w:r w:rsidR="00411F62" w:rsidRPr="00501CD2">
        <w:rPr>
          <w:rFonts w:cs="Times New Roman"/>
          <w:noProof/>
          <w:sz w:val="24"/>
          <w:szCs w:val="24"/>
          <w:lang w:eastAsia="da-DK"/>
        </w:rPr>
        <w:t xml:space="preserve"> that software, even if provided separately from a tangible product, </w:t>
      </w:r>
      <w:r w:rsidR="00411F62">
        <w:rPr>
          <w:rFonts w:cs="Times New Roman"/>
          <w:noProof/>
          <w:sz w:val="24"/>
          <w:szCs w:val="24"/>
          <w:lang w:eastAsia="da-DK"/>
        </w:rPr>
        <w:t>was</w:t>
      </w:r>
      <w:r w:rsidR="00411F62" w:rsidRPr="00501CD2">
        <w:rPr>
          <w:rFonts w:cs="Times New Roman"/>
          <w:noProof/>
          <w:sz w:val="24"/>
          <w:szCs w:val="24"/>
          <w:lang w:eastAsia="da-DK"/>
        </w:rPr>
        <w:t xml:space="preserve"> already covered; some insist</w:t>
      </w:r>
      <w:r w:rsidR="00411F62">
        <w:rPr>
          <w:rFonts w:cs="Times New Roman"/>
          <w:noProof/>
          <w:sz w:val="24"/>
          <w:szCs w:val="24"/>
          <w:lang w:eastAsia="da-DK"/>
        </w:rPr>
        <w:t>ed</w:t>
      </w:r>
      <w:r w:rsidR="00411F62" w:rsidRPr="00501CD2">
        <w:rPr>
          <w:rFonts w:cs="Times New Roman"/>
          <w:noProof/>
          <w:sz w:val="24"/>
          <w:szCs w:val="24"/>
          <w:lang w:eastAsia="da-DK"/>
        </w:rPr>
        <w:t xml:space="preserve"> software develop</w:t>
      </w:r>
      <w:r w:rsidR="00411F62">
        <w:rPr>
          <w:rFonts w:cs="Times New Roman"/>
          <w:noProof/>
          <w:sz w:val="24"/>
          <w:szCs w:val="24"/>
          <w:lang w:eastAsia="da-DK"/>
        </w:rPr>
        <w:t>ers themselves currently qualified</w:t>
      </w:r>
      <w:r w:rsidR="00411F62" w:rsidRPr="00501CD2">
        <w:rPr>
          <w:rFonts w:cs="Times New Roman"/>
          <w:noProof/>
          <w:sz w:val="24"/>
          <w:szCs w:val="24"/>
          <w:lang w:eastAsia="da-DK"/>
        </w:rPr>
        <w:t xml:space="preserve"> as producers; some argue</w:t>
      </w:r>
      <w:r w:rsidR="00411F62">
        <w:rPr>
          <w:rFonts w:cs="Times New Roman"/>
          <w:noProof/>
          <w:sz w:val="24"/>
          <w:szCs w:val="24"/>
          <w:lang w:eastAsia="da-DK"/>
        </w:rPr>
        <w:t>d</w:t>
      </w:r>
      <w:r w:rsidR="00411F62" w:rsidRPr="00501CD2">
        <w:rPr>
          <w:rFonts w:cs="Times New Roman"/>
          <w:noProof/>
          <w:sz w:val="24"/>
          <w:szCs w:val="24"/>
          <w:lang w:eastAsia="da-DK"/>
        </w:rPr>
        <w:t xml:space="preserve"> the opposite. </w:t>
      </w:r>
      <w:r>
        <w:rPr>
          <w:noProof/>
          <w:sz w:val="24"/>
          <w:szCs w:val="24"/>
        </w:rPr>
        <w:t xml:space="preserve">Since guidance would require broad consensus by stakeholders, it would </w:t>
      </w:r>
      <w:r w:rsidR="00486B8D">
        <w:rPr>
          <w:noProof/>
          <w:sz w:val="24"/>
          <w:szCs w:val="24"/>
        </w:rPr>
        <w:t xml:space="preserve">only </w:t>
      </w:r>
      <w:r>
        <w:rPr>
          <w:noProof/>
          <w:sz w:val="24"/>
          <w:szCs w:val="24"/>
        </w:rPr>
        <w:t xml:space="preserve">be possible to </w:t>
      </w:r>
      <w:r w:rsidR="00486B8D">
        <w:rPr>
          <w:noProof/>
          <w:sz w:val="24"/>
          <w:szCs w:val="24"/>
        </w:rPr>
        <w:t>adopt a narrow interpretation:</w:t>
      </w:r>
    </w:p>
    <w:p w14:paraId="3D8B1BA5" w14:textId="7F2E57DD" w:rsidR="00486B8D" w:rsidRDefault="00486B8D" w:rsidP="00DD3B24">
      <w:pPr>
        <w:pStyle w:val="ListParagraph"/>
        <w:numPr>
          <w:ilvl w:val="0"/>
          <w:numId w:val="32"/>
        </w:numPr>
        <w:spacing w:after="240"/>
        <w:jc w:val="both"/>
        <w:rPr>
          <w:noProof/>
          <w:sz w:val="24"/>
          <w:szCs w:val="24"/>
        </w:rPr>
      </w:pPr>
      <w:r w:rsidRPr="00486B8D">
        <w:rPr>
          <w:noProof/>
          <w:sz w:val="24"/>
          <w:szCs w:val="24"/>
        </w:rPr>
        <w:t xml:space="preserve">Guidance </w:t>
      </w:r>
      <w:r>
        <w:rPr>
          <w:noProof/>
          <w:sz w:val="24"/>
          <w:szCs w:val="24"/>
        </w:rPr>
        <w:t>could confirm</w:t>
      </w:r>
      <w:r w:rsidRPr="00486B8D">
        <w:rPr>
          <w:noProof/>
          <w:sz w:val="24"/>
          <w:szCs w:val="24"/>
        </w:rPr>
        <w:t xml:space="preserve"> that product manufacturers are liable for the software they embed in their product before putting it into circulation. However, this would not address the problem driver identified: that software can also be added to products after they are put into circulation, either as updates/upgrades to existing software or as new software, and may be added outside of the control of the product manufacturer. </w:t>
      </w:r>
      <w:r w:rsidR="001131CE">
        <w:rPr>
          <w:noProof/>
          <w:sz w:val="24"/>
          <w:szCs w:val="24"/>
        </w:rPr>
        <w:t>It would also mean that software manufacturers themselves</w:t>
      </w:r>
      <w:r w:rsidR="00B627AC">
        <w:rPr>
          <w:noProof/>
          <w:sz w:val="24"/>
          <w:szCs w:val="24"/>
        </w:rPr>
        <w:t xml:space="preserve"> would escape no-fault liability</w:t>
      </w:r>
      <w:r w:rsidR="001131CE">
        <w:rPr>
          <w:noProof/>
          <w:sz w:val="24"/>
          <w:szCs w:val="24"/>
        </w:rPr>
        <w:t xml:space="preserve">. </w:t>
      </w:r>
      <w:r w:rsidR="00B627AC">
        <w:rPr>
          <w:noProof/>
          <w:sz w:val="24"/>
          <w:szCs w:val="24"/>
        </w:rPr>
        <w:t>Victims of harm caused by defective software other than software embedded at the time a product was put into circulation would have to prove the fault of the product or software manufacturer in order to get compensation.</w:t>
      </w:r>
      <w:r w:rsidR="005043B2">
        <w:rPr>
          <w:noProof/>
          <w:sz w:val="24"/>
          <w:szCs w:val="24"/>
        </w:rPr>
        <w:t xml:space="preserve"> These unaddressed problems might eventually be resolved by an ECJ preliminary ruling, if a relevant case were referred to it.</w:t>
      </w:r>
    </w:p>
    <w:p w14:paraId="56F50BAD" w14:textId="7E93274E" w:rsidR="00486B8D" w:rsidRDefault="00486B8D" w:rsidP="00DD3B24">
      <w:pPr>
        <w:pStyle w:val="ListParagraph"/>
        <w:numPr>
          <w:ilvl w:val="0"/>
          <w:numId w:val="32"/>
        </w:numPr>
        <w:spacing w:after="240"/>
        <w:jc w:val="both"/>
        <w:rPr>
          <w:noProof/>
          <w:sz w:val="24"/>
          <w:szCs w:val="24"/>
        </w:rPr>
      </w:pPr>
      <w:r w:rsidRPr="00486B8D">
        <w:rPr>
          <w:noProof/>
          <w:sz w:val="24"/>
          <w:szCs w:val="24"/>
        </w:rPr>
        <w:t xml:space="preserve">Guidance could confirm that </w:t>
      </w:r>
      <w:r>
        <w:rPr>
          <w:noProof/>
          <w:sz w:val="24"/>
          <w:szCs w:val="24"/>
        </w:rPr>
        <w:t>a cybersecurity vulnerability</w:t>
      </w:r>
      <w:r w:rsidRPr="00486B8D">
        <w:rPr>
          <w:noProof/>
          <w:sz w:val="24"/>
          <w:szCs w:val="24"/>
        </w:rPr>
        <w:t xml:space="preserve"> present at the time a product is put into circulation is capable of being classed as a defect</w:t>
      </w:r>
      <w:r>
        <w:rPr>
          <w:noProof/>
          <w:sz w:val="24"/>
          <w:szCs w:val="24"/>
        </w:rPr>
        <w:t>. However, this would not address the problem driver identified: that cybersecurity vulnerabilities are dynamic in nature and can emerge after a product was put into circulation.</w:t>
      </w:r>
    </w:p>
    <w:p w14:paraId="6E57C582" w14:textId="21E35605" w:rsidR="00486B8D" w:rsidRPr="00486B8D" w:rsidRDefault="00486B8D" w:rsidP="00DD3B24">
      <w:pPr>
        <w:pStyle w:val="ListParagraph"/>
        <w:numPr>
          <w:ilvl w:val="0"/>
          <w:numId w:val="32"/>
        </w:numPr>
        <w:spacing w:after="240"/>
        <w:jc w:val="both"/>
        <w:rPr>
          <w:noProof/>
          <w:sz w:val="24"/>
          <w:szCs w:val="24"/>
        </w:rPr>
      </w:pPr>
      <w:r>
        <w:rPr>
          <w:noProof/>
          <w:sz w:val="24"/>
          <w:szCs w:val="24"/>
        </w:rPr>
        <w:t>Guidance would not be able to extend the types of compensable damages under the PLD.</w:t>
      </w:r>
    </w:p>
    <w:p w14:paraId="1CDA24E1" w14:textId="689A53C2" w:rsidR="001B42A9" w:rsidRDefault="001B42A9" w:rsidP="00D515C0">
      <w:pPr>
        <w:spacing w:after="240" w:line="240" w:lineRule="auto"/>
        <w:jc w:val="both"/>
        <w:rPr>
          <w:noProof/>
          <w:sz w:val="24"/>
          <w:szCs w:val="24"/>
        </w:rPr>
      </w:pPr>
    </w:p>
    <w:p w14:paraId="56C2AEFA" w14:textId="77777777" w:rsidR="00486B8D" w:rsidRPr="00C36852" w:rsidRDefault="00486B8D" w:rsidP="00DD3B24">
      <w:pPr>
        <w:pStyle w:val="ListParagraph"/>
        <w:numPr>
          <w:ilvl w:val="0"/>
          <w:numId w:val="7"/>
        </w:numPr>
        <w:spacing w:after="240"/>
        <w:ind w:left="714" w:hanging="357"/>
        <w:jc w:val="both"/>
        <w:rPr>
          <w:b/>
          <w:noProof/>
          <w:sz w:val="24"/>
          <w:szCs w:val="24"/>
          <w:lang w:val="en-IE"/>
        </w:rPr>
      </w:pPr>
      <w:r w:rsidRPr="00C36852">
        <w:rPr>
          <w:b/>
          <w:noProof/>
          <w:sz w:val="24"/>
          <w:szCs w:val="24"/>
          <w:lang w:val="en-IE"/>
        </w:rPr>
        <w:t>SO 2: Adapt PLD to reflect nature of products in the circular economy</w:t>
      </w:r>
    </w:p>
    <w:p w14:paraId="038C1545" w14:textId="7389F0A7" w:rsidR="00486B8D" w:rsidRDefault="00486B8D" w:rsidP="00D515C0">
      <w:pPr>
        <w:spacing w:after="240" w:line="240" w:lineRule="auto"/>
        <w:jc w:val="both"/>
        <w:rPr>
          <w:noProof/>
          <w:sz w:val="24"/>
          <w:szCs w:val="24"/>
        </w:rPr>
      </w:pPr>
      <w:r>
        <w:rPr>
          <w:noProof/>
          <w:sz w:val="24"/>
          <w:szCs w:val="24"/>
          <w:lang w:val="en-IE"/>
        </w:rPr>
        <w:t xml:space="preserve">The measures envisaged in </w:t>
      </w:r>
      <w:r w:rsidR="001131CE">
        <w:rPr>
          <w:noProof/>
          <w:sz w:val="24"/>
          <w:szCs w:val="24"/>
          <w:lang w:val="en-IE"/>
        </w:rPr>
        <w:t xml:space="preserve">this impact assessment in </w:t>
      </w:r>
      <w:r>
        <w:rPr>
          <w:noProof/>
          <w:sz w:val="24"/>
          <w:szCs w:val="24"/>
          <w:lang w:val="en-IE"/>
        </w:rPr>
        <w:t xml:space="preserve">respect of the circular economy are </w:t>
      </w:r>
      <w:r w:rsidR="003C7131">
        <w:rPr>
          <w:noProof/>
          <w:sz w:val="24"/>
          <w:szCs w:val="24"/>
          <w:lang w:val="en-IE"/>
        </w:rPr>
        <w:t>limited</w:t>
      </w:r>
      <w:r w:rsidR="00B627AC">
        <w:rPr>
          <w:noProof/>
          <w:sz w:val="24"/>
          <w:szCs w:val="24"/>
          <w:lang w:val="en-IE"/>
        </w:rPr>
        <w:t xml:space="preserve">. Guidance could </w:t>
      </w:r>
      <w:r w:rsidR="00F63CEF">
        <w:rPr>
          <w:noProof/>
          <w:sz w:val="24"/>
          <w:szCs w:val="24"/>
          <w:lang w:val="en-IE"/>
        </w:rPr>
        <w:t xml:space="preserve">provide some clarity by drawing an analogy with the concept of “substantial modification” in the area of product safety legislation. The </w:t>
      </w:r>
      <w:r w:rsidR="00F63CEF" w:rsidRPr="00F63CEF">
        <w:rPr>
          <w:noProof/>
          <w:sz w:val="24"/>
          <w:szCs w:val="24"/>
          <w:lang w:val="en-IE"/>
        </w:rPr>
        <w:t xml:space="preserve">Commission’s “Blue Guide” on the implementation of EU product </w:t>
      </w:r>
      <w:r w:rsidR="00F63CEF" w:rsidRPr="00F63CEF">
        <w:rPr>
          <w:noProof/>
          <w:sz w:val="24"/>
          <w:szCs w:val="24"/>
        </w:rPr>
        <w:t>safety legislation</w:t>
      </w:r>
      <w:r w:rsidR="00F63CEF">
        <w:rPr>
          <w:noProof/>
          <w:sz w:val="24"/>
          <w:szCs w:val="24"/>
        </w:rPr>
        <w:t xml:space="preserve"> says that</w:t>
      </w:r>
      <w:r w:rsidR="00F63CEF" w:rsidRPr="00F63CEF">
        <w:rPr>
          <w:noProof/>
          <w:sz w:val="24"/>
          <w:szCs w:val="24"/>
        </w:rPr>
        <w:t xml:space="preserve"> an economic operator who makes important changes to or who overhauls a product should be seen as putting a new product into circulation and should be responsible for safety compliance</w:t>
      </w:r>
      <w:r w:rsidR="00F63CEF" w:rsidRPr="00F63CEF">
        <w:rPr>
          <w:noProof/>
          <w:sz w:val="24"/>
          <w:szCs w:val="24"/>
          <w:vertAlign w:val="superscript"/>
        </w:rPr>
        <w:footnoteReference w:id="308"/>
      </w:r>
      <w:r w:rsidR="00F63CEF" w:rsidRPr="00F63CEF">
        <w:rPr>
          <w:noProof/>
          <w:sz w:val="24"/>
          <w:szCs w:val="24"/>
        </w:rPr>
        <w:t>. This concept of “substantial modification” has been integrated into legislation and legislative proposals in recent years</w:t>
      </w:r>
      <w:r w:rsidR="00F63CEF" w:rsidRPr="00F63CEF">
        <w:rPr>
          <w:noProof/>
          <w:sz w:val="24"/>
          <w:szCs w:val="24"/>
          <w:vertAlign w:val="superscript"/>
        </w:rPr>
        <w:footnoteReference w:id="309"/>
      </w:r>
      <w:r w:rsidR="00F63CEF" w:rsidRPr="00F63CEF">
        <w:rPr>
          <w:noProof/>
          <w:sz w:val="24"/>
          <w:szCs w:val="24"/>
        </w:rPr>
        <w:t xml:space="preserve"> and the Medical Devices Regulation explicitly includes economic operators who fully refurbish devices in its definition of manufacturer</w:t>
      </w:r>
      <w:r w:rsidR="00F63CEF" w:rsidRPr="00F63CEF">
        <w:rPr>
          <w:noProof/>
          <w:sz w:val="24"/>
          <w:szCs w:val="24"/>
          <w:vertAlign w:val="superscript"/>
        </w:rPr>
        <w:footnoteReference w:id="310"/>
      </w:r>
      <w:r w:rsidR="00F63CEF" w:rsidRPr="00F63CEF">
        <w:rPr>
          <w:noProof/>
          <w:sz w:val="24"/>
          <w:szCs w:val="24"/>
        </w:rPr>
        <w:t>.</w:t>
      </w:r>
      <w:r w:rsidR="00F63CEF">
        <w:rPr>
          <w:noProof/>
          <w:sz w:val="24"/>
          <w:szCs w:val="24"/>
        </w:rPr>
        <w:t xml:space="preserve"> There was no consensus in the Expert Group, however, on drawing this analogy, since the text of the PLD itself is silent on the notion of substantial modification. Revision of the PLD itself in this regard would provide more legal certainty.</w:t>
      </w:r>
    </w:p>
    <w:p w14:paraId="5EC0D167" w14:textId="0B40C268" w:rsidR="00486B8D" w:rsidRDefault="00486B8D" w:rsidP="00D515C0">
      <w:pPr>
        <w:spacing w:after="240" w:line="240" w:lineRule="auto"/>
        <w:jc w:val="both"/>
        <w:rPr>
          <w:noProof/>
          <w:sz w:val="24"/>
          <w:szCs w:val="24"/>
        </w:rPr>
      </w:pPr>
    </w:p>
    <w:p w14:paraId="6AC6F8FF" w14:textId="77777777" w:rsidR="00B627AC" w:rsidRPr="00C36852" w:rsidRDefault="00B627AC" w:rsidP="00DD3B24">
      <w:pPr>
        <w:pStyle w:val="ListParagraph"/>
        <w:numPr>
          <w:ilvl w:val="0"/>
          <w:numId w:val="7"/>
        </w:numPr>
        <w:spacing w:after="240"/>
        <w:ind w:left="714" w:hanging="357"/>
        <w:jc w:val="both"/>
        <w:rPr>
          <w:b/>
          <w:noProof/>
          <w:sz w:val="24"/>
          <w:szCs w:val="24"/>
          <w:lang w:val="en-IE"/>
        </w:rPr>
      </w:pPr>
      <w:r w:rsidRPr="00C36852">
        <w:rPr>
          <w:b/>
          <w:noProof/>
          <w:sz w:val="24"/>
          <w:szCs w:val="24"/>
          <w:lang w:val="en-IE"/>
        </w:rPr>
        <w:t xml:space="preserve">SO 3: Ensure there is always an EU-based liable person for defective products bought in the EU </w:t>
      </w:r>
    </w:p>
    <w:p w14:paraId="3FCE075A" w14:textId="6F14B900" w:rsidR="00B627AC" w:rsidRDefault="00B627AC" w:rsidP="00D515C0">
      <w:pPr>
        <w:spacing w:after="240" w:line="240" w:lineRule="auto"/>
        <w:jc w:val="both"/>
        <w:rPr>
          <w:noProof/>
          <w:sz w:val="24"/>
          <w:szCs w:val="24"/>
          <w:lang w:val="en-IE"/>
        </w:rPr>
      </w:pPr>
      <w:r>
        <w:rPr>
          <w:noProof/>
          <w:sz w:val="24"/>
          <w:szCs w:val="24"/>
          <w:lang w:val="en-IE"/>
        </w:rPr>
        <w:t xml:space="preserve">Guidance would be suitable for clarifying that online marketplaces are to be treated as producers, importers or suppliers when they fulfil that particular role in respect of the product in question. Guidance could also confirm that </w:t>
      </w:r>
      <w:r w:rsidR="00B6006E">
        <w:rPr>
          <w:noProof/>
          <w:sz w:val="24"/>
          <w:szCs w:val="24"/>
          <w:lang w:val="en-IE"/>
        </w:rPr>
        <w:t xml:space="preserve">providers of </w:t>
      </w:r>
      <w:r>
        <w:rPr>
          <w:noProof/>
          <w:sz w:val="24"/>
          <w:szCs w:val="24"/>
          <w:lang w:val="en-IE"/>
        </w:rPr>
        <w:t>online marketplaces cannot be liable under the PLD when they play a mere intermediary role.</w:t>
      </w:r>
    </w:p>
    <w:p w14:paraId="4E6ED3F7" w14:textId="76E6F014" w:rsidR="00B627AC" w:rsidRDefault="00B627AC" w:rsidP="00D515C0">
      <w:pPr>
        <w:spacing w:after="240" w:line="240" w:lineRule="auto"/>
        <w:jc w:val="both"/>
        <w:rPr>
          <w:noProof/>
          <w:sz w:val="24"/>
          <w:szCs w:val="24"/>
          <w:lang w:val="en-IE"/>
        </w:rPr>
      </w:pPr>
      <w:r>
        <w:rPr>
          <w:noProof/>
          <w:sz w:val="24"/>
          <w:szCs w:val="24"/>
          <w:lang w:val="en-IE"/>
        </w:rPr>
        <w:t xml:space="preserve">Since the PLD only considers producers, importers and suppliers as potentially liable persons, guidance would not be sufficient to make new economic actors (authorised representatives, fulfilment service providers) liable. </w:t>
      </w:r>
    </w:p>
    <w:p w14:paraId="0AD17041" w14:textId="647D4193" w:rsidR="00B627AC" w:rsidRDefault="00B627AC" w:rsidP="00D515C0">
      <w:pPr>
        <w:spacing w:after="240" w:line="240" w:lineRule="auto"/>
        <w:jc w:val="both"/>
        <w:rPr>
          <w:noProof/>
          <w:sz w:val="24"/>
          <w:szCs w:val="24"/>
        </w:rPr>
      </w:pPr>
    </w:p>
    <w:p w14:paraId="3C8843B1" w14:textId="77777777" w:rsidR="00F63CEF" w:rsidRPr="00C36852" w:rsidRDefault="00F63CEF" w:rsidP="00DD3B24">
      <w:pPr>
        <w:pStyle w:val="ListParagraph"/>
        <w:numPr>
          <w:ilvl w:val="0"/>
          <w:numId w:val="7"/>
        </w:numPr>
        <w:spacing w:after="240"/>
        <w:ind w:left="714" w:hanging="357"/>
        <w:jc w:val="both"/>
        <w:rPr>
          <w:b/>
          <w:noProof/>
          <w:sz w:val="24"/>
          <w:szCs w:val="24"/>
          <w:lang w:val="en-IE"/>
        </w:rPr>
      </w:pPr>
      <w:r w:rsidRPr="00C36852">
        <w:rPr>
          <w:b/>
          <w:noProof/>
          <w:sz w:val="24"/>
          <w:szCs w:val="24"/>
          <w:lang w:val="en-IE"/>
        </w:rPr>
        <w:t>SO 4: Ease the burden of proof in the case of complex products and clarify liability for undiscoverable defects</w:t>
      </w:r>
      <w:r>
        <w:rPr>
          <w:b/>
          <w:noProof/>
          <w:sz w:val="24"/>
          <w:szCs w:val="24"/>
          <w:lang w:val="en-IE"/>
        </w:rPr>
        <w:t>, while ensuring fair balance between producers and consumers</w:t>
      </w:r>
      <w:r w:rsidRPr="00C36852">
        <w:rPr>
          <w:b/>
          <w:noProof/>
          <w:sz w:val="24"/>
          <w:szCs w:val="24"/>
          <w:lang w:val="en-IE"/>
        </w:rPr>
        <w:t xml:space="preserve"> </w:t>
      </w:r>
    </w:p>
    <w:p w14:paraId="448C3CE9" w14:textId="6BCFA8F9" w:rsidR="00F63CEF" w:rsidRDefault="00DE1F99" w:rsidP="00D515C0">
      <w:pPr>
        <w:spacing w:after="240" w:line="240" w:lineRule="auto"/>
        <w:jc w:val="both"/>
        <w:rPr>
          <w:noProof/>
          <w:sz w:val="24"/>
          <w:szCs w:val="24"/>
        </w:rPr>
      </w:pPr>
      <w:r>
        <w:rPr>
          <w:noProof/>
          <w:sz w:val="24"/>
          <w:szCs w:val="24"/>
        </w:rPr>
        <w:t xml:space="preserve">Guidance </w:t>
      </w:r>
      <w:r w:rsidR="00097C28">
        <w:rPr>
          <w:noProof/>
          <w:sz w:val="24"/>
          <w:szCs w:val="24"/>
        </w:rPr>
        <w:t xml:space="preserve">could </w:t>
      </w:r>
      <w:r w:rsidR="0011090B">
        <w:rPr>
          <w:noProof/>
          <w:sz w:val="24"/>
          <w:szCs w:val="24"/>
        </w:rPr>
        <w:t>provide a useful summary of</w:t>
      </w:r>
      <w:r w:rsidR="00834E54">
        <w:rPr>
          <w:noProof/>
          <w:sz w:val="24"/>
          <w:szCs w:val="24"/>
        </w:rPr>
        <w:t xml:space="preserve"> ECJ rulings concerning the burden of proof</w:t>
      </w:r>
      <w:r w:rsidR="00EC383B">
        <w:rPr>
          <w:noProof/>
          <w:sz w:val="24"/>
          <w:szCs w:val="24"/>
        </w:rPr>
        <w:t>, which could help ensure a more coherent approach to the issue among national courts. However</w:t>
      </w:r>
      <w:r w:rsidR="00834E54">
        <w:rPr>
          <w:noProof/>
          <w:sz w:val="24"/>
          <w:szCs w:val="24"/>
        </w:rPr>
        <w:t xml:space="preserve">, </w:t>
      </w:r>
      <w:r w:rsidR="00EC383B">
        <w:rPr>
          <w:noProof/>
          <w:sz w:val="24"/>
          <w:szCs w:val="24"/>
        </w:rPr>
        <w:t xml:space="preserve">guidance </w:t>
      </w:r>
      <w:r w:rsidR="00834E54">
        <w:rPr>
          <w:noProof/>
          <w:sz w:val="24"/>
          <w:szCs w:val="24"/>
        </w:rPr>
        <w:t xml:space="preserve">would not </w:t>
      </w:r>
      <w:r w:rsidR="00A13F8B">
        <w:rPr>
          <w:noProof/>
          <w:sz w:val="24"/>
          <w:szCs w:val="24"/>
        </w:rPr>
        <w:t xml:space="preserve">be able to </w:t>
      </w:r>
      <w:r w:rsidR="0011090B">
        <w:rPr>
          <w:noProof/>
          <w:sz w:val="24"/>
          <w:szCs w:val="24"/>
        </w:rPr>
        <w:t xml:space="preserve">guarantee </w:t>
      </w:r>
      <w:r w:rsidR="006960E8">
        <w:rPr>
          <w:noProof/>
          <w:sz w:val="24"/>
          <w:szCs w:val="24"/>
        </w:rPr>
        <w:t>access to information in c</w:t>
      </w:r>
      <w:r w:rsidR="0011090B">
        <w:rPr>
          <w:noProof/>
          <w:sz w:val="24"/>
          <w:szCs w:val="24"/>
        </w:rPr>
        <w:t>ourt</w:t>
      </w:r>
      <w:r w:rsidR="006960E8">
        <w:rPr>
          <w:noProof/>
          <w:sz w:val="24"/>
          <w:szCs w:val="24"/>
        </w:rPr>
        <w:t xml:space="preserve"> that </w:t>
      </w:r>
      <w:r w:rsidR="0011090B">
        <w:rPr>
          <w:noProof/>
          <w:sz w:val="24"/>
          <w:szCs w:val="24"/>
        </w:rPr>
        <w:t>the claimant needs</w:t>
      </w:r>
      <w:r w:rsidR="006960E8">
        <w:rPr>
          <w:noProof/>
          <w:sz w:val="24"/>
          <w:szCs w:val="24"/>
        </w:rPr>
        <w:t xml:space="preserve"> to prove liability, nor would </w:t>
      </w:r>
      <w:r w:rsidR="0011090B">
        <w:rPr>
          <w:noProof/>
          <w:sz w:val="24"/>
          <w:szCs w:val="24"/>
        </w:rPr>
        <w:t xml:space="preserve">it </w:t>
      </w:r>
      <w:r w:rsidR="00EC383B">
        <w:rPr>
          <w:noProof/>
          <w:sz w:val="24"/>
          <w:szCs w:val="24"/>
        </w:rPr>
        <w:t xml:space="preserve">provide clarity </w:t>
      </w:r>
      <w:r w:rsidR="002538ED">
        <w:rPr>
          <w:noProof/>
          <w:sz w:val="24"/>
          <w:szCs w:val="24"/>
        </w:rPr>
        <w:t>on the conditions and limits of easing the burden of proof in the case of complex products.</w:t>
      </w:r>
    </w:p>
    <w:p w14:paraId="5D1B9E22" w14:textId="77777777" w:rsidR="00F63CEF" w:rsidRDefault="00F63CEF" w:rsidP="00D515C0">
      <w:pPr>
        <w:spacing w:after="240" w:line="240" w:lineRule="auto"/>
        <w:jc w:val="both"/>
        <w:rPr>
          <w:noProof/>
          <w:sz w:val="24"/>
          <w:szCs w:val="24"/>
        </w:rPr>
      </w:pPr>
    </w:p>
    <w:p w14:paraId="25FDE59A" w14:textId="77777777" w:rsidR="007F3302" w:rsidRPr="00C36852" w:rsidRDefault="007F3302" w:rsidP="00DD3B24">
      <w:pPr>
        <w:pStyle w:val="ListParagraph"/>
        <w:keepNext/>
        <w:numPr>
          <w:ilvl w:val="0"/>
          <w:numId w:val="7"/>
        </w:numPr>
        <w:spacing w:after="240"/>
        <w:ind w:left="714" w:hanging="357"/>
        <w:jc w:val="both"/>
        <w:rPr>
          <w:b/>
          <w:noProof/>
          <w:sz w:val="24"/>
          <w:szCs w:val="24"/>
          <w:lang w:val="en-IE"/>
        </w:rPr>
      </w:pPr>
      <w:r w:rsidRPr="00C36852">
        <w:rPr>
          <w:b/>
          <w:noProof/>
          <w:sz w:val="24"/>
          <w:szCs w:val="24"/>
          <w:lang w:val="en-IE"/>
        </w:rPr>
        <w:t>SO 5: Ease restrictions on making claims</w:t>
      </w:r>
      <w:r>
        <w:rPr>
          <w:b/>
          <w:noProof/>
          <w:sz w:val="24"/>
          <w:szCs w:val="24"/>
          <w:lang w:val="en-IE"/>
        </w:rPr>
        <w:t>, while ensuring fair balance between producers and consumers</w:t>
      </w:r>
      <w:r w:rsidRPr="00C36852">
        <w:rPr>
          <w:b/>
          <w:noProof/>
          <w:sz w:val="24"/>
          <w:szCs w:val="24"/>
          <w:lang w:val="en-IE"/>
        </w:rPr>
        <w:t xml:space="preserve"> </w:t>
      </w:r>
    </w:p>
    <w:p w14:paraId="53589086" w14:textId="0713FE9C" w:rsidR="000B2459" w:rsidRPr="006960E8" w:rsidRDefault="00834E54" w:rsidP="00D515C0">
      <w:pPr>
        <w:spacing w:after="240" w:line="240" w:lineRule="auto"/>
        <w:jc w:val="both"/>
        <w:rPr>
          <w:noProof/>
          <w:sz w:val="24"/>
          <w:szCs w:val="24"/>
        </w:rPr>
      </w:pPr>
      <w:r w:rsidRPr="006960E8">
        <w:rPr>
          <w:noProof/>
          <w:sz w:val="24"/>
          <w:szCs w:val="24"/>
        </w:rPr>
        <w:t>It would not be possible to make changes to the EUR 500 threshold or time limits through non-binding guidance. The problem would remain unresolved.</w:t>
      </w:r>
    </w:p>
    <w:p w14:paraId="55543BA3" w14:textId="77777777" w:rsidR="00B233DF" w:rsidRDefault="00B233DF" w:rsidP="00D515C0">
      <w:pPr>
        <w:jc w:val="both"/>
        <w:rPr>
          <w:noProof/>
        </w:rPr>
        <w:sectPr w:rsidR="00B233DF" w:rsidSect="006C5B89">
          <w:headerReference w:type="even" r:id="rId50"/>
          <w:headerReference w:type="default" r:id="rId51"/>
          <w:footerReference w:type="even" r:id="rId52"/>
          <w:footerReference w:type="default" r:id="rId53"/>
          <w:headerReference w:type="first" r:id="rId54"/>
          <w:footerReference w:type="first" r:id="rId55"/>
          <w:pgSz w:w="11906" w:h="16838"/>
          <w:pgMar w:top="1020" w:right="1701" w:bottom="1020" w:left="1587" w:header="601" w:footer="1077" w:gutter="0"/>
          <w:cols w:space="720"/>
          <w:titlePg/>
        </w:sectPr>
      </w:pPr>
    </w:p>
    <w:p w14:paraId="44FD337B" w14:textId="57052F2B" w:rsidR="00B233DF" w:rsidRDefault="00B233DF" w:rsidP="00D515C0">
      <w:pPr>
        <w:pStyle w:val="AnnexTitle"/>
        <w:jc w:val="both"/>
        <w:rPr>
          <w:noProof/>
        </w:rPr>
      </w:pPr>
      <w:bookmarkStart w:id="1067" w:name="_Toc96337817"/>
      <w:bookmarkStart w:id="1068" w:name="_Toc96446297"/>
      <w:bookmarkStart w:id="1069" w:name="_Toc96448069"/>
      <w:bookmarkStart w:id="1070" w:name="_Toc96594018"/>
      <w:bookmarkStart w:id="1071" w:name="_Toc96597309"/>
      <w:bookmarkStart w:id="1072" w:name="_Toc96609244"/>
      <w:bookmarkStart w:id="1073" w:name="_Toc97149273"/>
      <w:bookmarkStart w:id="1074" w:name="_Toc97191320"/>
      <w:bookmarkStart w:id="1075" w:name="_Toc107430130"/>
      <w:r>
        <w:rPr>
          <w:noProof/>
        </w:rPr>
        <w:t xml:space="preserve">Annex 7: </w:t>
      </w:r>
      <w:r w:rsidR="004442FD">
        <w:rPr>
          <w:noProof/>
        </w:rPr>
        <w:t>Further details of l</w:t>
      </w:r>
      <w:r>
        <w:rPr>
          <w:noProof/>
        </w:rPr>
        <w:t>egal context</w:t>
      </w:r>
      <w:bookmarkEnd w:id="1067"/>
      <w:bookmarkEnd w:id="1068"/>
      <w:bookmarkEnd w:id="1069"/>
      <w:bookmarkEnd w:id="1070"/>
      <w:bookmarkEnd w:id="1071"/>
      <w:bookmarkEnd w:id="1072"/>
      <w:bookmarkEnd w:id="1073"/>
      <w:bookmarkEnd w:id="1074"/>
      <w:bookmarkEnd w:id="1075"/>
    </w:p>
    <w:p w14:paraId="0D5E52FF" w14:textId="77777777" w:rsidR="004442FD" w:rsidRPr="004D3357" w:rsidRDefault="004442FD" w:rsidP="00D515C0">
      <w:pPr>
        <w:pStyle w:val="Heading3"/>
        <w:tabs>
          <w:tab w:val="clear" w:pos="1920"/>
        </w:tabs>
        <w:ind w:left="0" w:firstLine="0"/>
        <w:rPr>
          <w:noProof/>
          <w:lang w:val="en-IE"/>
        </w:rPr>
      </w:pPr>
      <w:bookmarkStart w:id="1076" w:name="_Toc96337818"/>
      <w:bookmarkStart w:id="1077" w:name="_Toc96446298"/>
      <w:bookmarkStart w:id="1078" w:name="_Toc96448070"/>
      <w:bookmarkStart w:id="1079" w:name="_Toc96594019"/>
      <w:bookmarkStart w:id="1080" w:name="_Toc96597310"/>
      <w:bookmarkStart w:id="1081" w:name="_Toc96609245"/>
      <w:bookmarkStart w:id="1082" w:name="_Toc97149274"/>
      <w:bookmarkStart w:id="1083" w:name="_Toc97191321"/>
      <w:bookmarkStart w:id="1084" w:name="_Toc107430131"/>
      <w:r>
        <w:rPr>
          <w:noProof/>
          <w:lang w:val="en-IE"/>
        </w:rPr>
        <w:t>Interplay of PLD with other liability regimes</w:t>
      </w:r>
      <w:bookmarkEnd w:id="1076"/>
      <w:bookmarkEnd w:id="1077"/>
      <w:bookmarkEnd w:id="1078"/>
      <w:bookmarkEnd w:id="1079"/>
      <w:bookmarkEnd w:id="1080"/>
      <w:bookmarkEnd w:id="1081"/>
      <w:bookmarkEnd w:id="1082"/>
      <w:bookmarkEnd w:id="1083"/>
      <w:bookmarkEnd w:id="1084"/>
    </w:p>
    <w:p w14:paraId="68E93F0F" w14:textId="443ED76A" w:rsidR="004442FD" w:rsidRPr="004442FD" w:rsidRDefault="004442FD" w:rsidP="00D515C0">
      <w:pPr>
        <w:keepNext/>
        <w:spacing w:after="240" w:line="240" w:lineRule="auto"/>
        <w:jc w:val="both"/>
        <w:rPr>
          <w:noProof/>
          <w:sz w:val="24"/>
          <w:lang w:val="en-IE"/>
        </w:rPr>
      </w:pPr>
      <w:r>
        <w:rPr>
          <w:noProof/>
          <w:sz w:val="24"/>
          <w:lang w:val="en-IE"/>
        </w:rPr>
        <w:t>The interplay of the PLD with national fault-based liability rules is fully explained in the main body of the impact assessment. Here are additional details concerning other liability rules:</w:t>
      </w:r>
    </w:p>
    <w:p w14:paraId="68492B63" w14:textId="6117CB90" w:rsidR="00B233DF" w:rsidRPr="00DD49CD" w:rsidRDefault="00B233DF" w:rsidP="00D515C0">
      <w:pPr>
        <w:keepNext/>
        <w:spacing w:after="240" w:line="240" w:lineRule="auto"/>
        <w:jc w:val="both"/>
        <w:rPr>
          <w:noProof/>
          <w:sz w:val="24"/>
          <w:u w:val="single"/>
          <w:lang w:val="en-IE"/>
        </w:rPr>
      </w:pPr>
      <w:r w:rsidRPr="004D3357">
        <w:rPr>
          <w:noProof/>
          <w:sz w:val="24"/>
          <w:u w:val="single"/>
          <w:lang w:val="en-IE"/>
        </w:rPr>
        <w:t>Contractual liability</w:t>
      </w:r>
      <w:r>
        <w:rPr>
          <w:noProof/>
          <w:sz w:val="24"/>
          <w:u w:val="single"/>
          <w:lang w:val="en-IE"/>
        </w:rPr>
        <w:t xml:space="preserve">: </w:t>
      </w:r>
      <w:r w:rsidRPr="004D3357">
        <w:rPr>
          <w:noProof/>
          <w:sz w:val="24"/>
          <w:lang w:val="en-IE"/>
        </w:rPr>
        <w:t>The Sale of Goods Act</w:t>
      </w:r>
      <w:r w:rsidRPr="004D3357">
        <w:rPr>
          <w:rStyle w:val="FootnoteReference"/>
          <w:noProof/>
          <w:sz w:val="24"/>
          <w:lang w:val="en-IE"/>
        </w:rPr>
        <w:footnoteReference w:id="311"/>
      </w:r>
      <w:r w:rsidRPr="004D3357">
        <w:rPr>
          <w:noProof/>
          <w:sz w:val="24"/>
          <w:lang w:val="en-IE"/>
        </w:rPr>
        <w:t xml:space="preserve"> </w:t>
      </w:r>
      <w:r w:rsidRPr="004D3357">
        <w:rPr>
          <w:noProof/>
          <w:sz w:val="24"/>
        </w:rPr>
        <w:t xml:space="preserve">makes sellers liable to the consumer for lack of conformity. The </w:t>
      </w:r>
      <w:r w:rsidRPr="004D3357">
        <w:rPr>
          <w:noProof/>
          <w:sz w:val="24"/>
          <w:lang w:val="en-IE"/>
        </w:rPr>
        <w:t>Digital Content and Services Directive</w:t>
      </w:r>
      <w:r w:rsidRPr="004D3357">
        <w:rPr>
          <w:rStyle w:val="FootnoteReference"/>
          <w:noProof/>
          <w:sz w:val="24"/>
          <w:lang w:val="en-IE"/>
        </w:rPr>
        <w:footnoteReference w:id="312"/>
      </w:r>
      <w:r w:rsidRPr="004D3357">
        <w:rPr>
          <w:noProof/>
          <w:sz w:val="24"/>
          <w:lang w:val="en-IE"/>
        </w:rPr>
        <w:t xml:space="preserve"> </w:t>
      </w:r>
      <w:r w:rsidRPr="004D3357">
        <w:rPr>
          <w:noProof/>
          <w:sz w:val="24"/>
        </w:rPr>
        <w:t>gives consumers the right to remedy, i.e. replacement, repair or reimbursement, when digital content or a digital service does not work properly. The PLD concerns extra-contractual liability of producers for injuries/damage caused by a lack of safety – a complementary tool to ensure consumer protection. However, these Directives have already been modernised to protect consumers’ contractual rights in the context of digital goods, which the PLD has not.</w:t>
      </w:r>
    </w:p>
    <w:p w14:paraId="5A125B2A" w14:textId="77777777" w:rsidR="00B233DF" w:rsidRPr="00DD49CD" w:rsidRDefault="00B233DF" w:rsidP="00D515C0">
      <w:pPr>
        <w:keepNext/>
        <w:spacing w:after="240" w:line="240" w:lineRule="auto"/>
        <w:jc w:val="both"/>
        <w:rPr>
          <w:noProof/>
          <w:sz w:val="24"/>
          <w:u w:val="single"/>
          <w:lang w:val="en-IE"/>
        </w:rPr>
      </w:pPr>
      <w:r w:rsidRPr="004D3357">
        <w:rPr>
          <w:noProof/>
          <w:sz w:val="24"/>
          <w:u w:val="single"/>
          <w:lang w:val="en-IE"/>
        </w:rPr>
        <w:t>Liability for infringements of data protection law</w:t>
      </w:r>
      <w:r>
        <w:rPr>
          <w:noProof/>
          <w:sz w:val="24"/>
          <w:u w:val="single"/>
          <w:lang w:val="en-IE"/>
        </w:rPr>
        <w:t xml:space="preserve">: </w:t>
      </w:r>
      <w:r w:rsidRPr="004D3357">
        <w:rPr>
          <w:noProof/>
          <w:sz w:val="24"/>
          <w:lang w:val="en-IE"/>
        </w:rPr>
        <w:t>The General Data Protection Regulation (GDPR)</w:t>
      </w:r>
      <w:r w:rsidRPr="004D3357">
        <w:rPr>
          <w:rStyle w:val="FootnoteReference"/>
          <w:noProof/>
          <w:sz w:val="24"/>
          <w:lang w:val="en-IE"/>
        </w:rPr>
        <w:footnoteReference w:id="313"/>
      </w:r>
      <w:r w:rsidRPr="004D3357">
        <w:rPr>
          <w:noProof/>
          <w:sz w:val="24"/>
          <w:lang w:val="en-IE"/>
        </w:rPr>
        <w:t xml:space="preserve"> aims to give people more control over their personal data and makes controllers and processors liable for damage caused by data processing which infringes the GDPR. Any person who has suffered material or non-material damage as a direct result of an infringement of the GDPR has a right to compensation under the GDPR. Product manufacturers may be liable under the GDPR if they act as controllers (i.e. if they </w:t>
      </w:r>
      <w:r w:rsidRPr="004D3357">
        <w:rPr>
          <w:noProof/>
          <w:sz w:val="24"/>
        </w:rPr>
        <w:t>determine the purposes and means of the processing of personal data)</w:t>
      </w:r>
      <w:r w:rsidRPr="004D3357">
        <w:rPr>
          <w:noProof/>
          <w:sz w:val="24"/>
          <w:lang w:val="en-IE"/>
        </w:rPr>
        <w:t xml:space="preserve"> or processors (i.e. if they process personal data </w:t>
      </w:r>
      <w:r w:rsidRPr="004D3357">
        <w:rPr>
          <w:noProof/>
          <w:sz w:val="24"/>
        </w:rPr>
        <w:t>on behalf of the controller</w:t>
      </w:r>
      <w:r w:rsidRPr="004D3357">
        <w:rPr>
          <w:noProof/>
          <w:sz w:val="24"/>
          <w:lang w:val="en-IE"/>
        </w:rPr>
        <w:t xml:space="preserve">). The GDPR is complementary with the current PLD, which provides compensation only for death, personal injury and damage to consumer property. </w:t>
      </w:r>
    </w:p>
    <w:p w14:paraId="0D40512C" w14:textId="77777777" w:rsidR="00B233DF" w:rsidRPr="00DD49CD" w:rsidRDefault="00B233DF" w:rsidP="00D515C0">
      <w:pPr>
        <w:spacing w:after="240" w:line="240" w:lineRule="auto"/>
        <w:jc w:val="both"/>
        <w:rPr>
          <w:noProof/>
          <w:sz w:val="24"/>
          <w:u w:val="single"/>
          <w:lang w:val="en-IE"/>
        </w:rPr>
      </w:pPr>
      <w:r w:rsidRPr="004D3357">
        <w:rPr>
          <w:noProof/>
          <w:sz w:val="24"/>
          <w:u w:val="single"/>
          <w:lang w:val="en-IE"/>
        </w:rPr>
        <w:t>Liability for environmental damage</w:t>
      </w:r>
      <w:r>
        <w:rPr>
          <w:noProof/>
          <w:sz w:val="24"/>
          <w:u w:val="single"/>
          <w:lang w:val="en-IE"/>
        </w:rPr>
        <w:t xml:space="preserve">: </w:t>
      </w:r>
      <w:r w:rsidRPr="004D3357">
        <w:rPr>
          <w:noProof/>
          <w:sz w:val="24"/>
          <w:lang w:val="en-IE"/>
        </w:rPr>
        <w:t>The Environmental Liability Directive</w:t>
      </w:r>
      <w:r w:rsidRPr="004D3357">
        <w:rPr>
          <w:rStyle w:val="FootnoteReference"/>
          <w:noProof/>
          <w:sz w:val="24"/>
          <w:lang w:val="en-IE"/>
        </w:rPr>
        <w:footnoteReference w:id="314"/>
      </w:r>
      <w:r w:rsidRPr="004D3357">
        <w:rPr>
          <w:noProof/>
          <w:sz w:val="24"/>
          <w:lang w:val="en-IE"/>
        </w:rPr>
        <w:t xml:space="preserve"> establishes a framework to prevent and remedy environmental damage based on the polluter pays principle. It deals with pure ecological damage such as damage to protected species and natural habitats as distinct from damage to privately owned property, which is covered by the PLD.</w:t>
      </w:r>
    </w:p>
    <w:p w14:paraId="7776C293" w14:textId="4789AB61" w:rsidR="00B233DF" w:rsidRDefault="002E7937" w:rsidP="002E7937">
      <w:pPr>
        <w:pStyle w:val="Heading3"/>
        <w:rPr>
          <w:noProof/>
          <w:lang w:val="en-IE"/>
        </w:rPr>
      </w:pPr>
      <w:bookmarkStart w:id="1085" w:name="_Toc96337819"/>
      <w:bookmarkStart w:id="1086" w:name="_Toc96446299"/>
      <w:bookmarkStart w:id="1087" w:name="_Toc96448071"/>
      <w:bookmarkStart w:id="1088" w:name="_Toc96594020"/>
      <w:bookmarkStart w:id="1089" w:name="_Toc96597311"/>
      <w:bookmarkStart w:id="1090" w:name="_Toc96609246"/>
      <w:bookmarkStart w:id="1091" w:name="_Toc97149275"/>
      <w:bookmarkStart w:id="1092" w:name="_Toc97191322"/>
      <w:bookmarkStart w:id="1093" w:name="_Toc107430132"/>
      <w:r w:rsidRPr="002E7937">
        <w:t>1.1.1.</w:t>
      </w:r>
      <w:r w:rsidRPr="002E7937">
        <w:tab/>
      </w:r>
      <w:r w:rsidR="00B233DF">
        <w:rPr>
          <w:noProof/>
          <w:lang w:val="en-IE"/>
        </w:rPr>
        <w:t>Interplay of PLD with other EU legislation</w:t>
      </w:r>
      <w:bookmarkEnd w:id="1085"/>
      <w:bookmarkEnd w:id="1086"/>
      <w:bookmarkEnd w:id="1087"/>
      <w:bookmarkEnd w:id="1088"/>
      <w:bookmarkEnd w:id="1089"/>
      <w:bookmarkEnd w:id="1090"/>
      <w:bookmarkEnd w:id="1091"/>
      <w:bookmarkEnd w:id="1092"/>
      <w:bookmarkEnd w:id="1093"/>
    </w:p>
    <w:p w14:paraId="22136715" w14:textId="77777777" w:rsidR="00B233DF" w:rsidRPr="004D3357" w:rsidRDefault="00B233DF" w:rsidP="00D515C0">
      <w:pPr>
        <w:keepNext/>
        <w:spacing w:after="240" w:line="240" w:lineRule="auto"/>
        <w:jc w:val="both"/>
        <w:rPr>
          <w:noProof/>
          <w:sz w:val="24"/>
          <w:u w:val="single"/>
          <w:lang w:val="en-IE"/>
        </w:rPr>
      </w:pPr>
      <w:r w:rsidRPr="004D3357">
        <w:rPr>
          <w:noProof/>
          <w:sz w:val="24"/>
          <w:u w:val="single"/>
          <w:lang w:val="en-IE"/>
        </w:rPr>
        <w:t>Product safety framework</w:t>
      </w:r>
    </w:p>
    <w:p w14:paraId="5D6656D6" w14:textId="77777777" w:rsidR="00B233DF" w:rsidRPr="004D3357" w:rsidRDefault="00B233DF" w:rsidP="00D515C0">
      <w:pPr>
        <w:spacing w:after="240" w:line="240" w:lineRule="auto"/>
        <w:jc w:val="both"/>
        <w:rPr>
          <w:noProof/>
          <w:sz w:val="24"/>
          <w:lang w:val="en-IE"/>
        </w:rPr>
      </w:pPr>
      <w:r w:rsidRPr="004D3357">
        <w:rPr>
          <w:noProof/>
          <w:sz w:val="24"/>
          <w:lang w:val="en-IE"/>
        </w:rPr>
        <w:t xml:space="preserve">EU product safety legislation aims to ensure that only safe products are placed on the internal market. Manufacturers (producers) are responsible for the safety of their product. All products placed on the internal market are subject to safety rules, set under either: </w:t>
      </w:r>
    </w:p>
    <w:p w14:paraId="3A1E3126" w14:textId="77777777" w:rsidR="00B233DF" w:rsidRPr="004D3357" w:rsidRDefault="00B233DF" w:rsidP="00DD3B24">
      <w:pPr>
        <w:pStyle w:val="ListParagraph"/>
        <w:numPr>
          <w:ilvl w:val="0"/>
          <w:numId w:val="8"/>
        </w:numPr>
        <w:spacing w:after="120"/>
        <w:ind w:left="714" w:hanging="357"/>
        <w:jc w:val="both"/>
        <w:rPr>
          <w:noProof/>
          <w:sz w:val="24"/>
          <w:lang w:val="en-IE"/>
        </w:rPr>
      </w:pPr>
      <w:r w:rsidRPr="004D3357">
        <w:rPr>
          <w:noProof/>
          <w:sz w:val="24"/>
          <w:lang w:val="en-IE"/>
        </w:rPr>
        <w:t xml:space="preserve">Sectoral safety legislation, which sets EU-wide essential health and safety requirements that the products need to meet. This covers, for example, machinery, pharmaceutical products, toys, electrical and electronic goods, radio equipment, cosmetics, chemicals, medical devices, food and feed. </w:t>
      </w:r>
    </w:p>
    <w:p w14:paraId="33505DBD" w14:textId="77777777" w:rsidR="00B233DF" w:rsidRPr="004D3357" w:rsidRDefault="00B233DF" w:rsidP="00DD3B24">
      <w:pPr>
        <w:pStyle w:val="ListParagraph"/>
        <w:numPr>
          <w:ilvl w:val="0"/>
          <w:numId w:val="8"/>
        </w:numPr>
        <w:spacing w:after="240"/>
        <w:jc w:val="both"/>
        <w:rPr>
          <w:noProof/>
          <w:sz w:val="24"/>
          <w:lang w:val="en-IE"/>
        </w:rPr>
      </w:pPr>
      <w:r w:rsidRPr="004D3357">
        <w:rPr>
          <w:noProof/>
          <w:sz w:val="24"/>
          <w:lang w:val="en-IE"/>
        </w:rPr>
        <w:t xml:space="preserve">The </w:t>
      </w:r>
      <w:r w:rsidRPr="004D3357">
        <w:rPr>
          <w:i/>
          <w:iCs/>
          <w:noProof/>
          <w:sz w:val="24"/>
          <w:lang w:val="en-IE"/>
        </w:rPr>
        <w:t xml:space="preserve">General Product Safety Directive </w:t>
      </w:r>
      <w:r w:rsidRPr="004D3357">
        <w:rPr>
          <w:noProof/>
          <w:sz w:val="24"/>
          <w:lang w:val="en-IE"/>
        </w:rPr>
        <w:t>(GPSD)</w:t>
      </w:r>
      <w:r w:rsidRPr="004D3357">
        <w:rPr>
          <w:rStyle w:val="FootnoteReference"/>
          <w:noProof/>
          <w:sz w:val="24"/>
          <w:lang w:val="en-IE"/>
        </w:rPr>
        <w:footnoteReference w:id="315"/>
      </w:r>
      <w:r w:rsidRPr="004D3357">
        <w:rPr>
          <w:noProof/>
          <w:sz w:val="24"/>
          <w:lang w:val="en-IE"/>
        </w:rPr>
        <w:t>, which requires all consumer products that do not fall under sectoral legislation to be safe, and which the Commission has proposed to replace with a regulation</w:t>
      </w:r>
      <w:r w:rsidRPr="004D3357">
        <w:rPr>
          <w:rStyle w:val="FootnoteReference"/>
          <w:noProof/>
          <w:sz w:val="24"/>
          <w:lang w:val="en-IE"/>
        </w:rPr>
        <w:footnoteReference w:id="316"/>
      </w:r>
      <w:r w:rsidRPr="004D3357">
        <w:rPr>
          <w:noProof/>
          <w:sz w:val="24"/>
          <w:lang w:val="en-IE"/>
        </w:rPr>
        <w:t xml:space="preserve">. </w:t>
      </w:r>
    </w:p>
    <w:p w14:paraId="2D28FAD2" w14:textId="580600E2" w:rsidR="00B233DF" w:rsidRDefault="00B233DF" w:rsidP="00D515C0">
      <w:pPr>
        <w:spacing w:after="240" w:line="240" w:lineRule="auto"/>
        <w:jc w:val="both"/>
        <w:rPr>
          <w:noProof/>
          <w:sz w:val="24"/>
          <w:lang w:val="en-IE"/>
        </w:rPr>
      </w:pPr>
      <w:r w:rsidRPr="004D3357">
        <w:rPr>
          <w:noProof/>
          <w:sz w:val="24"/>
          <w:lang w:val="en-IE"/>
        </w:rPr>
        <w:t>Safety rules are enforced by market surveillance established under the Market Surveillance Regulation</w:t>
      </w:r>
      <w:r w:rsidRPr="004D3357">
        <w:rPr>
          <w:rStyle w:val="FootnoteReference"/>
          <w:noProof/>
          <w:sz w:val="24"/>
          <w:lang w:val="en-IE"/>
        </w:rPr>
        <w:footnoteReference w:id="317"/>
      </w:r>
      <w:r w:rsidRPr="004D3357">
        <w:rPr>
          <w:noProof/>
          <w:sz w:val="24"/>
          <w:lang w:val="en-IE"/>
        </w:rPr>
        <w:t xml:space="preserve"> and the General Product Safety Directive, which ensure consumer protection by stopping non-compliant products circulating or by bringing them into compliance. Product safety legislation does not contain specific provisions on liability of manufacturers, but make reference to the fact that the PLD applies when a defective product causes damage. Product safety and product liability are therefore complementary mechanisms for achieving a functioning single market for goods that ensures high levels of safety. The 2018 Evaluation concluded that the PLD was fully coherent with the product safety framework, but that ongoing coherence needed to be assessed in light of plans to update safety legislation to meet the challenges of digital technologies</w:t>
      </w:r>
      <w:r w:rsidRPr="004D3357">
        <w:rPr>
          <w:rStyle w:val="FootnoteReference"/>
          <w:noProof/>
          <w:sz w:val="24"/>
          <w:lang w:val="en-IE"/>
        </w:rPr>
        <w:footnoteReference w:id="318"/>
      </w:r>
      <w:r w:rsidRPr="004D3357">
        <w:rPr>
          <w:noProof/>
          <w:sz w:val="24"/>
          <w:lang w:val="en-IE"/>
        </w:rPr>
        <w:t xml:space="preserve"> - see section 1.2.4.</w:t>
      </w:r>
    </w:p>
    <w:p w14:paraId="795CBEAE" w14:textId="105E858F" w:rsidR="004C0F29" w:rsidRPr="004D3357" w:rsidRDefault="004C0F29" w:rsidP="00D515C0">
      <w:pPr>
        <w:spacing w:after="240" w:line="240" w:lineRule="auto"/>
        <w:jc w:val="both"/>
        <w:rPr>
          <w:noProof/>
          <w:sz w:val="24"/>
          <w:lang w:val="en-IE"/>
        </w:rPr>
      </w:pPr>
      <w:r w:rsidRPr="00A537D3">
        <w:rPr>
          <w:noProof/>
          <w:sz w:val="24"/>
          <w:u w:val="single"/>
        </w:rPr>
        <w:t>Safety and Health at work</w:t>
      </w:r>
      <w:r w:rsidRPr="004C0F29">
        <w:rPr>
          <w:noProof/>
          <w:sz w:val="24"/>
        </w:rPr>
        <w:t xml:space="preserve">: </w:t>
      </w:r>
      <w:r w:rsidR="008114BF">
        <w:rPr>
          <w:noProof/>
          <w:sz w:val="24"/>
        </w:rPr>
        <w:t>a series of D</w:t>
      </w:r>
      <w:r w:rsidRPr="004C0F29">
        <w:rPr>
          <w:noProof/>
          <w:sz w:val="24"/>
        </w:rPr>
        <w:t>irectives</w:t>
      </w:r>
      <w:r w:rsidRPr="004C0F29">
        <w:rPr>
          <w:noProof/>
          <w:sz w:val="24"/>
          <w:vertAlign w:val="superscript"/>
        </w:rPr>
        <w:footnoteReference w:id="319"/>
      </w:r>
      <w:r w:rsidRPr="004C0F29">
        <w:rPr>
          <w:noProof/>
          <w:sz w:val="24"/>
        </w:rPr>
        <w:t xml:space="preserve"> establish rules to ensure the safety and health of workers </w:t>
      </w:r>
      <w:r w:rsidR="008114BF">
        <w:rPr>
          <w:noProof/>
          <w:sz w:val="24"/>
        </w:rPr>
        <w:t>in the context of using work equipment</w:t>
      </w:r>
      <w:r w:rsidR="008114BF">
        <w:rPr>
          <w:rStyle w:val="FootnoteReference"/>
          <w:noProof/>
          <w:sz w:val="24"/>
        </w:rPr>
        <w:footnoteReference w:id="320"/>
      </w:r>
      <w:r w:rsidR="008114BF">
        <w:rPr>
          <w:noProof/>
          <w:sz w:val="24"/>
        </w:rPr>
        <w:t xml:space="preserve">, as well as </w:t>
      </w:r>
      <w:r w:rsidRPr="004C0F29">
        <w:rPr>
          <w:noProof/>
          <w:sz w:val="24"/>
        </w:rPr>
        <w:t>against chemical agents</w:t>
      </w:r>
      <w:r>
        <w:rPr>
          <w:noProof/>
          <w:sz w:val="24"/>
          <w:vertAlign w:val="superscript"/>
        </w:rPr>
        <w:t xml:space="preserve">, </w:t>
      </w:r>
      <w:r w:rsidRPr="004C0F29">
        <w:rPr>
          <w:noProof/>
          <w:sz w:val="24"/>
        </w:rPr>
        <w:t>physical hazards, biological agents, as well as other risks.</w:t>
      </w:r>
      <w:r w:rsidR="008114BF">
        <w:rPr>
          <w:noProof/>
          <w:sz w:val="24"/>
        </w:rPr>
        <w:t xml:space="preserve"> These Directives concern obligations of employers to ensure safety but are without prejudice to the PLD, which concerns the liability of producers for defects inherent to the products themselves.</w:t>
      </w:r>
    </w:p>
    <w:p w14:paraId="182B17FE" w14:textId="229DD15B" w:rsidR="00B233DF" w:rsidRPr="00DD49CD" w:rsidRDefault="00B233DF" w:rsidP="00D515C0">
      <w:pPr>
        <w:spacing w:after="240" w:line="240" w:lineRule="auto"/>
        <w:jc w:val="both"/>
        <w:rPr>
          <w:noProof/>
          <w:sz w:val="24"/>
          <w:u w:val="single"/>
          <w:lang w:val="en-IE"/>
        </w:rPr>
      </w:pPr>
      <w:r w:rsidRPr="006045F3">
        <w:rPr>
          <w:noProof/>
          <w:sz w:val="24"/>
          <w:u w:val="single"/>
          <w:lang w:val="en-IE"/>
        </w:rPr>
        <w:t>Cybersecurity</w:t>
      </w:r>
      <w:r>
        <w:rPr>
          <w:noProof/>
          <w:sz w:val="24"/>
          <w:u w:val="single"/>
          <w:lang w:val="en-IE"/>
        </w:rPr>
        <w:t xml:space="preserve">: </w:t>
      </w:r>
      <w:r w:rsidRPr="006045F3">
        <w:rPr>
          <w:noProof/>
          <w:sz w:val="24"/>
          <w:lang w:val="en-IE"/>
        </w:rPr>
        <w:t xml:space="preserve">The </w:t>
      </w:r>
      <w:r w:rsidRPr="006045F3">
        <w:rPr>
          <w:b/>
          <w:bCs/>
          <w:noProof/>
          <w:sz w:val="24"/>
          <w:lang w:val="en-IE"/>
        </w:rPr>
        <w:t>Cybersecurity Act</w:t>
      </w:r>
      <w:r w:rsidRPr="006045F3">
        <w:rPr>
          <w:rStyle w:val="FootnoteReference"/>
          <w:b/>
          <w:bCs/>
          <w:noProof/>
          <w:sz w:val="24"/>
          <w:lang w:val="en-IE"/>
        </w:rPr>
        <w:footnoteReference w:id="321"/>
      </w:r>
      <w:r w:rsidRPr="006045F3">
        <w:rPr>
          <w:noProof/>
          <w:sz w:val="24"/>
          <w:lang w:val="en-IE"/>
        </w:rPr>
        <w:t xml:space="preserve"> establishes a voluntary, EU-wide certification framework for digital products, services and processes, intended to mitigate cybersecurity risks. In addition, the </w:t>
      </w:r>
      <w:r w:rsidRPr="006045F3">
        <w:rPr>
          <w:noProof/>
          <w:sz w:val="24"/>
        </w:rPr>
        <w:t>recently adopted delegated act</w:t>
      </w:r>
      <w:r w:rsidRPr="006045F3">
        <w:rPr>
          <w:noProof/>
          <w:sz w:val="24"/>
          <w:vertAlign w:val="superscript"/>
        </w:rPr>
        <w:footnoteReference w:id="322"/>
      </w:r>
      <w:r w:rsidRPr="006045F3">
        <w:rPr>
          <w:noProof/>
          <w:sz w:val="24"/>
        </w:rPr>
        <w:t xml:space="preserve"> und</w:t>
      </w:r>
      <w:r>
        <w:rPr>
          <w:noProof/>
          <w:sz w:val="24"/>
        </w:rPr>
        <w:t>er</w:t>
      </w:r>
      <w:r w:rsidRPr="006045F3">
        <w:rPr>
          <w:noProof/>
          <w:sz w:val="24"/>
        </w:rPr>
        <w:t xml:space="preserve"> the Radio Equipment Directive</w:t>
      </w:r>
      <w:r w:rsidRPr="006045F3">
        <w:rPr>
          <w:rStyle w:val="FootnoteReference"/>
          <w:noProof/>
          <w:sz w:val="24"/>
        </w:rPr>
        <w:footnoteReference w:id="323"/>
      </w:r>
      <w:r w:rsidRPr="006045F3">
        <w:rPr>
          <w:noProof/>
          <w:sz w:val="24"/>
        </w:rPr>
        <w:t xml:space="preserve"> will oblige manufacturers of IoT products to make their devices cybersecure by including features to guarantee the protection of personal data and privacy. This legislation is relevant to the safety and security of products, but does not regulate the liability of producers. </w:t>
      </w:r>
      <w:r>
        <w:rPr>
          <w:noProof/>
          <w:sz w:val="24"/>
        </w:rPr>
        <w:t>In addition, the Commission is preparing a Cyber-resilience Act</w:t>
      </w:r>
      <w:r w:rsidR="0022455D">
        <w:rPr>
          <w:rStyle w:val="FootnoteReference"/>
          <w:noProof/>
          <w:sz w:val="24"/>
        </w:rPr>
        <w:footnoteReference w:id="324"/>
      </w:r>
      <w:r>
        <w:rPr>
          <w:noProof/>
          <w:sz w:val="24"/>
        </w:rPr>
        <w:t>, which would build on existing rules to encourage manufacturers and software developers to mitigate cybersecurity risks</w:t>
      </w:r>
      <w:r w:rsidR="0022455D">
        <w:rPr>
          <w:noProof/>
          <w:sz w:val="24"/>
        </w:rPr>
        <w:t>, but does not envisage rules on liability</w:t>
      </w:r>
      <w:r>
        <w:rPr>
          <w:noProof/>
          <w:sz w:val="24"/>
        </w:rPr>
        <w:t xml:space="preserve">. </w:t>
      </w:r>
      <w:r w:rsidRPr="006045F3">
        <w:rPr>
          <w:noProof/>
          <w:sz w:val="24"/>
        </w:rPr>
        <w:t xml:space="preserve">Under the current PLD a product that causes harm due to a cybersecurity vulnerability can be found defective, but only if the vulnerability was present at the moment it was placed on the market. </w:t>
      </w:r>
    </w:p>
    <w:p w14:paraId="48442C9C" w14:textId="13F560A7" w:rsidR="00B233DF" w:rsidRDefault="002E7937" w:rsidP="002E7937">
      <w:pPr>
        <w:pStyle w:val="Heading3"/>
        <w:rPr>
          <w:noProof/>
          <w:lang w:val="en-IE"/>
        </w:rPr>
      </w:pPr>
      <w:bookmarkStart w:id="1094" w:name="_Toc96337820"/>
      <w:bookmarkStart w:id="1095" w:name="_Toc96446300"/>
      <w:bookmarkStart w:id="1096" w:name="_Toc96448072"/>
      <w:bookmarkStart w:id="1097" w:name="_Toc96594021"/>
      <w:bookmarkStart w:id="1098" w:name="_Toc96597312"/>
      <w:bookmarkStart w:id="1099" w:name="_Toc96609247"/>
      <w:bookmarkStart w:id="1100" w:name="_Toc97149276"/>
      <w:bookmarkStart w:id="1101" w:name="_Toc97191323"/>
      <w:bookmarkStart w:id="1102" w:name="_Toc107430133"/>
      <w:r w:rsidRPr="002E7937">
        <w:t>1.1.2.</w:t>
      </w:r>
      <w:r w:rsidRPr="002E7937">
        <w:tab/>
      </w:r>
      <w:r w:rsidR="00B233DF">
        <w:rPr>
          <w:noProof/>
          <w:lang w:val="en-IE"/>
        </w:rPr>
        <w:t>Interplay with ongoing initiatives</w:t>
      </w:r>
      <w:bookmarkEnd w:id="1094"/>
      <w:bookmarkEnd w:id="1095"/>
      <w:bookmarkEnd w:id="1096"/>
      <w:bookmarkEnd w:id="1097"/>
      <w:bookmarkEnd w:id="1098"/>
      <w:bookmarkEnd w:id="1099"/>
      <w:bookmarkEnd w:id="1100"/>
      <w:bookmarkEnd w:id="1101"/>
      <w:bookmarkEnd w:id="1102"/>
    </w:p>
    <w:p w14:paraId="7A70457E" w14:textId="6BDC4AD0" w:rsidR="00B233DF" w:rsidRPr="006045F3" w:rsidRDefault="00B233DF" w:rsidP="00D515C0">
      <w:pPr>
        <w:spacing w:after="240" w:line="240" w:lineRule="auto"/>
        <w:jc w:val="both"/>
        <w:rPr>
          <w:noProof/>
          <w:sz w:val="24"/>
          <w:lang w:val="en-IE"/>
        </w:rPr>
      </w:pPr>
      <w:r w:rsidRPr="006045F3">
        <w:rPr>
          <w:noProof/>
          <w:sz w:val="24"/>
          <w:lang w:val="en-IE"/>
        </w:rPr>
        <w:t xml:space="preserve">The proposed </w:t>
      </w:r>
      <w:r w:rsidRPr="00A63BB8">
        <w:rPr>
          <w:noProof/>
          <w:sz w:val="24"/>
          <w:u w:val="single"/>
          <w:lang w:val="en-IE"/>
        </w:rPr>
        <w:t>Machinery Regulation</w:t>
      </w:r>
      <w:r w:rsidRPr="006045F3">
        <w:rPr>
          <w:rStyle w:val="FootnoteReference"/>
          <w:noProof/>
          <w:sz w:val="24"/>
          <w:lang w:val="en-IE"/>
        </w:rPr>
        <w:footnoteReference w:id="325"/>
      </w:r>
      <w:r w:rsidRPr="006045F3">
        <w:rPr>
          <w:noProof/>
          <w:sz w:val="24"/>
          <w:lang w:val="en-IE"/>
        </w:rPr>
        <w:t xml:space="preserve"> and proposed </w:t>
      </w:r>
      <w:r w:rsidRPr="00A63BB8">
        <w:rPr>
          <w:noProof/>
          <w:sz w:val="24"/>
          <w:u w:val="single"/>
          <w:lang w:val="en-IE"/>
        </w:rPr>
        <w:t>General Product Safety Regulation</w:t>
      </w:r>
      <w:r w:rsidRPr="006045F3">
        <w:rPr>
          <w:rStyle w:val="FootnoteReference"/>
          <w:noProof/>
          <w:sz w:val="24"/>
          <w:lang w:val="en-IE"/>
        </w:rPr>
        <w:footnoteReference w:id="326"/>
      </w:r>
      <w:r w:rsidRPr="006045F3">
        <w:rPr>
          <w:noProof/>
          <w:sz w:val="24"/>
          <w:lang w:val="en-IE"/>
        </w:rPr>
        <w:t xml:space="preserve"> (GPSR) aim, in their respective fields, to address the risks of digitalisation in the area of product safety. This includes safety risks posed by software updates and downloads, interconnected products and the evolving functionalities of products</w:t>
      </w:r>
      <w:r w:rsidR="00E96BD1">
        <w:rPr>
          <w:noProof/>
          <w:sz w:val="24"/>
          <w:lang w:val="en-IE"/>
        </w:rPr>
        <w:t xml:space="preserve"> enabled with AI and other digital technologies</w:t>
      </w:r>
      <w:r w:rsidRPr="006045F3">
        <w:rPr>
          <w:noProof/>
          <w:sz w:val="24"/>
          <w:lang w:val="en-IE"/>
        </w:rPr>
        <w:t>. The concern that the PLD will become out of step with modernised product safety rules is addressed in the problem section.</w:t>
      </w:r>
    </w:p>
    <w:p w14:paraId="4026F766" w14:textId="3F22C989" w:rsidR="00B233DF" w:rsidRPr="006045F3" w:rsidRDefault="00B233DF" w:rsidP="00D515C0">
      <w:pPr>
        <w:spacing w:after="240" w:line="240" w:lineRule="auto"/>
        <w:jc w:val="both"/>
        <w:rPr>
          <w:noProof/>
          <w:sz w:val="24"/>
        </w:rPr>
      </w:pPr>
      <w:r w:rsidRPr="006045F3">
        <w:rPr>
          <w:noProof/>
          <w:sz w:val="24"/>
          <w:lang w:val="en-IE"/>
        </w:rPr>
        <w:t xml:space="preserve">The proposed </w:t>
      </w:r>
      <w:r w:rsidRPr="00A63BB8">
        <w:rPr>
          <w:noProof/>
          <w:sz w:val="24"/>
          <w:u w:val="single"/>
          <w:lang w:val="en-IE"/>
        </w:rPr>
        <w:t>Digital Services Act</w:t>
      </w:r>
      <w:r w:rsidRPr="006045F3">
        <w:rPr>
          <w:rStyle w:val="FootnoteReference"/>
          <w:noProof/>
          <w:sz w:val="24"/>
          <w:lang w:val="en-IE"/>
        </w:rPr>
        <w:footnoteReference w:id="327"/>
      </w:r>
      <w:r w:rsidRPr="006045F3">
        <w:rPr>
          <w:noProof/>
          <w:sz w:val="24"/>
          <w:lang w:val="en-IE"/>
        </w:rPr>
        <w:t xml:space="preserve"> (DSA) </w:t>
      </w:r>
      <w:r w:rsidRPr="006045F3">
        <w:rPr>
          <w:noProof/>
          <w:sz w:val="24"/>
        </w:rPr>
        <w:t xml:space="preserve">sets out rules for online intermediary services, including online marketplaces. The DSA imposes obligations on online marketplaces to tackle illegal products online, such as collecting information on the identity of traders using their services. The proposal for a GPSR also imposes obligations on them to tackle the sale of unsafe products online. While online marketplaces are relevant for product safety, they are covered by a conditional liability exemption under the </w:t>
      </w:r>
      <w:r w:rsidR="00642952" w:rsidRPr="00642952">
        <w:rPr>
          <w:noProof/>
          <w:sz w:val="24"/>
        </w:rPr>
        <w:t>e-commerce Directive</w:t>
      </w:r>
      <w:r w:rsidR="00642952" w:rsidRPr="00642952">
        <w:rPr>
          <w:noProof/>
          <w:sz w:val="24"/>
          <w:vertAlign w:val="superscript"/>
        </w:rPr>
        <w:footnoteReference w:id="328"/>
      </w:r>
      <w:r w:rsidR="00642952" w:rsidRPr="00642952">
        <w:rPr>
          <w:noProof/>
          <w:sz w:val="24"/>
        </w:rPr>
        <w:t xml:space="preserve"> and the DSA when they play a mere intermediary role. When </w:t>
      </w:r>
      <w:r w:rsidR="00EC5EA6">
        <w:rPr>
          <w:noProof/>
          <w:sz w:val="24"/>
        </w:rPr>
        <w:t>a provider of an</w:t>
      </w:r>
      <w:r w:rsidR="00642952" w:rsidRPr="00642952">
        <w:rPr>
          <w:noProof/>
          <w:sz w:val="24"/>
        </w:rPr>
        <w:t xml:space="preserve"> </w:t>
      </w:r>
      <w:r w:rsidR="00642952">
        <w:rPr>
          <w:noProof/>
          <w:sz w:val="24"/>
        </w:rPr>
        <w:t>online marketplace</w:t>
      </w:r>
      <w:r w:rsidR="00642952" w:rsidRPr="00642952">
        <w:rPr>
          <w:noProof/>
          <w:sz w:val="24"/>
        </w:rPr>
        <w:t xml:space="preserve"> </w:t>
      </w:r>
      <w:r w:rsidR="00EC5EA6">
        <w:rPr>
          <w:noProof/>
          <w:sz w:val="24"/>
        </w:rPr>
        <w:t>does not</w:t>
      </w:r>
      <w:r w:rsidR="00642952" w:rsidRPr="00642952">
        <w:rPr>
          <w:noProof/>
          <w:sz w:val="24"/>
        </w:rPr>
        <w:t xml:space="preserve"> provide intermediary services, </w:t>
      </w:r>
      <w:r w:rsidR="00EC5EA6">
        <w:rPr>
          <w:noProof/>
          <w:sz w:val="24"/>
        </w:rPr>
        <w:t>but plays another role in the supply chain</w:t>
      </w:r>
      <w:r w:rsidR="00642952" w:rsidRPr="00642952">
        <w:rPr>
          <w:noProof/>
          <w:sz w:val="24"/>
        </w:rPr>
        <w:t>, such as producer or importer of a product</w:t>
      </w:r>
      <w:r w:rsidR="00642952">
        <w:rPr>
          <w:noProof/>
          <w:sz w:val="24"/>
        </w:rPr>
        <w:t>,</w:t>
      </w:r>
      <w:r w:rsidR="00642952" w:rsidRPr="00642952">
        <w:rPr>
          <w:noProof/>
          <w:sz w:val="24"/>
        </w:rPr>
        <w:t xml:space="preserve"> they can in principle be held liable under the PLD </w:t>
      </w:r>
      <w:r w:rsidR="00642952">
        <w:rPr>
          <w:noProof/>
          <w:sz w:val="24"/>
        </w:rPr>
        <w:t xml:space="preserve">if </w:t>
      </w:r>
      <w:r w:rsidR="00642952" w:rsidRPr="00642952">
        <w:rPr>
          <w:noProof/>
          <w:sz w:val="24"/>
        </w:rPr>
        <w:t xml:space="preserve">the product is defective and causes harm. </w:t>
      </w:r>
    </w:p>
    <w:p w14:paraId="31EDCB03" w14:textId="77777777" w:rsidR="00B233DF" w:rsidRDefault="00B233DF" w:rsidP="00D515C0">
      <w:pPr>
        <w:spacing w:after="240" w:line="240" w:lineRule="auto"/>
        <w:jc w:val="both"/>
        <w:rPr>
          <w:rFonts w:cs="Times New Roman"/>
          <w:noProof/>
          <w:sz w:val="24"/>
        </w:rPr>
      </w:pPr>
      <w:r w:rsidRPr="006045F3">
        <w:rPr>
          <w:noProof/>
          <w:sz w:val="24"/>
          <w:u w:val="single"/>
          <w:lang w:val="en-IE"/>
        </w:rPr>
        <w:t>Circular economy action plan/Sustainable Products policy framework</w:t>
      </w:r>
      <w:r>
        <w:rPr>
          <w:noProof/>
          <w:sz w:val="24"/>
          <w:u w:val="single"/>
          <w:lang w:val="en-IE"/>
        </w:rPr>
        <w:t xml:space="preserve">: </w:t>
      </w:r>
      <w:r w:rsidRPr="006045F3">
        <w:rPr>
          <w:rFonts w:cs="Times New Roman"/>
          <w:noProof/>
          <w:sz w:val="24"/>
        </w:rPr>
        <w:t>The Circular Economy Action Plan 2020</w:t>
      </w:r>
      <w:r w:rsidRPr="006045F3">
        <w:rPr>
          <w:rStyle w:val="FootnoteReference"/>
          <w:noProof/>
          <w:snapToGrid w:val="0"/>
          <w:w w:val="0"/>
          <w:sz w:val="24"/>
        </w:rPr>
        <w:footnoteReference w:id="329"/>
      </w:r>
      <w:r w:rsidRPr="006045F3">
        <w:rPr>
          <w:rFonts w:cs="Times New Roman"/>
          <w:noProof/>
          <w:sz w:val="24"/>
        </w:rPr>
        <w:t xml:space="preserve"> announced a sustainable products policy framework intended to provide high-quality, functional and safe products, which are efficient and affordable, last longer and are designed for reuse, repair, remanufacturing and high-quality recycling. The Action Plan does not contemplate measures on liability for defective products. </w:t>
      </w:r>
    </w:p>
    <w:p w14:paraId="58EC2282" w14:textId="37877402" w:rsidR="00B233DF" w:rsidRDefault="00B233DF" w:rsidP="00D515C0">
      <w:pPr>
        <w:jc w:val="both"/>
        <w:rPr>
          <w:noProof/>
        </w:rPr>
      </w:pPr>
    </w:p>
    <w:p w14:paraId="627A2F11" w14:textId="531A374F" w:rsidR="00B233DF" w:rsidRDefault="00B233DF" w:rsidP="00D515C0">
      <w:pPr>
        <w:jc w:val="both"/>
        <w:rPr>
          <w:noProof/>
        </w:rPr>
      </w:pPr>
    </w:p>
    <w:p w14:paraId="1BAC323B" w14:textId="77777777" w:rsidR="00CC5B8D" w:rsidRDefault="00CC5B8D" w:rsidP="00D515C0">
      <w:pPr>
        <w:jc w:val="both"/>
        <w:rPr>
          <w:noProof/>
        </w:rPr>
        <w:sectPr w:rsidR="00CC5B8D" w:rsidSect="006C5B89">
          <w:headerReference w:type="even" r:id="rId56"/>
          <w:headerReference w:type="default" r:id="rId57"/>
          <w:footerReference w:type="even" r:id="rId58"/>
          <w:footerReference w:type="default" r:id="rId59"/>
          <w:headerReference w:type="first" r:id="rId60"/>
          <w:footerReference w:type="first" r:id="rId61"/>
          <w:pgSz w:w="11906" w:h="16838"/>
          <w:pgMar w:top="1020" w:right="1701" w:bottom="1020" w:left="1587" w:header="601" w:footer="1077" w:gutter="0"/>
          <w:cols w:space="720"/>
          <w:titlePg/>
        </w:sectPr>
      </w:pPr>
    </w:p>
    <w:p w14:paraId="74A20D06" w14:textId="04961D12" w:rsidR="005D111C" w:rsidRPr="00CC5B8D" w:rsidRDefault="005D111C" w:rsidP="00D515C0">
      <w:pPr>
        <w:pStyle w:val="AnnexTitle"/>
        <w:jc w:val="both"/>
        <w:rPr>
          <w:noProof/>
        </w:rPr>
      </w:pPr>
      <w:bookmarkStart w:id="1103" w:name="_Toc96446301"/>
      <w:bookmarkStart w:id="1104" w:name="_Toc96448073"/>
      <w:bookmarkStart w:id="1105" w:name="_Toc96594022"/>
      <w:bookmarkStart w:id="1106" w:name="_Toc96597313"/>
      <w:bookmarkStart w:id="1107" w:name="_Toc96609248"/>
      <w:bookmarkStart w:id="1108" w:name="_Toc97149277"/>
      <w:bookmarkStart w:id="1109" w:name="_Toc97191324"/>
      <w:bookmarkStart w:id="1110" w:name="_Toc107430134"/>
      <w:r>
        <w:rPr>
          <w:noProof/>
        </w:rPr>
        <w:t xml:space="preserve">Annex 8: </w:t>
      </w:r>
      <w:r w:rsidRPr="00CC5B8D">
        <w:rPr>
          <w:noProof/>
        </w:rPr>
        <w:t xml:space="preserve">Products that </w:t>
      </w:r>
      <w:r>
        <w:rPr>
          <w:noProof/>
        </w:rPr>
        <w:t xml:space="preserve">may carry risks </w:t>
      </w:r>
      <w:r w:rsidRPr="00CC5B8D">
        <w:rPr>
          <w:noProof/>
        </w:rPr>
        <w:t>but are not defective</w:t>
      </w:r>
      <w:bookmarkEnd w:id="1103"/>
      <w:bookmarkEnd w:id="1104"/>
      <w:bookmarkEnd w:id="1105"/>
      <w:bookmarkEnd w:id="1106"/>
      <w:bookmarkEnd w:id="1107"/>
      <w:bookmarkEnd w:id="1108"/>
      <w:bookmarkEnd w:id="1109"/>
      <w:bookmarkEnd w:id="1110"/>
    </w:p>
    <w:p w14:paraId="07DAA874" w14:textId="77777777" w:rsidR="005D111C" w:rsidRPr="00D515C0" w:rsidRDefault="005D111C" w:rsidP="00D515C0">
      <w:pPr>
        <w:spacing w:after="240" w:line="240" w:lineRule="auto"/>
        <w:jc w:val="both"/>
        <w:rPr>
          <w:noProof/>
          <w:sz w:val="24"/>
          <w:szCs w:val="24"/>
        </w:rPr>
      </w:pPr>
      <w:r w:rsidRPr="00D515C0">
        <w:rPr>
          <w:noProof/>
          <w:sz w:val="24"/>
          <w:szCs w:val="24"/>
        </w:rPr>
        <w:t xml:space="preserve">The PLD provides a single set of rules for all types of products and regulates the liability of producers for products that do not provide the level of safety the general public are </w:t>
      </w:r>
      <w:r w:rsidRPr="00D515C0">
        <w:rPr>
          <w:i/>
          <w:noProof/>
          <w:sz w:val="24"/>
          <w:szCs w:val="24"/>
        </w:rPr>
        <w:t>entitled to expect</w:t>
      </w:r>
      <w:r w:rsidRPr="00D515C0">
        <w:rPr>
          <w:noProof/>
          <w:sz w:val="24"/>
          <w:szCs w:val="24"/>
        </w:rPr>
        <w:t xml:space="preserve"> (i.e. that are defective). Because the notion of defectiveness is linked to entitled expectations, it is very difficult to get compensation in cases where a victim of harm was informed of the risks involved in using a product beforehand – in such a case it is difficult to prove that a person is entitled to expect those risks not to materialise. This situation particularly arises in the context of health products, like pharmaceuticals and medical devices, which work as specified on the information leaflet, but nevertheless entail a risk of adverse reactions.</w:t>
      </w:r>
    </w:p>
    <w:p w14:paraId="6A7D149F" w14:textId="56E01AC7" w:rsidR="005D111C" w:rsidRPr="00D515C0" w:rsidRDefault="005D111C" w:rsidP="00D515C0">
      <w:pPr>
        <w:spacing w:after="240" w:line="240" w:lineRule="auto"/>
        <w:jc w:val="both"/>
        <w:rPr>
          <w:noProof/>
          <w:sz w:val="24"/>
          <w:szCs w:val="24"/>
        </w:rPr>
      </w:pPr>
      <w:r w:rsidRPr="00D515C0">
        <w:rPr>
          <w:noProof/>
          <w:sz w:val="24"/>
          <w:szCs w:val="24"/>
        </w:rPr>
        <w:t>Two French patient associations</w:t>
      </w:r>
      <w:r w:rsidRPr="00D515C0">
        <w:rPr>
          <w:rStyle w:val="FootnoteReference"/>
          <w:noProof/>
          <w:sz w:val="24"/>
          <w:szCs w:val="24"/>
        </w:rPr>
        <w:footnoteReference w:id="330"/>
      </w:r>
      <w:r w:rsidRPr="00D515C0">
        <w:rPr>
          <w:noProof/>
          <w:sz w:val="24"/>
          <w:szCs w:val="24"/>
        </w:rPr>
        <w:t xml:space="preserve"> have argued that the concept of defect is fundamentally unsuitable for pharmaceuticals, and that producers should be subject to no-fault liability whenever their products cause harm, irrespective of defectiveness. The support study for this impact assessment, however, did not find further support for this viewpoint among stakeholders, although pharmaceuticals were certainly identified as a product whose defectiveness can be difficult to prove due to complexity – this issue is addressed in policy options 2a and 2b in the main report. The pharmaceutical industry has argued that unbalanced liability rules would hamper innovation, considering the significant investment needed to bring a new pharmaceutical product to market</w:t>
      </w:r>
      <w:r w:rsidRPr="00D515C0">
        <w:rPr>
          <w:rStyle w:val="FootnoteReference"/>
          <w:noProof/>
          <w:sz w:val="24"/>
          <w:szCs w:val="24"/>
        </w:rPr>
        <w:footnoteReference w:id="331"/>
      </w:r>
      <w:r w:rsidRPr="00D515C0">
        <w:rPr>
          <w:noProof/>
          <w:sz w:val="24"/>
          <w:szCs w:val="24"/>
        </w:rPr>
        <w:t>. They also pointed to the existing obligations on pharmaceutical companies to ensure, report and monitor product safety, including the authorisation requirement of those products before they are placed on the market.</w:t>
      </w:r>
      <w:r w:rsidR="00402CDB">
        <w:rPr>
          <w:noProof/>
          <w:sz w:val="24"/>
          <w:szCs w:val="24"/>
        </w:rPr>
        <w:t xml:space="preserve"> </w:t>
      </w:r>
      <w:r w:rsidRPr="00D515C0">
        <w:rPr>
          <w:noProof/>
          <w:sz w:val="24"/>
          <w:szCs w:val="24"/>
        </w:rPr>
        <w:t xml:space="preserve"> </w:t>
      </w:r>
    </w:p>
    <w:p w14:paraId="5B8D1797" w14:textId="32CD3429" w:rsidR="005D111C" w:rsidRPr="00D515C0" w:rsidRDefault="005D111C" w:rsidP="00D515C0">
      <w:pPr>
        <w:spacing w:after="240" w:line="240" w:lineRule="auto"/>
        <w:jc w:val="both"/>
        <w:rPr>
          <w:noProof/>
          <w:sz w:val="24"/>
          <w:szCs w:val="24"/>
          <w:lang w:val="en-IE"/>
        </w:rPr>
      </w:pPr>
      <w:r w:rsidRPr="00D515C0">
        <w:rPr>
          <w:noProof/>
          <w:sz w:val="24"/>
          <w:szCs w:val="24"/>
          <w:lang w:val="en-IE"/>
        </w:rPr>
        <w:t>Indeed, the EU has a robust legislative framework in place to ensure the safety of pharmaceutical products, which includes stringent requirements before a product can be placed on the market and stringent rules on monitoring the ongoing safety of products once on the market.</w:t>
      </w:r>
      <w:r w:rsidR="00402CDB">
        <w:rPr>
          <w:noProof/>
          <w:sz w:val="24"/>
          <w:szCs w:val="24"/>
          <w:lang w:val="en-IE"/>
        </w:rPr>
        <w:t xml:space="preserve"> </w:t>
      </w:r>
      <w:r w:rsidRPr="00D515C0">
        <w:rPr>
          <w:noProof/>
          <w:sz w:val="24"/>
          <w:szCs w:val="24"/>
          <w:lang w:val="en-IE"/>
        </w:rPr>
        <w:t xml:space="preserve">EU law requires each marketing authorisation holder, national competent authority and the European Medicines Agency (EMA) to operate a pharmacovigilance system. The overall EU pharmacovigilance system operates through cooperation between the EU Member States, EMA and the European Commission. In this context, marketing authorisation holders have to justify market withdrawals and indicate whether they are based on safety grounds or not. Medicines regulators have the tools to withdraw medicinal products from the market in case the benefit/risk is no longer positive. </w:t>
      </w:r>
      <w:r w:rsidRPr="00D515C0">
        <w:rPr>
          <w:noProof/>
          <w:sz w:val="24"/>
          <w:szCs w:val="24"/>
        </w:rPr>
        <w:t>Furthermore, the EU legislation on pharmaceuticals sets requirements on information to patients and healthcare professionals.</w:t>
      </w:r>
      <w:r w:rsidR="00402CDB">
        <w:rPr>
          <w:noProof/>
          <w:sz w:val="24"/>
          <w:szCs w:val="24"/>
        </w:rPr>
        <w:t xml:space="preserve"> </w:t>
      </w:r>
    </w:p>
    <w:p w14:paraId="4ECED10C" w14:textId="77777777" w:rsidR="005D111C" w:rsidRPr="00D515C0" w:rsidRDefault="005D111C" w:rsidP="00D515C0">
      <w:pPr>
        <w:spacing w:after="240" w:line="240" w:lineRule="auto"/>
        <w:jc w:val="both"/>
        <w:rPr>
          <w:noProof/>
          <w:sz w:val="24"/>
          <w:szCs w:val="24"/>
          <w:lang w:val="en-IE"/>
        </w:rPr>
      </w:pPr>
      <w:r w:rsidRPr="00D515C0">
        <w:rPr>
          <w:noProof/>
          <w:sz w:val="24"/>
          <w:szCs w:val="24"/>
          <w:lang w:val="en-IE"/>
        </w:rPr>
        <w:t>The Pharmaceutical Strategy 2020</w:t>
      </w:r>
      <w:r w:rsidRPr="00D515C0">
        <w:rPr>
          <w:rStyle w:val="FootnoteReference"/>
          <w:noProof/>
          <w:sz w:val="24"/>
          <w:szCs w:val="24"/>
          <w:lang w:val="en-IE"/>
        </w:rPr>
        <w:footnoteReference w:id="332"/>
      </w:r>
      <w:r w:rsidRPr="00D515C0">
        <w:rPr>
          <w:noProof/>
          <w:sz w:val="24"/>
          <w:szCs w:val="24"/>
          <w:lang w:val="en-IE"/>
        </w:rPr>
        <w:t xml:space="preserve"> announced a review of pharmaceuticals legislation</w:t>
      </w:r>
      <w:r w:rsidRPr="00D515C0">
        <w:rPr>
          <w:rStyle w:val="FootnoteReference"/>
          <w:noProof/>
          <w:sz w:val="24"/>
          <w:szCs w:val="24"/>
          <w:lang w:val="en-IE"/>
        </w:rPr>
        <w:footnoteReference w:id="333"/>
      </w:r>
      <w:r w:rsidRPr="00D515C0">
        <w:rPr>
          <w:noProof/>
          <w:sz w:val="24"/>
          <w:szCs w:val="24"/>
          <w:lang w:val="en-IE"/>
        </w:rPr>
        <w:t xml:space="preserve"> to ensure the quality and safety of medicines, while boosting the sector’s global competitiveness. It also emphasised the need to stimulate innovation in areas of unmet medical needs (e.g. neurodegenerative and rare diseases and paediatric cancers). </w:t>
      </w:r>
    </w:p>
    <w:p w14:paraId="6F36A75A" w14:textId="4E2F5A40" w:rsidR="005D111C" w:rsidRPr="00D515C0" w:rsidRDefault="005D111C" w:rsidP="00D515C0">
      <w:pPr>
        <w:spacing w:after="240" w:line="240" w:lineRule="auto"/>
        <w:jc w:val="both"/>
        <w:rPr>
          <w:noProof/>
          <w:sz w:val="24"/>
          <w:szCs w:val="24"/>
        </w:rPr>
      </w:pPr>
      <w:r w:rsidRPr="00D515C0">
        <w:rPr>
          <w:noProof/>
          <w:sz w:val="24"/>
          <w:szCs w:val="24"/>
          <w:lang w:val="en-IE"/>
        </w:rPr>
        <w:t xml:space="preserve">It is important to note that when it comes to harm suffered due to pharmaceuticals that are not defective, </w:t>
      </w:r>
      <w:r w:rsidRPr="00D515C0">
        <w:rPr>
          <w:noProof/>
          <w:sz w:val="24"/>
          <w:szCs w:val="24"/>
        </w:rPr>
        <w:t>all Member States cover basic losses through national health systems or social security schemes. To cover further losses, some Member States have created insurance schemes for pharmaceuticals, in particular in Sweden, Finland and Norway</w:t>
      </w:r>
      <w:r w:rsidRPr="00D515C0">
        <w:rPr>
          <w:rStyle w:val="FootnoteReference"/>
          <w:noProof/>
          <w:sz w:val="24"/>
          <w:szCs w:val="24"/>
        </w:rPr>
        <w:footnoteReference w:id="334"/>
      </w:r>
      <w:r w:rsidRPr="00D515C0">
        <w:rPr>
          <w:noProof/>
          <w:sz w:val="24"/>
          <w:szCs w:val="24"/>
        </w:rPr>
        <w:t>, under which victims of harm may get compensation if the pharmaceutical product caused the harm, without any need to prove fault or defectiveness. Almost half of Member States have also created compensation funds for harm caused specifically by vaccines, including COVID-19 vaccines, which have the particular characteristic of having very high benefits for society, despite also causing grave harm to some individuals</w:t>
      </w:r>
      <w:r w:rsidRPr="00D515C0">
        <w:rPr>
          <w:rStyle w:val="FootnoteReference"/>
          <w:noProof/>
          <w:sz w:val="24"/>
          <w:szCs w:val="24"/>
        </w:rPr>
        <w:footnoteReference w:id="335"/>
      </w:r>
      <w:r w:rsidRPr="00D515C0">
        <w:rPr>
          <w:noProof/>
          <w:sz w:val="24"/>
          <w:szCs w:val="24"/>
        </w:rPr>
        <w:t xml:space="preserve">. </w:t>
      </w:r>
    </w:p>
    <w:p w14:paraId="1EBF1A6A" w14:textId="77777777" w:rsidR="005D111C" w:rsidRPr="00D515C0" w:rsidRDefault="005D111C" w:rsidP="00D515C0">
      <w:pPr>
        <w:spacing w:after="240" w:line="240" w:lineRule="auto"/>
        <w:jc w:val="both"/>
        <w:rPr>
          <w:noProof/>
          <w:sz w:val="24"/>
          <w:szCs w:val="24"/>
        </w:rPr>
      </w:pPr>
      <w:r w:rsidRPr="00D515C0">
        <w:rPr>
          <w:noProof/>
          <w:sz w:val="24"/>
          <w:szCs w:val="24"/>
        </w:rPr>
        <w:t>Since the PLD constitutes a liability regime based on product defects and not an insurance scheme or compensation fund, these national measures fall outside of its scope of the PLD and are therefore compatible with it.</w:t>
      </w:r>
    </w:p>
    <w:p w14:paraId="53D53330" w14:textId="2DD8E3A5" w:rsidR="00CC5B8D" w:rsidRDefault="00CC5B8D" w:rsidP="00D515C0">
      <w:pPr>
        <w:jc w:val="both"/>
        <w:rPr>
          <w:noProof/>
        </w:rPr>
      </w:pPr>
    </w:p>
    <w:p w14:paraId="682A1E84" w14:textId="77777777" w:rsidR="00CC5B8D" w:rsidRDefault="00CC5B8D" w:rsidP="00D515C0">
      <w:pPr>
        <w:jc w:val="both"/>
        <w:rPr>
          <w:noProof/>
        </w:rPr>
      </w:pPr>
    </w:p>
    <w:p w14:paraId="639D3410" w14:textId="77777777" w:rsidR="004E2BE3" w:rsidRDefault="004E2BE3" w:rsidP="00D515C0">
      <w:pPr>
        <w:jc w:val="both"/>
        <w:rPr>
          <w:noProof/>
        </w:rPr>
        <w:sectPr w:rsidR="004E2BE3" w:rsidSect="006C5B89">
          <w:headerReference w:type="even" r:id="rId62"/>
          <w:headerReference w:type="default" r:id="rId63"/>
          <w:footerReference w:type="even" r:id="rId64"/>
          <w:footerReference w:type="default" r:id="rId65"/>
          <w:headerReference w:type="first" r:id="rId66"/>
          <w:footerReference w:type="first" r:id="rId67"/>
          <w:pgSz w:w="11906" w:h="16838"/>
          <w:pgMar w:top="1020" w:right="1701" w:bottom="1020" w:left="1587" w:header="601" w:footer="1077" w:gutter="0"/>
          <w:cols w:space="720"/>
          <w:titlePg/>
        </w:sectPr>
      </w:pPr>
    </w:p>
    <w:p w14:paraId="017D3529" w14:textId="7AED4F92" w:rsidR="00C40675" w:rsidRPr="00C40675" w:rsidRDefault="004E270D" w:rsidP="00F12535">
      <w:pPr>
        <w:pStyle w:val="AnnexTitle"/>
        <w:spacing w:after="360"/>
        <w:jc w:val="both"/>
        <w:rPr>
          <w:noProof/>
        </w:rPr>
      </w:pPr>
      <w:bookmarkStart w:id="1111" w:name="_Toc96337822"/>
      <w:bookmarkStart w:id="1112" w:name="_Toc96446302"/>
      <w:bookmarkStart w:id="1113" w:name="_Toc96448074"/>
      <w:bookmarkStart w:id="1114" w:name="_Toc96594023"/>
      <w:bookmarkStart w:id="1115" w:name="_Toc96597314"/>
      <w:bookmarkStart w:id="1116" w:name="_Toc96609249"/>
      <w:bookmarkStart w:id="1117" w:name="_Toc97149278"/>
      <w:bookmarkStart w:id="1118" w:name="_Toc107430135"/>
      <w:r>
        <w:rPr>
          <w:noProof/>
        </w:rPr>
        <w:t xml:space="preserve">Annex 9 – </w:t>
      </w:r>
      <w:bookmarkStart w:id="1119" w:name="_Toc97191326"/>
      <w:bookmarkEnd w:id="1111"/>
      <w:bookmarkEnd w:id="1112"/>
      <w:bookmarkEnd w:id="1113"/>
      <w:bookmarkEnd w:id="1114"/>
      <w:bookmarkEnd w:id="1115"/>
      <w:bookmarkEnd w:id="1116"/>
      <w:r w:rsidR="00C40675" w:rsidRPr="00C40675">
        <w:rPr>
          <w:noProof/>
        </w:rPr>
        <w:t>Indicators for monitoring impacts of preferred option</w:t>
      </w:r>
      <w:bookmarkEnd w:id="1117"/>
      <w:bookmarkEnd w:id="1119"/>
      <w:bookmarkEnd w:id="1118"/>
    </w:p>
    <w:p w14:paraId="3B6D0E95" w14:textId="1EE960B4" w:rsidR="00C40675" w:rsidRPr="00391375" w:rsidRDefault="00C40675" w:rsidP="006A6366">
      <w:pPr>
        <w:spacing w:after="120" w:line="240" w:lineRule="auto"/>
        <w:jc w:val="both"/>
        <w:rPr>
          <w:noProof/>
          <w:sz w:val="24"/>
          <w:szCs w:val="24"/>
        </w:rPr>
      </w:pPr>
      <w:r w:rsidRPr="00391375">
        <w:rPr>
          <w:noProof/>
          <w:sz w:val="24"/>
          <w:szCs w:val="24"/>
        </w:rPr>
        <w:t xml:space="preserve">The following table </w:t>
      </w:r>
      <w:r>
        <w:rPr>
          <w:noProof/>
          <w:sz w:val="24"/>
          <w:szCs w:val="24"/>
        </w:rPr>
        <w:t>supplements section 9 of the main report by identifying</w:t>
      </w:r>
      <w:r w:rsidRPr="00391375">
        <w:rPr>
          <w:noProof/>
          <w:sz w:val="24"/>
          <w:szCs w:val="24"/>
        </w:rPr>
        <w:t xml:space="preserve"> indicators for evaluating the impacts of the preferred option, ordered according to the specific objectives set out in this impact assessment. </w:t>
      </w:r>
    </w:p>
    <w:tbl>
      <w:tblPr>
        <w:tblStyle w:val="TableGrid"/>
        <w:tblW w:w="8647" w:type="dxa"/>
        <w:tblInd w:w="108" w:type="dxa"/>
        <w:tblLook w:val="04A0" w:firstRow="1" w:lastRow="0" w:firstColumn="1" w:lastColumn="0" w:noHBand="0" w:noVBand="1"/>
      </w:tblPr>
      <w:tblGrid>
        <w:gridCol w:w="2691"/>
        <w:gridCol w:w="4530"/>
        <w:gridCol w:w="1426"/>
      </w:tblGrid>
      <w:tr w:rsidR="00C40675" w:rsidRPr="002B72D1" w14:paraId="7A976264" w14:textId="77777777" w:rsidTr="006A6366">
        <w:tc>
          <w:tcPr>
            <w:tcW w:w="2694" w:type="dxa"/>
          </w:tcPr>
          <w:p w14:paraId="61D535CE" w14:textId="77777777" w:rsidR="00C40675" w:rsidRPr="004D7F24" w:rsidRDefault="00C40675" w:rsidP="004A078B">
            <w:pPr>
              <w:spacing w:before="20" w:after="20"/>
              <w:jc w:val="center"/>
              <w:rPr>
                <w:b/>
                <w:noProof/>
                <w:sz w:val="22"/>
                <w:szCs w:val="22"/>
                <w:lang w:val="en-IE"/>
              </w:rPr>
            </w:pPr>
            <w:r w:rsidRPr="004D7F24">
              <w:rPr>
                <w:b/>
                <w:noProof/>
                <w:sz w:val="22"/>
                <w:szCs w:val="22"/>
                <w:lang w:val="en-IE"/>
              </w:rPr>
              <w:t>Objectives</w:t>
            </w:r>
          </w:p>
        </w:tc>
        <w:tc>
          <w:tcPr>
            <w:tcW w:w="4536" w:type="dxa"/>
          </w:tcPr>
          <w:p w14:paraId="4B7E16AC" w14:textId="77777777" w:rsidR="00C40675" w:rsidRPr="004D7F24" w:rsidRDefault="00C40675" w:rsidP="004A078B">
            <w:pPr>
              <w:spacing w:before="20" w:after="20"/>
              <w:jc w:val="center"/>
              <w:rPr>
                <w:b/>
                <w:noProof/>
                <w:sz w:val="22"/>
                <w:szCs w:val="22"/>
                <w:lang w:val="en-IE"/>
              </w:rPr>
            </w:pPr>
            <w:r w:rsidRPr="004D7F24">
              <w:rPr>
                <w:b/>
                <w:noProof/>
                <w:sz w:val="22"/>
                <w:szCs w:val="22"/>
                <w:lang w:val="en-IE"/>
              </w:rPr>
              <w:t>Indicators</w:t>
            </w:r>
          </w:p>
        </w:tc>
        <w:tc>
          <w:tcPr>
            <w:tcW w:w="1417" w:type="dxa"/>
          </w:tcPr>
          <w:p w14:paraId="3F38A179" w14:textId="77777777" w:rsidR="00C40675" w:rsidRPr="004D7F24" w:rsidRDefault="00C40675" w:rsidP="004A078B">
            <w:pPr>
              <w:spacing w:before="20" w:after="20"/>
              <w:jc w:val="center"/>
              <w:rPr>
                <w:b/>
                <w:noProof/>
                <w:sz w:val="22"/>
                <w:szCs w:val="22"/>
                <w:lang w:val="en-IE"/>
              </w:rPr>
            </w:pPr>
            <w:r w:rsidRPr="004D7F24">
              <w:rPr>
                <w:b/>
                <w:noProof/>
                <w:sz w:val="22"/>
                <w:szCs w:val="22"/>
                <w:lang w:val="en-IE"/>
              </w:rPr>
              <w:t>Sources of information</w:t>
            </w:r>
          </w:p>
        </w:tc>
      </w:tr>
      <w:tr w:rsidR="00C40675" w:rsidRPr="008B073C" w14:paraId="775596D0" w14:textId="77777777" w:rsidTr="006A6366">
        <w:tc>
          <w:tcPr>
            <w:tcW w:w="2694" w:type="dxa"/>
          </w:tcPr>
          <w:p w14:paraId="1CA68274" w14:textId="77777777" w:rsidR="00C40675" w:rsidRPr="004D7F24" w:rsidRDefault="00C40675" w:rsidP="004A078B">
            <w:pPr>
              <w:spacing w:after="120"/>
              <w:jc w:val="both"/>
              <w:rPr>
                <w:noProof/>
                <w:sz w:val="22"/>
                <w:szCs w:val="22"/>
              </w:rPr>
            </w:pPr>
            <w:r w:rsidRPr="004D7F24">
              <w:rPr>
                <w:rFonts w:eastAsiaTheme="minorHAnsi" w:cstheme="minorBidi"/>
                <w:noProof/>
                <w:sz w:val="22"/>
                <w:szCs w:val="22"/>
              </w:rPr>
              <w:t>Continue to ensure the functioning of the internal market, free movement of goods and undistorted competition between market operators</w:t>
            </w:r>
          </w:p>
          <w:p w14:paraId="3AE753D0" w14:textId="77777777" w:rsidR="00C40675" w:rsidRPr="004D7F24" w:rsidRDefault="00C40675" w:rsidP="004A078B">
            <w:pPr>
              <w:spacing w:before="20" w:after="20"/>
              <w:rPr>
                <w:bCs/>
                <w:noProof/>
                <w:sz w:val="22"/>
                <w:szCs w:val="22"/>
              </w:rPr>
            </w:pPr>
          </w:p>
        </w:tc>
        <w:tc>
          <w:tcPr>
            <w:tcW w:w="4536" w:type="dxa"/>
          </w:tcPr>
          <w:p w14:paraId="57872AD4" w14:textId="77777777" w:rsidR="00C40675" w:rsidRPr="004D7F24" w:rsidRDefault="00C40675" w:rsidP="004A078B">
            <w:pPr>
              <w:spacing w:before="20" w:after="20"/>
              <w:rPr>
                <w:noProof/>
                <w:sz w:val="22"/>
                <w:szCs w:val="22"/>
                <w:lang w:val="en-IE"/>
              </w:rPr>
            </w:pPr>
            <w:r>
              <w:rPr>
                <w:noProof/>
                <w:sz w:val="22"/>
                <w:szCs w:val="22"/>
                <w:lang w:val="en-IE"/>
              </w:rPr>
              <w:t>Uniformity of</w:t>
            </w:r>
            <w:r w:rsidRPr="004D7F24">
              <w:rPr>
                <w:noProof/>
                <w:sz w:val="22"/>
                <w:szCs w:val="22"/>
                <w:lang w:val="en-IE"/>
              </w:rPr>
              <w:t xml:space="preserve"> transposition of the PLD in </w:t>
            </w:r>
            <w:r>
              <w:rPr>
                <w:noProof/>
                <w:sz w:val="22"/>
                <w:szCs w:val="22"/>
                <w:lang w:val="en-IE"/>
              </w:rPr>
              <w:t>the Member States</w:t>
            </w:r>
          </w:p>
          <w:p w14:paraId="7782DFCD" w14:textId="77777777" w:rsidR="00C40675" w:rsidRPr="004D7F24" w:rsidRDefault="00C40675" w:rsidP="004A078B">
            <w:pPr>
              <w:spacing w:before="20" w:after="20"/>
              <w:rPr>
                <w:noProof/>
                <w:sz w:val="22"/>
                <w:szCs w:val="22"/>
                <w:lang w:val="en-IE"/>
              </w:rPr>
            </w:pPr>
          </w:p>
          <w:p w14:paraId="72D0C50A" w14:textId="77777777" w:rsidR="00C40675" w:rsidRPr="004D7F24" w:rsidRDefault="00C40675" w:rsidP="004A078B">
            <w:pPr>
              <w:spacing w:before="20" w:after="20"/>
              <w:rPr>
                <w:noProof/>
                <w:sz w:val="22"/>
                <w:szCs w:val="22"/>
                <w:lang w:val="en-IE"/>
              </w:rPr>
            </w:pPr>
            <w:r w:rsidRPr="004D7F24">
              <w:rPr>
                <w:noProof/>
                <w:sz w:val="22"/>
                <w:szCs w:val="22"/>
                <w:lang w:val="en-IE"/>
              </w:rPr>
              <w:t>Perceived increased legal certainty and reduced legal fragmentation</w:t>
            </w:r>
          </w:p>
          <w:p w14:paraId="4E23FD5A" w14:textId="77777777" w:rsidR="00C40675" w:rsidRPr="004D7F24" w:rsidRDefault="00C40675" w:rsidP="004A078B">
            <w:pPr>
              <w:spacing w:before="20" w:after="20"/>
              <w:rPr>
                <w:noProof/>
                <w:sz w:val="22"/>
                <w:szCs w:val="22"/>
                <w:lang w:val="en-IE"/>
              </w:rPr>
            </w:pPr>
          </w:p>
          <w:p w14:paraId="55BB551D" w14:textId="77777777" w:rsidR="00C40675" w:rsidRPr="004D7F24" w:rsidRDefault="00C40675" w:rsidP="004A078B">
            <w:pPr>
              <w:spacing w:before="20" w:after="20"/>
              <w:rPr>
                <w:noProof/>
                <w:sz w:val="22"/>
                <w:szCs w:val="22"/>
                <w:lang w:val="en-IE"/>
              </w:rPr>
            </w:pPr>
            <w:r>
              <w:rPr>
                <w:noProof/>
                <w:sz w:val="22"/>
                <w:szCs w:val="22"/>
                <w:lang w:val="en-IE"/>
              </w:rPr>
              <w:t>Changes in level of liability insurance premiums attributable to PLD</w:t>
            </w:r>
            <w:r w:rsidRPr="004D7F24">
              <w:rPr>
                <w:noProof/>
                <w:sz w:val="22"/>
                <w:szCs w:val="22"/>
                <w:lang w:val="en-IE"/>
              </w:rPr>
              <w:t xml:space="preserve"> </w:t>
            </w:r>
          </w:p>
        </w:tc>
        <w:tc>
          <w:tcPr>
            <w:tcW w:w="1417" w:type="dxa"/>
          </w:tcPr>
          <w:p w14:paraId="0EBD1733" w14:textId="77777777" w:rsidR="00C40675" w:rsidRPr="004D7F24" w:rsidRDefault="00C40675" w:rsidP="004A078B">
            <w:pPr>
              <w:spacing w:before="20" w:after="20"/>
              <w:rPr>
                <w:noProof/>
                <w:sz w:val="22"/>
                <w:szCs w:val="22"/>
                <w:lang w:val="en-IE"/>
              </w:rPr>
            </w:pPr>
            <w:r w:rsidRPr="004D7F24">
              <w:rPr>
                <w:noProof/>
                <w:sz w:val="22"/>
                <w:szCs w:val="22"/>
                <w:lang w:val="en-IE"/>
              </w:rPr>
              <w:t>Transposition checks</w:t>
            </w:r>
          </w:p>
          <w:p w14:paraId="072FB4F4" w14:textId="77777777" w:rsidR="00C40675" w:rsidRPr="004D7F24" w:rsidRDefault="00C40675" w:rsidP="004A078B">
            <w:pPr>
              <w:spacing w:before="20" w:after="20"/>
              <w:rPr>
                <w:noProof/>
                <w:sz w:val="22"/>
                <w:szCs w:val="22"/>
                <w:lang w:val="en-IE"/>
              </w:rPr>
            </w:pPr>
            <w:r w:rsidRPr="004D7F24">
              <w:rPr>
                <w:noProof/>
                <w:sz w:val="22"/>
                <w:szCs w:val="22"/>
                <w:lang w:val="en-IE"/>
              </w:rPr>
              <w:t>Study/ consultation of stakeholders</w:t>
            </w:r>
          </w:p>
          <w:p w14:paraId="4C3DBBAC" w14:textId="77777777" w:rsidR="00C40675" w:rsidRPr="004D7F24" w:rsidRDefault="00C40675" w:rsidP="004A078B">
            <w:pPr>
              <w:spacing w:before="20" w:after="20"/>
              <w:rPr>
                <w:noProof/>
                <w:sz w:val="22"/>
                <w:szCs w:val="22"/>
                <w:lang w:val="en-IE"/>
              </w:rPr>
            </w:pPr>
          </w:p>
        </w:tc>
      </w:tr>
      <w:tr w:rsidR="00C40675" w:rsidRPr="008B073C" w14:paraId="78C75BE4" w14:textId="77777777" w:rsidTr="006A6366">
        <w:tc>
          <w:tcPr>
            <w:tcW w:w="2694" w:type="dxa"/>
          </w:tcPr>
          <w:p w14:paraId="2987A7E5" w14:textId="77777777" w:rsidR="00C40675" w:rsidRPr="004D7F24" w:rsidRDefault="00C40675" w:rsidP="004A078B">
            <w:pPr>
              <w:spacing w:before="20" w:after="20"/>
              <w:rPr>
                <w:noProof/>
                <w:sz w:val="22"/>
                <w:szCs w:val="22"/>
                <w:lang w:val="en-IE"/>
              </w:rPr>
            </w:pPr>
            <w:r w:rsidRPr="004D7F24">
              <w:rPr>
                <w:noProof/>
                <w:sz w:val="22"/>
                <w:szCs w:val="22"/>
              </w:rPr>
              <w:t>Adapt PLD to reflect nature and risks of products in the digital age</w:t>
            </w:r>
          </w:p>
        </w:tc>
        <w:tc>
          <w:tcPr>
            <w:tcW w:w="4536" w:type="dxa"/>
          </w:tcPr>
          <w:p w14:paraId="5440B942" w14:textId="37AB50D9" w:rsidR="00C40675" w:rsidRPr="004D7F24" w:rsidRDefault="00C40675" w:rsidP="004A078B">
            <w:pPr>
              <w:spacing w:before="20" w:after="20"/>
              <w:rPr>
                <w:noProof/>
                <w:sz w:val="22"/>
                <w:szCs w:val="22"/>
                <w:lang w:val="en-IE"/>
              </w:rPr>
            </w:pPr>
            <w:r w:rsidRPr="004D7F24">
              <w:rPr>
                <w:noProof/>
                <w:sz w:val="22"/>
                <w:szCs w:val="22"/>
                <w:lang w:val="en-IE"/>
              </w:rPr>
              <w:t xml:space="preserve">Number of </w:t>
            </w:r>
            <w:r>
              <w:rPr>
                <w:noProof/>
                <w:sz w:val="22"/>
                <w:szCs w:val="22"/>
                <w:lang w:val="en-IE"/>
              </w:rPr>
              <w:t>court cases</w:t>
            </w:r>
            <w:r>
              <w:rPr>
                <w:rStyle w:val="FootnoteReference"/>
                <w:noProof/>
                <w:sz w:val="22"/>
                <w:szCs w:val="22"/>
                <w:lang w:val="en-IE"/>
              </w:rPr>
              <w:footnoteReference w:id="336"/>
            </w:r>
            <w:r>
              <w:rPr>
                <w:noProof/>
                <w:sz w:val="22"/>
                <w:szCs w:val="22"/>
                <w:lang w:val="en-IE"/>
              </w:rPr>
              <w:t xml:space="preserve"> </w:t>
            </w:r>
            <w:r w:rsidRPr="004D7F24">
              <w:rPr>
                <w:noProof/>
                <w:sz w:val="22"/>
                <w:szCs w:val="22"/>
                <w:lang w:val="en-IE"/>
              </w:rPr>
              <w:t>concerning digital products based on the PLD</w:t>
            </w:r>
            <w:r w:rsidR="00402CDB">
              <w:rPr>
                <w:noProof/>
                <w:sz w:val="22"/>
                <w:szCs w:val="22"/>
                <w:lang w:val="en-IE"/>
              </w:rPr>
              <w:t xml:space="preserve"> </w:t>
            </w:r>
            <w:r w:rsidRPr="004D7F24">
              <w:rPr>
                <w:noProof/>
                <w:sz w:val="22"/>
                <w:szCs w:val="22"/>
                <w:lang w:val="en-IE"/>
              </w:rPr>
              <w:t>in particular claims against software producers</w:t>
            </w:r>
          </w:p>
          <w:p w14:paraId="520FF43D" w14:textId="77777777" w:rsidR="00C40675" w:rsidRPr="004D7F24" w:rsidRDefault="00C40675" w:rsidP="004A078B">
            <w:pPr>
              <w:spacing w:before="20" w:after="20"/>
              <w:rPr>
                <w:noProof/>
                <w:sz w:val="22"/>
                <w:szCs w:val="22"/>
                <w:lang w:val="en-IE"/>
              </w:rPr>
            </w:pPr>
            <w:r w:rsidRPr="004D7F24">
              <w:rPr>
                <w:noProof/>
                <w:sz w:val="22"/>
                <w:szCs w:val="22"/>
                <w:lang w:val="en-IE"/>
              </w:rPr>
              <w:t xml:space="preserve">Number of reported safety problems with products due to the lack of </w:t>
            </w:r>
            <w:r>
              <w:rPr>
                <w:noProof/>
                <w:sz w:val="22"/>
                <w:szCs w:val="22"/>
                <w:lang w:val="en-IE"/>
              </w:rPr>
              <w:t xml:space="preserve">security updates of </w:t>
            </w:r>
            <w:r w:rsidRPr="004D7F24">
              <w:rPr>
                <w:noProof/>
                <w:sz w:val="22"/>
                <w:szCs w:val="22"/>
                <w:lang w:val="en-IE"/>
              </w:rPr>
              <w:t xml:space="preserve">software </w:t>
            </w:r>
          </w:p>
        </w:tc>
        <w:tc>
          <w:tcPr>
            <w:tcW w:w="1417" w:type="dxa"/>
          </w:tcPr>
          <w:p w14:paraId="4919AB24" w14:textId="77777777" w:rsidR="00C40675" w:rsidRPr="004D7F24" w:rsidRDefault="00C40675" w:rsidP="004A078B">
            <w:pPr>
              <w:spacing w:before="20" w:after="20"/>
              <w:rPr>
                <w:noProof/>
                <w:sz w:val="22"/>
                <w:szCs w:val="22"/>
                <w:lang w:val="en-IE"/>
              </w:rPr>
            </w:pPr>
            <w:r w:rsidRPr="004D7F24">
              <w:rPr>
                <w:noProof/>
                <w:sz w:val="22"/>
                <w:szCs w:val="22"/>
                <w:lang w:val="en-IE"/>
              </w:rPr>
              <w:t xml:space="preserve">Study/ desk research/ MS reporting </w:t>
            </w:r>
          </w:p>
        </w:tc>
      </w:tr>
      <w:tr w:rsidR="00C40675" w:rsidRPr="008B073C" w14:paraId="68113B7B" w14:textId="77777777" w:rsidTr="006A6366">
        <w:tc>
          <w:tcPr>
            <w:tcW w:w="2694" w:type="dxa"/>
          </w:tcPr>
          <w:p w14:paraId="131D358A" w14:textId="77777777" w:rsidR="00C40675" w:rsidRPr="004D7F24" w:rsidRDefault="00C40675" w:rsidP="004A078B">
            <w:pPr>
              <w:spacing w:before="20" w:after="20"/>
              <w:rPr>
                <w:noProof/>
                <w:sz w:val="22"/>
                <w:szCs w:val="22"/>
                <w:lang w:val="en-IE"/>
              </w:rPr>
            </w:pPr>
            <w:r w:rsidRPr="004D7F24">
              <w:rPr>
                <w:noProof/>
                <w:sz w:val="22"/>
                <w:szCs w:val="22"/>
              </w:rPr>
              <w:t>Adapt the PLD to reflect the nature of products in the circular economy</w:t>
            </w:r>
          </w:p>
        </w:tc>
        <w:tc>
          <w:tcPr>
            <w:tcW w:w="4536" w:type="dxa"/>
          </w:tcPr>
          <w:p w14:paraId="629B9E69" w14:textId="074572D1" w:rsidR="00C40675" w:rsidRPr="004D7F24" w:rsidRDefault="00C40675" w:rsidP="00C23171">
            <w:pPr>
              <w:spacing w:before="20" w:after="20"/>
              <w:rPr>
                <w:noProof/>
                <w:sz w:val="22"/>
                <w:szCs w:val="22"/>
                <w:lang w:val="en-IE"/>
              </w:rPr>
            </w:pPr>
            <w:r>
              <w:rPr>
                <w:noProof/>
                <w:sz w:val="22"/>
                <w:szCs w:val="22"/>
                <w:lang w:val="en-IE"/>
              </w:rPr>
              <w:t>Perceived increase in legal certainty among stakeholders</w:t>
            </w:r>
          </w:p>
        </w:tc>
        <w:tc>
          <w:tcPr>
            <w:tcW w:w="1417" w:type="dxa"/>
          </w:tcPr>
          <w:p w14:paraId="07191397" w14:textId="77777777" w:rsidR="00C40675" w:rsidRPr="004D7F24" w:rsidRDefault="00C40675" w:rsidP="004A078B">
            <w:pPr>
              <w:spacing w:before="20" w:after="20"/>
              <w:rPr>
                <w:noProof/>
                <w:sz w:val="22"/>
                <w:szCs w:val="22"/>
                <w:lang w:val="en-IE"/>
              </w:rPr>
            </w:pPr>
            <w:r w:rsidRPr="004D7F24">
              <w:rPr>
                <w:noProof/>
                <w:sz w:val="22"/>
                <w:szCs w:val="22"/>
                <w:lang w:val="en-IE"/>
              </w:rPr>
              <w:t>Study/ desk research/ MS reporting</w:t>
            </w:r>
          </w:p>
        </w:tc>
      </w:tr>
      <w:tr w:rsidR="00C40675" w:rsidRPr="008B073C" w14:paraId="44BB3E66" w14:textId="77777777" w:rsidTr="006A6366">
        <w:tc>
          <w:tcPr>
            <w:tcW w:w="2694" w:type="dxa"/>
          </w:tcPr>
          <w:p w14:paraId="7823BD4A" w14:textId="77777777" w:rsidR="00C40675" w:rsidRPr="004D7F24" w:rsidRDefault="00C40675" w:rsidP="004A078B">
            <w:pPr>
              <w:spacing w:before="20" w:after="20"/>
              <w:rPr>
                <w:noProof/>
                <w:sz w:val="22"/>
                <w:szCs w:val="22"/>
                <w:lang w:val="en-IE"/>
              </w:rPr>
            </w:pPr>
            <w:r w:rsidRPr="004D7F24">
              <w:rPr>
                <w:noProof/>
                <w:sz w:val="22"/>
                <w:szCs w:val="22"/>
              </w:rPr>
              <w:t>Ensure there is always an EU-based liable person for defective products bought in the EU</w:t>
            </w:r>
          </w:p>
        </w:tc>
        <w:tc>
          <w:tcPr>
            <w:tcW w:w="4536" w:type="dxa"/>
          </w:tcPr>
          <w:p w14:paraId="0E21B766" w14:textId="77777777" w:rsidR="00C40675" w:rsidRPr="004D7F24" w:rsidRDefault="00C40675" w:rsidP="004A078B">
            <w:pPr>
              <w:spacing w:before="20" w:after="20"/>
              <w:rPr>
                <w:noProof/>
                <w:sz w:val="22"/>
                <w:szCs w:val="22"/>
              </w:rPr>
            </w:pPr>
            <w:r>
              <w:rPr>
                <w:noProof/>
                <w:sz w:val="22"/>
                <w:szCs w:val="22"/>
              </w:rPr>
              <w:t xml:space="preserve">Ability of consumers to get compensation from </w:t>
            </w:r>
            <w:r w:rsidRPr="004D7F24">
              <w:rPr>
                <w:noProof/>
                <w:sz w:val="22"/>
                <w:szCs w:val="22"/>
              </w:rPr>
              <w:t>authorised representative</w:t>
            </w:r>
            <w:r>
              <w:rPr>
                <w:noProof/>
                <w:sz w:val="22"/>
                <w:szCs w:val="22"/>
              </w:rPr>
              <w:t>s/fulfilment service providers (number of cases)</w:t>
            </w:r>
            <w:r w:rsidRPr="004D7F24">
              <w:rPr>
                <w:noProof/>
                <w:sz w:val="22"/>
                <w:szCs w:val="22"/>
              </w:rPr>
              <w:t xml:space="preserve"> </w:t>
            </w:r>
          </w:p>
          <w:p w14:paraId="3E856CBE" w14:textId="77777777" w:rsidR="00C40675" w:rsidRPr="004D7F24" w:rsidRDefault="00C40675" w:rsidP="004A078B">
            <w:pPr>
              <w:spacing w:before="20" w:after="20"/>
              <w:rPr>
                <w:noProof/>
                <w:sz w:val="22"/>
                <w:szCs w:val="22"/>
              </w:rPr>
            </w:pPr>
            <w:r w:rsidRPr="004D7F24">
              <w:rPr>
                <w:noProof/>
                <w:sz w:val="22"/>
                <w:szCs w:val="22"/>
              </w:rPr>
              <w:t>Number of claims rejected due to the lack of liable person for 3</w:t>
            </w:r>
            <w:r w:rsidRPr="004D7F24">
              <w:rPr>
                <w:noProof/>
                <w:sz w:val="22"/>
                <w:szCs w:val="22"/>
                <w:vertAlign w:val="superscript"/>
              </w:rPr>
              <w:t>rd</w:t>
            </w:r>
            <w:r w:rsidRPr="004D7F24">
              <w:rPr>
                <w:noProof/>
                <w:sz w:val="22"/>
                <w:szCs w:val="22"/>
              </w:rPr>
              <w:t xml:space="preserve"> country products </w:t>
            </w:r>
          </w:p>
        </w:tc>
        <w:tc>
          <w:tcPr>
            <w:tcW w:w="1417" w:type="dxa"/>
          </w:tcPr>
          <w:p w14:paraId="1FA980B4" w14:textId="77777777" w:rsidR="00C40675" w:rsidRPr="004D7F24" w:rsidRDefault="00C40675" w:rsidP="004A078B">
            <w:pPr>
              <w:spacing w:before="20" w:after="20"/>
              <w:rPr>
                <w:noProof/>
                <w:sz w:val="22"/>
                <w:szCs w:val="22"/>
              </w:rPr>
            </w:pPr>
            <w:r w:rsidRPr="004D7F24">
              <w:rPr>
                <w:noProof/>
                <w:sz w:val="22"/>
                <w:szCs w:val="22"/>
                <w:lang w:val="en-IE"/>
              </w:rPr>
              <w:t>Study/ desk research/ / MS reporting</w:t>
            </w:r>
          </w:p>
        </w:tc>
      </w:tr>
      <w:tr w:rsidR="00C40675" w:rsidRPr="008B073C" w14:paraId="55B8389A" w14:textId="77777777" w:rsidTr="006A6366">
        <w:tc>
          <w:tcPr>
            <w:tcW w:w="2694" w:type="dxa"/>
          </w:tcPr>
          <w:p w14:paraId="5E55B40E" w14:textId="77777777" w:rsidR="00C40675" w:rsidRPr="004D7F24" w:rsidRDefault="00C40675" w:rsidP="004A078B">
            <w:pPr>
              <w:spacing w:before="20" w:after="20"/>
              <w:rPr>
                <w:noProof/>
                <w:sz w:val="22"/>
                <w:szCs w:val="22"/>
              </w:rPr>
            </w:pPr>
            <w:r w:rsidRPr="004D7F24">
              <w:rPr>
                <w:noProof/>
                <w:sz w:val="22"/>
                <w:szCs w:val="22"/>
              </w:rPr>
              <w:t>Ease the burden of proof in the case of complex products and clarify liability for undiscoverable defects, while ensuring fair balance between producers and consumers</w:t>
            </w:r>
          </w:p>
        </w:tc>
        <w:tc>
          <w:tcPr>
            <w:tcW w:w="4536" w:type="dxa"/>
          </w:tcPr>
          <w:p w14:paraId="18E97799" w14:textId="77777777" w:rsidR="00C40675" w:rsidRDefault="00C40675" w:rsidP="004A078B">
            <w:pPr>
              <w:spacing w:before="20" w:after="20"/>
              <w:rPr>
                <w:noProof/>
                <w:sz w:val="22"/>
                <w:szCs w:val="22"/>
                <w:lang w:val="en-IE"/>
              </w:rPr>
            </w:pPr>
            <w:r>
              <w:rPr>
                <w:noProof/>
                <w:sz w:val="22"/>
                <w:szCs w:val="22"/>
                <w:lang w:val="en-IE"/>
              </w:rPr>
              <w:t>- ability of claimants to obtain necessary information in court</w:t>
            </w:r>
          </w:p>
          <w:p w14:paraId="4F9DDB62" w14:textId="77777777" w:rsidR="00C40675" w:rsidRPr="004D7F24" w:rsidRDefault="00C40675" w:rsidP="004A078B">
            <w:pPr>
              <w:spacing w:before="20" w:after="20"/>
              <w:rPr>
                <w:noProof/>
                <w:sz w:val="22"/>
                <w:szCs w:val="22"/>
                <w:lang w:val="en-IE"/>
              </w:rPr>
            </w:pPr>
            <w:r w:rsidRPr="004D7F24">
              <w:rPr>
                <w:noProof/>
                <w:sz w:val="22"/>
                <w:szCs w:val="22"/>
                <w:lang w:val="en-IE"/>
              </w:rPr>
              <w:t>-</w:t>
            </w:r>
            <w:r>
              <w:rPr>
                <w:noProof/>
                <w:sz w:val="22"/>
                <w:szCs w:val="22"/>
                <w:lang w:val="en-IE"/>
              </w:rPr>
              <w:t xml:space="preserve">frequency of </w:t>
            </w:r>
            <w:r w:rsidRPr="004D7F24">
              <w:rPr>
                <w:noProof/>
                <w:sz w:val="22"/>
                <w:szCs w:val="22"/>
                <w:lang w:val="en-IE"/>
              </w:rPr>
              <w:t xml:space="preserve">use by courts of presumptions </w:t>
            </w:r>
            <w:r>
              <w:rPr>
                <w:noProof/>
                <w:sz w:val="22"/>
                <w:szCs w:val="22"/>
                <w:lang w:val="en-IE"/>
              </w:rPr>
              <w:t xml:space="preserve">provided for in PLD </w:t>
            </w:r>
          </w:p>
          <w:p w14:paraId="75F61E48" w14:textId="77777777" w:rsidR="00C40675" w:rsidRPr="004D7F24" w:rsidRDefault="00C40675" w:rsidP="004A078B">
            <w:pPr>
              <w:spacing w:before="20" w:after="20"/>
              <w:rPr>
                <w:noProof/>
                <w:sz w:val="22"/>
                <w:szCs w:val="22"/>
                <w:lang w:val="en-IE"/>
              </w:rPr>
            </w:pPr>
            <w:r w:rsidRPr="004D7F24">
              <w:rPr>
                <w:noProof/>
                <w:sz w:val="22"/>
                <w:szCs w:val="22"/>
                <w:lang w:val="en-IE"/>
              </w:rPr>
              <w:t xml:space="preserve">- </w:t>
            </w:r>
            <w:r>
              <w:rPr>
                <w:noProof/>
                <w:sz w:val="22"/>
                <w:szCs w:val="22"/>
                <w:lang w:val="en-IE"/>
              </w:rPr>
              <w:t xml:space="preserve">reduction in </w:t>
            </w:r>
            <w:r w:rsidRPr="004D7F24">
              <w:rPr>
                <w:noProof/>
                <w:sz w:val="22"/>
                <w:szCs w:val="22"/>
                <w:lang w:val="en-IE"/>
              </w:rPr>
              <w:t>perceived difficulties for victims claiming compensation</w:t>
            </w:r>
          </w:p>
          <w:p w14:paraId="7DF4AEA2" w14:textId="77777777" w:rsidR="00C40675" w:rsidRPr="004D7F24" w:rsidRDefault="00C40675" w:rsidP="004A078B">
            <w:pPr>
              <w:spacing w:before="20" w:after="20"/>
              <w:rPr>
                <w:noProof/>
                <w:sz w:val="22"/>
                <w:szCs w:val="22"/>
                <w:lang w:val="en-IE"/>
              </w:rPr>
            </w:pPr>
          </w:p>
          <w:p w14:paraId="2EDC6E12" w14:textId="77777777" w:rsidR="00C40675" w:rsidRPr="004D7F24" w:rsidRDefault="00C40675" w:rsidP="004A078B">
            <w:pPr>
              <w:spacing w:before="20" w:after="20"/>
              <w:rPr>
                <w:noProof/>
                <w:sz w:val="22"/>
                <w:szCs w:val="22"/>
                <w:lang w:val="en-IE"/>
              </w:rPr>
            </w:pPr>
            <w:r w:rsidRPr="004D7F24">
              <w:rPr>
                <w:noProof/>
                <w:sz w:val="22"/>
                <w:szCs w:val="22"/>
                <w:lang w:val="en-IE"/>
              </w:rPr>
              <w:t>- perceived balance between producers and consumers interests</w:t>
            </w:r>
          </w:p>
        </w:tc>
        <w:tc>
          <w:tcPr>
            <w:tcW w:w="1417" w:type="dxa"/>
          </w:tcPr>
          <w:p w14:paraId="59776DB2" w14:textId="77777777" w:rsidR="00C40675" w:rsidRPr="004D7F24" w:rsidRDefault="00C40675" w:rsidP="004A078B">
            <w:pPr>
              <w:spacing w:before="20" w:after="20"/>
              <w:rPr>
                <w:noProof/>
                <w:sz w:val="22"/>
                <w:szCs w:val="22"/>
                <w:lang w:val="en-IE"/>
              </w:rPr>
            </w:pPr>
            <w:r w:rsidRPr="004D7F24">
              <w:rPr>
                <w:noProof/>
                <w:sz w:val="22"/>
                <w:szCs w:val="22"/>
                <w:lang w:val="en-IE"/>
              </w:rPr>
              <w:t>Study/ MS reporting</w:t>
            </w:r>
            <w:r>
              <w:rPr>
                <w:noProof/>
                <w:sz w:val="22"/>
                <w:szCs w:val="22"/>
                <w:lang w:val="en-IE"/>
              </w:rPr>
              <w:t xml:space="preserve"> /</w:t>
            </w:r>
            <w:r w:rsidRPr="004D7F24">
              <w:rPr>
                <w:noProof/>
                <w:sz w:val="22"/>
                <w:szCs w:val="22"/>
                <w:lang w:val="en-IE"/>
              </w:rPr>
              <w:t>consultation of stakeholders</w:t>
            </w:r>
          </w:p>
        </w:tc>
      </w:tr>
      <w:tr w:rsidR="00C40675" w:rsidRPr="008B073C" w14:paraId="5E935F96" w14:textId="77777777" w:rsidTr="006A6366">
        <w:trPr>
          <w:trHeight w:val="1109"/>
        </w:trPr>
        <w:tc>
          <w:tcPr>
            <w:tcW w:w="2694" w:type="dxa"/>
          </w:tcPr>
          <w:p w14:paraId="17605E37" w14:textId="77777777" w:rsidR="00C40675" w:rsidRPr="004D7F24" w:rsidRDefault="00C40675" w:rsidP="004A078B">
            <w:pPr>
              <w:spacing w:before="20" w:after="20"/>
              <w:rPr>
                <w:bCs/>
                <w:noProof/>
                <w:sz w:val="22"/>
                <w:szCs w:val="22"/>
              </w:rPr>
            </w:pPr>
            <w:r w:rsidRPr="004D7F24">
              <w:rPr>
                <w:noProof/>
                <w:sz w:val="22"/>
                <w:szCs w:val="22"/>
              </w:rPr>
              <w:t>Ease restrictions on making claims, while ensuring fair balance between producers and consumers</w:t>
            </w:r>
          </w:p>
        </w:tc>
        <w:tc>
          <w:tcPr>
            <w:tcW w:w="4536" w:type="dxa"/>
          </w:tcPr>
          <w:p w14:paraId="670B1787" w14:textId="77777777" w:rsidR="00C40675" w:rsidRPr="004D7F24" w:rsidRDefault="00C40675" w:rsidP="004A078B">
            <w:pPr>
              <w:spacing w:before="20" w:after="20"/>
              <w:rPr>
                <w:noProof/>
                <w:sz w:val="22"/>
                <w:szCs w:val="22"/>
                <w:lang w:val="en-IE"/>
              </w:rPr>
            </w:pPr>
            <w:r w:rsidRPr="004D7F24">
              <w:rPr>
                <w:noProof/>
                <w:sz w:val="22"/>
                <w:szCs w:val="22"/>
                <w:lang w:val="en-IE"/>
              </w:rPr>
              <w:t>-</w:t>
            </w:r>
            <w:r>
              <w:rPr>
                <w:noProof/>
                <w:sz w:val="22"/>
                <w:szCs w:val="22"/>
                <w:lang w:val="en-IE"/>
              </w:rPr>
              <w:t xml:space="preserve"> </w:t>
            </w:r>
            <w:r w:rsidRPr="004D7F24">
              <w:rPr>
                <w:noProof/>
                <w:sz w:val="22"/>
                <w:szCs w:val="22"/>
                <w:lang w:val="en-IE"/>
              </w:rPr>
              <w:t>number of claims for damages below 500 EUR</w:t>
            </w:r>
          </w:p>
          <w:p w14:paraId="256CC2A1" w14:textId="0F163F53" w:rsidR="00C40675" w:rsidRPr="004D7F24" w:rsidRDefault="00C40675" w:rsidP="004A078B">
            <w:pPr>
              <w:spacing w:before="20" w:after="20"/>
              <w:rPr>
                <w:noProof/>
                <w:sz w:val="22"/>
                <w:szCs w:val="22"/>
                <w:lang w:val="en-IE"/>
              </w:rPr>
            </w:pPr>
            <w:r w:rsidRPr="004D7F24">
              <w:rPr>
                <w:noProof/>
                <w:sz w:val="22"/>
                <w:szCs w:val="22"/>
                <w:lang w:val="en-IE"/>
              </w:rPr>
              <w:t xml:space="preserve">- number of claims in the period between 10 </w:t>
            </w:r>
            <w:r w:rsidR="00A0262F" w:rsidRPr="008812F8">
              <w:rPr>
                <w:noProof/>
                <w:sz w:val="22"/>
                <w:szCs w:val="22"/>
                <w:lang w:val="en-IE"/>
              </w:rPr>
              <w:t>15</w:t>
            </w:r>
            <w:r w:rsidRPr="008812F8">
              <w:rPr>
                <w:noProof/>
                <w:lang w:val="en-IE"/>
              </w:rPr>
              <w:t xml:space="preserve"> years</w:t>
            </w:r>
            <w:r w:rsidRPr="004D7F24">
              <w:rPr>
                <w:noProof/>
                <w:sz w:val="22"/>
                <w:szCs w:val="22"/>
                <w:lang w:val="en-IE"/>
              </w:rPr>
              <w:t xml:space="preserve"> after putting the product in circulation</w:t>
            </w:r>
            <w:r>
              <w:rPr>
                <w:noProof/>
                <w:sz w:val="22"/>
                <w:szCs w:val="22"/>
                <w:lang w:val="en-IE"/>
              </w:rPr>
              <w:t xml:space="preserve"> (for latent personal injury)</w:t>
            </w:r>
          </w:p>
        </w:tc>
        <w:tc>
          <w:tcPr>
            <w:tcW w:w="1417" w:type="dxa"/>
          </w:tcPr>
          <w:p w14:paraId="58736916" w14:textId="77777777" w:rsidR="00C40675" w:rsidRPr="004D7F24" w:rsidRDefault="00C40675" w:rsidP="004A078B">
            <w:pPr>
              <w:spacing w:before="20" w:after="20"/>
              <w:rPr>
                <w:noProof/>
                <w:sz w:val="22"/>
                <w:szCs w:val="22"/>
                <w:lang w:val="en-IE"/>
              </w:rPr>
            </w:pPr>
            <w:r w:rsidRPr="004D7F24">
              <w:rPr>
                <w:noProof/>
                <w:sz w:val="22"/>
                <w:szCs w:val="22"/>
                <w:lang w:val="en-IE"/>
              </w:rPr>
              <w:t xml:space="preserve">Study/ </w:t>
            </w:r>
            <w:r>
              <w:rPr>
                <w:noProof/>
                <w:sz w:val="22"/>
                <w:szCs w:val="22"/>
                <w:lang w:val="en-IE"/>
              </w:rPr>
              <w:t>MS reporting</w:t>
            </w:r>
          </w:p>
        </w:tc>
      </w:tr>
    </w:tbl>
    <w:p w14:paraId="6B7F1C6C" w14:textId="6EAE1795" w:rsidR="00A417E7" w:rsidRDefault="00A417E7" w:rsidP="006A6366">
      <w:pPr>
        <w:jc w:val="both"/>
        <w:rPr>
          <w:i/>
          <w:noProof/>
        </w:rPr>
      </w:pPr>
      <w:r>
        <w:rPr>
          <w:i/>
          <w:noProof/>
        </w:rPr>
        <w:br w:type="page"/>
      </w:r>
    </w:p>
    <w:p w14:paraId="27CB8F44" w14:textId="48F1FD71" w:rsidR="00D20FD1" w:rsidRDefault="00A417E7" w:rsidP="00884383">
      <w:pPr>
        <w:pStyle w:val="AnnexTitle"/>
        <w:spacing w:after="360"/>
        <w:jc w:val="both"/>
        <w:rPr>
          <w:noProof/>
        </w:rPr>
      </w:pPr>
      <w:bookmarkStart w:id="1120" w:name="_Toc107430136"/>
      <w:r w:rsidRPr="00884383">
        <w:rPr>
          <w:noProof/>
        </w:rPr>
        <w:t xml:space="preserve">Annex </w:t>
      </w:r>
      <w:r>
        <w:rPr>
          <w:noProof/>
        </w:rPr>
        <w:t>10 – SME Te</w:t>
      </w:r>
      <w:r w:rsidR="001F799D">
        <w:rPr>
          <w:noProof/>
        </w:rPr>
        <w:t>s</w:t>
      </w:r>
      <w:r>
        <w:rPr>
          <w:noProof/>
        </w:rPr>
        <w:t>t – summary of results</w:t>
      </w:r>
      <w:bookmarkEnd w:id="1120"/>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943"/>
      </w:tblGrid>
      <w:tr w:rsidR="00A417E7" w:rsidRPr="00BB49E7" w14:paraId="3B5CF9CD" w14:textId="77777777" w:rsidTr="00877D86">
        <w:trPr>
          <w:trHeight w:val="433"/>
        </w:trPr>
        <w:tc>
          <w:tcPr>
            <w:tcW w:w="9180" w:type="dxa"/>
            <w:gridSpan w:val="2"/>
          </w:tcPr>
          <w:p w14:paraId="01086D7D" w14:textId="77777777" w:rsidR="00A417E7" w:rsidRPr="00BB49E7" w:rsidRDefault="00A417E7" w:rsidP="00877D86">
            <w:pPr>
              <w:spacing w:before="240" w:after="240"/>
              <w:rPr>
                <w:noProof/>
              </w:rPr>
            </w:pPr>
            <w:r w:rsidRPr="006266BF">
              <w:rPr>
                <w:b/>
                <w:bCs/>
                <w:noProof/>
              </w:rPr>
              <w:t xml:space="preserve">(1) Preliminary assessment of businesses likely to be affected </w:t>
            </w:r>
          </w:p>
        </w:tc>
      </w:tr>
      <w:tr w:rsidR="00087C5B" w:rsidRPr="00BB49E7" w14:paraId="4550F3BD" w14:textId="77777777" w:rsidTr="00877D86">
        <w:trPr>
          <w:trHeight w:val="2101"/>
        </w:trPr>
        <w:tc>
          <w:tcPr>
            <w:tcW w:w="6237" w:type="dxa"/>
          </w:tcPr>
          <w:p w14:paraId="1BBF4E90" w14:textId="19A149F5" w:rsidR="00B143DD" w:rsidRDefault="00B143DD" w:rsidP="00B143DD">
            <w:pPr>
              <w:rPr>
                <w:bCs/>
                <w:noProof/>
              </w:rPr>
            </w:pPr>
            <w:r>
              <w:rPr>
                <w:bCs/>
                <w:noProof/>
              </w:rPr>
              <w:t xml:space="preserve">SMEs are among the </w:t>
            </w:r>
            <w:r w:rsidR="00087C5B">
              <w:rPr>
                <w:bCs/>
                <w:noProof/>
              </w:rPr>
              <w:t xml:space="preserve">businesses that </w:t>
            </w:r>
            <w:r>
              <w:rPr>
                <w:bCs/>
                <w:noProof/>
              </w:rPr>
              <w:t xml:space="preserve">are </w:t>
            </w:r>
            <w:r w:rsidR="00087C5B">
              <w:rPr>
                <w:bCs/>
                <w:noProof/>
              </w:rPr>
              <w:t>affected by the Directive and its revision.</w:t>
            </w:r>
            <w:r w:rsidR="005D0191">
              <w:rPr>
                <w:bCs/>
                <w:noProof/>
              </w:rPr>
              <w:t xml:space="preserve"> That may be in their role as manufacturers or as importers, authorised representatives and, to a lesser extent, as fulfilment service providers or distributors</w:t>
            </w:r>
            <w:r>
              <w:rPr>
                <w:bCs/>
                <w:noProof/>
              </w:rPr>
              <w:t xml:space="preserve">. </w:t>
            </w:r>
          </w:p>
          <w:p w14:paraId="51B87187" w14:textId="41EA2BF4" w:rsidR="00B143DD" w:rsidRDefault="00B143DD" w:rsidP="00B143DD">
            <w:pPr>
              <w:rPr>
                <w:bCs/>
                <w:noProof/>
              </w:rPr>
            </w:pPr>
            <w:r>
              <w:rPr>
                <w:bCs/>
                <w:noProof/>
              </w:rPr>
              <w:t>By way of example, 95% of medical equipment manufacturers and 99% of toy manufacturers are SMEs.</w:t>
            </w:r>
          </w:p>
          <w:p w14:paraId="76599D1F" w14:textId="083F2480" w:rsidR="00087C5B" w:rsidRPr="000F2906" w:rsidRDefault="00087C5B" w:rsidP="00B143DD">
            <w:pPr>
              <w:rPr>
                <w:bCs/>
                <w:noProof/>
              </w:rPr>
            </w:pPr>
          </w:p>
        </w:tc>
        <w:tc>
          <w:tcPr>
            <w:tcW w:w="2943" w:type="dxa"/>
          </w:tcPr>
          <w:p w14:paraId="66EDA146" w14:textId="75444C2B" w:rsidR="00087C5B" w:rsidRDefault="00087C5B" w:rsidP="00B143DD">
            <w:pPr>
              <w:rPr>
                <w:noProof/>
              </w:rPr>
            </w:pPr>
            <w:r>
              <w:rPr>
                <w:noProof/>
              </w:rPr>
              <w:t>(</w:t>
            </w:r>
            <w:r w:rsidRPr="00BB49E7">
              <w:rPr>
                <w:noProof/>
              </w:rPr>
              <w:t>See sections</w:t>
            </w:r>
            <w:r>
              <w:rPr>
                <w:noProof/>
              </w:rPr>
              <w:t xml:space="preserve"> 6 and 8, </w:t>
            </w:r>
            <w:r w:rsidRPr="00BB49E7">
              <w:rPr>
                <w:noProof/>
              </w:rPr>
              <w:t xml:space="preserve">as well as Annex </w:t>
            </w:r>
            <w:r>
              <w:rPr>
                <w:noProof/>
              </w:rPr>
              <w:t>2 and 3</w:t>
            </w:r>
            <w:r w:rsidR="00B143DD">
              <w:rPr>
                <w:noProof/>
              </w:rPr>
              <w:t xml:space="preserve"> and the supporting impact assessment study</w:t>
            </w:r>
            <w:r>
              <w:rPr>
                <w:noProof/>
              </w:rPr>
              <w:t>)</w:t>
            </w:r>
          </w:p>
        </w:tc>
      </w:tr>
      <w:tr w:rsidR="00A417E7" w:rsidRPr="006266BF" w14:paraId="1302E222" w14:textId="77777777" w:rsidTr="00877D86">
        <w:trPr>
          <w:trHeight w:val="609"/>
        </w:trPr>
        <w:tc>
          <w:tcPr>
            <w:tcW w:w="9180" w:type="dxa"/>
            <w:gridSpan w:val="2"/>
          </w:tcPr>
          <w:p w14:paraId="4DA3766C" w14:textId="77777777" w:rsidR="00A417E7" w:rsidRPr="006266BF" w:rsidRDefault="00A417E7" w:rsidP="00877D86">
            <w:pPr>
              <w:spacing w:before="240" w:after="240"/>
              <w:rPr>
                <w:b/>
                <w:bCs/>
                <w:noProof/>
              </w:rPr>
            </w:pPr>
            <w:r w:rsidRPr="006266BF">
              <w:rPr>
                <w:b/>
                <w:bCs/>
                <w:noProof/>
              </w:rPr>
              <w:t>(2) Consultation with SMEs representatives</w:t>
            </w:r>
          </w:p>
        </w:tc>
      </w:tr>
      <w:tr w:rsidR="00087C5B" w:rsidRPr="00BB49E7" w14:paraId="78BEE9A9" w14:textId="77777777" w:rsidTr="00877D86">
        <w:trPr>
          <w:trHeight w:val="2220"/>
        </w:trPr>
        <w:tc>
          <w:tcPr>
            <w:tcW w:w="6237" w:type="dxa"/>
          </w:tcPr>
          <w:p w14:paraId="2DEFD6F8" w14:textId="77777777" w:rsidR="00087C5B" w:rsidRDefault="00087C5B" w:rsidP="00087C5B">
            <w:pPr>
              <w:rPr>
                <w:bCs/>
                <w:noProof/>
              </w:rPr>
            </w:pPr>
            <w:r>
              <w:rPr>
                <w:bCs/>
                <w:noProof/>
              </w:rPr>
              <w:t xml:space="preserve">The </w:t>
            </w:r>
            <w:r w:rsidRPr="00622F0F">
              <w:rPr>
                <w:rFonts w:eastAsia="Times New Roman"/>
                <w:bCs/>
                <w:noProof/>
              </w:rPr>
              <w:t xml:space="preserve">targeted and public consultations </w:t>
            </w:r>
            <w:r>
              <w:rPr>
                <w:bCs/>
                <w:noProof/>
              </w:rPr>
              <w:t xml:space="preserve">were disseminated through </w:t>
            </w:r>
            <w:r w:rsidRPr="00622F0F">
              <w:rPr>
                <w:rFonts w:eastAsia="Times New Roman"/>
                <w:bCs/>
                <w:noProof/>
              </w:rPr>
              <w:t>the EU SME associations network and through the Enterprise Europe Network</w:t>
            </w:r>
            <w:r>
              <w:rPr>
                <w:bCs/>
                <w:noProof/>
              </w:rPr>
              <w:t>.</w:t>
            </w:r>
          </w:p>
          <w:p w14:paraId="70A9DE1B" w14:textId="49DDEF48" w:rsidR="00087C5B" w:rsidRPr="000F2906" w:rsidRDefault="00087C5B" w:rsidP="00087C5B">
            <w:pPr>
              <w:rPr>
                <w:bCs/>
                <w:noProof/>
              </w:rPr>
            </w:pPr>
            <w:r w:rsidRPr="00622F0F">
              <w:rPr>
                <w:bCs/>
                <w:noProof/>
              </w:rPr>
              <w:t>13 SMEs (businesses) and two SME associations (European Digital SME Alliance and Allied for Startups) responded to the public consultation</w:t>
            </w:r>
            <w:r>
              <w:rPr>
                <w:bCs/>
                <w:noProof/>
              </w:rPr>
              <w:t>, but none to the targeted consultation</w:t>
            </w:r>
            <w:r w:rsidRPr="00622F0F">
              <w:rPr>
                <w:bCs/>
                <w:noProof/>
              </w:rPr>
              <w:t>.</w:t>
            </w:r>
          </w:p>
        </w:tc>
        <w:tc>
          <w:tcPr>
            <w:tcW w:w="2943" w:type="dxa"/>
          </w:tcPr>
          <w:p w14:paraId="3FBAB502" w14:textId="0D3424A9" w:rsidR="00087C5B" w:rsidRDefault="00087C5B" w:rsidP="00087C5B">
            <w:pPr>
              <w:rPr>
                <w:noProof/>
              </w:rPr>
            </w:pPr>
            <w:r>
              <w:rPr>
                <w:noProof/>
              </w:rPr>
              <w:t>(See section 6.1.a and</w:t>
            </w:r>
            <w:r w:rsidRPr="00BB49E7">
              <w:rPr>
                <w:noProof/>
              </w:rPr>
              <w:t xml:space="preserve"> Annex </w:t>
            </w:r>
            <w:r>
              <w:rPr>
                <w:noProof/>
              </w:rPr>
              <w:t>2)</w:t>
            </w:r>
          </w:p>
        </w:tc>
      </w:tr>
      <w:tr w:rsidR="00A417E7" w:rsidRPr="006266BF" w14:paraId="3E90FFCF" w14:textId="77777777" w:rsidTr="00877D86">
        <w:trPr>
          <w:trHeight w:val="336"/>
        </w:trPr>
        <w:tc>
          <w:tcPr>
            <w:tcW w:w="9180" w:type="dxa"/>
            <w:gridSpan w:val="2"/>
          </w:tcPr>
          <w:p w14:paraId="4F16F3BA" w14:textId="77777777" w:rsidR="00A417E7" w:rsidRPr="006266BF" w:rsidRDefault="00A417E7" w:rsidP="00877D86">
            <w:pPr>
              <w:spacing w:before="240" w:after="240"/>
              <w:rPr>
                <w:b/>
                <w:bCs/>
                <w:noProof/>
              </w:rPr>
            </w:pPr>
            <w:r w:rsidRPr="006266BF">
              <w:rPr>
                <w:b/>
                <w:bCs/>
                <w:noProof/>
              </w:rPr>
              <w:t>(3) Measurement of the impact on SMEs</w:t>
            </w:r>
          </w:p>
        </w:tc>
      </w:tr>
      <w:tr w:rsidR="00087C5B" w:rsidRPr="00BB49E7" w14:paraId="7F7CC406" w14:textId="77777777" w:rsidTr="00877D86">
        <w:trPr>
          <w:trHeight w:val="2233"/>
        </w:trPr>
        <w:tc>
          <w:tcPr>
            <w:tcW w:w="6237" w:type="dxa"/>
          </w:tcPr>
          <w:p w14:paraId="64455315" w14:textId="77777777" w:rsidR="00087C5B" w:rsidRDefault="00087C5B" w:rsidP="00087C5B">
            <w:pPr>
              <w:rPr>
                <w:bCs/>
                <w:noProof/>
              </w:rPr>
            </w:pPr>
            <w:r w:rsidRPr="00622F0F">
              <w:rPr>
                <w:rFonts w:eastAsia="Times New Roman"/>
                <w:bCs/>
                <w:noProof/>
              </w:rPr>
              <w:t xml:space="preserve">The views of SMEs expressed in the course of consultation activities did not particularly diverge from the overall views of business respondents. </w:t>
            </w:r>
          </w:p>
          <w:p w14:paraId="29D60938" w14:textId="77777777" w:rsidR="00087C5B" w:rsidRDefault="00087C5B" w:rsidP="00087C5B">
            <w:pPr>
              <w:rPr>
                <w:bCs/>
                <w:noProof/>
              </w:rPr>
            </w:pPr>
            <w:r w:rsidRPr="00622F0F">
              <w:rPr>
                <w:rFonts w:eastAsia="Times New Roman"/>
                <w:bCs/>
                <w:noProof/>
              </w:rPr>
              <w:t>The impact assessment study did, however, conclude that clearer liability rules, particularly regarding software and refurbished products, would particularly benefit SMEs, which have fewer resources than larger companies to devote to understanding unclear rules</w:t>
            </w:r>
            <w:r w:rsidRPr="00622F0F">
              <w:rPr>
                <w:rFonts w:eastAsia="Times New Roman"/>
                <w:bCs/>
                <w:noProof/>
                <w:vertAlign w:val="superscript"/>
              </w:rPr>
              <w:footnoteReference w:id="337"/>
            </w:r>
            <w:r w:rsidRPr="00622F0F">
              <w:rPr>
                <w:rFonts w:eastAsia="Times New Roman"/>
                <w:bCs/>
                <w:noProof/>
              </w:rPr>
              <w:t>.</w:t>
            </w:r>
          </w:p>
          <w:p w14:paraId="5BB28EDA" w14:textId="132C6CC8" w:rsidR="00087C5B" w:rsidRPr="000F2906" w:rsidRDefault="00087C5B" w:rsidP="00087C5B">
            <w:pPr>
              <w:rPr>
                <w:bCs/>
                <w:noProof/>
              </w:rPr>
            </w:pPr>
            <w:r w:rsidRPr="00622F0F">
              <w:rPr>
                <w:rFonts w:eastAsia="Times New Roman"/>
                <w:bCs/>
                <w:noProof/>
                <w:lang w:val="en-IE"/>
              </w:rPr>
              <w:t xml:space="preserve">On the other hand, the 2018 evaluation found that 31% of small enterprises do not have liability insurance, whereas among medium and large firms the figure is only 15%. Thus, SMEs could be more exposed than larger firms to compensation pay-outs not covered by insurance. </w:t>
            </w:r>
            <w:r w:rsidRPr="00622F0F">
              <w:rPr>
                <w:rFonts w:eastAsia="Times New Roman"/>
                <w:bCs/>
                <w:noProof/>
              </w:rPr>
              <w:t>Also, higher product liability insurance costs might affect SMEs more than larger companies, as SMEs have less ability to absorb the costs and might have less favourable insurance conditions.</w:t>
            </w:r>
          </w:p>
        </w:tc>
        <w:tc>
          <w:tcPr>
            <w:tcW w:w="2943" w:type="dxa"/>
          </w:tcPr>
          <w:p w14:paraId="6C1F1530" w14:textId="7623D6E3" w:rsidR="00087C5B" w:rsidRDefault="00087C5B" w:rsidP="00087C5B">
            <w:pPr>
              <w:rPr>
                <w:noProof/>
              </w:rPr>
            </w:pPr>
            <w:r>
              <w:rPr>
                <w:noProof/>
              </w:rPr>
              <w:t>(</w:t>
            </w:r>
            <w:r w:rsidRPr="00BB49E7">
              <w:rPr>
                <w:noProof/>
              </w:rPr>
              <w:t xml:space="preserve">See sections </w:t>
            </w:r>
            <w:r>
              <w:rPr>
                <w:noProof/>
              </w:rPr>
              <w:t>6.1.b)</w:t>
            </w:r>
          </w:p>
        </w:tc>
      </w:tr>
      <w:tr w:rsidR="00A417E7" w:rsidRPr="000648A8" w14:paraId="73125B08" w14:textId="77777777" w:rsidTr="00877D86">
        <w:trPr>
          <w:trHeight w:val="336"/>
        </w:trPr>
        <w:tc>
          <w:tcPr>
            <w:tcW w:w="9180" w:type="dxa"/>
            <w:gridSpan w:val="2"/>
          </w:tcPr>
          <w:p w14:paraId="70792877" w14:textId="77777777" w:rsidR="00A417E7" w:rsidRPr="000648A8" w:rsidRDefault="00A417E7" w:rsidP="00877D86">
            <w:pPr>
              <w:spacing w:before="240" w:after="240"/>
              <w:rPr>
                <w:b/>
                <w:bCs/>
                <w:noProof/>
              </w:rPr>
            </w:pPr>
            <w:r w:rsidRPr="000648A8">
              <w:rPr>
                <w:b/>
                <w:bCs/>
                <w:noProof/>
              </w:rPr>
              <w:t>4) Assess alternative options and mitigating measures</w:t>
            </w:r>
          </w:p>
        </w:tc>
      </w:tr>
      <w:tr w:rsidR="00087C5B" w:rsidRPr="00BB49E7" w14:paraId="29C40A0B" w14:textId="77777777" w:rsidTr="00877D86">
        <w:trPr>
          <w:trHeight w:val="2685"/>
        </w:trPr>
        <w:tc>
          <w:tcPr>
            <w:tcW w:w="6237" w:type="dxa"/>
          </w:tcPr>
          <w:p w14:paraId="3749D16C" w14:textId="77777777" w:rsidR="00087C5B" w:rsidRDefault="00087C5B" w:rsidP="00087C5B">
            <w:pPr>
              <w:rPr>
                <w:bCs/>
                <w:noProof/>
              </w:rPr>
            </w:pPr>
            <w:r>
              <w:rPr>
                <w:bCs/>
                <w:noProof/>
              </w:rPr>
              <w:t>The preferred policy option was selected with a view to achieving a fair balance of interests between industry and consumers, in particular avoiding measures that could make it difficult for SMEs to innovate or could create additional costs that might be more difficult for SMEs to absorb.</w:t>
            </w:r>
          </w:p>
          <w:p w14:paraId="223B4136" w14:textId="177113E7" w:rsidR="00087C5B" w:rsidRPr="000F2906" w:rsidRDefault="00087C5B" w:rsidP="00087C5B">
            <w:pPr>
              <w:rPr>
                <w:bCs/>
                <w:noProof/>
              </w:rPr>
            </w:pPr>
            <w:r w:rsidRPr="0091203B">
              <w:rPr>
                <w:bCs/>
                <w:noProof/>
              </w:rPr>
              <w:t xml:space="preserve">Specific mitigation measures for SMEs as part of the revised PLD would not be appropriate, because proper compensation for </w:t>
            </w:r>
            <w:r>
              <w:rPr>
                <w:bCs/>
                <w:noProof/>
              </w:rPr>
              <w:t xml:space="preserve">persons </w:t>
            </w:r>
            <w:r w:rsidRPr="0091203B">
              <w:rPr>
                <w:bCs/>
                <w:noProof/>
              </w:rPr>
              <w:t xml:space="preserve">injured by defective products cannot be made dependent on the size of the liable company. Consumers do not know when purchasing a product whether it was manufactured by a large company or an SME. It would also distort competition between market players if companies selling similar products faced different liability rules. </w:t>
            </w:r>
          </w:p>
        </w:tc>
        <w:tc>
          <w:tcPr>
            <w:tcW w:w="2943" w:type="dxa"/>
          </w:tcPr>
          <w:p w14:paraId="56417F78" w14:textId="10FBEE0C" w:rsidR="00087C5B" w:rsidRDefault="00087C5B" w:rsidP="00087C5B">
            <w:pPr>
              <w:rPr>
                <w:noProof/>
              </w:rPr>
            </w:pPr>
            <w:r>
              <w:rPr>
                <w:noProof/>
              </w:rPr>
              <w:t>(</w:t>
            </w:r>
            <w:r w:rsidRPr="00BB49E7">
              <w:rPr>
                <w:noProof/>
              </w:rPr>
              <w:t>See section</w:t>
            </w:r>
            <w:r>
              <w:rPr>
                <w:noProof/>
              </w:rPr>
              <w:t xml:space="preserve"> 8)</w:t>
            </w:r>
          </w:p>
        </w:tc>
      </w:tr>
    </w:tbl>
    <w:p w14:paraId="620EA4C6" w14:textId="77777777" w:rsidR="00A417E7" w:rsidRPr="00884383" w:rsidRDefault="00A417E7" w:rsidP="00884383">
      <w:pPr>
        <w:rPr>
          <w:noProof/>
        </w:rPr>
      </w:pPr>
    </w:p>
    <w:sectPr w:rsidR="00A417E7" w:rsidRPr="00884383" w:rsidSect="006C5B89">
      <w:headerReference w:type="even" r:id="rId68"/>
      <w:headerReference w:type="default" r:id="rId69"/>
      <w:footerReference w:type="even" r:id="rId70"/>
      <w:footerReference w:type="default" r:id="rId71"/>
      <w:headerReference w:type="first" r:id="rId72"/>
      <w:footerReference w:type="first" r:id="rId73"/>
      <w:pgSz w:w="11906" w:h="16838"/>
      <w:pgMar w:top="1020" w:right="1701" w:bottom="1020" w:left="1587" w:header="601" w:footer="107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A2741E" w16cex:dateUtc="2022-03-02T08:50:31.022Z"/>
</w16cex:commentsExtensible>
</file>

<file path=word/commentsIds.xml><?xml version="1.0" encoding="utf-8"?>
<w16cid:commentsIds xmlns:mc="http://schemas.openxmlformats.org/markup-compatibility/2006" xmlns:w16cid="http://schemas.microsoft.com/office/word/2016/wordml/cid" mc:Ignorable="w16cid">
  <w16cid:commentId w16cid:paraId="45959BC7" w16cid:durableId="3D9323B9"/>
  <w16cid:commentId w16cid:paraId="185A4324" w16cid:durableId="3597BEDC"/>
  <w16cid:commentId w16cid:paraId="18738EA2" w16cid:durableId="4DA707A6"/>
  <w16cid:commentId w16cid:paraId="5FB6E84B" w16cid:durableId="12A9EEA8"/>
  <w16cid:commentId w16cid:paraId="03C45A81" w16cid:durableId="320480C1"/>
  <w16cid:commentId w16cid:paraId="07A5824E" w16cid:durableId="10BE2793"/>
  <w16cid:commentId w16cid:paraId="7D0919CD" w16cid:durableId="30F77B28"/>
  <w16cid:commentId w16cid:paraId="6C4DFC20" w16cid:durableId="694655A6"/>
  <w16cid:commentId w16cid:paraId="629817D6" w16cid:durableId="06765DBC"/>
  <w16cid:commentId w16cid:paraId="223BD16A" w16cid:durableId="78F7C186"/>
  <w16cid:commentId w16cid:paraId="068EDF50" w16cid:durableId="156411B8"/>
  <w16cid:commentId w16cid:paraId="78791173" w16cid:durableId="56D7089F"/>
  <w16cid:commentId w16cid:paraId="7535765A" w16cid:durableId="4C23281B"/>
  <w16cid:commentId w16cid:paraId="07494180" w16cid:durableId="0BA726E6"/>
  <w16cid:commentId w16cid:paraId="688642B5" w16cid:durableId="33F30A42"/>
  <w16cid:commentId w16cid:paraId="1D4C1B10" w16cid:durableId="276490A6"/>
  <w16cid:commentId w16cid:paraId="5FE07BD8" w16cid:durableId="361BD8A3"/>
  <w16cid:commentId w16cid:paraId="0BD3F9A6" w16cid:durableId="1B5D0A8D"/>
  <w16cid:commentId w16cid:paraId="767B7FB4" w16cid:durableId="0F4E5CC8"/>
  <w16cid:commentId w16cid:paraId="7F515F93" w16cid:durableId="3F14B3BF"/>
  <w16cid:commentId w16cid:paraId="661F1FE8" w16cid:durableId="040D762C"/>
  <w16cid:commentId w16cid:paraId="05CD10F5" w16cid:durableId="3974ED34"/>
  <w16cid:commentId w16cid:paraId="542542F2" w16cid:durableId="10159CD0"/>
  <w16cid:commentId w16cid:paraId="02FA455C" w16cid:durableId="16CA3931"/>
  <w16cid:commentId w16cid:paraId="7132C620" w16cid:durableId="705240E0"/>
  <w16cid:commentId w16cid:paraId="60F21FF4" w16cid:durableId="267300BD"/>
  <w16cid:commentId w16cid:paraId="1AD4D7A9" w16cid:durableId="6FA7D2E7"/>
  <w16cid:commentId w16cid:paraId="2B8E5D79" w16cid:durableId="2D97E7B0"/>
  <w16cid:commentId w16cid:paraId="1F4064C4" w16cid:durableId="57E54885"/>
  <w16cid:commentId w16cid:paraId="20A8785F" w16cid:durableId="27D78D2E"/>
  <w16cid:commentId w16cid:paraId="72B0AD02" w16cid:durableId="1434BF09"/>
  <w16cid:commentId w16cid:paraId="5D5371FD" w16cid:durableId="60BA0182"/>
  <w16cid:commentId w16cid:paraId="11B80B56" w16cid:durableId="1B38905D"/>
  <w16cid:commentId w16cid:paraId="5E572BA2" w16cid:durableId="365A8CE2"/>
  <w16cid:commentId w16cid:paraId="248F20F0" w16cid:durableId="14C9CD30"/>
  <w16cid:commentId w16cid:paraId="20B6D4E7" w16cid:durableId="0BB3D38D"/>
  <w16cid:commentId w16cid:paraId="1ECEED9F" w16cid:durableId="604BE430"/>
  <w16cid:commentId w16cid:paraId="7DEBDCFB" w16cid:durableId="07DEE807"/>
  <w16cid:commentId w16cid:paraId="20439A53" w16cid:durableId="6307B69A"/>
  <w16cid:commentId w16cid:paraId="19E374D7" w16cid:durableId="21FA40FC"/>
  <w16cid:commentId w16cid:paraId="7DCBB714" w16cid:durableId="10F53C75"/>
  <w16cid:commentId w16cid:paraId="62046805" w16cid:durableId="543B75FB"/>
  <w16cid:commentId w16cid:paraId="39551DE3" w16cid:durableId="70128462"/>
  <w16cid:commentId w16cid:paraId="1C3A7457" w16cid:durableId="2DC72133"/>
  <w16cid:commentId w16cid:paraId="7A62EBE5" w16cid:durableId="157FBA8C"/>
  <w16cid:commentId w16cid:paraId="35B5C058" w16cid:durableId="7744CB60"/>
  <w16cid:commentId w16cid:paraId="316FBC52" w16cid:durableId="3BD3189C"/>
  <w16cid:commentId w16cid:paraId="72434496" w16cid:durableId="44432AC8"/>
  <w16cid:commentId w16cid:paraId="23EF5225" w16cid:durableId="0BCA3596"/>
  <w16cid:commentId w16cid:paraId="6F51309F" w16cid:durableId="4520FA45"/>
  <w16cid:commentId w16cid:paraId="03029605" w16cid:durableId="352AF5BB"/>
  <w16cid:commentId w16cid:paraId="0E8CA758" w16cid:durableId="3F737E31"/>
  <w16cid:commentId w16cid:paraId="492EA59F" w16cid:durableId="0970C1B8"/>
  <w16cid:commentId w16cid:paraId="5C2BFD44" w16cid:durableId="2CDE3896"/>
  <w16cid:commentId w16cid:paraId="5CED2BA5" w16cid:durableId="1648E637"/>
  <w16cid:commentId w16cid:paraId="1A4A2CEB" w16cid:durableId="041E3685"/>
  <w16cid:commentId w16cid:paraId="7F314B83" w16cid:durableId="2582220C"/>
  <w16cid:commentId w16cid:paraId="077A6EEF" w16cid:durableId="36DCCE75"/>
  <w16cid:commentId w16cid:paraId="23D1D128" w16cid:durableId="2257ADC7"/>
  <w16cid:commentId w16cid:paraId="3F7460C4" w16cid:durableId="0B918004"/>
  <w16cid:commentId w16cid:paraId="34696045" w16cid:durableId="211654AB"/>
  <w16cid:commentId w16cid:paraId="4860F2D6" w16cid:durableId="035F9378"/>
  <w16cid:commentId w16cid:paraId="6ABB2184" w16cid:durableId="11610D21"/>
  <w16cid:commentId w16cid:paraId="5B9F578A" w16cid:durableId="5E9ED08D"/>
  <w16cid:commentId w16cid:paraId="330D9CF6" w16cid:durableId="64C3027D"/>
  <w16cid:commentId w16cid:paraId="7E3180F0" w16cid:durableId="34AA1035"/>
  <w16cid:commentId w16cid:paraId="15CEE81D" w16cid:durableId="3B9E7842"/>
  <w16cid:commentId w16cid:paraId="103D6CB5" w16cid:durableId="15C89B39"/>
  <w16cid:commentId w16cid:paraId="36B4F85F" w16cid:durableId="76DD59B5"/>
  <w16cid:commentId w16cid:paraId="75BC0FC2" w16cid:durableId="283F36B5"/>
  <w16cid:commentId w16cid:paraId="0E339F03" w16cid:durableId="4718AC75"/>
  <w16cid:commentId w16cid:paraId="71BFB8C7" w16cid:durableId="2E3CF09C"/>
  <w16cid:commentId w16cid:paraId="3C7B10DF" w16cid:durableId="385553F2"/>
  <w16cid:commentId w16cid:paraId="55288220" w16cid:durableId="6D541BCB"/>
  <w16cid:commentId w16cid:paraId="25F7F31A" w16cid:durableId="2E1F774A"/>
  <w16cid:commentId w16cid:paraId="6A0960C9" w16cid:durableId="2FD20030"/>
  <w16cid:commentId w16cid:paraId="6F605977" w16cid:durableId="496268D1"/>
  <w16cid:commentId w16cid:paraId="4FC02123" w16cid:durableId="624E7B9C"/>
  <w16cid:commentId w16cid:paraId="70EA27ED" w16cid:durableId="014A7EA5"/>
  <w16cid:commentId w16cid:paraId="63EC1379" w16cid:durableId="790D757F"/>
  <w16cid:commentId w16cid:paraId="53100448" w16cid:durableId="6A9FE820"/>
  <w16cid:commentId w16cid:paraId="2F14BD1D" w16cid:durableId="2B64A81F"/>
  <w16cid:commentId w16cid:paraId="649E5067" w16cid:durableId="21CDB21A"/>
  <w16cid:commentId w16cid:paraId="5628104C" w16cid:durableId="12C44E40"/>
  <w16cid:commentId w16cid:paraId="389D1FA7" w16cid:durableId="72AC9772"/>
  <w16cid:commentId w16cid:paraId="78CD90F2" w16cid:durableId="54C140D7"/>
  <w16cid:commentId w16cid:paraId="0BF86E3F" w16cid:durableId="57493FCA"/>
  <w16cid:commentId w16cid:paraId="7819CE3A" w16cid:durableId="6E5A57C6"/>
  <w16cid:commentId w16cid:paraId="3027B689" w16cid:durableId="2011A6AB"/>
  <w16cid:commentId w16cid:paraId="72AB8AED" w16cid:durableId="10AB96AB"/>
  <w16cid:commentId w16cid:paraId="3F9BF560" w16cid:durableId="6631B180"/>
  <w16cid:commentId w16cid:paraId="0AE6768A" w16cid:durableId="296F15BB"/>
  <w16cid:commentId w16cid:paraId="70A00842" w16cid:durableId="65873A3F"/>
  <w16cid:commentId w16cid:paraId="3614CE59" w16cid:durableId="57763696"/>
  <w16cid:commentId w16cid:paraId="66689768" w16cid:durableId="00E3EC51"/>
  <w16cid:commentId w16cid:paraId="1392026B" w16cid:durableId="0D95A8FD"/>
  <w16cid:commentId w16cid:paraId="332C1BC6" w16cid:durableId="42DA68DA"/>
  <w16cid:commentId w16cid:paraId="2EF26D8C" w16cid:durableId="1173B3D5"/>
  <w16cid:commentId w16cid:paraId="16436B64" w16cid:durableId="49041EB5"/>
  <w16cid:commentId w16cid:paraId="368C019B" w16cid:durableId="60D5AA56"/>
  <w16cid:commentId w16cid:paraId="638894F1" w16cid:durableId="3BA6531E"/>
  <w16cid:commentId w16cid:paraId="7DD8EB5D" w16cid:durableId="260A7D63"/>
  <w16cid:commentId w16cid:paraId="61C255F8" w16cid:durableId="4D65D112"/>
  <w16cid:commentId w16cid:paraId="75756685" w16cid:durableId="638AFEE0"/>
  <w16cid:commentId w16cid:paraId="4C115EF1" w16cid:durableId="7E084DCF"/>
  <w16cid:commentId w16cid:paraId="6BA42CD9" w16cid:durableId="06EE051F"/>
  <w16cid:commentId w16cid:paraId="514B9E2D" w16cid:durableId="071E2A3F"/>
  <w16cid:commentId w16cid:paraId="5480B030" w16cid:durableId="1C1CA5EC"/>
  <w16cid:commentId w16cid:paraId="2F256470" w16cid:durableId="7EBEC14B"/>
  <w16cid:commentId w16cid:paraId="5A8A2C32" w16cid:durableId="6676E606"/>
  <w16cid:commentId w16cid:paraId="545911D4" w16cid:durableId="3ABBCDB3"/>
  <w16cid:commentId w16cid:paraId="617C8224" w16cid:durableId="4333A66F"/>
  <w16cid:commentId w16cid:paraId="4A701794" w16cid:durableId="35924FD0"/>
  <w16cid:commentId w16cid:paraId="5663017E" w16cid:durableId="294A3847"/>
  <w16cid:commentId w16cid:paraId="26731305" w16cid:durableId="20F197E3"/>
  <w16cid:commentId w16cid:paraId="7610B7C2" w16cid:durableId="75B1AC8B"/>
  <w16cid:commentId w16cid:paraId="5987E6E5" w16cid:durableId="6191E15D"/>
  <w16cid:commentId w16cid:paraId="0A048A90" w16cid:durableId="7E9CBEE0"/>
  <w16cid:commentId w16cid:paraId="6B4462D1" w16cid:durableId="6BF2391A"/>
  <w16cid:commentId w16cid:paraId="398FE815" w16cid:durableId="1001C1A6"/>
  <w16cid:commentId w16cid:paraId="60C746B8" w16cid:durableId="5D60D06A"/>
  <w16cid:commentId w16cid:paraId="7B800205" w16cid:durableId="4D44207B"/>
  <w16cid:commentId w16cid:paraId="78DA65C9" w16cid:durableId="75B6F48D"/>
  <w16cid:commentId w16cid:paraId="6D7FC67B" w16cid:durableId="6631C30A"/>
  <w16cid:commentId w16cid:paraId="59EE3D44" w16cid:durableId="420D8534"/>
  <w16cid:commentId w16cid:paraId="009FE106" w16cid:durableId="1DA996BA"/>
  <w16cid:commentId w16cid:paraId="23B138CA" w16cid:durableId="48B5B65C"/>
  <w16cid:commentId w16cid:paraId="60DC641D" w16cid:durableId="60DF1D5B"/>
  <w16cid:commentId w16cid:paraId="01F9985C" w16cid:durableId="6C702F7A"/>
  <w16cid:commentId w16cid:paraId="5F56C382" w16cid:durableId="2089CE4D"/>
  <w16cid:commentId w16cid:paraId="1E973403" w16cid:durableId="6CF79755"/>
  <w16cid:commentId w16cid:paraId="29B32325" w16cid:durableId="37EEB4FC"/>
  <w16cid:commentId w16cid:paraId="276C38BA" w16cid:durableId="194A5CE7"/>
  <w16cid:commentId w16cid:paraId="585803ED" w16cid:durableId="2074D44E"/>
  <w16cid:commentId w16cid:paraId="439B91DC" w16cid:durableId="3D672261"/>
  <w16cid:commentId w16cid:paraId="540ED8B4" w16cid:durableId="44956ABD"/>
  <w16cid:commentId w16cid:paraId="7D125B59" w16cid:durableId="5DFED70C"/>
  <w16cid:commentId w16cid:paraId="7CF54103" w16cid:durableId="3E42B339"/>
  <w16cid:commentId w16cid:paraId="66F13E62" w16cid:durableId="14BC0070"/>
  <w16cid:commentId w16cid:paraId="273D5ED7" w16cid:durableId="6BBE9253"/>
  <w16cid:commentId w16cid:paraId="1AF74A30" w16cid:durableId="4DA31698"/>
  <w16cid:commentId w16cid:paraId="78F217E1" w16cid:durableId="3B2C99DE"/>
  <w16cid:commentId w16cid:paraId="3A67A93A" w16cid:durableId="6F9B967A"/>
  <w16cid:commentId w16cid:paraId="558853BD" w16cid:durableId="399AC0A4"/>
  <w16cid:commentId w16cid:paraId="4DC066A8" w16cid:durableId="55EFC8F7"/>
  <w16cid:commentId w16cid:paraId="3BFDE3B0" w16cid:durableId="22FE0B11"/>
  <w16cid:commentId w16cid:paraId="68EEC09F" w16cid:durableId="73DCC5EA"/>
  <w16cid:commentId w16cid:paraId="4BDAF9B6" w16cid:durableId="3C3D01F8"/>
  <w16cid:commentId w16cid:paraId="0E7E843B" w16cid:durableId="36849EB3"/>
  <w16cid:commentId w16cid:paraId="0DCDDF76" w16cid:durableId="0B323FC5"/>
  <w16cid:commentId w16cid:paraId="2E026E69" w16cid:durableId="2C03C79F"/>
  <w16cid:commentId w16cid:paraId="05FC1CAC" w16cid:durableId="443DA9F9"/>
  <w16cid:commentId w16cid:paraId="2E5282FE" w16cid:durableId="25817ABA"/>
  <w16cid:commentId w16cid:paraId="6EB27A5E" w16cid:durableId="39025D0F"/>
  <w16cid:commentId w16cid:paraId="15A664A4" w16cid:durableId="0374D9EC"/>
  <w16cid:commentId w16cid:paraId="7C6FC15E" w16cid:durableId="6E6232A2"/>
  <w16cid:commentId w16cid:paraId="2E7823BD" w16cid:durableId="305388D5"/>
  <w16cid:commentId w16cid:paraId="75DA11C1" w16cid:durableId="67340E07"/>
  <w16cid:commentId w16cid:paraId="1E2A3C7B" w16cid:durableId="217D79AC"/>
  <w16cid:commentId w16cid:paraId="5C68A065" w16cid:durableId="605EB715"/>
  <w16cid:commentId w16cid:paraId="7E6A2C4B" w16cid:durableId="3E384EC2"/>
  <w16cid:commentId w16cid:paraId="3CB6E65D" w16cid:durableId="263F0CE3"/>
  <w16cid:commentId w16cid:paraId="078B064E" w16cid:durableId="2FAC7671"/>
  <w16cid:commentId w16cid:paraId="21D56AB2" w16cid:durableId="5E34F2FE"/>
  <w16cid:commentId w16cid:paraId="33DF60AD" w16cid:durableId="797F4EB0"/>
  <w16cid:commentId w16cid:paraId="13886422" w16cid:durableId="02CD18B7"/>
  <w16cid:commentId w16cid:paraId="3C7FAF28" w16cid:durableId="29E94988"/>
  <w16cid:commentId w16cid:paraId="5D5ED703" w16cid:durableId="151D7B82"/>
  <w16cid:commentId w16cid:paraId="3DBB4F0D" w16cid:durableId="6BE315E5"/>
  <w16cid:commentId w16cid:paraId="048077F4" w16cid:durableId="5C5C2D25"/>
  <w16cid:commentId w16cid:paraId="2639E347" w16cid:durableId="17B2D57F"/>
  <w16cid:commentId w16cid:paraId="1591D303" w16cid:durableId="234F2E24"/>
  <w16cid:commentId w16cid:paraId="15F65E6A" w16cid:durableId="69E0BE70"/>
  <w16cid:commentId w16cid:paraId="01BA8B8B" w16cid:durableId="0033A6C7"/>
  <w16cid:commentId w16cid:paraId="2ED132EC" w16cid:durableId="425EAB0D"/>
  <w16cid:commentId w16cid:paraId="51FFDEDA" w16cid:durableId="2234368C"/>
  <w16cid:commentId w16cid:paraId="630EA277" w16cid:durableId="5DA88A00"/>
  <w16cid:commentId w16cid:paraId="78DC5A50" w16cid:durableId="3C1C33E9"/>
  <w16cid:commentId w16cid:paraId="60153F30" w16cid:durableId="1041FA13"/>
  <w16cid:commentId w16cid:paraId="744DFDC1" w16cid:durableId="1F0F7A23"/>
  <w16cid:commentId w16cid:paraId="727E4E49" w16cid:durableId="29CCD0CF"/>
  <w16cid:commentId w16cid:paraId="40C55772" w16cid:durableId="0C78B464"/>
  <w16cid:commentId w16cid:paraId="537A1A03" w16cid:durableId="2A5A7EA8"/>
  <w16cid:commentId w16cid:paraId="0E44B87D" w16cid:durableId="613DEFB5"/>
  <w16cid:commentId w16cid:paraId="044530F4" w16cid:durableId="748606AD"/>
  <w16cid:commentId w16cid:paraId="52477C99" w16cid:durableId="3FA274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61DC" w14:textId="77777777" w:rsidR="00030C20" w:rsidRDefault="00030C20" w:rsidP="006B087E">
      <w:pPr>
        <w:spacing w:after="0" w:line="240" w:lineRule="auto"/>
      </w:pPr>
      <w:r>
        <w:separator/>
      </w:r>
    </w:p>
  </w:endnote>
  <w:endnote w:type="continuationSeparator" w:id="0">
    <w:p w14:paraId="401FC55B" w14:textId="77777777" w:rsidR="00030C20" w:rsidRDefault="00030C20" w:rsidP="006B087E">
      <w:pPr>
        <w:spacing w:after="0" w:line="240" w:lineRule="auto"/>
      </w:pPr>
      <w:r>
        <w:continuationSeparator/>
      </w:r>
    </w:p>
  </w:endnote>
  <w:endnote w:type="continuationNotice" w:id="1">
    <w:p w14:paraId="2751A7FE" w14:textId="77777777" w:rsidR="00030C20" w:rsidRDefault="00030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36C9" w14:textId="77777777" w:rsidR="00A8526C" w:rsidRPr="00A8526C" w:rsidRDefault="00A8526C" w:rsidP="00A8526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CEBE" w14:textId="77777777" w:rsidR="001E05F3" w:rsidRDefault="001E05F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F599" w14:textId="0EEB8271" w:rsidR="001E05F3" w:rsidRDefault="001E05F3">
    <w:pPr>
      <w:pStyle w:val="Footer"/>
      <w:jc w:val="center"/>
    </w:pPr>
    <w:r>
      <w:fldChar w:fldCharType="begin"/>
    </w:r>
    <w:r>
      <w:instrText>PAGE</w:instrText>
    </w:r>
    <w:r>
      <w:fldChar w:fldCharType="separate"/>
    </w:r>
    <w:r w:rsidR="00BC2C3A">
      <w:rPr>
        <w:noProof/>
      </w:rPr>
      <w:t>93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43315"/>
      <w:docPartObj>
        <w:docPartGallery w:val="Page Numbers (Bottom of Page)"/>
        <w:docPartUnique/>
      </w:docPartObj>
    </w:sdtPr>
    <w:sdtEndPr>
      <w:rPr>
        <w:noProof/>
      </w:rPr>
    </w:sdtEndPr>
    <w:sdtContent>
      <w:p w14:paraId="2877A93A" w14:textId="566F81B6" w:rsidR="001E05F3" w:rsidRDefault="001E05F3">
        <w:pPr>
          <w:pStyle w:val="Footer"/>
          <w:jc w:val="center"/>
        </w:pPr>
        <w:r>
          <w:fldChar w:fldCharType="begin"/>
        </w:r>
        <w:r>
          <w:instrText xml:space="preserve"> PAGE   \* MERGEFORMAT </w:instrText>
        </w:r>
        <w:r>
          <w:fldChar w:fldCharType="separate"/>
        </w:r>
        <w:r w:rsidR="00BC2C3A">
          <w:rPr>
            <w:noProof/>
          </w:rPr>
          <w:t>29</w:t>
        </w:r>
        <w:r>
          <w:rPr>
            <w:noProof/>
          </w:rPr>
          <w:fldChar w:fldCharType="end"/>
        </w:r>
      </w:p>
    </w:sdtContent>
  </w:sdt>
  <w:p w14:paraId="11A3CF2B" w14:textId="77777777" w:rsidR="001E05F3" w:rsidRDefault="001E05F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242E" w14:textId="77777777" w:rsidR="00030C20" w:rsidRDefault="00030C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82A3" w14:textId="2E5755E9" w:rsidR="00030C20" w:rsidRDefault="00030C20">
    <w:pPr>
      <w:pStyle w:val="Footer"/>
      <w:jc w:val="center"/>
    </w:pPr>
    <w:r>
      <w:fldChar w:fldCharType="begin"/>
    </w:r>
    <w:r>
      <w:instrText>PAGE</w:instrText>
    </w:r>
    <w:r>
      <w:fldChar w:fldCharType="separate"/>
    </w:r>
    <w:r w:rsidR="00BC2C3A">
      <w:rPr>
        <w:noProof/>
      </w:rPr>
      <w:t>95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610845"/>
      <w:docPartObj>
        <w:docPartGallery w:val="Page Numbers (Bottom of Page)"/>
        <w:docPartUnique/>
      </w:docPartObj>
    </w:sdtPr>
    <w:sdtEndPr>
      <w:rPr>
        <w:noProof/>
      </w:rPr>
    </w:sdtEndPr>
    <w:sdtContent>
      <w:p w14:paraId="754EBDBC" w14:textId="765D09DE" w:rsidR="00030C20" w:rsidRDefault="00030C20">
        <w:pPr>
          <w:pStyle w:val="Footer"/>
          <w:jc w:val="center"/>
        </w:pPr>
        <w:r>
          <w:fldChar w:fldCharType="begin"/>
        </w:r>
        <w:r>
          <w:instrText xml:space="preserve"> PAGE   \* MERGEFORMAT </w:instrText>
        </w:r>
        <w:r>
          <w:fldChar w:fldCharType="separate"/>
        </w:r>
        <w:r w:rsidR="00BC2C3A">
          <w:rPr>
            <w:noProof/>
          </w:rPr>
          <w:t>94</w:t>
        </w:r>
        <w:r>
          <w:rPr>
            <w:noProof/>
          </w:rPr>
          <w:fldChar w:fldCharType="end"/>
        </w:r>
      </w:p>
    </w:sdtContent>
  </w:sdt>
  <w:p w14:paraId="68D1CC95" w14:textId="77777777" w:rsidR="00030C20" w:rsidRDefault="00030C2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8A4D" w14:textId="77777777" w:rsidR="00030C20" w:rsidRDefault="00030C2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6E1C" w14:textId="35C378E1" w:rsidR="00030C20" w:rsidRDefault="00030C20">
    <w:pPr>
      <w:pStyle w:val="Footer"/>
      <w:jc w:val="center"/>
    </w:pPr>
    <w:r>
      <w:fldChar w:fldCharType="begin"/>
    </w:r>
    <w:r>
      <w:instrText>PAGE</w:instrText>
    </w:r>
    <w:r>
      <w:fldChar w:fldCharType="separate"/>
    </w:r>
    <w:r w:rsidR="00BC2C3A">
      <w:rPr>
        <w:noProof/>
      </w:rPr>
      <w:t>97</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36555"/>
      <w:docPartObj>
        <w:docPartGallery w:val="Page Numbers (Bottom of Page)"/>
        <w:docPartUnique/>
      </w:docPartObj>
    </w:sdtPr>
    <w:sdtEndPr>
      <w:rPr>
        <w:noProof/>
      </w:rPr>
    </w:sdtEndPr>
    <w:sdtContent>
      <w:p w14:paraId="7CA7E839" w14:textId="4E7DB421" w:rsidR="00030C20" w:rsidRDefault="00030C20">
        <w:pPr>
          <w:pStyle w:val="Footer"/>
          <w:jc w:val="center"/>
        </w:pPr>
        <w:r>
          <w:fldChar w:fldCharType="begin"/>
        </w:r>
        <w:r>
          <w:instrText xml:space="preserve"> PAGE   \* MERGEFORMAT </w:instrText>
        </w:r>
        <w:r>
          <w:fldChar w:fldCharType="separate"/>
        </w:r>
        <w:r w:rsidR="00BC2C3A">
          <w:rPr>
            <w:noProof/>
          </w:rPr>
          <w:t>96</w:t>
        </w:r>
        <w:r>
          <w:rPr>
            <w:noProof/>
          </w:rPr>
          <w:fldChar w:fldCharType="end"/>
        </w:r>
      </w:p>
    </w:sdtContent>
  </w:sdt>
  <w:p w14:paraId="5084DF7F" w14:textId="77777777" w:rsidR="00030C20" w:rsidRDefault="00030C2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8003" w14:textId="77777777" w:rsidR="00030C20" w:rsidRDefault="00030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A43E6" w14:textId="1BF6AD86" w:rsidR="001E05F3" w:rsidRPr="00A8526C" w:rsidRDefault="00A8526C" w:rsidP="00A8526C">
    <w:pPr>
      <w:pStyle w:val="FooterCoverPage"/>
      <w:rPr>
        <w:rFonts w:ascii="Arial" w:hAnsi="Arial" w:cs="Arial"/>
        <w:b/>
        <w:sz w:val="48"/>
      </w:rPr>
    </w:pPr>
    <w:r w:rsidRPr="00A8526C">
      <w:rPr>
        <w:rFonts w:ascii="Arial" w:hAnsi="Arial" w:cs="Arial"/>
        <w:b/>
        <w:sz w:val="48"/>
      </w:rPr>
      <w:t>EN</w:t>
    </w:r>
    <w:r w:rsidRPr="00A8526C">
      <w:rPr>
        <w:rFonts w:ascii="Arial" w:hAnsi="Arial" w:cs="Arial"/>
        <w:b/>
        <w:sz w:val="48"/>
      </w:rPr>
      <w:tab/>
    </w:r>
    <w:r w:rsidRPr="00A8526C">
      <w:rPr>
        <w:rFonts w:ascii="Arial" w:hAnsi="Arial" w:cs="Arial"/>
        <w:b/>
        <w:sz w:val="48"/>
      </w:rPr>
      <w:tab/>
    </w:r>
    <w:r w:rsidRPr="00A8526C">
      <w:tab/>
    </w:r>
    <w:r w:rsidRPr="00A8526C">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6F99" w14:textId="497C149E" w:rsidR="00030C20" w:rsidRDefault="00030C20">
    <w:pPr>
      <w:pStyle w:val="Footer"/>
      <w:jc w:val="center"/>
    </w:pPr>
    <w:r>
      <w:fldChar w:fldCharType="begin"/>
    </w:r>
    <w:r>
      <w:instrText>PAGE</w:instrText>
    </w:r>
    <w:r>
      <w:fldChar w:fldCharType="separate"/>
    </w:r>
    <w:r w:rsidR="00BC2C3A">
      <w:rPr>
        <w:noProof/>
      </w:rPr>
      <w:t>100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47545"/>
      <w:docPartObj>
        <w:docPartGallery w:val="Page Numbers (Bottom of Page)"/>
        <w:docPartUnique/>
      </w:docPartObj>
    </w:sdtPr>
    <w:sdtEndPr>
      <w:rPr>
        <w:noProof/>
      </w:rPr>
    </w:sdtEndPr>
    <w:sdtContent>
      <w:p w14:paraId="531530BF" w14:textId="7800B7C9" w:rsidR="00030C20" w:rsidRDefault="00030C20">
        <w:pPr>
          <w:pStyle w:val="Footer"/>
          <w:jc w:val="center"/>
        </w:pPr>
        <w:r>
          <w:fldChar w:fldCharType="begin"/>
        </w:r>
        <w:r>
          <w:instrText xml:space="preserve"> PAGE   \* MERGEFORMAT </w:instrText>
        </w:r>
        <w:r>
          <w:fldChar w:fldCharType="separate"/>
        </w:r>
        <w:r w:rsidR="00BC2C3A">
          <w:rPr>
            <w:noProof/>
          </w:rPr>
          <w:t>98</w:t>
        </w:r>
        <w:r>
          <w:rPr>
            <w:noProof/>
          </w:rPr>
          <w:fldChar w:fldCharType="end"/>
        </w:r>
      </w:p>
    </w:sdtContent>
  </w:sdt>
  <w:p w14:paraId="6EFBE57A" w14:textId="77777777" w:rsidR="00030C20" w:rsidRDefault="00030C2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F8B1" w14:textId="77777777" w:rsidR="00030C20" w:rsidRDefault="00030C2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E43A" w14:textId="2CCD8F5C" w:rsidR="00030C20" w:rsidRDefault="00030C20">
    <w:pPr>
      <w:pStyle w:val="Footer"/>
      <w:jc w:val="center"/>
    </w:pPr>
    <w:r>
      <w:fldChar w:fldCharType="begin"/>
    </w:r>
    <w:r>
      <w:instrText>PAGE</w:instrText>
    </w:r>
    <w:r>
      <w:fldChar w:fldCharType="separate"/>
    </w:r>
    <w:r w:rsidR="00BC2C3A">
      <w:rPr>
        <w:noProof/>
      </w:rPr>
      <w:t>102</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16540"/>
      <w:docPartObj>
        <w:docPartGallery w:val="Page Numbers (Bottom of Page)"/>
        <w:docPartUnique/>
      </w:docPartObj>
    </w:sdtPr>
    <w:sdtEndPr>
      <w:rPr>
        <w:noProof/>
      </w:rPr>
    </w:sdtEndPr>
    <w:sdtContent>
      <w:p w14:paraId="4142648E" w14:textId="231EFB68" w:rsidR="00030C20" w:rsidRDefault="00030C20">
        <w:pPr>
          <w:pStyle w:val="Footer"/>
          <w:jc w:val="center"/>
        </w:pPr>
        <w:r>
          <w:fldChar w:fldCharType="begin"/>
        </w:r>
        <w:r>
          <w:instrText xml:space="preserve"> PAGE   \* MERGEFORMAT </w:instrText>
        </w:r>
        <w:r>
          <w:fldChar w:fldCharType="separate"/>
        </w:r>
        <w:r w:rsidR="00BC2C3A">
          <w:rPr>
            <w:noProof/>
          </w:rPr>
          <w:t>101</w:t>
        </w:r>
        <w:r>
          <w:rPr>
            <w:noProof/>
          </w:rPr>
          <w:fldChar w:fldCharType="end"/>
        </w:r>
      </w:p>
    </w:sdtContent>
  </w:sdt>
  <w:p w14:paraId="2B187D5E" w14:textId="77777777" w:rsidR="00030C20" w:rsidRDefault="00030C2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9A2C" w14:textId="77777777" w:rsidR="00030C20" w:rsidRDefault="00030C2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410460"/>
      <w:docPartObj>
        <w:docPartGallery w:val="Page Numbers (Bottom of Page)"/>
        <w:docPartUnique/>
      </w:docPartObj>
    </w:sdtPr>
    <w:sdtEndPr>
      <w:rPr>
        <w:noProof/>
      </w:rPr>
    </w:sdtEndPr>
    <w:sdtContent>
      <w:p w14:paraId="185D9DB3" w14:textId="62F56DAD" w:rsidR="00030C20" w:rsidRDefault="00030C20">
        <w:pPr>
          <w:pStyle w:val="Footer"/>
          <w:jc w:val="center"/>
        </w:pPr>
        <w:r>
          <w:fldChar w:fldCharType="begin"/>
        </w:r>
        <w:r>
          <w:instrText xml:space="preserve"> PAGE   \* MERGEFORMAT </w:instrText>
        </w:r>
        <w:r>
          <w:fldChar w:fldCharType="separate"/>
        </w:r>
        <w:r w:rsidR="00BC2C3A">
          <w:rPr>
            <w:noProof/>
          </w:rPr>
          <w:t>105</w:t>
        </w:r>
        <w:r>
          <w:rPr>
            <w:noProof/>
          </w:rPr>
          <w:fldChar w:fldCharType="end"/>
        </w:r>
      </w:p>
    </w:sdtContent>
  </w:sdt>
  <w:p w14:paraId="443A71AC" w14:textId="77777777" w:rsidR="00030C20" w:rsidRPr="00CD516A" w:rsidRDefault="00030C20" w:rsidP="006C5B8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96123"/>
      <w:docPartObj>
        <w:docPartGallery w:val="Page Numbers (Bottom of Page)"/>
        <w:docPartUnique/>
      </w:docPartObj>
    </w:sdtPr>
    <w:sdtEndPr>
      <w:rPr>
        <w:noProof/>
      </w:rPr>
    </w:sdtEndPr>
    <w:sdtContent>
      <w:p w14:paraId="200DB98F" w14:textId="0339E282" w:rsidR="00030C20" w:rsidRDefault="00030C20">
        <w:pPr>
          <w:pStyle w:val="Footer"/>
          <w:jc w:val="center"/>
        </w:pPr>
        <w:r>
          <w:fldChar w:fldCharType="begin"/>
        </w:r>
        <w:r>
          <w:instrText xml:space="preserve"> PAGE   \* MERGEFORMAT </w:instrText>
        </w:r>
        <w:r>
          <w:fldChar w:fldCharType="separate"/>
        </w:r>
        <w:r w:rsidR="00BC2C3A">
          <w:rPr>
            <w:noProof/>
          </w:rPr>
          <w:t>103</w:t>
        </w:r>
        <w:r>
          <w:rPr>
            <w:noProof/>
          </w:rPr>
          <w:fldChar w:fldCharType="end"/>
        </w:r>
      </w:p>
    </w:sdtContent>
  </w:sdt>
  <w:p w14:paraId="28FA6AD5" w14:textId="77777777" w:rsidR="00030C20" w:rsidRDefault="00030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1BD3" w14:textId="77777777" w:rsidR="00A8526C" w:rsidRPr="00A8526C" w:rsidRDefault="00A8526C" w:rsidP="00A8526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FE1B0" w14:textId="77777777" w:rsidR="00030C20" w:rsidRDefault="00030C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FDD3" w14:textId="1FE4D1CE" w:rsidR="00030C20" w:rsidRDefault="00030C20">
    <w:pPr>
      <w:pStyle w:val="Footer"/>
      <w:jc w:val="center"/>
    </w:pPr>
    <w:r>
      <w:fldChar w:fldCharType="begin"/>
    </w:r>
    <w:r>
      <w:instrText>PAGE</w:instrText>
    </w:r>
    <w:r>
      <w:fldChar w:fldCharType="separate"/>
    </w:r>
    <w:r w:rsidR="00A8526C">
      <w:rPr>
        <w:noProof/>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788014"/>
      <w:docPartObj>
        <w:docPartGallery w:val="Page Numbers (Bottom of Page)"/>
        <w:docPartUnique/>
      </w:docPartObj>
    </w:sdtPr>
    <w:sdtEndPr>
      <w:rPr>
        <w:noProof/>
      </w:rPr>
    </w:sdtEndPr>
    <w:sdtContent>
      <w:p w14:paraId="0781EC52" w14:textId="6FDD5A65" w:rsidR="00030C20" w:rsidRDefault="00030C20">
        <w:pPr>
          <w:pStyle w:val="Footer"/>
          <w:jc w:val="center"/>
        </w:pPr>
        <w:r>
          <w:fldChar w:fldCharType="begin"/>
        </w:r>
        <w:r>
          <w:instrText xml:space="preserve"> PAGE   \* MERGEFORMAT </w:instrText>
        </w:r>
        <w:r>
          <w:fldChar w:fldCharType="separate"/>
        </w:r>
        <w:r w:rsidR="00A8526C">
          <w:rPr>
            <w:noProof/>
          </w:rPr>
          <w:t>1</w:t>
        </w:r>
        <w:r>
          <w:rPr>
            <w:noProof/>
          </w:rPr>
          <w:fldChar w:fldCharType="end"/>
        </w:r>
      </w:p>
    </w:sdtContent>
  </w:sdt>
  <w:p w14:paraId="1E53B67F" w14:textId="77777777" w:rsidR="00030C20" w:rsidRDefault="00030C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0E0D" w14:textId="77777777" w:rsidR="001E05F3" w:rsidRDefault="001E05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56F6" w14:textId="77777777" w:rsidR="001E05F3" w:rsidRDefault="001E05F3">
    <w:pPr>
      <w:pStyle w:val="Footer"/>
      <w:jc w:val="center"/>
    </w:pPr>
    <w:r>
      <w:fldChar w:fldCharType="begin"/>
    </w:r>
    <w:r>
      <w:instrText>PAGE</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942696"/>
      <w:docPartObj>
        <w:docPartGallery w:val="Page Numbers (Bottom of Page)"/>
        <w:docPartUnique/>
      </w:docPartObj>
    </w:sdtPr>
    <w:sdtEndPr>
      <w:rPr>
        <w:noProof/>
      </w:rPr>
    </w:sdtEndPr>
    <w:sdtContent>
      <w:p w14:paraId="3C56F731" w14:textId="627F3A64" w:rsidR="001E05F3" w:rsidRDefault="001E05F3">
        <w:pPr>
          <w:pStyle w:val="Footer"/>
          <w:jc w:val="center"/>
        </w:pPr>
        <w:r>
          <w:fldChar w:fldCharType="begin"/>
        </w:r>
        <w:r>
          <w:instrText xml:space="preserve"> PAGE   \* MERGEFORMAT </w:instrText>
        </w:r>
        <w:r>
          <w:fldChar w:fldCharType="separate"/>
        </w:r>
        <w:r w:rsidR="00BC2C3A">
          <w:rPr>
            <w:noProof/>
          </w:rPr>
          <w:t>28</w:t>
        </w:r>
        <w:r>
          <w:rPr>
            <w:noProof/>
          </w:rPr>
          <w:fldChar w:fldCharType="end"/>
        </w:r>
      </w:p>
    </w:sdtContent>
  </w:sdt>
  <w:p w14:paraId="6F55F6E7" w14:textId="77777777" w:rsidR="001E05F3" w:rsidRDefault="001E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9636A" w14:textId="77777777" w:rsidR="00030C20" w:rsidRDefault="00030C20" w:rsidP="006B087E">
      <w:pPr>
        <w:spacing w:after="0" w:line="240" w:lineRule="auto"/>
      </w:pPr>
      <w:r>
        <w:separator/>
      </w:r>
    </w:p>
  </w:footnote>
  <w:footnote w:type="continuationSeparator" w:id="0">
    <w:p w14:paraId="66552585" w14:textId="77777777" w:rsidR="00030C20" w:rsidRDefault="00030C20" w:rsidP="006B087E">
      <w:pPr>
        <w:spacing w:after="0" w:line="240" w:lineRule="auto"/>
      </w:pPr>
      <w:r>
        <w:continuationSeparator/>
      </w:r>
    </w:p>
  </w:footnote>
  <w:footnote w:type="continuationNotice" w:id="1">
    <w:p w14:paraId="28BEACB0" w14:textId="77777777" w:rsidR="00030C20" w:rsidRDefault="00030C20">
      <w:pPr>
        <w:spacing w:after="0" w:line="240" w:lineRule="auto"/>
      </w:pPr>
    </w:p>
  </w:footnote>
  <w:footnote w:id="2">
    <w:p w14:paraId="55CE8D42" w14:textId="4826DC53"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Council Directive 85/374/EEC on the approximation of the laws, regulations and administrative provisions of the Member States concerning liability for defective products (OJ L 210, 7.8.1985, p. 29).</w:t>
      </w:r>
      <w:r>
        <w:rPr>
          <w:sz w:val="18"/>
          <w:szCs w:val="18"/>
          <w:lang w:val="en-IE"/>
        </w:rPr>
        <w:t xml:space="preserve"> </w:t>
      </w:r>
    </w:p>
  </w:footnote>
  <w:footnote w:id="3">
    <w:p w14:paraId="67A383E0" w14:textId="56E88BD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1" w:history="1">
        <w:r w:rsidRPr="0061648D">
          <w:rPr>
            <w:rStyle w:val="Hyperlink"/>
            <w:sz w:val="18"/>
            <w:szCs w:val="18"/>
          </w:rPr>
          <w:t>political-guidelines-next-commission_en_0.pdf (europa.eu)</w:t>
        </w:r>
      </w:hyperlink>
      <w:r w:rsidRPr="0061648D">
        <w:rPr>
          <w:sz w:val="18"/>
          <w:szCs w:val="18"/>
        </w:rPr>
        <w:t>.</w:t>
      </w:r>
    </w:p>
  </w:footnote>
  <w:footnote w:id="4">
    <w:p w14:paraId="2408CC97" w14:textId="037D06F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2" w:anchor=":~:text=It%20requires%20that%20every%20citizen%2C%20every%20employee%2C%20every,technologies%20can%20enrich%20our%20lives%20in%20many%20ways." w:history="1">
        <w:r w:rsidRPr="0061648D">
          <w:rPr>
            <w:rStyle w:val="Hyperlink"/>
            <w:sz w:val="18"/>
            <w:szCs w:val="18"/>
          </w:rPr>
          <w:t>Communication-shaping-europes-digital-future-feb2020_en_4.pdf (europa.eu)</w:t>
        </w:r>
      </w:hyperlink>
      <w:r w:rsidRPr="0061648D">
        <w:rPr>
          <w:sz w:val="18"/>
          <w:szCs w:val="18"/>
        </w:rPr>
        <w:t>.</w:t>
      </w:r>
    </w:p>
  </w:footnote>
  <w:footnote w:id="5">
    <w:p w14:paraId="774B8415" w14:textId="71D8CCF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See section 1.2.3 for more details.</w:t>
      </w:r>
    </w:p>
  </w:footnote>
  <w:footnote w:id="6">
    <w:p w14:paraId="7FF3BA65" w14:textId="5261107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3" w:history="1">
        <w:r w:rsidRPr="0061648D">
          <w:rPr>
            <w:rStyle w:val="Hyperlink"/>
            <w:sz w:val="18"/>
            <w:szCs w:val="18"/>
          </w:rPr>
          <w:t>Texts adopted - Civil liability regime for artificial intelligence - Tuesday, 20 October 2020 (europa.eu)</w:t>
        </w:r>
      </w:hyperlink>
      <w:r w:rsidRPr="0061648D">
        <w:rPr>
          <w:sz w:val="18"/>
          <w:szCs w:val="18"/>
        </w:rPr>
        <w:t>.</w:t>
      </w:r>
    </w:p>
  </w:footnote>
  <w:footnote w:id="7">
    <w:p w14:paraId="22C9B489" w14:textId="70838230"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hyperlink r:id="rId4" w:history="1">
        <w:r w:rsidRPr="0061648D">
          <w:rPr>
            <w:rStyle w:val="Hyperlink"/>
            <w:sz w:val="18"/>
            <w:szCs w:val="18"/>
          </w:rPr>
          <w:t>Sustainable products initiative (europa.eu)</w:t>
        </w:r>
      </w:hyperlink>
      <w:r w:rsidRPr="0061648D">
        <w:rPr>
          <w:sz w:val="18"/>
          <w:szCs w:val="18"/>
        </w:rPr>
        <w:t>.</w:t>
      </w:r>
    </w:p>
  </w:footnote>
  <w:footnote w:id="8">
    <w:p w14:paraId="19D9F605" w14:textId="0E03D01C"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hyperlink r:id="rId5" w:history="1">
        <w:r w:rsidRPr="0061648D">
          <w:rPr>
            <w:rStyle w:val="Hyperlink"/>
            <w:sz w:val="18"/>
            <w:szCs w:val="18"/>
          </w:rPr>
          <w:t>Revision of the EU general pharmaceuticals legislation (europa.eu)</w:t>
        </w:r>
      </w:hyperlink>
      <w:r w:rsidRPr="0061648D">
        <w:rPr>
          <w:sz w:val="18"/>
          <w:szCs w:val="18"/>
        </w:rPr>
        <w:t>.</w:t>
      </w:r>
    </w:p>
  </w:footnote>
  <w:footnote w:id="9">
    <w:p w14:paraId="4D77E673" w14:textId="3BE9D1D0"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lang w:val="en-IE"/>
        </w:rPr>
        <w:t xml:space="preserve"> </w:t>
      </w:r>
      <w:r w:rsidRPr="0061648D">
        <w:rPr>
          <w:sz w:val="18"/>
          <w:szCs w:val="18"/>
          <w:lang w:val="en-US"/>
        </w:rPr>
        <w:t>Evaluation of Product Liability Directive,</w:t>
      </w:r>
      <w:r w:rsidRPr="0061648D">
        <w:rPr>
          <w:color w:val="444444"/>
          <w:sz w:val="18"/>
          <w:szCs w:val="18"/>
          <w:shd w:val="clear" w:color="auto" w:fill="FFFFFF"/>
          <w:lang w:val="en-US"/>
        </w:rPr>
        <w:t xml:space="preserve"> </w:t>
      </w:r>
      <w:hyperlink r:id="rId6" w:history="1">
        <w:r w:rsidRPr="0061648D">
          <w:rPr>
            <w:rStyle w:val="Hyperlink"/>
            <w:sz w:val="18"/>
            <w:szCs w:val="18"/>
            <w:lang w:val="en-US"/>
          </w:rPr>
          <w:t>SWD(2018)157</w:t>
        </w:r>
      </w:hyperlink>
      <w:r>
        <w:rPr>
          <w:rStyle w:val="Hyperlink"/>
          <w:sz w:val="18"/>
          <w:szCs w:val="18"/>
          <w:lang w:val="en-US"/>
        </w:rPr>
        <w:t>.</w:t>
      </w:r>
    </w:p>
  </w:footnote>
  <w:footnote w:id="10">
    <w:p w14:paraId="50E234DB" w14:textId="0F96C1F3"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7" w:history="1">
        <w:r w:rsidRPr="0061648D">
          <w:rPr>
            <w:rStyle w:val="Hyperlink"/>
            <w:sz w:val="18"/>
            <w:szCs w:val="18"/>
            <w:lang w:val="en-IE"/>
          </w:rPr>
          <w:t xml:space="preserve">European Commission, </w:t>
        </w:r>
        <w:r w:rsidRPr="0061648D">
          <w:rPr>
            <w:rStyle w:val="Hyperlink"/>
            <w:i/>
            <w:iCs/>
            <w:sz w:val="18"/>
            <w:szCs w:val="18"/>
            <w:lang w:val="en-IE"/>
          </w:rPr>
          <w:t>White Paper on Artificial Intelligence - A European approach to excellence and trust</w:t>
        </w:r>
        <w:r w:rsidRPr="0061648D">
          <w:rPr>
            <w:rStyle w:val="Hyperlink"/>
            <w:sz w:val="18"/>
            <w:szCs w:val="18"/>
            <w:lang w:val="en-IE"/>
          </w:rPr>
          <w:t>, COM(2020) 65 final, 2020.</w:t>
        </w:r>
      </w:hyperlink>
    </w:p>
  </w:footnote>
  <w:footnote w:id="11">
    <w:p w14:paraId="29CB990C" w14:textId="798C195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8" w:history="1">
        <w:r w:rsidRPr="0061648D">
          <w:rPr>
            <w:rStyle w:val="Hyperlink"/>
            <w:sz w:val="18"/>
            <w:szCs w:val="18"/>
          </w:rPr>
          <w:t xml:space="preserve">European Commission, </w:t>
        </w:r>
        <w:r w:rsidRPr="0061648D">
          <w:rPr>
            <w:rStyle w:val="Hyperlink"/>
            <w:i/>
            <w:iCs/>
            <w:sz w:val="18"/>
            <w:szCs w:val="18"/>
          </w:rPr>
          <w:t xml:space="preserve">Report on safety and liability implications of AI, the Internet of Things and Robotics, </w:t>
        </w:r>
        <w:r w:rsidRPr="0061648D">
          <w:rPr>
            <w:rStyle w:val="Hyperlink"/>
            <w:iCs/>
            <w:sz w:val="18"/>
            <w:szCs w:val="18"/>
          </w:rPr>
          <w:t>COM(2020) 64 final</w:t>
        </w:r>
        <w:r w:rsidRPr="0061648D">
          <w:rPr>
            <w:rStyle w:val="Hyperlink"/>
            <w:sz w:val="18"/>
            <w:szCs w:val="18"/>
          </w:rPr>
          <w:t>, 2020</w:t>
        </w:r>
      </w:hyperlink>
      <w:r w:rsidRPr="0061648D">
        <w:rPr>
          <w:sz w:val="18"/>
          <w:szCs w:val="18"/>
        </w:rPr>
        <w:t xml:space="preserve">. </w:t>
      </w:r>
    </w:p>
  </w:footnote>
  <w:footnote w:id="12">
    <w:p w14:paraId="61B57379" w14:textId="251436C9"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lang w:val="en-IE"/>
        </w:rPr>
        <w:t xml:space="preserve"> </w:t>
      </w:r>
      <w:r w:rsidRPr="0061648D">
        <w:rPr>
          <w:sz w:val="18"/>
          <w:szCs w:val="18"/>
        </w:rPr>
        <w:t xml:space="preserve">Expert Group on Liability and New Technologies (2019), </w:t>
      </w:r>
      <w:hyperlink r:id="rId9" w:history="1">
        <w:r w:rsidRPr="0061648D">
          <w:rPr>
            <w:rStyle w:val="Hyperlink"/>
            <w:sz w:val="18"/>
            <w:szCs w:val="18"/>
          </w:rPr>
          <w:t>Report</w:t>
        </w:r>
      </w:hyperlink>
      <w:r w:rsidRPr="0061648D">
        <w:rPr>
          <w:sz w:val="18"/>
          <w:szCs w:val="18"/>
        </w:rPr>
        <w:t xml:space="preserve"> on Liability for artificial intelligence and other emerging digital technologies</w:t>
      </w:r>
      <w:r>
        <w:rPr>
          <w:sz w:val="18"/>
          <w:szCs w:val="18"/>
        </w:rPr>
        <w:t>.</w:t>
      </w:r>
    </w:p>
  </w:footnote>
  <w:footnote w:id="13">
    <w:p w14:paraId="7BA94941" w14:textId="30BC702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lang w:val="en-IE"/>
        </w:rPr>
        <w:t xml:space="preserve"> CJEU, Judgment of 10 June 2021, </w:t>
      </w:r>
      <w:r w:rsidRPr="0061648D">
        <w:rPr>
          <w:i/>
          <w:sz w:val="18"/>
          <w:szCs w:val="18"/>
          <w:lang w:val="en-IE"/>
        </w:rPr>
        <w:t>Case C-65/20</w:t>
      </w:r>
      <w:r w:rsidRPr="0061648D">
        <w:rPr>
          <w:sz w:val="18"/>
          <w:szCs w:val="18"/>
          <w:lang w:val="en-IE"/>
        </w:rPr>
        <w:t>; CJEU, Judgement of 21 December 2011</w:t>
      </w:r>
      <w:r w:rsidRPr="0061648D">
        <w:rPr>
          <w:i/>
          <w:iCs/>
          <w:sz w:val="18"/>
          <w:szCs w:val="18"/>
          <w:lang w:val="en-IE"/>
        </w:rPr>
        <w:t>, Case C-495/11</w:t>
      </w:r>
      <w:r w:rsidRPr="0061648D">
        <w:rPr>
          <w:sz w:val="18"/>
          <w:szCs w:val="18"/>
          <w:lang w:val="en-IE"/>
        </w:rPr>
        <w:t>.</w:t>
      </w:r>
      <w:r>
        <w:rPr>
          <w:sz w:val="18"/>
          <w:szCs w:val="18"/>
          <w:lang w:val="en-IE"/>
        </w:rPr>
        <w:t xml:space="preserve"> </w:t>
      </w:r>
    </w:p>
  </w:footnote>
  <w:footnote w:id="14">
    <w:p w14:paraId="557ADC0E" w14:textId="2D6101CF"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lang w:val="en-IE"/>
        </w:rPr>
        <w:t xml:space="preserve"> CJEU, Judgment of 10 May 2001. </w:t>
      </w:r>
      <w:r w:rsidRPr="0061648D">
        <w:rPr>
          <w:i/>
          <w:iCs/>
          <w:sz w:val="18"/>
          <w:szCs w:val="18"/>
          <w:lang w:val="en-IE"/>
        </w:rPr>
        <w:t>Case C-203/99.</w:t>
      </w:r>
      <w:r>
        <w:rPr>
          <w:sz w:val="18"/>
          <w:szCs w:val="18"/>
          <w:lang w:val="en-IE"/>
        </w:rPr>
        <w:t xml:space="preserve"> </w:t>
      </w:r>
    </w:p>
  </w:footnote>
  <w:footnote w:id="15">
    <w:p w14:paraId="03C6F318" w14:textId="07B25E8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 xml:space="preserve">CJEU, Judgment of 21 June 2017. </w:t>
      </w:r>
      <w:r w:rsidRPr="0061648D">
        <w:rPr>
          <w:i/>
          <w:iCs/>
          <w:sz w:val="18"/>
          <w:szCs w:val="18"/>
          <w:lang w:val="en-IE"/>
        </w:rPr>
        <w:t>Case C-621/15</w:t>
      </w:r>
      <w:r w:rsidRPr="0061648D">
        <w:rPr>
          <w:sz w:val="18"/>
          <w:szCs w:val="18"/>
          <w:lang w:val="en-IE"/>
        </w:rPr>
        <w:t>.</w:t>
      </w:r>
    </w:p>
  </w:footnote>
  <w:footnote w:id="16">
    <w:p w14:paraId="5497817E" w14:textId="5FDBD456"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10" w:history="1">
        <w:r w:rsidRPr="0061648D">
          <w:rPr>
            <w:rStyle w:val="Hyperlink"/>
            <w:sz w:val="18"/>
            <w:szCs w:val="18"/>
          </w:rPr>
          <w:t>SWD(2018)157</w:t>
        </w:r>
      </w:hyperlink>
      <w:r w:rsidRPr="0061648D">
        <w:rPr>
          <w:sz w:val="18"/>
          <w:szCs w:val="18"/>
        </w:rPr>
        <w:t>, p. 11.</w:t>
      </w:r>
    </w:p>
  </w:footnote>
  <w:footnote w:id="17">
    <w:p w14:paraId="34FC4E0E"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Depending on the circumstances, victims may also have a strict liability claim at national level for which they do not have to prove fault, for example claims against vehicle owners in most Member States.</w:t>
      </w:r>
    </w:p>
  </w:footnote>
  <w:footnote w:id="18">
    <w:p w14:paraId="1D2DAC15" w14:textId="4866D73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Note that alongside fault-based liability, all Member States have strict liability regimes where fault does not need to be proven, for example regimes covering the ownership of dangerous things such as motor vehicles.</w:t>
      </w:r>
    </w:p>
  </w:footnote>
  <w:footnote w:id="19">
    <w:p w14:paraId="28F39FDD"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(EU) 2019/771 on certain aspects concerning contracts for the sale of goods. </w:t>
      </w:r>
    </w:p>
  </w:footnote>
  <w:footnote w:id="20">
    <w:p w14:paraId="25489DFB"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(EU)</w:t>
      </w:r>
      <w:r w:rsidRPr="0061648D">
        <w:rPr>
          <w:sz w:val="18"/>
          <w:szCs w:val="18"/>
          <w:lang w:val="en-IE"/>
        </w:rPr>
        <w:t xml:space="preserve"> 2019/770 on certain aspects concerning contracts for the supply of digital content and digital services.</w:t>
      </w:r>
    </w:p>
  </w:footnote>
  <w:footnote w:id="21">
    <w:p w14:paraId="0147EB5C" w14:textId="60E05CA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2016/679 </w:t>
      </w:r>
      <w:r w:rsidRPr="0061648D">
        <w:rPr>
          <w:sz w:val="18"/>
          <w:szCs w:val="18"/>
          <w:lang w:val="en-IE"/>
        </w:rPr>
        <w:t xml:space="preserve">on the protection of natural persons with regard to the processing of personal data and on the free movement of such data </w:t>
      </w:r>
      <w:r w:rsidRPr="0061648D">
        <w:rPr>
          <w:sz w:val="18"/>
          <w:szCs w:val="18"/>
        </w:rPr>
        <w:t>(GDPR).</w:t>
      </w:r>
    </w:p>
  </w:footnote>
  <w:footnote w:id="22">
    <w:p w14:paraId="46A0E3EE" w14:textId="1A4F015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2004/35/EC on environmental liability with regard to the prevention and remedying of environmental damage.</w:t>
      </w:r>
    </w:p>
  </w:footnote>
  <w:footnote w:id="23">
    <w:p w14:paraId="19809101" w14:textId="63F3CA9C"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Council Directive 87/357/EEC and Directive 2001/95/EC</w:t>
      </w:r>
    </w:p>
  </w:footnote>
  <w:footnote w:id="24">
    <w:p w14:paraId="0C17FFB7" w14:textId="6AF42B3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Beyond sectoral legislation and the GPSD, there is also technology-specific but horizontal product safety legislation, notably the proposed AI Act, see section 1.2.5.</w:t>
      </w:r>
    </w:p>
  </w:footnote>
  <w:footnote w:id="25">
    <w:p w14:paraId="006E9C6C" w14:textId="77A31032"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Established by Regulation (EU) 2019/1020 on market surveillance</w:t>
      </w:r>
    </w:p>
  </w:footnote>
  <w:footnote w:id="26">
    <w:p w14:paraId="04B85817" w14:textId="30D8DB4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Regulation (EU) 2019/881 on ENISA (the European Union Agency for Cybersecurity) and on information and communications technology cybersecurity certification and repealing Regulation (EU) No 526/2013 (Cybersecurity Act) (Text with EEA relevance), OJ L 151, 7.6.2019, pp. 15-69.</w:t>
      </w:r>
      <w:r>
        <w:rPr>
          <w:sz w:val="18"/>
          <w:szCs w:val="18"/>
          <w:lang w:val="en-IE"/>
        </w:rPr>
        <w:t xml:space="preserve"> </w:t>
      </w:r>
    </w:p>
  </w:footnote>
  <w:footnote w:id="27">
    <w:p w14:paraId="2CAD854B" w14:textId="650792F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Commission Delegated Regulation</w:t>
      </w:r>
      <w:r w:rsidRPr="0061648D">
        <w:rPr>
          <w:rFonts w:eastAsiaTheme="minorHAnsi"/>
          <w:sz w:val="18"/>
          <w:szCs w:val="18"/>
        </w:rPr>
        <w:t xml:space="preserve"> (EU) 2022/30 of 29 October 2021 </w:t>
      </w:r>
      <w:r w:rsidRPr="0061648D">
        <w:rPr>
          <w:sz w:val="18"/>
          <w:szCs w:val="18"/>
        </w:rPr>
        <w:t>supplementing Directive 2014/53/EU of the European Parliament and of the Council with regard to the application of the essential requirements referred to in Article 3(3), points (d), (e) and (f), of that Directive</w:t>
      </w:r>
    </w:p>
  </w:footnote>
  <w:footnote w:id="28">
    <w:p w14:paraId="4C3E3612" w14:textId="2262DB5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Radio Equipment Directive 2014/53/EU, Article 3(3)(e) and Article 3(3)(f).</w:t>
      </w:r>
    </w:p>
  </w:footnote>
  <w:footnote w:id="29">
    <w:p w14:paraId="11C4E2F3" w14:textId="31CB58F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11" w:history="1">
        <w:r w:rsidRPr="0061648D">
          <w:rPr>
            <w:rStyle w:val="Hyperlink"/>
            <w:sz w:val="18"/>
            <w:szCs w:val="18"/>
          </w:rPr>
          <w:t>How a European Cyber Resilience Act will help protect Europe, European Commission (europa.eu)</w:t>
        </w:r>
      </w:hyperlink>
      <w:r w:rsidRPr="0061648D">
        <w:rPr>
          <w:rStyle w:val="Hyperlink"/>
          <w:sz w:val="18"/>
          <w:szCs w:val="18"/>
        </w:rPr>
        <w:t>.</w:t>
      </w:r>
    </w:p>
  </w:footnote>
  <w:footnote w:id="30">
    <w:p w14:paraId="64EF146B" w14:textId="7A7CD942"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COM(2021) 202 final.</w:t>
      </w:r>
    </w:p>
  </w:footnote>
  <w:footnote w:id="31">
    <w:p w14:paraId="231F3C2D" w14:textId="45A729AA"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COM(2021)346 final.</w:t>
      </w:r>
    </w:p>
  </w:footnote>
  <w:footnote w:id="32">
    <w:p w14:paraId="779E3D0C" w14:textId="256B78D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Proposal for a Regulation of the European Parliament and of the Council on a Single Market For Digital Services (Digital Services Act) and amending Directive 2000/31/EC, COM(2020) 825 final</w:t>
      </w:r>
    </w:p>
  </w:footnote>
  <w:footnote w:id="33">
    <w:p w14:paraId="515941A9" w14:textId="51E1F29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12" w:history="1">
        <w:r w:rsidRPr="0061648D">
          <w:rPr>
            <w:rStyle w:val="Hyperlink"/>
            <w:sz w:val="18"/>
            <w:szCs w:val="18"/>
          </w:rPr>
          <w:t>Circular economy action plan</w:t>
        </w:r>
      </w:hyperlink>
      <w:r w:rsidRPr="0061648D">
        <w:rPr>
          <w:sz w:val="18"/>
          <w:szCs w:val="18"/>
        </w:rPr>
        <w:t>, March 2020</w:t>
      </w:r>
    </w:p>
    <w:p w14:paraId="6838D2D9" w14:textId="38F6438A" w:rsidR="00030C20" w:rsidRPr="0061648D" w:rsidRDefault="00030C20" w:rsidP="0061648D">
      <w:pPr>
        <w:pStyle w:val="FootnoteText"/>
        <w:jc w:val="both"/>
        <w:rPr>
          <w:sz w:val="18"/>
          <w:szCs w:val="18"/>
        </w:rPr>
      </w:pPr>
    </w:p>
  </w:footnote>
  <w:footnote w:id="34">
    <w:p w14:paraId="38AD6538" w14:textId="723F5609"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Proposal for a Regulation of the European Parliament and of the Council laying down harmonised rules on artificial intelligence (AI Act), COM(2021)206 final.</w:t>
      </w:r>
    </w:p>
  </w:footnote>
  <w:footnote w:id="35">
    <w:p w14:paraId="3B4C4D3A" w14:textId="0E745FE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John C.P. Goldberg, Twentieth-Century Tort Theory, 91 GEO. L.J. 513 (2003).</w:t>
      </w:r>
    </w:p>
  </w:footnote>
  <w:footnote w:id="36">
    <w:p w14:paraId="623EF939" w14:textId="685B28F3" w:rsidR="00030C20" w:rsidRDefault="00030C20">
      <w:pPr>
        <w:pStyle w:val="FootnoteText"/>
      </w:pPr>
      <w:r w:rsidRPr="00610695">
        <w:rPr>
          <w:rStyle w:val="FootnoteReference"/>
          <w:sz w:val="18"/>
          <w:szCs w:val="18"/>
        </w:rPr>
        <w:footnoteRef/>
      </w:r>
      <w:r w:rsidRPr="00610695">
        <w:rPr>
          <w:sz w:val="18"/>
          <w:szCs w:val="18"/>
        </w:rPr>
        <w:t xml:space="preserve"> The evaluation study found that there was no particular difference in the level of success of injured parties if the case is settled in court rather than out of it.</w:t>
      </w:r>
    </w:p>
  </w:footnote>
  <w:footnote w:id="37">
    <w:p w14:paraId="1E33C40E" w14:textId="25F85B86"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13" w:history="1">
        <w:r w:rsidRPr="0061648D">
          <w:rPr>
            <w:rStyle w:val="Hyperlink"/>
            <w:sz w:val="18"/>
            <w:szCs w:val="18"/>
          </w:rPr>
          <w:t>SWD(2018)157</w:t>
        </w:r>
      </w:hyperlink>
      <w:r w:rsidRPr="0061648D">
        <w:rPr>
          <w:sz w:val="18"/>
          <w:szCs w:val="18"/>
        </w:rPr>
        <w:t xml:space="preserve">, p. 21. </w:t>
      </w:r>
    </w:p>
  </w:footnote>
  <w:footnote w:id="38">
    <w:p w14:paraId="1500AF26"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Geiss, O. et al. (2016), Injury and accident data collection efforts in Europe in support of consumer product safety policy.</w:t>
      </w:r>
    </w:p>
  </w:footnote>
  <w:footnote w:id="39">
    <w:p w14:paraId="54B7F6C2" w14:textId="1B1E0B4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14" w:history="1">
        <w:r w:rsidRPr="0061648D">
          <w:rPr>
            <w:rStyle w:val="Hyperlink"/>
            <w:sz w:val="18"/>
            <w:szCs w:val="18"/>
          </w:rPr>
          <w:t>SWD(2018)157</w:t>
        </w:r>
      </w:hyperlink>
      <w:r w:rsidRPr="0061648D">
        <w:rPr>
          <w:sz w:val="18"/>
          <w:szCs w:val="18"/>
        </w:rPr>
        <w:t>.</w:t>
      </w:r>
    </w:p>
  </w:footnote>
  <w:footnote w:id="40">
    <w:p w14:paraId="5A87A8C3" w14:textId="6CA6E93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15" w:history="1">
        <w:r w:rsidRPr="0061648D">
          <w:rPr>
            <w:rStyle w:val="Hyperlink"/>
            <w:sz w:val="18"/>
            <w:szCs w:val="18"/>
          </w:rPr>
          <w:t>SWD(2018)157</w:t>
        </w:r>
      </w:hyperlink>
      <w:r w:rsidRPr="0061648D">
        <w:rPr>
          <w:sz w:val="18"/>
          <w:szCs w:val="18"/>
        </w:rPr>
        <w:t>. General product liability insurance policies covers products’ strict liability, contractual liability and fault-based liability, such as negligence.</w:t>
      </w:r>
    </w:p>
  </w:footnote>
  <w:footnote w:id="41">
    <w:p w14:paraId="6473F046" w14:textId="3178E6A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Annual growth rate of 2.9%; Netherlands: EUR 5.4 billion to EUR 6 billion (3.7%); Poland: EUR 2.1 billion to 2.4 billion (4%). See </w:t>
      </w:r>
      <w:r w:rsidRPr="0061648D">
        <w:rPr>
          <w:sz w:val="18"/>
          <w:szCs w:val="18"/>
          <w:lang w:val="en-US"/>
        </w:rPr>
        <w:t>CSES with Wavestone, CSIL (2022), Impact assessment study on the revision of Product Liability Directive, section 2.1.1.1.</w:t>
      </w:r>
    </w:p>
  </w:footnote>
  <w:footnote w:id="42">
    <w:p w14:paraId="18659357" w14:textId="624A045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16" w:history="1">
        <w:r w:rsidRPr="0061648D">
          <w:rPr>
            <w:rStyle w:val="Hyperlink"/>
            <w:sz w:val="18"/>
            <w:szCs w:val="18"/>
          </w:rPr>
          <w:t>Eurostat, Internet of Things - barriers to use, 2020</w:t>
        </w:r>
      </w:hyperlink>
      <w:r w:rsidRPr="0061648D">
        <w:rPr>
          <w:sz w:val="18"/>
          <w:szCs w:val="18"/>
        </w:rPr>
        <w:t xml:space="preserve"> (consulted on 22 November 2021).</w:t>
      </w:r>
    </w:p>
  </w:footnote>
  <w:footnote w:id="43">
    <w:p w14:paraId="0586045F" w14:textId="77A613C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17" w:history="1">
        <w:r w:rsidRPr="0061648D">
          <w:rPr>
            <w:rStyle w:val="Hyperlink"/>
            <w:sz w:val="18"/>
            <w:szCs w:val="18"/>
          </w:rPr>
          <w:t>SWD(2018)157</w:t>
        </w:r>
      </w:hyperlink>
      <w:r w:rsidRPr="0061648D">
        <w:rPr>
          <w:sz w:val="18"/>
          <w:szCs w:val="18"/>
        </w:rPr>
        <w:t>, p. 12</w:t>
      </w:r>
      <w:r w:rsidRPr="0061648D">
        <w:rPr>
          <w:noProof/>
          <w:sz w:val="18"/>
          <w:szCs w:val="18"/>
        </w:rPr>
        <w:t>.</w:t>
      </w:r>
    </w:p>
  </w:footnote>
  <w:footnote w:id="44">
    <w:p w14:paraId="59EEB54A" w14:textId="599C8EF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Confirmed in Joined Cases C-503/13 and C-504/13, Boston Scientific Medizintechnik GmbH; see also P. Machnikowski (ed.), European Product Liability: An Analysis of the State of the Art in the Era of New Technologies (2016), p. 100. </w:t>
      </w:r>
    </w:p>
  </w:footnote>
  <w:footnote w:id="45">
    <w:p w14:paraId="22F20C58" w14:textId="2565E18B"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18" w:history="1">
        <w:r w:rsidRPr="0061648D">
          <w:rPr>
            <w:rStyle w:val="Hyperlink"/>
            <w:sz w:val="18"/>
            <w:szCs w:val="18"/>
          </w:rPr>
          <w:t>SWD(2018)157</w:t>
        </w:r>
      </w:hyperlink>
      <w:r w:rsidRPr="0061648D">
        <w:rPr>
          <w:sz w:val="18"/>
          <w:szCs w:val="18"/>
        </w:rPr>
        <w:t>, p. 61.</w:t>
      </w:r>
    </w:p>
  </w:footnote>
  <w:footnote w:id="46">
    <w:p w14:paraId="3AD05ACB" w14:textId="2BBA6086"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Position paper of </w:t>
      </w:r>
      <w:r w:rsidRPr="0061648D">
        <w:rPr>
          <w:sz w:val="18"/>
          <w:szCs w:val="18"/>
        </w:rPr>
        <w:t xml:space="preserve">Business Europe </w:t>
      </w:r>
      <w:r w:rsidRPr="0061648D">
        <w:rPr>
          <w:sz w:val="18"/>
          <w:szCs w:val="18"/>
          <w:lang w:val="en-IE"/>
        </w:rPr>
        <w:t>in response to public consultation, p. 4.</w:t>
      </w:r>
    </w:p>
  </w:footnote>
  <w:footnote w:id="47">
    <w:p w14:paraId="6637FAE1"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EFPIA, European Federation of Pharmaceutical Industries and Associations, Position paper in response to public consultation, p. 8.</w:t>
      </w:r>
    </w:p>
  </w:footnote>
  <w:footnote w:id="48">
    <w:p w14:paraId="0CA0817A"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BEUC (2020). Product Liability 2.0 - How to make EU rules fit for consumers in the digital age. BEUC-X-2020-024 - 07/05/2020.</w:t>
      </w:r>
    </w:p>
  </w:footnote>
  <w:footnote w:id="49">
    <w:p w14:paraId="624CC44C"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Article 7(b) of the PLD.</w:t>
      </w:r>
    </w:p>
  </w:footnote>
  <w:footnote w:id="50">
    <w:p w14:paraId="64142476" w14:textId="65842E4D" w:rsidR="00030C20" w:rsidRPr="0061648D" w:rsidRDefault="00030C20" w:rsidP="0061648D">
      <w:pPr>
        <w:pStyle w:val="FootnoteText"/>
        <w:jc w:val="both"/>
        <w:rPr>
          <w:sz w:val="18"/>
          <w:szCs w:val="18"/>
          <w:lang w:val="en-US"/>
        </w:rPr>
      </w:pPr>
      <w:r w:rsidRPr="0061648D">
        <w:rPr>
          <w:rStyle w:val="FootnoteReference"/>
          <w:sz w:val="18"/>
          <w:szCs w:val="18"/>
        </w:rPr>
        <w:footnoteRef/>
      </w:r>
      <w:r w:rsidRPr="0061648D">
        <w:rPr>
          <w:sz w:val="18"/>
          <w:szCs w:val="18"/>
          <w:lang w:val="en-US"/>
        </w:rPr>
        <w:t xml:space="preserve"> European Union Agency for Cybersecurity (ENISA) (2021). ENISA threat landscape 2021, p. 82</w:t>
      </w:r>
    </w:p>
  </w:footnote>
  <w:footnote w:id="51">
    <w:p w14:paraId="190DCA0D" w14:textId="319C263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(EU) 2019/771 on certain aspects concerning contracts for the sale of goods, Art. 7(3). Other legislation requires manufacturers to take corrective measures if a product is no longer safe, which could include corrective software updates, e.g. Regulation (EU) 2017/745 on medical devices, Art. 83(3)(e); Radio Equipment Directive 2014/53/EU, Article 3(3)(e) and Article 3(3)(f); COM(2021)346 final, Art. 7(1)(h) and recital 23.</w:t>
      </w:r>
    </w:p>
  </w:footnote>
  <w:footnote w:id="52">
    <w:p w14:paraId="2F5302BB" w14:textId="76715B4B"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Position Paper of Eurosmart (2020) </w:t>
      </w:r>
      <w:r w:rsidRPr="0061648D">
        <w:rPr>
          <w:sz w:val="18"/>
          <w:szCs w:val="18"/>
          <w:lang w:val="en-IE"/>
        </w:rPr>
        <w:t xml:space="preserve">in response to public consultation, p. 3. </w:t>
      </w:r>
    </w:p>
  </w:footnote>
  <w:footnote w:id="53">
    <w:p w14:paraId="606E3E8D" w14:textId="75C842B4"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Expert Group on Liability and New Technologies (2019), Report on Liability for artificial intelligence and other emerging digital technologies, p. 41.</w:t>
      </w:r>
    </w:p>
  </w:footnote>
  <w:footnote w:id="54">
    <w:p w14:paraId="59F233D2" w14:textId="036259B6"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US"/>
        </w:rPr>
        <w:t xml:space="preserve">European Commission (2020), </w:t>
      </w:r>
      <w:r w:rsidRPr="0061648D">
        <w:rPr>
          <w:sz w:val="18"/>
          <w:szCs w:val="18"/>
        </w:rPr>
        <w:t>Report on the Safety and Liability Implications of Artificial Intelligence, the Internet of Things and Robotics. P.13; Vellinga, N. (2019), Automated Driving: Liability of the Software Producer and the Producer of the Automated Vehicle. University of Groeningen. Social Science Research Network Electronic Paper Collection; Wagner, G., (2018) Robot Liability, p.11.</w:t>
      </w:r>
    </w:p>
  </w:footnote>
  <w:footnote w:id="55">
    <w:p w14:paraId="006289E8" w14:textId="4103F194" w:rsidR="00030C20" w:rsidRPr="0061648D" w:rsidRDefault="00030C20" w:rsidP="0061648D">
      <w:pPr>
        <w:pStyle w:val="FootnoteText"/>
        <w:jc w:val="both"/>
        <w:rPr>
          <w:sz w:val="18"/>
          <w:szCs w:val="18"/>
          <w:lang w:val="en-US"/>
        </w:rPr>
      </w:pPr>
      <w:r w:rsidRPr="0061648D">
        <w:rPr>
          <w:rStyle w:val="FootnoteReference"/>
          <w:rFonts w:eastAsiaTheme="majorEastAsia"/>
          <w:sz w:val="18"/>
          <w:szCs w:val="18"/>
        </w:rPr>
        <w:footnoteRef/>
      </w:r>
      <w:r w:rsidRPr="0061648D">
        <w:rPr>
          <w:sz w:val="18"/>
          <w:szCs w:val="18"/>
          <w:lang w:val="en-US"/>
        </w:rPr>
        <w:t xml:space="preserve"> Duncan Fairgrieve (2020), Product Liability, 3</w:t>
      </w:r>
      <w:r w:rsidRPr="0061648D">
        <w:rPr>
          <w:sz w:val="18"/>
          <w:szCs w:val="18"/>
          <w:vertAlign w:val="superscript"/>
          <w:lang w:val="en-US"/>
        </w:rPr>
        <w:t>rd</w:t>
      </w:r>
      <w:r w:rsidRPr="0061648D">
        <w:rPr>
          <w:sz w:val="18"/>
          <w:szCs w:val="18"/>
          <w:lang w:val="en-US"/>
        </w:rPr>
        <w:t xml:space="preserve"> edition, p. 292. </w:t>
      </w:r>
    </w:p>
  </w:footnote>
  <w:footnote w:id="56">
    <w:p w14:paraId="5F514539" w14:textId="6F185D34"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See P. Machnikowski (ed.) (2016), European Product Liability: An Analysis of the State of the Art in the Era of New Technologies, p. 46 for an overview.</w:t>
      </w:r>
    </w:p>
  </w:footnote>
  <w:footnote w:id="57">
    <w:p w14:paraId="27EE2B75" w14:textId="77777777" w:rsidR="00030C20" w:rsidRPr="0061648D" w:rsidRDefault="00030C20" w:rsidP="0061648D">
      <w:pPr>
        <w:pStyle w:val="FootnoteText"/>
        <w:jc w:val="both"/>
        <w:rPr>
          <w:sz w:val="18"/>
          <w:szCs w:val="18"/>
        </w:rPr>
      </w:pPr>
      <w:r w:rsidRPr="0061648D">
        <w:rPr>
          <w:rStyle w:val="FootnoteReference"/>
          <w:rFonts w:eastAsiaTheme="majorEastAsia"/>
          <w:sz w:val="18"/>
          <w:szCs w:val="18"/>
        </w:rPr>
        <w:footnoteRef/>
      </w:r>
      <w:r w:rsidRPr="0061648D">
        <w:rPr>
          <w:sz w:val="18"/>
          <w:szCs w:val="18"/>
        </w:rPr>
        <w:t xml:space="preserve"> Response to inception impact assessment, June 2021: BSA – Software Alliance.</w:t>
      </w:r>
    </w:p>
  </w:footnote>
  <w:footnote w:id="58">
    <w:p w14:paraId="38BF890F" w14:textId="77777777" w:rsidR="00030C20" w:rsidRPr="0061648D" w:rsidRDefault="00030C20" w:rsidP="0061648D">
      <w:pPr>
        <w:pStyle w:val="FootnoteText"/>
        <w:jc w:val="both"/>
        <w:rPr>
          <w:sz w:val="18"/>
          <w:szCs w:val="18"/>
        </w:rPr>
      </w:pPr>
      <w:r w:rsidRPr="0061648D">
        <w:rPr>
          <w:rStyle w:val="FootnoteReference"/>
          <w:rFonts w:eastAsiaTheme="majorEastAsia"/>
          <w:sz w:val="18"/>
          <w:szCs w:val="18"/>
        </w:rPr>
        <w:footnoteRef/>
      </w:r>
      <w:r w:rsidRPr="0061648D">
        <w:rPr>
          <w:sz w:val="18"/>
          <w:szCs w:val="18"/>
        </w:rPr>
        <w:t xml:space="preserve"> Response to inception impact assessment, June 2021: MedTech Europe, Siemens Healthineers.</w:t>
      </w:r>
    </w:p>
  </w:footnote>
  <w:footnote w:id="59">
    <w:p w14:paraId="26F9E6FB" w14:textId="77777777" w:rsidR="00030C20" w:rsidRPr="0061648D" w:rsidRDefault="00030C20" w:rsidP="0061648D">
      <w:pPr>
        <w:pStyle w:val="FootnoteText"/>
        <w:jc w:val="both"/>
        <w:rPr>
          <w:sz w:val="18"/>
          <w:szCs w:val="18"/>
        </w:rPr>
      </w:pPr>
      <w:r w:rsidRPr="0061648D">
        <w:rPr>
          <w:rStyle w:val="FootnoteReference"/>
          <w:rFonts w:eastAsiaTheme="majorEastAsia"/>
          <w:sz w:val="18"/>
          <w:szCs w:val="18"/>
        </w:rPr>
        <w:footnoteRef/>
      </w:r>
      <w:r w:rsidRPr="0061648D">
        <w:rPr>
          <w:sz w:val="18"/>
          <w:szCs w:val="18"/>
        </w:rPr>
        <w:t xml:space="preserve"> Response to inception impact assessment, June 2021: Google.</w:t>
      </w:r>
    </w:p>
  </w:footnote>
  <w:footnote w:id="60">
    <w:p w14:paraId="27004249" w14:textId="77777777"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w:t>
      </w:r>
      <w:r w:rsidRPr="0061648D">
        <w:rPr>
          <w:sz w:val="18"/>
          <w:szCs w:val="18"/>
          <w:lang w:val="en-IE"/>
        </w:rPr>
        <w:t xml:space="preserve">Product Liability Directive, 4th recital. </w:t>
      </w:r>
    </w:p>
  </w:footnote>
  <w:footnote w:id="61">
    <w:p w14:paraId="78AA34EC" w14:textId="1E47103C"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w:t>
      </w:r>
      <w:r w:rsidRPr="0061648D">
        <w:rPr>
          <w:sz w:val="18"/>
          <w:szCs w:val="18"/>
          <w:lang w:val="en-IE"/>
        </w:rPr>
        <w:t>Christiane Wendehorst (2020), Study on Safety and Liability Related Aspects of Software, p. 82.</w:t>
      </w:r>
    </w:p>
  </w:footnote>
  <w:footnote w:id="62">
    <w:p w14:paraId="49859AC7" w14:textId="1CFB22F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2017/745 on medical devices.</w:t>
      </w:r>
    </w:p>
  </w:footnote>
  <w:footnote w:id="63">
    <w:p w14:paraId="258F9524" w14:textId="69797BF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COM(2021) 202 final.</w:t>
      </w:r>
    </w:p>
  </w:footnote>
  <w:footnote w:id="64">
    <w:p w14:paraId="10595F8C" w14:textId="3D159EA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COM(2021)206 final.</w:t>
      </w:r>
    </w:p>
  </w:footnote>
  <w:footnote w:id="65">
    <w:p w14:paraId="437945AA" w14:textId="77777777"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w:t>
      </w:r>
      <w:r w:rsidRPr="0061648D">
        <w:rPr>
          <w:sz w:val="18"/>
          <w:szCs w:val="18"/>
          <w:lang w:val="en-IE"/>
        </w:rPr>
        <w:t>For example ACEA (car manufacturers), APPLiA (domestic applicance manufacturers), CLEPA (automotive suppliers).</w:t>
      </w:r>
    </w:p>
  </w:footnote>
  <w:footnote w:id="66">
    <w:p w14:paraId="42C35A17" w14:textId="55EA6C1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US"/>
        </w:rPr>
        <w:t xml:space="preserve">European Commission (2020), </w:t>
      </w:r>
      <w:r w:rsidRPr="0061648D">
        <w:rPr>
          <w:sz w:val="18"/>
          <w:szCs w:val="18"/>
        </w:rPr>
        <w:t xml:space="preserve">Report on the Safety and Liability Implications of Artificial Intelligence, the Internet of Things and Robotics, p.61; For more detailed information about servitisation of the European economy: European Commission (2018), </w:t>
      </w:r>
      <w:hyperlink r:id="rId19" w:history="1">
        <w:r w:rsidRPr="0061648D">
          <w:rPr>
            <w:rStyle w:val="Hyperlink"/>
            <w:sz w:val="18"/>
            <w:szCs w:val="18"/>
          </w:rPr>
          <w:t>Study on the potential of servitisation and other forms of product-services provision for Eu SMEs</w:t>
        </w:r>
      </w:hyperlink>
    </w:p>
  </w:footnote>
  <w:footnote w:id="67">
    <w:p w14:paraId="1E726EF0" w14:textId="48B92989"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w:t>
      </w:r>
      <w:r w:rsidRPr="0061648D">
        <w:rPr>
          <w:sz w:val="18"/>
          <w:szCs w:val="18"/>
          <w:lang w:val="en-IE"/>
        </w:rPr>
        <w:t>Gerhard Wagner, Robot Liability (2018), Paper based on a presentation at the Münster Colloquium on EU Law and Digital Economy, Liability for Robotics and the Internet of Things</w:t>
      </w:r>
    </w:p>
  </w:footnote>
  <w:footnote w:id="68">
    <w:p w14:paraId="4E7242E3" w14:textId="24A65D5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20" w:history="1">
        <w:r w:rsidRPr="0061648D">
          <w:rPr>
            <w:rStyle w:val="Hyperlink"/>
            <w:sz w:val="18"/>
            <w:szCs w:val="18"/>
          </w:rPr>
          <w:t>Feedback to inception impact assessment from: CLEPA (European Association of Automotive Suppliers) (europa.eu)</w:t>
        </w:r>
      </w:hyperlink>
      <w:r w:rsidRPr="0061648D">
        <w:rPr>
          <w:sz w:val="18"/>
          <w:szCs w:val="18"/>
        </w:rPr>
        <w:t>.</w:t>
      </w:r>
    </w:p>
  </w:footnote>
  <w:footnote w:id="69">
    <w:p w14:paraId="37F1F1D8" w14:textId="027B596B" w:rsidR="00030C20" w:rsidRPr="0061648D" w:rsidRDefault="00030C20" w:rsidP="0061648D">
      <w:pPr>
        <w:pStyle w:val="FootnoteText"/>
        <w:jc w:val="both"/>
        <w:rPr>
          <w:sz w:val="18"/>
          <w:szCs w:val="18"/>
          <w:lang w:val="en-US"/>
        </w:rPr>
      </w:pPr>
      <w:r w:rsidRPr="0061648D">
        <w:rPr>
          <w:rStyle w:val="FootnoteReference"/>
          <w:rFonts w:eastAsiaTheme="majorEastAsia"/>
          <w:sz w:val="18"/>
          <w:szCs w:val="18"/>
        </w:rPr>
        <w:footnoteRef/>
      </w:r>
      <w:r w:rsidRPr="0061648D">
        <w:rPr>
          <w:sz w:val="18"/>
          <w:szCs w:val="18"/>
        </w:rPr>
        <w:t xml:space="preserve"> Twiggs-Flesner, C., (2021), Guiding Principles for Updating the Product Liability Directive for the Digital Age. ELI Innovation Paper Series, p. 5</w:t>
      </w:r>
    </w:p>
  </w:footnote>
  <w:footnote w:id="70">
    <w:p w14:paraId="761610AD" w14:textId="51221FE2"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P. Machnikowski (ed.) (2016), European Product Liability: An Analysis of the State of the Art in the Era of New Technologies, p. 691, and at ELI Webinar on </w:t>
      </w:r>
      <w:hyperlink r:id="rId21" w:history="1">
        <w:r w:rsidRPr="0061648D">
          <w:rPr>
            <w:rStyle w:val="Hyperlink"/>
            <w:sz w:val="18"/>
            <w:szCs w:val="18"/>
          </w:rPr>
          <w:t>Guiding Principles for Updating the Product Liability Directive for the Digital Age</w:t>
        </w:r>
      </w:hyperlink>
      <w:r w:rsidRPr="0061648D">
        <w:rPr>
          <w:sz w:val="18"/>
          <w:szCs w:val="18"/>
        </w:rPr>
        <w:t>, 23 February 2021.</w:t>
      </w:r>
    </w:p>
  </w:footnote>
  <w:footnote w:id="71">
    <w:p w14:paraId="478ABB8D" w14:textId="18F530F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EY, Technopolis, VVA (2018), </w:t>
      </w:r>
      <w:hyperlink r:id="rId22" w:history="1">
        <w:r w:rsidRPr="0061648D">
          <w:rPr>
            <w:rStyle w:val="Hyperlink"/>
            <w:sz w:val="18"/>
            <w:szCs w:val="18"/>
          </w:rPr>
          <w:t>Study</w:t>
        </w:r>
      </w:hyperlink>
      <w:r w:rsidRPr="0061648D">
        <w:rPr>
          <w:sz w:val="18"/>
          <w:szCs w:val="18"/>
        </w:rPr>
        <w:t xml:space="preserve"> accompanying Evaluation of Product Liability Directive, p. 24.</w:t>
      </w:r>
    </w:p>
  </w:footnote>
  <w:footnote w:id="72">
    <w:p w14:paraId="2F0692EA" w14:textId="77777777" w:rsidR="00030C20" w:rsidRPr="0061648D" w:rsidRDefault="00030C20" w:rsidP="0061648D">
      <w:pPr>
        <w:pStyle w:val="FootnoteText"/>
        <w:jc w:val="both"/>
        <w:rPr>
          <w:sz w:val="18"/>
          <w:szCs w:val="18"/>
          <w:lang w:val="en-IE"/>
        </w:rPr>
      </w:pPr>
      <w:r w:rsidRPr="0061648D">
        <w:rPr>
          <w:rStyle w:val="FootnoteReference"/>
          <w:rFonts w:eastAsiaTheme="majorEastAsia"/>
          <w:sz w:val="18"/>
          <w:szCs w:val="18"/>
        </w:rPr>
        <w:footnoteRef/>
      </w:r>
      <w:r w:rsidRPr="0061648D">
        <w:rPr>
          <w:sz w:val="18"/>
          <w:szCs w:val="18"/>
        </w:rPr>
        <w:t xml:space="preserve"> Response to inception impact assessment, June 2021: Bitkom and BSA – Software Alliance.</w:t>
      </w:r>
    </w:p>
  </w:footnote>
  <w:footnote w:id="73">
    <w:p w14:paraId="6C50FBFF" w14:textId="6051A2E8"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Interview with representative of automotive suppliers in the context of the supporting impact assessment study.</w:t>
      </w:r>
    </w:p>
  </w:footnote>
  <w:footnote w:id="74">
    <w:p w14:paraId="2E5A813E" w14:textId="4D51AA9F"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Christiane Wendehorst (2020), Study on Safety and Liability Related Aspects of Software, p. 50.</w:t>
      </w:r>
    </w:p>
  </w:footnote>
  <w:footnote w:id="75">
    <w:p w14:paraId="145E270D" w14:textId="44B8FF58"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Position paper in r</w:t>
      </w:r>
      <w:r w:rsidRPr="0061648D">
        <w:rPr>
          <w:sz w:val="18"/>
          <w:szCs w:val="18"/>
          <w:lang w:val="en-IE"/>
        </w:rPr>
        <w:t xml:space="preserve">esponse to public consultation: </w:t>
      </w:r>
      <w:hyperlink r:id="rId23" w:history="1">
        <w:r w:rsidRPr="0061648D">
          <w:rPr>
            <w:rStyle w:val="Hyperlink"/>
            <w:sz w:val="18"/>
            <w:szCs w:val="18"/>
          </w:rPr>
          <w:t>Civil liability – adapting liability rules to the digital age and artificial intelligence</w:t>
        </w:r>
      </w:hyperlink>
      <w:r w:rsidRPr="0061648D">
        <w:rPr>
          <w:sz w:val="18"/>
          <w:szCs w:val="18"/>
        </w:rPr>
        <w:t>.</w:t>
      </w:r>
    </w:p>
  </w:footnote>
  <w:footnote w:id="76">
    <w:p w14:paraId="73DFE7CA" w14:textId="209AA65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24" w:history="1">
        <w:r w:rsidRPr="0061648D">
          <w:rPr>
            <w:rStyle w:val="Hyperlink"/>
            <w:sz w:val="18"/>
            <w:szCs w:val="18"/>
          </w:rPr>
          <w:t>SWD(2018)157</w:t>
        </w:r>
      </w:hyperlink>
      <w:r w:rsidRPr="0061648D">
        <w:rPr>
          <w:sz w:val="18"/>
          <w:szCs w:val="18"/>
        </w:rPr>
        <w:t>, p. 56.</w:t>
      </w:r>
    </w:p>
  </w:footnote>
  <w:footnote w:id="77">
    <w:p w14:paraId="4B6626A7" w14:textId="47ED083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Protection of personal data, which is not considered as property under Union law, is addressed under “losses due to infringements of fundamental rights”.</w:t>
      </w:r>
    </w:p>
  </w:footnote>
  <w:footnote w:id="78">
    <w:p w14:paraId="29F2CBFB" w14:textId="188C14A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Under German law (Art. 90 BGB) a thing must be corporeal, whereas under Austrian law (Art. 285 ABGB) a thing may also be intangible; See also Expert Group on Liability and New Technologies (2019), </w:t>
      </w:r>
      <w:hyperlink r:id="rId25" w:history="1">
        <w:r w:rsidRPr="0061648D">
          <w:rPr>
            <w:rStyle w:val="Hyperlink"/>
            <w:sz w:val="18"/>
            <w:szCs w:val="18"/>
          </w:rPr>
          <w:t>Report</w:t>
        </w:r>
      </w:hyperlink>
      <w:r w:rsidRPr="0061648D">
        <w:rPr>
          <w:sz w:val="18"/>
          <w:szCs w:val="18"/>
        </w:rPr>
        <w:t xml:space="preserve"> on Liability for artificial intelligence and other emerging digital technologies, p. 19.</w:t>
      </w:r>
    </w:p>
  </w:footnote>
  <w:footnote w:id="79">
    <w:p w14:paraId="15EE91B6" w14:textId="0BC98EB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Expert Group on Liability and New Technologies (2019), </w:t>
      </w:r>
      <w:hyperlink r:id="rId26" w:history="1">
        <w:r w:rsidRPr="0061648D">
          <w:rPr>
            <w:rStyle w:val="Hyperlink"/>
            <w:sz w:val="18"/>
            <w:szCs w:val="18"/>
          </w:rPr>
          <w:t>Report</w:t>
        </w:r>
      </w:hyperlink>
      <w:r w:rsidRPr="0061648D">
        <w:rPr>
          <w:sz w:val="18"/>
          <w:szCs w:val="18"/>
        </w:rPr>
        <w:t xml:space="preserve"> on Liability for artificial intelligence and other emerging digital technologies, p. 59</w:t>
      </w:r>
    </w:p>
  </w:footnote>
  <w:footnote w:id="80">
    <w:p w14:paraId="53DCCECE" w14:textId="1A1EEE75"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Position paper of Insurance Europe in r</w:t>
      </w:r>
      <w:r w:rsidRPr="0061648D">
        <w:rPr>
          <w:sz w:val="18"/>
          <w:szCs w:val="18"/>
          <w:lang w:val="en-IE"/>
        </w:rPr>
        <w:t>esponse to public consultation, p. 2</w:t>
      </w:r>
      <w:r w:rsidRPr="0061648D">
        <w:rPr>
          <w:sz w:val="18"/>
          <w:szCs w:val="18"/>
        </w:rPr>
        <w:t xml:space="preserve">: </w:t>
      </w:r>
      <w:hyperlink r:id="rId27" w:history="1">
        <w:r w:rsidRPr="0061648D">
          <w:rPr>
            <w:rStyle w:val="Hyperlink"/>
            <w:sz w:val="18"/>
            <w:szCs w:val="18"/>
          </w:rPr>
          <w:t>Civil liability – adapting liability rules to the digital age and artificial intelligence</w:t>
        </w:r>
      </w:hyperlink>
    </w:p>
  </w:footnote>
  <w:footnote w:id="81">
    <w:p w14:paraId="77FB61C7" w14:textId="1F2CFCB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Bulgarian case no. 20942/2012. Reported in Evaluation of Product Liability Directive,</w:t>
      </w:r>
      <w:r w:rsidRPr="0061648D">
        <w:rPr>
          <w:rFonts w:eastAsiaTheme="minorHAnsi"/>
          <w:color w:val="444444"/>
          <w:sz w:val="18"/>
          <w:szCs w:val="18"/>
          <w:shd w:val="clear" w:color="auto" w:fill="FFFFFF"/>
        </w:rPr>
        <w:t xml:space="preserve"> </w:t>
      </w:r>
      <w:hyperlink r:id="rId28" w:history="1">
        <w:r w:rsidRPr="0061648D">
          <w:rPr>
            <w:rStyle w:val="Hyperlink"/>
            <w:sz w:val="18"/>
            <w:szCs w:val="18"/>
          </w:rPr>
          <w:t>SWD(2018)157</w:t>
        </w:r>
      </w:hyperlink>
      <w:r w:rsidRPr="0061648D">
        <w:rPr>
          <w:sz w:val="18"/>
          <w:szCs w:val="18"/>
        </w:rPr>
        <w:t xml:space="preserve">, p. 12. </w:t>
      </w:r>
    </w:p>
  </w:footnote>
  <w:footnote w:id="82">
    <w:p w14:paraId="6D6AB8F5" w14:textId="2FAED16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See for instance: </w:t>
      </w:r>
    </w:p>
    <w:p w14:paraId="3246774E" w14:textId="77777777" w:rsidR="00030C20" w:rsidRPr="0061648D" w:rsidRDefault="00A8526C" w:rsidP="0061648D">
      <w:pPr>
        <w:pStyle w:val="FootnoteText"/>
        <w:jc w:val="both"/>
        <w:rPr>
          <w:sz w:val="18"/>
          <w:szCs w:val="18"/>
        </w:rPr>
      </w:pPr>
      <w:hyperlink r:id="rId29" w:history="1">
        <w:r w:rsidR="00030C20" w:rsidRPr="0061648D">
          <w:rPr>
            <w:rStyle w:val="Hyperlink"/>
            <w:sz w:val="18"/>
            <w:szCs w:val="18"/>
          </w:rPr>
          <w:t>https://www.taylorwessing.com/en/insights-and-events/insights/2021/04/product-liability-for-an-iot-data-breach</w:t>
        </w:r>
      </w:hyperlink>
      <w:r w:rsidR="00030C20" w:rsidRPr="0061648D">
        <w:rPr>
          <w:sz w:val="18"/>
          <w:szCs w:val="18"/>
        </w:rPr>
        <w:t xml:space="preserve"> </w:t>
      </w:r>
    </w:p>
  </w:footnote>
  <w:footnote w:id="83">
    <w:p w14:paraId="45627B6D" w14:textId="44E92AC0"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COM(2021)346 final, Art. 7(1)(h).</w:t>
      </w:r>
    </w:p>
  </w:footnote>
  <w:footnote w:id="84">
    <w:p w14:paraId="02DF09D2" w14:textId="3AAB52C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2019/881; Also GDPR mandates data accuracy and integrity (Art. 5(1)(d) and (f).</w:t>
      </w:r>
    </w:p>
  </w:footnote>
  <w:footnote w:id="85">
    <w:p w14:paraId="4885DBCB" w14:textId="23BF94D2"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BEUC (2020). Product Liability 2.0 - How to make EU rules fit for consumers in the digital age. BEUC-X-2020-024 - 07/05/2020, p. 15.</w:t>
      </w:r>
    </w:p>
  </w:footnote>
  <w:footnote w:id="86">
    <w:p w14:paraId="0B3DD0FA" w14:textId="4A8D40D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30" w:history="1">
        <w:r w:rsidRPr="0061648D">
          <w:rPr>
            <w:rStyle w:val="Hyperlink"/>
            <w:sz w:val="18"/>
            <w:szCs w:val="18"/>
          </w:rPr>
          <w:t>German regulator bans spying doll Cayla | www.beuc.eu</w:t>
        </w:r>
      </w:hyperlink>
      <w:r w:rsidRPr="0061648D">
        <w:rPr>
          <w:sz w:val="18"/>
          <w:szCs w:val="18"/>
        </w:rPr>
        <w:t xml:space="preserve">. </w:t>
      </w:r>
    </w:p>
  </w:footnote>
  <w:footnote w:id="87">
    <w:p w14:paraId="42FE4858" w14:textId="0F06845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e.g. due to a stranger communicating with a child through a doll.</w:t>
      </w:r>
    </w:p>
  </w:footnote>
  <w:footnote w:id="88">
    <w:p w14:paraId="459B6FC2" w14:textId="66CC30AD" w:rsidR="00030C20" w:rsidRPr="004117FA" w:rsidRDefault="00030C20">
      <w:pPr>
        <w:pStyle w:val="FootnoteText"/>
        <w:rPr>
          <w:lang w:val="en-IE"/>
        </w:rPr>
      </w:pPr>
      <w:r>
        <w:rPr>
          <w:rStyle w:val="FootnoteReference"/>
        </w:rPr>
        <w:footnoteRef/>
      </w:r>
      <w:r>
        <w:t xml:space="preserve"> </w:t>
      </w:r>
      <w:r w:rsidRPr="000013B6">
        <w:rPr>
          <w:sz w:val="18"/>
          <w:szCs w:val="18"/>
          <w:lang w:val="en-IE"/>
        </w:rPr>
        <w:t>Article 2(2) of GDPR; Example scenario provided by JRC.</w:t>
      </w:r>
    </w:p>
  </w:footnote>
  <w:footnote w:id="89">
    <w:p w14:paraId="519FCE83" w14:textId="5FB7872E" w:rsidR="00030C20" w:rsidRPr="004117FA" w:rsidRDefault="00030C20">
      <w:pPr>
        <w:pStyle w:val="FootnoteText"/>
        <w:rPr>
          <w:lang w:val="en-IE"/>
        </w:rPr>
      </w:pPr>
      <w:r>
        <w:rPr>
          <w:rStyle w:val="FootnoteReference"/>
        </w:rPr>
        <w:footnoteRef/>
      </w:r>
      <w:r>
        <w:t xml:space="preserve"> </w:t>
      </w:r>
      <w:r w:rsidRPr="00BF2274">
        <w:rPr>
          <w:lang w:val="en-IE"/>
        </w:rPr>
        <w:t>Commission Delegated Regulation</w:t>
      </w:r>
      <w:r w:rsidRPr="00520281">
        <w:rPr>
          <w:rFonts w:eastAsiaTheme="minorHAnsi" w:cstheme="minorBidi"/>
          <w:sz w:val="22"/>
          <w:szCs w:val="22"/>
        </w:rPr>
        <w:t xml:space="preserve"> </w:t>
      </w:r>
      <w:r>
        <w:rPr>
          <w:rFonts w:eastAsiaTheme="minorHAnsi" w:cstheme="minorBidi"/>
          <w:sz w:val="22"/>
          <w:szCs w:val="22"/>
        </w:rPr>
        <w:t xml:space="preserve">(EU) </w:t>
      </w:r>
      <w:r w:rsidRPr="00922488">
        <w:rPr>
          <w:rFonts w:eastAsiaTheme="minorHAnsi" w:cstheme="minorBidi"/>
          <w:sz w:val="22"/>
          <w:szCs w:val="22"/>
        </w:rPr>
        <w:t>2022</w:t>
      </w:r>
      <w:r w:rsidRPr="00807912">
        <w:rPr>
          <w:rFonts w:eastAsiaTheme="minorHAnsi" w:cstheme="minorBidi"/>
          <w:sz w:val="22"/>
          <w:szCs w:val="22"/>
        </w:rPr>
        <w:t>/30</w:t>
      </w:r>
      <w:r>
        <w:rPr>
          <w:rFonts w:eastAsiaTheme="minorHAnsi" w:cstheme="minorBidi"/>
          <w:sz w:val="22"/>
          <w:szCs w:val="22"/>
        </w:rPr>
        <w:t xml:space="preserve"> </w:t>
      </w:r>
      <w:r w:rsidRPr="00922488">
        <w:rPr>
          <w:rFonts w:eastAsiaTheme="minorHAnsi" w:cstheme="minorBidi"/>
          <w:sz w:val="22"/>
          <w:szCs w:val="22"/>
        </w:rPr>
        <w:t>of 29 October 2021</w:t>
      </w:r>
      <w:r>
        <w:rPr>
          <w:rFonts w:eastAsiaTheme="minorHAnsi" w:cstheme="minorBidi"/>
          <w:sz w:val="22"/>
          <w:szCs w:val="22"/>
        </w:rPr>
        <w:t xml:space="preserve"> </w:t>
      </w:r>
      <w:r w:rsidRPr="00520281">
        <w:t>supplementing Directive 2014/53/EU of the European Parliament and of the Council with regard to the application of the essential requirements referred to in Article 3(3), points (d), (e) and (f), of that Directive</w:t>
      </w:r>
      <w:r>
        <w:t>.</w:t>
      </w:r>
    </w:p>
  </w:footnote>
  <w:footnote w:id="90">
    <w:p w14:paraId="527D360C" w14:textId="2F70DE36" w:rsidR="00030C20" w:rsidRPr="004117FA" w:rsidRDefault="00030C20">
      <w:pPr>
        <w:pStyle w:val="FootnoteText"/>
      </w:pPr>
      <w:r>
        <w:rPr>
          <w:rStyle w:val="FootnoteReference"/>
        </w:rPr>
        <w:footnoteRef/>
      </w:r>
      <w:r>
        <w:t xml:space="preserve"> </w:t>
      </w:r>
      <w:r w:rsidRPr="005E7F25">
        <w:rPr>
          <w:rFonts w:cstheme="minorHAnsi"/>
          <w:sz w:val="18"/>
          <w:szCs w:val="18"/>
        </w:rPr>
        <w:t xml:space="preserve">BEUC (2020). Product Liability 2.0 - How to make EU rules fit for consumers in the digital age. </w:t>
      </w:r>
      <w:r w:rsidRPr="000000CA">
        <w:rPr>
          <w:rFonts w:cstheme="minorHAnsi"/>
          <w:sz w:val="18"/>
          <w:szCs w:val="18"/>
          <w:lang w:val="en-IE"/>
        </w:rPr>
        <w:t>BEUC-X-2020-024 - 07/05/2020, p. 15.</w:t>
      </w:r>
    </w:p>
  </w:footnote>
  <w:footnote w:id="91">
    <w:p w14:paraId="401B6B01" w14:textId="0BE1053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Position paper </w:t>
      </w:r>
      <w:r w:rsidRPr="0061648D">
        <w:rPr>
          <w:sz w:val="18"/>
          <w:szCs w:val="18"/>
          <w:lang w:val="en-IE"/>
        </w:rPr>
        <w:t xml:space="preserve">in response to public consultation of </w:t>
      </w:r>
      <w:r w:rsidRPr="0061648D">
        <w:rPr>
          <w:sz w:val="18"/>
          <w:szCs w:val="18"/>
        </w:rPr>
        <w:t>Austrian Bundesarbeitskammer</w:t>
      </w:r>
      <w:r>
        <w:rPr>
          <w:sz w:val="18"/>
          <w:szCs w:val="18"/>
        </w:rPr>
        <w:t>;</w:t>
      </w:r>
      <w:r w:rsidRPr="0061648D">
        <w:rPr>
          <w:sz w:val="18"/>
          <w:szCs w:val="18"/>
        </w:rPr>
        <w:t xml:space="preserve"> </w:t>
      </w:r>
      <w:hyperlink r:id="rId31" w:history="1">
        <w:r w:rsidRPr="0061648D">
          <w:rPr>
            <w:rStyle w:val="Hyperlink"/>
            <w:sz w:val="18"/>
            <w:szCs w:val="18"/>
          </w:rPr>
          <w:t>Civil liability – adapting liability rules to the digital age and artificial intelligence</w:t>
        </w:r>
      </w:hyperlink>
      <w:r w:rsidRPr="0061648D">
        <w:rPr>
          <w:sz w:val="18"/>
          <w:szCs w:val="18"/>
        </w:rPr>
        <w:t xml:space="preserve">; and </w:t>
      </w:r>
      <w:hyperlink r:id="rId32" w:history="1">
        <w:r w:rsidRPr="0061648D">
          <w:rPr>
            <w:rStyle w:val="Hyperlink"/>
            <w:sz w:val="18"/>
            <w:szCs w:val="18"/>
          </w:rPr>
          <w:t>feedback on inception impact assessment from: Future of Life Institute</w:t>
        </w:r>
      </w:hyperlink>
      <w:r w:rsidRPr="0061648D">
        <w:rPr>
          <w:rStyle w:val="Hyperlink"/>
          <w:sz w:val="18"/>
          <w:szCs w:val="18"/>
        </w:rPr>
        <w:t>.</w:t>
      </w:r>
    </w:p>
  </w:footnote>
  <w:footnote w:id="92">
    <w:p w14:paraId="630D2F3D" w14:textId="7D54588B" w:rsidR="00030C20" w:rsidRPr="0061648D" w:rsidRDefault="00030C20" w:rsidP="0061648D">
      <w:pPr>
        <w:pStyle w:val="FootnoteText"/>
        <w:jc w:val="both"/>
        <w:rPr>
          <w:sz w:val="18"/>
          <w:szCs w:val="18"/>
          <w:lang w:val="en-US"/>
        </w:rPr>
      </w:pPr>
      <w:r w:rsidRPr="0061648D">
        <w:rPr>
          <w:rStyle w:val="FootnoteReference"/>
          <w:sz w:val="18"/>
          <w:szCs w:val="18"/>
        </w:rPr>
        <w:footnoteRef/>
      </w:r>
      <w:r w:rsidRPr="0061648D">
        <w:rPr>
          <w:sz w:val="18"/>
          <w:szCs w:val="18"/>
        </w:rPr>
        <w:t xml:space="preserve"> ERN (2015), </w:t>
      </w:r>
      <w:r w:rsidRPr="0061648D">
        <w:rPr>
          <w:sz w:val="18"/>
          <w:szCs w:val="18"/>
          <w:lang w:val="en-US"/>
        </w:rPr>
        <w:t>Remanufacturing Market Study (for Horizon 2020, grant agreement No 645984), p. 42</w:t>
      </w:r>
    </w:p>
  </w:footnote>
  <w:footnote w:id="93">
    <w:p w14:paraId="5A28BAB6" w14:textId="00D0D0B6"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Estimate provided by COCIR, European trade association</w:t>
      </w:r>
      <w:r w:rsidRPr="0061648D">
        <w:rPr>
          <w:rFonts w:eastAsiaTheme="minorHAnsi"/>
          <w:color w:val="212529"/>
          <w:sz w:val="18"/>
          <w:szCs w:val="18"/>
          <w:shd w:val="clear" w:color="auto" w:fill="FFFFFF"/>
        </w:rPr>
        <w:t xml:space="preserve"> </w:t>
      </w:r>
      <w:r w:rsidRPr="0061648D">
        <w:rPr>
          <w:sz w:val="18"/>
          <w:szCs w:val="18"/>
        </w:rPr>
        <w:t>representing the medical imaging, radiotherapy, health ICT and electro-medical industries; see case study on medical devices in the circular economy annexed to supporting impact assessment study.</w:t>
      </w:r>
    </w:p>
  </w:footnote>
  <w:footnote w:id="94">
    <w:p w14:paraId="41AB8B31" w14:textId="1D707D23"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ERN (2015), </w:t>
      </w:r>
      <w:r w:rsidRPr="0061648D">
        <w:rPr>
          <w:sz w:val="18"/>
          <w:szCs w:val="18"/>
          <w:lang w:val="en-US"/>
        </w:rPr>
        <w:t>Remanufacturing Market Study (for Horizon 2020, grant agreement No 645984),</w:t>
      </w:r>
      <w:r w:rsidRPr="0061648D">
        <w:rPr>
          <w:sz w:val="18"/>
          <w:szCs w:val="18"/>
        </w:rPr>
        <w:t xml:space="preserve"> p. 7; BS 887-Part2.</w:t>
      </w:r>
    </w:p>
  </w:footnote>
  <w:footnote w:id="95">
    <w:p w14:paraId="340EDB8E" w14:textId="34A76AB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rFonts w:eastAsia="SimSun"/>
          <w:sz w:val="18"/>
          <w:szCs w:val="18"/>
          <w:lang w:eastAsia="da-DK"/>
        </w:rPr>
        <w:t>PWC for DG GROW (2017),</w:t>
      </w:r>
      <w:r w:rsidRPr="0061648D">
        <w:rPr>
          <w:rFonts w:eastAsia="SimSun"/>
          <w:sz w:val="18"/>
          <w:szCs w:val="18"/>
        </w:rPr>
        <w:t xml:space="preserve"> </w:t>
      </w:r>
      <w:r w:rsidRPr="0061648D">
        <w:rPr>
          <w:rFonts w:eastAsia="SimSun"/>
          <w:sz w:val="18"/>
          <w:szCs w:val="18"/>
          <w:lang w:eastAsia="da-DK"/>
        </w:rPr>
        <w:t xml:space="preserve">Refurbishment of medical equipment (report on promising KETs-based product nr. 4) </w:t>
      </w:r>
    </w:p>
  </w:footnote>
  <w:footnote w:id="96">
    <w:p w14:paraId="45DAB98A" w14:textId="3E1E65B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See for example position papers of Business Europe, Mouvement des Entreprises, European Law Institute and Finnish Competition and Consumer Authority in response to the public consultation. </w:t>
      </w:r>
    </w:p>
  </w:footnote>
  <w:footnote w:id="97">
    <w:p w14:paraId="1989B842" w14:textId="2F309D1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to targeted survey: APPLiA, trade association representing manufacturers of home appliances.</w:t>
      </w:r>
    </w:p>
  </w:footnote>
  <w:footnote w:id="98">
    <w:p w14:paraId="605AE55D" w14:textId="213134F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Commission Notice (2016), The ‘Blue Guide’ on the implementation of EU products rules 2016, p. 15 to 17.</w:t>
      </w:r>
    </w:p>
  </w:footnote>
  <w:footnote w:id="99">
    <w:p w14:paraId="29B69BED" w14:textId="34238D7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Proposal for a Regulation of the European Parliament and of the Council on machinery products, </w:t>
      </w:r>
      <w:hyperlink r:id="rId33" w:history="1">
        <w:r w:rsidRPr="0061648D">
          <w:rPr>
            <w:rStyle w:val="Hyperlink"/>
            <w:sz w:val="18"/>
            <w:szCs w:val="18"/>
          </w:rPr>
          <w:t>COM(2021)202</w:t>
        </w:r>
      </w:hyperlink>
      <w:r w:rsidRPr="0061648D">
        <w:rPr>
          <w:sz w:val="18"/>
          <w:szCs w:val="18"/>
        </w:rPr>
        <w:t xml:space="preserve">; proposal for a Regulation on General Product Safety (GPSR), </w:t>
      </w:r>
      <w:hyperlink r:id="rId34" w:history="1">
        <w:r w:rsidRPr="0061648D">
          <w:rPr>
            <w:rStyle w:val="Hyperlink"/>
            <w:sz w:val="18"/>
            <w:szCs w:val="18"/>
          </w:rPr>
          <w:t>COM(2021)346</w:t>
        </w:r>
      </w:hyperlink>
      <w:r w:rsidRPr="0061648D">
        <w:rPr>
          <w:rStyle w:val="Hyperlink"/>
          <w:rFonts w:eastAsia="Calibri"/>
          <w:sz w:val="18"/>
          <w:szCs w:val="18"/>
        </w:rPr>
        <w:t>.</w:t>
      </w:r>
    </w:p>
  </w:footnote>
  <w:footnote w:id="100">
    <w:p w14:paraId="3C008A3B" w14:textId="77C9673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2017/745 on medical devices, Art. 2(1)(30).</w:t>
      </w:r>
    </w:p>
  </w:footnote>
  <w:footnote w:id="101">
    <w:p w14:paraId="69B2B87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Explanatory Memorandum of PLD, Supplement Bulletin EEC 1976_11, para 10.</w:t>
      </w:r>
    </w:p>
  </w:footnote>
  <w:footnote w:id="102">
    <w:p w14:paraId="7ED28497" w14:textId="262C3EE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63.9% (179 out of 280) agreed or strongly agreed; 20% (56 out of 280) disagreed or disagreed strongly.</w:t>
      </w:r>
    </w:p>
  </w:footnote>
  <w:footnote w:id="103">
    <w:p w14:paraId="7FB2DF4E" w14:textId="7EC82FF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European Commission (2017), </w:t>
      </w:r>
      <w:hyperlink r:id="rId35" w:history="1">
        <w:r w:rsidRPr="0061648D">
          <w:rPr>
            <w:rStyle w:val="Hyperlink"/>
            <w:sz w:val="18"/>
            <w:szCs w:val="18"/>
          </w:rPr>
          <w:t xml:space="preserve">Modernising VAT for e-commerce </w:t>
        </w:r>
      </w:hyperlink>
      <w:r w:rsidRPr="0061648D">
        <w:rPr>
          <w:sz w:val="18"/>
          <w:szCs w:val="18"/>
        </w:rPr>
        <w:t xml:space="preserve"> </w:t>
      </w:r>
    </w:p>
  </w:footnote>
  <w:footnote w:id="104">
    <w:p w14:paraId="6DC2E527" w14:textId="1A4E98B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Eurocommerce (2019), Creating a level-playing field for retail in Europe.</w:t>
      </w:r>
    </w:p>
  </w:footnote>
  <w:footnote w:id="105">
    <w:p w14:paraId="61C15D89" w14:textId="7827ADA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COM(2020) 825 final, Art. 5.</w:t>
      </w:r>
    </w:p>
  </w:footnote>
  <w:footnote w:id="106">
    <w:p w14:paraId="062A1C69" w14:textId="57CF9A2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2019/1020 on market surveillance.</w:t>
      </w:r>
    </w:p>
  </w:footnote>
  <w:footnote w:id="107">
    <w:p w14:paraId="6010AD6E" w14:textId="0D2E87C4" w:rsidR="00030C20" w:rsidRPr="0061648D" w:rsidRDefault="00030C20" w:rsidP="0061648D">
      <w:pPr>
        <w:spacing w:after="0" w:line="240" w:lineRule="auto"/>
        <w:jc w:val="both"/>
        <w:rPr>
          <w:rFonts w:cs="Times New Roman"/>
          <w:sz w:val="18"/>
          <w:szCs w:val="18"/>
          <w:lang w:val="en-US"/>
        </w:rPr>
      </w:pPr>
      <w:r w:rsidRPr="0061648D">
        <w:rPr>
          <w:rStyle w:val="FootnoteReference"/>
          <w:sz w:val="18"/>
          <w:szCs w:val="18"/>
        </w:rPr>
        <w:footnoteRef/>
      </w:r>
      <w:r w:rsidRPr="0061648D">
        <w:rPr>
          <w:rFonts w:cs="Times New Roman"/>
          <w:sz w:val="18"/>
          <w:szCs w:val="18"/>
        </w:rPr>
        <w:t xml:space="preserve"> </w:t>
      </w:r>
      <w:r w:rsidRPr="0061648D">
        <w:rPr>
          <w:rFonts w:cs="Times New Roman"/>
          <w:sz w:val="18"/>
          <w:szCs w:val="18"/>
          <w:lang w:val="en-US"/>
        </w:rPr>
        <w:t>Evaluation of Product Liability Directive,</w:t>
      </w:r>
      <w:r w:rsidRPr="0061648D">
        <w:rPr>
          <w:rFonts w:cs="Times New Roman"/>
          <w:color w:val="444444"/>
          <w:sz w:val="18"/>
          <w:szCs w:val="18"/>
          <w:shd w:val="clear" w:color="auto" w:fill="FFFFFF"/>
          <w:lang w:val="en-US"/>
        </w:rPr>
        <w:t xml:space="preserve"> </w:t>
      </w:r>
      <w:hyperlink r:id="rId36" w:history="1">
        <w:r w:rsidRPr="0061648D">
          <w:rPr>
            <w:rStyle w:val="Hyperlink"/>
            <w:rFonts w:cs="Times New Roman"/>
            <w:sz w:val="18"/>
            <w:szCs w:val="18"/>
            <w:lang w:val="en-US"/>
          </w:rPr>
          <w:t>SWD(2018)157</w:t>
        </w:r>
      </w:hyperlink>
      <w:r w:rsidRPr="0061648D">
        <w:rPr>
          <w:rFonts w:cs="Times New Roman"/>
          <w:sz w:val="18"/>
          <w:szCs w:val="18"/>
          <w:lang w:val="en-US"/>
        </w:rPr>
        <w:t>,</w:t>
      </w:r>
      <w:r w:rsidRPr="0061648D">
        <w:rPr>
          <w:rFonts w:cs="Times New Roman"/>
          <w:sz w:val="18"/>
          <w:szCs w:val="18"/>
        </w:rPr>
        <w:t xml:space="preserve"> p.23</w:t>
      </w:r>
    </w:p>
  </w:footnote>
  <w:footnote w:id="108">
    <w:p w14:paraId="021225A1" w14:textId="15DE1F6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97.1% (135 out of 139) compared with 44.6% (45 out of 101). </w:t>
      </w:r>
    </w:p>
  </w:footnote>
  <w:footnote w:id="109">
    <w:p w14:paraId="18457532" w14:textId="1071E12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 xml:space="preserve">CJEU, Judgment of 20 November 2014, </w:t>
      </w:r>
      <w:r w:rsidRPr="0061648D">
        <w:rPr>
          <w:i/>
          <w:sz w:val="18"/>
          <w:szCs w:val="18"/>
          <w:lang w:val="en-IE"/>
        </w:rPr>
        <w:t>Case C-310/13</w:t>
      </w:r>
      <w:r w:rsidRPr="0061648D">
        <w:rPr>
          <w:sz w:val="18"/>
          <w:szCs w:val="18"/>
          <w:lang w:val="en-IE"/>
        </w:rPr>
        <w:t>.</w:t>
      </w:r>
    </w:p>
  </w:footnote>
  <w:footnote w:id="110">
    <w:p w14:paraId="46E57A3B" w14:textId="26C3F19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US"/>
        </w:rPr>
        <w:t>CSES, Wavestone, CSIL (2022), Impact assessment study on the revision of Product Liability Directive</w:t>
      </w:r>
      <w:r w:rsidRPr="0061648D">
        <w:rPr>
          <w:sz w:val="18"/>
          <w:szCs w:val="18"/>
        </w:rPr>
        <w:t>, Annex 4.2.</w:t>
      </w:r>
    </w:p>
  </w:footnote>
  <w:footnote w:id="111">
    <w:p w14:paraId="7C0219CD" w14:textId="5A68EAA6"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European Commission (2020), Report on the Safety and Liability Implications of Artificial Intelligence, the Internet of Things and Robotics. P.14</w:t>
      </w:r>
    </w:p>
  </w:footnote>
  <w:footnote w:id="112">
    <w:p w14:paraId="343F330F" w14:textId="6E5DF33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Defectiveness could be inferred by the fact that the susceptibility (in this case brakes that seized without warning) was not present in other bikes of the same type; see Baker v KTM Sportmotorcycle UK Ltd and another (2017), EWCA Civ 378.</w:t>
      </w:r>
    </w:p>
  </w:footnote>
  <w:footnote w:id="113">
    <w:p w14:paraId="4010E816" w14:textId="6148D32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 xml:space="preserve">CJEU, Judgment of 20 November 2014, </w:t>
      </w:r>
      <w:r w:rsidRPr="0061648D">
        <w:rPr>
          <w:i/>
          <w:sz w:val="18"/>
          <w:szCs w:val="18"/>
          <w:lang w:val="en-IE"/>
        </w:rPr>
        <w:t>Case C-310/13</w:t>
      </w:r>
      <w:r w:rsidRPr="0061648D">
        <w:rPr>
          <w:sz w:val="18"/>
          <w:szCs w:val="18"/>
          <w:lang w:val="en-IE"/>
        </w:rPr>
        <w:t xml:space="preserve">; CJEU, </w:t>
      </w:r>
      <w:r w:rsidRPr="0061648D">
        <w:rPr>
          <w:sz w:val="18"/>
          <w:szCs w:val="18"/>
        </w:rPr>
        <w:t xml:space="preserve">Judgment of 21 June 2017, </w:t>
      </w:r>
      <w:r w:rsidRPr="0061648D">
        <w:rPr>
          <w:i/>
          <w:sz w:val="18"/>
          <w:szCs w:val="18"/>
        </w:rPr>
        <w:t>Case C-621/15</w:t>
      </w:r>
      <w:r w:rsidRPr="0061648D">
        <w:rPr>
          <w:sz w:val="18"/>
          <w:szCs w:val="18"/>
        </w:rPr>
        <w:t xml:space="preserve">; </w:t>
      </w:r>
      <w:r w:rsidRPr="0061648D">
        <w:rPr>
          <w:sz w:val="18"/>
          <w:szCs w:val="18"/>
          <w:lang w:val="en-IE"/>
        </w:rPr>
        <w:t xml:space="preserve">CJEU, </w:t>
      </w:r>
      <w:r w:rsidRPr="0061648D">
        <w:rPr>
          <w:sz w:val="18"/>
          <w:szCs w:val="18"/>
        </w:rPr>
        <w:t xml:space="preserve">Judgment of 5 March 2015, Joined Cases </w:t>
      </w:r>
      <w:r w:rsidRPr="0061648D">
        <w:rPr>
          <w:i/>
          <w:sz w:val="18"/>
          <w:szCs w:val="18"/>
        </w:rPr>
        <w:t>C-503/13</w:t>
      </w:r>
      <w:r w:rsidRPr="0061648D">
        <w:rPr>
          <w:sz w:val="18"/>
          <w:szCs w:val="18"/>
        </w:rPr>
        <w:t xml:space="preserve"> and </w:t>
      </w:r>
      <w:r w:rsidRPr="0061648D">
        <w:rPr>
          <w:i/>
          <w:sz w:val="18"/>
          <w:szCs w:val="18"/>
        </w:rPr>
        <w:t>C-504/13</w:t>
      </w:r>
      <w:r w:rsidRPr="0061648D">
        <w:rPr>
          <w:sz w:val="18"/>
          <w:szCs w:val="18"/>
        </w:rPr>
        <w:t>.</w:t>
      </w:r>
    </w:p>
  </w:footnote>
  <w:footnote w:id="114">
    <w:p w14:paraId="1701A610" w14:textId="4CAD255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CJEU,</w:t>
      </w:r>
      <w:r w:rsidRPr="0061648D">
        <w:rPr>
          <w:sz w:val="18"/>
          <w:szCs w:val="18"/>
        </w:rPr>
        <w:t xml:space="preserve"> Judgment of 21 June 2017, </w:t>
      </w:r>
      <w:r w:rsidRPr="0061648D">
        <w:rPr>
          <w:i/>
          <w:sz w:val="18"/>
          <w:szCs w:val="18"/>
        </w:rPr>
        <w:t>Case C-621/15</w:t>
      </w:r>
      <w:r w:rsidRPr="0061648D">
        <w:rPr>
          <w:sz w:val="18"/>
          <w:szCs w:val="18"/>
        </w:rPr>
        <w:t>; the case turned on whether a causal link between a vaccine and the onset of multiple sclerosis could be inferred from the fact that the disease manifested itself shortly after injection and there were no family antecedents related to the disease.</w:t>
      </w:r>
    </w:p>
  </w:footnote>
  <w:footnote w:id="115">
    <w:p w14:paraId="2F922429" w14:textId="2A6FC0F8"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Joined Cases C-503/13 and C-504/13.</w:t>
      </w:r>
      <w:r>
        <w:rPr>
          <w:sz w:val="18"/>
          <w:szCs w:val="18"/>
        </w:rPr>
        <w:t xml:space="preserve"> </w:t>
      </w:r>
    </w:p>
  </w:footnote>
  <w:footnote w:id="116">
    <w:p w14:paraId="7BF31CA5" w14:textId="04C0C991"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Position paper of </w:t>
      </w:r>
      <w:r w:rsidRPr="0061648D">
        <w:rPr>
          <w:sz w:val="18"/>
          <w:szCs w:val="18"/>
        </w:rPr>
        <w:t xml:space="preserve">Business Europe </w:t>
      </w:r>
      <w:r w:rsidRPr="0061648D">
        <w:rPr>
          <w:sz w:val="18"/>
          <w:szCs w:val="18"/>
          <w:lang w:val="en-IE"/>
        </w:rPr>
        <w:t>in response to public consultation, p. 4.</w:t>
      </w:r>
    </w:p>
  </w:footnote>
  <w:footnote w:id="117">
    <w:p w14:paraId="62FA79F2" w14:textId="19C26FCF"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Position paper of EFPIA, European Federation of Pharmaceutical Industries and Associations in response to public consultation, p. 8.</w:t>
      </w:r>
    </w:p>
  </w:footnote>
  <w:footnote w:id="118">
    <w:p w14:paraId="6C600F2A" w14:textId="0EB834BB"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Position paper of BEUC, the consumer organisation, in response to public consultation, p. 7.</w:t>
      </w:r>
    </w:p>
  </w:footnote>
  <w:footnote w:id="119">
    <w:p w14:paraId="72652031" w14:textId="104029B3"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Art. 7(e), PLD.</w:t>
      </w:r>
    </w:p>
  </w:footnote>
  <w:footnote w:id="120">
    <w:p w14:paraId="494C8037" w14:textId="666EBBC8"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ES: pharmaceuticals and foodstuffs; FR: products of the human body, such as blood products; HU: pharmaceuticals.</w:t>
      </w:r>
    </w:p>
  </w:footnote>
  <w:footnote w:id="121">
    <w:p w14:paraId="254AD301" w14:textId="1E405E04"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BEUC (2020). </w:t>
      </w:r>
      <w:r w:rsidRPr="0061648D">
        <w:rPr>
          <w:sz w:val="18"/>
          <w:szCs w:val="18"/>
        </w:rPr>
        <w:t>Product Liability 2.0 - How to make EU rules fit for consumers in the digital age. BEUC-X-2020-024 - 07/05/2020, p. 17.</w:t>
      </w:r>
    </w:p>
  </w:footnote>
  <w:footnote w:id="122">
    <w:p w14:paraId="34286C66" w14:textId="75BCC6A4" w:rsidR="00030C20" w:rsidRPr="0061648D" w:rsidRDefault="00030C20" w:rsidP="0061648D">
      <w:pPr>
        <w:spacing w:after="0" w:line="240" w:lineRule="auto"/>
        <w:jc w:val="both"/>
        <w:rPr>
          <w:rFonts w:cs="Times New Roman"/>
          <w:sz w:val="18"/>
          <w:szCs w:val="18"/>
          <w:lang w:val="en-US"/>
        </w:rPr>
      </w:pPr>
      <w:r w:rsidRPr="0061648D">
        <w:rPr>
          <w:rStyle w:val="FootnoteReference"/>
          <w:sz w:val="18"/>
          <w:szCs w:val="18"/>
        </w:rPr>
        <w:footnoteRef/>
      </w:r>
      <w:r w:rsidRPr="0061648D">
        <w:rPr>
          <w:rFonts w:cs="Times New Roman"/>
          <w:sz w:val="18"/>
          <w:szCs w:val="18"/>
        </w:rPr>
        <w:t xml:space="preserve"> </w:t>
      </w:r>
      <w:r w:rsidRPr="0061648D">
        <w:rPr>
          <w:rFonts w:cs="Times New Roman"/>
          <w:sz w:val="18"/>
          <w:szCs w:val="18"/>
          <w:lang w:val="en-US"/>
        </w:rPr>
        <w:t>Evaluation of Product Liability Directive,</w:t>
      </w:r>
      <w:r w:rsidRPr="0061648D">
        <w:rPr>
          <w:rFonts w:cs="Times New Roman"/>
          <w:color w:val="444444"/>
          <w:sz w:val="18"/>
          <w:szCs w:val="18"/>
          <w:shd w:val="clear" w:color="auto" w:fill="FFFFFF"/>
          <w:lang w:val="en-US"/>
        </w:rPr>
        <w:t xml:space="preserve"> </w:t>
      </w:r>
      <w:hyperlink r:id="rId37" w:history="1">
        <w:r w:rsidRPr="0061648D">
          <w:rPr>
            <w:rStyle w:val="Hyperlink"/>
            <w:rFonts w:cs="Times New Roman"/>
            <w:sz w:val="18"/>
            <w:szCs w:val="18"/>
            <w:lang w:val="en-US"/>
          </w:rPr>
          <w:t>SWD(2018)157</w:t>
        </w:r>
      </w:hyperlink>
      <w:r w:rsidRPr="0061648D">
        <w:rPr>
          <w:rFonts w:cs="Times New Roman"/>
          <w:sz w:val="18"/>
          <w:szCs w:val="18"/>
          <w:lang w:val="en-US"/>
        </w:rPr>
        <w:t xml:space="preserve">, </w:t>
      </w:r>
      <w:r w:rsidRPr="0061648D">
        <w:rPr>
          <w:rFonts w:cs="Times New Roman"/>
          <w:sz w:val="18"/>
          <w:szCs w:val="18"/>
        </w:rPr>
        <w:t>p.23</w:t>
      </w:r>
    </w:p>
  </w:footnote>
  <w:footnote w:id="123">
    <w:p w14:paraId="4CCF560B" w14:textId="5B155A3D" w:rsidR="00030C20" w:rsidRPr="0061648D" w:rsidRDefault="00030C20" w:rsidP="0061648D">
      <w:pPr>
        <w:spacing w:after="0" w:line="240" w:lineRule="auto"/>
        <w:jc w:val="both"/>
        <w:rPr>
          <w:rFonts w:cs="Times New Roman"/>
          <w:sz w:val="18"/>
          <w:szCs w:val="18"/>
          <w:lang w:val="en-US"/>
        </w:rPr>
      </w:pPr>
      <w:r w:rsidRPr="0061648D">
        <w:rPr>
          <w:rStyle w:val="FootnoteReference"/>
          <w:sz w:val="18"/>
          <w:szCs w:val="18"/>
        </w:rPr>
        <w:footnoteRef/>
      </w:r>
      <w:r w:rsidRPr="0061648D">
        <w:rPr>
          <w:rFonts w:cs="Times New Roman"/>
          <w:sz w:val="18"/>
          <w:szCs w:val="18"/>
        </w:rPr>
        <w:t xml:space="preserve"> </w:t>
      </w:r>
      <w:r w:rsidRPr="0061648D">
        <w:rPr>
          <w:rFonts w:cs="Times New Roman"/>
          <w:sz w:val="18"/>
          <w:szCs w:val="18"/>
          <w:lang w:val="en-US"/>
        </w:rPr>
        <w:t>Evaluation of Product Liability Directive,</w:t>
      </w:r>
      <w:r w:rsidRPr="0061648D">
        <w:rPr>
          <w:rFonts w:cs="Times New Roman"/>
          <w:color w:val="444444"/>
          <w:sz w:val="18"/>
          <w:szCs w:val="18"/>
          <w:shd w:val="clear" w:color="auto" w:fill="FFFFFF"/>
          <w:lang w:val="en-US"/>
        </w:rPr>
        <w:t xml:space="preserve"> </w:t>
      </w:r>
      <w:hyperlink r:id="rId38" w:history="1">
        <w:r w:rsidRPr="0061648D">
          <w:rPr>
            <w:rStyle w:val="Hyperlink"/>
            <w:rFonts w:cs="Times New Roman"/>
            <w:sz w:val="18"/>
            <w:szCs w:val="18"/>
            <w:lang w:val="en-US"/>
          </w:rPr>
          <w:t>SWD(2018)157</w:t>
        </w:r>
      </w:hyperlink>
      <w:r w:rsidRPr="0061648D">
        <w:rPr>
          <w:rFonts w:cs="Times New Roman"/>
          <w:sz w:val="18"/>
          <w:szCs w:val="18"/>
          <w:lang w:val="en-US"/>
        </w:rPr>
        <w:t xml:space="preserve">, </w:t>
      </w:r>
      <w:r w:rsidRPr="0061648D">
        <w:rPr>
          <w:rFonts w:cs="Times New Roman"/>
          <w:sz w:val="18"/>
          <w:szCs w:val="18"/>
        </w:rPr>
        <w:t>p.31</w:t>
      </w:r>
    </w:p>
  </w:footnote>
  <w:footnote w:id="124">
    <w:p w14:paraId="7A739BE4" w14:textId="22194B8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Expert Group on Liability and New Technologies (2019), </w:t>
      </w:r>
      <w:hyperlink r:id="rId39" w:history="1">
        <w:r w:rsidRPr="0061648D">
          <w:rPr>
            <w:rStyle w:val="Hyperlink"/>
            <w:sz w:val="18"/>
            <w:szCs w:val="18"/>
          </w:rPr>
          <w:t>Report</w:t>
        </w:r>
      </w:hyperlink>
      <w:r w:rsidRPr="0061648D">
        <w:rPr>
          <w:sz w:val="18"/>
          <w:szCs w:val="18"/>
        </w:rPr>
        <w:t xml:space="preserve"> on Liability for artificial intelligence and other emerging digital technologies, p. 6; also response of European Law Institute to the public consultation.</w:t>
      </w:r>
    </w:p>
  </w:footnote>
  <w:footnote w:id="125">
    <w:p w14:paraId="42B6A4D9" w14:textId="4C38C854"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Product Liability Directive, Article 11 and 11th recital.</w:t>
      </w:r>
    </w:p>
  </w:footnote>
  <w:footnote w:id="126">
    <w:p w14:paraId="0D090025" w14:textId="4CC2A872" w:rsidR="00030C20" w:rsidRPr="0061648D" w:rsidRDefault="00030C20" w:rsidP="0061648D">
      <w:pPr>
        <w:spacing w:after="0" w:line="240" w:lineRule="auto"/>
        <w:jc w:val="both"/>
        <w:rPr>
          <w:rFonts w:cs="Times New Roman"/>
          <w:sz w:val="18"/>
          <w:szCs w:val="18"/>
          <w:lang w:val="en-US"/>
        </w:rPr>
      </w:pPr>
      <w:r w:rsidRPr="0061648D">
        <w:rPr>
          <w:rStyle w:val="FootnoteReference"/>
          <w:sz w:val="18"/>
          <w:szCs w:val="18"/>
        </w:rPr>
        <w:footnoteRef/>
      </w:r>
      <w:r w:rsidRPr="0061648D">
        <w:rPr>
          <w:rFonts w:cs="Times New Roman"/>
          <w:sz w:val="18"/>
          <w:szCs w:val="18"/>
        </w:rPr>
        <w:t xml:space="preserve"> </w:t>
      </w:r>
      <w:r w:rsidRPr="0061648D">
        <w:rPr>
          <w:rFonts w:cs="Times New Roman"/>
          <w:sz w:val="18"/>
          <w:szCs w:val="18"/>
          <w:lang w:val="en-US"/>
        </w:rPr>
        <w:t>Evaluation of Product Liability Directive,</w:t>
      </w:r>
      <w:r w:rsidRPr="0061648D">
        <w:rPr>
          <w:rFonts w:cs="Times New Roman"/>
          <w:color w:val="444444"/>
          <w:sz w:val="18"/>
          <w:szCs w:val="18"/>
          <w:shd w:val="clear" w:color="auto" w:fill="FFFFFF"/>
          <w:lang w:val="en-US"/>
        </w:rPr>
        <w:t xml:space="preserve"> </w:t>
      </w:r>
      <w:hyperlink r:id="rId40" w:history="1">
        <w:r w:rsidRPr="0061648D">
          <w:rPr>
            <w:rStyle w:val="Hyperlink"/>
            <w:rFonts w:cs="Times New Roman"/>
            <w:sz w:val="18"/>
            <w:szCs w:val="18"/>
            <w:lang w:val="en-US"/>
          </w:rPr>
          <w:t>SWD(2018)157</w:t>
        </w:r>
      </w:hyperlink>
      <w:r w:rsidRPr="0061648D">
        <w:rPr>
          <w:rFonts w:cs="Times New Roman"/>
          <w:sz w:val="18"/>
          <w:szCs w:val="18"/>
        </w:rPr>
        <w:t>, p.28: 4 cases out of 798 reported cases.</w:t>
      </w:r>
    </w:p>
  </w:footnote>
  <w:footnote w:id="127">
    <w:p w14:paraId="22E2FB42"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125 and 90 out of the total 181 non-business respondents respectively.</w:t>
      </w:r>
    </w:p>
  </w:footnote>
  <w:footnote w:id="128">
    <w:p w14:paraId="0BE72858" w14:textId="29347F8C"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14 and 12 out of the total 110 business respondents respectively.</w:t>
      </w:r>
    </w:p>
  </w:footnote>
  <w:footnote w:id="129">
    <w:p w14:paraId="728DB582" w14:textId="0F6791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Responses of </w:t>
      </w:r>
      <w:r w:rsidRPr="0061648D">
        <w:rPr>
          <w:sz w:val="18"/>
          <w:szCs w:val="18"/>
          <w:lang w:val="en-IE"/>
        </w:rPr>
        <w:t>BEUC and France Assos Santé to the public consultation.</w:t>
      </w:r>
    </w:p>
  </w:footnote>
  <w:footnote w:id="130">
    <w:p w14:paraId="169D9D69"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144 cases out of 547.</w:t>
      </w:r>
    </w:p>
  </w:footnote>
  <w:footnote w:id="131">
    <w:p w14:paraId="74FE1DC7"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Law Insider, </w:t>
      </w:r>
      <w:hyperlink r:id="rId41" w:history="1">
        <w:r w:rsidRPr="0061648D">
          <w:rPr>
            <w:rStyle w:val="Hyperlink"/>
            <w:sz w:val="18"/>
            <w:szCs w:val="18"/>
          </w:rPr>
          <w:t>Latent Injury Definition</w:t>
        </w:r>
      </w:hyperlink>
      <w:r w:rsidRPr="0061648D">
        <w:rPr>
          <w:rStyle w:val="Hyperlink"/>
          <w:sz w:val="18"/>
          <w:szCs w:val="18"/>
        </w:rPr>
        <w:t>.</w:t>
      </w:r>
    </w:p>
  </w:footnote>
  <w:footnote w:id="132">
    <w:p w14:paraId="4A82FD4D" w14:textId="1A274E48"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France Assos Santé, response to Inception Impact Assessment, June 2021.</w:t>
      </w:r>
    </w:p>
  </w:footnote>
  <w:footnote w:id="133">
    <w:p w14:paraId="39FA6A29" w14:textId="6EFDE56A"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Howald Moor and Others v Switzerland – 52067/10 and 41072/11 (ECHR 069-2014).</w:t>
      </w:r>
    </w:p>
  </w:footnote>
  <w:footnote w:id="134">
    <w:p w14:paraId="519CABF4"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Interviews conducted as part of the IA support study.</w:t>
      </w:r>
    </w:p>
  </w:footnote>
  <w:footnote w:id="135">
    <w:p w14:paraId="2BEBC945" w14:textId="27591573"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Response of France Assos Santé to the public consultation.</w:t>
      </w:r>
    </w:p>
  </w:footnote>
  <w:footnote w:id="136">
    <w:p w14:paraId="7E6C6A7A" w14:textId="401D7ED3" w:rsidR="00030C20" w:rsidRPr="0061648D" w:rsidRDefault="00030C20" w:rsidP="0061648D">
      <w:pPr>
        <w:spacing w:after="0" w:line="240" w:lineRule="auto"/>
        <w:jc w:val="both"/>
        <w:rPr>
          <w:rFonts w:cs="Times New Roman"/>
          <w:sz w:val="18"/>
          <w:szCs w:val="18"/>
          <w:lang w:val="en-US"/>
        </w:rPr>
      </w:pPr>
      <w:r w:rsidRPr="0061648D">
        <w:rPr>
          <w:rStyle w:val="FootnoteReference"/>
          <w:sz w:val="18"/>
          <w:szCs w:val="18"/>
        </w:rPr>
        <w:footnoteRef/>
      </w:r>
      <w:r w:rsidRPr="0061648D">
        <w:rPr>
          <w:rFonts w:cs="Times New Roman"/>
          <w:sz w:val="18"/>
          <w:szCs w:val="18"/>
        </w:rPr>
        <w:t xml:space="preserve"> </w:t>
      </w:r>
      <w:r w:rsidRPr="0061648D">
        <w:rPr>
          <w:rFonts w:cs="Times New Roman"/>
          <w:sz w:val="18"/>
          <w:szCs w:val="18"/>
          <w:lang w:val="en-US"/>
        </w:rPr>
        <w:t>Evaluation of Product Liability Directive,</w:t>
      </w:r>
      <w:r w:rsidRPr="0061648D">
        <w:rPr>
          <w:rFonts w:cs="Times New Roman"/>
          <w:color w:val="444444"/>
          <w:sz w:val="18"/>
          <w:szCs w:val="18"/>
          <w:shd w:val="clear" w:color="auto" w:fill="FFFFFF"/>
          <w:lang w:val="en-US"/>
        </w:rPr>
        <w:t xml:space="preserve"> </w:t>
      </w:r>
      <w:hyperlink r:id="rId42" w:history="1">
        <w:r w:rsidRPr="0061648D">
          <w:rPr>
            <w:rStyle w:val="Hyperlink"/>
            <w:rFonts w:cs="Times New Roman"/>
            <w:sz w:val="18"/>
            <w:szCs w:val="18"/>
            <w:lang w:val="en-US"/>
          </w:rPr>
          <w:t>SWD(2018)157</w:t>
        </w:r>
      </w:hyperlink>
      <w:r w:rsidRPr="0061648D">
        <w:rPr>
          <w:rFonts w:cs="Times New Roman"/>
          <w:sz w:val="18"/>
          <w:szCs w:val="18"/>
        </w:rPr>
        <w:t xml:space="preserve">, p.25. The impact assessment study could not find data on how many cases under the PLD concern property damage. </w:t>
      </w:r>
    </w:p>
  </w:footnote>
  <w:footnote w:id="137">
    <w:p w14:paraId="59955CDF" w14:textId="675ABFE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 xml:space="preserve">BEUC (2020). </w:t>
      </w:r>
      <w:r w:rsidRPr="0061648D">
        <w:rPr>
          <w:sz w:val="18"/>
          <w:szCs w:val="18"/>
        </w:rPr>
        <w:t>Product Liability 2.0 - How to make EU rules fit for consumers in the digital age. BEUC-X-2020-024 - 07/05/2020, p. 16.</w:t>
      </w:r>
    </w:p>
  </w:footnote>
  <w:footnote w:id="138">
    <w:p w14:paraId="05FC5C91" w14:textId="03A80E60"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Directive (EU) 2020/1828 on representative actions for the protection of the collective interests of consumers</w:t>
      </w:r>
    </w:p>
  </w:footnote>
  <w:footnote w:id="139">
    <w:p w14:paraId="6EA2D363" w14:textId="7618C2E9"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Annex I of Directive (EU) 2020/1828.</w:t>
      </w:r>
    </w:p>
  </w:footnote>
  <w:footnote w:id="140">
    <w:p w14:paraId="1AD1BD1E" w14:textId="6EF561AC"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131 out of 167, and 16 out of 102 respectively.</w:t>
      </w:r>
    </w:p>
  </w:footnote>
  <w:footnote w:id="141">
    <w:p w14:paraId="5F4135A0" w14:textId="13E75FB3"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Chatzipanagiotis, M. P., Leloudas, G., (2020), Automated Vehicles and Third-Party Liability: A European Perspective, University of Illinois Journal of Law, Technology &amp; Policy, pp. 109-199. P. 127.</w:t>
      </w:r>
    </w:p>
  </w:footnote>
  <w:footnote w:id="142">
    <w:p w14:paraId="4B24B562" w14:textId="78CFF3D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See </w:t>
      </w:r>
      <w:hyperlink r:id="rId43" w:history="1">
        <w:r w:rsidRPr="0061648D">
          <w:rPr>
            <w:rStyle w:val="Hyperlink"/>
            <w:sz w:val="18"/>
            <w:szCs w:val="18"/>
          </w:rPr>
          <w:t>Eurostat data from 2020</w:t>
        </w:r>
      </w:hyperlink>
      <w:r w:rsidRPr="0061648D">
        <w:rPr>
          <w:sz w:val="18"/>
          <w:szCs w:val="18"/>
        </w:rPr>
        <w:t>, according to which Denmark has the highest price level (141% of EU average) and Romania the lowest (55%); see also Fourth report on the application of Council Directive 85/374/EEC, COM(2011)547.</w:t>
      </w:r>
    </w:p>
  </w:footnote>
  <w:footnote w:id="143">
    <w:p w14:paraId="79119F6A" w14:textId="54E0A5D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US"/>
        </w:rPr>
        <w:t>CSES with Wavestone, CSIL (2022), Impact assessment study on the revision of Product Liability Directive, section 2.1.1.1.</w:t>
      </w:r>
    </w:p>
  </w:footnote>
  <w:footnote w:id="144">
    <w:p w14:paraId="3DFDF11B" w14:textId="0D51D4B1" w:rsidR="00030C20" w:rsidRPr="0061648D" w:rsidRDefault="00030C20" w:rsidP="0061648D">
      <w:pPr>
        <w:pStyle w:val="FootnoteText"/>
        <w:jc w:val="both"/>
        <w:rPr>
          <w:sz w:val="18"/>
          <w:szCs w:val="18"/>
          <w:lang w:val="de-DE"/>
        </w:rPr>
      </w:pPr>
      <w:r w:rsidRPr="0061648D">
        <w:rPr>
          <w:rStyle w:val="FootnoteReference"/>
          <w:sz w:val="18"/>
          <w:szCs w:val="18"/>
        </w:rPr>
        <w:footnoteRef/>
      </w:r>
      <w:r w:rsidRPr="0061648D">
        <w:rPr>
          <w:sz w:val="18"/>
          <w:szCs w:val="18"/>
          <w:lang w:val="de-DE"/>
        </w:rPr>
        <w:t xml:space="preserve"> </w:t>
      </w:r>
      <w:bookmarkStart w:id="226" w:name="_Toc92718227"/>
      <w:r w:rsidRPr="0061648D">
        <w:rPr>
          <w:sz w:val="18"/>
          <w:szCs w:val="18"/>
          <w:lang w:val="de-DE"/>
        </w:rPr>
        <w:t>Gerhard Wagner (2020), Verantwortlichkeit im Zeichen digitaler Techniken, Versicherungsrecht</w:t>
      </w:r>
      <w:bookmarkEnd w:id="226"/>
      <w:r w:rsidRPr="0061648D">
        <w:rPr>
          <w:sz w:val="18"/>
          <w:szCs w:val="18"/>
          <w:lang w:val="de-DE"/>
        </w:rPr>
        <w:t>, p. 738.</w:t>
      </w:r>
    </w:p>
  </w:footnote>
  <w:footnote w:id="145">
    <w:p w14:paraId="6C2A0BCB" w14:textId="58A06A9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lang w:val="en-IE"/>
        </w:rPr>
        <w:t xml:space="preserve"> BEUC (2020), </w:t>
      </w:r>
      <w:r w:rsidRPr="0061648D">
        <w:rPr>
          <w:sz w:val="18"/>
          <w:szCs w:val="18"/>
        </w:rPr>
        <w:t>Product Liability 2.0 - How to make EU rules fit for consumers in the digital age, p. 17; European Commission (2020), Report on the Safety and Liability Implications of Artificial Intelligence, the Internet of Things and Robotics.</w:t>
      </w:r>
    </w:p>
  </w:footnote>
  <w:footnote w:id="146">
    <w:p w14:paraId="3147EBEA" w14:textId="21311A0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European Commission (2020), Report on the Safety and Liability Implications of Artificial Intelligence, the Internet of Things and Robotics.</w:t>
      </w:r>
    </w:p>
  </w:footnote>
  <w:footnote w:id="147">
    <w:p w14:paraId="411AC1DA" w14:textId="2D8542A8"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US"/>
        </w:rPr>
        <w:t>Evaluation of Product Liability Directive,</w:t>
      </w:r>
      <w:r w:rsidRPr="0061648D">
        <w:rPr>
          <w:color w:val="444444"/>
          <w:sz w:val="18"/>
          <w:szCs w:val="18"/>
          <w:shd w:val="clear" w:color="auto" w:fill="FFFFFF"/>
          <w:lang w:val="en-US"/>
        </w:rPr>
        <w:t xml:space="preserve"> </w:t>
      </w:r>
      <w:hyperlink r:id="rId44" w:history="1">
        <w:r w:rsidRPr="0061648D">
          <w:rPr>
            <w:rStyle w:val="Hyperlink"/>
            <w:sz w:val="18"/>
            <w:szCs w:val="18"/>
            <w:lang w:val="en-US"/>
          </w:rPr>
          <w:t>SWD(2018)157</w:t>
        </w:r>
      </w:hyperlink>
      <w:r w:rsidRPr="0061648D">
        <w:rPr>
          <w:rStyle w:val="Hyperlink"/>
          <w:sz w:val="18"/>
          <w:szCs w:val="18"/>
          <w:lang w:val="en-US"/>
        </w:rPr>
        <w:t>.</w:t>
      </w:r>
    </w:p>
  </w:footnote>
  <w:footnote w:id="148">
    <w:p w14:paraId="00D1EE71" w14:textId="4D004CCC"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US"/>
        </w:rPr>
        <w:t>Evaluation of Product Liability Directive,</w:t>
      </w:r>
      <w:r w:rsidRPr="0061648D">
        <w:rPr>
          <w:color w:val="444444"/>
          <w:sz w:val="18"/>
          <w:szCs w:val="18"/>
          <w:shd w:val="clear" w:color="auto" w:fill="FFFFFF"/>
          <w:lang w:val="en-US"/>
        </w:rPr>
        <w:t xml:space="preserve"> </w:t>
      </w:r>
      <w:hyperlink r:id="rId45" w:history="1">
        <w:r w:rsidRPr="0061648D">
          <w:rPr>
            <w:rStyle w:val="Hyperlink"/>
            <w:sz w:val="18"/>
            <w:szCs w:val="18"/>
            <w:lang w:val="en-US"/>
          </w:rPr>
          <w:t>SWD(2018)157</w:t>
        </w:r>
      </w:hyperlink>
      <w:r w:rsidRPr="0061648D">
        <w:rPr>
          <w:sz w:val="18"/>
          <w:szCs w:val="18"/>
          <w:lang w:val="en-US"/>
        </w:rPr>
        <w:t xml:space="preserve">, </w:t>
      </w:r>
      <w:r w:rsidRPr="0061648D">
        <w:rPr>
          <w:sz w:val="18"/>
          <w:szCs w:val="18"/>
        </w:rPr>
        <w:t>p. 60.</w:t>
      </w:r>
    </w:p>
  </w:footnote>
  <w:footnote w:id="149">
    <w:p w14:paraId="31509E94" w14:textId="554AB2B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over assumptions as well as the estimation methodology used to assess the baseline scenario.</w:t>
      </w:r>
    </w:p>
  </w:footnote>
  <w:footnote w:id="150">
    <w:p w14:paraId="1F94E14E"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46" w:history="1">
        <w:r w:rsidRPr="0061648D">
          <w:rPr>
            <w:rStyle w:val="Hyperlink"/>
            <w:sz w:val="18"/>
            <w:szCs w:val="18"/>
          </w:rPr>
          <w:t>SWD(2018)157</w:t>
        </w:r>
      </w:hyperlink>
      <w:r w:rsidRPr="0061648D">
        <w:rPr>
          <w:sz w:val="18"/>
          <w:szCs w:val="18"/>
        </w:rPr>
        <w:t>, p. 21.</w:t>
      </w:r>
    </w:p>
  </w:footnote>
  <w:footnote w:id="151">
    <w:p w14:paraId="71F1A915" w14:textId="71CD44F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47" w:history="1">
        <w:r w:rsidRPr="0061648D">
          <w:rPr>
            <w:rStyle w:val="Hyperlink"/>
            <w:sz w:val="18"/>
            <w:szCs w:val="18"/>
          </w:rPr>
          <w:t>SWD(2018)157</w:t>
        </w:r>
      </w:hyperlink>
      <w:r w:rsidRPr="0061648D">
        <w:rPr>
          <w:sz w:val="18"/>
          <w:szCs w:val="18"/>
        </w:rPr>
        <w:t>, p.11: with 46% settled in direct negotiation, 32% in court, 15% through alternative dispute resolution</w:t>
      </w:r>
      <w:r>
        <w:rPr>
          <w:sz w:val="18"/>
          <w:szCs w:val="18"/>
        </w:rPr>
        <w:t xml:space="preserve"> </w:t>
      </w:r>
      <w:r w:rsidRPr="0061648D">
        <w:rPr>
          <w:sz w:val="18"/>
          <w:szCs w:val="18"/>
        </w:rPr>
        <w:t>and a residual 7% solved through other means, such as the insurance of the responsible party.</w:t>
      </w:r>
    </w:p>
  </w:footnote>
  <w:footnote w:id="152">
    <w:p w14:paraId="5EF07BC5" w14:textId="27B1148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US"/>
        </w:rPr>
        <w:t>CSES with Wavestone, CSIL (2022), Impact assessment study on the revision of Product Liability Directive, section 4.4.1.2.</w:t>
      </w:r>
    </w:p>
  </w:footnote>
  <w:footnote w:id="153">
    <w:p w14:paraId="7CB0506F" w14:textId="4C02350A" w:rsidR="00030C20" w:rsidRPr="0061648D" w:rsidRDefault="00030C20" w:rsidP="00A44A88">
      <w:pPr>
        <w:pStyle w:val="FootnoteText"/>
        <w:jc w:val="both"/>
        <w:rPr>
          <w:sz w:val="18"/>
          <w:szCs w:val="18"/>
        </w:rPr>
      </w:pPr>
      <w:r w:rsidRPr="0061648D">
        <w:rPr>
          <w:rStyle w:val="FootnoteReference"/>
          <w:sz w:val="18"/>
          <w:szCs w:val="18"/>
        </w:rPr>
        <w:footnoteRef/>
      </w:r>
      <w:r w:rsidRPr="0061648D">
        <w:rPr>
          <w:sz w:val="18"/>
          <w:szCs w:val="18"/>
        </w:rPr>
        <w:t xml:space="preserve"> </w:t>
      </w:r>
      <w:r w:rsidRPr="005707E5">
        <w:rPr>
          <w:sz w:val="18"/>
          <w:szCs w:val="18"/>
        </w:rPr>
        <w:t xml:space="preserve">According to the </w:t>
      </w:r>
      <w:r w:rsidRPr="0061648D">
        <w:rPr>
          <w:sz w:val="18"/>
          <w:szCs w:val="18"/>
        </w:rPr>
        <w:t>Evaluation of Product Liability Directive,</w:t>
      </w:r>
      <w:r w:rsidRPr="0061648D">
        <w:rPr>
          <w:rFonts w:eastAsiaTheme="minorHAnsi"/>
          <w:color w:val="444444"/>
          <w:sz w:val="18"/>
          <w:szCs w:val="18"/>
          <w:shd w:val="clear" w:color="auto" w:fill="FFFFFF"/>
        </w:rPr>
        <w:t xml:space="preserve"> </w:t>
      </w:r>
      <w:hyperlink r:id="rId48" w:history="1">
        <w:r w:rsidRPr="0061648D">
          <w:rPr>
            <w:rStyle w:val="Hyperlink"/>
            <w:sz w:val="18"/>
            <w:szCs w:val="18"/>
          </w:rPr>
          <w:t>SWD(2018)157</w:t>
        </w:r>
      </w:hyperlink>
      <w:r w:rsidRPr="005707E5">
        <w:rPr>
          <w:sz w:val="18"/>
          <w:szCs w:val="18"/>
        </w:rPr>
        <w:t xml:space="preserve">, </w:t>
      </w:r>
      <w:r w:rsidRPr="0061648D">
        <w:rPr>
          <w:sz w:val="18"/>
          <w:szCs w:val="18"/>
        </w:rPr>
        <w:t>79% of producers overall have either a general (57%), or a specific (22%) product liability insurance policy, covering pay-outs to victims in case they are found liable for a defective product.</w:t>
      </w:r>
      <w:r>
        <w:rPr>
          <w:sz w:val="18"/>
          <w:szCs w:val="18"/>
        </w:rPr>
        <w:t xml:space="preserve"> See section 6.</w:t>
      </w:r>
    </w:p>
  </w:footnote>
  <w:footnote w:id="154">
    <w:p w14:paraId="284B6BF8" w14:textId="2DE9489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This would not create an obligation to provide updates. Where such obligations do exist,</w:t>
      </w:r>
      <w:r>
        <w:rPr>
          <w:sz w:val="18"/>
          <w:szCs w:val="18"/>
        </w:rPr>
        <w:t xml:space="preserve"> </w:t>
      </w:r>
      <w:r w:rsidRPr="0061648D">
        <w:rPr>
          <w:sz w:val="18"/>
          <w:szCs w:val="18"/>
        </w:rPr>
        <w:t>(e.g. in Art. 7(3) of Directive (EU) 2019/771 on certain aspects concerning contracts for the sale of goods, , that would provide a yardstick for courts to assess what level of safety a person is entitled to expect in respect of updates.</w:t>
      </w:r>
    </w:p>
  </w:footnote>
  <w:footnote w:id="155">
    <w:p w14:paraId="014E3DA6" w14:textId="198F4BF2" w:rsidR="00030C20" w:rsidRPr="00157934" w:rsidRDefault="00030C20">
      <w:pPr>
        <w:pStyle w:val="FootnoteText"/>
      </w:pPr>
      <w:r>
        <w:rPr>
          <w:rStyle w:val="FootnoteReference"/>
        </w:rPr>
        <w:footnoteRef/>
      </w:r>
      <w:r>
        <w:t xml:space="preserve"> </w:t>
      </w:r>
      <w:r w:rsidRPr="00157934">
        <w:rPr>
          <w:sz w:val="18"/>
          <w:szCs w:val="18"/>
        </w:rPr>
        <w:t>As is the case today</w:t>
      </w:r>
      <w:r>
        <w:rPr>
          <w:sz w:val="18"/>
          <w:szCs w:val="18"/>
        </w:rPr>
        <w:t>, if ultimate responsibility for the defect lies with the component producer (in this case, the software provider), the manufacturer of the overall product could make a recourse claim against them to recoup the costs of compensating the victim.</w:t>
      </w:r>
      <w:r>
        <w:t xml:space="preserve"> </w:t>
      </w:r>
    </w:p>
  </w:footnote>
  <w:footnote w:id="156">
    <w:p w14:paraId="41E32B09" w14:textId="4148E87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The appointment of an authorised representatives (a natural or legal person who has a written mandate from a manufacturer to act on its behalf) is regulat</w:t>
      </w:r>
      <w:r w:rsidRPr="0061648D">
        <w:rPr>
          <w:sz w:val="18"/>
          <w:szCs w:val="18"/>
        </w:rPr>
        <w:t>ed in Regulation (EU) 2019/1020 on market surveillance, Art. 4(2)(c) and Art. 3(12) and in the proposed GPSR, Art. 15.</w:t>
      </w:r>
    </w:p>
  </w:footnote>
  <w:footnote w:id="157">
    <w:p w14:paraId="5E1B6622" w14:textId="50CB97A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e.g. the cost of restoring destroyed music or video files or software programs. This would not cover non-material losses such as emotional harm resulting from, say, the loss of family photos.</w:t>
      </w:r>
    </w:p>
  </w:footnote>
  <w:footnote w:id="158">
    <w:p w14:paraId="5AF6494C" w14:textId="0913546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“Any natural or legal person offering, in the course of commercial activity, at least two of the following services: warehousing, packaging, addressing and dispatching…and any other postal services or freight transport services”: Article 3(11) of Regulation (EU) 2019/1020 on market surveillance.</w:t>
      </w:r>
    </w:p>
  </w:footnote>
  <w:footnote w:id="159">
    <w:p w14:paraId="4B8FD312" w14:textId="5CED1C6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 balance would need to be struck between setting clear conditions and allowing flexibility for courts to take account of all facts of the case before it.</w:t>
      </w:r>
    </w:p>
  </w:footnote>
  <w:footnote w:id="160">
    <w:p w14:paraId="11BC7D3F" w14:textId="3453C71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Law Insider, </w:t>
      </w:r>
      <w:hyperlink r:id="rId49" w:history="1">
        <w:r w:rsidRPr="0061648D">
          <w:rPr>
            <w:rStyle w:val="Hyperlink"/>
            <w:sz w:val="18"/>
            <w:szCs w:val="18"/>
          </w:rPr>
          <w:t>Latent Injury Definition</w:t>
        </w:r>
      </w:hyperlink>
      <w:r w:rsidRPr="0061648D">
        <w:rPr>
          <w:rStyle w:val="Hyperlink"/>
          <w:sz w:val="18"/>
          <w:szCs w:val="18"/>
        </w:rPr>
        <w:t>.</w:t>
      </w:r>
    </w:p>
  </w:footnote>
  <w:footnote w:id="161">
    <w:p w14:paraId="17159239" w14:textId="308C8A4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56% overall (excluding members of the public) (92 out of 168) in favour of legislative change; 75% of members of the public (93 out of 123) in favour of legislation change; 65% of businesses or business associations (71 out of 110) prefer no legislative change.</w:t>
      </w:r>
    </w:p>
  </w:footnote>
  <w:footnote w:id="162">
    <w:p w14:paraId="2F2D7AD7" w14:textId="085DA04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For example, responses to the public consultation </w:t>
      </w:r>
      <w:r w:rsidRPr="0061648D">
        <w:rPr>
          <w:sz w:val="18"/>
          <w:szCs w:val="18"/>
          <w:lang w:val="en-IE"/>
        </w:rPr>
        <w:t>by Business Europe, Orgalim, Digital Europe, AmCham EU.</w:t>
      </w:r>
    </w:p>
  </w:footnote>
  <w:footnote w:id="163">
    <w:p w14:paraId="461F96BA" w14:textId="67B02C41"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hyperlink r:id="rId50" w:history="1">
        <w:r w:rsidRPr="0061648D">
          <w:rPr>
            <w:rStyle w:val="Hyperlink"/>
            <w:sz w:val="18"/>
            <w:szCs w:val="18"/>
          </w:rPr>
          <w:t>Register of Commission expert groups and other similar entities (europa.eu)</w:t>
        </w:r>
      </w:hyperlink>
      <w:r w:rsidRPr="0061648D">
        <w:rPr>
          <w:sz w:val="18"/>
          <w:szCs w:val="18"/>
        </w:rPr>
        <w:t>.</w:t>
      </w:r>
    </w:p>
  </w:footnote>
  <w:footnote w:id="164">
    <w:p w14:paraId="21C365C5"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See also minutes of Expert Group on Liability and New Technologies (PLD formation) of </w:t>
      </w:r>
      <w:hyperlink r:id="rId51" w:history="1">
        <w:r w:rsidRPr="0061648D">
          <w:rPr>
            <w:rStyle w:val="Hyperlink"/>
            <w:sz w:val="18"/>
            <w:szCs w:val="18"/>
            <w:lang w:val="en-IE"/>
          </w:rPr>
          <w:t>18 February 2019</w:t>
        </w:r>
      </w:hyperlink>
      <w:r w:rsidRPr="0061648D">
        <w:rPr>
          <w:sz w:val="18"/>
          <w:szCs w:val="18"/>
          <w:lang w:val="en-IE"/>
        </w:rPr>
        <w:t xml:space="preserve"> and </w:t>
      </w:r>
      <w:hyperlink r:id="rId52" w:history="1">
        <w:r w:rsidRPr="0061648D">
          <w:rPr>
            <w:rStyle w:val="Hyperlink"/>
            <w:sz w:val="18"/>
            <w:szCs w:val="18"/>
            <w:lang w:val="en-IE"/>
          </w:rPr>
          <w:t>5 November 2019</w:t>
        </w:r>
      </w:hyperlink>
      <w:r w:rsidRPr="0061648D">
        <w:rPr>
          <w:sz w:val="18"/>
          <w:szCs w:val="18"/>
          <w:lang w:val="en-IE"/>
        </w:rPr>
        <w:t>.</w:t>
      </w:r>
    </w:p>
  </w:footnote>
  <w:footnote w:id="165">
    <w:p w14:paraId="29AA178D" w14:textId="244B4D42" w:rsidR="00030C20" w:rsidRPr="0061648D" w:rsidRDefault="00030C20" w:rsidP="0061648D">
      <w:pPr>
        <w:spacing w:after="0" w:line="240" w:lineRule="auto"/>
        <w:jc w:val="both"/>
        <w:rPr>
          <w:rFonts w:cs="Times New Roman"/>
          <w:sz w:val="18"/>
          <w:szCs w:val="18"/>
          <w:lang w:val="en-US"/>
        </w:rPr>
      </w:pPr>
      <w:r w:rsidRPr="0061648D">
        <w:rPr>
          <w:rStyle w:val="FootnoteReference"/>
          <w:sz w:val="18"/>
          <w:szCs w:val="18"/>
        </w:rPr>
        <w:footnoteRef/>
      </w:r>
      <w:r w:rsidRPr="0061648D">
        <w:rPr>
          <w:rFonts w:cs="Times New Roman"/>
          <w:sz w:val="18"/>
          <w:szCs w:val="18"/>
        </w:rPr>
        <w:t xml:space="preserve"> </w:t>
      </w:r>
      <w:r w:rsidRPr="0061648D">
        <w:rPr>
          <w:rFonts w:cs="Times New Roman"/>
          <w:sz w:val="18"/>
          <w:szCs w:val="18"/>
          <w:lang w:val="en-US"/>
        </w:rPr>
        <w:t>Evaluation of Product Liability Directive,</w:t>
      </w:r>
      <w:r w:rsidRPr="0061648D">
        <w:rPr>
          <w:rFonts w:cs="Times New Roman"/>
          <w:color w:val="444444"/>
          <w:sz w:val="18"/>
          <w:szCs w:val="18"/>
          <w:shd w:val="clear" w:color="auto" w:fill="FFFFFF"/>
          <w:lang w:val="en-US"/>
        </w:rPr>
        <w:t xml:space="preserve"> </w:t>
      </w:r>
      <w:hyperlink r:id="rId53" w:history="1">
        <w:r w:rsidRPr="0061648D">
          <w:rPr>
            <w:rStyle w:val="Hyperlink"/>
            <w:rFonts w:cs="Times New Roman"/>
            <w:sz w:val="18"/>
            <w:szCs w:val="18"/>
            <w:lang w:val="en-US"/>
          </w:rPr>
          <w:t>SWD(2018)157</w:t>
        </w:r>
      </w:hyperlink>
      <w:r w:rsidRPr="0061648D">
        <w:rPr>
          <w:rFonts w:cs="Times New Roman"/>
          <w:sz w:val="18"/>
          <w:szCs w:val="18"/>
        </w:rPr>
        <w:t>, p. 69.</w:t>
      </w:r>
    </w:p>
  </w:footnote>
  <w:footnote w:id="166">
    <w:p w14:paraId="008D1B3D" w14:textId="4A96CEAE"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Expert Group on Liability and New Technologies (2019), </w:t>
      </w:r>
      <w:hyperlink r:id="rId54" w:history="1">
        <w:r w:rsidRPr="0061648D">
          <w:rPr>
            <w:rStyle w:val="Hyperlink"/>
            <w:sz w:val="18"/>
            <w:szCs w:val="18"/>
          </w:rPr>
          <w:t>Report</w:t>
        </w:r>
      </w:hyperlink>
      <w:r w:rsidRPr="0061648D">
        <w:rPr>
          <w:sz w:val="18"/>
          <w:szCs w:val="18"/>
        </w:rPr>
        <w:t xml:space="preserve"> on Liability for artificial intelligence and other emerging digital technologies</w:t>
      </w:r>
    </w:p>
  </w:footnote>
  <w:footnote w:id="167">
    <w:p w14:paraId="405AB28D"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France Assos Santé to the public consultation.</w:t>
      </w:r>
    </w:p>
  </w:footnote>
  <w:footnote w:id="168">
    <w:p w14:paraId="72809853"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Responses of The Future Society and of Irish Council for Civil Liberties to the public consultation.</w:t>
      </w:r>
    </w:p>
  </w:footnote>
  <w:footnote w:id="169">
    <w:p w14:paraId="4A6089EF"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N-268.</w:t>
      </w:r>
    </w:p>
  </w:footnote>
  <w:footnote w:id="170">
    <w:p w14:paraId="32DAEC05" w14:textId="3C88319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Bernhard A. Koch in Essays in honour of Helmut Koziol, Jan Sramek Verlag 2020, p. 82.</w:t>
      </w:r>
    </w:p>
  </w:footnote>
  <w:footnote w:id="171">
    <w:p w14:paraId="7FDE27C6" w14:textId="1683D6E9" w:rsidR="00030C20" w:rsidRPr="0061648D" w:rsidRDefault="00030C20" w:rsidP="0061648D">
      <w:pPr>
        <w:pStyle w:val="CommentText"/>
        <w:spacing w:after="0"/>
        <w:jc w:val="both"/>
        <w:rPr>
          <w:rFonts w:cs="Times New Roman"/>
          <w:sz w:val="18"/>
          <w:szCs w:val="18"/>
          <w:lang w:val="en-IE"/>
        </w:rPr>
      </w:pPr>
      <w:r w:rsidRPr="0061648D">
        <w:rPr>
          <w:rStyle w:val="FootnoteReference"/>
          <w:sz w:val="18"/>
          <w:szCs w:val="18"/>
        </w:rPr>
        <w:footnoteRef/>
      </w:r>
      <w:r w:rsidRPr="0061648D">
        <w:rPr>
          <w:rFonts w:cs="Times New Roman"/>
          <w:sz w:val="18"/>
          <w:szCs w:val="18"/>
          <w:lang w:val="en-IE"/>
        </w:rPr>
        <w:t xml:space="preserve"> </w:t>
      </w:r>
      <w:r w:rsidRPr="0061648D">
        <w:rPr>
          <w:rFonts w:eastAsia="Times New Roman" w:cs="Times New Roman"/>
          <w:sz w:val="18"/>
          <w:szCs w:val="18"/>
          <w:lang w:val="en-IE"/>
        </w:rPr>
        <w:t>Position papers of BVMed; EFPIA; Eurochambres; Siemens; ZDH; ZVEI in response to the public consultation.</w:t>
      </w:r>
    </w:p>
  </w:footnote>
  <w:footnote w:id="172">
    <w:p w14:paraId="0D936B12" w14:textId="43627E69"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Responses of AEBS; Austrian Bundesarbeitskammer; German Federal Government; The future society to the public consultation.</w:t>
      </w:r>
    </w:p>
  </w:footnote>
  <w:footnote w:id="173">
    <w:p w14:paraId="04D310C4" w14:textId="0100895F"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Comment made by Federation of the European Sporting Goods Industry (</w:t>
      </w:r>
      <w:r w:rsidRPr="0061648D">
        <w:rPr>
          <w:sz w:val="18"/>
          <w:szCs w:val="18"/>
          <w:lang w:val="en-IE"/>
        </w:rPr>
        <w:t>FESI) at the PLD Workshop of 14 December 2021.</w:t>
      </w:r>
    </w:p>
  </w:footnote>
  <w:footnote w:id="174">
    <w:p w14:paraId="37573FC1" w14:textId="52F70FAC" w:rsidR="00030C20" w:rsidRPr="00B41980" w:rsidRDefault="00030C20">
      <w:pPr>
        <w:pStyle w:val="FootnoteText"/>
        <w:rPr>
          <w:sz w:val="18"/>
          <w:szCs w:val="18"/>
          <w:lang w:val="en-IE"/>
        </w:rPr>
      </w:pPr>
      <w:r w:rsidRPr="00205862">
        <w:rPr>
          <w:rStyle w:val="FootnoteReference"/>
          <w:sz w:val="18"/>
          <w:szCs w:val="18"/>
        </w:rPr>
        <w:footnoteRef/>
      </w:r>
      <w:r w:rsidRPr="00205862">
        <w:rPr>
          <w:sz w:val="18"/>
          <w:szCs w:val="18"/>
        </w:rPr>
        <w:t xml:space="preserve"> </w:t>
      </w:r>
      <w:r w:rsidRPr="0061648D">
        <w:rPr>
          <w:sz w:val="18"/>
          <w:szCs w:val="18"/>
        </w:rPr>
        <w:t xml:space="preserve">BEUC (2020). Product Liability 2.0 - How to make EU rules fit for consumers in the digital age. </w:t>
      </w:r>
      <w:r w:rsidRPr="00B41980">
        <w:rPr>
          <w:sz w:val="18"/>
          <w:szCs w:val="18"/>
          <w:lang w:val="en-IE"/>
        </w:rPr>
        <w:t>BEUC-X-2020-024 - 07/05/2020; Response to inception impact assessment of Réseau D.E.S. (Victimes du Valproate de sodium).</w:t>
      </w:r>
    </w:p>
  </w:footnote>
  <w:footnote w:id="175">
    <w:p w14:paraId="49DC47E8" w14:textId="005F9559" w:rsidR="00030C20" w:rsidRPr="0061648D" w:rsidRDefault="00030C20" w:rsidP="0061648D">
      <w:pPr>
        <w:pStyle w:val="FootnoteText"/>
        <w:adjustRightInd w:val="0"/>
        <w:snapToGrid w:val="0"/>
        <w:jc w:val="both"/>
        <w:rPr>
          <w:sz w:val="18"/>
          <w:szCs w:val="18"/>
        </w:rPr>
      </w:pPr>
      <w:r w:rsidRPr="0061648D">
        <w:rPr>
          <w:rStyle w:val="FootnoteReference"/>
          <w:sz w:val="18"/>
          <w:szCs w:val="18"/>
        </w:rPr>
        <w:footnoteRef/>
      </w:r>
      <w:r w:rsidRPr="0061648D">
        <w:rPr>
          <w:sz w:val="18"/>
          <w:szCs w:val="18"/>
        </w:rPr>
        <w:t xml:space="preserve"> More details on data gaps and limitation are presented in Annex 4.</w:t>
      </w:r>
      <w:r>
        <w:rPr>
          <w:sz w:val="18"/>
          <w:szCs w:val="18"/>
        </w:rPr>
        <w:t xml:space="preserve"> </w:t>
      </w:r>
      <w:r w:rsidRPr="0061648D">
        <w:rPr>
          <w:sz w:val="18"/>
          <w:szCs w:val="18"/>
        </w:rPr>
        <w:t xml:space="preserve"> </w:t>
      </w:r>
    </w:p>
  </w:footnote>
  <w:footnote w:id="176">
    <w:p w14:paraId="0E549094"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Baseline scenario presented in section 2.1. Annex 4 provides details over assumptions as well as the estimation methodology used to assess the impacts of policy options. </w:t>
      </w:r>
    </w:p>
  </w:footnote>
  <w:footnote w:id="177">
    <w:p w14:paraId="32EBF13C"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55" w:history="1">
        <w:r w:rsidRPr="0061648D">
          <w:rPr>
            <w:rStyle w:val="Hyperlink"/>
            <w:sz w:val="18"/>
            <w:szCs w:val="18"/>
          </w:rPr>
          <w:t>SWD(2018)157</w:t>
        </w:r>
      </w:hyperlink>
      <w:r w:rsidRPr="0061648D">
        <w:rPr>
          <w:sz w:val="18"/>
          <w:szCs w:val="18"/>
        </w:rPr>
        <w:t>: 79% of producers.</w:t>
      </w:r>
    </w:p>
  </w:footnote>
  <w:footnote w:id="178">
    <w:p w14:paraId="1F1D4171" w14:textId="0AC54F5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Very few cases are brought against component manufacturers (average of 3 court cases per year, see Evaluation, p. 14), so only a minor impact is expected under PO1a on insurance premiums for software producers.</w:t>
      </w:r>
    </w:p>
  </w:footnote>
  <w:footnote w:id="179">
    <w:p w14:paraId="7FFD7F69" w14:textId="403718C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Further disaggregation shows that consumers’ associations were fully in favour of including software controlling how a product works in the scope of the PLD (87% strongly agreed and 13% agreed), compared to the industry/business (where 22% strongly agreed and 46% agreed).</w:t>
      </w:r>
    </w:p>
  </w:footnote>
  <w:footnote w:id="180">
    <w:p w14:paraId="3AA5BF43" w14:textId="79F1BDE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Article 5 of Directive 85/374/EEC, N.B. rules on recourse are governed by national law.</w:t>
      </w:r>
    </w:p>
  </w:footnote>
  <w:footnote w:id="181">
    <w:p w14:paraId="7201CD2E"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Responses of Business Europe, France Assureurs and the French Business Confederation (Medef) to the public consultation, and comments of </w:t>
      </w:r>
      <w:r w:rsidRPr="0061648D">
        <w:rPr>
          <w:sz w:val="18"/>
          <w:szCs w:val="18"/>
          <w:lang w:val="en-IE"/>
        </w:rPr>
        <w:t>Conseil Européen de Remanufacture at Stakeholder Workshop of 13 December 2021.</w:t>
      </w:r>
    </w:p>
  </w:footnote>
  <w:footnote w:id="182">
    <w:p w14:paraId="58D39EF2" w14:textId="3E5A64B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Concept of full and partial refurbishment is included in the Medical Devices Regulation 2017 and the concept of a substantial modification is included in proposed AI Act, GPSR and Machinery Regulation, as well as in the Commission’s Blue Guide on the implementation of product safety legislation, </w:t>
      </w:r>
      <w:r w:rsidRPr="0061648D">
        <w:rPr>
          <w:sz w:val="18"/>
          <w:szCs w:val="18"/>
          <w:lang w:val="en-IE"/>
        </w:rPr>
        <w:t>2016/C 272/01</w:t>
      </w:r>
      <w:r w:rsidRPr="0061648D">
        <w:rPr>
          <w:sz w:val="18"/>
          <w:szCs w:val="18"/>
        </w:rPr>
        <w:t>, 26.7.2016, p. 15 to 17.</w:t>
      </w:r>
    </w:p>
  </w:footnote>
  <w:footnote w:id="183">
    <w:p w14:paraId="1F12CD8C" w14:textId="2ED74B4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See footnote in section 5.2.1.</w:t>
      </w:r>
    </w:p>
  </w:footnote>
  <w:footnote w:id="184">
    <w:p w14:paraId="20C1A480"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Insurance firms are expected to pass on the increased risk of litigation through higher insurance costs. </w:t>
      </w:r>
    </w:p>
  </w:footnote>
  <w:footnote w:id="185">
    <w:p w14:paraId="6A9CCE7D" w14:textId="6779220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186">
    <w:p w14:paraId="74DBC3F5" w14:textId="0040893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As for other economic operators already concerned by the PLD, it is assumed that 80% have liability insurance already.</w:t>
      </w:r>
    </w:p>
  </w:footnote>
  <w:footnote w:id="187">
    <w:p w14:paraId="7E74A14C" w14:textId="376D51E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Confirmed in interview with authorised representative in the context of the impact assessment study.</w:t>
      </w:r>
    </w:p>
  </w:footnote>
  <w:footnote w:id="188">
    <w:p w14:paraId="10B838A4" w14:textId="77777777" w:rsidR="00030C20" w:rsidRPr="00B34DAF" w:rsidRDefault="00030C20" w:rsidP="00915312">
      <w:pPr>
        <w:pStyle w:val="FootnoteText"/>
      </w:pPr>
      <w:r>
        <w:rPr>
          <w:rStyle w:val="FootnoteReference"/>
        </w:rPr>
        <w:footnoteRef/>
      </w:r>
      <w:r>
        <w:t xml:space="preserve"> </w:t>
      </w:r>
      <w:r w:rsidRPr="00B34DAF">
        <w:t xml:space="preserve">13 SMEs (businesses) and two SME associations </w:t>
      </w:r>
      <w:r>
        <w:t xml:space="preserve">(European Digital SME Alliance and Allied for Startups) </w:t>
      </w:r>
      <w:r w:rsidRPr="00B34DAF">
        <w:t>responded to the public consultation</w:t>
      </w:r>
      <w:r>
        <w:t>.</w:t>
      </w:r>
    </w:p>
  </w:footnote>
  <w:footnote w:id="189">
    <w:p w14:paraId="2DA87266" w14:textId="4F539EC4" w:rsidR="00030C20" w:rsidRPr="00915312" w:rsidRDefault="00030C20">
      <w:pPr>
        <w:pStyle w:val="FootnoteText"/>
      </w:pPr>
      <w:r>
        <w:rPr>
          <w:rStyle w:val="FootnoteReference"/>
        </w:rPr>
        <w:footnoteRef/>
      </w:r>
      <w:r>
        <w:t xml:space="preserve"> </w:t>
      </w:r>
      <w:r w:rsidRPr="00915312">
        <w:rPr>
          <w:lang w:val="en-US"/>
        </w:rPr>
        <w:t xml:space="preserve">CSES with Wavestone, CSIL (2022), Impact assessment study on the revision of Product Liability Directive, </w:t>
      </w:r>
      <w:r>
        <w:rPr>
          <w:lang w:val="en-US"/>
        </w:rPr>
        <w:t>section 2.3.1.</w:t>
      </w:r>
    </w:p>
  </w:footnote>
  <w:footnote w:id="190">
    <w:p w14:paraId="2542C7EE" w14:textId="1437877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https://ec.europa.eu/environment/strategy/circular-economy-action-plan_en.</w:t>
      </w:r>
    </w:p>
  </w:footnote>
  <w:footnote w:id="191">
    <w:p w14:paraId="25139E55" w14:textId="22B0F0F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It is not possible to quantify these risks, as they would vary considerably depending on the type of product.</w:t>
      </w:r>
    </w:p>
  </w:footnote>
  <w:footnote w:id="192">
    <w:p w14:paraId="415EC938" w14:textId="77777777" w:rsidR="00030C20" w:rsidRPr="001E54D3" w:rsidRDefault="00030C20" w:rsidP="0061648D">
      <w:pPr>
        <w:pStyle w:val="FootnoteText"/>
        <w:jc w:val="both"/>
        <w:rPr>
          <w:sz w:val="18"/>
          <w:szCs w:val="18"/>
        </w:rPr>
      </w:pPr>
      <w:r w:rsidRPr="001E54D3">
        <w:rPr>
          <w:rStyle w:val="FootnoteReference"/>
          <w:sz w:val="18"/>
          <w:szCs w:val="18"/>
        </w:rPr>
        <w:footnoteRef/>
      </w:r>
      <w:r w:rsidRPr="001E54D3">
        <w:rPr>
          <w:sz w:val="18"/>
          <w:szCs w:val="18"/>
        </w:rPr>
        <w:t xml:space="preserve"> See impact assessment on the proposed GPSR, </w:t>
      </w:r>
      <w:hyperlink r:id="rId56" w:history="1">
        <w:r w:rsidRPr="001E54D3">
          <w:rPr>
            <w:rStyle w:val="Hyperlink"/>
            <w:sz w:val="18"/>
            <w:szCs w:val="18"/>
          </w:rPr>
          <w:t>SWD(2021)168</w:t>
        </w:r>
      </w:hyperlink>
      <w:r w:rsidRPr="001E54D3">
        <w:rPr>
          <w:sz w:val="18"/>
          <w:szCs w:val="18"/>
        </w:rPr>
        <w:t>, p. 15.</w:t>
      </w:r>
    </w:p>
  </w:footnote>
  <w:footnote w:id="193">
    <w:p w14:paraId="0F53EC5F" w14:textId="64C8D4E2" w:rsidR="00030C20" w:rsidRDefault="00030C20">
      <w:pPr>
        <w:pStyle w:val="FootnoteText"/>
      </w:pPr>
      <w:r w:rsidRPr="001E54D3">
        <w:rPr>
          <w:rStyle w:val="FootnoteReference"/>
          <w:sz w:val="18"/>
          <w:szCs w:val="18"/>
        </w:rPr>
        <w:footnoteRef/>
      </w:r>
      <w:r w:rsidRPr="001E54D3">
        <w:rPr>
          <w:sz w:val="18"/>
          <w:szCs w:val="18"/>
        </w:rPr>
        <w:t xml:space="preserve"> It is generally accepted that software either embedded or crucial to the operation of a product is already included within scope</w:t>
      </w:r>
      <w:r>
        <w:rPr>
          <w:sz w:val="18"/>
          <w:szCs w:val="18"/>
        </w:rPr>
        <w:t>; that</w:t>
      </w:r>
      <w:r w:rsidRPr="001E54D3">
        <w:rPr>
          <w:sz w:val="18"/>
          <w:szCs w:val="18"/>
        </w:rPr>
        <w:t xml:space="preserve"> software developers are already liable under other grounds of liability and</w:t>
      </w:r>
      <w:r>
        <w:rPr>
          <w:sz w:val="18"/>
          <w:szCs w:val="18"/>
        </w:rPr>
        <w:t xml:space="preserve"> that</w:t>
      </w:r>
      <w:r w:rsidRPr="001E54D3">
        <w:rPr>
          <w:sz w:val="18"/>
          <w:szCs w:val="18"/>
        </w:rPr>
        <w:t xml:space="preserve"> software rarely causes physical damage except in certain circumstances</w:t>
      </w:r>
      <w:r>
        <w:rPr>
          <w:sz w:val="18"/>
          <w:szCs w:val="18"/>
        </w:rPr>
        <w:t>.</w:t>
      </w:r>
    </w:p>
  </w:footnote>
  <w:footnote w:id="194">
    <w:p w14:paraId="513CA5F7"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195">
    <w:p w14:paraId="30F8DFAF" w14:textId="10AE69B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Legal costs that producers and claimants have to bear in case of a product liability claim (whether in court or out-of-court).</w:t>
      </w:r>
    </w:p>
  </w:footnote>
  <w:footnote w:id="196">
    <w:p w14:paraId="5D84906E" w14:textId="7C7A7FB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BEUC, the consumer organisation, considered it essential to widen the notion of product to ensure that consumers can get compensation under the PLD when software or a digital service renders a product defective</w:t>
      </w:r>
      <w:r w:rsidRPr="0061648D">
        <w:rPr>
          <w:sz w:val="18"/>
          <w:szCs w:val="18"/>
          <w:lang w:val="en-IE"/>
        </w:rPr>
        <w:t xml:space="preserve">. </w:t>
      </w:r>
      <w:r w:rsidRPr="0061648D">
        <w:rPr>
          <w:sz w:val="18"/>
          <w:szCs w:val="18"/>
        </w:rPr>
        <w:t>Product Liability 2.0 - How to make EU rules fit for consumers in the digital age. BEUC-X-2020-024-07/05/2020, p. 13).</w:t>
      </w:r>
    </w:p>
  </w:footnote>
  <w:footnote w:id="197">
    <w:p w14:paraId="719A328F" w14:textId="29382280"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See that section also for further impacts on consumer protection of making authorised representatives potentially liable.</w:t>
      </w:r>
    </w:p>
  </w:footnote>
  <w:footnote w:id="198">
    <w:p w14:paraId="070A6CC9" w14:textId="32C0116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 </w:t>
      </w:r>
    </w:p>
  </w:footnote>
  <w:footnote w:id="199">
    <w:p w14:paraId="087976A2" w14:textId="386D3F18" w:rsidR="00030C20" w:rsidRPr="00215DBB" w:rsidRDefault="00030C20">
      <w:pPr>
        <w:pStyle w:val="FootnoteText"/>
        <w:rPr>
          <w:sz w:val="18"/>
          <w:szCs w:val="18"/>
        </w:rPr>
      </w:pPr>
      <w:r>
        <w:rPr>
          <w:rStyle w:val="FootnoteReference"/>
        </w:rPr>
        <w:footnoteRef/>
      </w:r>
      <w:r>
        <w:t xml:space="preserve"> </w:t>
      </w:r>
      <w:r w:rsidRPr="00215DBB">
        <w:rPr>
          <w:sz w:val="18"/>
          <w:szCs w:val="18"/>
        </w:rPr>
        <w:t>Impact assessment study on the revision of Product Liability Directive, p. 46.</w:t>
      </w:r>
    </w:p>
  </w:footnote>
  <w:footnote w:id="200">
    <w:p w14:paraId="4ECAED51" w14:textId="024E540A" w:rsidR="00030C20" w:rsidRPr="00030C20" w:rsidRDefault="00030C20">
      <w:pPr>
        <w:pStyle w:val="FootnoteText"/>
      </w:pPr>
      <w:r>
        <w:rPr>
          <w:rStyle w:val="FootnoteReference"/>
        </w:rPr>
        <w:footnoteRef/>
      </w:r>
      <w:r>
        <w:t xml:space="preserve"> </w:t>
      </w:r>
      <w:r w:rsidRPr="00030C20">
        <w:rPr>
          <w:sz w:val="18"/>
          <w:szCs w:val="18"/>
        </w:rPr>
        <w:t>Regulation (EU) 2021/1119 of the European Parliament and of the Council of 30 June 2021 establishing the framework for achieving climate neutrality and amending Regulations (EC) No 401/2009 and (EU) 2018/1999 (‘European Climate Law’), OJ L 243, 9.7.2021, p.1.</w:t>
      </w:r>
      <w:r>
        <w:t xml:space="preserve"> </w:t>
      </w:r>
    </w:p>
  </w:footnote>
  <w:footnote w:id="201">
    <w:p w14:paraId="1871AD85" w14:textId="5A22259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Source: </w:t>
      </w:r>
      <w:hyperlink r:id="rId57" w:history="1">
        <w:r w:rsidRPr="0061648D">
          <w:rPr>
            <w:rStyle w:val="Hyperlink"/>
            <w:sz w:val="18"/>
            <w:szCs w:val="18"/>
          </w:rPr>
          <w:t>Bold data</w:t>
        </w:r>
      </w:hyperlink>
      <w:r>
        <w:rPr>
          <w:rStyle w:val="Hyperlink"/>
          <w:sz w:val="18"/>
          <w:szCs w:val="18"/>
        </w:rPr>
        <w:t>; Note that p</w:t>
      </w:r>
      <w:r w:rsidRPr="003317DD">
        <w:rPr>
          <w:sz w:val="18"/>
          <w:szCs w:val="18"/>
        </w:rPr>
        <w:t>roviders of open-source software would be unaffected as the PLD applies only to products put into circulation for economic purposes in the course of business activity</w:t>
      </w:r>
      <w:r>
        <w:rPr>
          <w:sz w:val="18"/>
          <w:szCs w:val="18"/>
        </w:rPr>
        <w:t xml:space="preserve"> (Art. 7(c) of PLD)</w:t>
      </w:r>
      <w:r w:rsidRPr="0061648D">
        <w:rPr>
          <w:sz w:val="18"/>
          <w:szCs w:val="18"/>
        </w:rPr>
        <w:t>.</w:t>
      </w:r>
    </w:p>
  </w:footnote>
  <w:footnote w:id="202">
    <w:p w14:paraId="388F5AF5" w14:textId="499A4330"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Pointed out, inter alia, by Siemens in their position paper in response to the public consultation, </w:t>
      </w:r>
      <w:hyperlink r:id="rId58" w:history="1">
        <w:r w:rsidRPr="0061648D">
          <w:rPr>
            <w:rStyle w:val="Hyperlink"/>
            <w:sz w:val="18"/>
            <w:szCs w:val="18"/>
          </w:rPr>
          <w:t>Civil liability – adapting liability rules to the digital age and artificial intelligence</w:t>
        </w:r>
      </w:hyperlink>
      <w:r w:rsidRPr="0061648D">
        <w:rPr>
          <w:rStyle w:val="Hyperlink"/>
          <w:sz w:val="18"/>
          <w:szCs w:val="18"/>
        </w:rPr>
        <w:t>.</w:t>
      </w:r>
    </w:p>
  </w:footnote>
  <w:footnote w:id="203">
    <w:p w14:paraId="3A017BFD" w14:textId="1A892D7F"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Position papers of </w:t>
      </w:r>
      <w:r w:rsidRPr="0061648D">
        <w:rPr>
          <w:sz w:val="18"/>
          <w:szCs w:val="18"/>
        </w:rPr>
        <w:t>Bundesverband Medizintechnologie</w:t>
      </w:r>
      <w:r w:rsidRPr="0061648D">
        <w:rPr>
          <w:sz w:val="18"/>
          <w:szCs w:val="18"/>
          <w:lang w:val="en-IE"/>
        </w:rPr>
        <w:t xml:space="preserve"> in response to the public consultation</w:t>
      </w:r>
      <w:r w:rsidRPr="0061648D">
        <w:rPr>
          <w:sz w:val="18"/>
          <w:szCs w:val="18"/>
        </w:rPr>
        <w:t>, p. 2; Regulation (EU) 2017/745 on medical devices.</w:t>
      </w:r>
    </w:p>
  </w:footnote>
  <w:footnote w:id="204">
    <w:p w14:paraId="65FE6B8E" w14:textId="42656B4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Microsoft to inception impact assessment, p. 3.</w:t>
      </w:r>
    </w:p>
  </w:footnote>
  <w:footnote w:id="205">
    <w:p w14:paraId="6C710DD6" w14:textId="0DF9ED6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Google to inception impact assessment, p. 3.</w:t>
      </w:r>
    </w:p>
  </w:footnote>
  <w:footnote w:id="206">
    <w:p w14:paraId="482CB01F" w14:textId="4BC5A04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Position paper </w:t>
      </w:r>
      <w:r w:rsidRPr="0061648D">
        <w:rPr>
          <w:sz w:val="18"/>
          <w:szCs w:val="18"/>
          <w:lang w:val="en-IE"/>
        </w:rPr>
        <w:t>of</w:t>
      </w:r>
      <w:r w:rsidRPr="0061648D">
        <w:rPr>
          <w:sz w:val="18"/>
          <w:szCs w:val="18"/>
        </w:rPr>
        <w:t xml:space="preserve"> Insurance Europe in r</w:t>
      </w:r>
      <w:r w:rsidRPr="0061648D">
        <w:rPr>
          <w:sz w:val="18"/>
          <w:szCs w:val="18"/>
          <w:lang w:val="en-IE"/>
        </w:rPr>
        <w:t>esponse to public consultation</w:t>
      </w:r>
      <w:r w:rsidRPr="0061648D">
        <w:rPr>
          <w:sz w:val="18"/>
          <w:szCs w:val="18"/>
        </w:rPr>
        <w:t xml:space="preserve">, </w:t>
      </w:r>
      <w:r w:rsidRPr="0061648D">
        <w:rPr>
          <w:sz w:val="18"/>
          <w:szCs w:val="18"/>
          <w:lang w:val="en-IE"/>
        </w:rPr>
        <w:t>p. 2</w:t>
      </w:r>
      <w:r w:rsidRPr="0061648D">
        <w:rPr>
          <w:sz w:val="18"/>
          <w:szCs w:val="18"/>
        </w:rPr>
        <w:t>.</w:t>
      </w:r>
    </w:p>
  </w:footnote>
  <w:footnote w:id="207">
    <w:p w14:paraId="15412243" w14:textId="17EDAAD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N.B. The question was phrased broadly and may have been understood as including loss of personal data or of digital assets more generally. The option considered in this impact assessment is more narrowly defined and concerns the treatment of digital content as property.</w:t>
      </w:r>
    </w:p>
  </w:footnote>
  <w:footnote w:id="208">
    <w:p w14:paraId="03DBA9CB"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The contractors of the support study were unable to interview any fulfilment service providers, despite repeated attempts.</w:t>
      </w:r>
    </w:p>
  </w:footnote>
  <w:footnote w:id="209">
    <w:p w14:paraId="0929E4C1" w14:textId="27A5AEDE"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US"/>
        </w:rPr>
        <w:t>CSES with Wavestone, CSIL (2022), Impact assessment study on the revision of Product Liability Directive, section 4.3.3.3.</w:t>
      </w:r>
    </w:p>
  </w:footnote>
  <w:footnote w:id="210">
    <w:p w14:paraId="088BC938" w14:textId="48E255C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Companies holding the largest market share in Europe include Deutsche Post AG, XPO Logistics, Inc., Kuehne + Nagel International AG and A.P. Moller – Maersk A/S. Source: IbisWorld.</w:t>
      </w:r>
    </w:p>
  </w:footnote>
  <w:footnote w:id="211">
    <w:p w14:paraId="7B86465F" w14:textId="3E0CB0C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12">
    <w:p w14:paraId="5C526AE5" w14:textId="025F6C4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As for other economic operators already concerned by the PLD, it is assumed that 80% have liability insurance already.</w:t>
      </w:r>
    </w:p>
  </w:footnote>
  <w:footnote w:id="213">
    <w:p w14:paraId="7535708E" w14:textId="4D565C8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As for PO1a, </w:t>
      </w:r>
      <w:r w:rsidRPr="0061648D" w:rsidDel="000F377C">
        <w:rPr>
          <w:sz w:val="18"/>
          <w:szCs w:val="18"/>
        </w:rPr>
        <w:t>t</w:t>
      </w:r>
      <w:r w:rsidRPr="0061648D">
        <w:rPr>
          <w:sz w:val="18"/>
          <w:szCs w:val="18"/>
        </w:rPr>
        <w:t>hese increases in product liability insurance costs are extra revenues for the insurance companies.</w:t>
      </w:r>
    </w:p>
  </w:footnote>
  <w:footnote w:id="214">
    <w:p w14:paraId="41C90651"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15">
    <w:p w14:paraId="00ED59E6" w14:textId="1A32504B"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BEUC (2020), </w:t>
      </w:r>
      <w:r w:rsidRPr="0061648D">
        <w:rPr>
          <w:sz w:val="18"/>
          <w:szCs w:val="18"/>
        </w:rPr>
        <w:t>Product Liability 2.0 - How to make EU rules fit for consumers in the digital age. BEUC-X-2020-024 - 07/05/2020, p. 13.</w:t>
      </w:r>
    </w:p>
  </w:footnote>
  <w:footnote w:id="216">
    <w:p w14:paraId="26C88986" w14:textId="7AE4DD3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BEUC and Toy Industries of Europe to the public consultation.</w:t>
      </w:r>
    </w:p>
  </w:footnote>
  <w:footnote w:id="217">
    <w:p w14:paraId="6AE70F72"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 </w:t>
      </w:r>
    </w:p>
  </w:footnote>
  <w:footnote w:id="218">
    <w:p w14:paraId="1C776C17" w14:textId="565A7715"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BEUC (2020), </w:t>
      </w:r>
      <w:r w:rsidRPr="0061648D">
        <w:rPr>
          <w:sz w:val="18"/>
          <w:szCs w:val="18"/>
        </w:rPr>
        <w:t>Product Liability 2.0 - How to make EU rules fit for consumers in the digital age, p. 13; the comment also encompasses “data protection by design” rules.</w:t>
      </w:r>
    </w:p>
  </w:footnote>
  <w:footnote w:id="219">
    <w:p w14:paraId="2C7A5F23" w14:textId="6A97599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Austrian Federal Economic Chamber; Business Europe; BVMed (German Medical Technology Association); EFPIA (European Federation of Pharmaceutical Industries and Associations); EUROCHAMBRES; French Business Confederation; Google; GSMA; Siemens; Siemens Healthineers; ZVEI (German Electro and Digital Industry Association).</w:t>
      </w:r>
    </w:p>
  </w:footnote>
  <w:footnote w:id="220">
    <w:p w14:paraId="4129BA0C"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lang w:val="en-IE"/>
        </w:rPr>
        <w:t xml:space="preserve"> Responses of </w:t>
      </w:r>
      <w:r w:rsidRPr="0061648D">
        <w:rPr>
          <w:sz w:val="18"/>
          <w:szCs w:val="18"/>
        </w:rPr>
        <w:t xml:space="preserve">European Law Institute and </w:t>
      </w:r>
      <w:r w:rsidRPr="0061648D">
        <w:rPr>
          <w:color w:val="000000" w:themeColor="text1"/>
          <w:sz w:val="18"/>
          <w:szCs w:val="18"/>
        </w:rPr>
        <w:t xml:space="preserve">Irish Council for Civil Liberties </w:t>
      </w:r>
      <w:r w:rsidRPr="0061648D">
        <w:rPr>
          <w:sz w:val="18"/>
          <w:szCs w:val="18"/>
        </w:rPr>
        <w:t>to the public consultation.</w:t>
      </w:r>
    </w:p>
  </w:footnote>
  <w:footnote w:id="221">
    <w:p w14:paraId="5C1F772E" w14:textId="6CCD49A1" w:rsidR="00030C20" w:rsidRPr="0061648D" w:rsidRDefault="00030C20" w:rsidP="0061648D">
      <w:pPr>
        <w:pStyle w:val="FootnoteText"/>
        <w:jc w:val="both"/>
        <w:rPr>
          <w:sz w:val="18"/>
          <w:szCs w:val="18"/>
          <w:lang w:val="de-DE"/>
        </w:rPr>
      </w:pPr>
      <w:r w:rsidRPr="0061648D">
        <w:rPr>
          <w:rStyle w:val="FootnoteReference"/>
          <w:sz w:val="18"/>
          <w:szCs w:val="18"/>
        </w:rPr>
        <w:footnoteRef/>
      </w:r>
      <w:r w:rsidRPr="0061648D">
        <w:rPr>
          <w:sz w:val="18"/>
          <w:szCs w:val="18"/>
          <w:lang w:val="de-DE"/>
        </w:rPr>
        <w:t xml:space="preserve"> ADAPTA; BEUC; The Future Society; Verbraucherzentrale Bundesverband.</w:t>
      </w:r>
    </w:p>
  </w:footnote>
  <w:footnote w:id="222">
    <w:p w14:paraId="3E2BF475"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For example, r</w:t>
      </w:r>
      <w:r w:rsidRPr="0061648D">
        <w:rPr>
          <w:sz w:val="18"/>
          <w:szCs w:val="18"/>
          <w:lang w:val="en-IE"/>
        </w:rPr>
        <w:t>esponses of EUROCHAMBRES, Business Europe and Insurance Europe to the public consultation.</w:t>
      </w:r>
    </w:p>
  </w:footnote>
  <w:footnote w:id="223">
    <w:p w14:paraId="2045FF91" w14:textId="626D5F0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24">
    <w:p w14:paraId="7D278A79" w14:textId="6296BD1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As for PO1a and PO1b, these increases in product liability insurance costs are extra revenues for the insurance companies.</w:t>
      </w:r>
    </w:p>
  </w:footnote>
  <w:footnote w:id="225">
    <w:p w14:paraId="17C8A5AA"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26">
    <w:p w14:paraId="38761D84" w14:textId="4C35E92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New harms introduced under PO1c would be included in the PLD as a new category of harm alongside personal injury and property damage.</w:t>
      </w:r>
    </w:p>
  </w:footnote>
  <w:footnote w:id="227">
    <w:p w14:paraId="314FA9F4"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 </w:t>
      </w:r>
    </w:p>
  </w:footnote>
  <w:footnote w:id="228">
    <w:p w14:paraId="640683FC" w14:textId="428F4A4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Responses of Siemens Healthineers, Bundesverband Medizintechnologie, Confederation of European Security Services, to the public consultation. </w:t>
      </w:r>
    </w:p>
  </w:footnote>
  <w:footnote w:id="229">
    <w:p w14:paraId="33EB2C48" w14:textId="607BFCD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E.g. responses of Business Europe, of European Federation of Pharmaceutical Industries and Associations, of Insurance Europe, and of Google to the public consultation.</w:t>
      </w:r>
    </w:p>
  </w:footnote>
  <w:footnote w:id="230">
    <w:p w14:paraId="2AD2FF37" w14:textId="32D71BA3"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Both consumers and industry prefer out-of-court settlements for smaller claims, given the high cost of court cases; confirmed inter alia by European Justice Forum (2021), </w:t>
      </w:r>
      <w:hyperlink r:id="rId59" w:history="1">
        <w:r w:rsidRPr="0061648D">
          <w:rPr>
            <w:rStyle w:val="Hyperlink"/>
            <w:sz w:val="18"/>
            <w:szCs w:val="18"/>
          </w:rPr>
          <w:t>Input to EU Commission on Review of PLD</w:t>
        </w:r>
      </w:hyperlink>
      <w:r w:rsidRPr="0061648D">
        <w:rPr>
          <w:rStyle w:val="Hyperlink"/>
          <w:sz w:val="18"/>
          <w:szCs w:val="18"/>
        </w:rPr>
        <w:t>.</w:t>
      </w:r>
    </w:p>
  </w:footnote>
  <w:footnote w:id="231">
    <w:p w14:paraId="7CB62EBA" w14:textId="0A67F34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See section 2.1.2.2.</w:t>
      </w:r>
    </w:p>
  </w:footnote>
  <w:footnote w:id="232">
    <w:p w14:paraId="3A806ECE" w14:textId="2C4504B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33">
    <w:p w14:paraId="50496A94" w14:textId="5903BF8E"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Furthermore, producers of digital products and elements would be affected by the adaptation of the development risk defence. But because the adaptation is linked to PO1a, no additional increase is expected.</w:t>
      </w:r>
    </w:p>
  </w:footnote>
  <w:footnote w:id="234">
    <w:p w14:paraId="2CA02F23" w14:textId="313D46F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As for previous policy options, these increases in product liability insurance costs are extra revenues for the insurance companies.</w:t>
      </w:r>
    </w:p>
  </w:footnote>
  <w:footnote w:id="235">
    <w:p w14:paraId="242FA1B4"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36">
    <w:p w14:paraId="082E88E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e.g. under Directive (EU) 2020/1828 on representative actions for the protection of the collective interests of consumers.</w:t>
      </w:r>
    </w:p>
  </w:footnote>
  <w:footnote w:id="237">
    <w:p w14:paraId="1642058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 </w:t>
      </w:r>
    </w:p>
  </w:footnote>
  <w:footnote w:id="238">
    <w:p w14:paraId="2EDAB1E3" w14:textId="6A42079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9 out of 168, and 53 out of 168 respectively.</w:t>
      </w:r>
    </w:p>
  </w:footnote>
  <w:footnote w:id="239">
    <w:p w14:paraId="7ED41A5D"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BEUC to public consultation.</w:t>
      </w:r>
    </w:p>
  </w:footnote>
  <w:footnote w:id="240">
    <w:p w14:paraId="662C729E" w14:textId="2890CE5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24 out of 110</w:t>
      </w:r>
    </w:p>
  </w:footnote>
  <w:footnote w:id="241">
    <w:p w14:paraId="74E07A03" w14:textId="52602D34"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EFPIA, pharmaceutical association, to public consultation.</w:t>
      </w:r>
    </w:p>
  </w:footnote>
  <w:footnote w:id="242">
    <w:p w14:paraId="16C72805" w14:textId="54DBBA6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15 out of 26, and 57 out of 65 respectively</w:t>
      </w:r>
    </w:p>
  </w:footnote>
  <w:footnote w:id="243">
    <w:p w14:paraId="2A0453AE"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 of EFPIA, pharmaceutical association, to public consultation.</w:t>
      </w:r>
    </w:p>
  </w:footnote>
  <w:footnote w:id="244">
    <w:p w14:paraId="6078B32F" w14:textId="1CEC674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45">
    <w:p w14:paraId="5A921C6F" w14:textId="4EDD079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As for previous policy options, these increases in product liability insurance costs are extra revenues for the insurance companies.</w:t>
      </w:r>
    </w:p>
  </w:footnote>
  <w:footnote w:id="246">
    <w:p w14:paraId="47A72CB1"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For example response of Business Europe to public consultation, p. 4.</w:t>
      </w:r>
    </w:p>
  </w:footnote>
  <w:footnote w:id="247">
    <w:p w14:paraId="3A55AD48"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w:t>
      </w:r>
    </w:p>
  </w:footnote>
  <w:footnote w:id="248">
    <w:p w14:paraId="465E3771"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Annex 4 provides details on the assumptions and analytical methodology used for these estimations. </w:t>
      </w:r>
    </w:p>
  </w:footnote>
  <w:footnote w:id="249">
    <w:p w14:paraId="4BA47994" w14:textId="77777777" w:rsidR="00030C20" w:rsidRPr="0061648D" w:rsidRDefault="00030C20" w:rsidP="00E4016A">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See annex 2 for details.</w:t>
      </w:r>
    </w:p>
  </w:footnote>
  <w:footnote w:id="250">
    <w:p w14:paraId="5BF29AA0"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European Commission (2018). Evaluation of Council Directive 85/374/EEC on the approximation of laws, regulations and administrative provisions of the Member States concerning liability for defective products, p.39.</w:t>
      </w:r>
    </w:p>
  </w:footnote>
  <w:footnote w:id="251">
    <w:p w14:paraId="2B310F97" w14:textId="6587B3F9"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60" w:history="1">
        <w:r w:rsidRPr="0061648D">
          <w:rPr>
            <w:rStyle w:val="Hyperlink"/>
            <w:sz w:val="18"/>
            <w:szCs w:val="18"/>
          </w:rPr>
          <w:t>SWD(2018)157</w:t>
        </w:r>
      </w:hyperlink>
      <w:r w:rsidRPr="0061648D">
        <w:rPr>
          <w:sz w:val="18"/>
          <w:szCs w:val="18"/>
        </w:rPr>
        <w:t>.</w:t>
      </w:r>
    </w:p>
  </w:footnote>
  <w:footnote w:id="252">
    <w:p w14:paraId="2BF8F95A" w14:textId="663DF330"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EY, Technopolis, VVA (2018), </w:t>
      </w:r>
      <w:hyperlink r:id="rId61" w:history="1">
        <w:r w:rsidRPr="0061648D">
          <w:rPr>
            <w:rStyle w:val="Hyperlink"/>
            <w:sz w:val="18"/>
            <w:szCs w:val="18"/>
          </w:rPr>
          <w:t>Study</w:t>
        </w:r>
      </w:hyperlink>
      <w:r w:rsidRPr="0061648D">
        <w:rPr>
          <w:sz w:val="18"/>
          <w:szCs w:val="18"/>
        </w:rPr>
        <w:t xml:space="preserve"> accompanying Evaluation of Product Liability Directive.</w:t>
      </w:r>
    </w:p>
  </w:footnote>
  <w:footnote w:id="253">
    <w:p w14:paraId="69D47AC5" w14:textId="4C38B446"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US"/>
        </w:rPr>
        <w:t>CSES with Wavestone, CSIL (2022), Impact assessment study on the revision of Product Liability Directive.</w:t>
      </w:r>
    </w:p>
  </w:footnote>
  <w:footnote w:id="254">
    <w:p w14:paraId="1D447044" w14:textId="3C325C5B" w:rsidR="00030C20" w:rsidRPr="0061648D" w:rsidRDefault="00030C20" w:rsidP="0061648D">
      <w:pPr>
        <w:pStyle w:val="FootnoteText"/>
        <w:adjustRightInd w:val="0"/>
        <w:snapToGrid w:val="0"/>
        <w:jc w:val="both"/>
        <w:rPr>
          <w:sz w:val="18"/>
          <w:szCs w:val="18"/>
        </w:rPr>
      </w:pPr>
      <w:r w:rsidRPr="0061648D">
        <w:rPr>
          <w:rStyle w:val="FootnoteReference"/>
          <w:sz w:val="18"/>
          <w:szCs w:val="18"/>
        </w:rPr>
        <w:footnoteRef/>
      </w:r>
      <w:r w:rsidRPr="0061648D">
        <w:rPr>
          <w:sz w:val="18"/>
          <w:szCs w:val="18"/>
        </w:rPr>
        <w:t xml:space="preserve"> See Annex 4</w:t>
      </w:r>
      <w:r>
        <w:rPr>
          <w:sz w:val="18"/>
          <w:szCs w:val="18"/>
        </w:rPr>
        <w:t xml:space="preserve"> </w:t>
      </w:r>
    </w:p>
  </w:footnote>
  <w:footnote w:id="255">
    <w:p w14:paraId="2357839F" w14:textId="62A15BA4" w:rsidR="00030C20" w:rsidRPr="00175085" w:rsidRDefault="00030C20">
      <w:pPr>
        <w:pStyle w:val="FootnoteText"/>
      </w:pPr>
      <w:r>
        <w:rPr>
          <w:rStyle w:val="FootnoteReference"/>
        </w:rPr>
        <w:footnoteRef/>
      </w:r>
      <w:r>
        <w:t xml:space="preserve"> </w:t>
      </w:r>
      <w:r w:rsidRPr="00175085">
        <w:t xml:space="preserve">13 SMEs (businesses) and two SME associations </w:t>
      </w:r>
      <w:r>
        <w:t xml:space="preserve">(European Digital SME Alliance and Allied for Startups) </w:t>
      </w:r>
      <w:r w:rsidRPr="00175085">
        <w:t>responded to the public consultation.</w:t>
      </w:r>
    </w:p>
  </w:footnote>
  <w:footnote w:id="256">
    <w:p w14:paraId="21444208" w14:textId="1021F1AA"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Out of 78%, 57% (or 70) were business organisations while 44% (or 52) were non-business respondents.</w:t>
      </w:r>
    </w:p>
  </w:footnote>
  <w:footnote w:id="257">
    <w:p w14:paraId="29FBF2AB" w14:textId="6A5BB6A5"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Out of 66%, 25% (or 39) were business respondents and 75% (or 115) were non-business respondents.</w:t>
      </w:r>
    </w:p>
  </w:footnote>
  <w:footnote w:id="258">
    <w:p w14:paraId="2ED42761" w14:textId="1581B38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Out of 56%, 43% (or 37) were business respondents while 57% (or 50) were non-business respondents.</w:t>
      </w:r>
    </w:p>
  </w:footnote>
  <w:footnote w:id="259">
    <w:p w14:paraId="1706D2CE" w14:textId="138E872C"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Out of 55%, 39% (or 33) were business respondents and 61% (or 52) were non-business respondents.</w:t>
      </w:r>
    </w:p>
  </w:footnote>
  <w:footnote w:id="260">
    <w:p w14:paraId="3A2F3D73" w14:textId="54D90EC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Avast Software and American Chamber of Commerce in Europe.</w:t>
      </w:r>
    </w:p>
  </w:footnote>
  <w:footnote w:id="261">
    <w:p w14:paraId="41552584" w14:textId="306208E1"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Software &amp; Information Industry Association (SIIA).</w:t>
      </w:r>
    </w:p>
  </w:footnote>
  <w:footnote w:id="262">
    <w:p w14:paraId="7A8D1064" w14:textId="34F32B8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Siemens.</w:t>
      </w:r>
    </w:p>
  </w:footnote>
  <w:footnote w:id="263">
    <w:p w14:paraId="10BACB8F" w14:textId="6F21E9A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German Medical Technology Association; European Association of Automotive suppliers; European Federation of Pharmaceutical Industries and Associations; EuroSmart.</w:t>
      </w:r>
    </w:p>
  </w:footnote>
  <w:footnote w:id="264">
    <w:p w14:paraId="691FF0E8" w14:textId="77777777" w:rsidR="00030C20" w:rsidRPr="001E05F3" w:rsidRDefault="00030C20" w:rsidP="0061648D">
      <w:pPr>
        <w:pStyle w:val="FootnoteText"/>
        <w:jc w:val="both"/>
        <w:rPr>
          <w:sz w:val="18"/>
          <w:szCs w:val="18"/>
          <w:lang w:val="nl-BE"/>
        </w:rPr>
      </w:pPr>
      <w:r w:rsidRPr="0061648D">
        <w:rPr>
          <w:rStyle w:val="FootnoteReference"/>
          <w:sz w:val="18"/>
          <w:szCs w:val="18"/>
        </w:rPr>
        <w:footnoteRef/>
      </w:r>
      <w:r w:rsidRPr="001E05F3">
        <w:rPr>
          <w:sz w:val="18"/>
          <w:szCs w:val="18"/>
          <w:lang w:val="nl-BE"/>
        </w:rPr>
        <w:t xml:space="preserve"> Bitkom; Bosch; BVMed; Google; Siemens; Siemens Healthineers.</w:t>
      </w:r>
    </w:p>
  </w:footnote>
  <w:footnote w:id="265">
    <w:p w14:paraId="0969EAD2"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American Chamber of Commerce; CCIA Europe; Czech Confederation of Industry; GSMA.</w:t>
      </w:r>
    </w:p>
  </w:footnote>
  <w:footnote w:id="266">
    <w:p w14:paraId="3F623B67"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American Chamber of Commerce; Austrian Federal Economic Chamber; Google; ZVEI (Electrical Industry) </w:t>
      </w:r>
    </w:p>
  </w:footnote>
  <w:footnote w:id="267">
    <w:p w14:paraId="368DB257" w14:textId="10CC6A68"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ZVEI (Electrical Industry).</w:t>
      </w:r>
    </w:p>
  </w:footnote>
  <w:footnote w:id="268">
    <w:p w14:paraId="74FF77DD"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Ahead of the question, we provided some information on the current legislative framework plus on the </w:t>
      </w:r>
      <w:r w:rsidRPr="0061648D">
        <w:rPr>
          <w:sz w:val="18"/>
          <w:szCs w:val="18"/>
          <w:lang w:val="en-IE" w:eastAsia="en-IE"/>
        </w:rPr>
        <w:t xml:space="preserve">new proposal for a Digital Services Act. However, because of the complexity of the issue, there is the possibility that replied where not fully informed and can thus be biased. </w:t>
      </w:r>
    </w:p>
  </w:footnote>
  <w:footnote w:id="269">
    <w:p w14:paraId="07A64556"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Austrian Federal Economic Chamber; Business Europe; BVMed (German Medical Technology Association); EFPIA (European Federation of Pharmaceutical Industries and Associations); EUROCHAMBRES; French Business Confederation; Google; GSMA (interest of the mobile operators worldwide); Siemens; Siemens Healthineers; ZVEI (German Electro and Digital Industry Association). And also, the European Law Institute.</w:t>
      </w:r>
    </w:p>
  </w:footnote>
  <w:footnote w:id="270">
    <w:p w14:paraId="10BEA506" w14:textId="03DD1AF6"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lang w:val="en-IE"/>
        </w:rPr>
        <w:t xml:space="preserve"> ADAPTA; BEUC; The Future Society; Verbraucherzentrale Bundesverband.</w:t>
      </w:r>
    </w:p>
  </w:footnote>
  <w:footnote w:id="271">
    <w:p w14:paraId="71530A6D" w14:textId="33F69373"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Out of those who answered that it was an impediment to a very large, large and moderate extend business respondent accounted respectively only for 4% (or 1 out of 26), 5% (or 2 out of 38) and 19% (or 10 out of 52).On the other hand, business respondents accounted for 24% (or 13 out of 55) and 81% (or 59 out of 73) among those who said only to a limited extent and not at all.</w:t>
      </w:r>
    </w:p>
  </w:footnote>
  <w:footnote w:id="272">
    <w:p w14:paraId="0FED4088"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Geiss, O. et al. (2016), Injury and accident data collection efforts in Europe in support of consumer product safety policy.</w:t>
      </w:r>
    </w:p>
  </w:footnote>
  <w:footnote w:id="273">
    <w:p w14:paraId="1BD1615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Radovnikovic, A. et al. (2020), Assessment of the opportunities for increasing the availability of EU data on consumer product related injuries.</w:t>
      </w:r>
    </w:p>
  </w:footnote>
  <w:footnote w:id="274">
    <w:p w14:paraId="4A8F5E4E"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Civic Consulting (2021), Study to support the preparation of an evaluation of the General Product Safety Directive as well as of an impact assessment on its potential revision.</w:t>
      </w:r>
    </w:p>
  </w:footnote>
  <w:footnote w:id="275">
    <w:p w14:paraId="25B2DCFC" w14:textId="7475EB32"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https://www.who.int/data/data-collection-tools/who-mortality-database</w:t>
      </w:r>
    </w:p>
  </w:footnote>
  <w:footnote w:id="276">
    <w:p w14:paraId="5774FD9A"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For instance, whereas damage leading to personal injury caused by pharmaceuticals and medical devices could cause damage running into hundreds of thousands (or even millions) of EUR, given the longer-term impact on human health, ability to work etc. other products may cause minor injury and the claims be relatively small. </w:t>
      </w:r>
    </w:p>
  </w:footnote>
  <w:footnote w:id="277">
    <w:p w14:paraId="20A4FF14"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CSES, Wavestone, CSIL (2022), Impact assessment study on the revision of Product Liability Directive</w:t>
      </w:r>
    </w:p>
  </w:footnote>
  <w:footnote w:id="278">
    <w:p w14:paraId="7921B62B" w14:textId="4E1712B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Manufacture of food products; beverages and tobacco products (C10-C12); Manufacture of textiles, wearing apparel, leather and related products (C13-C15); Manufacture of wood, paper, printing and reproduction (C16-C18); Manufacture of coke and refined petroleum products (C19); Manufacture of chemicals and chemical products (C20); Manufacture of basic pharmaceutical products and pharmaceutical preparations (C21); Manufacture of rubber and plastic products (C22); Manufacture of other non-metallic mineral products (C23); Manufacture of basic metals (C24); Manufacture of fabricated metal products, except machinery and equipment (C25); Manufacture of computer, electronic and optical products (C26); Manufacture of electrical equipment (C27); Manufacture of machinery and equipment n.e.c. (C28); Manufacture of motor vehicles, trailers and semi-trailers (C29); Manufacture of other transport equipment (C30); Manufacture of furniture; other manufacturing (C31-C32); Computer programming, consultancy, and information service activities (J62-J63).</w:t>
      </w:r>
    </w:p>
  </w:footnote>
  <w:footnote w:id="279">
    <w:p w14:paraId="21D51F15"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Consultancy and information service activities are included in sectors J62-J63. They cannot be disaggregated from value added of the total sector.</w:t>
      </w:r>
    </w:p>
  </w:footnote>
  <w:footnote w:id="280">
    <w:p w14:paraId="294CBE01" w14:textId="4C8E1782" w:rsidR="00030C20" w:rsidRPr="007E554D" w:rsidRDefault="00030C20" w:rsidP="0061648D">
      <w:pPr>
        <w:pStyle w:val="FootnoteText"/>
        <w:jc w:val="both"/>
        <w:rPr>
          <w:sz w:val="18"/>
          <w:szCs w:val="18"/>
        </w:rPr>
      </w:pPr>
      <w:r w:rsidRPr="007E554D">
        <w:rPr>
          <w:rStyle w:val="FootnoteReference"/>
          <w:sz w:val="18"/>
          <w:szCs w:val="18"/>
        </w:rPr>
        <w:footnoteRef/>
      </w:r>
      <w:r w:rsidRPr="007E554D">
        <w:rPr>
          <w:sz w:val="18"/>
          <w:szCs w:val="18"/>
        </w:rPr>
        <w:t xml:space="preserve"> Evaluation of Product Liability Directive,</w:t>
      </w:r>
      <w:r w:rsidRPr="007E554D">
        <w:rPr>
          <w:rFonts w:eastAsiaTheme="minorHAnsi"/>
          <w:color w:val="444444"/>
          <w:sz w:val="18"/>
          <w:szCs w:val="18"/>
          <w:shd w:val="clear" w:color="auto" w:fill="FFFFFF"/>
        </w:rPr>
        <w:t xml:space="preserve"> </w:t>
      </w:r>
      <w:hyperlink r:id="rId62" w:history="1">
        <w:r w:rsidRPr="007E554D">
          <w:rPr>
            <w:rStyle w:val="Hyperlink"/>
            <w:sz w:val="18"/>
            <w:szCs w:val="18"/>
          </w:rPr>
          <w:t>SWD(2018)157</w:t>
        </w:r>
      </w:hyperlink>
      <w:r w:rsidRPr="007E554D">
        <w:rPr>
          <w:sz w:val="18"/>
          <w:szCs w:val="18"/>
        </w:rPr>
        <w:t xml:space="preserve">, p. 23. </w:t>
      </w:r>
    </w:p>
  </w:footnote>
  <w:footnote w:id="281">
    <w:p w14:paraId="76C65E98" w14:textId="010DDF71" w:rsidR="00030C20" w:rsidRDefault="00030C20">
      <w:pPr>
        <w:pStyle w:val="FootnoteText"/>
      </w:pPr>
      <w:r w:rsidRPr="007E554D">
        <w:rPr>
          <w:rStyle w:val="FootnoteReference"/>
          <w:sz w:val="18"/>
          <w:szCs w:val="18"/>
        </w:rPr>
        <w:footnoteRef/>
      </w:r>
      <w:r w:rsidRPr="007E554D">
        <w:rPr>
          <w:sz w:val="18"/>
          <w:szCs w:val="18"/>
        </w:rPr>
        <w:t xml:space="preserve"> CSES, Wavestone, CSIL (2022)</w:t>
      </w:r>
      <w:r>
        <w:rPr>
          <w:sz w:val="18"/>
          <w:szCs w:val="18"/>
        </w:rPr>
        <w:t>.</w:t>
      </w:r>
    </w:p>
  </w:footnote>
  <w:footnote w:id="282">
    <w:p w14:paraId="211A7EAD" w14:textId="77777777" w:rsidR="00030C20" w:rsidRPr="002C7CFD" w:rsidRDefault="00030C20" w:rsidP="002C7CFD">
      <w:pPr>
        <w:pStyle w:val="FootnoteText"/>
        <w:jc w:val="both"/>
        <w:rPr>
          <w:sz w:val="18"/>
          <w:szCs w:val="18"/>
        </w:rPr>
      </w:pPr>
      <w:r w:rsidRPr="002C7CFD">
        <w:rPr>
          <w:rStyle w:val="FootnoteReference"/>
          <w:sz w:val="18"/>
          <w:szCs w:val="18"/>
        </w:rPr>
        <w:footnoteRef/>
      </w:r>
      <w:r w:rsidRPr="002C7CFD">
        <w:rPr>
          <w:sz w:val="18"/>
          <w:szCs w:val="18"/>
        </w:rPr>
        <w:t xml:space="preserve"> The Austrian database is very selective, listing mainly cases from the Supreme Court; the German database is rather selective, with mostly cases from higher courts; the French database is very selective, with mainly cases from the Cour de Cassation (the highest court) or courts of appeal.</w:t>
      </w:r>
    </w:p>
  </w:footnote>
  <w:footnote w:id="283">
    <w:p w14:paraId="1F7DC94D" w14:textId="32C0C383" w:rsidR="00030C20" w:rsidRPr="002C7CFD" w:rsidRDefault="00030C20" w:rsidP="002C7CFD">
      <w:pPr>
        <w:pStyle w:val="FootnoteText"/>
        <w:jc w:val="both"/>
        <w:rPr>
          <w:sz w:val="18"/>
          <w:szCs w:val="18"/>
        </w:rPr>
      </w:pPr>
      <w:r w:rsidRPr="002C7CFD">
        <w:rPr>
          <w:rStyle w:val="FootnoteReference"/>
          <w:sz w:val="18"/>
          <w:szCs w:val="18"/>
        </w:rPr>
        <w:footnoteRef/>
      </w:r>
      <w:r w:rsidRPr="002C7CFD">
        <w:rPr>
          <w:sz w:val="18"/>
          <w:szCs w:val="18"/>
        </w:rPr>
        <w:t xml:space="preserve"> Independent experts considered that high instance court cases in France, Germany and Austria likely represent around 10% of the total number of court cases (CSES, Wavestone, CSIL (2022).</w:t>
      </w:r>
    </w:p>
  </w:footnote>
  <w:footnote w:id="284">
    <w:p w14:paraId="0BFFF9E5" w14:textId="77777777" w:rsidR="00030C20" w:rsidRPr="002C7CFD" w:rsidRDefault="00030C20" w:rsidP="002C7CFD">
      <w:pPr>
        <w:pStyle w:val="FootnoteText"/>
        <w:jc w:val="both"/>
        <w:rPr>
          <w:sz w:val="18"/>
          <w:szCs w:val="18"/>
        </w:rPr>
      </w:pPr>
      <w:r w:rsidRPr="002C7CFD">
        <w:rPr>
          <w:rStyle w:val="FootnoteReference"/>
          <w:sz w:val="18"/>
          <w:szCs w:val="18"/>
        </w:rPr>
        <w:footnoteRef/>
      </w:r>
      <w:r w:rsidRPr="002C7CFD">
        <w:rPr>
          <w:sz w:val="18"/>
          <w:szCs w:val="18"/>
        </w:rPr>
        <w:t xml:space="preserve"> For example, in Germany it is more common not to use the PLD but to rely on tort law.</w:t>
      </w:r>
    </w:p>
  </w:footnote>
  <w:footnote w:id="285">
    <w:p w14:paraId="473E6AC6" w14:textId="774D3684" w:rsidR="00030C20" w:rsidRPr="002C7CFD" w:rsidRDefault="00030C20" w:rsidP="002C7CFD">
      <w:pPr>
        <w:pStyle w:val="FootnoteText"/>
        <w:jc w:val="both"/>
        <w:rPr>
          <w:sz w:val="18"/>
          <w:szCs w:val="18"/>
        </w:rPr>
      </w:pPr>
      <w:r w:rsidRPr="002C7CFD">
        <w:rPr>
          <w:rStyle w:val="FootnoteReference"/>
          <w:sz w:val="18"/>
          <w:szCs w:val="18"/>
        </w:rPr>
        <w:footnoteRef/>
      </w:r>
      <w:r w:rsidRPr="002C7CFD">
        <w:rPr>
          <w:sz w:val="18"/>
          <w:szCs w:val="18"/>
        </w:rPr>
        <w:t xml:space="preserve"> Extrapolation based on the number of inhabitants per country.</w:t>
      </w:r>
    </w:p>
  </w:footnote>
  <w:footnote w:id="286">
    <w:p w14:paraId="37AF1AD5" w14:textId="07D0C733" w:rsidR="00030C20" w:rsidRPr="0061648D" w:rsidRDefault="00030C20" w:rsidP="002C7CFD">
      <w:pPr>
        <w:pStyle w:val="FootnoteText"/>
        <w:jc w:val="both"/>
        <w:rPr>
          <w:sz w:val="18"/>
          <w:szCs w:val="18"/>
        </w:rPr>
      </w:pPr>
      <w:r w:rsidRPr="002C7CFD">
        <w:rPr>
          <w:rStyle w:val="FootnoteReference"/>
          <w:sz w:val="18"/>
          <w:szCs w:val="18"/>
        </w:rPr>
        <w:footnoteRef/>
      </w:r>
      <w:r w:rsidRPr="002C7CFD">
        <w:rPr>
          <w:sz w:val="18"/>
          <w:szCs w:val="18"/>
        </w:rPr>
        <w:t xml:space="preserve"> </w:t>
      </w:r>
      <w:r w:rsidRPr="002C7CFD">
        <w:rPr>
          <w:sz w:val="18"/>
          <w:szCs w:val="18"/>
          <w:lang w:val="en-IE"/>
        </w:rPr>
        <w:t>CSES, Wavestone, CSIL (2022)</w:t>
      </w:r>
      <w:r w:rsidRPr="002C7CFD">
        <w:rPr>
          <w:sz w:val="18"/>
          <w:szCs w:val="18"/>
        </w:rPr>
        <w:t>.</w:t>
      </w:r>
    </w:p>
  </w:footnote>
  <w:footnote w:id="287">
    <w:p w14:paraId="6A781713" w14:textId="4D4577C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63" w:history="1">
        <w:r w:rsidRPr="0061648D">
          <w:rPr>
            <w:rStyle w:val="Hyperlink"/>
            <w:sz w:val="18"/>
            <w:szCs w:val="18"/>
          </w:rPr>
          <w:t>SWD(2018)157</w:t>
        </w:r>
      </w:hyperlink>
      <w:r w:rsidRPr="0061648D">
        <w:rPr>
          <w:sz w:val="18"/>
          <w:szCs w:val="18"/>
        </w:rPr>
        <w:t>, p. 13.</w:t>
      </w:r>
    </w:p>
  </w:footnote>
  <w:footnote w:id="288">
    <w:p w14:paraId="55A75FBC" w14:textId="49931246"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CSES, Wavestone, CSIL (2022)</w:t>
      </w:r>
      <w:r w:rsidRPr="0061648D">
        <w:rPr>
          <w:sz w:val="18"/>
          <w:szCs w:val="18"/>
        </w:rPr>
        <w:t>.</w:t>
      </w:r>
    </w:p>
  </w:footnote>
  <w:footnote w:id="289">
    <w:p w14:paraId="7978ED7D" w14:textId="771BE868" w:rsidR="00030C20" w:rsidRPr="00F43F40" w:rsidRDefault="00030C20" w:rsidP="00F43F40">
      <w:pPr>
        <w:pStyle w:val="FootnoteText"/>
        <w:jc w:val="both"/>
        <w:rPr>
          <w:sz w:val="18"/>
        </w:rPr>
      </w:pPr>
      <w:r w:rsidRPr="00F43F40">
        <w:rPr>
          <w:rStyle w:val="FootnoteReference"/>
          <w:sz w:val="18"/>
        </w:rPr>
        <w:footnoteRef/>
      </w:r>
      <w:r w:rsidRPr="00F43F40">
        <w:rPr>
          <w:sz w:val="18"/>
        </w:rPr>
        <w:t xml:space="preserve"> Any change in the number of cases brought under the PLD will affect both the calculations for the economic pay-outs for victims, as well as the legal costs faced by the party losing the case.</w:t>
      </w:r>
    </w:p>
  </w:footnote>
  <w:footnote w:id="290">
    <w:p w14:paraId="66ADF81F" w14:textId="7A7E1E81" w:rsidR="00030C20" w:rsidRDefault="00030C20" w:rsidP="00F43F40">
      <w:pPr>
        <w:pStyle w:val="FootnoteText"/>
        <w:jc w:val="both"/>
      </w:pPr>
      <w:r w:rsidRPr="00F43F40">
        <w:rPr>
          <w:rStyle w:val="FootnoteReference"/>
          <w:sz w:val="18"/>
        </w:rPr>
        <w:footnoteRef/>
      </w:r>
      <w:r w:rsidRPr="00F43F40">
        <w:rPr>
          <w:sz w:val="18"/>
        </w:rPr>
        <w:t xml:space="preserve"> The success rate will only affect the calculation of the victims’ pay-outs with no effects on the calculation of the total legal costs: for a given number of cases, the success rate indicates the likelihood of success for victims to win the case</w:t>
      </w:r>
    </w:p>
  </w:footnote>
  <w:footnote w:id="291">
    <w:p w14:paraId="3713630F" w14:textId="77777777" w:rsidR="00030C20" w:rsidRPr="0061648D" w:rsidRDefault="00030C20" w:rsidP="003D71F6">
      <w:pPr>
        <w:pStyle w:val="FootnoteText"/>
        <w:jc w:val="both"/>
        <w:rPr>
          <w:sz w:val="18"/>
          <w:szCs w:val="18"/>
        </w:rPr>
      </w:pPr>
      <w:r w:rsidRPr="0061648D">
        <w:rPr>
          <w:rStyle w:val="FootnoteReference"/>
          <w:sz w:val="18"/>
          <w:szCs w:val="18"/>
        </w:rPr>
        <w:footnoteRef/>
      </w:r>
      <w:r w:rsidRPr="0061648D">
        <w:rPr>
          <w:sz w:val="18"/>
          <w:szCs w:val="18"/>
        </w:rPr>
        <w:t xml:space="preserve"> This very wide range reflects the fact that the nature of the injury varies widely, whether this causes a temporary physical injury or more long-lasting damage leading to permanent disability.</w:t>
      </w:r>
    </w:p>
  </w:footnote>
  <w:footnote w:id="292">
    <w:p w14:paraId="642A775C" w14:textId="77777777" w:rsidR="00030C20" w:rsidRPr="0061648D" w:rsidRDefault="00030C20" w:rsidP="003D71F6">
      <w:pPr>
        <w:pStyle w:val="FootnoteText"/>
        <w:jc w:val="both"/>
        <w:rPr>
          <w:sz w:val="18"/>
          <w:szCs w:val="18"/>
        </w:rPr>
      </w:pPr>
      <w:r w:rsidRPr="0061648D">
        <w:rPr>
          <w:rStyle w:val="FootnoteReference"/>
          <w:sz w:val="18"/>
          <w:szCs w:val="18"/>
        </w:rPr>
        <w:footnoteRef/>
      </w:r>
      <w:r w:rsidRPr="0061648D">
        <w:rPr>
          <w:sz w:val="18"/>
          <w:szCs w:val="18"/>
        </w:rPr>
        <w:t xml:space="preserve"> Data was collected from Germany, Greece and Baltic States. Fort further details, please refer to: CSES, Wavestone, CSIL (2022), Impact assessment study on the revision of Product Liability Directive</w:t>
      </w:r>
      <w:r w:rsidRPr="0061648D">
        <w:rPr>
          <w:sz w:val="18"/>
          <w:szCs w:val="18"/>
          <w:lang w:val="en-IE"/>
        </w:rPr>
        <w:t xml:space="preserve"> for justifications over the assumptions used to calculate compensation costs, product liability costs and legal costs</w:t>
      </w:r>
      <w:r w:rsidRPr="0061648D">
        <w:rPr>
          <w:sz w:val="18"/>
          <w:szCs w:val="18"/>
        </w:rPr>
        <w:t>.</w:t>
      </w:r>
    </w:p>
  </w:footnote>
  <w:footnote w:id="293">
    <w:p w14:paraId="22D0BA5C" w14:textId="39AFF1F9"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Pr>
          <w:sz w:val="18"/>
          <w:szCs w:val="18"/>
        </w:rPr>
        <w:t xml:space="preserve">For justifications on the assumptions summarised in the table, please refer to </w:t>
      </w:r>
      <w:r w:rsidRPr="00A3781D">
        <w:rPr>
          <w:sz w:val="18"/>
          <w:szCs w:val="18"/>
        </w:rPr>
        <w:t>CSES, Wavestone, CSIL (2022), Impact assessment study on the revision of Product Liability Directive</w:t>
      </w:r>
      <w:r w:rsidRPr="0061648D">
        <w:rPr>
          <w:sz w:val="18"/>
          <w:szCs w:val="18"/>
        </w:rPr>
        <w:t>.</w:t>
      </w:r>
    </w:p>
  </w:footnote>
  <w:footnote w:id="294">
    <w:p w14:paraId="6CB01AF4" w14:textId="1E96EA86" w:rsidR="00030C20" w:rsidRDefault="00030C20" w:rsidP="00FE193D">
      <w:pPr>
        <w:pStyle w:val="FootnoteText"/>
        <w:jc w:val="both"/>
      </w:pPr>
      <w:r w:rsidRPr="00FE193D">
        <w:rPr>
          <w:rStyle w:val="FootnoteReference"/>
          <w:sz w:val="18"/>
        </w:rPr>
        <w:footnoteRef/>
      </w:r>
      <w:r w:rsidRPr="00FE193D">
        <w:rPr>
          <w:sz w:val="18"/>
        </w:rPr>
        <w:t xml:space="preserve"> Since the baseline scenario is defined using ranges for the annual number of court cases at EU27 level, the table below also presents the incremental benefits using low and high values.</w:t>
      </w:r>
    </w:p>
  </w:footnote>
  <w:footnote w:id="295">
    <w:p w14:paraId="0D8FCA07" w14:textId="77777777" w:rsidR="00030C20" w:rsidRPr="0061648D" w:rsidRDefault="00030C20" w:rsidP="0064488A">
      <w:pPr>
        <w:pStyle w:val="FootnoteText"/>
        <w:jc w:val="both"/>
        <w:rPr>
          <w:sz w:val="18"/>
          <w:szCs w:val="18"/>
        </w:rPr>
      </w:pPr>
      <w:r w:rsidRPr="0061648D">
        <w:rPr>
          <w:rStyle w:val="FootnoteReference"/>
          <w:sz w:val="18"/>
          <w:szCs w:val="18"/>
        </w:rPr>
        <w:footnoteRef/>
      </w:r>
      <w:r w:rsidRPr="0061648D">
        <w:rPr>
          <w:sz w:val="18"/>
          <w:szCs w:val="18"/>
        </w:rPr>
        <w:t xml:space="preserve"> Evaluation of Product Liability Directive,</w:t>
      </w:r>
      <w:r w:rsidRPr="0061648D">
        <w:rPr>
          <w:rFonts w:eastAsiaTheme="minorHAnsi"/>
          <w:color w:val="444444"/>
          <w:sz w:val="18"/>
          <w:szCs w:val="18"/>
          <w:shd w:val="clear" w:color="auto" w:fill="FFFFFF"/>
        </w:rPr>
        <w:t xml:space="preserve"> </w:t>
      </w:r>
      <w:hyperlink r:id="rId64" w:history="1">
        <w:r w:rsidRPr="0061648D">
          <w:rPr>
            <w:rStyle w:val="Hyperlink"/>
            <w:sz w:val="18"/>
            <w:szCs w:val="18"/>
          </w:rPr>
          <w:t>SWD(2018)157</w:t>
        </w:r>
      </w:hyperlink>
      <w:r w:rsidRPr="0061648D">
        <w:rPr>
          <w:sz w:val="18"/>
          <w:szCs w:val="18"/>
        </w:rPr>
        <w:t>: 79% of producers.</w:t>
      </w:r>
    </w:p>
  </w:footnote>
  <w:footnote w:id="296">
    <w:p w14:paraId="0EAE1E24"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Desk research based on data collection from EU and national insurance associations. Moreover, in the 2018 evaluation and in some of the earlier PLD application reports between 1995 and 2018, various commentary and percentage estimates as to the increase in product liability insurance costs since the Directive was adopted have been provided. See: </w:t>
      </w:r>
      <w:hyperlink r:id="rId65" w:history="1">
        <w:r w:rsidRPr="0061648D">
          <w:rPr>
            <w:rStyle w:val="Hyperlink"/>
            <w:sz w:val="18"/>
            <w:szCs w:val="18"/>
          </w:rPr>
          <w:t>https://eur-lex.europa.eu/legal-content/EN/TXT/HTML/?uri=CELEX:52000DC0893&amp;from=GA</w:t>
        </w:r>
      </w:hyperlink>
      <w:r w:rsidRPr="0061648D">
        <w:rPr>
          <w:sz w:val="18"/>
          <w:szCs w:val="18"/>
        </w:rPr>
        <w:t xml:space="preserve"> </w:t>
      </w:r>
    </w:p>
  </w:footnote>
  <w:footnote w:id="297">
    <w:p w14:paraId="64F75862"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Desk research based on </w:t>
      </w:r>
      <w:r w:rsidRPr="0061648D">
        <w:rPr>
          <w:bCs/>
          <w:sz w:val="18"/>
          <w:szCs w:val="18"/>
        </w:rPr>
        <w:t>data from SwissRe on general product liability insurance policies.</w:t>
      </w:r>
    </w:p>
  </w:footnote>
  <w:footnote w:id="298">
    <w:p w14:paraId="2A829386" w14:textId="77777777" w:rsidR="00030C20" w:rsidRPr="0061648D" w:rsidRDefault="00030C20" w:rsidP="005F25FB">
      <w:pPr>
        <w:pStyle w:val="FootnoteText"/>
        <w:jc w:val="both"/>
        <w:rPr>
          <w:sz w:val="18"/>
          <w:szCs w:val="18"/>
        </w:rPr>
      </w:pPr>
      <w:r w:rsidRPr="0061648D">
        <w:rPr>
          <w:rStyle w:val="FootnoteReference"/>
          <w:sz w:val="18"/>
          <w:szCs w:val="18"/>
        </w:rPr>
        <w:footnoteRef/>
      </w:r>
      <w:r w:rsidRPr="0061648D">
        <w:rPr>
          <w:sz w:val="18"/>
          <w:szCs w:val="18"/>
        </w:rPr>
        <w:t xml:space="preserve"> </w:t>
      </w:r>
      <w:r>
        <w:rPr>
          <w:sz w:val="18"/>
          <w:szCs w:val="18"/>
        </w:rPr>
        <w:t xml:space="preserve">For justifications on the assumptions summarised in the table, please refer to </w:t>
      </w:r>
      <w:r w:rsidRPr="00A3781D">
        <w:rPr>
          <w:sz w:val="18"/>
          <w:szCs w:val="18"/>
        </w:rPr>
        <w:t>CSES, Wavestone, CSIL (2022), Impact assessment study on the revision of Product Liability Directive</w:t>
      </w:r>
      <w:r w:rsidRPr="0061648D">
        <w:rPr>
          <w:sz w:val="18"/>
          <w:szCs w:val="18"/>
        </w:rPr>
        <w:t>.</w:t>
      </w:r>
    </w:p>
  </w:footnote>
  <w:footnote w:id="299">
    <w:p w14:paraId="3C8A1724" w14:textId="057D0E8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Experts’ fees are not included under legal costs, as they have been conceptualised under the cost linked to the burden of proof, not quantified.</w:t>
      </w:r>
    </w:p>
  </w:footnote>
  <w:footnote w:id="300">
    <w:p w14:paraId="151A0DCF"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The application reports under the PLD illustrated that the costs for legal cases for pharmaceutical products and medical devices are highly complex and cost many times more than for most other products.</w:t>
      </w:r>
    </w:p>
  </w:footnote>
  <w:footnote w:id="301">
    <w:p w14:paraId="3EE664F6" w14:textId="3E5614B3" w:rsidR="00030C20" w:rsidRPr="0061648D" w:rsidRDefault="00030C20" w:rsidP="0061648D">
      <w:pPr>
        <w:pStyle w:val="FootnoteText"/>
        <w:jc w:val="both"/>
        <w:rPr>
          <w:sz w:val="18"/>
          <w:szCs w:val="18"/>
        </w:rPr>
      </w:pPr>
      <w:r w:rsidRPr="008D43D6">
        <w:rPr>
          <w:rStyle w:val="FootnoteReference"/>
          <w:sz w:val="18"/>
          <w:szCs w:val="18"/>
        </w:rPr>
        <w:footnoteRef/>
      </w:r>
      <w:r w:rsidRPr="008D43D6">
        <w:rPr>
          <w:sz w:val="18"/>
          <w:szCs w:val="18"/>
        </w:rPr>
        <w:t xml:space="preserve"> </w:t>
      </w:r>
      <w:r w:rsidRPr="00E40F47">
        <w:rPr>
          <w:sz w:val="18"/>
          <w:szCs w:val="18"/>
        </w:rPr>
        <w:t xml:space="preserve">CSES, Wavestone, CSIL (2022), Impact assessment study on the revision of Product </w:t>
      </w:r>
      <w:r w:rsidRPr="009C5BB0">
        <w:rPr>
          <w:sz w:val="18"/>
          <w:szCs w:val="18"/>
        </w:rPr>
        <w:t>Liability Directive for justifications over the assumptions used to calculate compensation costs, product liability costs and legal costs.</w:t>
      </w:r>
    </w:p>
  </w:footnote>
  <w:footnote w:id="302">
    <w:p w14:paraId="5ED4650D" w14:textId="77777777" w:rsidR="00030C20" w:rsidRPr="0061648D" w:rsidRDefault="00030C20" w:rsidP="00A845BD">
      <w:pPr>
        <w:pStyle w:val="FootnoteText"/>
        <w:jc w:val="both"/>
        <w:rPr>
          <w:sz w:val="18"/>
          <w:szCs w:val="18"/>
        </w:rPr>
      </w:pPr>
      <w:r w:rsidRPr="0061648D">
        <w:rPr>
          <w:rStyle w:val="FootnoteReference"/>
          <w:sz w:val="18"/>
          <w:szCs w:val="18"/>
        </w:rPr>
        <w:footnoteRef/>
      </w:r>
      <w:r w:rsidRPr="0061648D">
        <w:rPr>
          <w:sz w:val="18"/>
          <w:szCs w:val="18"/>
        </w:rPr>
        <w:t xml:space="preserve"> </w:t>
      </w:r>
      <w:r>
        <w:rPr>
          <w:sz w:val="18"/>
          <w:szCs w:val="18"/>
        </w:rPr>
        <w:t xml:space="preserve">For justifications on the assumptions summarised in the table, please refer to </w:t>
      </w:r>
      <w:r w:rsidRPr="00A3781D">
        <w:rPr>
          <w:sz w:val="18"/>
          <w:szCs w:val="18"/>
        </w:rPr>
        <w:t>CSES, Wavestone, CSIL (2022), Impact assessment study on the revision of Product Liability Directive</w:t>
      </w:r>
      <w:r w:rsidRPr="0061648D">
        <w:rPr>
          <w:sz w:val="18"/>
          <w:szCs w:val="18"/>
        </w:rPr>
        <w:t>.</w:t>
      </w:r>
    </w:p>
  </w:footnote>
  <w:footnote w:id="303">
    <w:p w14:paraId="32D576BA" w14:textId="075E78EA"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Dresp-Langley B. Children's Health in the Digital Age. Int J Environ Res Public Health. 2020 May 6;17(9):3240. doi: 10.3390/ijerph17093240. PMID: 32384728; PMCID: PMC7246471.</w:t>
      </w:r>
      <w:r>
        <w:rPr>
          <w:sz w:val="18"/>
          <w:szCs w:val="18"/>
        </w:rPr>
        <w:t xml:space="preserve"> </w:t>
      </w:r>
    </w:p>
  </w:footnote>
  <w:footnote w:id="304">
    <w:p w14:paraId="42388F51"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US"/>
        </w:rPr>
        <w:t>Duncan Fairgrieve, Product Liability, 3</w:t>
      </w:r>
      <w:r w:rsidRPr="0061648D">
        <w:rPr>
          <w:sz w:val="18"/>
          <w:szCs w:val="18"/>
          <w:vertAlign w:val="superscript"/>
          <w:lang w:val="en-US"/>
        </w:rPr>
        <w:t>rd</w:t>
      </w:r>
      <w:r w:rsidRPr="0061648D">
        <w:rPr>
          <w:sz w:val="18"/>
          <w:szCs w:val="18"/>
          <w:lang w:val="en-US"/>
        </w:rPr>
        <w:t xml:space="preserve"> edition, p. 267; </w:t>
      </w:r>
      <w:r w:rsidRPr="0061648D">
        <w:rPr>
          <w:sz w:val="18"/>
          <w:szCs w:val="18"/>
          <w:lang w:val="en-IE"/>
        </w:rPr>
        <w:t>Christiane Wendehorst, Study on Safety and Liability Related Aspects of Software, p. 80; Interview with Pan-European Organisation of Personal Injury Lawyers.</w:t>
      </w:r>
    </w:p>
  </w:footnote>
  <w:footnote w:id="305">
    <w:p w14:paraId="7147818A" w14:textId="65BD8D9A" w:rsidR="00030C20" w:rsidRPr="009F27BB" w:rsidRDefault="00030C20">
      <w:pPr>
        <w:pStyle w:val="FootnoteText"/>
      </w:pPr>
      <w:r>
        <w:rPr>
          <w:rStyle w:val="FootnoteReference"/>
        </w:rPr>
        <w:footnoteRef/>
      </w:r>
      <w:r>
        <w:t xml:space="preserve"> </w:t>
      </w:r>
      <w:r w:rsidRPr="0061648D">
        <w:rPr>
          <w:sz w:val="18"/>
          <w:szCs w:val="18"/>
        </w:rPr>
        <w:t xml:space="preserve">EY, Technopolis, VVA (2018), </w:t>
      </w:r>
      <w:hyperlink r:id="rId66" w:history="1">
        <w:r w:rsidRPr="0061648D">
          <w:rPr>
            <w:rStyle w:val="Hyperlink"/>
            <w:sz w:val="18"/>
            <w:szCs w:val="18"/>
          </w:rPr>
          <w:t>Study</w:t>
        </w:r>
      </w:hyperlink>
      <w:r w:rsidRPr="0061648D">
        <w:rPr>
          <w:sz w:val="18"/>
          <w:szCs w:val="18"/>
        </w:rPr>
        <w:t xml:space="preserve"> accompanying Evaluation of Product Liability Directive</w:t>
      </w:r>
      <w:r>
        <w:rPr>
          <w:sz w:val="18"/>
          <w:szCs w:val="18"/>
        </w:rPr>
        <w:t>, p. 33</w:t>
      </w:r>
      <w:r w:rsidRPr="0061648D">
        <w:rPr>
          <w:sz w:val="18"/>
          <w:szCs w:val="18"/>
        </w:rPr>
        <w:t>.</w:t>
      </w:r>
    </w:p>
  </w:footnote>
  <w:footnote w:id="306">
    <w:p w14:paraId="6043680C"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Article 14(1) of Directive 2000/31/EC of the European Parliament and of the Council of 8 June 2000 on certain legal aspects of information society services, in particular electronic commerce, in the Internal Market (‘Directive on electronic commerce’) and Article 5(1) of Proposal for a Regulation of the European Parliament and of the Council on a Single Market For Digital Services (Digital Services Act) and amending Directive 2000/31/EC</w:t>
      </w:r>
    </w:p>
  </w:footnote>
  <w:footnote w:id="307">
    <w:p w14:paraId="14FB7FCF"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C-324/09, L’Oréal SA and Others v eBay International AG and Others.</w:t>
      </w:r>
    </w:p>
  </w:footnote>
  <w:footnote w:id="308">
    <w:p w14:paraId="27EAA8FC" w14:textId="02F32A23"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Commission Notice— 'The ‘Blue Guide’ on the implementation of EU products rules 2016',</w:t>
      </w:r>
      <w:r>
        <w:rPr>
          <w:sz w:val="18"/>
          <w:szCs w:val="18"/>
        </w:rPr>
        <w:t xml:space="preserve"> </w:t>
      </w:r>
      <w:r w:rsidRPr="0061648D">
        <w:rPr>
          <w:b/>
          <w:sz w:val="18"/>
          <w:szCs w:val="18"/>
          <w:lang w:val="en-IE"/>
        </w:rPr>
        <w:t>2016/C 272/01</w:t>
      </w:r>
      <w:r w:rsidRPr="0061648D">
        <w:rPr>
          <w:sz w:val="18"/>
          <w:szCs w:val="18"/>
        </w:rPr>
        <w:t>, 26.7.2016, p. 15 to 17.</w:t>
      </w:r>
    </w:p>
  </w:footnote>
  <w:footnote w:id="309">
    <w:p w14:paraId="70619F3D"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Proposal for a Regulation of the European Parliament and of the Council on machinery products, COM(2021) 202 final, </w:t>
      </w:r>
      <w:hyperlink r:id="rId67" w:history="1">
        <w:r w:rsidRPr="0061648D">
          <w:rPr>
            <w:rStyle w:val="Hyperlink"/>
            <w:rFonts w:eastAsia="Calibri"/>
            <w:sz w:val="18"/>
            <w:szCs w:val="18"/>
            <w:lang w:eastAsia="da-DK"/>
          </w:rPr>
          <w:t>https://ec.europa.eu/docsroom/documents/45508</w:t>
        </w:r>
      </w:hyperlink>
      <w:r w:rsidRPr="0061648D">
        <w:rPr>
          <w:sz w:val="18"/>
          <w:szCs w:val="18"/>
        </w:rPr>
        <w:t xml:space="preserve">; proposal for a Regulation on General Product Safety (GPSR), </w:t>
      </w:r>
      <w:hyperlink r:id="rId68" w:history="1">
        <w:r w:rsidRPr="0061648D">
          <w:rPr>
            <w:rStyle w:val="Hyperlink"/>
            <w:rFonts w:eastAsia="Calibri"/>
            <w:sz w:val="18"/>
            <w:szCs w:val="18"/>
          </w:rPr>
          <w:t>https://ec.europa.eu/info/sites/default/files/proposal_for_a_regulation_on_general_product_safety.pdf</w:t>
        </w:r>
      </w:hyperlink>
      <w:r w:rsidRPr="0061648D">
        <w:rPr>
          <w:rStyle w:val="Hyperlink"/>
          <w:rFonts w:eastAsia="Calibri"/>
          <w:sz w:val="18"/>
          <w:szCs w:val="18"/>
        </w:rPr>
        <w:t>.</w:t>
      </w:r>
    </w:p>
  </w:footnote>
  <w:footnote w:id="310">
    <w:p w14:paraId="6C26E33D"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2017/745 of the European Parliament and of the Council on medical devices, Art. 2(1)(30).</w:t>
      </w:r>
    </w:p>
  </w:footnote>
  <w:footnote w:id="311">
    <w:p w14:paraId="05CD85FB"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(EU) 2019/771 on certain aspects concerning contracts for the sale of goods. </w:t>
      </w:r>
    </w:p>
  </w:footnote>
  <w:footnote w:id="312">
    <w:p w14:paraId="389998AB"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(EU)</w:t>
      </w:r>
      <w:r w:rsidRPr="0061648D">
        <w:rPr>
          <w:sz w:val="18"/>
          <w:szCs w:val="18"/>
          <w:lang w:val="en-IE"/>
        </w:rPr>
        <w:t xml:space="preserve"> 2019/770 on certain aspects concerning contracts for the supply of digital content and digital services.</w:t>
      </w:r>
    </w:p>
  </w:footnote>
  <w:footnote w:id="313">
    <w:p w14:paraId="7782B195"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Regulation (EU) 2016/679 </w:t>
      </w:r>
      <w:r w:rsidRPr="0061648D">
        <w:rPr>
          <w:sz w:val="18"/>
          <w:szCs w:val="18"/>
          <w:lang w:val="en-IE"/>
        </w:rPr>
        <w:t xml:space="preserve">of the European Parliament and of the Council on the protection of natural persons with regard to the processing of personal data and on the free movement of such data </w:t>
      </w:r>
      <w:r w:rsidRPr="0061648D">
        <w:rPr>
          <w:sz w:val="18"/>
          <w:szCs w:val="18"/>
        </w:rPr>
        <w:t>(GDPR).</w:t>
      </w:r>
    </w:p>
  </w:footnote>
  <w:footnote w:id="314">
    <w:p w14:paraId="6BE39CAF"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2004/35/EC of the European Parliament and of the Council of 21 April 2004 on environmental liability with regard to the prevention and remedying of environmental damage.</w:t>
      </w:r>
    </w:p>
  </w:footnote>
  <w:footnote w:id="315">
    <w:p w14:paraId="15FED3A6"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Council Directive 87/357/EEC and Directive 2001/95/EC of the European Parliament and of the Council</w:t>
      </w:r>
    </w:p>
  </w:footnote>
  <w:footnote w:id="316">
    <w:p w14:paraId="6C0A3456"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Proposal for a Regulation </w:t>
      </w:r>
      <w:r w:rsidRPr="0061648D">
        <w:rPr>
          <w:sz w:val="18"/>
          <w:szCs w:val="18"/>
          <w:lang w:val="en-IE"/>
        </w:rPr>
        <w:t xml:space="preserve">of the European Parliament and of the Council </w:t>
      </w:r>
      <w:r w:rsidRPr="0061648D">
        <w:rPr>
          <w:sz w:val="18"/>
          <w:szCs w:val="18"/>
        </w:rPr>
        <w:t>on General Product Safety (GPSR), COM(2021)346 final.</w:t>
      </w:r>
    </w:p>
  </w:footnote>
  <w:footnote w:id="317">
    <w:p w14:paraId="5E86A773" w14:textId="23DA635E" w:rsidR="00030C20" w:rsidRPr="0061648D" w:rsidRDefault="00030C20" w:rsidP="0061648D">
      <w:pPr>
        <w:pStyle w:val="FootnoteText"/>
        <w:jc w:val="both"/>
        <w:rPr>
          <w:sz w:val="18"/>
          <w:szCs w:val="18"/>
          <w:lang w:val="fr-BE"/>
        </w:rPr>
      </w:pPr>
      <w:r w:rsidRPr="0061648D">
        <w:rPr>
          <w:rStyle w:val="FootnoteReference"/>
          <w:sz w:val="18"/>
          <w:szCs w:val="18"/>
        </w:rPr>
        <w:footnoteRef/>
      </w:r>
      <w:r w:rsidRPr="0061648D">
        <w:rPr>
          <w:sz w:val="18"/>
          <w:szCs w:val="18"/>
          <w:lang w:val="fr-BE"/>
        </w:rPr>
        <w:t xml:space="preserve"> Regulation (EU) 2019/1020 on market surveillance </w:t>
      </w:r>
    </w:p>
  </w:footnote>
  <w:footnote w:id="318">
    <w:p w14:paraId="6ED2C94E"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lang w:val="fr-BE"/>
        </w:rPr>
        <w:t xml:space="preserve"> European Commission. </w:t>
      </w:r>
      <w:r w:rsidRPr="0061648D">
        <w:rPr>
          <w:sz w:val="18"/>
          <w:szCs w:val="18"/>
        </w:rPr>
        <w:t>(2018). Evaluation of Council Directive 85/374/EEC of 25 July 1985 on the approximation of the laws, regulations and administrative provisions of the Member States concerning liability for defective, p. 49.</w:t>
      </w:r>
    </w:p>
  </w:footnote>
  <w:footnote w:id="319">
    <w:p w14:paraId="5F8C718C" w14:textId="0462EE9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rStyle w:val="FootnoteReference"/>
          <w:sz w:val="18"/>
          <w:szCs w:val="18"/>
        </w:rPr>
        <w:t xml:space="preserve"> </w:t>
      </w:r>
      <w:hyperlink r:id="rId69" w:history="1">
        <w:r w:rsidRPr="0061648D">
          <w:rPr>
            <w:rStyle w:val="Hyperlink"/>
            <w:sz w:val="18"/>
            <w:szCs w:val="18"/>
          </w:rPr>
          <w:t>European directives on safety and health at work | Safety and health at work EU-OSHA (europa.eu)</w:t>
        </w:r>
      </w:hyperlink>
      <w:r w:rsidRPr="0061648D">
        <w:rPr>
          <w:sz w:val="18"/>
          <w:szCs w:val="18"/>
        </w:rPr>
        <w:t xml:space="preserve"> </w:t>
      </w:r>
      <w:r w:rsidRPr="0061648D">
        <w:rPr>
          <w:sz w:val="18"/>
          <w:szCs w:val="18"/>
          <w:lang w:val="en-IE"/>
        </w:rPr>
        <w:t>European Framework Directive on Safety and Health at Work (Directive 89/391 EEC).</w:t>
      </w:r>
    </w:p>
  </w:footnote>
  <w:footnote w:id="320">
    <w:p w14:paraId="47ADD728" w14:textId="76A17A1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2009/104/EC of the European Parliament and of the Council of 16 September 2009 concerning the minimum safety and health requirements for the use of work equipment by workers at work.</w:t>
      </w:r>
    </w:p>
  </w:footnote>
  <w:footnote w:id="321">
    <w:p w14:paraId="2781B012" w14:textId="1161D23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Regulation (EU) 2019/881 of the European Parliament and of the Council of 17 April 2019 on ENISA (the European Union Agency for Cybersecurity) and on information and communications technology cybersecurity certification and repealing Regulation (EU) No 526/2013 (Cybersecurity Act) (Text with EEA relevance), OJ L 151, 7.6.2019, pp. 15-69.</w:t>
      </w:r>
      <w:r>
        <w:rPr>
          <w:sz w:val="18"/>
          <w:szCs w:val="18"/>
          <w:lang w:val="en-IE"/>
        </w:rPr>
        <w:t xml:space="preserve"> </w:t>
      </w:r>
    </w:p>
  </w:footnote>
  <w:footnote w:id="322">
    <w:p w14:paraId="354C6A65"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Commission Delegated Regulation</w:t>
      </w:r>
      <w:r w:rsidRPr="0061648D">
        <w:rPr>
          <w:rFonts w:eastAsiaTheme="minorHAnsi"/>
          <w:sz w:val="18"/>
          <w:szCs w:val="18"/>
        </w:rPr>
        <w:t xml:space="preserve"> (EU) 2022/30 of 29 October 2021 </w:t>
      </w:r>
      <w:r w:rsidRPr="0061648D">
        <w:rPr>
          <w:sz w:val="18"/>
          <w:szCs w:val="18"/>
        </w:rPr>
        <w:t>supplementing Directive 2014/53/EU of the European Parliament and of the Council with regard to the application of the essential requirements referred to in Article 3(3), points (d), (e) and (f), of that Directive</w:t>
      </w:r>
    </w:p>
  </w:footnote>
  <w:footnote w:id="323">
    <w:p w14:paraId="4F9A85F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Radio Equipment Directive 2014/53/EU, Article 3(3)(e) and Article 3(3)(f).</w:t>
      </w:r>
    </w:p>
  </w:footnote>
  <w:footnote w:id="324">
    <w:p w14:paraId="7409E783" w14:textId="719DEF0F"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70" w:history="1">
        <w:r w:rsidRPr="0061648D">
          <w:rPr>
            <w:rStyle w:val="Hyperlink"/>
            <w:sz w:val="18"/>
            <w:szCs w:val="18"/>
          </w:rPr>
          <w:t>How a European Cyber Resilience Act will help protect Europe | European Commission (europa.eu)</w:t>
        </w:r>
      </w:hyperlink>
      <w:r w:rsidRPr="0061648D">
        <w:rPr>
          <w:sz w:val="18"/>
          <w:szCs w:val="18"/>
        </w:rPr>
        <w:t>.</w:t>
      </w:r>
    </w:p>
  </w:footnote>
  <w:footnote w:id="325">
    <w:p w14:paraId="76118C46"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 xml:space="preserve">Proposal for a Regulation of the European Parliament and of the Council on machinery products, </w:t>
      </w:r>
    </w:p>
    <w:p w14:paraId="1A3F40D5" w14:textId="77777777" w:rsidR="00030C20" w:rsidRPr="0061648D" w:rsidRDefault="00030C20" w:rsidP="0061648D">
      <w:pPr>
        <w:pStyle w:val="FootnoteText"/>
        <w:jc w:val="both"/>
        <w:rPr>
          <w:sz w:val="18"/>
          <w:szCs w:val="18"/>
          <w:lang w:val="en-IE"/>
        </w:rPr>
      </w:pPr>
      <w:r w:rsidRPr="0061648D">
        <w:rPr>
          <w:sz w:val="18"/>
          <w:szCs w:val="18"/>
          <w:lang w:val="en-IE"/>
        </w:rPr>
        <w:t xml:space="preserve"> COM(2021) 202 final.</w:t>
      </w:r>
    </w:p>
  </w:footnote>
  <w:footnote w:id="326">
    <w:p w14:paraId="07A6F856" w14:textId="77777777" w:rsidR="00030C20" w:rsidRPr="0061648D"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Proposal for a Regulation </w:t>
      </w:r>
      <w:r w:rsidRPr="0061648D">
        <w:rPr>
          <w:sz w:val="18"/>
          <w:szCs w:val="18"/>
          <w:lang w:val="en-IE"/>
        </w:rPr>
        <w:t xml:space="preserve">of the European Parliament and of the Council </w:t>
      </w:r>
      <w:r w:rsidRPr="0061648D">
        <w:rPr>
          <w:sz w:val="18"/>
          <w:szCs w:val="18"/>
        </w:rPr>
        <w:t>on General Product Safety (GPSR), COM(2021)346 final.</w:t>
      </w:r>
    </w:p>
  </w:footnote>
  <w:footnote w:id="327">
    <w:p w14:paraId="2B919D43" w14:textId="7B3102A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Proposal for a Regulation of the European Parliament and of the Council on a Single Market For Digital Services (Digital Services Act) and amending Directive 2000/31/EC, COM(2020) 825 final</w:t>
      </w:r>
      <w:r>
        <w:rPr>
          <w:sz w:val="18"/>
          <w:szCs w:val="18"/>
          <w:lang w:val="en-IE"/>
        </w:rPr>
        <w:t>.</w:t>
      </w:r>
    </w:p>
  </w:footnote>
  <w:footnote w:id="328">
    <w:p w14:paraId="638DB579" w14:textId="4A1ACC7B"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Directive 2000/31/EC of the European Parliament and of the Council of 8 June 2000 on certain legal aspects of information society services, in particular electronic commerce, in the Internal Market ('Directive on electronic commerce')</w:t>
      </w:r>
      <w:r>
        <w:rPr>
          <w:sz w:val="18"/>
          <w:szCs w:val="18"/>
        </w:rPr>
        <w:t>.</w:t>
      </w:r>
    </w:p>
  </w:footnote>
  <w:footnote w:id="329">
    <w:p w14:paraId="0C4AD8A7" w14:textId="11E41163"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Circular economy action plan, March 2020</w:t>
      </w:r>
      <w:r>
        <w:rPr>
          <w:sz w:val="18"/>
          <w:szCs w:val="18"/>
        </w:rPr>
        <w:t>.</w:t>
      </w:r>
    </w:p>
    <w:p w14:paraId="2E6632D2" w14:textId="339D887D" w:rsidR="00030C20" w:rsidRPr="0061648D" w:rsidRDefault="00030C20" w:rsidP="0061648D">
      <w:pPr>
        <w:pStyle w:val="FootnoteText"/>
        <w:jc w:val="both"/>
        <w:rPr>
          <w:sz w:val="18"/>
          <w:szCs w:val="18"/>
        </w:rPr>
      </w:pPr>
      <w:r w:rsidRPr="0061648D">
        <w:rPr>
          <w:sz w:val="18"/>
          <w:szCs w:val="18"/>
        </w:rPr>
        <w:t>https://ec.europa.eu/environment/strategy/circular-economy-action-plan_en</w:t>
      </w:r>
      <w:r>
        <w:rPr>
          <w:sz w:val="18"/>
          <w:szCs w:val="18"/>
        </w:rPr>
        <w:t>.</w:t>
      </w:r>
    </w:p>
  </w:footnote>
  <w:footnote w:id="330">
    <w:p w14:paraId="7D664D40" w14:textId="102764ED"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Responses to public consultation and to inception impact assessment of France Assos Santé and Réseau D.E.S. (Victimes du Valproate de sodium)</w:t>
      </w:r>
      <w:r>
        <w:rPr>
          <w:sz w:val="18"/>
          <w:szCs w:val="18"/>
        </w:rPr>
        <w:t xml:space="preserve">. </w:t>
      </w:r>
    </w:p>
  </w:footnote>
  <w:footnote w:id="331">
    <w:p w14:paraId="58AE9925"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On average USD 2,56 billion and 12-13 years: response to public consultation of EFPIA, European Federation of Pharmaceutical Industries and Associations.</w:t>
      </w:r>
    </w:p>
  </w:footnote>
  <w:footnote w:id="332">
    <w:p w14:paraId="3D35F4E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71" w:history="1">
        <w:r w:rsidRPr="0061648D">
          <w:rPr>
            <w:rStyle w:val="Hyperlink"/>
            <w:sz w:val="18"/>
            <w:szCs w:val="18"/>
          </w:rPr>
          <w:t>A pharmaceutical strategy for Europe (europa.eu)</w:t>
        </w:r>
      </w:hyperlink>
      <w:r w:rsidRPr="0061648D">
        <w:rPr>
          <w:sz w:val="18"/>
          <w:szCs w:val="18"/>
        </w:rPr>
        <w:t xml:space="preserve">. </w:t>
      </w:r>
    </w:p>
  </w:footnote>
  <w:footnote w:id="333">
    <w:p w14:paraId="5A007723"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hyperlink r:id="rId72" w:history="1">
        <w:r w:rsidRPr="0061648D">
          <w:rPr>
            <w:rStyle w:val="Hyperlink"/>
            <w:sz w:val="18"/>
            <w:szCs w:val="18"/>
          </w:rPr>
          <w:t>Revision of the EU general pharmaceuticals legislation (europa.eu)</w:t>
        </w:r>
      </w:hyperlink>
      <w:r w:rsidRPr="0061648D">
        <w:rPr>
          <w:sz w:val="18"/>
          <w:szCs w:val="18"/>
        </w:rPr>
        <w:t xml:space="preserve">. </w:t>
      </w:r>
    </w:p>
  </w:footnote>
  <w:footnote w:id="334">
    <w:p w14:paraId="5EE76F47" w14:textId="15CB1FF2" w:rsidR="00030C20" w:rsidRPr="0061648D" w:rsidRDefault="00030C20" w:rsidP="0061648D">
      <w:pPr>
        <w:pStyle w:val="FootnoteText"/>
        <w:jc w:val="both"/>
        <w:rPr>
          <w:sz w:val="18"/>
          <w:szCs w:val="18"/>
          <w:lang w:val="en-US"/>
        </w:rPr>
      </w:pPr>
      <w:r w:rsidRPr="0061648D">
        <w:rPr>
          <w:rStyle w:val="FootnoteReference"/>
          <w:sz w:val="18"/>
          <w:szCs w:val="18"/>
        </w:rPr>
        <w:footnoteRef/>
      </w:r>
      <w:r w:rsidRPr="0061648D">
        <w:rPr>
          <w:sz w:val="18"/>
          <w:szCs w:val="18"/>
        </w:rPr>
        <w:t xml:space="preserve"> </w:t>
      </w:r>
      <w:r w:rsidRPr="0061648D">
        <w:rPr>
          <w:sz w:val="18"/>
          <w:szCs w:val="18"/>
          <w:lang w:val="en-US"/>
        </w:rPr>
        <w:t>Duncan Fairgrieve, Product Liability, 3</w:t>
      </w:r>
      <w:r w:rsidRPr="0061648D">
        <w:rPr>
          <w:sz w:val="18"/>
          <w:szCs w:val="18"/>
          <w:vertAlign w:val="superscript"/>
          <w:lang w:val="en-US"/>
        </w:rPr>
        <w:t>rd</w:t>
      </w:r>
      <w:r w:rsidRPr="0061648D">
        <w:rPr>
          <w:sz w:val="18"/>
          <w:szCs w:val="18"/>
          <w:lang w:val="en-US"/>
        </w:rPr>
        <w:t xml:space="preserve"> edition, p. 274.</w:t>
      </w:r>
    </w:p>
  </w:footnote>
  <w:footnote w:id="335">
    <w:p w14:paraId="6FA4D068" w14:textId="77777777" w:rsidR="00030C20" w:rsidRPr="0061648D" w:rsidRDefault="00030C20" w:rsidP="0061648D">
      <w:pPr>
        <w:pStyle w:val="FootnoteText"/>
        <w:jc w:val="both"/>
        <w:rPr>
          <w:sz w:val="18"/>
          <w:szCs w:val="18"/>
        </w:rPr>
      </w:pPr>
      <w:r w:rsidRPr="0061648D">
        <w:rPr>
          <w:rStyle w:val="FootnoteReference"/>
          <w:sz w:val="18"/>
          <w:szCs w:val="18"/>
        </w:rPr>
        <w:footnoteRef/>
      </w:r>
      <w:r w:rsidRPr="0061648D">
        <w:rPr>
          <w:sz w:val="18"/>
          <w:szCs w:val="18"/>
        </w:rPr>
        <w:t xml:space="preserve"> </w:t>
      </w:r>
      <w:r w:rsidRPr="0061648D">
        <w:rPr>
          <w:sz w:val="18"/>
          <w:szCs w:val="18"/>
          <w:lang w:val="en-IE"/>
        </w:rPr>
        <w:t>E. Rajneri, J-S. Borghetti, D. Fairgrieve, P. Rott, Remedies for Damages Caused by Vaccines: A Comparative Study of Four European Legal Systems, European Review of Private Law 1-2018 [57-96].</w:t>
      </w:r>
    </w:p>
  </w:footnote>
  <w:footnote w:id="336">
    <w:p w14:paraId="7CA5E1EC" w14:textId="77777777" w:rsidR="00030C20" w:rsidRPr="00316896" w:rsidRDefault="00030C20" w:rsidP="0061648D">
      <w:pPr>
        <w:pStyle w:val="FootnoteText"/>
        <w:jc w:val="both"/>
        <w:rPr>
          <w:sz w:val="18"/>
          <w:szCs w:val="18"/>
          <w:lang w:val="en-IE"/>
        </w:rPr>
      </w:pPr>
      <w:r w:rsidRPr="0061648D">
        <w:rPr>
          <w:rStyle w:val="FootnoteReference"/>
          <w:sz w:val="18"/>
          <w:szCs w:val="18"/>
        </w:rPr>
        <w:footnoteRef/>
      </w:r>
      <w:r w:rsidRPr="0061648D">
        <w:rPr>
          <w:sz w:val="18"/>
          <w:szCs w:val="18"/>
        </w:rPr>
        <w:t xml:space="preserve"> </w:t>
      </w:r>
      <w:r w:rsidRPr="0061648D">
        <w:rPr>
          <w:sz w:val="18"/>
          <w:szCs w:val="18"/>
          <w:lang w:val="en-IE"/>
        </w:rPr>
        <w:t>It should be noted that while the existence of court cases would give an indication that the PLD can be successfully applied to products in the digital age, the deterrent function of product liability actually aims to increase safety and so reduce product harm and therefore reduce the number of claims and court cases.</w:t>
      </w:r>
    </w:p>
  </w:footnote>
  <w:footnote w:id="337">
    <w:p w14:paraId="2A55FA6B" w14:textId="77777777" w:rsidR="00030C20" w:rsidRPr="00915312" w:rsidRDefault="00030C20" w:rsidP="00877D86">
      <w:pPr>
        <w:pStyle w:val="FootnoteText"/>
      </w:pPr>
      <w:r>
        <w:rPr>
          <w:rStyle w:val="FootnoteReference"/>
        </w:rPr>
        <w:footnoteRef/>
      </w:r>
      <w:r>
        <w:t xml:space="preserve"> </w:t>
      </w:r>
      <w:r w:rsidRPr="00915312">
        <w:rPr>
          <w:lang w:val="en-US"/>
        </w:rPr>
        <w:t xml:space="preserve">CSES with Wavestone, CSIL (2022), Impact assessment study on the revision of Product Liability Directive, </w:t>
      </w:r>
      <w:r>
        <w:rPr>
          <w:lang w:val="en-US"/>
        </w:rPr>
        <w:t>section 2.3.1.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A5D8" w14:textId="77777777" w:rsidR="00A8526C" w:rsidRPr="00A8526C" w:rsidRDefault="00A8526C" w:rsidP="00A852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AB58" w14:textId="77777777" w:rsidR="001E05F3" w:rsidRDefault="001E05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8C3C" w14:textId="77777777" w:rsidR="001E05F3" w:rsidRDefault="001E05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B0D3" w14:textId="77777777" w:rsidR="001E05F3" w:rsidRDefault="001E05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0A2E" w14:textId="77777777" w:rsidR="00030C20" w:rsidRDefault="00030C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CAAA" w14:textId="77777777" w:rsidR="00030C20" w:rsidRDefault="00030C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92B4" w14:textId="77777777" w:rsidR="00030C20" w:rsidRDefault="00030C2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B5DA" w14:textId="77777777" w:rsidR="00030C20" w:rsidRDefault="00030C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7B20" w14:textId="77777777" w:rsidR="00030C20" w:rsidRDefault="00030C2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86F3" w14:textId="77777777" w:rsidR="00030C20" w:rsidRDefault="00030C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1C40" w14:textId="77777777" w:rsidR="00030C20" w:rsidRDefault="00030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C3D7A" w14:textId="77777777" w:rsidR="00A8526C" w:rsidRPr="00A8526C" w:rsidRDefault="00A8526C" w:rsidP="00A8526C">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32A5" w14:textId="77777777" w:rsidR="00030C20" w:rsidRDefault="00030C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C723" w14:textId="77777777" w:rsidR="00030C20" w:rsidRDefault="00030C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3F1C" w14:textId="77777777" w:rsidR="00030C20" w:rsidRDefault="00030C2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8798" w14:textId="77777777" w:rsidR="00030C20" w:rsidRDefault="00030C2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3EC4" w14:textId="77777777" w:rsidR="00030C20" w:rsidRDefault="00030C2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E950" w14:textId="77777777" w:rsidR="00030C20" w:rsidRDefault="00030C2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CA8F" w14:textId="77777777" w:rsidR="00030C20" w:rsidRDefault="00030C2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F680" w14:textId="77777777" w:rsidR="00030C20" w:rsidRDefault="0003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47C9" w14:textId="77777777" w:rsidR="00A8526C" w:rsidRPr="00A8526C" w:rsidRDefault="00A8526C" w:rsidP="00A8526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1757" w14:textId="77777777" w:rsidR="00030C20" w:rsidRDefault="00030C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2BAF" w14:textId="77777777" w:rsidR="00030C20" w:rsidRDefault="00030C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8BF9" w14:textId="77777777" w:rsidR="00030C20" w:rsidRDefault="00030C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93EA" w14:textId="77777777" w:rsidR="001E05F3" w:rsidRDefault="001E05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E55" w14:textId="77777777" w:rsidR="001E05F3" w:rsidRDefault="001E05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FCE69" w14:textId="77777777" w:rsidR="001E05F3" w:rsidRDefault="001E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6032"/>
    <w:multiLevelType w:val="hybridMultilevel"/>
    <w:tmpl w:val="22B6114C"/>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F94B0D"/>
    <w:multiLevelType w:val="hybridMultilevel"/>
    <w:tmpl w:val="22B6114C"/>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CB0CFA"/>
    <w:multiLevelType w:val="hybridMultilevel"/>
    <w:tmpl w:val="212E3A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DD5789"/>
    <w:multiLevelType w:val="hybridMultilevel"/>
    <w:tmpl w:val="F4C01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561027"/>
    <w:multiLevelType w:val="hybridMultilevel"/>
    <w:tmpl w:val="ADDA35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1014CF"/>
    <w:multiLevelType w:val="hybridMultilevel"/>
    <w:tmpl w:val="0D525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6D6158"/>
    <w:multiLevelType w:val="hybridMultilevel"/>
    <w:tmpl w:val="6F626CA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0E6869"/>
    <w:multiLevelType w:val="hybridMultilevel"/>
    <w:tmpl w:val="7136C094"/>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B8431D0"/>
    <w:multiLevelType w:val="hybridMultilevel"/>
    <w:tmpl w:val="5C662B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5752F5"/>
    <w:multiLevelType w:val="hybridMultilevel"/>
    <w:tmpl w:val="82AA5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B4222A6"/>
    <w:multiLevelType w:val="hybridMultilevel"/>
    <w:tmpl w:val="22B6114C"/>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9C59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43A85"/>
    <w:multiLevelType w:val="hybridMultilevel"/>
    <w:tmpl w:val="54B4E5C6"/>
    <w:lvl w:ilvl="0" w:tplc="39A03D0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311F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364820"/>
    <w:multiLevelType w:val="hybridMultilevel"/>
    <w:tmpl w:val="30B03A02"/>
    <w:lvl w:ilvl="0" w:tplc="C554C354">
      <w:start w:val="4"/>
      <w:numFmt w:val="bullet"/>
      <w:lvlText w:val=""/>
      <w:lvlJc w:val="left"/>
      <w:pPr>
        <w:ind w:left="720" w:hanging="360"/>
      </w:pPr>
      <w:rPr>
        <w:rFonts w:ascii="Symbol" w:eastAsia="Times New Roman" w:hAnsi="Symbol" w:cs="Times New Roman"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A6139"/>
    <w:multiLevelType w:val="hybridMultilevel"/>
    <w:tmpl w:val="44D06C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4915EC"/>
    <w:multiLevelType w:val="hybridMultilevel"/>
    <w:tmpl w:val="3CB665F2"/>
    <w:lvl w:ilvl="0" w:tplc="316A22D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574841"/>
    <w:multiLevelType w:val="hybridMultilevel"/>
    <w:tmpl w:val="978A0734"/>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344BCF"/>
    <w:multiLevelType w:val="hybridMultilevel"/>
    <w:tmpl w:val="7136C094"/>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8053BA5"/>
    <w:multiLevelType w:val="hybridMultilevel"/>
    <w:tmpl w:val="7136C094"/>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CCC712F"/>
    <w:multiLevelType w:val="hybridMultilevel"/>
    <w:tmpl w:val="E1C4AB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0E65BE7"/>
    <w:multiLevelType w:val="hybridMultilevel"/>
    <w:tmpl w:val="0D048F5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1D60A9"/>
    <w:multiLevelType w:val="hybridMultilevel"/>
    <w:tmpl w:val="1BC830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34062EF"/>
    <w:multiLevelType w:val="hybridMultilevel"/>
    <w:tmpl w:val="1724170C"/>
    <w:lvl w:ilvl="0" w:tplc="AE02F552">
      <w:start w:val="1"/>
      <w:numFmt w:val="bullet"/>
      <w:pStyle w:val="MH2"/>
      <w:lvlText w:val=""/>
      <w:lvlJc w:val="left"/>
      <w:pPr>
        <w:ind w:left="720" w:hanging="360"/>
      </w:pPr>
      <w:rPr>
        <w:rFonts w:ascii="Symbol" w:hAnsi="Symbol" w:hint="default"/>
        <w:color w:val="1F497D" w:themeColor="text2"/>
      </w:rPr>
    </w:lvl>
    <w:lvl w:ilvl="1" w:tplc="08090003">
      <w:start w:val="1"/>
      <w:numFmt w:val="bullet"/>
      <w:pStyle w:val="MH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F2B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C5FCD"/>
    <w:multiLevelType w:val="hybridMultilevel"/>
    <w:tmpl w:val="22B6114C"/>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CD45A47"/>
    <w:multiLevelType w:val="hybridMultilevel"/>
    <w:tmpl w:val="3E0A5EFC"/>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30" w15:restartNumberingAfterBreak="0">
    <w:nsid w:val="6D895ED0"/>
    <w:multiLevelType w:val="hybridMultilevel"/>
    <w:tmpl w:val="11006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43F59D9"/>
    <w:multiLevelType w:val="hybridMultilevel"/>
    <w:tmpl w:val="495E3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5FF763E"/>
    <w:multiLevelType w:val="hybridMultilevel"/>
    <w:tmpl w:val="7136C094"/>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60A1C7A"/>
    <w:multiLevelType w:val="multilevel"/>
    <w:tmpl w:val="10620514"/>
    <w:lvl w:ilvl="0">
      <w:start w:val="1"/>
      <w:numFmt w:val="bullet"/>
      <w:pStyle w:val="Bullet1"/>
      <w:lvlText w:val=""/>
      <w:lvlJc w:val="left"/>
      <w:pPr>
        <w:ind w:left="357" w:hanging="357"/>
      </w:pPr>
      <w:rPr>
        <w:rFonts w:ascii="Symbol" w:hAnsi="Symbol" w:hint="default"/>
        <w:color w:val="003C64"/>
        <w:sz w:val="20"/>
      </w:rPr>
    </w:lvl>
    <w:lvl w:ilvl="1">
      <w:start w:val="1"/>
      <w:numFmt w:val="bullet"/>
      <w:lvlText w:val=""/>
      <w:lvlJc w:val="left"/>
      <w:pPr>
        <w:ind w:left="714" w:hanging="357"/>
      </w:pPr>
      <w:rPr>
        <w:rFonts w:ascii="Symbol" w:hAnsi="Symbol"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7B164C0B"/>
    <w:multiLevelType w:val="hybridMultilevel"/>
    <w:tmpl w:val="F5901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D4930EC"/>
    <w:multiLevelType w:val="hybridMultilevel"/>
    <w:tmpl w:val="FEE8B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D5754DD"/>
    <w:multiLevelType w:val="hybridMultilevel"/>
    <w:tmpl w:val="22B6114C"/>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EEC70AF"/>
    <w:multiLevelType w:val="hybridMultilevel"/>
    <w:tmpl w:val="B9AC9688"/>
    <w:lvl w:ilvl="0" w:tplc="08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3"/>
  </w:num>
  <w:num w:numId="7">
    <w:abstractNumId w:val="9"/>
  </w:num>
  <w:num w:numId="8">
    <w:abstractNumId w:val="6"/>
  </w:num>
  <w:num w:numId="9">
    <w:abstractNumId w:val="10"/>
  </w:num>
  <w:num w:numId="10">
    <w:abstractNumId w:val="28"/>
  </w:num>
  <w:num w:numId="11">
    <w:abstractNumId w:val="36"/>
  </w:num>
  <w:num w:numId="12">
    <w:abstractNumId w:val="11"/>
  </w:num>
  <w:num w:numId="13">
    <w:abstractNumId w:val="37"/>
  </w:num>
  <w:num w:numId="14">
    <w:abstractNumId w:val="0"/>
  </w:num>
  <w:num w:numId="15">
    <w:abstractNumId w:val="1"/>
  </w:num>
  <w:num w:numId="16">
    <w:abstractNumId w:val="20"/>
  </w:num>
  <w:num w:numId="17">
    <w:abstractNumId w:val="21"/>
  </w:num>
  <w:num w:numId="18">
    <w:abstractNumId w:val="32"/>
  </w:num>
  <w:num w:numId="19">
    <w:abstractNumId w:val="8"/>
  </w:num>
  <w:num w:numId="20">
    <w:abstractNumId w:val="24"/>
  </w:num>
  <w:num w:numId="21">
    <w:abstractNumId w:val="1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9"/>
  </w:num>
  <w:num w:numId="25">
    <w:abstractNumId w:val="2"/>
  </w:num>
  <w:num w:numId="26">
    <w:abstractNumId w:val="3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num>
  <w:num w:numId="30">
    <w:abstractNumId w:val="13"/>
  </w:num>
  <w:num w:numId="31">
    <w:abstractNumId w:val="27"/>
  </w:num>
  <w:num w:numId="32">
    <w:abstractNumId w:val="18"/>
  </w:num>
  <w:num w:numId="33">
    <w:abstractNumId w:val="15"/>
  </w:num>
  <w:num w:numId="34">
    <w:abstractNumId w:val="22"/>
  </w:num>
  <w:num w:numId="35">
    <w:abstractNumId w:val="3"/>
  </w:num>
  <w:num w:numId="36">
    <w:abstractNumId w:val="34"/>
  </w:num>
  <w:num w:numId="37">
    <w:abstractNumId w:val="29"/>
  </w:num>
  <w:num w:numId="38">
    <w:abstractNumId w:val="17"/>
  </w:num>
  <w:num w:numId="39">
    <w:abstractNumId w:val="7"/>
  </w:num>
  <w:num w:numId="40">
    <w:abstractNumId w:val="14"/>
  </w:num>
  <w:num w:numId="41">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97EEB33-21A5-4735-A47C-CCA22D4BB701"/>
    <w:docVar w:name="LW_COVERPAGE_TYPE" w:val="1"/>
    <w:docVar w:name="LW_CROSSREFERENCE" w:val="{COM(2022) 495 final} - {SEC(2022) 343 final} - {SWD(2022) 315 final} - {SWD(2022) 317 final}"/>
    <w:docVar w:name="LW_DocType" w:val="NORMAL"/>
    <w:docVar w:name="LW_EMISSION" w:val="28.9.2022"/>
    <w:docVar w:name="LW_EMISSION_ISODATE" w:val="2022-09-28"/>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liability for defective products_x000d__x000d__x000d__x000b__x000d__x000d__x000d__x000d__x000b_"/>
    <w:docVar w:name="LW_PART_NBR" w:val="1"/>
    <w:docVar w:name="LW_PART_NBR_TOTAL" w:val="1"/>
    <w:docVar w:name="LW_REF.INST.NEW" w:val="SWD"/>
    <w:docVar w:name="LW_REF.INST.NEW_ADOPTED" w:val="final"/>
    <w:docVar w:name="LW_REF.INST.NEW_TEXT" w:val="(2022)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Proposal for a Directive of the European Parliament and of the Council"/>
    <w:docVar w:name="LwApiVersions" w:val="LW4CoDe 1.23.2.0; LW 8.0, Build 20211117"/>
  </w:docVars>
  <w:rsids>
    <w:rsidRoot w:val="006B087E"/>
    <w:rsid w:val="000000CA"/>
    <w:rsid w:val="000009AE"/>
    <w:rsid w:val="00000BEB"/>
    <w:rsid w:val="00001ED3"/>
    <w:rsid w:val="00002B9C"/>
    <w:rsid w:val="0000317E"/>
    <w:rsid w:val="00004137"/>
    <w:rsid w:val="00004677"/>
    <w:rsid w:val="000055BF"/>
    <w:rsid w:val="00005A34"/>
    <w:rsid w:val="00005F04"/>
    <w:rsid w:val="00006715"/>
    <w:rsid w:val="000073D2"/>
    <w:rsid w:val="000079E7"/>
    <w:rsid w:val="00007AAC"/>
    <w:rsid w:val="00007B20"/>
    <w:rsid w:val="00007CCD"/>
    <w:rsid w:val="0001000F"/>
    <w:rsid w:val="000104DF"/>
    <w:rsid w:val="000107C4"/>
    <w:rsid w:val="00010AB5"/>
    <w:rsid w:val="00010AE9"/>
    <w:rsid w:val="00010F98"/>
    <w:rsid w:val="000111E4"/>
    <w:rsid w:val="00011391"/>
    <w:rsid w:val="000113A8"/>
    <w:rsid w:val="00011C4D"/>
    <w:rsid w:val="00011EE3"/>
    <w:rsid w:val="00012861"/>
    <w:rsid w:val="00013EA6"/>
    <w:rsid w:val="000145AC"/>
    <w:rsid w:val="000149D3"/>
    <w:rsid w:val="00014EA0"/>
    <w:rsid w:val="00015863"/>
    <w:rsid w:val="00016538"/>
    <w:rsid w:val="00022192"/>
    <w:rsid w:val="00023478"/>
    <w:rsid w:val="00023AEB"/>
    <w:rsid w:val="00023E1D"/>
    <w:rsid w:val="000248B3"/>
    <w:rsid w:val="00024FA3"/>
    <w:rsid w:val="00026373"/>
    <w:rsid w:val="00027370"/>
    <w:rsid w:val="0003039A"/>
    <w:rsid w:val="00030C20"/>
    <w:rsid w:val="000319E1"/>
    <w:rsid w:val="00032C7C"/>
    <w:rsid w:val="00033045"/>
    <w:rsid w:val="000334DA"/>
    <w:rsid w:val="00034E91"/>
    <w:rsid w:val="00035660"/>
    <w:rsid w:val="00035704"/>
    <w:rsid w:val="00035779"/>
    <w:rsid w:val="0003584C"/>
    <w:rsid w:val="00035D4B"/>
    <w:rsid w:val="0003735C"/>
    <w:rsid w:val="00040415"/>
    <w:rsid w:val="00041401"/>
    <w:rsid w:val="00041631"/>
    <w:rsid w:val="00041938"/>
    <w:rsid w:val="00041BB4"/>
    <w:rsid w:val="00041CEE"/>
    <w:rsid w:val="00041EB3"/>
    <w:rsid w:val="00042167"/>
    <w:rsid w:val="00042224"/>
    <w:rsid w:val="00042DE6"/>
    <w:rsid w:val="0004477D"/>
    <w:rsid w:val="0004534C"/>
    <w:rsid w:val="0004548D"/>
    <w:rsid w:val="00045779"/>
    <w:rsid w:val="00046C2B"/>
    <w:rsid w:val="00046E1C"/>
    <w:rsid w:val="0004791A"/>
    <w:rsid w:val="00047CDF"/>
    <w:rsid w:val="000504A3"/>
    <w:rsid w:val="00050527"/>
    <w:rsid w:val="00050697"/>
    <w:rsid w:val="00050A63"/>
    <w:rsid w:val="00051412"/>
    <w:rsid w:val="0005142F"/>
    <w:rsid w:val="00051A85"/>
    <w:rsid w:val="00051AA9"/>
    <w:rsid w:val="00052708"/>
    <w:rsid w:val="00052C33"/>
    <w:rsid w:val="00053391"/>
    <w:rsid w:val="00053411"/>
    <w:rsid w:val="000544D7"/>
    <w:rsid w:val="000547EB"/>
    <w:rsid w:val="00054A09"/>
    <w:rsid w:val="00056474"/>
    <w:rsid w:val="00056CC8"/>
    <w:rsid w:val="00056FB1"/>
    <w:rsid w:val="0005722D"/>
    <w:rsid w:val="0005789D"/>
    <w:rsid w:val="00057ADB"/>
    <w:rsid w:val="00060050"/>
    <w:rsid w:val="000601AF"/>
    <w:rsid w:val="000601D4"/>
    <w:rsid w:val="00060DA8"/>
    <w:rsid w:val="00060E84"/>
    <w:rsid w:val="00061A5B"/>
    <w:rsid w:val="00061B88"/>
    <w:rsid w:val="00061CE3"/>
    <w:rsid w:val="00062B46"/>
    <w:rsid w:val="00062CE4"/>
    <w:rsid w:val="000634FE"/>
    <w:rsid w:val="000635D1"/>
    <w:rsid w:val="00063B2A"/>
    <w:rsid w:val="00063E23"/>
    <w:rsid w:val="00063FE8"/>
    <w:rsid w:val="000640ED"/>
    <w:rsid w:val="000644A7"/>
    <w:rsid w:val="0006544D"/>
    <w:rsid w:val="00065577"/>
    <w:rsid w:val="00065CAA"/>
    <w:rsid w:val="00065D9C"/>
    <w:rsid w:val="00065F8B"/>
    <w:rsid w:val="00065FDF"/>
    <w:rsid w:val="00066102"/>
    <w:rsid w:val="00066952"/>
    <w:rsid w:val="000669A6"/>
    <w:rsid w:val="000671A2"/>
    <w:rsid w:val="000673D3"/>
    <w:rsid w:val="000674A5"/>
    <w:rsid w:val="000674DD"/>
    <w:rsid w:val="000700A6"/>
    <w:rsid w:val="00070898"/>
    <w:rsid w:val="000712E0"/>
    <w:rsid w:val="00071B5B"/>
    <w:rsid w:val="00071BD2"/>
    <w:rsid w:val="0007253F"/>
    <w:rsid w:val="000728DC"/>
    <w:rsid w:val="00073CA7"/>
    <w:rsid w:val="00074CE7"/>
    <w:rsid w:val="000755C6"/>
    <w:rsid w:val="00075F34"/>
    <w:rsid w:val="00075FEC"/>
    <w:rsid w:val="000762C1"/>
    <w:rsid w:val="00076689"/>
    <w:rsid w:val="00076E6E"/>
    <w:rsid w:val="00077043"/>
    <w:rsid w:val="00077220"/>
    <w:rsid w:val="00077A22"/>
    <w:rsid w:val="00077CFF"/>
    <w:rsid w:val="00077E72"/>
    <w:rsid w:val="00080222"/>
    <w:rsid w:val="0008092A"/>
    <w:rsid w:val="00080AE8"/>
    <w:rsid w:val="00080DE6"/>
    <w:rsid w:val="00080F01"/>
    <w:rsid w:val="00081299"/>
    <w:rsid w:val="000816A8"/>
    <w:rsid w:val="00082D47"/>
    <w:rsid w:val="0008309A"/>
    <w:rsid w:val="00083369"/>
    <w:rsid w:val="00083EF9"/>
    <w:rsid w:val="00083FCC"/>
    <w:rsid w:val="000847BF"/>
    <w:rsid w:val="00085030"/>
    <w:rsid w:val="00085A93"/>
    <w:rsid w:val="000867BA"/>
    <w:rsid w:val="00086F2E"/>
    <w:rsid w:val="000874A1"/>
    <w:rsid w:val="00087C5B"/>
    <w:rsid w:val="00087D20"/>
    <w:rsid w:val="0009055F"/>
    <w:rsid w:val="00090A7E"/>
    <w:rsid w:val="00090AC9"/>
    <w:rsid w:val="000911A0"/>
    <w:rsid w:val="000913DF"/>
    <w:rsid w:val="00091454"/>
    <w:rsid w:val="0009150A"/>
    <w:rsid w:val="0009166F"/>
    <w:rsid w:val="00092B31"/>
    <w:rsid w:val="000932A5"/>
    <w:rsid w:val="000936D4"/>
    <w:rsid w:val="0009389A"/>
    <w:rsid w:val="00093FEB"/>
    <w:rsid w:val="000946F5"/>
    <w:rsid w:val="00094776"/>
    <w:rsid w:val="00094F37"/>
    <w:rsid w:val="0009594E"/>
    <w:rsid w:val="000959B2"/>
    <w:rsid w:val="00096675"/>
    <w:rsid w:val="0009699C"/>
    <w:rsid w:val="00096FEC"/>
    <w:rsid w:val="00097C28"/>
    <w:rsid w:val="00097D47"/>
    <w:rsid w:val="00097F85"/>
    <w:rsid w:val="000A0322"/>
    <w:rsid w:val="000A0397"/>
    <w:rsid w:val="000A0A76"/>
    <w:rsid w:val="000A0A8D"/>
    <w:rsid w:val="000A0F76"/>
    <w:rsid w:val="000A2317"/>
    <w:rsid w:val="000A2A4F"/>
    <w:rsid w:val="000A36E9"/>
    <w:rsid w:val="000A37E7"/>
    <w:rsid w:val="000A3D33"/>
    <w:rsid w:val="000A4099"/>
    <w:rsid w:val="000A44BF"/>
    <w:rsid w:val="000A4665"/>
    <w:rsid w:val="000A48BF"/>
    <w:rsid w:val="000A4BB3"/>
    <w:rsid w:val="000A61F1"/>
    <w:rsid w:val="000A7756"/>
    <w:rsid w:val="000B05EA"/>
    <w:rsid w:val="000B06C7"/>
    <w:rsid w:val="000B0A2A"/>
    <w:rsid w:val="000B14A7"/>
    <w:rsid w:val="000B15E4"/>
    <w:rsid w:val="000B170F"/>
    <w:rsid w:val="000B1FEF"/>
    <w:rsid w:val="000B2392"/>
    <w:rsid w:val="000B2459"/>
    <w:rsid w:val="000B31CD"/>
    <w:rsid w:val="000B43E4"/>
    <w:rsid w:val="000B48C0"/>
    <w:rsid w:val="000B4B66"/>
    <w:rsid w:val="000B500B"/>
    <w:rsid w:val="000B6280"/>
    <w:rsid w:val="000B75CC"/>
    <w:rsid w:val="000B789F"/>
    <w:rsid w:val="000B7A0A"/>
    <w:rsid w:val="000C0931"/>
    <w:rsid w:val="000C0FE2"/>
    <w:rsid w:val="000C1659"/>
    <w:rsid w:val="000C1ABE"/>
    <w:rsid w:val="000C1ADF"/>
    <w:rsid w:val="000C32E0"/>
    <w:rsid w:val="000C395B"/>
    <w:rsid w:val="000C3AD5"/>
    <w:rsid w:val="000C3E6E"/>
    <w:rsid w:val="000C4024"/>
    <w:rsid w:val="000C405E"/>
    <w:rsid w:val="000C4A03"/>
    <w:rsid w:val="000C50EE"/>
    <w:rsid w:val="000C5202"/>
    <w:rsid w:val="000C54EA"/>
    <w:rsid w:val="000C6BF3"/>
    <w:rsid w:val="000C6E35"/>
    <w:rsid w:val="000C72C1"/>
    <w:rsid w:val="000C7357"/>
    <w:rsid w:val="000C7F11"/>
    <w:rsid w:val="000D0E80"/>
    <w:rsid w:val="000D18BA"/>
    <w:rsid w:val="000D1999"/>
    <w:rsid w:val="000D1EED"/>
    <w:rsid w:val="000D21DF"/>
    <w:rsid w:val="000D21EA"/>
    <w:rsid w:val="000D2440"/>
    <w:rsid w:val="000D259E"/>
    <w:rsid w:val="000D2849"/>
    <w:rsid w:val="000D2A82"/>
    <w:rsid w:val="000D2D2E"/>
    <w:rsid w:val="000D3373"/>
    <w:rsid w:val="000D3708"/>
    <w:rsid w:val="000D3EAB"/>
    <w:rsid w:val="000D5D39"/>
    <w:rsid w:val="000D5F18"/>
    <w:rsid w:val="000D6502"/>
    <w:rsid w:val="000D72BA"/>
    <w:rsid w:val="000E03DF"/>
    <w:rsid w:val="000E112C"/>
    <w:rsid w:val="000E1C26"/>
    <w:rsid w:val="000E38AA"/>
    <w:rsid w:val="000E3DEC"/>
    <w:rsid w:val="000E5333"/>
    <w:rsid w:val="000E58E9"/>
    <w:rsid w:val="000E5DDA"/>
    <w:rsid w:val="000E6126"/>
    <w:rsid w:val="000E6B57"/>
    <w:rsid w:val="000E6B70"/>
    <w:rsid w:val="000E6B94"/>
    <w:rsid w:val="000E6BF9"/>
    <w:rsid w:val="000E6F68"/>
    <w:rsid w:val="000E760A"/>
    <w:rsid w:val="000F0804"/>
    <w:rsid w:val="000F1332"/>
    <w:rsid w:val="000F1778"/>
    <w:rsid w:val="000F29FC"/>
    <w:rsid w:val="000F2A8E"/>
    <w:rsid w:val="000F377C"/>
    <w:rsid w:val="000F3CD1"/>
    <w:rsid w:val="000F3D1A"/>
    <w:rsid w:val="000F4397"/>
    <w:rsid w:val="000F450A"/>
    <w:rsid w:val="000F57C5"/>
    <w:rsid w:val="000F5BA4"/>
    <w:rsid w:val="000F6C30"/>
    <w:rsid w:val="000F6F11"/>
    <w:rsid w:val="00101145"/>
    <w:rsid w:val="00102732"/>
    <w:rsid w:val="0010299F"/>
    <w:rsid w:val="00102FC7"/>
    <w:rsid w:val="00103728"/>
    <w:rsid w:val="00103B68"/>
    <w:rsid w:val="00103FCB"/>
    <w:rsid w:val="001060F1"/>
    <w:rsid w:val="00106FB7"/>
    <w:rsid w:val="001074EA"/>
    <w:rsid w:val="0010799D"/>
    <w:rsid w:val="00107A12"/>
    <w:rsid w:val="00107A73"/>
    <w:rsid w:val="001102E2"/>
    <w:rsid w:val="0011090B"/>
    <w:rsid w:val="001110E9"/>
    <w:rsid w:val="00111393"/>
    <w:rsid w:val="001114F0"/>
    <w:rsid w:val="00112212"/>
    <w:rsid w:val="00112519"/>
    <w:rsid w:val="001129D7"/>
    <w:rsid w:val="00112E8C"/>
    <w:rsid w:val="001130AB"/>
    <w:rsid w:val="001131CE"/>
    <w:rsid w:val="00113F4F"/>
    <w:rsid w:val="00114928"/>
    <w:rsid w:val="001149F5"/>
    <w:rsid w:val="00114ABC"/>
    <w:rsid w:val="001155C4"/>
    <w:rsid w:val="0011642D"/>
    <w:rsid w:val="00116792"/>
    <w:rsid w:val="001173E5"/>
    <w:rsid w:val="00117A67"/>
    <w:rsid w:val="00117DDF"/>
    <w:rsid w:val="00117E2B"/>
    <w:rsid w:val="001203BC"/>
    <w:rsid w:val="00120A60"/>
    <w:rsid w:val="00121A65"/>
    <w:rsid w:val="00122C97"/>
    <w:rsid w:val="00122CBF"/>
    <w:rsid w:val="00122D08"/>
    <w:rsid w:val="00122FC4"/>
    <w:rsid w:val="00123DE0"/>
    <w:rsid w:val="001246FE"/>
    <w:rsid w:val="00124D4C"/>
    <w:rsid w:val="00124EEB"/>
    <w:rsid w:val="001251CE"/>
    <w:rsid w:val="001251EC"/>
    <w:rsid w:val="001257A8"/>
    <w:rsid w:val="00125A2C"/>
    <w:rsid w:val="00126A41"/>
    <w:rsid w:val="00126D97"/>
    <w:rsid w:val="0012700E"/>
    <w:rsid w:val="0012714F"/>
    <w:rsid w:val="0012788E"/>
    <w:rsid w:val="00127A26"/>
    <w:rsid w:val="0013000C"/>
    <w:rsid w:val="00130881"/>
    <w:rsid w:val="00130A11"/>
    <w:rsid w:val="001313F8"/>
    <w:rsid w:val="00131917"/>
    <w:rsid w:val="00132311"/>
    <w:rsid w:val="0013248C"/>
    <w:rsid w:val="001328F2"/>
    <w:rsid w:val="001329A3"/>
    <w:rsid w:val="00133AC1"/>
    <w:rsid w:val="00134189"/>
    <w:rsid w:val="001351FD"/>
    <w:rsid w:val="0013565D"/>
    <w:rsid w:val="0013589E"/>
    <w:rsid w:val="00135924"/>
    <w:rsid w:val="00136C3B"/>
    <w:rsid w:val="00137817"/>
    <w:rsid w:val="00137861"/>
    <w:rsid w:val="00140397"/>
    <w:rsid w:val="001408E0"/>
    <w:rsid w:val="00140D6E"/>
    <w:rsid w:val="00141818"/>
    <w:rsid w:val="0014194C"/>
    <w:rsid w:val="00141CB4"/>
    <w:rsid w:val="0014234E"/>
    <w:rsid w:val="00142907"/>
    <w:rsid w:val="0014301C"/>
    <w:rsid w:val="0014323A"/>
    <w:rsid w:val="00143341"/>
    <w:rsid w:val="001446D4"/>
    <w:rsid w:val="00144C50"/>
    <w:rsid w:val="00146576"/>
    <w:rsid w:val="0014671C"/>
    <w:rsid w:val="00147D56"/>
    <w:rsid w:val="001504D9"/>
    <w:rsid w:val="0015086C"/>
    <w:rsid w:val="00150C16"/>
    <w:rsid w:val="00151208"/>
    <w:rsid w:val="001514F3"/>
    <w:rsid w:val="001530E0"/>
    <w:rsid w:val="0015405E"/>
    <w:rsid w:val="00154116"/>
    <w:rsid w:val="001544FC"/>
    <w:rsid w:val="001545BD"/>
    <w:rsid w:val="001551F6"/>
    <w:rsid w:val="0015522E"/>
    <w:rsid w:val="0015613A"/>
    <w:rsid w:val="00157934"/>
    <w:rsid w:val="00157E1A"/>
    <w:rsid w:val="001607CD"/>
    <w:rsid w:val="0016083C"/>
    <w:rsid w:val="00160B15"/>
    <w:rsid w:val="0016117B"/>
    <w:rsid w:val="00161354"/>
    <w:rsid w:val="001615F8"/>
    <w:rsid w:val="0016260A"/>
    <w:rsid w:val="0016285F"/>
    <w:rsid w:val="00162B1C"/>
    <w:rsid w:val="001634B9"/>
    <w:rsid w:val="00163907"/>
    <w:rsid w:val="0016402B"/>
    <w:rsid w:val="00164CFA"/>
    <w:rsid w:val="00164DAB"/>
    <w:rsid w:val="00165921"/>
    <w:rsid w:val="001660D1"/>
    <w:rsid w:val="0016629A"/>
    <w:rsid w:val="00166916"/>
    <w:rsid w:val="0016793B"/>
    <w:rsid w:val="00170E83"/>
    <w:rsid w:val="0017193B"/>
    <w:rsid w:val="001727FF"/>
    <w:rsid w:val="00172BFE"/>
    <w:rsid w:val="001735B3"/>
    <w:rsid w:val="00174553"/>
    <w:rsid w:val="00174F81"/>
    <w:rsid w:val="00175085"/>
    <w:rsid w:val="00175820"/>
    <w:rsid w:val="00175955"/>
    <w:rsid w:val="00175AFE"/>
    <w:rsid w:val="0017626B"/>
    <w:rsid w:val="001766A7"/>
    <w:rsid w:val="00176836"/>
    <w:rsid w:val="00176A16"/>
    <w:rsid w:val="00176A8D"/>
    <w:rsid w:val="001776B9"/>
    <w:rsid w:val="001777A4"/>
    <w:rsid w:val="00180560"/>
    <w:rsid w:val="00180AF1"/>
    <w:rsid w:val="00181A22"/>
    <w:rsid w:val="00181A9B"/>
    <w:rsid w:val="00181B4B"/>
    <w:rsid w:val="00181B67"/>
    <w:rsid w:val="00182C4B"/>
    <w:rsid w:val="00182F21"/>
    <w:rsid w:val="00183203"/>
    <w:rsid w:val="001838A0"/>
    <w:rsid w:val="00183F4D"/>
    <w:rsid w:val="00184487"/>
    <w:rsid w:val="001852ED"/>
    <w:rsid w:val="00187712"/>
    <w:rsid w:val="00190791"/>
    <w:rsid w:val="00190B99"/>
    <w:rsid w:val="0019130A"/>
    <w:rsid w:val="00191C03"/>
    <w:rsid w:val="00194AAA"/>
    <w:rsid w:val="001953D9"/>
    <w:rsid w:val="00195C8A"/>
    <w:rsid w:val="00195D25"/>
    <w:rsid w:val="001965CF"/>
    <w:rsid w:val="00196729"/>
    <w:rsid w:val="00196FF8"/>
    <w:rsid w:val="00197184"/>
    <w:rsid w:val="0019737A"/>
    <w:rsid w:val="00197B48"/>
    <w:rsid w:val="001A0043"/>
    <w:rsid w:val="001A03D0"/>
    <w:rsid w:val="001A0446"/>
    <w:rsid w:val="001A072F"/>
    <w:rsid w:val="001A161E"/>
    <w:rsid w:val="001A1A28"/>
    <w:rsid w:val="001A1BD3"/>
    <w:rsid w:val="001A2356"/>
    <w:rsid w:val="001A236C"/>
    <w:rsid w:val="001A269B"/>
    <w:rsid w:val="001A2CC5"/>
    <w:rsid w:val="001A3B93"/>
    <w:rsid w:val="001A4403"/>
    <w:rsid w:val="001A577C"/>
    <w:rsid w:val="001A5E11"/>
    <w:rsid w:val="001A6588"/>
    <w:rsid w:val="001A672B"/>
    <w:rsid w:val="001A68C6"/>
    <w:rsid w:val="001A72ED"/>
    <w:rsid w:val="001A75C0"/>
    <w:rsid w:val="001A75E1"/>
    <w:rsid w:val="001B19D2"/>
    <w:rsid w:val="001B1D66"/>
    <w:rsid w:val="001B2A75"/>
    <w:rsid w:val="001B2D3C"/>
    <w:rsid w:val="001B315C"/>
    <w:rsid w:val="001B377D"/>
    <w:rsid w:val="001B42A9"/>
    <w:rsid w:val="001B4471"/>
    <w:rsid w:val="001B4917"/>
    <w:rsid w:val="001B4F99"/>
    <w:rsid w:val="001B4FF6"/>
    <w:rsid w:val="001B59E5"/>
    <w:rsid w:val="001B7AB8"/>
    <w:rsid w:val="001B7BB1"/>
    <w:rsid w:val="001C1CFA"/>
    <w:rsid w:val="001C225B"/>
    <w:rsid w:val="001C3733"/>
    <w:rsid w:val="001C37C0"/>
    <w:rsid w:val="001C3A0B"/>
    <w:rsid w:val="001C3B30"/>
    <w:rsid w:val="001C4EBF"/>
    <w:rsid w:val="001C5197"/>
    <w:rsid w:val="001C56ED"/>
    <w:rsid w:val="001C5938"/>
    <w:rsid w:val="001C5BD6"/>
    <w:rsid w:val="001C698F"/>
    <w:rsid w:val="001C6DD9"/>
    <w:rsid w:val="001C72B7"/>
    <w:rsid w:val="001D01D0"/>
    <w:rsid w:val="001D052F"/>
    <w:rsid w:val="001D0ACE"/>
    <w:rsid w:val="001D0DD2"/>
    <w:rsid w:val="001D10BC"/>
    <w:rsid w:val="001D13A9"/>
    <w:rsid w:val="001D143E"/>
    <w:rsid w:val="001D1F7F"/>
    <w:rsid w:val="001D2B51"/>
    <w:rsid w:val="001D3E8E"/>
    <w:rsid w:val="001D42A9"/>
    <w:rsid w:val="001D47A0"/>
    <w:rsid w:val="001D54D5"/>
    <w:rsid w:val="001D62CF"/>
    <w:rsid w:val="001D6655"/>
    <w:rsid w:val="001D6BF8"/>
    <w:rsid w:val="001D6EC3"/>
    <w:rsid w:val="001D70DF"/>
    <w:rsid w:val="001E0074"/>
    <w:rsid w:val="001E05F3"/>
    <w:rsid w:val="001E0F76"/>
    <w:rsid w:val="001E10ED"/>
    <w:rsid w:val="001E1860"/>
    <w:rsid w:val="001E1DE0"/>
    <w:rsid w:val="001E2441"/>
    <w:rsid w:val="001E2672"/>
    <w:rsid w:val="001E2A32"/>
    <w:rsid w:val="001E35B5"/>
    <w:rsid w:val="001E36DE"/>
    <w:rsid w:val="001E37C1"/>
    <w:rsid w:val="001E423F"/>
    <w:rsid w:val="001E4B02"/>
    <w:rsid w:val="001E54D3"/>
    <w:rsid w:val="001E6007"/>
    <w:rsid w:val="001E6BE4"/>
    <w:rsid w:val="001E6CEB"/>
    <w:rsid w:val="001E72C0"/>
    <w:rsid w:val="001E7EA4"/>
    <w:rsid w:val="001E7EAE"/>
    <w:rsid w:val="001F0339"/>
    <w:rsid w:val="001F057C"/>
    <w:rsid w:val="001F06DA"/>
    <w:rsid w:val="001F0AA0"/>
    <w:rsid w:val="001F1D1A"/>
    <w:rsid w:val="001F20A9"/>
    <w:rsid w:val="001F29C6"/>
    <w:rsid w:val="001F2CF4"/>
    <w:rsid w:val="001F2E21"/>
    <w:rsid w:val="001F3B7F"/>
    <w:rsid w:val="001F3CDA"/>
    <w:rsid w:val="001F4D53"/>
    <w:rsid w:val="001F4FA0"/>
    <w:rsid w:val="001F6215"/>
    <w:rsid w:val="001F6336"/>
    <w:rsid w:val="001F6620"/>
    <w:rsid w:val="001F6795"/>
    <w:rsid w:val="001F799D"/>
    <w:rsid w:val="00200432"/>
    <w:rsid w:val="0020074E"/>
    <w:rsid w:val="002007F2"/>
    <w:rsid w:val="00200D2B"/>
    <w:rsid w:val="0020223E"/>
    <w:rsid w:val="00202482"/>
    <w:rsid w:val="002024F2"/>
    <w:rsid w:val="002025EF"/>
    <w:rsid w:val="00202EB5"/>
    <w:rsid w:val="00203415"/>
    <w:rsid w:val="00204511"/>
    <w:rsid w:val="0020457B"/>
    <w:rsid w:val="00204B75"/>
    <w:rsid w:val="00205862"/>
    <w:rsid w:val="00205A57"/>
    <w:rsid w:val="00205E9A"/>
    <w:rsid w:val="00206C3A"/>
    <w:rsid w:val="00207401"/>
    <w:rsid w:val="002079E3"/>
    <w:rsid w:val="00207B78"/>
    <w:rsid w:val="00210E88"/>
    <w:rsid w:val="00211223"/>
    <w:rsid w:val="002112D4"/>
    <w:rsid w:val="00211ABE"/>
    <w:rsid w:val="0021296D"/>
    <w:rsid w:val="00213603"/>
    <w:rsid w:val="002142AF"/>
    <w:rsid w:val="00214A4B"/>
    <w:rsid w:val="00215BD0"/>
    <w:rsid w:val="00215DBB"/>
    <w:rsid w:val="002176BD"/>
    <w:rsid w:val="00217D56"/>
    <w:rsid w:val="00217E9F"/>
    <w:rsid w:val="00217EB6"/>
    <w:rsid w:val="00217F7D"/>
    <w:rsid w:val="00220C42"/>
    <w:rsid w:val="00220C7B"/>
    <w:rsid w:val="002210FC"/>
    <w:rsid w:val="00221A00"/>
    <w:rsid w:val="00222233"/>
    <w:rsid w:val="002222BB"/>
    <w:rsid w:val="002227ED"/>
    <w:rsid w:val="0022287D"/>
    <w:rsid w:val="002231CD"/>
    <w:rsid w:val="00223583"/>
    <w:rsid w:val="00223B5A"/>
    <w:rsid w:val="00224009"/>
    <w:rsid w:val="00224371"/>
    <w:rsid w:val="0022455D"/>
    <w:rsid w:val="00225051"/>
    <w:rsid w:val="0022542A"/>
    <w:rsid w:val="00225825"/>
    <w:rsid w:val="00226F55"/>
    <w:rsid w:val="00227091"/>
    <w:rsid w:val="0022737F"/>
    <w:rsid w:val="00227C41"/>
    <w:rsid w:val="00227E25"/>
    <w:rsid w:val="00230051"/>
    <w:rsid w:val="00230F29"/>
    <w:rsid w:val="00231C15"/>
    <w:rsid w:val="00231F71"/>
    <w:rsid w:val="0023270A"/>
    <w:rsid w:val="002329E2"/>
    <w:rsid w:val="00232DBF"/>
    <w:rsid w:val="0023316F"/>
    <w:rsid w:val="002338B8"/>
    <w:rsid w:val="002346BB"/>
    <w:rsid w:val="002350D6"/>
    <w:rsid w:val="00235635"/>
    <w:rsid w:val="002359FB"/>
    <w:rsid w:val="00236143"/>
    <w:rsid w:val="00237375"/>
    <w:rsid w:val="0023787A"/>
    <w:rsid w:val="00237C4D"/>
    <w:rsid w:val="002401D0"/>
    <w:rsid w:val="00240764"/>
    <w:rsid w:val="00240C39"/>
    <w:rsid w:val="00240FE0"/>
    <w:rsid w:val="002410C7"/>
    <w:rsid w:val="00242512"/>
    <w:rsid w:val="002428AB"/>
    <w:rsid w:val="00242A23"/>
    <w:rsid w:val="0024445D"/>
    <w:rsid w:val="00244A24"/>
    <w:rsid w:val="00244A63"/>
    <w:rsid w:val="00244DC2"/>
    <w:rsid w:val="00245591"/>
    <w:rsid w:val="00245A45"/>
    <w:rsid w:val="00245B49"/>
    <w:rsid w:val="00247545"/>
    <w:rsid w:val="002500DB"/>
    <w:rsid w:val="00250613"/>
    <w:rsid w:val="00250E38"/>
    <w:rsid w:val="002510C6"/>
    <w:rsid w:val="0025122A"/>
    <w:rsid w:val="00251BF8"/>
    <w:rsid w:val="00251E74"/>
    <w:rsid w:val="00252CB4"/>
    <w:rsid w:val="00253238"/>
    <w:rsid w:val="0025359D"/>
    <w:rsid w:val="002536CD"/>
    <w:rsid w:val="00253701"/>
    <w:rsid w:val="002538ED"/>
    <w:rsid w:val="002538EE"/>
    <w:rsid w:val="00253DC9"/>
    <w:rsid w:val="00254485"/>
    <w:rsid w:val="002551D5"/>
    <w:rsid w:val="00255232"/>
    <w:rsid w:val="00256621"/>
    <w:rsid w:val="002566FC"/>
    <w:rsid w:val="0025699A"/>
    <w:rsid w:val="00256A6A"/>
    <w:rsid w:val="00256BBE"/>
    <w:rsid w:val="00257813"/>
    <w:rsid w:val="00257B73"/>
    <w:rsid w:val="00257BDC"/>
    <w:rsid w:val="002609B3"/>
    <w:rsid w:val="00260AA7"/>
    <w:rsid w:val="002614DC"/>
    <w:rsid w:val="0026159A"/>
    <w:rsid w:val="00261A48"/>
    <w:rsid w:val="00262B71"/>
    <w:rsid w:val="00262ECB"/>
    <w:rsid w:val="00264EF7"/>
    <w:rsid w:val="002654AC"/>
    <w:rsid w:val="00265C83"/>
    <w:rsid w:val="002660AD"/>
    <w:rsid w:val="002675E9"/>
    <w:rsid w:val="0026777E"/>
    <w:rsid w:val="002677D2"/>
    <w:rsid w:val="00267A7D"/>
    <w:rsid w:val="00267F44"/>
    <w:rsid w:val="0027079A"/>
    <w:rsid w:val="00270B94"/>
    <w:rsid w:val="00271249"/>
    <w:rsid w:val="002712C1"/>
    <w:rsid w:val="00272CAE"/>
    <w:rsid w:val="00272EC5"/>
    <w:rsid w:val="002732D6"/>
    <w:rsid w:val="002739EB"/>
    <w:rsid w:val="00274FF2"/>
    <w:rsid w:val="002752F5"/>
    <w:rsid w:val="002756C0"/>
    <w:rsid w:val="002758F8"/>
    <w:rsid w:val="00276019"/>
    <w:rsid w:val="002763CF"/>
    <w:rsid w:val="002771CE"/>
    <w:rsid w:val="00277DBC"/>
    <w:rsid w:val="00277DCB"/>
    <w:rsid w:val="00280944"/>
    <w:rsid w:val="00280A1B"/>
    <w:rsid w:val="00280E67"/>
    <w:rsid w:val="0028106E"/>
    <w:rsid w:val="00281D0E"/>
    <w:rsid w:val="002822D6"/>
    <w:rsid w:val="00282BB6"/>
    <w:rsid w:val="00282C7C"/>
    <w:rsid w:val="0028317D"/>
    <w:rsid w:val="002834F7"/>
    <w:rsid w:val="002839EF"/>
    <w:rsid w:val="00283A39"/>
    <w:rsid w:val="00283E68"/>
    <w:rsid w:val="002841DA"/>
    <w:rsid w:val="00284428"/>
    <w:rsid w:val="00284DAE"/>
    <w:rsid w:val="002851A1"/>
    <w:rsid w:val="002859C1"/>
    <w:rsid w:val="00285AED"/>
    <w:rsid w:val="002873DC"/>
    <w:rsid w:val="002877D2"/>
    <w:rsid w:val="00287CBA"/>
    <w:rsid w:val="00290470"/>
    <w:rsid w:val="00290EF9"/>
    <w:rsid w:val="0029135E"/>
    <w:rsid w:val="00291C83"/>
    <w:rsid w:val="00291F57"/>
    <w:rsid w:val="002929B0"/>
    <w:rsid w:val="00293577"/>
    <w:rsid w:val="0029361B"/>
    <w:rsid w:val="0029383F"/>
    <w:rsid w:val="00293A96"/>
    <w:rsid w:val="002951C8"/>
    <w:rsid w:val="00295A1C"/>
    <w:rsid w:val="002961D4"/>
    <w:rsid w:val="002967E6"/>
    <w:rsid w:val="00297DAC"/>
    <w:rsid w:val="002A04B6"/>
    <w:rsid w:val="002A0DBB"/>
    <w:rsid w:val="002A1B43"/>
    <w:rsid w:val="002A2141"/>
    <w:rsid w:val="002A29D9"/>
    <w:rsid w:val="002A3C7F"/>
    <w:rsid w:val="002A3D98"/>
    <w:rsid w:val="002A4360"/>
    <w:rsid w:val="002A4483"/>
    <w:rsid w:val="002A4B66"/>
    <w:rsid w:val="002A5804"/>
    <w:rsid w:val="002A5C1C"/>
    <w:rsid w:val="002A6280"/>
    <w:rsid w:val="002A6360"/>
    <w:rsid w:val="002A64E2"/>
    <w:rsid w:val="002A69AC"/>
    <w:rsid w:val="002A79B8"/>
    <w:rsid w:val="002A7E44"/>
    <w:rsid w:val="002B0A1F"/>
    <w:rsid w:val="002B0CC7"/>
    <w:rsid w:val="002B1402"/>
    <w:rsid w:val="002B14B1"/>
    <w:rsid w:val="002B167C"/>
    <w:rsid w:val="002B2B43"/>
    <w:rsid w:val="002B313D"/>
    <w:rsid w:val="002B351D"/>
    <w:rsid w:val="002B4001"/>
    <w:rsid w:val="002B410A"/>
    <w:rsid w:val="002B4709"/>
    <w:rsid w:val="002B4F5B"/>
    <w:rsid w:val="002B598B"/>
    <w:rsid w:val="002B5DB4"/>
    <w:rsid w:val="002B6211"/>
    <w:rsid w:val="002B68C3"/>
    <w:rsid w:val="002B6A45"/>
    <w:rsid w:val="002B785F"/>
    <w:rsid w:val="002C029A"/>
    <w:rsid w:val="002C0A4F"/>
    <w:rsid w:val="002C1980"/>
    <w:rsid w:val="002C1E0F"/>
    <w:rsid w:val="002C3288"/>
    <w:rsid w:val="002C4B3E"/>
    <w:rsid w:val="002C570F"/>
    <w:rsid w:val="002C5F98"/>
    <w:rsid w:val="002C6026"/>
    <w:rsid w:val="002C659F"/>
    <w:rsid w:val="002C6959"/>
    <w:rsid w:val="002C78AE"/>
    <w:rsid w:val="002C7CFD"/>
    <w:rsid w:val="002C7F14"/>
    <w:rsid w:val="002D18B6"/>
    <w:rsid w:val="002D1A1A"/>
    <w:rsid w:val="002D2453"/>
    <w:rsid w:val="002D281D"/>
    <w:rsid w:val="002D2924"/>
    <w:rsid w:val="002D2E08"/>
    <w:rsid w:val="002D2F1A"/>
    <w:rsid w:val="002D350C"/>
    <w:rsid w:val="002D3791"/>
    <w:rsid w:val="002D3BCC"/>
    <w:rsid w:val="002D3BE3"/>
    <w:rsid w:val="002D5258"/>
    <w:rsid w:val="002D53F9"/>
    <w:rsid w:val="002D5666"/>
    <w:rsid w:val="002D576B"/>
    <w:rsid w:val="002D5777"/>
    <w:rsid w:val="002D57CF"/>
    <w:rsid w:val="002D789A"/>
    <w:rsid w:val="002D7E58"/>
    <w:rsid w:val="002D7E9F"/>
    <w:rsid w:val="002E002F"/>
    <w:rsid w:val="002E0452"/>
    <w:rsid w:val="002E0A85"/>
    <w:rsid w:val="002E0BBD"/>
    <w:rsid w:val="002E194F"/>
    <w:rsid w:val="002E1BC2"/>
    <w:rsid w:val="002E25E0"/>
    <w:rsid w:val="002E290E"/>
    <w:rsid w:val="002E3679"/>
    <w:rsid w:val="002E37A5"/>
    <w:rsid w:val="002E3DD8"/>
    <w:rsid w:val="002E42BA"/>
    <w:rsid w:val="002E4D60"/>
    <w:rsid w:val="002E556B"/>
    <w:rsid w:val="002E56C2"/>
    <w:rsid w:val="002E57A6"/>
    <w:rsid w:val="002E6999"/>
    <w:rsid w:val="002E6C14"/>
    <w:rsid w:val="002E6DF0"/>
    <w:rsid w:val="002E7420"/>
    <w:rsid w:val="002E7937"/>
    <w:rsid w:val="002F0BC5"/>
    <w:rsid w:val="002F16D4"/>
    <w:rsid w:val="002F2257"/>
    <w:rsid w:val="002F329F"/>
    <w:rsid w:val="002F37EA"/>
    <w:rsid w:val="002F44AD"/>
    <w:rsid w:val="002F4DD3"/>
    <w:rsid w:val="002F5A51"/>
    <w:rsid w:val="002F5D90"/>
    <w:rsid w:val="002F5F39"/>
    <w:rsid w:val="002F6B8F"/>
    <w:rsid w:val="002F707C"/>
    <w:rsid w:val="002F712F"/>
    <w:rsid w:val="002F7143"/>
    <w:rsid w:val="002F7267"/>
    <w:rsid w:val="002F7533"/>
    <w:rsid w:val="002F7835"/>
    <w:rsid w:val="002F7BB1"/>
    <w:rsid w:val="003008FD"/>
    <w:rsid w:val="00300B1F"/>
    <w:rsid w:val="00301820"/>
    <w:rsid w:val="00301BAF"/>
    <w:rsid w:val="00301EF7"/>
    <w:rsid w:val="003025E0"/>
    <w:rsid w:val="00302DB7"/>
    <w:rsid w:val="0030306F"/>
    <w:rsid w:val="00303078"/>
    <w:rsid w:val="003030ED"/>
    <w:rsid w:val="00303ADF"/>
    <w:rsid w:val="003044CA"/>
    <w:rsid w:val="00305218"/>
    <w:rsid w:val="00305C89"/>
    <w:rsid w:val="003065F5"/>
    <w:rsid w:val="003072F7"/>
    <w:rsid w:val="00307E9D"/>
    <w:rsid w:val="00310CA8"/>
    <w:rsid w:val="00310F75"/>
    <w:rsid w:val="0031124D"/>
    <w:rsid w:val="00311A50"/>
    <w:rsid w:val="00312EC4"/>
    <w:rsid w:val="0031343F"/>
    <w:rsid w:val="0031476C"/>
    <w:rsid w:val="003149DC"/>
    <w:rsid w:val="0031522B"/>
    <w:rsid w:val="003152D1"/>
    <w:rsid w:val="0031607D"/>
    <w:rsid w:val="0031621B"/>
    <w:rsid w:val="00316896"/>
    <w:rsid w:val="003172FF"/>
    <w:rsid w:val="00317F41"/>
    <w:rsid w:val="003204E3"/>
    <w:rsid w:val="00320634"/>
    <w:rsid w:val="00320AF5"/>
    <w:rsid w:val="00320C04"/>
    <w:rsid w:val="003213C8"/>
    <w:rsid w:val="00321418"/>
    <w:rsid w:val="003216A0"/>
    <w:rsid w:val="00322749"/>
    <w:rsid w:val="003240E4"/>
    <w:rsid w:val="00324BD7"/>
    <w:rsid w:val="00325153"/>
    <w:rsid w:val="00325D05"/>
    <w:rsid w:val="00326133"/>
    <w:rsid w:val="00326646"/>
    <w:rsid w:val="00326B28"/>
    <w:rsid w:val="00330C02"/>
    <w:rsid w:val="00330C97"/>
    <w:rsid w:val="003310D3"/>
    <w:rsid w:val="003317DD"/>
    <w:rsid w:val="003317F2"/>
    <w:rsid w:val="00332340"/>
    <w:rsid w:val="0033248A"/>
    <w:rsid w:val="003324A1"/>
    <w:rsid w:val="00332B10"/>
    <w:rsid w:val="003332D3"/>
    <w:rsid w:val="003345CB"/>
    <w:rsid w:val="00335C60"/>
    <w:rsid w:val="00335EC1"/>
    <w:rsid w:val="003360CA"/>
    <w:rsid w:val="00336CC3"/>
    <w:rsid w:val="00337344"/>
    <w:rsid w:val="003379C5"/>
    <w:rsid w:val="00340042"/>
    <w:rsid w:val="003407F2"/>
    <w:rsid w:val="003412FB"/>
    <w:rsid w:val="003416E6"/>
    <w:rsid w:val="00341889"/>
    <w:rsid w:val="003418D0"/>
    <w:rsid w:val="00341966"/>
    <w:rsid w:val="00342351"/>
    <w:rsid w:val="0034262E"/>
    <w:rsid w:val="00342988"/>
    <w:rsid w:val="00342C40"/>
    <w:rsid w:val="00342CA1"/>
    <w:rsid w:val="00342D59"/>
    <w:rsid w:val="0034379E"/>
    <w:rsid w:val="00343F75"/>
    <w:rsid w:val="00343FA0"/>
    <w:rsid w:val="0034455B"/>
    <w:rsid w:val="00344998"/>
    <w:rsid w:val="00344E46"/>
    <w:rsid w:val="00347138"/>
    <w:rsid w:val="00347433"/>
    <w:rsid w:val="003477D9"/>
    <w:rsid w:val="0035034F"/>
    <w:rsid w:val="00350505"/>
    <w:rsid w:val="00350507"/>
    <w:rsid w:val="003507E7"/>
    <w:rsid w:val="00351A17"/>
    <w:rsid w:val="00351EAD"/>
    <w:rsid w:val="003528F6"/>
    <w:rsid w:val="00352BC7"/>
    <w:rsid w:val="00353D57"/>
    <w:rsid w:val="00355107"/>
    <w:rsid w:val="003562D1"/>
    <w:rsid w:val="00356363"/>
    <w:rsid w:val="00357083"/>
    <w:rsid w:val="0035733C"/>
    <w:rsid w:val="00357C7A"/>
    <w:rsid w:val="00357F3A"/>
    <w:rsid w:val="003608A4"/>
    <w:rsid w:val="0036122F"/>
    <w:rsid w:val="00361423"/>
    <w:rsid w:val="00361453"/>
    <w:rsid w:val="003614F9"/>
    <w:rsid w:val="0036154F"/>
    <w:rsid w:val="0036210D"/>
    <w:rsid w:val="00362352"/>
    <w:rsid w:val="003624B9"/>
    <w:rsid w:val="0036284E"/>
    <w:rsid w:val="00362E5F"/>
    <w:rsid w:val="003643F7"/>
    <w:rsid w:val="0036449A"/>
    <w:rsid w:val="003644DB"/>
    <w:rsid w:val="0036490F"/>
    <w:rsid w:val="003660C7"/>
    <w:rsid w:val="00366D88"/>
    <w:rsid w:val="00367936"/>
    <w:rsid w:val="003679A6"/>
    <w:rsid w:val="00367A88"/>
    <w:rsid w:val="00370394"/>
    <w:rsid w:val="00370460"/>
    <w:rsid w:val="00371506"/>
    <w:rsid w:val="00371586"/>
    <w:rsid w:val="00371E05"/>
    <w:rsid w:val="00371FE9"/>
    <w:rsid w:val="003726AD"/>
    <w:rsid w:val="00372A08"/>
    <w:rsid w:val="00373ACC"/>
    <w:rsid w:val="00373CE7"/>
    <w:rsid w:val="00373E8D"/>
    <w:rsid w:val="00374246"/>
    <w:rsid w:val="00374CE0"/>
    <w:rsid w:val="00374F87"/>
    <w:rsid w:val="00375384"/>
    <w:rsid w:val="00375556"/>
    <w:rsid w:val="00375ADB"/>
    <w:rsid w:val="00375DC7"/>
    <w:rsid w:val="00375F47"/>
    <w:rsid w:val="00377416"/>
    <w:rsid w:val="00377A5E"/>
    <w:rsid w:val="00377B42"/>
    <w:rsid w:val="003802CC"/>
    <w:rsid w:val="00380857"/>
    <w:rsid w:val="003808C6"/>
    <w:rsid w:val="003817F4"/>
    <w:rsid w:val="003818C6"/>
    <w:rsid w:val="00381DD5"/>
    <w:rsid w:val="00382AB6"/>
    <w:rsid w:val="003836BC"/>
    <w:rsid w:val="00383A2F"/>
    <w:rsid w:val="00383D64"/>
    <w:rsid w:val="00383E57"/>
    <w:rsid w:val="00384B3C"/>
    <w:rsid w:val="00385086"/>
    <w:rsid w:val="0038596F"/>
    <w:rsid w:val="003859FE"/>
    <w:rsid w:val="00386362"/>
    <w:rsid w:val="0038637B"/>
    <w:rsid w:val="003867C4"/>
    <w:rsid w:val="00386BA8"/>
    <w:rsid w:val="00387231"/>
    <w:rsid w:val="00387B39"/>
    <w:rsid w:val="00387F9B"/>
    <w:rsid w:val="003903A0"/>
    <w:rsid w:val="0039076E"/>
    <w:rsid w:val="00390F80"/>
    <w:rsid w:val="0039114B"/>
    <w:rsid w:val="00391375"/>
    <w:rsid w:val="00391665"/>
    <w:rsid w:val="003919AB"/>
    <w:rsid w:val="00391B7A"/>
    <w:rsid w:val="00392D7C"/>
    <w:rsid w:val="00392DEA"/>
    <w:rsid w:val="00392E28"/>
    <w:rsid w:val="003942BE"/>
    <w:rsid w:val="003948CA"/>
    <w:rsid w:val="003948FB"/>
    <w:rsid w:val="00394D52"/>
    <w:rsid w:val="00395342"/>
    <w:rsid w:val="00395D37"/>
    <w:rsid w:val="003960E8"/>
    <w:rsid w:val="003970D4"/>
    <w:rsid w:val="003971DF"/>
    <w:rsid w:val="00397204"/>
    <w:rsid w:val="00397458"/>
    <w:rsid w:val="003979F9"/>
    <w:rsid w:val="003A004E"/>
    <w:rsid w:val="003A0889"/>
    <w:rsid w:val="003A0CD8"/>
    <w:rsid w:val="003A0FD4"/>
    <w:rsid w:val="003A1306"/>
    <w:rsid w:val="003A1C09"/>
    <w:rsid w:val="003A2CBA"/>
    <w:rsid w:val="003A32FD"/>
    <w:rsid w:val="003A41B3"/>
    <w:rsid w:val="003A4622"/>
    <w:rsid w:val="003A4D47"/>
    <w:rsid w:val="003A4D77"/>
    <w:rsid w:val="003A5339"/>
    <w:rsid w:val="003A586D"/>
    <w:rsid w:val="003A5BE6"/>
    <w:rsid w:val="003A5E5E"/>
    <w:rsid w:val="003A618B"/>
    <w:rsid w:val="003A61AF"/>
    <w:rsid w:val="003A6218"/>
    <w:rsid w:val="003A679F"/>
    <w:rsid w:val="003A6AEE"/>
    <w:rsid w:val="003A7E63"/>
    <w:rsid w:val="003B03E0"/>
    <w:rsid w:val="003B0CDB"/>
    <w:rsid w:val="003B0D75"/>
    <w:rsid w:val="003B0EFF"/>
    <w:rsid w:val="003B11D4"/>
    <w:rsid w:val="003B17E3"/>
    <w:rsid w:val="003B18C1"/>
    <w:rsid w:val="003B1D14"/>
    <w:rsid w:val="003B1E77"/>
    <w:rsid w:val="003B25D9"/>
    <w:rsid w:val="003B2682"/>
    <w:rsid w:val="003B351C"/>
    <w:rsid w:val="003B38DE"/>
    <w:rsid w:val="003B3EB0"/>
    <w:rsid w:val="003B4669"/>
    <w:rsid w:val="003B562B"/>
    <w:rsid w:val="003B5893"/>
    <w:rsid w:val="003B624A"/>
    <w:rsid w:val="003B6780"/>
    <w:rsid w:val="003B735C"/>
    <w:rsid w:val="003C057A"/>
    <w:rsid w:val="003C08E8"/>
    <w:rsid w:val="003C13C6"/>
    <w:rsid w:val="003C1513"/>
    <w:rsid w:val="003C2C8A"/>
    <w:rsid w:val="003C2E5D"/>
    <w:rsid w:val="003C3109"/>
    <w:rsid w:val="003C4408"/>
    <w:rsid w:val="003C4595"/>
    <w:rsid w:val="003C47C1"/>
    <w:rsid w:val="003C51F9"/>
    <w:rsid w:val="003C5B87"/>
    <w:rsid w:val="003C5CCB"/>
    <w:rsid w:val="003C619B"/>
    <w:rsid w:val="003C6251"/>
    <w:rsid w:val="003C6D3B"/>
    <w:rsid w:val="003C6F88"/>
    <w:rsid w:val="003C7131"/>
    <w:rsid w:val="003C7933"/>
    <w:rsid w:val="003C79A7"/>
    <w:rsid w:val="003D01CF"/>
    <w:rsid w:val="003D03AB"/>
    <w:rsid w:val="003D077D"/>
    <w:rsid w:val="003D1333"/>
    <w:rsid w:val="003D1C0B"/>
    <w:rsid w:val="003D23BC"/>
    <w:rsid w:val="003D3168"/>
    <w:rsid w:val="003D35B4"/>
    <w:rsid w:val="003D4EFE"/>
    <w:rsid w:val="003D542A"/>
    <w:rsid w:val="003D71F6"/>
    <w:rsid w:val="003D7331"/>
    <w:rsid w:val="003D7688"/>
    <w:rsid w:val="003D794B"/>
    <w:rsid w:val="003D7A66"/>
    <w:rsid w:val="003E0354"/>
    <w:rsid w:val="003E0E8B"/>
    <w:rsid w:val="003E1594"/>
    <w:rsid w:val="003E3562"/>
    <w:rsid w:val="003E48E9"/>
    <w:rsid w:val="003E4C44"/>
    <w:rsid w:val="003E5711"/>
    <w:rsid w:val="003E5BBC"/>
    <w:rsid w:val="003E5FB1"/>
    <w:rsid w:val="003E6062"/>
    <w:rsid w:val="003E789D"/>
    <w:rsid w:val="003E793D"/>
    <w:rsid w:val="003E7BC7"/>
    <w:rsid w:val="003F0133"/>
    <w:rsid w:val="003F01BB"/>
    <w:rsid w:val="003F0677"/>
    <w:rsid w:val="003F230E"/>
    <w:rsid w:val="003F242E"/>
    <w:rsid w:val="003F2F13"/>
    <w:rsid w:val="003F3228"/>
    <w:rsid w:val="003F3B23"/>
    <w:rsid w:val="003F3BA0"/>
    <w:rsid w:val="003F4259"/>
    <w:rsid w:val="003F4611"/>
    <w:rsid w:val="003F548B"/>
    <w:rsid w:val="003F55C7"/>
    <w:rsid w:val="003F59A8"/>
    <w:rsid w:val="003F626D"/>
    <w:rsid w:val="003F693F"/>
    <w:rsid w:val="003F6DAD"/>
    <w:rsid w:val="003F7055"/>
    <w:rsid w:val="003F70CC"/>
    <w:rsid w:val="003F7456"/>
    <w:rsid w:val="003F7594"/>
    <w:rsid w:val="003F76DF"/>
    <w:rsid w:val="004002D5"/>
    <w:rsid w:val="00400522"/>
    <w:rsid w:val="00400CD6"/>
    <w:rsid w:val="00401222"/>
    <w:rsid w:val="00401ECC"/>
    <w:rsid w:val="004022E4"/>
    <w:rsid w:val="00402404"/>
    <w:rsid w:val="004027BD"/>
    <w:rsid w:val="00402BF3"/>
    <w:rsid w:val="00402CDB"/>
    <w:rsid w:val="00402D93"/>
    <w:rsid w:val="00402F6A"/>
    <w:rsid w:val="00403FB1"/>
    <w:rsid w:val="004042F3"/>
    <w:rsid w:val="00404384"/>
    <w:rsid w:val="004043F5"/>
    <w:rsid w:val="00404B5C"/>
    <w:rsid w:val="00404CBB"/>
    <w:rsid w:val="00405012"/>
    <w:rsid w:val="004053AA"/>
    <w:rsid w:val="00405985"/>
    <w:rsid w:val="00406CE0"/>
    <w:rsid w:val="00407205"/>
    <w:rsid w:val="00407FDB"/>
    <w:rsid w:val="00410961"/>
    <w:rsid w:val="00410B46"/>
    <w:rsid w:val="004117FA"/>
    <w:rsid w:val="00411F62"/>
    <w:rsid w:val="004126F7"/>
    <w:rsid w:val="0041274C"/>
    <w:rsid w:val="00412E69"/>
    <w:rsid w:val="004138FE"/>
    <w:rsid w:val="00414087"/>
    <w:rsid w:val="004142D5"/>
    <w:rsid w:val="004143FA"/>
    <w:rsid w:val="00414848"/>
    <w:rsid w:val="0041508B"/>
    <w:rsid w:val="00415612"/>
    <w:rsid w:val="004207A3"/>
    <w:rsid w:val="00421989"/>
    <w:rsid w:val="00422609"/>
    <w:rsid w:val="00422A2F"/>
    <w:rsid w:val="00422AD2"/>
    <w:rsid w:val="0042392D"/>
    <w:rsid w:val="004248F0"/>
    <w:rsid w:val="00424DB6"/>
    <w:rsid w:val="00425473"/>
    <w:rsid w:val="00425E7D"/>
    <w:rsid w:val="0042660F"/>
    <w:rsid w:val="00427002"/>
    <w:rsid w:val="00427405"/>
    <w:rsid w:val="004305AF"/>
    <w:rsid w:val="004308F2"/>
    <w:rsid w:val="00430E88"/>
    <w:rsid w:val="004313A6"/>
    <w:rsid w:val="0043177D"/>
    <w:rsid w:val="00431D90"/>
    <w:rsid w:val="00431E5B"/>
    <w:rsid w:val="00432398"/>
    <w:rsid w:val="0043257E"/>
    <w:rsid w:val="0043299F"/>
    <w:rsid w:val="00432D6C"/>
    <w:rsid w:val="004343FE"/>
    <w:rsid w:val="00434995"/>
    <w:rsid w:val="00434B93"/>
    <w:rsid w:val="00435662"/>
    <w:rsid w:val="004359EB"/>
    <w:rsid w:val="00435F94"/>
    <w:rsid w:val="00437249"/>
    <w:rsid w:val="004379BC"/>
    <w:rsid w:val="00440595"/>
    <w:rsid w:val="0044131A"/>
    <w:rsid w:val="0044165E"/>
    <w:rsid w:val="00441B30"/>
    <w:rsid w:val="004426FF"/>
    <w:rsid w:val="00442850"/>
    <w:rsid w:val="004428A9"/>
    <w:rsid w:val="00442AD5"/>
    <w:rsid w:val="00442B8F"/>
    <w:rsid w:val="004430B4"/>
    <w:rsid w:val="004438CE"/>
    <w:rsid w:val="00443AFE"/>
    <w:rsid w:val="004442FD"/>
    <w:rsid w:val="004446CD"/>
    <w:rsid w:val="00444DEE"/>
    <w:rsid w:val="00444F18"/>
    <w:rsid w:val="004453A7"/>
    <w:rsid w:val="004455A4"/>
    <w:rsid w:val="004458C4"/>
    <w:rsid w:val="00447494"/>
    <w:rsid w:val="004476DD"/>
    <w:rsid w:val="00447C32"/>
    <w:rsid w:val="00447FE6"/>
    <w:rsid w:val="00450030"/>
    <w:rsid w:val="00450E76"/>
    <w:rsid w:val="004511CF"/>
    <w:rsid w:val="004515E2"/>
    <w:rsid w:val="00452532"/>
    <w:rsid w:val="004531BB"/>
    <w:rsid w:val="00453FD9"/>
    <w:rsid w:val="0045405A"/>
    <w:rsid w:val="00454070"/>
    <w:rsid w:val="004546C3"/>
    <w:rsid w:val="00455A47"/>
    <w:rsid w:val="00455B83"/>
    <w:rsid w:val="00456B1C"/>
    <w:rsid w:val="00457E45"/>
    <w:rsid w:val="004601A1"/>
    <w:rsid w:val="0046183C"/>
    <w:rsid w:val="00461BAD"/>
    <w:rsid w:val="00461EE5"/>
    <w:rsid w:val="004631E9"/>
    <w:rsid w:val="004635D0"/>
    <w:rsid w:val="00463BC5"/>
    <w:rsid w:val="00463F13"/>
    <w:rsid w:val="00465925"/>
    <w:rsid w:val="00465E89"/>
    <w:rsid w:val="004664C7"/>
    <w:rsid w:val="00466583"/>
    <w:rsid w:val="004668B2"/>
    <w:rsid w:val="00466D26"/>
    <w:rsid w:val="00466E8F"/>
    <w:rsid w:val="0046733D"/>
    <w:rsid w:val="004673C3"/>
    <w:rsid w:val="004674B3"/>
    <w:rsid w:val="00467DF3"/>
    <w:rsid w:val="004706DB"/>
    <w:rsid w:val="00471164"/>
    <w:rsid w:val="00471669"/>
    <w:rsid w:val="00471BC5"/>
    <w:rsid w:val="00471F21"/>
    <w:rsid w:val="00472A43"/>
    <w:rsid w:val="00472BBB"/>
    <w:rsid w:val="0047368C"/>
    <w:rsid w:val="00473D9B"/>
    <w:rsid w:val="0047447F"/>
    <w:rsid w:val="00474CDB"/>
    <w:rsid w:val="00474D90"/>
    <w:rsid w:val="00475403"/>
    <w:rsid w:val="00475992"/>
    <w:rsid w:val="00475A1D"/>
    <w:rsid w:val="00476855"/>
    <w:rsid w:val="00476A11"/>
    <w:rsid w:val="00476CA6"/>
    <w:rsid w:val="00477660"/>
    <w:rsid w:val="00477B4E"/>
    <w:rsid w:val="00481865"/>
    <w:rsid w:val="00481BCA"/>
    <w:rsid w:val="0048256F"/>
    <w:rsid w:val="004825A9"/>
    <w:rsid w:val="00482A0E"/>
    <w:rsid w:val="0048395A"/>
    <w:rsid w:val="00483DF4"/>
    <w:rsid w:val="0048417E"/>
    <w:rsid w:val="00484265"/>
    <w:rsid w:val="0048467D"/>
    <w:rsid w:val="00484C31"/>
    <w:rsid w:val="00484FD2"/>
    <w:rsid w:val="004850BF"/>
    <w:rsid w:val="004863BC"/>
    <w:rsid w:val="00486B8D"/>
    <w:rsid w:val="004901B9"/>
    <w:rsid w:val="004908EC"/>
    <w:rsid w:val="00490A36"/>
    <w:rsid w:val="00490C77"/>
    <w:rsid w:val="00490D7D"/>
    <w:rsid w:val="00490F5D"/>
    <w:rsid w:val="00491243"/>
    <w:rsid w:val="00491530"/>
    <w:rsid w:val="0049177D"/>
    <w:rsid w:val="00491A8A"/>
    <w:rsid w:val="00491D72"/>
    <w:rsid w:val="004936EB"/>
    <w:rsid w:val="0049424D"/>
    <w:rsid w:val="00494612"/>
    <w:rsid w:val="0049495E"/>
    <w:rsid w:val="00494A70"/>
    <w:rsid w:val="004959AA"/>
    <w:rsid w:val="00496222"/>
    <w:rsid w:val="004969D6"/>
    <w:rsid w:val="00496A43"/>
    <w:rsid w:val="00496C01"/>
    <w:rsid w:val="00496F44"/>
    <w:rsid w:val="00497708"/>
    <w:rsid w:val="00497BB5"/>
    <w:rsid w:val="004A078B"/>
    <w:rsid w:val="004A082C"/>
    <w:rsid w:val="004A098C"/>
    <w:rsid w:val="004A18B6"/>
    <w:rsid w:val="004A1C53"/>
    <w:rsid w:val="004A25D3"/>
    <w:rsid w:val="004A35F2"/>
    <w:rsid w:val="004A3C31"/>
    <w:rsid w:val="004A3D20"/>
    <w:rsid w:val="004A42FF"/>
    <w:rsid w:val="004A43B5"/>
    <w:rsid w:val="004A4E63"/>
    <w:rsid w:val="004A5208"/>
    <w:rsid w:val="004A52F5"/>
    <w:rsid w:val="004A53B9"/>
    <w:rsid w:val="004A553E"/>
    <w:rsid w:val="004A566B"/>
    <w:rsid w:val="004A5BA0"/>
    <w:rsid w:val="004A608E"/>
    <w:rsid w:val="004A63F8"/>
    <w:rsid w:val="004A7C9D"/>
    <w:rsid w:val="004A7F9F"/>
    <w:rsid w:val="004B0C9F"/>
    <w:rsid w:val="004B10CF"/>
    <w:rsid w:val="004B1287"/>
    <w:rsid w:val="004B13CF"/>
    <w:rsid w:val="004B1788"/>
    <w:rsid w:val="004B1935"/>
    <w:rsid w:val="004B1AFE"/>
    <w:rsid w:val="004B1CB8"/>
    <w:rsid w:val="004B29F8"/>
    <w:rsid w:val="004B2C3D"/>
    <w:rsid w:val="004B2CA7"/>
    <w:rsid w:val="004B3650"/>
    <w:rsid w:val="004B4554"/>
    <w:rsid w:val="004B4A8D"/>
    <w:rsid w:val="004B6AE8"/>
    <w:rsid w:val="004B754A"/>
    <w:rsid w:val="004B78D9"/>
    <w:rsid w:val="004B794B"/>
    <w:rsid w:val="004C0B11"/>
    <w:rsid w:val="004C0F29"/>
    <w:rsid w:val="004C17A4"/>
    <w:rsid w:val="004C27A8"/>
    <w:rsid w:val="004C2B3F"/>
    <w:rsid w:val="004C333D"/>
    <w:rsid w:val="004C4C62"/>
    <w:rsid w:val="004C6776"/>
    <w:rsid w:val="004C6A0C"/>
    <w:rsid w:val="004C6E2A"/>
    <w:rsid w:val="004C7198"/>
    <w:rsid w:val="004C7B81"/>
    <w:rsid w:val="004D00B3"/>
    <w:rsid w:val="004D0300"/>
    <w:rsid w:val="004D034C"/>
    <w:rsid w:val="004D09E6"/>
    <w:rsid w:val="004D0EB5"/>
    <w:rsid w:val="004D0F8A"/>
    <w:rsid w:val="004D10B1"/>
    <w:rsid w:val="004D147B"/>
    <w:rsid w:val="004D18D4"/>
    <w:rsid w:val="004D2017"/>
    <w:rsid w:val="004D24B5"/>
    <w:rsid w:val="004D2845"/>
    <w:rsid w:val="004D28D9"/>
    <w:rsid w:val="004D31F1"/>
    <w:rsid w:val="004D3357"/>
    <w:rsid w:val="004D3DB7"/>
    <w:rsid w:val="004D4508"/>
    <w:rsid w:val="004D5E5D"/>
    <w:rsid w:val="004D657B"/>
    <w:rsid w:val="004D743F"/>
    <w:rsid w:val="004D7CB3"/>
    <w:rsid w:val="004D7F24"/>
    <w:rsid w:val="004D7FB3"/>
    <w:rsid w:val="004E0013"/>
    <w:rsid w:val="004E0910"/>
    <w:rsid w:val="004E0B4C"/>
    <w:rsid w:val="004E0E23"/>
    <w:rsid w:val="004E0F5B"/>
    <w:rsid w:val="004E17AE"/>
    <w:rsid w:val="004E183D"/>
    <w:rsid w:val="004E270D"/>
    <w:rsid w:val="004E2BE3"/>
    <w:rsid w:val="004E2DD5"/>
    <w:rsid w:val="004E37BC"/>
    <w:rsid w:val="004E3C8E"/>
    <w:rsid w:val="004E3DE5"/>
    <w:rsid w:val="004E407C"/>
    <w:rsid w:val="004E4D82"/>
    <w:rsid w:val="004E54F3"/>
    <w:rsid w:val="004E5C59"/>
    <w:rsid w:val="004E60DC"/>
    <w:rsid w:val="004E6390"/>
    <w:rsid w:val="004E6556"/>
    <w:rsid w:val="004E746B"/>
    <w:rsid w:val="004E796A"/>
    <w:rsid w:val="004F0AB2"/>
    <w:rsid w:val="004F0BBB"/>
    <w:rsid w:val="004F0DA2"/>
    <w:rsid w:val="004F1020"/>
    <w:rsid w:val="004F149E"/>
    <w:rsid w:val="004F14E2"/>
    <w:rsid w:val="004F240A"/>
    <w:rsid w:val="004F375E"/>
    <w:rsid w:val="004F3A2A"/>
    <w:rsid w:val="004F3C27"/>
    <w:rsid w:val="004F48D2"/>
    <w:rsid w:val="004F5834"/>
    <w:rsid w:val="004F5B2B"/>
    <w:rsid w:val="004F61F0"/>
    <w:rsid w:val="004F6682"/>
    <w:rsid w:val="004F6AF0"/>
    <w:rsid w:val="004F6E4C"/>
    <w:rsid w:val="004F7029"/>
    <w:rsid w:val="004F74B1"/>
    <w:rsid w:val="005000E4"/>
    <w:rsid w:val="00500112"/>
    <w:rsid w:val="00500979"/>
    <w:rsid w:val="00501996"/>
    <w:rsid w:val="00501CD2"/>
    <w:rsid w:val="0050219D"/>
    <w:rsid w:val="00502546"/>
    <w:rsid w:val="00502B9E"/>
    <w:rsid w:val="00502FC6"/>
    <w:rsid w:val="00503523"/>
    <w:rsid w:val="00503997"/>
    <w:rsid w:val="00504073"/>
    <w:rsid w:val="005043B2"/>
    <w:rsid w:val="005048A2"/>
    <w:rsid w:val="00504F48"/>
    <w:rsid w:val="00505009"/>
    <w:rsid w:val="00505B16"/>
    <w:rsid w:val="00506092"/>
    <w:rsid w:val="005069F4"/>
    <w:rsid w:val="00507A1E"/>
    <w:rsid w:val="00510203"/>
    <w:rsid w:val="005104B3"/>
    <w:rsid w:val="005119BD"/>
    <w:rsid w:val="00511F1B"/>
    <w:rsid w:val="00511F52"/>
    <w:rsid w:val="00512567"/>
    <w:rsid w:val="0051285B"/>
    <w:rsid w:val="00512A3C"/>
    <w:rsid w:val="00513AFA"/>
    <w:rsid w:val="005142DE"/>
    <w:rsid w:val="005145C2"/>
    <w:rsid w:val="00514A73"/>
    <w:rsid w:val="00515859"/>
    <w:rsid w:val="005167A2"/>
    <w:rsid w:val="00516F1B"/>
    <w:rsid w:val="00517382"/>
    <w:rsid w:val="0051739F"/>
    <w:rsid w:val="00517DF6"/>
    <w:rsid w:val="005200A7"/>
    <w:rsid w:val="00520281"/>
    <w:rsid w:val="00520F6F"/>
    <w:rsid w:val="00521278"/>
    <w:rsid w:val="005212D7"/>
    <w:rsid w:val="00521577"/>
    <w:rsid w:val="005240EB"/>
    <w:rsid w:val="005245FD"/>
    <w:rsid w:val="00524A96"/>
    <w:rsid w:val="00524D92"/>
    <w:rsid w:val="00527215"/>
    <w:rsid w:val="00527329"/>
    <w:rsid w:val="00527627"/>
    <w:rsid w:val="00527CDB"/>
    <w:rsid w:val="0053036B"/>
    <w:rsid w:val="00530F7B"/>
    <w:rsid w:val="005310C0"/>
    <w:rsid w:val="0053135A"/>
    <w:rsid w:val="0053166D"/>
    <w:rsid w:val="0053224A"/>
    <w:rsid w:val="00532616"/>
    <w:rsid w:val="005329FD"/>
    <w:rsid w:val="00533806"/>
    <w:rsid w:val="00534C19"/>
    <w:rsid w:val="00536399"/>
    <w:rsid w:val="005367F6"/>
    <w:rsid w:val="00536A77"/>
    <w:rsid w:val="00536C6D"/>
    <w:rsid w:val="00536D2F"/>
    <w:rsid w:val="005374A8"/>
    <w:rsid w:val="00537A7E"/>
    <w:rsid w:val="005414C3"/>
    <w:rsid w:val="00542988"/>
    <w:rsid w:val="00543673"/>
    <w:rsid w:val="0054383A"/>
    <w:rsid w:val="00544A01"/>
    <w:rsid w:val="00544CFB"/>
    <w:rsid w:val="00544D8B"/>
    <w:rsid w:val="005453C6"/>
    <w:rsid w:val="0054581C"/>
    <w:rsid w:val="00545BAB"/>
    <w:rsid w:val="00545EF8"/>
    <w:rsid w:val="00546D99"/>
    <w:rsid w:val="005478C8"/>
    <w:rsid w:val="00550EC0"/>
    <w:rsid w:val="00551198"/>
    <w:rsid w:val="005511C4"/>
    <w:rsid w:val="00551CB7"/>
    <w:rsid w:val="00551CC4"/>
    <w:rsid w:val="0055301B"/>
    <w:rsid w:val="0055317F"/>
    <w:rsid w:val="005532EA"/>
    <w:rsid w:val="0055385D"/>
    <w:rsid w:val="00553E7B"/>
    <w:rsid w:val="00554D4A"/>
    <w:rsid w:val="00554EBD"/>
    <w:rsid w:val="005559F4"/>
    <w:rsid w:val="00556C84"/>
    <w:rsid w:val="00557AD4"/>
    <w:rsid w:val="00557CE0"/>
    <w:rsid w:val="00560380"/>
    <w:rsid w:val="005603E4"/>
    <w:rsid w:val="005612F9"/>
    <w:rsid w:val="00562232"/>
    <w:rsid w:val="00562643"/>
    <w:rsid w:val="00562852"/>
    <w:rsid w:val="005634AE"/>
    <w:rsid w:val="0056391D"/>
    <w:rsid w:val="00563E17"/>
    <w:rsid w:val="00563E66"/>
    <w:rsid w:val="00563F8B"/>
    <w:rsid w:val="0056468C"/>
    <w:rsid w:val="005647AC"/>
    <w:rsid w:val="005649AF"/>
    <w:rsid w:val="00564A5B"/>
    <w:rsid w:val="0056515B"/>
    <w:rsid w:val="005658B2"/>
    <w:rsid w:val="005658E5"/>
    <w:rsid w:val="005659DE"/>
    <w:rsid w:val="00565BCA"/>
    <w:rsid w:val="00565E57"/>
    <w:rsid w:val="00566000"/>
    <w:rsid w:val="0056617B"/>
    <w:rsid w:val="00566E6A"/>
    <w:rsid w:val="0056740A"/>
    <w:rsid w:val="00567560"/>
    <w:rsid w:val="00567877"/>
    <w:rsid w:val="00570183"/>
    <w:rsid w:val="0057021F"/>
    <w:rsid w:val="005707E5"/>
    <w:rsid w:val="005708D8"/>
    <w:rsid w:val="00570963"/>
    <w:rsid w:val="00570CAF"/>
    <w:rsid w:val="00572D04"/>
    <w:rsid w:val="00573119"/>
    <w:rsid w:val="00573683"/>
    <w:rsid w:val="0057398C"/>
    <w:rsid w:val="00574E51"/>
    <w:rsid w:val="00575045"/>
    <w:rsid w:val="00575A76"/>
    <w:rsid w:val="005762A8"/>
    <w:rsid w:val="0057653B"/>
    <w:rsid w:val="005769A9"/>
    <w:rsid w:val="0057721D"/>
    <w:rsid w:val="005804C6"/>
    <w:rsid w:val="00580C15"/>
    <w:rsid w:val="00580DFC"/>
    <w:rsid w:val="00580E3C"/>
    <w:rsid w:val="00580E41"/>
    <w:rsid w:val="00581129"/>
    <w:rsid w:val="005813A3"/>
    <w:rsid w:val="00581873"/>
    <w:rsid w:val="00581E31"/>
    <w:rsid w:val="0058228A"/>
    <w:rsid w:val="005822FA"/>
    <w:rsid w:val="00582311"/>
    <w:rsid w:val="00582673"/>
    <w:rsid w:val="0058364E"/>
    <w:rsid w:val="00584B1A"/>
    <w:rsid w:val="00584BE9"/>
    <w:rsid w:val="0058541C"/>
    <w:rsid w:val="005857CD"/>
    <w:rsid w:val="005911DC"/>
    <w:rsid w:val="005914AE"/>
    <w:rsid w:val="005914F3"/>
    <w:rsid w:val="005919A8"/>
    <w:rsid w:val="00591CF3"/>
    <w:rsid w:val="00592031"/>
    <w:rsid w:val="0059206F"/>
    <w:rsid w:val="00592156"/>
    <w:rsid w:val="00592224"/>
    <w:rsid w:val="00592EF6"/>
    <w:rsid w:val="00593465"/>
    <w:rsid w:val="0059425A"/>
    <w:rsid w:val="005949FE"/>
    <w:rsid w:val="00594ACA"/>
    <w:rsid w:val="00594B24"/>
    <w:rsid w:val="005953DC"/>
    <w:rsid w:val="00595C8C"/>
    <w:rsid w:val="00596D52"/>
    <w:rsid w:val="00597A0F"/>
    <w:rsid w:val="00597FFB"/>
    <w:rsid w:val="005A080C"/>
    <w:rsid w:val="005A1793"/>
    <w:rsid w:val="005A277B"/>
    <w:rsid w:val="005A2E34"/>
    <w:rsid w:val="005A3181"/>
    <w:rsid w:val="005A350B"/>
    <w:rsid w:val="005A3A1C"/>
    <w:rsid w:val="005A3A42"/>
    <w:rsid w:val="005A3AC9"/>
    <w:rsid w:val="005A3B02"/>
    <w:rsid w:val="005A61B8"/>
    <w:rsid w:val="005A6A58"/>
    <w:rsid w:val="005A70AB"/>
    <w:rsid w:val="005A70B1"/>
    <w:rsid w:val="005A7644"/>
    <w:rsid w:val="005A7927"/>
    <w:rsid w:val="005A7C97"/>
    <w:rsid w:val="005A7F3F"/>
    <w:rsid w:val="005B0211"/>
    <w:rsid w:val="005B0249"/>
    <w:rsid w:val="005B14E6"/>
    <w:rsid w:val="005B1B25"/>
    <w:rsid w:val="005B220F"/>
    <w:rsid w:val="005B266C"/>
    <w:rsid w:val="005B2672"/>
    <w:rsid w:val="005B3809"/>
    <w:rsid w:val="005B41C4"/>
    <w:rsid w:val="005B48E6"/>
    <w:rsid w:val="005B502B"/>
    <w:rsid w:val="005B554C"/>
    <w:rsid w:val="005B677E"/>
    <w:rsid w:val="005B6972"/>
    <w:rsid w:val="005B6FFD"/>
    <w:rsid w:val="005B7094"/>
    <w:rsid w:val="005B7EE1"/>
    <w:rsid w:val="005C03C0"/>
    <w:rsid w:val="005C0ED4"/>
    <w:rsid w:val="005C1582"/>
    <w:rsid w:val="005C1A6E"/>
    <w:rsid w:val="005C1F29"/>
    <w:rsid w:val="005C21B3"/>
    <w:rsid w:val="005C2445"/>
    <w:rsid w:val="005C28D4"/>
    <w:rsid w:val="005C38C1"/>
    <w:rsid w:val="005C3940"/>
    <w:rsid w:val="005C3DF2"/>
    <w:rsid w:val="005C4CDC"/>
    <w:rsid w:val="005C62BC"/>
    <w:rsid w:val="005C7A50"/>
    <w:rsid w:val="005D0191"/>
    <w:rsid w:val="005D03E8"/>
    <w:rsid w:val="005D0425"/>
    <w:rsid w:val="005D0577"/>
    <w:rsid w:val="005D0A45"/>
    <w:rsid w:val="005D111C"/>
    <w:rsid w:val="005D11D2"/>
    <w:rsid w:val="005D1949"/>
    <w:rsid w:val="005D1C10"/>
    <w:rsid w:val="005D2176"/>
    <w:rsid w:val="005D2250"/>
    <w:rsid w:val="005D253F"/>
    <w:rsid w:val="005D2748"/>
    <w:rsid w:val="005D283E"/>
    <w:rsid w:val="005D2C9D"/>
    <w:rsid w:val="005D2E6C"/>
    <w:rsid w:val="005D34B3"/>
    <w:rsid w:val="005D3600"/>
    <w:rsid w:val="005D39E2"/>
    <w:rsid w:val="005D4F81"/>
    <w:rsid w:val="005D544D"/>
    <w:rsid w:val="005D58BA"/>
    <w:rsid w:val="005D6B00"/>
    <w:rsid w:val="005D6C0D"/>
    <w:rsid w:val="005D6D6E"/>
    <w:rsid w:val="005D7249"/>
    <w:rsid w:val="005E042D"/>
    <w:rsid w:val="005E0B97"/>
    <w:rsid w:val="005E1895"/>
    <w:rsid w:val="005E270C"/>
    <w:rsid w:val="005E30A2"/>
    <w:rsid w:val="005E329F"/>
    <w:rsid w:val="005E32D4"/>
    <w:rsid w:val="005E381C"/>
    <w:rsid w:val="005E3A99"/>
    <w:rsid w:val="005E3C83"/>
    <w:rsid w:val="005E4822"/>
    <w:rsid w:val="005E4E02"/>
    <w:rsid w:val="005E574D"/>
    <w:rsid w:val="005E5B40"/>
    <w:rsid w:val="005E7033"/>
    <w:rsid w:val="005E78FC"/>
    <w:rsid w:val="005F0277"/>
    <w:rsid w:val="005F0A91"/>
    <w:rsid w:val="005F2048"/>
    <w:rsid w:val="005F2333"/>
    <w:rsid w:val="005F25FB"/>
    <w:rsid w:val="005F27E5"/>
    <w:rsid w:val="005F2D72"/>
    <w:rsid w:val="005F366D"/>
    <w:rsid w:val="005F3898"/>
    <w:rsid w:val="005F3968"/>
    <w:rsid w:val="005F3981"/>
    <w:rsid w:val="005F52EB"/>
    <w:rsid w:val="005F5368"/>
    <w:rsid w:val="005F5CBE"/>
    <w:rsid w:val="005F627E"/>
    <w:rsid w:val="005F6AE9"/>
    <w:rsid w:val="005F7576"/>
    <w:rsid w:val="005F7946"/>
    <w:rsid w:val="005F7A6B"/>
    <w:rsid w:val="00600C29"/>
    <w:rsid w:val="00600F71"/>
    <w:rsid w:val="00600FDC"/>
    <w:rsid w:val="00601231"/>
    <w:rsid w:val="0060262D"/>
    <w:rsid w:val="00602C2A"/>
    <w:rsid w:val="00603067"/>
    <w:rsid w:val="00603F66"/>
    <w:rsid w:val="0060406A"/>
    <w:rsid w:val="006045F3"/>
    <w:rsid w:val="006047C2"/>
    <w:rsid w:val="00605187"/>
    <w:rsid w:val="00605A0B"/>
    <w:rsid w:val="00605FD7"/>
    <w:rsid w:val="00606195"/>
    <w:rsid w:val="00606331"/>
    <w:rsid w:val="00606361"/>
    <w:rsid w:val="00606AA4"/>
    <w:rsid w:val="00606B9E"/>
    <w:rsid w:val="0060708A"/>
    <w:rsid w:val="00607BA7"/>
    <w:rsid w:val="00610352"/>
    <w:rsid w:val="00610518"/>
    <w:rsid w:val="00610695"/>
    <w:rsid w:val="006111C5"/>
    <w:rsid w:val="0061121A"/>
    <w:rsid w:val="00611407"/>
    <w:rsid w:val="00612AEE"/>
    <w:rsid w:val="00612CB4"/>
    <w:rsid w:val="00612DA6"/>
    <w:rsid w:val="00612F28"/>
    <w:rsid w:val="006136E0"/>
    <w:rsid w:val="00613B2D"/>
    <w:rsid w:val="00613D03"/>
    <w:rsid w:val="00614117"/>
    <w:rsid w:val="0061421A"/>
    <w:rsid w:val="00614567"/>
    <w:rsid w:val="0061551E"/>
    <w:rsid w:val="00615A92"/>
    <w:rsid w:val="0061648D"/>
    <w:rsid w:val="00616543"/>
    <w:rsid w:val="006168DC"/>
    <w:rsid w:val="00616BF6"/>
    <w:rsid w:val="00616D5E"/>
    <w:rsid w:val="0061719E"/>
    <w:rsid w:val="00617715"/>
    <w:rsid w:val="0061784D"/>
    <w:rsid w:val="006179C4"/>
    <w:rsid w:val="0062002F"/>
    <w:rsid w:val="006202F1"/>
    <w:rsid w:val="0062062B"/>
    <w:rsid w:val="0062085A"/>
    <w:rsid w:val="006217F8"/>
    <w:rsid w:val="006219C3"/>
    <w:rsid w:val="00621D2E"/>
    <w:rsid w:val="0062209B"/>
    <w:rsid w:val="006222A4"/>
    <w:rsid w:val="00622F5B"/>
    <w:rsid w:val="00623B91"/>
    <w:rsid w:val="006246DB"/>
    <w:rsid w:val="00624C1A"/>
    <w:rsid w:val="00625F11"/>
    <w:rsid w:val="0062647D"/>
    <w:rsid w:val="00627D1D"/>
    <w:rsid w:val="00627E50"/>
    <w:rsid w:val="0063014C"/>
    <w:rsid w:val="0063037A"/>
    <w:rsid w:val="0063171C"/>
    <w:rsid w:val="0063197A"/>
    <w:rsid w:val="00631B49"/>
    <w:rsid w:val="00632469"/>
    <w:rsid w:val="0063252C"/>
    <w:rsid w:val="0063377B"/>
    <w:rsid w:val="006339E8"/>
    <w:rsid w:val="00633A1D"/>
    <w:rsid w:val="00633B6F"/>
    <w:rsid w:val="006340C2"/>
    <w:rsid w:val="00634545"/>
    <w:rsid w:val="00634902"/>
    <w:rsid w:val="00634A24"/>
    <w:rsid w:val="006351C8"/>
    <w:rsid w:val="00635600"/>
    <w:rsid w:val="00635FFC"/>
    <w:rsid w:val="006362DC"/>
    <w:rsid w:val="006363D4"/>
    <w:rsid w:val="00636D4A"/>
    <w:rsid w:val="006378A3"/>
    <w:rsid w:val="00637AF9"/>
    <w:rsid w:val="00637F1E"/>
    <w:rsid w:val="00640BC5"/>
    <w:rsid w:val="00640E24"/>
    <w:rsid w:val="006411AA"/>
    <w:rsid w:val="006413B5"/>
    <w:rsid w:val="006424B1"/>
    <w:rsid w:val="00642952"/>
    <w:rsid w:val="0064332E"/>
    <w:rsid w:val="006434F9"/>
    <w:rsid w:val="00643A74"/>
    <w:rsid w:val="00644094"/>
    <w:rsid w:val="006444E7"/>
    <w:rsid w:val="006446B8"/>
    <w:rsid w:val="0064488A"/>
    <w:rsid w:val="0064500E"/>
    <w:rsid w:val="00645013"/>
    <w:rsid w:val="0064589E"/>
    <w:rsid w:val="00645E0F"/>
    <w:rsid w:val="00647600"/>
    <w:rsid w:val="00650022"/>
    <w:rsid w:val="006502EB"/>
    <w:rsid w:val="006507FC"/>
    <w:rsid w:val="00650F99"/>
    <w:rsid w:val="00651198"/>
    <w:rsid w:val="00651E1E"/>
    <w:rsid w:val="00652A19"/>
    <w:rsid w:val="00652B56"/>
    <w:rsid w:val="00653092"/>
    <w:rsid w:val="00653F70"/>
    <w:rsid w:val="006555FB"/>
    <w:rsid w:val="006564A9"/>
    <w:rsid w:val="00660328"/>
    <w:rsid w:val="00660394"/>
    <w:rsid w:val="006607DD"/>
    <w:rsid w:val="00660F5E"/>
    <w:rsid w:val="00661626"/>
    <w:rsid w:val="006618CD"/>
    <w:rsid w:val="00662361"/>
    <w:rsid w:val="006627FF"/>
    <w:rsid w:val="00662996"/>
    <w:rsid w:val="006629FE"/>
    <w:rsid w:val="00662FC7"/>
    <w:rsid w:val="00663B31"/>
    <w:rsid w:val="00664561"/>
    <w:rsid w:val="00664589"/>
    <w:rsid w:val="006645CE"/>
    <w:rsid w:val="00664EB5"/>
    <w:rsid w:val="00665403"/>
    <w:rsid w:val="00665915"/>
    <w:rsid w:val="00665F80"/>
    <w:rsid w:val="00666701"/>
    <w:rsid w:val="0066672D"/>
    <w:rsid w:val="00667283"/>
    <w:rsid w:val="00667E11"/>
    <w:rsid w:val="00667F7B"/>
    <w:rsid w:val="0067067E"/>
    <w:rsid w:val="00671675"/>
    <w:rsid w:val="00672257"/>
    <w:rsid w:val="006737BE"/>
    <w:rsid w:val="00675A9E"/>
    <w:rsid w:val="00675F34"/>
    <w:rsid w:val="00676440"/>
    <w:rsid w:val="00676FAF"/>
    <w:rsid w:val="006771DE"/>
    <w:rsid w:val="00677F50"/>
    <w:rsid w:val="00680317"/>
    <w:rsid w:val="00680ADA"/>
    <w:rsid w:val="00680C4D"/>
    <w:rsid w:val="0068100F"/>
    <w:rsid w:val="006812A5"/>
    <w:rsid w:val="006829EA"/>
    <w:rsid w:val="006836FC"/>
    <w:rsid w:val="00683F23"/>
    <w:rsid w:val="00684179"/>
    <w:rsid w:val="00684D43"/>
    <w:rsid w:val="006859E0"/>
    <w:rsid w:val="00685CC8"/>
    <w:rsid w:val="00690E66"/>
    <w:rsid w:val="00690F0C"/>
    <w:rsid w:val="006910D4"/>
    <w:rsid w:val="00691260"/>
    <w:rsid w:val="00691E76"/>
    <w:rsid w:val="006922BD"/>
    <w:rsid w:val="00692714"/>
    <w:rsid w:val="00695130"/>
    <w:rsid w:val="00695543"/>
    <w:rsid w:val="00696093"/>
    <w:rsid w:val="006960E8"/>
    <w:rsid w:val="00696A8B"/>
    <w:rsid w:val="00696C1F"/>
    <w:rsid w:val="006970EF"/>
    <w:rsid w:val="00697D16"/>
    <w:rsid w:val="006A1DCA"/>
    <w:rsid w:val="006A3096"/>
    <w:rsid w:val="006A33F7"/>
    <w:rsid w:val="006A3627"/>
    <w:rsid w:val="006A3E56"/>
    <w:rsid w:val="006A47D4"/>
    <w:rsid w:val="006A6032"/>
    <w:rsid w:val="006A624F"/>
    <w:rsid w:val="006A6366"/>
    <w:rsid w:val="006A642F"/>
    <w:rsid w:val="006A64C3"/>
    <w:rsid w:val="006A6551"/>
    <w:rsid w:val="006A6AED"/>
    <w:rsid w:val="006A7078"/>
    <w:rsid w:val="006A71CC"/>
    <w:rsid w:val="006A780E"/>
    <w:rsid w:val="006A7DED"/>
    <w:rsid w:val="006A7E26"/>
    <w:rsid w:val="006B01CE"/>
    <w:rsid w:val="006B087E"/>
    <w:rsid w:val="006B1169"/>
    <w:rsid w:val="006B1DE4"/>
    <w:rsid w:val="006B2D6D"/>
    <w:rsid w:val="006B3916"/>
    <w:rsid w:val="006B3E16"/>
    <w:rsid w:val="006B4575"/>
    <w:rsid w:val="006B4AC5"/>
    <w:rsid w:val="006B4D8E"/>
    <w:rsid w:val="006B52BE"/>
    <w:rsid w:val="006B55FB"/>
    <w:rsid w:val="006B55FF"/>
    <w:rsid w:val="006B5F48"/>
    <w:rsid w:val="006B612C"/>
    <w:rsid w:val="006B666C"/>
    <w:rsid w:val="006B698B"/>
    <w:rsid w:val="006C0384"/>
    <w:rsid w:val="006C0D62"/>
    <w:rsid w:val="006C0DD2"/>
    <w:rsid w:val="006C1850"/>
    <w:rsid w:val="006C1D65"/>
    <w:rsid w:val="006C26A5"/>
    <w:rsid w:val="006C2F42"/>
    <w:rsid w:val="006C33F2"/>
    <w:rsid w:val="006C380D"/>
    <w:rsid w:val="006C3820"/>
    <w:rsid w:val="006C3D07"/>
    <w:rsid w:val="006C405F"/>
    <w:rsid w:val="006C48BD"/>
    <w:rsid w:val="006C4CF4"/>
    <w:rsid w:val="006C522E"/>
    <w:rsid w:val="006C5B89"/>
    <w:rsid w:val="006C5CB6"/>
    <w:rsid w:val="006C7498"/>
    <w:rsid w:val="006C788C"/>
    <w:rsid w:val="006C7CE3"/>
    <w:rsid w:val="006D0ADF"/>
    <w:rsid w:val="006D0B5A"/>
    <w:rsid w:val="006D0C52"/>
    <w:rsid w:val="006D0C74"/>
    <w:rsid w:val="006D0DC5"/>
    <w:rsid w:val="006D1254"/>
    <w:rsid w:val="006D158A"/>
    <w:rsid w:val="006D1A8B"/>
    <w:rsid w:val="006D2068"/>
    <w:rsid w:val="006D2287"/>
    <w:rsid w:val="006D2730"/>
    <w:rsid w:val="006D2C45"/>
    <w:rsid w:val="006D3278"/>
    <w:rsid w:val="006D5072"/>
    <w:rsid w:val="006D5B37"/>
    <w:rsid w:val="006D6513"/>
    <w:rsid w:val="006D653C"/>
    <w:rsid w:val="006D65F5"/>
    <w:rsid w:val="006D664A"/>
    <w:rsid w:val="006D68E4"/>
    <w:rsid w:val="006D6B8B"/>
    <w:rsid w:val="006D6D74"/>
    <w:rsid w:val="006D707D"/>
    <w:rsid w:val="006D7BCA"/>
    <w:rsid w:val="006E01E0"/>
    <w:rsid w:val="006E04B7"/>
    <w:rsid w:val="006E0582"/>
    <w:rsid w:val="006E0906"/>
    <w:rsid w:val="006E200A"/>
    <w:rsid w:val="006E2CD6"/>
    <w:rsid w:val="006E34C8"/>
    <w:rsid w:val="006E3536"/>
    <w:rsid w:val="006E465D"/>
    <w:rsid w:val="006E470E"/>
    <w:rsid w:val="006E5091"/>
    <w:rsid w:val="006E54F8"/>
    <w:rsid w:val="006E57C9"/>
    <w:rsid w:val="006E5BB2"/>
    <w:rsid w:val="006E6B39"/>
    <w:rsid w:val="006E6D12"/>
    <w:rsid w:val="006E6DAA"/>
    <w:rsid w:val="006E7963"/>
    <w:rsid w:val="006E7ECA"/>
    <w:rsid w:val="006F0350"/>
    <w:rsid w:val="006F1112"/>
    <w:rsid w:val="006F12FE"/>
    <w:rsid w:val="006F29D9"/>
    <w:rsid w:val="006F2A34"/>
    <w:rsid w:val="006F3D8D"/>
    <w:rsid w:val="006F44B7"/>
    <w:rsid w:val="006F477B"/>
    <w:rsid w:val="006F4875"/>
    <w:rsid w:val="006F502E"/>
    <w:rsid w:val="006F5512"/>
    <w:rsid w:val="006F5BB1"/>
    <w:rsid w:val="006F6233"/>
    <w:rsid w:val="006F71B9"/>
    <w:rsid w:val="006F7EA9"/>
    <w:rsid w:val="00700450"/>
    <w:rsid w:val="007008C3"/>
    <w:rsid w:val="00700B35"/>
    <w:rsid w:val="0070157D"/>
    <w:rsid w:val="00701D2C"/>
    <w:rsid w:val="00702473"/>
    <w:rsid w:val="00702E25"/>
    <w:rsid w:val="00703254"/>
    <w:rsid w:val="00703804"/>
    <w:rsid w:val="007038DB"/>
    <w:rsid w:val="00703EA5"/>
    <w:rsid w:val="00704866"/>
    <w:rsid w:val="00704D8E"/>
    <w:rsid w:val="00704F67"/>
    <w:rsid w:val="00705A8E"/>
    <w:rsid w:val="007063ED"/>
    <w:rsid w:val="007068B1"/>
    <w:rsid w:val="00707642"/>
    <w:rsid w:val="00710D89"/>
    <w:rsid w:val="00711C90"/>
    <w:rsid w:val="00712185"/>
    <w:rsid w:val="007131CE"/>
    <w:rsid w:val="007133D2"/>
    <w:rsid w:val="00713496"/>
    <w:rsid w:val="007136FF"/>
    <w:rsid w:val="00713F47"/>
    <w:rsid w:val="007142DC"/>
    <w:rsid w:val="007142FB"/>
    <w:rsid w:val="007144B5"/>
    <w:rsid w:val="00714789"/>
    <w:rsid w:val="007152E2"/>
    <w:rsid w:val="00715545"/>
    <w:rsid w:val="00715585"/>
    <w:rsid w:val="00715CD7"/>
    <w:rsid w:val="007161A6"/>
    <w:rsid w:val="00716394"/>
    <w:rsid w:val="00716401"/>
    <w:rsid w:val="00716F14"/>
    <w:rsid w:val="00717581"/>
    <w:rsid w:val="0071785F"/>
    <w:rsid w:val="007179A0"/>
    <w:rsid w:val="007179BA"/>
    <w:rsid w:val="00721652"/>
    <w:rsid w:val="00721E92"/>
    <w:rsid w:val="007224B1"/>
    <w:rsid w:val="00722B97"/>
    <w:rsid w:val="0072333F"/>
    <w:rsid w:val="00723DEB"/>
    <w:rsid w:val="00723E4B"/>
    <w:rsid w:val="00723F86"/>
    <w:rsid w:val="007252CD"/>
    <w:rsid w:val="007256CB"/>
    <w:rsid w:val="00725CBB"/>
    <w:rsid w:val="00725E5B"/>
    <w:rsid w:val="00726247"/>
    <w:rsid w:val="007263FE"/>
    <w:rsid w:val="0072690E"/>
    <w:rsid w:val="00727FE4"/>
    <w:rsid w:val="007302E7"/>
    <w:rsid w:val="007308F2"/>
    <w:rsid w:val="00730F47"/>
    <w:rsid w:val="00731D5B"/>
    <w:rsid w:val="00731F40"/>
    <w:rsid w:val="00732112"/>
    <w:rsid w:val="00733BF8"/>
    <w:rsid w:val="00733BF9"/>
    <w:rsid w:val="00733FC2"/>
    <w:rsid w:val="00734490"/>
    <w:rsid w:val="00734AD4"/>
    <w:rsid w:val="007354CB"/>
    <w:rsid w:val="00735B90"/>
    <w:rsid w:val="007366F2"/>
    <w:rsid w:val="00736EB7"/>
    <w:rsid w:val="00737024"/>
    <w:rsid w:val="0073706C"/>
    <w:rsid w:val="00737369"/>
    <w:rsid w:val="0073758C"/>
    <w:rsid w:val="007377B9"/>
    <w:rsid w:val="007379BD"/>
    <w:rsid w:val="00741544"/>
    <w:rsid w:val="007417B6"/>
    <w:rsid w:val="00742041"/>
    <w:rsid w:val="007429E5"/>
    <w:rsid w:val="0074362C"/>
    <w:rsid w:val="007439E9"/>
    <w:rsid w:val="0074473F"/>
    <w:rsid w:val="00744EB2"/>
    <w:rsid w:val="00744F47"/>
    <w:rsid w:val="00745168"/>
    <w:rsid w:val="00745344"/>
    <w:rsid w:val="007500B5"/>
    <w:rsid w:val="007507A6"/>
    <w:rsid w:val="007509E8"/>
    <w:rsid w:val="00750F59"/>
    <w:rsid w:val="00751079"/>
    <w:rsid w:val="0075117E"/>
    <w:rsid w:val="00751228"/>
    <w:rsid w:val="00751842"/>
    <w:rsid w:val="00751C6A"/>
    <w:rsid w:val="00751DD9"/>
    <w:rsid w:val="0075234F"/>
    <w:rsid w:val="00752486"/>
    <w:rsid w:val="00753086"/>
    <w:rsid w:val="007559BE"/>
    <w:rsid w:val="007561CC"/>
    <w:rsid w:val="00757017"/>
    <w:rsid w:val="00760963"/>
    <w:rsid w:val="00761062"/>
    <w:rsid w:val="00761D08"/>
    <w:rsid w:val="007629FB"/>
    <w:rsid w:val="00762A04"/>
    <w:rsid w:val="007634DA"/>
    <w:rsid w:val="00763C25"/>
    <w:rsid w:val="00764D27"/>
    <w:rsid w:val="0076569E"/>
    <w:rsid w:val="0076582C"/>
    <w:rsid w:val="0076592C"/>
    <w:rsid w:val="00765DB6"/>
    <w:rsid w:val="00766139"/>
    <w:rsid w:val="00766A58"/>
    <w:rsid w:val="00770879"/>
    <w:rsid w:val="00770D17"/>
    <w:rsid w:val="00770FA2"/>
    <w:rsid w:val="007716CF"/>
    <w:rsid w:val="00771AFE"/>
    <w:rsid w:val="00772002"/>
    <w:rsid w:val="00772006"/>
    <w:rsid w:val="0077268A"/>
    <w:rsid w:val="00772B59"/>
    <w:rsid w:val="00772C1C"/>
    <w:rsid w:val="00772D07"/>
    <w:rsid w:val="00773458"/>
    <w:rsid w:val="007738B5"/>
    <w:rsid w:val="0077434E"/>
    <w:rsid w:val="00774607"/>
    <w:rsid w:val="00774F71"/>
    <w:rsid w:val="0077523B"/>
    <w:rsid w:val="007763F4"/>
    <w:rsid w:val="007766C0"/>
    <w:rsid w:val="00777B8A"/>
    <w:rsid w:val="007800BF"/>
    <w:rsid w:val="00780381"/>
    <w:rsid w:val="0078049A"/>
    <w:rsid w:val="00780C13"/>
    <w:rsid w:val="00780DA2"/>
    <w:rsid w:val="00781277"/>
    <w:rsid w:val="00781EE9"/>
    <w:rsid w:val="007822F1"/>
    <w:rsid w:val="007826A1"/>
    <w:rsid w:val="00782838"/>
    <w:rsid w:val="00782C1E"/>
    <w:rsid w:val="00782FAB"/>
    <w:rsid w:val="00783F14"/>
    <w:rsid w:val="00784A20"/>
    <w:rsid w:val="00785D16"/>
    <w:rsid w:val="00786431"/>
    <w:rsid w:val="0078687B"/>
    <w:rsid w:val="00786DAA"/>
    <w:rsid w:val="00787347"/>
    <w:rsid w:val="007874A9"/>
    <w:rsid w:val="00790494"/>
    <w:rsid w:val="00790EE1"/>
    <w:rsid w:val="007917CC"/>
    <w:rsid w:val="0079197E"/>
    <w:rsid w:val="00792708"/>
    <w:rsid w:val="00792A8A"/>
    <w:rsid w:val="00792FEE"/>
    <w:rsid w:val="00793154"/>
    <w:rsid w:val="007950C9"/>
    <w:rsid w:val="00795220"/>
    <w:rsid w:val="00795317"/>
    <w:rsid w:val="00795D4B"/>
    <w:rsid w:val="00795FAF"/>
    <w:rsid w:val="007961C2"/>
    <w:rsid w:val="007978B7"/>
    <w:rsid w:val="00797BC4"/>
    <w:rsid w:val="007A08EC"/>
    <w:rsid w:val="007A1466"/>
    <w:rsid w:val="007A236F"/>
    <w:rsid w:val="007A2A14"/>
    <w:rsid w:val="007A2AF8"/>
    <w:rsid w:val="007A2B91"/>
    <w:rsid w:val="007A3304"/>
    <w:rsid w:val="007A3856"/>
    <w:rsid w:val="007A3D26"/>
    <w:rsid w:val="007A40A2"/>
    <w:rsid w:val="007A475F"/>
    <w:rsid w:val="007A4C8A"/>
    <w:rsid w:val="007A4E99"/>
    <w:rsid w:val="007A5509"/>
    <w:rsid w:val="007A617E"/>
    <w:rsid w:val="007A61F7"/>
    <w:rsid w:val="007A74F0"/>
    <w:rsid w:val="007B05BE"/>
    <w:rsid w:val="007B0698"/>
    <w:rsid w:val="007B0BDF"/>
    <w:rsid w:val="007B0F29"/>
    <w:rsid w:val="007B0F64"/>
    <w:rsid w:val="007B155F"/>
    <w:rsid w:val="007B15F3"/>
    <w:rsid w:val="007B16C6"/>
    <w:rsid w:val="007B1B8C"/>
    <w:rsid w:val="007B1DCD"/>
    <w:rsid w:val="007B28D2"/>
    <w:rsid w:val="007B2BFD"/>
    <w:rsid w:val="007B3226"/>
    <w:rsid w:val="007B32D9"/>
    <w:rsid w:val="007B3501"/>
    <w:rsid w:val="007B396C"/>
    <w:rsid w:val="007B4693"/>
    <w:rsid w:val="007B4E9D"/>
    <w:rsid w:val="007B4F21"/>
    <w:rsid w:val="007B5365"/>
    <w:rsid w:val="007B5CF3"/>
    <w:rsid w:val="007B72F6"/>
    <w:rsid w:val="007B735B"/>
    <w:rsid w:val="007B7919"/>
    <w:rsid w:val="007C00CC"/>
    <w:rsid w:val="007C0540"/>
    <w:rsid w:val="007C0884"/>
    <w:rsid w:val="007C094B"/>
    <w:rsid w:val="007C0BEA"/>
    <w:rsid w:val="007C135A"/>
    <w:rsid w:val="007C14E8"/>
    <w:rsid w:val="007C1F0F"/>
    <w:rsid w:val="007C32BC"/>
    <w:rsid w:val="007C3722"/>
    <w:rsid w:val="007C3E2D"/>
    <w:rsid w:val="007C492B"/>
    <w:rsid w:val="007C4AD7"/>
    <w:rsid w:val="007C5374"/>
    <w:rsid w:val="007C734A"/>
    <w:rsid w:val="007C74EF"/>
    <w:rsid w:val="007C78C0"/>
    <w:rsid w:val="007C7AC6"/>
    <w:rsid w:val="007C7EE7"/>
    <w:rsid w:val="007D0046"/>
    <w:rsid w:val="007D04E9"/>
    <w:rsid w:val="007D0648"/>
    <w:rsid w:val="007D1087"/>
    <w:rsid w:val="007D1881"/>
    <w:rsid w:val="007D1CDF"/>
    <w:rsid w:val="007D2F65"/>
    <w:rsid w:val="007D3CA9"/>
    <w:rsid w:val="007D3D35"/>
    <w:rsid w:val="007D4B2D"/>
    <w:rsid w:val="007D538F"/>
    <w:rsid w:val="007D667B"/>
    <w:rsid w:val="007D782F"/>
    <w:rsid w:val="007D7B66"/>
    <w:rsid w:val="007E05A6"/>
    <w:rsid w:val="007E170B"/>
    <w:rsid w:val="007E1AAC"/>
    <w:rsid w:val="007E2453"/>
    <w:rsid w:val="007E2654"/>
    <w:rsid w:val="007E34FB"/>
    <w:rsid w:val="007E4A28"/>
    <w:rsid w:val="007E4AF8"/>
    <w:rsid w:val="007E511F"/>
    <w:rsid w:val="007E554D"/>
    <w:rsid w:val="007E5AE2"/>
    <w:rsid w:val="007E6533"/>
    <w:rsid w:val="007E659E"/>
    <w:rsid w:val="007E6825"/>
    <w:rsid w:val="007E6D88"/>
    <w:rsid w:val="007E77E6"/>
    <w:rsid w:val="007E7EFC"/>
    <w:rsid w:val="007E7FD7"/>
    <w:rsid w:val="007F009B"/>
    <w:rsid w:val="007F0922"/>
    <w:rsid w:val="007F1177"/>
    <w:rsid w:val="007F1CAC"/>
    <w:rsid w:val="007F2354"/>
    <w:rsid w:val="007F2A41"/>
    <w:rsid w:val="007F2A99"/>
    <w:rsid w:val="007F3197"/>
    <w:rsid w:val="007F3302"/>
    <w:rsid w:val="007F39CE"/>
    <w:rsid w:val="007F4515"/>
    <w:rsid w:val="007F46BE"/>
    <w:rsid w:val="007F4EDE"/>
    <w:rsid w:val="007F6161"/>
    <w:rsid w:val="007F69E3"/>
    <w:rsid w:val="007F6DD5"/>
    <w:rsid w:val="007F7412"/>
    <w:rsid w:val="00800AD0"/>
    <w:rsid w:val="00800E7C"/>
    <w:rsid w:val="00801273"/>
    <w:rsid w:val="0080148B"/>
    <w:rsid w:val="008015EA"/>
    <w:rsid w:val="0080294C"/>
    <w:rsid w:val="00802A57"/>
    <w:rsid w:val="00804944"/>
    <w:rsid w:val="00805DDC"/>
    <w:rsid w:val="0080629B"/>
    <w:rsid w:val="00807235"/>
    <w:rsid w:val="00807FE9"/>
    <w:rsid w:val="00810D05"/>
    <w:rsid w:val="008114BF"/>
    <w:rsid w:val="0081286C"/>
    <w:rsid w:val="00812EB2"/>
    <w:rsid w:val="00812FAD"/>
    <w:rsid w:val="00815262"/>
    <w:rsid w:val="008157A4"/>
    <w:rsid w:val="00815C91"/>
    <w:rsid w:val="00815D16"/>
    <w:rsid w:val="00816268"/>
    <w:rsid w:val="008164F8"/>
    <w:rsid w:val="00817AFB"/>
    <w:rsid w:val="008205CE"/>
    <w:rsid w:val="00820641"/>
    <w:rsid w:val="00821028"/>
    <w:rsid w:val="00821068"/>
    <w:rsid w:val="00821207"/>
    <w:rsid w:val="00821917"/>
    <w:rsid w:val="00821F61"/>
    <w:rsid w:val="00822276"/>
    <w:rsid w:val="00824990"/>
    <w:rsid w:val="00824E55"/>
    <w:rsid w:val="00824EC3"/>
    <w:rsid w:val="008250DB"/>
    <w:rsid w:val="0082516D"/>
    <w:rsid w:val="0082530C"/>
    <w:rsid w:val="00825A8C"/>
    <w:rsid w:val="008262D8"/>
    <w:rsid w:val="00826828"/>
    <w:rsid w:val="00826992"/>
    <w:rsid w:val="00826B7B"/>
    <w:rsid w:val="008271DF"/>
    <w:rsid w:val="0082726A"/>
    <w:rsid w:val="0082779F"/>
    <w:rsid w:val="00827E44"/>
    <w:rsid w:val="00827F63"/>
    <w:rsid w:val="00830145"/>
    <w:rsid w:val="00830BD2"/>
    <w:rsid w:val="00830C85"/>
    <w:rsid w:val="00831047"/>
    <w:rsid w:val="008318AB"/>
    <w:rsid w:val="00831A1B"/>
    <w:rsid w:val="00832D55"/>
    <w:rsid w:val="0083321E"/>
    <w:rsid w:val="008334D2"/>
    <w:rsid w:val="008338F6"/>
    <w:rsid w:val="00834018"/>
    <w:rsid w:val="0083450F"/>
    <w:rsid w:val="00834E54"/>
    <w:rsid w:val="00835929"/>
    <w:rsid w:val="008361A8"/>
    <w:rsid w:val="00837182"/>
    <w:rsid w:val="00837B72"/>
    <w:rsid w:val="0084024A"/>
    <w:rsid w:val="008414AF"/>
    <w:rsid w:val="008415C3"/>
    <w:rsid w:val="00841793"/>
    <w:rsid w:val="00841D73"/>
    <w:rsid w:val="00841EC5"/>
    <w:rsid w:val="00842B6B"/>
    <w:rsid w:val="00843413"/>
    <w:rsid w:val="00843851"/>
    <w:rsid w:val="00843AAA"/>
    <w:rsid w:val="00843D4E"/>
    <w:rsid w:val="00843E56"/>
    <w:rsid w:val="00843F1B"/>
    <w:rsid w:val="00844149"/>
    <w:rsid w:val="00844C20"/>
    <w:rsid w:val="00844CCF"/>
    <w:rsid w:val="00844F19"/>
    <w:rsid w:val="00845136"/>
    <w:rsid w:val="00845590"/>
    <w:rsid w:val="0084597D"/>
    <w:rsid w:val="00850043"/>
    <w:rsid w:val="008506E2"/>
    <w:rsid w:val="00850A0B"/>
    <w:rsid w:val="00850AAC"/>
    <w:rsid w:val="00851EC3"/>
    <w:rsid w:val="00852C9B"/>
    <w:rsid w:val="00852D70"/>
    <w:rsid w:val="00853797"/>
    <w:rsid w:val="00853983"/>
    <w:rsid w:val="00853E2B"/>
    <w:rsid w:val="0085450F"/>
    <w:rsid w:val="0085572F"/>
    <w:rsid w:val="00855DCF"/>
    <w:rsid w:val="0085674D"/>
    <w:rsid w:val="008573B2"/>
    <w:rsid w:val="00857679"/>
    <w:rsid w:val="00857AD9"/>
    <w:rsid w:val="00861548"/>
    <w:rsid w:val="00861E98"/>
    <w:rsid w:val="00862A96"/>
    <w:rsid w:val="00862D03"/>
    <w:rsid w:val="00863246"/>
    <w:rsid w:val="00863456"/>
    <w:rsid w:val="0086501B"/>
    <w:rsid w:val="00865793"/>
    <w:rsid w:val="00865B68"/>
    <w:rsid w:val="00866401"/>
    <w:rsid w:val="008666D9"/>
    <w:rsid w:val="00866C4E"/>
    <w:rsid w:val="00867032"/>
    <w:rsid w:val="00867215"/>
    <w:rsid w:val="00867D4D"/>
    <w:rsid w:val="00867F6C"/>
    <w:rsid w:val="0087058C"/>
    <w:rsid w:val="00870A74"/>
    <w:rsid w:val="008710EB"/>
    <w:rsid w:val="008724BD"/>
    <w:rsid w:val="0087293D"/>
    <w:rsid w:val="00872AF4"/>
    <w:rsid w:val="00872B21"/>
    <w:rsid w:val="008737A1"/>
    <w:rsid w:val="00874F64"/>
    <w:rsid w:val="00874FE5"/>
    <w:rsid w:val="00875060"/>
    <w:rsid w:val="00876856"/>
    <w:rsid w:val="0087716A"/>
    <w:rsid w:val="00877D86"/>
    <w:rsid w:val="00877FB4"/>
    <w:rsid w:val="0088025C"/>
    <w:rsid w:val="0088069B"/>
    <w:rsid w:val="0088085F"/>
    <w:rsid w:val="00880E0E"/>
    <w:rsid w:val="008812F8"/>
    <w:rsid w:val="0088132F"/>
    <w:rsid w:val="008818E2"/>
    <w:rsid w:val="0088226B"/>
    <w:rsid w:val="008833A1"/>
    <w:rsid w:val="00884383"/>
    <w:rsid w:val="00884612"/>
    <w:rsid w:val="00884A01"/>
    <w:rsid w:val="00885FCB"/>
    <w:rsid w:val="00885FD2"/>
    <w:rsid w:val="00886532"/>
    <w:rsid w:val="00886ED1"/>
    <w:rsid w:val="00887154"/>
    <w:rsid w:val="0088756D"/>
    <w:rsid w:val="008901F5"/>
    <w:rsid w:val="008909F0"/>
    <w:rsid w:val="008917B5"/>
    <w:rsid w:val="008929D0"/>
    <w:rsid w:val="00893024"/>
    <w:rsid w:val="008931C3"/>
    <w:rsid w:val="008937B6"/>
    <w:rsid w:val="00893DC3"/>
    <w:rsid w:val="00893F44"/>
    <w:rsid w:val="008952FB"/>
    <w:rsid w:val="00895527"/>
    <w:rsid w:val="00895567"/>
    <w:rsid w:val="00895EBC"/>
    <w:rsid w:val="00895F48"/>
    <w:rsid w:val="00895F5C"/>
    <w:rsid w:val="00896AAF"/>
    <w:rsid w:val="008970B4"/>
    <w:rsid w:val="008971D7"/>
    <w:rsid w:val="00897418"/>
    <w:rsid w:val="0089782E"/>
    <w:rsid w:val="00897F52"/>
    <w:rsid w:val="008A01C3"/>
    <w:rsid w:val="008A14C7"/>
    <w:rsid w:val="008A2EE6"/>
    <w:rsid w:val="008A39A5"/>
    <w:rsid w:val="008A3CF8"/>
    <w:rsid w:val="008A4F68"/>
    <w:rsid w:val="008A59FE"/>
    <w:rsid w:val="008A5BD1"/>
    <w:rsid w:val="008A60C1"/>
    <w:rsid w:val="008A6289"/>
    <w:rsid w:val="008A6649"/>
    <w:rsid w:val="008A77DB"/>
    <w:rsid w:val="008A79AD"/>
    <w:rsid w:val="008B1006"/>
    <w:rsid w:val="008B12E2"/>
    <w:rsid w:val="008B1423"/>
    <w:rsid w:val="008B1EA3"/>
    <w:rsid w:val="008B2567"/>
    <w:rsid w:val="008B28C8"/>
    <w:rsid w:val="008B2E43"/>
    <w:rsid w:val="008B312A"/>
    <w:rsid w:val="008B3A99"/>
    <w:rsid w:val="008B3D5D"/>
    <w:rsid w:val="008B4C81"/>
    <w:rsid w:val="008B5073"/>
    <w:rsid w:val="008B54FE"/>
    <w:rsid w:val="008B56BA"/>
    <w:rsid w:val="008B59D3"/>
    <w:rsid w:val="008B5B0E"/>
    <w:rsid w:val="008B6B4A"/>
    <w:rsid w:val="008B71DF"/>
    <w:rsid w:val="008B74BF"/>
    <w:rsid w:val="008B7623"/>
    <w:rsid w:val="008B7CEA"/>
    <w:rsid w:val="008B7D6B"/>
    <w:rsid w:val="008C0108"/>
    <w:rsid w:val="008C035D"/>
    <w:rsid w:val="008C0B03"/>
    <w:rsid w:val="008C0CA9"/>
    <w:rsid w:val="008C36EA"/>
    <w:rsid w:val="008C391C"/>
    <w:rsid w:val="008C39DF"/>
    <w:rsid w:val="008C4C6B"/>
    <w:rsid w:val="008C4C7E"/>
    <w:rsid w:val="008C4CDD"/>
    <w:rsid w:val="008C4E38"/>
    <w:rsid w:val="008C5053"/>
    <w:rsid w:val="008C5A3D"/>
    <w:rsid w:val="008C6628"/>
    <w:rsid w:val="008C68D4"/>
    <w:rsid w:val="008C6DD5"/>
    <w:rsid w:val="008C7DFA"/>
    <w:rsid w:val="008D025F"/>
    <w:rsid w:val="008D0371"/>
    <w:rsid w:val="008D0813"/>
    <w:rsid w:val="008D09B8"/>
    <w:rsid w:val="008D0A0A"/>
    <w:rsid w:val="008D0BA6"/>
    <w:rsid w:val="008D1033"/>
    <w:rsid w:val="008D169F"/>
    <w:rsid w:val="008D16D1"/>
    <w:rsid w:val="008D1797"/>
    <w:rsid w:val="008D1BAF"/>
    <w:rsid w:val="008D26D9"/>
    <w:rsid w:val="008D2D9A"/>
    <w:rsid w:val="008D3528"/>
    <w:rsid w:val="008D35B7"/>
    <w:rsid w:val="008D4311"/>
    <w:rsid w:val="008D4390"/>
    <w:rsid w:val="008D43D6"/>
    <w:rsid w:val="008D43E5"/>
    <w:rsid w:val="008D4AC7"/>
    <w:rsid w:val="008D4FD0"/>
    <w:rsid w:val="008D528A"/>
    <w:rsid w:val="008D52C9"/>
    <w:rsid w:val="008D5EC0"/>
    <w:rsid w:val="008D6209"/>
    <w:rsid w:val="008D6378"/>
    <w:rsid w:val="008D6659"/>
    <w:rsid w:val="008D6EF7"/>
    <w:rsid w:val="008D725F"/>
    <w:rsid w:val="008D72A3"/>
    <w:rsid w:val="008D76FD"/>
    <w:rsid w:val="008E05F0"/>
    <w:rsid w:val="008E0884"/>
    <w:rsid w:val="008E0CFB"/>
    <w:rsid w:val="008E1CD3"/>
    <w:rsid w:val="008E2DC1"/>
    <w:rsid w:val="008E2E0F"/>
    <w:rsid w:val="008E328A"/>
    <w:rsid w:val="008E39CD"/>
    <w:rsid w:val="008E3B3E"/>
    <w:rsid w:val="008E4003"/>
    <w:rsid w:val="008E4ED6"/>
    <w:rsid w:val="008E5068"/>
    <w:rsid w:val="008E5409"/>
    <w:rsid w:val="008E5D2F"/>
    <w:rsid w:val="008E69CF"/>
    <w:rsid w:val="008E70A3"/>
    <w:rsid w:val="008E7764"/>
    <w:rsid w:val="008E7ABC"/>
    <w:rsid w:val="008F1F15"/>
    <w:rsid w:val="008F2435"/>
    <w:rsid w:val="008F2A53"/>
    <w:rsid w:val="008F2AF8"/>
    <w:rsid w:val="008F2F98"/>
    <w:rsid w:val="008F3C8B"/>
    <w:rsid w:val="008F452E"/>
    <w:rsid w:val="008F4A72"/>
    <w:rsid w:val="008F4D82"/>
    <w:rsid w:val="008F5CA8"/>
    <w:rsid w:val="008F5F32"/>
    <w:rsid w:val="008F654F"/>
    <w:rsid w:val="008F668A"/>
    <w:rsid w:val="008F7152"/>
    <w:rsid w:val="008F7164"/>
    <w:rsid w:val="008F7547"/>
    <w:rsid w:val="008F7FEB"/>
    <w:rsid w:val="00900972"/>
    <w:rsid w:val="009009FA"/>
    <w:rsid w:val="00901561"/>
    <w:rsid w:val="00901662"/>
    <w:rsid w:val="00903240"/>
    <w:rsid w:val="00904594"/>
    <w:rsid w:val="00904843"/>
    <w:rsid w:val="00904B8B"/>
    <w:rsid w:val="00904C33"/>
    <w:rsid w:val="00905589"/>
    <w:rsid w:val="009062B5"/>
    <w:rsid w:val="0090699A"/>
    <w:rsid w:val="0090758A"/>
    <w:rsid w:val="00907701"/>
    <w:rsid w:val="009077C0"/>
    <w:rsid w:val="0090783B"/>
    <w:rsid w:val="0090784C"/>
    <w:rsid w:val="0091043D"/>
    <w:rsid w:val="0091080E"/>
    <w:rsid w:val="0091182C"/>
    <w:rsid w:val="00911D09"/>
    <w:rsid w:val="00911EA5"/>
    <w:rsid w:val="0091276E"/>
    <w:rsid w:val="00913418"/>
    <w:rsid w:val="00914226"/>
    <w:rsid w:val="009144CB"/>
    <w:rsid w:val="00915312"/>
    <w:rsid w:val="00916122"/>
    <w:rsid w:val="009166EC"/>
    <w:rsid w:val="00916D97"/>
    <w:rsid w:val="00917B51"/>
    <w:rsid w:val="0092003F"/>
    <w:rsid w:val="0092059A"/>
    <w:rsid w:val="00920A90"/>
    <w:rsid w:val="00920C96"/>
    <w:rsid w:val="00920F9A"/>
    <w:rsid w:val="0092108D"/>
    <w:rsid w:val="00921123"/>
    <w:rsid w:val="00921CC2"/>
    <w:rsid w:val="00922488"/>
    <w:rsid w:val="00922602"/>
    <w:rsid w:val="009231B1"/>
    <w:rsid w:val="0092385E"/>
    <w:rsid w:val="009239AB"/>
    <w:rsid w:val="00923E4E"/>
    <w:rsid w:val="009240C5"/>
    <w:rsid w:val="0092551B"/>
    <w:rsid w:val="009262F8"/>
    <w:rsid w:val="0092643F"/>
    <w:rsid w:val="009267C6"/>
    <w:rsid w:val="00926AA2"/>
    <w:rsid w:val="009273E7"/>
    <w:rsid w:val="0092750D"/>
    <w:rsid w:val="00927AB1"/>
    <w:rsid w:val="00927E49"/>
    <w:rsid w:val="009302DB"/>
    <w:rsid w:val="009304D6"/>
    <w:rsid w:val="00930B3D"/>
    <w:rsid w:val="00931C1A"/>
    <w:rsid w:val="00931CBD"/>
    <w:rsid w:val="00932373"/>
    <w:rsid w:val="00932B04"/>
    <w:rsid w:val="00933022"/>
    <w:rsid w:val="009338B8"/>
    <w:rsid w:val="009339D0"/>
    <w:rsid w:val="00933C75"/>
    <w:rsid w:val="00934A8F"/>
    <w:rsid w:val="00934DB8"/>
    <w:rsid w:val="00935379"/>
    <w:rsid w:val="00935DF5"/>
    <w:rsid w:val="00937042"/>
    <w:rsid w:val="00937C53"/>
    <w:rsid w:val="00940093"/>
    <w:rsid w:val="009408FD"/>
    <w:rsid w:val="00940D75"/>
    <w:rsid w:val="00941219"/>
    <w:rsid w:val="00941E5C"/>
    <w:rsid w:val="0094211E"/>
    <w:rsid w:val="00942B39"/>
    <w:rsid w:val="00942D0A"/>
    <w:rsid w:val="00942D1C"/>
    <w:rsid w:val="00943072"/>
    <w:rsid w:val="00943289"/>
    <w:rsid w:val="00944AE6"/>
    <w:rsid w:val="00944F1B"/>
    <w:rsid w:val="00945057"/>
    <w:rsid w:val="0094518B"/>
    <w:rsid w:val="009452F8"/>
    <w:rsid w:val="00945410"/>
    <w:rsid w:val="009457C6"/>
    <w:rsid w:val="00946295"/>
    <w:rsid w:val="009462FA"/>
    <w:rsid w:val="009469B2"/>
    <w:rsid w:val="00946E7C"/>
    <w:rsid w:val="009474EE"/>
    <w:rsid w:val="00947B2C"/>
    <w:rsid w:val="0095022B"/>
    <w:rsid w:val="0095191A"/>
    <w:rsid w:val="0095194C"/>
    <w:rsid w:val="00951B67"/>
    <w:rsid w:val="0095252B"/>
    <w:rsid w:val="009535BD"/>
    <w:rsid w:val="009538EE"/>
    <w:rsid w:val="00954152"/>
    <w:rsid w:val="009541B5"/>
    <w:rsid w:val="009543CC"/>
    <w:rsid w:val="009552B1"/>
    <w:rsid w:val="009555D7"/>
    <w:rsid w:val="00956580"/>
    <w:rsid w:val="00956DB0"/>
    <w:rsid w:val="00956E88"/>
    <w:rsid w:val="00957B46"/>
    <w:rsid w:val="00957D6D"/>
    <w:rsid w:val="00957E5B"/>
    <w:rsid w:val="00960D1F"/>
    <w:rsid w:val="00961B9F"/>
    <w:rsid w:val="00962112"/>
    <w:rsid w:val="00962B7B"/>
    <w:rsid w:val="0096335E"/>
    <w:rsid w:val="00963BF7"/>
    <w:rsid w:val="00964270"/>
    <w:rsid w:val="00964A22"/>
    <w:rsid w:val="00964F08"/>
    <w:rsid w:val="009655B2"/>
    <w:rsid w:val="009659E0"/>
    <w:rsid w:val="00965A66"/>
    <w:rsid w:val="00965D3F"/>
    <w:rsid w:val="00965ED4"/>
    <w:rsid w:val="00966631"/>
    <w:rsid w:val="0096745E"/>
    <w:rsid w:val="009677CD"/>
    <w:rsid w:val="00970F26"/>
    <w:rsid w:val="0097111C"/>
    <w:rsid w:val="009716C5"/>
    <w:rsid w:val="00972828"/>
    <w:rsid w:val="0097286F"/>
    <w:rsid w:val="00973BD0"/>
    <w:rsid w:val="00973F41"/>
    <w:rsid w:val="0097448D"/>
    <w:rsid w:val="0097471E"/>
    <w:rsid w:val="00974965"/>
    <w:rsid w:val="009759CD"/>
    <w:rsid w:val="00977AC3"/>
    <w:rsid w:val="00977B80"/>
    <w:rsid w:val="00980642"/>
    <w:rsid w:val="009809EF"/>
    <w:rsid w:val="00980BE0"/>
    <w:rsid w:val="00981A29"/>
    <w:rsid w:val="00981FE8"/>
    <w:rsid w:val="00982BBF"/>
    <w:rsid w:val="009834E7"/>
    <w:rsid w:val="00983876"/>
    <w:rsid w:val="00983899"/>
    <w:rsid w:val="00983A7F"/>
    <w:rsid w:val="009844C1"/>
    <w:rsid w:val="00984B93"/>
    <w:rsid w:val="0098524E"/>
    <w:rsid w:val="009858A4"/>
    <w:rsid w:val="0098621F"/>
    <w:rsid w:val="009871C1"/>
    <w:rsid w:val="009872AC"/>
    <w:rsid w:val="00987C95"/>
    <w:rsid w:val="00987D8B"/>
    <w:rsid w:val="00990094"/>
    <w:rsid w:val="009904D5"/>
    <w:rsid w:val="00991869"/>
    <w:rsid w:val="009918DB"/>
    <w:rsid w:val="00991A96"/>
    <w:rsid w:val="00991B07"/>
    <w:rsid w:val="00991FEC"/>
    <w:rsid w:val="0099200B"/>
    <w:rsid w:val="00992255"/>
    <w:rsid w:val="009926EB"/>
    <w:rsid w:val="00992EE5"/>
    <w:rsid w:val="00992F6A"/>
    <w:rsid w:val="00992FD5"/>
    <w:rsid w:val="00993814"/>
    <w:rsid w:val="0099398B"/>
    <w:rsid w:val="00993B2E"/>
    <w:rsid w:val="00993BA3"/>
    <w:rsid w:val="00994DAE"/>
    <w:rsid w:val="0099503B"/>
    <w:rsid w:val="00995AA8"/>
    <w:rsid w:val="00995F45"/>
    <w:rsid w:val="00996DD7"/>
    <w:rsid w:val="00996E33"/>
    <w:rsid w:val="00996EAB"/>
    <w:rsid w:val="009A0338"/>
    <w:rsid w:val="009A051A"/>
    <w:rsid w:val="009A11C4"/>
    <w:rsid w:val="009A23C0"/>
    <w:rsid w:val="009A2802"/>
    <w:rsid w:val="009A2C3F"/>
    <w:rsid w:val="009A2FD4"/>
    <w:rsid w:val="009A43A8"/>
    <w:rsid w:val="009A47BC"/>
    <w:rsid w:val="009A47CA"/>
    <w:rsid w:val="009A4BC9"/>
    <w:rsid w:val="009A4C74"/>
    <w:rsid w:val="009A5451"/>
    <w:rsid w:val="009A5977"/>
    <w:rsid w:val="009A6F02"/>
    <w:rsid w:val="009A6F5E"/>
    <w:rsid w:val="009A7210"/>
    <w:rsid w:val="009A7227"/>
    <w:rsid w:val="009A7423"/>
    <w:rsid w:val="009A7D48"/>
    <w:rsid w:val="009B128D"/>
    <w:rsid w:val="009B20FA"/>
    <w:rsid w:val="009B2171"/>
    <w:rsid w:val="009B2D59"/>
    <w:rsid w:val="009B312C"/>
    <w:rsid w:val="009B354B"/>
    <w:rsid w:val="009B37F1"/>
    <w:rsid w:val="009B3AD5"/>
    <w:rsid w:val="009B3D20"/>
    <w:rsid w:val="009B583E"/>
    <w:rsid w:val="009B5F12"/>
    <w:rsid w:val="009B67C9"/>
    <w:rsid w:val="009B6C7A"/>
    <w:rsid w:val="009B71EC"/>
    <w:rsid w:val="009B722E"/>
    <w:rsid w:val="009C2572"/>
    <w:rsid w:val="009C2861"/>
    <w:rsid w:val="009C2881"/>
    <w:rsid w:val="009C410B"/>
    <w:rsid w:val="009C5BB0"/>
    <w:rsid w:val="009C5C78"/>
    <w:rsid w:val="009C5E10"/>
    <w:rsid w:val="009C69CB"/>
    <w:rsid w:val="009C7434"/>
    <w:rsid w:val="009C7A82"/>
    <w:rsid w:val="009D021E"/>
    <w:rsid w:val="009D0280"/>
    <w:rsid w:val="009D0D9D"/>
    <w:rsid w:val="009D0EDB"/>
    <w:rsid w:val="009D0F2F"/>
    <w:rsid w:val="009D1632"/>
    <w:rsid w:val="009D1815"/>
    <w:rsid w:val="009D19BE"/>
    <w:rsid w:val="009D2530"/>
    <w:rsid w:val="009D27BE"/>
    <w:rsid w:val="009D2948"/>
    <w:rsid w:val="009D31D0"/>
    <w:rsid w:val="009D334B"/>
    <w:rsid w:val="009D338E"/>
    <w:rsid w:val="009D34FA"/>
    <w:rsid w:val="009D36A2"/>
    <w:rsid w:val="009D3D22"/>
    <w:rsid w:val="009D5B16"/>
    <w:rsid w:val="009D6683"/>
    <w:rsid w:val="009D66D5"/>
    <w:rsid w:val="009D6CDF"/>
    <w:rsid w:val="009D6F90"/>
    <w:rsid w:val="009D701E"/>
    <w:rsid w:val="009D72CE"/>
    <w:rsid w:val="009D7B4C"/>
    <w:rsid w:val="009E14FB"/>
    <w:rsid w:val="009E1D43"/>
    <w:rsid w:val="009E1DD7"/>
    <w:rsid w:val="009E2BDC"/>
    <w:rsid w:val="009E4055"/>
    <w:rsid w:val="009E4371"/>
    <w:rsid w:val="009E63E5"/>
    <w:rsid w:val="009E6450"/>
    <w:rsid w:val="009E6474"/>
    <w:rsid w:val="009E6AC9"/>
    <w:rsid w:val="009E71EC"/>
    <w:rsid w:val="009E72B7"/>
    <w:rsid w:val="009E76CC"/>
    <w:rsid w:val="009E7C87"/>
    <w:rsid w:val="009F077E"/>
    <w:rsid w:val="009F0E4A"/>
    <w:rsid w:val="009F155C"/>
    <w:rsid w:val="009F1E9F"/>
    <w:rsid w:val="009F1ED6"/>
    <w:rsid w:val="009F22C8"/>
    <w:rsid w:val="009F2409"/>
    <w:rsid w:val="009F27BB"/>
    <w:rsid w:val="009F2941"/>
    <w:rsid w:val="009F2FE5"/>
    <w:rsid w:val="009F38D4"/>
    <w:rsid w:val="009F4022"/>
    <w:rsid w:val="009F4679"/>
    <w:rsid w:val="009F4813"/>
    <w:rsid w:val="009F485F"/>
    <w:rsid w:val="009F4CC5"/>
    <w:rsid w:val="009F4D42"/>
    <w:rsid w:val="009F4D8D"/>
    <w:rsid w:val="009F4DC8"/>
    <w:rsid w:val="009F5BB1"/>
    <w:rsid w:val="009F6001"/>
    <w:rsid w:val="009F615D"/>
    <w:rsid w:val="009F61D6"/>
    <w:rsid w:val="009F640A"/>
    <w:rsid w:val="009F6466"/>
    <w:rsid w:val="009F72B7"/>
    <w:rsid w:val="009F742B"/>
    <w:rsid w:val="009F7DAC"/>
    <w:rsid w:val="00A0029A"/>
    <w:rsid w:val="00A00431"/>
    <w:rsid w:val="00A008A7"/>
    <w:rsid w:val="00A00D57"/>
    <w:rsid w:val="00A01092"/>
    <w:rsid w:val="00A01E09"/>
    <w:rsid w:val="00A0217F"/>
    <w:rsid w:val="00A021E6"/>
    <w:rsid w:val="00A0262F"/>
    <w:rsid w:val="00A02E51"/>
    <w:rsid w:val="00A02F5A"/>
    <w:rsid w:val="00A0318A"/>
    <w:rsid w:val="00A04501"/>
    <w:rsid w:val="00A045A0"/>
    <w:rsid w:val="00A05359"/>
    <w:rsid w:val="00A05698"/>
    <w:rsid w:val="00A06080"/>
    <w:rsid w:val="00A06964"/>
    <w:rsid w:val="00A1047C"/>
    <w:rsid w:val="00A11126"/>
    <w:rsid w:val="00A114C1"/>
    <w:rsid w:val="00A1302F"/>
    <w:rsid w:val="00A13F5D"/>
    <w:rsid w:val="00A13F8B"/>
    <w:rsid w:val="00A14710"/>
    <w:rsid w:val="00A14A23"/>
    <w:rsid w:val="00A14CB9"/>
    <w:rsid w:val="00A14D23"/>
    <w:rsid w:val="00A16903"/>
    <w:rsid w:val="00A16A18"/>
    <w:rsid w:val="00A16E3B"/>
    <w:rsid w:val="00A20205"/>
    <w:rsid w:val="00A20B95"/>
    <w:rsid w:val="00A20FC0"/>
    <w:rsid w:val="00A2151F"/>
    <w:rsid w:val="00A217E3"/>
    <w:rsid w:val="00A22F96"/>
    <w:rsid w:val="00A2325D"/>
    <w:rsid w:val="00A2381D"/>
    <w:rsid w:val="00A23C7D"/>
    <w:rsid w:val="00A24F88"/>
    <w:rsid w:val="00A26215"/>
    <w:rsid w:val="00A26509"/>
    <w:rsid w:val="00A27966"/>
    <w:rsid w:val="00A30701"/>
    <w:rsid w:val="00A313D2"/>
    <w:rsid w:val="00A31A83"/>
    <w:rsid w:val="00A32485"/>
    <w:rsid w:val="00A32576"/>
    <w:rsid w:val="00A3399F"/>
    <w:rsid w:val="00A33C91"/>
    <w:rsid w:val="00A33EF6"/>
    <w:rsid w:val="00A33F9E"/>
    <w:rsid w:val="00A340F1"/>
    <w:rsid w:val="00A3429D"/>
    <w:rsid w:val="00A34396"/>
    <w:rsid w:val="00A3472D"/>
    <w:rsid w:val="00A34B5B"/>
    <w:rsid w:val="00A355FB"/>
    <w:rsid w:val="00A36EF8"/>
    <w:rsid w:val="00A37376"/>
    <w:rsid w:val="00A3748A"/>
    <w:rsid w:val="00A37698"/>
    <w:rsid w:val="00A3781D"/>
    <w:rsid w:val="00A401D8"/>
    <w:rsid w:val="00A40622"/>
    <w:rsid w:val="00A40A47"/>
    <w:rsid w:val="00A411E2"/>
    <w:rsid w:val="00A417E7"/>
    <w:rsid w:val="00A429CC"/>
    <w:rsid w:val="00A43699"/>
    <w:rsid w:val="00A449D1"/>
    <w:rsid w:val="00A44A88"/>
    <w:rsid w:val="00A45127"/>
    <w:rsid w:val="00A45A7F"/>
    <w:rsid w:val="00A45B15"/>
    <w:rsid w:val="00A4610C"/>
    <w:rsid w:val="00A46ADB"/>
    <w:rsid w:val="00A46CAF"/>
    <w:rsid w:val="00A46DB4"/>
    <w:rsid w:val="00A47F2F"/>
    <w:rsid w:val="00A50815"/>
    <w:rsid w:val="00A508A9"/>
    <w:rsid w:val="00A50B82"/>
    <w:rsid w:val="00A51817"/>
    <w:rsid w:val="00A51835"/>
    <w:rsid w:val="00A51D58"/>
    <w:rsid w:val="00A520C8"/>
    <w:rsid w:val="00A52731"/>
    <w:rsid w:val="00A529BE"/>
    <w:rsid w:val="00A52F05"/>
    <w:rsid w:val="00A537D3"/>
    <w:rsid w:val="00A53C75"/>
    <w:rsid w:val="00A53E46"/>
    <w:rsid w:val="00A543B5"/>
    <w:rsid w:val="00A54622"/>
    <w:rsid w:val="00A54707"/>
    <w:rsid w:val="00A54E3E"/>
    <w:rsid w:val="00A55355"/>
    <w:rsid w:val="00A55C90"/>
    <w:rsid w:val="00A56036"/>
    <w:rsid w:val="00A5661D"/>
    <w:rsid w:val="00A575C8"/>
    <w:rsid w:val="00A57884"/>
    <w:rsid w:val="00A57B56"/>
    <w:rsid w:val="00A60175"/>
    <w:rsid w:val="00A60D75"/>
    <w:rsid w:val="00A61037"/>
    <w:rsid w:val="00A61C6F"/>
    <w:rsid w:val="00A61CCF"/>
    <w:rsid w:val="00A61D8E"/>
    <w:rsid w:val="00A61DFA"/>
    <w:rsid w:val="00A61ECF"/>
    <w:rsid w:val="00A62B64"/>
    <w:rsid w:val="00A62F1D"/>
    <w:rsid w:val="00A63BB8"/>
    <w:rsid w:val="00A63D4A"/>
    <w:rsid w:val="00A642A7"/>
    <w:rsid w:val="00A6451D"/>
    <w:rsid w:val="00A64B5E"/>
    <w:rsid w:val="00A650A1"/>
    <w:rsid w:val="00A65245"/>
    <w:rsid w:val="00A6568B"/>
    <w:rsid w:val="00A6599F"/>
    <w:rsid w:val="00A65A2B"/>
    <w:rsid w:val="00A65CA6"/>
    <w:rsid w:val="00A65EA9"/>
    <w:rsid w:val="00A65FBE"/>
    <w:rsid w:val="00A66B6C"/>
    <w:rsid w:val="00A67FD3"/>
    <w:rsid w:val="00A70429"/>
    <w:rsid w:val="00A70432"/>
    <w:rsid w:val="00A71442"/>
    <w:rsid w:val="00A71B86"/>
    <w:rsid w:val="00A71C5E"/>
    <w:rsid w:val="00A72057"/>
    <w:rsid w:val="00A7219B"/>
    <w:rsid w:val="00A726F1"/>
    <w:rsid w:val="00A72EE1"/>
    <w:rsid w:val="00A72F71"/>
    <w:rsid w:val="00A73C49"/>
    <w:rsid w:val="00A74250"/>
    <w:rsid w:val="00A742CC"/>
    <w:rsid w:val="00A749BA"/>
    <w:rsid w:val="00A75A0F"/>
    <w:rsid w:val="00A75B49"/>
    <w:rsid w:val="00A76243"/>
    <w:rsid w:val="00A76268"/>
    <w:rsid w:val="00A76F68"/>
    <w:rsid w:val="00A77EF0"/>
    <w:rsid w:val="00A80816"/>
    <w:rsid w:val="00A81DCE"/>
    <w:rsid w:val="00A82AD7"/>
    <w:rsid w:val="00A834C8"/>
    <w:rsid w:val="00A8373B"/>
    <w:rsid w:val="00A845BD"/>
    <w:rsid w:val="00A84688"/>
    <w:rsid w:val="00A84A0B"/>
    <w:rsid w:val="00A84DDB"/>
    <w:rsid w:val="00A8526C"/>
    <w:rsid w:val="00A8585F"/>
    <w:rsid w:val="00A85865"/>
    <w:rsid w:val="00A85A62"/>
    <w:rsid w:val="00A85B98"/>
    <w:rsid w:val="00A86303"/>
    <w:rsid w:val="00A863BF"/>
    <w:rsid w:val="00A8674D"/>
    <w:rsid w:val="00A86FC1"/>
    <w:rsid w:val="00A87B37"/>
    <w:rsid w:val="00A900A7"/>
    <w:rsid w:val="00A90ACA"/>
    <w:rsid w:val="00A90C08"/>
    <w:rsid w:val="00A90D70"/>
    <w:rsid w:val="00A917AC"/>
    <w:rsid w:val="00A926CE"/>
    <w:rsid w:val="00A92F60"/>
    <w:rsid w:val="00A93F93"/>
    <w:rsid w:val="00A94040"/>
    <w:rsid w:val="00A95A5E"/>
    <w:rsid w:val="00A9762F"/>
    <w:rsid w:val="00A978F8"/>
    <w:rsid w:val="00A9795B"/>
    <w:rsid w:val="00AA0154"/>
    <w:rsid w:val="00AA0CA9"/>
    <w:rsid w:val="00AA13C2"/>
    <w:rsid w:val="00AA157D"/>
    <w:rsid w:val="00AA1A26"/>
    <w:rsid w:val="00AA22BD"/>
    <w:rsid w:val="00AA22C8"/>
    <w:rsid w:val="00AA2716"/>
    <w:rsid w:val="00AA39CF"/>
    <w:rsid w:val="00AA3A51"/>
    <w:rsid w:val="00AA3A96"/>
    <w:rsid w:val="00AA3B6D"/>
    <w:rsid w:val="00AA3C82"/>
    <w:rsid w:val="00AA3F13"/>
    <w:rsid w:val="00AA468E"/>
    <w:rsid w:val="00AA46B6"/>
    <w:rsid w:val="00AA5292"/>
    <w:rsid w:val="00AA67A8"/>
    <w:rsid w:val="00AA7509"/>
    <w:rsid w:val="00AB02BA"/>
    <w:rsid w:val="00AB1DB2"/>
    <w:rsid w:val="00AB270E"/>
    <w:rsid w:val="00AB2733"/>
    <w:rsid w:val="00AB2754"/>
    <w:rsid w:val="00AB2A3C"/>
    <w:rsid w:val="00AB2E7E"/>
    <w:rsid w:val="00AB4149"/>
    <w:rsid w:val="00AB45E0"/>
    <w:rsid w:val="00AB4928"/>
    <w:rsid w:val="00AB4956"/>
    <w:rsid w:val="00AB4ABE"/>
    <w:rsid w:val="00AB4BF0"/>
    <w:rsid w:val="00AB5274"/>
    <w:rsid w:val="00AB52F8"/>
    <w:rsid w:val="00AB5377"/>
    <w:rsid w:val="00AB55F8"/>
    <w:rsid w:val="00AB5CD4"/>
    <w:rsid w:val="00AB6568"/>
    <w:rsid w:val="00AB6718"/>
    <w:rsid w:val="00AB7034"/>
    <w:rsid w:val="00AC01D4"/>
    <w:rsid w:val="00AC0525"/>
    <w:rsid w:val="00AC11F6"/>
    <w:rsid w:val="00AC17F0"/>
    <w:rsid w:val="00AC1D58"/>
    <w:rsid w:val="00AC2E3E"/>
    <w:rsid w:val="00AC2E6B"/>
    <w:rsid w:val="00AC2FD5"/>
    <w:rsid w:val="00AC3A11"/>
    <w:rsid w:val="00AC3AA9"/>
    <w:rsid w:val="00AC3E4E"/>
    <w:rsid w:val="00AC4167"/>
    <w:rsid w:val="00AC448A"/>
    <w:rsid w:val="00AC4AAF"/>
    <w:rsid w:val="00AC55BD"/>
    <w:rsid w:val="00AC5DB7"/>
    <w:rsid w:val="00AC5E67"/>
    <w:rsid w:val="00AC61AD"/>
    <w:rsid w:val="00AC6373"/>
    <w:rsid w:val="00AC6D56"/>
    <w:rsid w:val="00AC6E05"/>
    <w:rsid w:val="00AC78BB"/>
    <w:rsid w:val="00AC78FE"/>
    <w:rsid w:val="00AC7E93"/>
    <w:rsid w:val="00AD003E"/>
    <w:rsid w:val="00AD11BC"/>
    <w:rsid w:val="00AD1D27"/>
    <w:rsid w:val="00AD1FDC"/>
    <w:rsid w:val="00AD2454"/>
    <w:rsid w:val="00AD321E"/>
    <w:rsid w:val="00AD403C"/>
    <w:rsid w:val="00AD4428"/>
    <w:rsid w:val="00AD601C"/>
    <w:rsid w:val="00AD6A65"/>
    <w:rsid w:val="00AD7835"/>
    <w:rsid w:val="00AE0971"/>
    <w:rsid w:val="00AE0A97"/>
    <w:rsid w:val="00AE1DBF"/>
    <w:rsid w:val="00AE2BB3"/>
    <w:rsid w:val="00AE2D7C"/>
    <w:rsid w:val="00AE3112"/>
    <w:rsid w:val="00AE4307"/>
    <w:rsid w:val="00AE4537"/>
    <w:rsid w:val="00AE525F"/>
    <w:rsid w:val="00AE5AEC"/>
    <w:rsid w:val="00AE5E2B"/>
    <w:rsid w:val="00AE5EC4"/>
    <w:rsid w:val="00AE6951"/>
    <w:rsid w:val="00AE6973"/>
    <w:rsid w:val="00AE7212"/>
    <w:rsid w:val="00AE7D95"/>
    <w:rsid w:val="00AF01C4"/>
    <w:rsid w:val="00AF01E2"/>
    <w:rsid w:val="00AF04AD"/>
    <w:rsid w:val="00AF05BF"/>
    <w:rsid w:val="00AF0E1C"/>
    <w:rsid w:val="00AF1667"/>
    <w:rsid w:val="00AF173C"/>
    <w:rsid w:val="00AF1FC2"/>
    <w:rsid w:val="00AF2C87"/>
    <w:rsid w:val="00AF2EDD"/>
    <w:rsid w:val="00AF2F68"/>
    <w:rsid w:val="00AF31BC"/>
    <w:rsid w:val="00AF36C2"/>
    <w:rsid w:val="00AF3818"/>
    <w:rsid w:val="00AF3F32"/>
    <w:rsid w:val="00AF5374"/>
    <w:rsid w:val="00AF54CE"/>
    <w:rsid w:val="00AF5688"/>
    <w:rsid w:val="00AF5AC6"/>
    <w:rsid w:val="00AF5B97"/>
    <w:rsid w:val="00AF5F16"/>
    <w:rsid w:val="00AF68A4"/>
    <w:rsid w:val="00AF6994"/>
    <w:rsid w:val="00AF6BEA"/>
    <w:rsid w:val="00AF723B"/>
    <w:rsid w:val="00B00238"/>
    <w:rsid w:val="00B01681"/>
    <w:rsid w:val="00B02010"/>
    <w:rsid w:val="00B02C42"/>
    <w:rsid w:val="00B02FD3"/>
    <w:rsid w:val="00B0422D"/>
    <w:rsid w:val="00B050D5"/>
    <w:rsid w:val="00B05F55"/>
    <w:rsid w:val="00B06015"/>
    <w:rsid w:val="00B0664C"/>
    <w:rsid w:val="00B066E9"/>
    <w:rsid w:val="00B0692D"/>
    <w:rsid w:val="00B075D8"/>
    <w:rsid w:val="00B106E1"/>
    <w:rsid w:val="00B10834"/>
    <w:rsid w:val="00B1084A"/>
    <w:rsid w:val="00B11491"/>
    <w:rsid w:val="00B1161C"/>
    <w:rsid w:val="00B11FA1"/>
    <w:rsid w:val="00B12416"/>
    <w:rsid w:val="00B1354A"/>
    <w:rsid w:val="00B1378D"/>
    <w:rsid w:val="00B139E9"/>
    <w:rsid w:val="00B143DD"/>
    <w:rsid w:val="00B156B6"/>
    <w:rsid w:val="00B15DB0"/>
    <w:rsid w:val="00B161BD"/>
    <w:rsid w:val="00B162ED"/>
    <w:rsid w:val="00B1658C"/>
    <w:rsid w:val="00B17D7A"/>
    <w:rsid w:val="00B17DF2"/>
    <w:rsid w:val="00B17E0C"/>
    <w:rsid w:val="00B17E49"/>
    <w:rsid w:val="00B20964"/>
    <w:rsid w:val="00B20C53"/>
    <w:rsid w:val="00B20CD0"/>
    <w:rsid w:val="00B21F17"/>
    <w:rsid w:val="00B233DF"/>
    <w:rsid w:val="00B2499B"/>
    <w:rsid w:val="00B24D90"/>
    <w:rsid w:val="00B24F3B"/>
    <w:rsid w:val="00B25229"/>
    <w:rsid w:val="00B2548B"/>
    <w:rsid w:val="00B258DC"/>
    <w:rsid w:val="00B26783"/>
    <w:rsid w:val="00B272E9"/>
    <w:rsid w:val="00B272FC"/>
    <w:rsid w:val="00B27649"/>
    <w:rsid w:val="00B2779A"/>
    <w:rsid w:val="00B27EB9"/>
    <w:rsid w:val="00B30505"/>
    <w:rsid w:val="00B30B85"/>
    <w:rsid w:val="00B3185B"/>
    <w:rsid w:val="00B31876"/>
    <w:rsid w:val="00B319EB"/>
    <w:rsid w:val="00B32208"/>
    <w:rsid w:val="00B32485"/>
    <w:rsid w:val="00B3290C"/>
    <w:rsid w:val="00B32F04"/>
    <w:rsid w:val="00B34DAF"/>
    <w:rsid w:val="00B34F8A"/>
    <w:rsid w:val="00B34F9F"/>
    <w:rsid w:val="00B350E6"/>
    <w:rsid w:val="00B35B47"/>
    <w:rsid w:val="00B36EFD"/>
    <w:rsid w:val="00B3707B"/>
    <w:rsid w:val="00B3737E"/>
    <w:rsid w:val="00B3796C"/>
    <w:rsid w:val="00B40798"/>
    <w:rsid w:val="00B411F2"/>
    <w:rsid w:val="00B41980"/>
    <w:rsid w:val="00B41BA8"/>
    <w:rsid w:val="00B4261C"/>
    <w:rsid w:val="00B4375C"/>
    <w:rsid w:val="00B44CE3"/>
    <w:rsid w:val="00B459EB"/>
    <w:rsid w:val="00B45D28"/>
    <w:rsid w:val="00B46419"/>
    <w:rsid w:val="00B46902"/>
    <w:rsid w:val="00B46B4B"/>
    <w:rsid w:val="00B46D32"/>
    <w:rsid w:val="00B47DC2"/>
    <w:rsid w:val="00B47DEF"/>
    <w:rsid w:val="00B50473"/>
    <w:rsid w:val="00B509DD"/>
    <w:rsid w:val="00B50ECA"/>
    <w:rsid w:val="00B518F1"/>
    <w:rsid w:val="00B520D4"/>
    <w:rsid w:val="00B5324F"/>
    <w:rsid w:val="00B53534"/>
    <w:rsid w:val="00B5357C"/>
    <w:rsid w:val="00B548DE"/>
    <w:rsid w:val="00B55E8D"/>
    <w:rsid w:val="00B55FA5"/>
    <w:rsid w:val="00B571EE"/>
    <w:rsid w:val="00B5765A"/>
    <w:rsid w:val="00B57BF2"/>
    <w:rsid w:val="00B6006E"/>
    <w:rsid w:val="00B607F8"/>
    <w:rsid w:val="00B623D9"/>
    <w:rsid w:val="00B627AC"/>
    <w:rsid w:val="00B62869"/>
    <w:rsid w:val="00B62D8E"/>
    <w:rsid w:val="00B636C3"/>
    <w:rsid w:val="00B63AA3"/>
    <w:rsid w:val="00B64482"/>
    <w:rsid w:val="00B6474E"/>
    <w:rsid w:val="00B6488C"/>
    <w:rsid w:val="00B648D0"/>
    <w:rsid w:val="00B64962"/>
    <w:rsid w:val="00B653B9"/>
    <w:rsid w:val="00B65A69"/>
    <w:rsid w:val="00B65FD9"/>
    <w:rsid w:val="00B66244"/>
    <w:rsid w:val="00B667A7"/>
    <w:rsid w:val="00B6688B"/>
    <w:rsid w:val="00B671A0"/>
    <w:rsid w:val="00B674C7"/>
    <w:rsid w:val="00B676B2"/>
    <w:rsid w:val="00B677AF"/>
    <w:rsid w:val="00B70529"/>
    <w:rsid w:val="00B70796"/>
    <w:rsid w:val="00B70EAB"/>
    <w:rsid w:val="00B70ED6"/>
    <w:rsid w:val="00B7147F"/>
    <w:rsid w:val="00B71C3B"/>
    <w:rsid w:val="00B71D6B"/>
    <w:rsid w:val="00B723A4"/>
    <w:rsid w:val="00B72404"/>
    <w:rsid w:val="00B739C9"/>
    <w:rsid w:val="00B740A6"/>
    <w:rsid w:val="00B7514A"/>
    <w:rsid w:val="00B7546D"/>
    <w:rsid w:val="00B76635"/>
    <w:rsid w:val="00B773C9"/>
    <w:rsid w:val="00B80B62"/>
    <w:rsid w:val="00B81925"/>
    <w:rsid w:val="00B8195E"/>
    <w:rsid w:val="00B83D29"/>
    <w:rsid w:val="00B83DEE"/>
    <w:rsid w:val="00B84641"/>
    <w:rsid w:val="00B84F35"/>
    <w:rsid w:val="00B85071"/>
    <w:rsid w:val="00B85260"/>
    <w:rsid w:val="00B85387"/>
    <w:rsid w:val="00B85563"/>
    <w:rsid w:val="00B862DD"/>
    <w:rsid w:val="00B86B29"/>
    <w:rsid w:val="00B86F8F"/>
    <w:rsid w:val="00B900F9"/>
    <w:rsid w:val="00B91494"/>
    <w:rsid w:val="00B922E6"/>
    <w:rsid w:val="00B929CE"/>
    <w:rsid w:val="00B9337F"/>
    <w:rsid w:val="00B93808"/>
    <w:rsid w:val="00B939B1"/>
    <w:rsid w:val="00B93F3C"/>
    <w:rsid w:val="00B94F03"/>
    <w:rsid w:val="00B9546A"/>
    <w:rsid w:val="00B95CA7"/>
    <w:rsid w:val="00B964F5"/>
    <w:rsid w:val="00B9666B"/>
    <w:rsid w:val="00B9711C"/>
    <w:rsid w:val="00B978F8"/>
    <w:rsid w:val="00BA01EA"/>
    <w:rsid w:val="00BA0837"/>
    <w:rsid w:val="00BA0B70"/>
    <w:rsid w:val="00BA10F8"/>
    <w:rsid w:val="00BA1176"/>
    <w:rsid w:val="00BA280C"/>
    <w:rsid w:val="00BA2BBB"/>
    <w:rsid w:val="00BA2D85"/>
    <w:rsid w:val="00BA35F6"/>
    <w:rsid w:val="00BA3CAA"/>
    <w:rsid w:val="00BA4594"/>
    <w:rsid w:val="00BA51C3"/>
    <w:rsid w:val="00BA6D4A"/>
    <w:rsid w:val="00BA739F"/>
    <w:rsid w:val="00BA75E5"/>
    <w:rsid w:val="00BA778C"/>
    <w:rsid w:val="00BA7F1E"/>
    <w:rsid w:val="00BB0072"/>
    <w:rsid w:val="00BB032A"/>
    <w:rsid w:val="00BB0E42"/>
    <w:rsid w:val="00BB2A6A"/>
    <w:rsid w:val="00BB2FB9"/>
    <w:rsid w:val="00BB2FE6"/>
    <w:rsid w:val="00BB3BBD"/>
    <w:rsid w:val="00BB411F"/>
    <w:rsid w:val="00BB49C8"/>
    <w:rsid w:val="00BB5084"/>
    <w:rsid w:val="00BB556C"/>
    <w:rsid w:val="00BB65C3"/>
    <w:rsid w:val="00BB694E"/>
    <w:rsid w:val="00BB70FA"/>
    <w:rsid w:val="00BB7354"/>
    <w:rsid w:val="00BC0D2B"/>
    <w:rsid w:val="00BC0EC4"/>
    <w:rsid w:val="00BC1904"/>
    <w:rsid w:val="00BC1AA8"/>
    <w:rsid w:val="00BC1B63"/>
    <w:rsid w:val="00BC1BBB"/>
    <w:rsid w:val="00BC1D13"/>
    <w:rsid w:val="00BC21A1"/>
    <w:rsid w:val="00BC2C3A"/>
    <w:rsid w:val="00BC2CED"/>
    <w:rsid w:val="00BC2FBA"/>
    <w:rsid w:val="00BC3401"/>
    <w:rsid w:val="00BC34D0"/>
    <w:rsid w:val="00BC374D"/>
    <w:rsid w:val="00BC38E6"/>
    <w:rsid w:val="00BC4BBB"/>
    <w:rsid w:val="00BC4E6F"/>
    <w:rsid w:val="00BC578F"/>
    <w:rsid w:val="00BC58AB"/>
    <w:rsid w:val="00BC631E"/>
    <w:rsid w:val="00BC6474"/>
    <w:rsid w:val="00BC7222"/>
    <w:rsid w:val="00BC7307"/>
    <w:rsid w:val="00BC7531"/>
    <w:rsid w:val="00BC7CF8"/>
    <w:rsid w:val="00BC7EE8"/>
    <w:rsid w:val="00BD1116"/>
    <w:rsid w:val="00BD1A00"/>
    <w:rsid w:val="00BD1B4F"/>
    <w:rsid w:val="00BD1B52"/>
    <w:rsid w:val="00BD1D6E"/>
    <w:rsid w:val="00BD285E"/>
    <w:rsid w:val="00BD4905"/>
    <w:rsid w:val="00BD51BE"/>
    <w:rsid w:val="00BD55D7"/>
    <w:rsid w:val="00BD5717"/>
    <w:rsid w:val="00BD58D9"/>
    <w:rsid w:val="00BD5C67"/>
    <w:rsid w:val="00BD6402"/>
    <w:rsid w:val="00BD7413"/>
    <w:rsid w:val="00BD7A23"/>
    <w:rsid w:val="00BE06FE"/>
    <w:rsid w:val="00BE0E73"/>
    <w:rsid w:val="00BE1E6F"/>
    <w:rsid w:val="00BE23F1"/>
    <w:rsid w:val="00BE2D7C"/>
    <w:rsid w:val="00BE3843"/>
    <w:rsid w:val="00BE38AA"/>
    <w:rsid w:val="00BE3AEB"/>
    <w:rsid w:val="00BE3E08"/>
    <w:rsid w:val="00BE4789"/>
    <w:rsid w:val="00BE4A55"/>
    <w:rsid w:val="00BE4FF4"/>
    <w:rsid w:val="00BE5DBE"/>
    <w:rsid w:val="00BE6155"/>
    <w:rsid w:val="00BE7321"/>
    <w:rsid w:val="00BE7760"/>
    <w:rsid w:val="00BF09BC"/>
    <w:rsid w:val="00BF186A"/>
    <w:rsid w:val="00BF1A6F"/>
    <w:rsid w:val="00BF295A"/>
    <w:rsid w:val="00BF2CF0"/>
    <w:rsid w:val="00BF2F2C"/>
    <w:rsid w:val="00BF390C"/>
    <w:rsid w:val="00BF4DBB"/>
    <w:rsid w:val="00BF55A6"/>
    <w:rsid w:val="00BF57A5"/>
    <w:rsid w:val="00BF5E70"/>
    <w:rsid w:val="00BF61AF"/>
    <w:rsid w:val="00BF65C0"/>
    <w:rsid w:val="00BF75CA"/>
    <w:rsid w:val="00BF7661"/>
    <w:rsid w:val="00BF7E05"/>
    <w:rsid w:val="00C00B51"/>
    <w:rsid w:val="00C0132C"/>
    <w:rsid w:val="00C0226B"/>
    <w:rsid w:val="00C02F91"/>
    <w:rsid w:val="00C03076"/>
    <w:rsid w:val="00C0312D"/>
    <w:rsid w:val="00C034C9"/>
    <w:rsid w:val="00C036F6"/>
    <w:rsid w:val="00C03BDA"/>
    <w:rsid w:val="00C03F00"/>
    <w:rsid w:val="00C03F0F"/>
    <w:rsid w:val="00C04C64"/>
    <w:rsid w:val="00C04CC0"/>
    <w:rsid w:val="00C059A0"/>
    <w:rsid w:val="00C05DFC"/>
    <w:rsid w:val="00C06028"/>
    <w:rsid w:val="00C069FF"/>
    <w:rsid w:val="00C1013D"/>
    <w:rsid w:val="00C1094C"/>
    <w:rsid w:val="00C10D5A"/>
    <w:rsid w:val="00C11301"/>
    <w:rsid w:val="00C114A7"/>
    <w:rsid w:val="00C12020"/>
    <w:rsid w:val="00C12675"/>
    <w:rsid w:val="00C12A9F"/>
    <w:rsid w:val="00C1348F"/>
    <w:rsid w:val="00C13ADD"/>
    <w:rsid w:val="00C14C37"/>
    <w:rsid w:val="00C1551C"/>
    <w:rsid w:val="00C162B4"/>
    <w:rsid w:val="00C167AB"/>
    <w:rsid w:val="00C16901"/>
    <w:rsid w:val="00C17112"/>
    <w:rsid w:val="00C1722F"/>
    <w:rsid w:val="00C17FD6"/>
    <w:rsid w:val="00C20D4B"/>
    <w:rsid w:val="00C218C5"/>
    <w:rsid w:val="00C21D6F"/>
    <w:rsid w:val="00C21E74"/>
    <w:rsid w:val="00C22357"/>
    <w:rsid w:val="00C22F60"/>
    <w:rsid w:val="00C22F9B"/>
    <w:rsid w:val="00C23171"/>
    <w:rsid w:val="00C232CB"/>
    <w:rsid w:val="00C239F1"/>
    <w:rsid w:val="00C23BCB"/>
    <w:rsid w:val="00C24050"/>
    <w:rsid w:val="00C2534F"/>
    <w:rsid w:val="00C26765"/>
    <w:rsid w:val="00C27274"/>
    <w:rsid w:val="00C27DAD"/>
    <w:rsid w:val="00C27E98"/>
    <w:rsid w:val="00C305D8"/>
    <w:rsid w:val="00C30718"/>
    <w:rsid w:val="00C308ED"/>
    <w:rsid w:val="00C3139B"/>
    <w:rsid w:val="00C31678"/>
    <w:rsid w:val="00C3194D"/>
    <w:rsid w:val="00C31E4F"/>
    <w:rsid w:val="00C32EA2"/>
    <w:rsid w:val="00C33077"/>
    <w:rsid w:val="00C33787"/>
    <w:rsid w:val="00C33B1D"/>
    <w:rsid w:val="00C34944"/>
    <w:rsid w:val="00C35096"/>
    <w:rsid w:val="00C352D5"/>
    <w:rsid w:val="00C3543B"/>
    <w:rsid w:val="00C355AA"/>
    <w:rsid w:val="00C35881"/>
    <w:rsid w:val="00C3593A"/>
    <w:rsid w:val="00C35C49"/>
    <w:rsid w:val="00C35C53"/>
    <w:rsid w:val="00C35D3D"/>
    <w:rsid w:val="00C36852"/>
    <w:rsid w:val="00C40675"/>
    <w:rsid w:val="00C4168E"/>
    <w:rsid w:val="00C42E15"/>
    <w:rsid w:val="00C43963"/>
    <w:rsid w:val="00C43A3D"/>
    <w:rsid w:val="00C43CB0"/>
    <w:rsid w:val="00C43D16"/>
    <w:rsid w:val="00C44AB9"/>
    <w:rsid w:val="00C44F06"/>
    <w:rsid w:val="00C45040"/>
    <w:rsid w:val="00C45DE4"/>
    <w:rsid w:val="00C45E16"/>
    <w:rsid w:val="00C463D3"/>
    <w:rsid w:val="00C46EBA"/>
    <w:rsid w:val="00C478FB"/>
    <w:rsid w:val="00C47BAC"/>
    <w:rsid w:val="00C47F3B"/>
    <w:rsid w:val="00C5029F"/>
    <w:rsid w:val="00C50314"/>
    <w:rsid w:val="00C505BB"/>
    <w:rsid w:val="00C50FD9"/>
    <w:rsid w:val="00C51A57"/>
    <w:rsid w:val="00C51DB6"/>
    <w:rsid w:val="00C51DCB"/>
    <w:rsid w:val="00C52189"/>
    <w:rsid w:val="00C522D7"/>
    <w:rsid w:val="00C529AC"/>
    <w:rsid w:val="00C52A30"/>
    <w:rsid w:val="00C52AAF"/>
    <w:rsid w:val="00C53692"/>
    <w:rsid w:val="00C53C34"/>
    <w:rsid w:val="00C53E3C"/>
    <w:rsid w:val="00C545E9"/>
    <w:rsid w:val="00C54825"/>
    <w:rsid w:val="00C54EA5"/>
    <w:rsid w:val="00C54FC0"/>
    <w:rsid w:val="00C552FE"/>
    <w:rsid w:val="00C563CA"/>
    <w:rsid w:val="00C571F4"/>
    <w:rsid w:val="00C57299"/>
    <w:rsid w:val="00C57475"/>
    <w:rsid w:val="00C576F6"/>
    <w:rsid w:val="00C57D74"/>
    <w:rsid w:val="00C57F14"/>
    <w:rsid w:val="00C57FA3"/>
    <w:rsid w:val="00C600C5"/>
    <w:rsid w:val="00C6033D"/>
    <w:rsid w:val="00C60504"/>
    <w:rsid w:val="00C61BD5"/>
    <w:rsid w:val="00C61E1F"/>
    <w:rsid w:val="00C62865"/>
    <w:rsid w:val="00C62F14"/>
    <w:rsid w:val="00C635A2"/>
    <w:rsid w:val="00C64026"/>
    <w:rsid w:val="00C643D9"/>
    <w:rsid w:val="00C645E4"/>
    <w:rsid w:val="00C6537C"/>
    <w:rsid w:val="00C6639B"/>
    <w:rsid w:val="00C66AF7"/>
    <w:rsid w:val="00C671C6"/>
    <w:rsid w:val="00C67365"/>
    <w:rsid w:val="00C6799C"/>
    <w:rsid w:val="00C67BB7"/>
    <w:rsid w:val="00C71514"/>
    <w:rsid w:val="00C72147"/>
    <w:rsid w:val="00C72462"/>
    <w:rsid w:val="00C733CC"/>
    <w:rsid w:val="00C73448"/>
    <w:rsid w:val="00C738E7"/>
    <w:rsid w:val="00C739BF"/>
    <w:rsid w:val="00C741F9"/>
    <w:rsid w:val="00C7469E"/>
    <w:rsid w:val="00C74971"/>
    <w:rsid w:val="00C74B8B"/>
    <w:rsid w:val="00C74B98"/>
    <w:rsid w:val="00C75B0D"/>
    <w:rsid w:val="00C75E68"/>
    <w:rsid w:val="00C760B0"/>
    <w:rsid w:val="00C77D30"/>
    <w:rsid w:val="00C80854"/>
    <w:rsid w:val="00C80A94"/>
    <w:rsid w:val="00C81D6B"/>
    <w:rsid w:val="00C820F8"/>
    <w:rsid w:val="00C822A2"/>
    <w:rsid w:val="00C837EC"/>
    <w:rsid w:val="00C83B2C"/>
    <w:rsid w:val="00C83BD8"/>
    <w:rsid w:val="00C83EC9"/>
    <w:rsid w:val="00C842CD"/>
    <w:rsid w:val="00C84EDD"/>
    <w:rsid w:val="00C859D5"/>
    <w:rsid w:val="00C8612D"/>
    <w:rsid w:val="00C86AD2"/>
    <w:rsid w:val="00C87B4F"/>
    <w:rsid w:val="00C87BF3"/>
    <w:rsid w:val="00C90344"/>
    <w:rsid w:val="00C9121A"/>
    <w:rsid w:val="00C915B5"/>
    <w:rsid w:val="00C924DF"/>
    <w:rsid w:val="00C93775"/>
    <w:rsid w:val="00C94086"/>
    <w:rsid w:val="00C940F4"/>
    <w:rsid w:val="00C9440A"/>
    <w:rsid w:val="00C94C14"/>
    <w:rsid w:val="00C96837"/>
    <w:rsid w:val="00C976DC"/>
    <w:rsid w:val="00C97DBC"/>
    <w:rsid w:val="00CA01C4"/>
    <w:rsid w:val="00CA0235"/>
    <w:rsid w:val="00CA0AE3"/>
    <w:rsid w:val="00CA0F4E"/>
    <w:rsid w:val="00CA1F0D"/>
    <w:rsid w:val="00CA26E9"/>
    <w:rsid w:val="00CA2E86"/>
    <w:rsid w:val="00CA2F85"/>
    <w:rsid w:val="00CA3AF2"/>
    <w:rsid w:val="00CA3EA3"/>
    <w:rsid w:val="00CA3F7D"/>
    <w:rsid w:val="00CA4E9D"/>
    <w:rsid w:val="00CA54FF"/>
    <w:rsid w:val="00CA5CE6"/>
    <w:rsid w:val="00CA679E"/>
    <w:rsid w:val="00CA6818"/>
    <w:rsid w:val="00CA68BD"/>
    <w:rsid w:val="00CA6F79"/>
    <w:rsid w:val="00CA709F"/>
    <w:rsid w:val="00CA71FB"/>
    <w:rsid w:val="00CB00BE"/>
    <w:rsid w:val="00CB0766"/>
    <w:rsid w:val="00CB094E"/>
    <w:rsid w:val="00CB0A05"/>
    <w:rsid w:val="00CB0C79"/>
    <w:rsid w:val="00CB1F94"/>
    <w:rsid w:val="00CB2239"/>
    <w:rsid w:val="00CB2952"/>
    <w:rsid w:val="00CB37AA"/>
    <w:rsid w:val="00CB4592"/>
    <w:rsid w:val="00CB48DE"/>
    <w:rsid w:val="00CB4A47"/>
    <w:rsid w:val="00CB4DDE"/>
    <w:rsid w:val="00CB59C6"/>
    <w:rsid w:val="00CB59E5"/>
    <w:rsid w:val="00CB686D"/>
    <w:rsid w:val="00CB6CDE"/>
    <w:rsid w:val="00CB6DA7"/>
    <w:rsid w:val="00CC1446"/>
    <w:rsid w:val="00CC230D"/>
    <w:rsid w:val="00CC2644"/>
    <w:rsid w:val="00CC2722"/>
    <w:rsid w:val="00CC28C8"/>
    <w:rsid w:val="00CC2F8C"/>
    <w:rsid w:val="00CC397E"/>
    <w:rsid w:val="00CC3AC1"/>
    <w:rsid w:val="00CC3C50"/>
    <w:rsid w:val="00CC439F"/>
    <w:rsid w:val="00CC4CD4"/>
    <w:rsid w:val="00CC4EA8"/>
    <w:rsid w:val="00CC51D0"/>
    <w:rsid w:val="00CC5B8D"/>
    <w:rsid w:val="00CC5CB8"/>
    <w:rsid w:val="00CC5D3E"/>
    <w:rsid w:val="00CC5E92"/>
    <w:rsid w:val="00CC7280"/>
    <w:rsid w:val="00CC740C"/>
    <w:rsid w:val="00CC782F"/>
    <w:rsid w:val="00CD03D7"/>
    <w:rsid w:val="00CD0525"/>
    <w:rsid w:val="00CD0950"/>
    <w:rsid w:val="00CD1140"/>
    <w:rsid w:val="00CD204B"/>
    <w:rsid w:val="00CD2236"/>
    <w:rsid w:val="00CD2EF1"/>
    <w:rsid w:val="00CD3053"/>
    <w:rsid w:val="00CD3874"/>
    <w:rsid w:val="00CD3B7A"/>
    <w:rsid w:val="00CD3C88"/>
    <w:rsid w:val="00CD3ED2"/>
    <w:rsid w:val="00CD40E4"/>
    <w:rsid w:val="00CD4669"/>
    <w:rsid w:val="00CD466F"/>
    <w:rsid w:val="00CD4A3B"/>
    <w:rsid w:val="00CD5748"/>
    <w:rsid w:val="00CD5910"/>
    <w:rsid w:val="00CD5935"/>
    <w:rsid w:val="00CD754B"/>
    <w:rsid w:val="00CD761C"/>
    <w:rsid w:val="00CE0551"/>
    <w:rsid w:val="00CE1897"/>
    <w:rsid w:val="00CE1918"/>
    <w:rsid w:val="00CE2927"/>
    <w:rsid w:val="00CE2FCB"/>
    <w:rsid w:val="00CE34AE"/>
    <w:rsid w:val="00CE3AA1"/>
    <w:rsid w:val="00CE41B5"/>
    <w:rsid w:val="00CE421D"/>
    <w:rsid w:val="00CE525E"/>
    <w:rsid w:val="00CE6590"/>
    <w:rsid w:val="00CE662B"/>
    <w:rsid w:val="00CE6977"/>
    <w:rsid w:val="00CE6CF8"/>
    <w:rsid w:val="00CE7102"/>
    <w:rsid w:val="00CF1429"/>
    <w:rsid w:val="00CF14CA"/>
    <w:rsid w:val="00CF166A"/>
    <w:rsid w:val="00CF1C38"/>
    <w:rsid w:val="00CF2024"/>
    <w:rsid w:val="00CF34C9"/>
    <w:rsid w:val="00CF39CF"/>
    <w:rsid w:val="00CF58D4"/>
    <w:rsid w:val="00CF5C3D"/>
    <w:rsid w:val="00CF60CB"/>
    <w:rsid w:val="00CF75B9"/>
    <w:rsid w:val="00D000B2"/>
    <w:rsid w:val="00D000D9"/>
    <w:rsid w:val="00D001C3"/>
    <w:rsid w:val="00D0119F"/>
    <w:rsid w:val="00D018C1"/>
    <w:rsid w:val="00D02148"/>
    <w:rsid w:val="00D02613"/>
    <w:rsid w:val="00D026DF"/>
    <w:rsid w:val="00D028B4"/>
    <w:rsid w:val="00D02D67"/>
    <w:rsid w:val="00D035FC"/>
    <w:rsid w:val="00D03CA7"/>
    <w:rsid w:val="00D0513D"/>
    <w:rsid w:val="00D05746"/>
    <w:rsid w:val="00D0664D"/>
    <w:rsid w:val="00D06ED5"/>
    <w:rsid w:val="00D06EE4"/>
    <w:rsid w:val="00D07426"/>
    <w:rsid w:val="00D07CDF"/>
    <w:rsid w:val="00D1089D"/>
    <w:rsid w:val="00D10ACB"/>
    <w:rsid w:val="00D1124E"/>
    <w:rsid w:val="00D1183E"/>
    <w:rsid w:val="00D11915"/>
    <w:rsid w:val="00D1257C"/>
    <w:rsid w:val="00D12AF1"/>
    <w:rsid w:val="00D133D2"/>
    <w:rsid w:val="00D13861"/>
    <w:rsid w:val="00D13BFC"/>
    <w:rsid w:val="00D13DE3"/>
    <w:rsid w:val="00D14360"/>
    <w:rsid w:val="00D144DF"/>
    <w:rsid w:val="00D14DAA"/>
    <w:rsid w:val="00D14E9B"/>
    <w:rsid w:val="00D15534"/>
    <w:rsid w:val="00D15C42"/>
    <w:rsid w:val="00D1645D"/>
    <w:rsid w:val="00D1664B"/>
    <w:rsid w:val="00D175FD"/>
    <w:rsid w:val="00D17A97"/>
    <w:rsid w:val="00D2012F"/>
    <w:rsid w:val="00D204B1"/>
    <w:rsid w:val="00D20FCB"/>
    <w:rsid w:val="00D20FD1"/>
    <w:rsid w:val="00D216A6"/>
    <w:rsid w:val="00D2202F"/>
    <w:rsid w:val="00D22404"/>
    <w:rsid w:val="00D22511"/>
    <w:rsid w:val="00D22B64"/>
    <w:rsid w:val="00D2302D"/>
    <w:rsid w:val="00D231BB"/>
    <w:rsid w:val="00D233F1"/>
    <w:rsid w:val="00D249B5"/>
    <w:rsid w:val="00D24A16"/>
    <w:rsid w:val="00D25F07"/>
    <w:rsid w:val="00D269F1"/>
    <w:rsid w:val="00D2758E"/>
    <w:rsid w:val="00D27D58"/>
    <w:rsid w:val="00D27EC7"/>
    <w:rsid w:val="00D301B8"/>
    <w:rsid w:val="00D302D0"/>
    <w:rsid w:val="00D30CFF"/>
    <w:rsid w:val="00D30DDC"/>
    <w:rsid w:val="00D31579"/>
    <w:rsid w:val="00D31696"/>
    <w:rsid w:val="00D31DED"/>
    <w:rsid w:val="00D31E6A"/>
    <w:rsid w:val="00D31E8A"/>
    <w:rsid w:val="00D32A3C"/>
    <w:rsid w:val="00D32E05"/>
    <w:rsid w:val="00D33112"/>
    <w:rsid w:val="00D33222"/>
    <w:rsid w:val="00D33490"/>
    <w:rsid w:val="00D345CB"/>
    <w:rsid w:val="00D3560C"/>
    <w:rsid w:val="00D356E3"/>
    <w:rsid w:val="00D35844"/>
    <w:rsid w:val="00D35F7B"/>
    <w:rsid w:val="00D36232"/>
    <w:rsid w:val="00D362F2"/>
    <w:rsid w:val="00D36B5A"/>
    <w:rsid w:val="00D37ADD"/>
    <w:rsid w:val="00D37B5B"/>
    <w:rsid w:val="00D37BF7"/>
    <w:rsid w:val="00D37E84"/>
    <w:rsid w:val="00D37EC4"/>
    <w:rsid w:val="00D40377"/>
    <w:rsid w:val="00D40640"/>
    <w:rsid w:val="00D40AC7"/>
    <w:rsid w:val="00D40B8B"/>
    <w:rsid w:val="00D40B95"/>
    <w:rsid w:val="00D4116A"/>
    <w:rsid w:val="00D411B1"/>
    <w:rsid w:val="00D421C3"/>
    <w:rsid w:val="00D42718"/>
    <w:rsid w:val="00D4323D"/>
    <w:rsid w:val="00D4329D"/>
    <w:rsid w:val="00D44BD6"/>
    <w:rsid w:val="00D44EAC"/>
    <w:rsid w:val="00D4545C"/>
    <w:rsid w:val="00D45E1F"/>
    <w:rsid w:val="00D46507"/>
    <w:rsid w:val="00D46606"/>
    <w:rsid w:val="00D46A09"/>
    <w:rsid w:val="00D475D9"/>
    <w:rsid w:val="00D5067C"/>
    <w:rsid w:val="00D50D24"/>
    <w:rsid w:val="00D50E5E"/>
    <w:rsid w:val="00D50ED9"/>
    <w:rsid w:val="00D51374"/>
    <w:rsid w:val="00D515C0"/>
    <w:rsid w:val="00D51759"/>
    <w:rsid w:val="00D51B65"/>
    <w:rsid w:val="00D52897"/>
    <w:rsid w:val="00D529D4"/>
    <w:rsid w:val="00D52EF8"/>
    <w:rsid w:val="00D53EDE"/>
    <w:rsid w:val="00D54691"/>
    <w:rsid w:val="00D54CA4"/>
    <w:rsid w:val="00D55EAB"/>
    <w:rsid w:val="00D56203"/>
    <w:rsid w:val="00D56808"/>
    <w:rsid w:val="00D576CE"/>
    <w:rsid w:val="00D6098A"/>
    <w:rsid w:val="00D60B82"/>
    <w:rsid w:val="00D61337"/>
    <w:rsid w:val="00D61642"/>
    <w:rsid w:val="00D61755"/>
    <w:rsid w:val="00D61CE0"/>
    <w:rsid w:val="00D62099"/>
    <w:rsid w:val="00D625D0"/>
    <w:rsid w:val="00D62A89"/>
    <w:rsid w:val="00D634F2"/>
    <w:rsid w:val="00D6360F"/>
    <w:rsid w:val="00D64230"/>
    <w:rsid w:val="00D64534"/>
    <w:rsid w:val="00D64C56"/>
    <w:rsid w:val="00D65587"/>
    <w:rsid w:val="00D6559D"/>
    <w:rsid w:val="00D6700B"/>
    <w:rsid w:val="00D67673"/>
    <w:rsid w:val="00D678D6"/>
    <w:rsid w:val="00D709D5"/>
    <w:rsid w:val="00D71547"/>
    <w:rsid w:val="00D71998"/>
    <w:rsid w:val="00D71E06"/>
    <w:rsid w:val="00D72F9A"/>
    <w:rsid w:val="00D7351B"/>
    <w:rsid w:val="00D73FF0"/>
    <w:rsid w:val="00D742E7"/>
    <w:rsid w:val="00D74CA2"/>
    <w:rsid w:val="00D74E4A"/>
    <w:rsid w:val="00D753FD"/>
    <w:rsid w:val="00D7617F"/>
    <w:rsid w:val="00D7624D"/>
    <w:rsid w:val="00D764C1"/>
    <w:rsid w:val="00D76687"/>
    <w:rsid w:val="00D76AF7"/>
    <w:rsid w:val="00D76D49"/>
    <w:rsid w:val="00D77751"/>
    <w:rsid w:val="00D77C75"/>
    <w:rsid w:val="00D77F70"/>
    <w:rsid w:val="00D80071"/>
    <w:rsid w:val="00D80720"/>
    <w:rsid w:val="00D80E92"/>
    <w:rsid w:val="00D818FC"/>
    <w:rsid w:val="00D8192C"/>
    <w:rsid w:val="00D82351"/>
    <w:rsid w:val="00D825B7"/>
    <w:rsid w:val="00D828AA"/>
    <w:rsid w:val="00D83BD5"/>
    <w:rsid w:val="00D83C4F"/>
    <w:rsid w:val="00D8409F"/>
    <w:rsid w:val="00D84320"/>
    <w:rsid w:val="00D84382"/>
    <w:rsid w:val="00D849E2"/>
    <w:rsid w:val="00D84EC6"/>
    <w:rsid w:val="00D85584"/>
    <w:rsid w:val="00D85687"/>
    <w:rsid w:val="00D90CEA"/>
    <w:rsid w:val="00D90F3C"/>
    <w:rsid w:val="00D912EA"/>
    <w:rsid w:val="00D9158D"/>
    <w:rsid w:val="00D92997"/>
    <w:rsid w:val="00D92F02"/>
    <w:rsid w:val="00D933DC"/>
    <w:rsid w:val="00D936F5"/>
    <w:rsid w:val="00D93C78"/>
    <w:rsid w:val="00D94877"/>
    <w:rsid w:val="00D953A3"/>
    <w:rsid w:val="00D95449"/>
    <w:rsid w:val="00D95516"/>
    <w:rsid w:val="00D96E86"/>
    <w:rsid w:val="00D96EE1"/>
    <w:rsid w:val="00D96FEB"/>
    <w:rsid w:val="00D9710F"/>
    <w:rsid w:val="00D97ADA"/>
    <w:rsid w:val="00DA0B03"/>
    <w:rsid w:val="00DA15C9"/>
    <w:rsid w:val="00DA1646"/>
    <w:rsid w:val="00DA1BA6"/>
    <w:rsid w:val="00DA1BF3"/>
    <w:rsid w:val="00DA278D"/>
    <w:rsid w:val="00DA2D15"/>
    <w:rsid w:val="00DA3188"/>
    <w:rsid w:val="00DA3B78"/>
    <w:rsid w:val="00DA4095"/>
    <w:rsid w:val="00DA4C63"/>
    <w:rsid w:val="00DA4EA0"/>
    <w:rsid w:val="00DA512F"/>
    <w:rsid w:val="00DA56C9"/>
    <w:rsid w:val="00DA573E"/>
    <w:rsid w:val="00DA5835"/>
    <w:rsid w:val="00DA5EBD"/>
    <w:rsid w:val="00DA6502"/>
    <w:rsid w:val="00DA6E24"/>
    <w:rsid w:val="00DA7EB8"/>
    <w:rsid w:val="00DB0173"/>
    <w:rsid w:val="00DB036D"/>
    <w:rsid w:val="00DB040C"/>
    <w:rsid w:val="00DB15E3"/>
    <w:rsid w:val="00DB16CC"/>
    <w:rsid w:val="00DB198E"/>
    <w:rsid w:val="00DB1F05"/>
    <w:rsid w:val="00DB28FC"/>
    <w:rsid w:val="00DB2ACC"/>
    <w:rsid w:val="00DB2D45"/>
    <w:rsid w:val="00DB33F1"/>
    <w:rsid w:val="00DB36F6"/>
    <w:rsid w:val="00DB39D9"/>
    <w:rsid w:val="00DB42AA"/>
    <w:rsid w:val="00DB441D"/>
    <w:rsid w:val="00DB46C3"/>
    <w:rsid w:val="00DB47E9"/>
    <w:rsid w:val="00DB5703"/>
    <w:rsid w:val="00DB5EC9"/>
    <w:rsid w:val="00DB66FE"/>
    <w:rsid w:val="00DB6A1C"/>
    <w:rsid w:val="00DB6D35"/>
    <w:rsid w:val="00DB706B"/>
    <w:rsid w:val="00DB7791"/>
    <w:rsid w:val="00DB7DF3"/>
    <w:rsid w:val="00DC0525"/>
    <w:rsid w:val="00DC0821"/>
    <w:rsid w:val="00DC08F9"/>
    <w:rsid w:val="00DC1316"/>
    <w:rsid w:val="00DC2150"/>
    <w:rsid w:val="00DC24DD"/>
    <w:rsid w:val="00DC2721"/>
    <w:rsid w:val="00DC2819"/>
    <w:rsid w:val="00DC315A"/>
    <w:rsid w:val="00DC433D"/>
    <w:rsid w:val="00DC4FFE"/>
    <w:rsid w:val="00DC5321"/>
    <w:rsid w:val="00DC55A6"/>
    <w:rsid w:val="00DC587C"/>
    <w:rsid w:val="00DC612A"/>
    <w:rsid w:val="00DC62A7"/>
    <w:rsid w:val="00DC6F35"/>
    <w:rsid w:val="00DC718F"/>
    <w:rsid w:val="00DD03FE"/>
    <w:rsid w:val="00DD0737"/>
    <w:rsid w:val="00DD1507"/>
    <w:rsid w:val="00DD183F"/>
    <w:rsid w:val="00DD184F"/>
    <w:rsid w:val="00DD1CFE"/>
    <w:rsid w:val="00DD2774"/>
    <w:rsid w:val="00DD2AAC"/>
    <w:rsid w:val="00DD2EAE"/>
    <w:rsid w:val="00DD3643"/>
    <w:rsid w:val="00DD3B24"/>
    <w:rsid w:val="00DD3E32"/>
    <w:rsid w:val="00DD48BD"/>
    <w:rsid w:val="00DD49CD"/>
    <w:rsid w:val="00DD674B"/>
    <w:rsid w:val="00DD72CC"/>
    <w:rsid w:val="00DD7E37"/>
    <w:rsid w:val="00DE0BDF"/>
    <w:rsid w:val="00DE16BC"/>
    <w:rsid w:val="00DE1F99"/>
    <w:rsid w:val="00DE22BF"/>
    <w:rsid w:val="00DE2610"/>
    <w:rsid w:val="00DE335D"/>
    <w:rsid w:val="00DE35B6"/>
    <w:rsid w:val="00DE3BC3"/>
    <w:rsid w:val="00DE3EE0"/>
    <w:rsid w:val="00DE4038"/>
    <w:rsid w:val="00DE4810"/>
    <w:rsid w:val="00DE49E1"/>
    <w:rsid w:val="00DE4C07"/>
    <w:rsid w:val="00DE4E30"/>
    <w:rsid w:val="00DE5295"/>
    <w:rsid w:val="00DE6400"/>
    <w:rsid w:val="00DE67F1"/>
    <w:rsid w:val="00DE68C7"/>
    <w:rsid w:val="00DE7ADD"/>
    <w:rsid w:val="00DE7FC0"/>
    <w:rsid w:val="00DF0222"/>
    <w:rsid w:val="00DF1963"/>
    <w:rsid w:val="00DF1F9A"/>
    <w:rsid w:val="00DF2142"/>
    <w:rsid w:val="00DF23AE"/>
    <w:rsid w:val="00DF2B7D"/>
    <w:rsid w:val="00DF2BDD"/>
    <w:rsid w:val="00DF3728"/>
    <w:rsid w:val="00DF3F59"/>
    <w:rsid w:val="00DF404D"/>
    <w:rsid w:val="00DF4DD0"/>
    <w:rsid w:val="00DF4F5F"/>
    <w:rsid w:val="00DF59FF"/>
    <w:rsid w:val="00DF5E79"/>
    <w:rsid w:val="00DF6AC1"/>
    <w:rsid w:val="00DF6F43"/>
    <w:rsid w:val="00DF6F5A"/>
    <w:rsid w:val="00DF764E"/>
    <w:rsid w:val="00DF7850"/>
    <w:rsid w:val="00DF7915"/>
    <w:rsid w:val="00DF7A98"/>
    <w:rsid w:val="00DF7B23"/>
    <w:rsid w:val="00E00422"/>
    <w:rsid w:val="00E00777"/>
    <w:rsid w:val="00E00B1A"/>
    <w:rsid w:val="00E01C28"/>
    <w:rsid w:val="00E032F7"/>
    <w:rsid w:val="00E0424D"/>
    <w:rsid w:val="00E045C5"/>
    <w:rsid w:val="00E047F6"/>
    <w:rsid w:val="00E055D0"/>
    <w:rsid w:val="00E05E04"/>
    <w:rsid w:val="00E06419"/>
    <w:rsid w:val="00E07974"/>
    <w:rsid w:val="00E10058"/>
    <w:rsid w:val="00E1077E"/>
    <w:rsid w:val="00E10899"/>
    <w:rsid w:val="00E110CA"/>
    <w:rsid w:val="00E11D3E"/>
    <w:rsid w:val="00E11F93"/>
    <w:rsid w:val="00E136FC"/>
    <w:rsid w:val="00E13CEB"/>
    <w:rsid w:val="00E13D35"/>
    <w:rsid w:val="00E13F67"/>
    <w:rsid w:val="00E14985"/>
    <w:rsid w:val="00E14B97"/>
    <w:rsid w:val="00E14D97"/>
    <w:rsid w:val="00E1502F"/>
    <w:rsid w:val="00E1636B"/>
    <w:rsid w:val="00E16501"/>
    <w:rsid w:val="00E168D6"/>
    <w:rsid w:val="00E16AC0"/>
    <w:rsid w:val="00E172C4"/>
    <w:rsid w:val="00E17DB9"/>
    <w:rsid w:val="00E20043"/>
    <w:rsid w:val="00E20101"/>
    <w:rsid w:val="00E208B1"/>
    <w:rsid w:val="00E20F25"/>
    <w:rsid w:val="00E21478"/>
    <w:rsid w:val="00E21656"/>
    <w:rsid w:val="00E21951"/>
    <w:rsid w:val="00E21BE4"/>
    <w:rsid w:val="00E21FCD"/>
    <w:rsid w:val="00E2223B"/>
    <w:rsid w:val="00E2248E"/>
    <w:rsid w:val="00E23538"/>
    <w:rsid w:val="00E236D5"/>
    <w:rsid w:val="00E23DAB"/>
    <w:rsid w:val="00E24383"/>
    <w:rsid w:val="00E24672"/>
    <w:rsid w:val="00E2487C"/>
    <w:rsid w:val="00E25316"/>
    <w:rsid w:val="00E254C7"/>
    <w:rsid w:val="00E25DEF"/>
    <w:rsid w:val="00E2646E"/>
    <w:rsid w:val="00E27143"/>
    <w:rsid w:val="00E30801"/>
    <w:rsid w:val="00E316C8"/>
    <w:rsid w:val="00E318FA"/>
    <w:rsid w:val="00E324AA"/>
    <w:rsid w:val="00E32600"/>
    <w:rsid w:val="00E32991"/>
    <w:rsid w:val="00E333EF"/>
    <w:rsid w:val="00E33F0A"/>
    <w:rsid w:val="00E33F29"/>
    <w:rsid w:val="00E34520"/>
    <w:rsid w:val="00E35A00"/>
    <w:rsid w:val="00E360FD"/>
    <w:rsid w:val="00E361EC"/>
    <w:rsid w:val="00E36864"/>
    <w:rsid w:val="00E36B64"/>
    <w:rsid w:val="00E36ED5"/>
    <w:rsid w:val="00E37591"/>
    <w:rsid w:val="00E37825"/>
    <w:rsid w:val="00E37B80"/>
    <w:rsid w:val="00E4016A"/>
    <w:rsid w:val="00E40BE7"/>
    <w:rsid w:val="00E40C54"/>
    <w:rsid w:val="00E40F47"/>
    <w:rsid w:val="00E4144D"/>
    <w:rsid w:val="00E422AE"/>
    <w:rsid w:val="00E42328"/>
    <w:rsid w:val="00E42601"/>
    <w:rsid w:val="00E44146"/>
    <w:rsid w:val="00E445BC"/>
    <w:rsid w:val="00E452D3"/>
    <w:rsid w:val="00E45A5F"/>
    <w:rsid w:val="00E45E21"/>
    <w:rsid w:val="00E46274"/>
    <w:rsid w:val="00E46D5E"/>
    <w:rsid w:val="00E46F07"/>
    <w:rsid w:val="00E47103"/>
    <w:rsid w:val="00E47A60"/>
    <w:rsid w:val="00E513FA"/>
    <w:rsid w:val="00E514C8"/>
    <w:rsid w:val="00E53113"/>
    <w:rsid w:val="00E53E84"/>
    <w:rsid w:val="00E53F9A"/>
    <w:rsid w:val="00E54063"/>
    <w:rsid w:val="00E5413C"/>
    <w:rsid w:val="00E5421D"/>
    <w:rsid w:val="00E56399"/>
    <w:rsid w:val="00E61520"/>
    <w:rsid w:val="00E62410"/>
    <w:rsid w:val="00E645EE"/>
    <w:rsid w:val="00E6490E"/>
    <w:rsid w:val="00E64982"/>
    <w:rsid w:val="00E65724"/>
    <w:rsid w:val="00E6609F"/>
    <w:rsid w:val="00E6629E"/>
    <w:rsid w:val="00E663A0"/>
    <w:rsid w:val="00E665A5"/>
    <w:rsid w:val="00E66955"/>
    <w:rsid w:val="00E66B3F"/>
    <w:rsid w:val="00E67B05"/>
    <w:rsid w:val="00E702AA"/>
    <w:rsid w:val="00E7083E"/>
    <w:rsid w:val="00E70F46"/>
    <w:rsid w:val="00E70FE9"/>
    <w:rsid w:val="00E710DD"/>
    <w:rsid w:val="00E71FE9"/>
    <w:rsid w:val="00E72EBE"/>
    <w:rsid w:val="00E730E9"/>
    <w:rsid w:val="00E73256"/>
    <w:rsid w:val="00E733DE"/>
    <w:rsid w:val="00E73799"/>
    <w:rsid w:val="00E73EB1"/>
    <w:rsid w:val="00E746C6"/>
    <w:rsid w:val="00E75267"/>
    <w:rsid w:val="00E7622D"/>
    <w:rsid w:val="00E76465"/>
    <w:rsid w:val="00E76EFD"/>
    <w:rsid w:val="00E77876"/>
    <w:rsid w:val="00E7787F"/>
    <w:rsid w:val="00E80233"/>
    <w:rsid w:val="00E80357"/>
    <w:rsid w:val="00E8050B"/>
    <w:rsid w:val="00E80A81"/>
    <w:rsid w:val="00E81281"/>
    <w:rsid w:val="00E81829"/>
    <w:rsid w:val="00E81BEE"/>
    <w:rsid w:val="00E8217F"/>
    <w:rsid w:val="00E82326"/>
    <w:rsid w:val="00E8378A"/>
    <w:rsid w:val="00E83959"/>
    <w:rsid w:val="00E847C2"/>
    <w:rsid w:val="00E84D4D"/>
    <w:rsid w:val="00E863B3"/>
    <w:rsid w:val="00E8665C"/>
    <w:rsid w:val="00E86967"/>
    <w:rsid w:val="00E869CE"/>
    <w:rsid w:val="00E86B4F"/>
    <w:rsid w:val="00E86FAE"/>
    <w:rsid w:val="00E87318"/>
    <w:rsid w:val="00E87DD4"/>
    <w:rsid w:val="00E90728"/>
    <w:rsid w:val="00E90B9A"/>
    <w:rsid w:val="00E90CC4"/>
    <w:rsid w:val="00E913B9"/>
    <w:rsid w:val="00E91AD6"/>
    <w:rsid w:val="00E92024"/>
    <w:rsid w:val="00E92D3F"/>
    <w:rsid w:val="00E92EE8"/>
    <w:rsid w:val="00E9315B"/>
    <w:rsid w:val="00E93565"/>
    <w:rsid w:val="00E9371F"/>
    <w:rsid w:val="00E94321"/>
    <w:rsid w:val="00E9495D"/>
    <w:rsid w:val="00E94B4B"/>
    <w:rsid w:val="00E95229"/>
    <w:rsid w:val="00E9572F"/>
    <w:rsid w:val="00E95A9B"/>
    <w:rsid w:val="00E95B5B"/>
    <w:rsid w:val="00E964D8"/>
    <w:rsid w:val="00E96A57"/>
    <w:rsid w:val="00E96BD1"/>
    <w:rsid w:val="00E96F8D"/>
    <w:rsid w:val="00E9724D"/>
    <w:rsid w:val="00E97610"/>
    <w:rsid w:val="00E97839"/>
    <w:rsid w:val="00E9797D"/>
    <w:rsid w:val="00EA1727"/>
    <w:rsid w:val="00EA1CE2"/>
    <w:rsid w:val="00EA1D86"/>
    <w:rsid w:val="00EA1F4B"/>
    <w:rsid w:val="00EA2073"/>
    <w:rsid w:val="00EA2746"/>
    <w:rsid w:val="00EA2864"/>
    <w:rsid w:val="00EA2AEA"/>
    <w:rsid w:val="00EA3223"/>
    <w:rsid w:val="00EA3601"/>
    <w:rsid w:val="00EA36CC"/>
    <w:rsid w:val="00EA37AE"/>
    <w:rsid w:val="00EA383E"/>
    <w:rsid w:val="00EA4074"/>
    <w:rsid w:val="00EA435F"/>
    <w:rsid w:val="00EA476D"/>
    <w:rsid w:val="00EA4F58"/>
    <w:rsid w:val="00EA5F9A"/>
    <w:rsid w:val="00EA5FFB"/>
    <w:rsid w:val="00EA6100"/>
    <w:rsid w:val="00EA6AE5"/>
    <w:rsid w:val="00EA6BBB"/>
    <w:rsid w:val="00EA70EF"/>
    <w:rsid w:val="00EB0208"/>
    <w:rsid w:val="00EB0608"/>
    <w:rsid w:val="00EB17AB"/>
    <w:rsid w:val="00EB1F9F"/>
    <w:rsid w:val="00EB2668"/>
    <w:rsid w:val="00EB31B9"/>
    <w:rsid w:val="00EB3705"/>
    <w:rsid w:val="00EB45CE"/>
    <w:rsid w:val="00EB4C18"/>
    <w:rsid w:val="00EB5C41"/>
    <w:rsid w:val="00EB61C2"/>
    <w:rsid w:val="00EB63CD"/>
    <w:rsid w:val="00EB6CB8"/>
    <w:rsid w:val="00EB6E32"/>
    <w:rsid w:val="00EB6F54"/>
    <w:rsid w:val="00EC02B3"/>
    <w:rsid w:val="00EC0A75"/>
    <w:rsid w:val="00EC1B11"/>
    <w:rsid w:val="00EC1DB2"/>
    <w:rsid w:val="00EC26B2"/>
    <w:rsid w:val="00EC2B83"/>
    <w:rsid w:val="00EC30F2"/>
    <w:rsid w:val="00EC383B"/>
    <w:rsid w:val="00EC3897"/>
    <w:rsid w:val="00EC3D6B"/>
    <w:rsid w:val="00EC3DC6"/>
    <w:rsid w:val="00EC41FD"/>
    <w:rsid w:val="00EC42F8"/>
    <w:rsid w:val="00EC4EB4"/>
    <w:rsid w:val="00EC4EED"/>
    <w:rsid w:val="00EC4F41"/>
    <w:rsid w:val="00EC521C"/>
    <w:rsid w:val="00EC5EA6"/>
    <w:rsid w:val="00EC706E"/>
    <w:rsid w:val="00EC7532"/>
    <w:rsid w:val="00EC7D0C"/>
    <w:rsid w:val="00ED07DC"/>
    <w:rsid w:val="00ED0802"/>
    <w:rsid w:val="00ED0DAB"/>
    <w:rsid w:val="00ED10E1"/>
    <w:rsid w:val="00ED123E"/>
    <w:rsid w:val="00ED1455"/>
    <w:rsid w:val="00ED156D"/>
    <w:rsid w:val="00ED1B79"/>
    <w:rsid w:val="00ED22B9"/>
    <w:rsid w:val="00ED23A7"/>
    <w:rsid w:val="00ED27BF"/>
    <w:rsid w:val="00ED375E"/>
    <w:rsid w:val="00ED3ECC"/>
    <w:rsid w:val="00ED48D2"/>
    <w:rsid w:val="00ED4AE7"/>
    <w:rsid w:val="00ED4B97"/>
    <w:rsid w:val="00ED5136"/>
    <w:rsid w:val="00ED5B4C"/>
    <w:rsid w:val="00ED681E"/>
    <w:rsid w:val="00ED69DB"/>
    <w:rsid w:val="00ED70BA"/>
    <w:rsid w:val="00ED7387"/>
    <w:rsid w:val="00EE0B5B"/>
    <w:rsid w:val="00EE0E00"/>
    <w:rsid w:val="00EE2C98"/>
    <w:rsid w:val="00EE373C"/>
    <w:rsid w:val="00EE4B50"/>
    <w:rsid w:val="00EE5291"/>
    <w:rsid w:val="00EE5B9B"/>
    <w:rsid w:val="00EE5BDF"/>
    <w:rsid w:val="00EE5DB8"/>
    <w:rsid w:val="00EE6089"/>
    <w:rsid w:val="00EE67BA"/>
    <w:rsid w:val="00EE6FBB"/>
    <w:rsid w:val="00EE724F"/>
    <w:rsid w:val="00EE7738"/>
    <w:rsid w:val="00EE7AE2"/>
    <w:rsid w:val="00EE7DA7"/>
    <w:rsid w:val="00EE7DD4"/>
    <w:rsid w:val="00EE7F25"/>
    <w:rsid w:val="00EF0129"/>
    <w:rsid w:val="00EF0787"/>
    <w:rsid w:val="00EF09A6"/>
    <w:rsid w:val="00EF0B69"/>
    <w:rsid w:val="00EF0FCD"/>
    <w:rsid w:val="00EF14B4"/>
    <w:rsid w:val="00EF157E"/>
    <w:rsid w:val="00EF188F"/>
    <w:rsid w:val="00EF202D"/>
    <w:rsid w:val="00EF2705"/>
    <w:rsid w:val="00EF2993"/>
    <w:rsid w:val="00EF35B0"/>
    <w:rsid w:val="00EF37CB"/>
    <w:rsid w:val="00EF381C"/>
    <w:rsid w:val="00EF3B68"/>
    <w:rsid w:val="00EF3D56"/>
    <w:rsid w:val="00EF4C4B"/>
    <w:rsid w:val="00EF56D4"/>
    <w:rsid w:val="00EF5701"/>
    <w:rsid w:val="00EF5816"/>
    <w:rsid w:val="00EF647A"/>
    <w:rsid w:val="00EF6F64"/>
    <w:rsid w:val="00F007EB"/>
    <w:rsid w:val="00F0152D"/>
    <w:rsid w:val="00F01D0D"/>
    <w:rsid w:val="00F022AC"/>
    <w:rsid w:val="00F02909"/>
    <w:rsid w:val="00F03387"/>
    <w:rsid w:val="00F040D6"/>
    <w:rsid w:val="00F0415F"/>
    <w:rsid w:val="00F052CF"/>
    <w:rsid w:val="00F06665"/>
    <w:rsid w:val="00F06B63"/>
    <w:rsid w:val="00F0730B"/>
    <w:rsid w:val="00F073F4"/>
    <w:rsid w:val="00F07F8B"/>
    <w:rsid w:val="00F1038D"/>
    <w:rsid w:val="00F10A40"/>
    <w:rsid w:val="00F10C5A"/>
    <w:rsid w:val="00F11A54"/>
    <w:rsid w:val="00F12373"/>
    <w:rsid w:val="00F12535"/>
    <w:rsid w:val="00F13857"/>
    <w:rsid w:val="00F138DB"/>
    <w:rsid w:val="00F13972"/>
    <w:rsid w:val="00F1415E"/>
    <w:rsid w:val="00F14417"/>
    <w:rsid w:val="00F150D0"/>
    <w:rsid w:val="00F1510F"/>
    <w:rsid w:val="00F154FC"/>
    <w:rsid w:val="00F155ED"/>
    <w:rsid w:val="00F15F03"/>
    <w:rsid w:val="00F16147"/>
    <w:rsid w:val="00F16A2D"/>
    <w:rsid w:val="00F17752"/>
    <w:rsid w:val="00F17C30"/>
    <w:rsid w:val="00F20378"/>
    <w:rsid w:val="00F211BF"/>
    <w:rsid w:val="00F21474"/>
    <w:rsid w:val="00F21C10"/>
    <w:rsid w:val="00F22027"/>
    <w:rsid w:val="00F22AD1"/>
    <w:rsid w:val="00F22BF9"/>
    <w:rsid w:val="00F2347B"/>
    <w:rsid w:val="00F2387D"/>
    <w:rsid w:val="00F23D15"/>
    <w:rsid w:val="00F24C42"/>
    <w:rsid w:val="00F24D6F"/>
    <w:rsid w:val="00F25822"/>
    <w:rsid w:val="00F25982"/>
    <w:rsid w:val="00F25A3E"/>
    <w:rsid w:val="00F2639C"/>
    <w:rsid w:val="00F274B6"/>
    <w:rsid w:val="00F27D67"/>
    <w:rsid w:val="00F304D2"/>
    <w:rsid w:val="00F30E30"/>
    <w:rsid w:val="00F31658"/>
    <w:rsid w:val="00F31C18"/>
    <w:rsid w:val="00F31E71"/>
    <w:rsid w:val="00F320E2"/>
    <w:rsid w:val="00F3251D"/>
    <w:rsid w:val="00F33E8C"/>
    <w:rsid w:val="00F343F4"/>
    <w:rsid w:val="00F34687"/>
    <w:rsid w:val="00F34767"/>
    <w:rsid w:val="00F348DA"/>
    <w:rsid w:val="00F34F83"/>
    <w:rsid w:val="00F3536E"/>
    <w:rsid w:val="00F353D6"/>
    <w:rsid w:val="00F35D09"/>
    <w:rsid w:val="00F372B1"/>
    <w:rsid w:val="00F37851"/>
    <w:rsid w:val="00F37CA8"/>
    <w:rsid w:val="00F40022"/>
    <w:rsid w:val="00F406AB"/>
    <w:rsid w:val="00F40B9E"/>
    <w:rsid w:val="00F40FD2"/>
    <w:rsid w:val="00F4215A"/>
    <w:rsid w:val="00F4237D"/>
    <w:rsid w:val="00F4298C"/>
    <w:rsid w:val="00F429B6"/>
    <w:rsid w:val="00F4311E"/>
    <w:rsid w:val="00F433BB"/>
    <w:rsid w:val="00F43ABB"/>
    <w:rsid w:val="00F43EFC"/>
    <w:rsid w:val="00F43F40"/>
    <w:rsid w:val="00F44269"/>
    <w:rsid w:val="00F44F4A"/>
    <w:rsid w:val="00F450F4"/>
    <w:rsid w:val="00F45F3A"/>
    <w:rsid w:val="00F465A5"/>
    <w:rsid w:val="00F4685E"/>
    <w:rsid w:val="00F469CA"/>
    <w:rsid w:val="00F4728E"/>
    <w:rsid w:val="00F474C6"/>
    <w:rsid w:val="00F47654"/>
    <w:rsid w:val="00F47BF8"/>
    <w:rsid w:val="00F47D35"/>
    <w:rsid w:val="00F500AE"/>
    <w:rsid w:val="00F50101"/>
    <w:rsid w:val="00F5048B"/>
    <w:rsid w:val="00F507DF"/>
    <w:rsid w:val="00F511D1"/>
    <w:rsid w:val="00F51E6A"/>
    <w:rsid w:val="00F522E0"/>
    <w:rsid w:val="00F52EF4"/>
    <w:rsid w:val="00F53034"/>
    <w:rsid w:val="00F53514"/>
    <w:rsid w:val="00F5386D"/>
    <w:rsid w:val="00F53CA2"/>
    <w:rsid w:val="00F5460C"/>
    <w:rsid w:val="00F55488"/>
    <w:rsid w:val="00F559D2"/>
    <w:rsid w:val="00F56B39"/>
    <w:rsid w:val="00F57D6A"/>
    <w:rsid w:val="00F6189D"/>
    <w:rsid w:val="00F61A65"/>
    <w:rsid w:val="00F625B4"/>
    <w:rsid w:val="00F63CAE"/>
    <w:rsid w:val="00F63CEF"/>
    <w:rsid w:val="00F6478D"/>
    <w:rsid w:val="00F64C94"/>
    <w:rsid w:val="00F64D64"/>
    <w:rsid w:val="00F651A8"/>
    <w:rsid w:val="00F652B3"/>
    <w:rsid w:val="00F65385"/>
    <w:rsid w:val="00F654E4"/>
    <w:rsid w:val="00F655A1"/>
    <w:rsid w:val="00F6639E"/>
    <w:rsid w:val="00F666EE"/>
    <w:rsid w:val="00F672C2"/>
    <w:rsid w:val="00F677B7"/>
    <w:rsid w:val="00F67FDD"/>
    <w:rsid w:val="00F704AF"/>
    <w:rsid w:val="00F707FC"/>
    <w:rsid w:val="00F70902"/>
    <w:rsid w:val="00F71089"/>
    <w:rsid w:val="00F71181"/>
    <w:rsid w:val="00F71495"/>
    <w:rsid w:val="00F71BBC"/>
    <w:rsid w:val="00F71C5C"/>
    <w:rsid w:val="00F720D3"/>
    <w:rsid w:val="00F7299D"/>
    <w:rsid w:val="00F73070"/>
    <w:rsid w:val="00F73D1F"/>
    <w:rsid w:val="00F73E17"/>
    <w:rsid w:val="00F7403B"/>
    <w:rsid w:val="00F74132"/>
    <w:rsid w:val="00F74520"/>
    <w:rsid w:val="00F74925"/>
    <w:rsid w:val="00F74A63"/>
    <w:rsid w:val="00F74EDB"/>
    <w:rsid w:val="00F7636C"/>
    <w:rsid w:val="00F763BA"/>
    <w:rsid w:val="00F76FC5"/>
    <w:rsid w:val="00F77423"/>
    <w:rsid w:val="00F77C61"/>
    <w:rsid w:val="00F81C96"/>
    <w:rsid w:val="00F81D03"/>
    <w:rsid w:val="00F81E4C"/>
    <w:rsid w:val="00F82B1D"/>
    <w:rsid w:val="00F82F6D"/>
    <w:rsid w:val="00F83915"/>
    <w:rsid w:val="00F83EED"/>
    <w:rsid w:val="00F84276"/>
    <w:rsid w:val="00F84CBD"/>
    <w:rsid w:val="00F84F0E"/>
    <w:rsid w:val="00F85524"/>
    <w:rsid w:val="00F8579D"/>
    <w:rsid w:val="00F859DA"/>
    <w:rsid w:val="00F85D5C"/>
    <w:rsid w:val="00F86164"/>
    <w:rsid w:val="00F86390"/>
    <w:rsid w:val="00F86459"/>
    <w:rsid w:val="00F86604"/>
    <w:rsid w:val="00F867C6"/>
    <w:rsid w:val="00F904CD"/>
    <w:rsid w:val="00F90516"/>
    <w:rsid w:val="00F90E1C"/>
    <w:rsid w:val="00F91801"/>
    <w:rsid w:val="00F93313"/>
    <w:rsid w:val="00F93556"/>
    <w:rsid w:val="00F935DA"/>
    <w:rsid w:val="00F93AEF"/>
    <w:rsid w:val="00F94B22"/>
    <w:rsid w:val="00F95DCC"/>
    <w:rsid w:val="00F95E65"/>
    <w:rsid w:val="00F96E4C"/>
    <w:rsid w:val="00F96EEE"/>
    <w:rsid w:val="00FA07F3"/>
    <w:rsid w:val="00FA09C3"/>
    <w:rsid w:val="00FA0E9D"/>
    <w:rsid w:val="00FA140D"/>
    <w:rsid w:val="00FA1BC4"/>
    <w:rsid w:val="00FA2E4F"/>
    <w:rsid w:val="00FA2F94"/>
    <w:rsid w:val="00FA36DF"/>
    <w:rsid w:val="00FA3995"/>
    <w:rsid w:val="00FA3B40"/>
    <w:rsid w:val="00FA4449"/>
    <w:rsid w:val="00FA4F1E"/>
    <w:rsid w:val="00FA4F55"/>
    <w:rsid w:val="00FA526B"/>
    <w:rsid w:val="00FA5A98"/>
    <w:rsid w:val="00FA5AE0"/>
    <w:rsid w:val="00FA5BB8"/>
    <w:rsid w:val="00FA5CF4"/>
    <w:rsid w:val="00FA64AB"/>
    <w:rsid w:val="00FA6667"/>
    <w:rsid w:val="00FB1185"/>
    <w:rsid w:val="00FB144E"/>
    <w:rsid w:val="00FB2D4E"/>
    <w:rsid w:val="00FB2E60"/>
    <w:rsid w:val="00FB3434"/>
    <w:rsid w:val="00FB3D5C"/>
    <w:rsid w:val="00FB4EFF"/>
    <w:rsid w:val="00FB5445"/>
    <w:rsid w:val="00FB54CC"/>
    <w:rsid w:val="00FB58A3"/>
    <w:rsid w:val="00FB749C"/>
    <w:rsid w:val="00FB752E"/>
    <w:rsid w:val="00FB7B9B"/>
    <w:rsid w:val="00FC023F"/>
    <w:rsid w:val="00FC0448"/>
    <w:rsid w:val="00FC04DD"/>
    <w:rsid w:val="00FC12AA"/>
    <w:rsid w:val="00FC1555"/>
    <w:rsid w:val="00FC23EE"/>
    <w:rsid w:val="00FC254D"/>
    <w:rsid w:val="00FC2E76"/>
    <w:rsid w:val="00FC2FF4"/>
    <w:rsid w:val="00FC3216"/>
    <w:rsid w:val="00FC335D"/>
    <w:rsid w:val="00FC349F"/>
    <w:rsid w:val="00FC36C6"/>
    <w:rsid w:val="00FC4B26"/>
    <w:rsid w:val="00FC4CC9"/>
    <w:rsid w:val="00FC5076"/>
    <w:rsid w:val="00FC50D0"/>
    <w:rsid w:val="00FC62C0"/>
    <w:rsid w:val="00FC67D3"/>
    <w:rsid w:val="00FC7189"/>
    <w:rsid w:val="00FC71E1"/>
    <w:rsid w:val="00FC7E8E"/>
    <w:rsid w:val="00FD051A"/>
    <w:rsid w:val="00FD17F5"/>
    <w:rsid w:val="00FD18E1"/>
    <w:rsid w:val="00FD29A4"/>
    <w:rsid w:val="00FD2F77"/>
    <w:rsid w:val="00FD3731"/>
    <w:rsid w:val="00FD3A5C"/>
    <w:rsid w:val="00FD4523"/>
    <w:rsid w:val="00FD4B17"/>
    <w:rsid w:val="00FD4F9D"/>
    <w:rsid w:val="00FD5704"/>
    <w:rsid w:val="00FD592B"/>
    <w:rsid w:val="00FD5CC3"/>
    <w:rsid w:val="00FD5FBD"/>
    <w:rsid w:val="00FD637D"/>
    <w:rsid w:val="00FD74F3"/>
    <w:rsid w:val="00FD77F6"/>
    <w:rsid w:val="00FD79CE"/>
    <w:rsid w:val="00FE0230"/>
    <w:rsid w:val="00FE0782"/>
    <w:rsid w:val="00FE0D7F"/>
    <w:rsid w:val="00FE11A4"/>
    <w:rsid w:val="00FE138A"/>
    <w:rsid w:val="00FE193D"/>
    <w:rsid w:val="00FE1E3E"/>
    <w:rsid w:val="00FE2089"/>
    <w:rsid w:val="00FE2645"/>
    <w:rsid w:val="00FE2B72"/>
    <w:rsid w:val="00FE427E"/>
    <w:rsid w:val="00FE4460"/>
    <w:rsid w:val="00FE4492"/>
    <w:rsid w:val="00FE4647"/>
    <w:rsid w:val="00FE51EB"/>
    <w:rsid w:val="00FE6691"/>
    <w:rsid w:val="00FE6C5C"/>
    <w:rsid w:val="00FE76EE"/>
    <w:rsid w:val="00FE79BD"/>
    <w:rsid w:val="00FE7C49"/>
    <w:rsid w:val="00FE7DCB"/>
    <w:rsid w:val="00FE7E23"/>
    <w:rsid w:val="00FE7E5B"/>
    <w:rsid w:val="00FF0B0B"/>
    <w:rsid w:val="00FF13C3"/>
    <w:rsid w:val="00FF19EA"/>
    <w:rsid w:val="00FF24CF"/>
    <w:rsid w:val="00FF2ED6"/>
    <w:rsid w:val="00FF36EC"/>
    <w:rsid w:val="00FF38E1"/>
    <w:rsid w:val="00FF48CC"/>
    <w:rsid w:val="00FF4CA7"/>
    <w:rsid w:val="00FF4E1D"/>
    <w:rsid w:val="00FF4EE9"/>
    <w:rsid w:val="00FF61B0"/>
    <w:rsid w:val="00FF61D3"/>
    <w:rsid w:val="00FF6998"/>
    <w:rsid w:val="00FF721A"/>
    <w:rsid w:val="00FF72AB"/>
    <w:rsid w:val="00FF7FE5"/>
    <w:rsid w:val="16C79E2A"/>
    <w:rsid w:val="18FB0A70"/>
    <w:rsid w:val="436CF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E70B99C"/>
  <w15:chartTrackingRefBased/>
  <w15:docId w15:val="{E4B8588D-C798-489E-8EAD-905443AB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12"/>
    <w:rPr>
      <w:rFonts w:ascii="Times New Roman" w:hAnsi="Times New Roman"/>
    </w:rPr>
  </w:style>
  <w:style w:type="paragraph" w:styleId="Heading1">
    <w:name w:val="heading 1"/>
    <w:aliases w:val="head1,Headline 1,cover1,intoduction,Chapter Hdg,Section,PDS TITLE,Oscar Faber 1,L1,New Section,PA Chapter,heading a,Outline1,Halcrow 1,Kapittel,Large Bold,Numbered - 1,heading 1,Chapter,Chapter head,CH,. (1.0),Do Not Use,Hoofdstuk"/>
    <w:basedOn w:val="Normal"/>
    <w:next w:val="Text1"/>
    <w:link w:val="Heading1Char"/>
    <w:uiPriority w:val="2"/>
    <w:qFormat/>
    <w:rsid w:val="006B087E"/>
    <w:pPr>
      <w:keepNext/>
      <w:tabs>
        <w:tab w:val="num" w:pos="480"/>
      </w:tabs>
      <w:spacing w:before="240" w:after="240" w:line="240" w:lineRule="auto"/>
      <w:ind w:left="480" w:hanging="480"/>
      <w:jc w:val="both"/>
      <w:outlineLvl w:val="0"/>
    </w:pPr>
    <w:rPr>
      <w:rFonts w:eastAsia="Times New Roman" w:cs="Times New Roman"/>
      <w:b/>
      <w:smallCaps/>
      <w:sz w:val="24"/>
      <w:szCs w:val="20"/>
    </w:rPr>
  </w:style>
  <w:style w:type="paragraph" w:styleId="Heading2">
    <w:name w:val="heading 2"/>
    <w:aliases w:val="Headline 2,h2,2,headi,heading2,h21,h22,21,H2,l2,kopregel 2,Dossier Head 2,-E Überschrift 2,(SubSection)"/>
    <w:basedOn w:val="Normal"/>
    <w:next w:val="Text2"/>
    <w:link w:val="Heading2Char"/>
    <w:uiPriority w:val="2"/>
    <w:qFormat/>
    <w:rsid w:val="00066952"/>
    <w:pPr>
      <w:keepNext/>
      <w:tabs>
        <w:tab w:val="num" w:pos="1200"/>
      </w:tabs>
      <w:spacing w:after="240" w:line="240" w:lineRule="auto"/>
      <w:ind w:left="1200" w:hanging="720"/>
      <w:jc w:val="both"/>
      <w:outlineLvl w:val="1"/>
    </w:pPr>
    <w:rPr>
      <w:rFonts w:eastAsia="Times New Roman" w:cs="Times New Roman"/>
      <w:b/>
      <w:sz w:val="24"/>
      <w:szCs w:val="20"/>
    </w:rPr>
  </w:style>
  <w:style w:type="paragraph" w:styleId="Heading3">
    <w:name w:val="heading 3"/>
    <w:aliases w:val="H3,H31,Headline 3,h3,h31,h32,-E Überschrift 3"/>
    <w:basedOn w:val="Normal"/>
    <w:next w:val="Normal"/>
    <w:link w:val="Heading3Char"/>
    <w:uiPriority w:val="2"/>
    <w:qFormat/>
    <w:rsid w:val="00060DA8"/>
    <w:pPr>
      <w:keepNext/>
      <w:tabs>
        <w:tab w:val="num" w:pos="1920"/>
      </w:tabs>
      <w:spacing w:after="240" w:line="240" w:lineRule="auto"/>
      <w:ind w:left="1920" w:hanging="720"/>
      <w:jc w:val="both"/>
      <w:outlineLvl w:val="2"/>
    </w:pPr>
    <w:rPr>
      <w:rFonts w:eastAsia="Times New Roman" w:cs="Times New Roman"/>
      <w:b/>
      <w:i/>
      <w:sz w:val="24"/>
      <w:szCs w:val="20"/>
    </w:rPr>
  </w:style>
  <w:style w:type="paragraph" w:styleId="Heading4">
    <w:name w:val="heading 4"/>
    <w:basedOn w:val="Normal"/>
    <w:next w:val="Normal"/>
    <w:link w:val="Heading4Char"/>
    <w:uiPriority w:val="2"/>
    <w:qFormat/>
    <w:rsid w:val="004F149E"/>
    <w:pPr>
      <w:keepNext/>
      <w:tabs>
        <w:tab w:val="num" w:pos="1920"/>
      </w:tabs>
      <w:spacing w:after="240" w:line="240" w:lineRule="auto"/>
      <w:ind w:left="1920" w:hanging="720"/>
      <w:jc w:val="both"/>
      <w:outlineLvl w:val="3"/>
    </w:pPr>
    <w:rPr>
      <w:rFonts w:eastAsia="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line 1 Char,cover1 Char,intoduction Char,Chapter Hdg Char,Section Char,PDS TITLE Char,Oscar Faber 1 Char,L1 Char,New Section Char,PA Chapter Char,heading a Char,Outline1 Char,Halcrow 1 Char,Kapittel Char,Large Bold Char"/>
    <w:basedOn w:val="DefaultParagraphFont"/>
    <w:link w:val="Heading1"/>
    <w:uiPriority w:val="2"/>
    <w:rsid w:val="006B087E"/>
    <w:rPr>
      <w:rFonts w:ascii="Times New Roman" w:eastAsia="Times New Roman" w:hAnsi="Times New Roman" w:cs="Times New Roman"/>
      <w:b/>
      <w:smallCaps/>
      <w:sz w:val="24"/>
      <w:szCs w:val="20"/>
    </w:rPr>
  </w:style>
  <w:style w:type="character" w:customStyle="1" w:styleId="Heading2Char">
    <w:name w:val="Heading 2 Char"/>
    <w:aliases w:val="Headline 2 Char,h2 Char,2 Char,headi Char,heading2 Char,h21 Char,h22 Char,21 Char,H2 Char,l2 Char,kopregel 2 Char,Dossier Head 2 Char,-E Überschrift 2 Char,(SubSection) Char"/>
    <w:basedOn w:val="DefaultParagraphFont"/>
    <w:link w:val="Heading2"/>
    <w:uiPriority w:val="2"/>
    <w:rsid w:val="00066952"/>
    <w:rPr>
      <w:rFonts w:ascii="Times New Roman" w:eastAsia="Times New Roman" w:hAnsi="Times New Roman" w:cs="Times New Roman"/>
      <w:b/>
      <w:sz w:val="24"/>
      <w:szCs w:val="20"/>
    </w:rPr>
  </w:style>
  <w:style w:type="character" w:customStyle="1" w:styleId="Heading3Char">
    <w:name w:val="Heading 3 Char"/>
    <w:aliases w:val="H3 Char,H31 Char,Headline 3 Char,h3 Char,h31 Char,h32 Char,-E Überschrift 3 Char"/>
    <w:basedOn w:val="DefaultParagraphFont"/>
    <w:link w:val="Heading3"/>
    <w:uiPriority w:val="2"/>
    <w:rsid w:val="00060DA8"/>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uiPriority w:val="2"/>
    <w:rsid w:val="004F149E"/>
    <w:rPr>
      <w:rFonts w:ascii="Times New Roman" w:eastAsia="Times New Roman" w:hAnsi="Times New Roman" w:cs="Times New Roman"/>
      <w:sz w:val="24"/>
      <w:szCs w:val="20"/>
    </w:rPr>
  </w:style>
  <w:style w:type="character" w:customStyle="1" w:styleId="Marker">
    <w:name w:val="Marker"/>
    <w:basedOn w:val="DefaultParagraphFont"/>
    <w:rsid w:val="006B087E"/>
    <w:rPr>
      <w:color w:val="0000FF"/>
      <w:shd w:val="clear" w:color="auto" w:fill="auto"/>
    </w:rPr>
  </w:style>
  <w:style w:type="paragraph" w:customStyle="1" w:styleId="Pagedecouverture">
    <w:name w:val="Page de couverture"/>
    <w:basedOn w:val="Normal"/>
    <w:next w:val="Normal"/>
    <w:rsid w:val="006B087E"/>
    <w:pPr>
      <w:spacing w:after="0" w:line="240" w:lineRule="auto"/>
      <w:jc w:val="both"/>
    </w:pPr>
    <w:rPr>
      <w:rFonts w:cs="Times New Roman"/>
      <w:sz w:val="24"/>
    </w:rPr>
  </w:style>
  <w:style w:type="paragraph" w:styleId="Header">
    <w:name w:val="header"/>
    <w:basedOn w:val="Normal"/>
    <w:link w:val="HeaderChar"/>
    <w:uiPriority w:val="99"/>
    <w:unhideWhenUsed/>
    <w:rsid w:val="006B087E"/>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sid w:val="006B087E"/>
    <w:rPr>
      <w:rFonts w:ascii="Times New Roman" w:hAnsi="Times New Roman" w:cs="Times New Roman"/>
      <w:sz w:val="24"/>
    </w:rPr>
  </w:style>
  <w:style w:type="paragraph" w:styleId="Footer">
    <w:name w:val="footer"/>
    <w:basedOn w:val="Normal"/>
    <w:link w:val="FooterChar"/>
    <w:uiPriority w:val="99"/>
    <w:unhideWhenUsed/>
    <w:rsid w:val="006B087E"/>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sid w:val="006B087E"/>
    <w:rPr>
      <w:rFonts w:ascii="Times New Roman" w:hAnsi="Times New Roman" w:cs="Times New Roman"/>
      <w:sz w:val="24"/>
    </w:rPr>
  </w:style>
  <w:style w:type="paragraph" w:customStyle="1" w:styleId="FooterCoverPage">
    <w:name w:val="Footer Cover Page"/>
    <w:basedOn w:val="Normal"/>
    <w:link w:val="FooterCoverPageChar"/>
    <w:rsid w:val="006B087E"/>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sid w:val="006B087E"/>
    <w:rPr>
      <w:rFonts w:ascii="Times New Roman" w:hAnsi="Times New Roman"/>
      <w:sz w:val="24"/>
    </w:rPr>
  </w:style>
  <w:style w:type="paragraph" w:customStyle="1" w:styleId="HeaderCoverPage">
    <w:name w:val="Header Cover Page"/>
    <w:basedOn w:val="Normal"/>
    <w:link w:val="HeaderCoverPageChar"/>
    <w:rsid w:val="006B087E"/>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sid w:val="006B087E"/>
    <w:rPr>
      <w:rFonts w:ascii="Times New Roman" w:hAnsi="Times New Roman"/>
      <w:sz w:val="24"/>
    </w:rPr>
  </w:style>
  <w:style w:type="paragraph" w:customStyle="1" w:styleId="Text1">
    <w:name w:val="Text 1"/>
    <w:basedOn w:val="Normal"/>
    <w:rsid w:val="006B087E"/>
    <w:pPr>
      <w:spacing w:after="240" w:line="240" w:lineRule="auto"/>
      <w:ind w:left="482"/>
      <w:jc w:val="both"/>
    </w:pPr>
    <w:rPr>
      <w:rFonts w:eastAsia="Times New Roman" w:cs="Times New Roman"/>
      <w:sz w:val="24"/>
      <w:szCs w:val="20"/>
    </w:rPr>
  </w:style>
  <w:style w:type="paragraph" w:customStyle="1" w:styleId="Text2">
    <w:name w:val="Text 2"/>
    <w:basedOn w:val="Normal"/>
    <w:rsid w:val="006B087E"/>
    <w:pPr>
      <w:tabs>
        <w:tab w:val="left" w:pos="2302"/>
      </w:tabs>
      <w:spacing w:after="240" w:line="240" w:lineRule="auto"/>
      <w:ind w:left="1202"/>
      <w:jc w:val="both"/>
    </w:pPr>
    <w:rPr>
      <w:rFonts w:eastAsia="Times New Roman" w:cs="Times New Roman"/>
      <w:sz w:val="24"/>
      <w:szCs w:val="20"/>
    </w:rPr>
  </w:style>
  <w:style w:type="paragraph" w:styleId="ListBullet">
    <w:name w:val="List Bullet"/>
    <w:basedOn w:val="Normal"/>
    <w:rsid w:val="006B087E"/>
    <w:pPr>
      <w:numPr>
        <w:numId w:val="1"/>
      </w:numPr>
      <w:spacing w:after="240" w:line="240" w:lineRule="auto"/>
      <w:jc w:val="both"/>
    </w:pPr>
    <w:rPr>
      <w:rFonts w:eastAsia="Times New Roman" w:cs="Times New Roman"/>
      <w:sz w:val="24"/>
      <w:szCs w:val="20"/>
    </w:rPr>
  </w:style>
  <w:style w:type="paragraph" w:customStyle="1" w:styleId="ListDash1">
    <w:name w:val="List Dash 1"/>
    <w:basedOn w:val="Text1"/>
    <w:rsid w:val="006B087E"/>
    <w:pPr>
      <w:numPr>
        <w:numId w:val="2"/>
      </w:numPr>
    </w:pPr>
  </w:style>
  <w:style w:type="table" w:styleId="TableGrid">
    <w:name w:val="Table Grid"/>
    <w:aliases w:val="Document Table,CV1,Standard table format,Table Grid IDEA,HTG,CV table,Deloitte,TabelrasterTNO,TabelEcorys,Simple table,Table Format 1"/>
    <w:basedOn w:val="TableNormal"/>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6B087E"/>
    <w:pPr>
      <w:keepNext/>
      <w:spacing w:after="480" w:line="240" w:lineRule="auto"/>
      <w:jc w:val="center"/>
    </w:pPr>
    <w:rPr>
      <w:rFonts w:eastAsia="Times New Roman" w:cs="Times New Roman"/>
      <w:b/>
      <w:sz w:val="32"/>
      <w:szCs w:val="20"/>
    </w:rPr>
  </w:style>
  <w:style w:type="character" w:customStyle="1" w:styleId="AnnexTitleChar">
    <w:name w:val="Annex Title Char"/>
    <w:basedOn w:val="DefaultParagraphFont"/>
    <w:link w:val="AnnexTitle"/>
    <w:rsid w:val="006B087E"/>
    <w:rPr>
      <w:rFonts w:ascii="Times New Roman" w:eastAsia="Times New Roman" w:hAnsi="Times New Roman" w:cs="Times New Roman"/>
      <w:b/>
      <w:sz w:val="32"/>
      <w:szCs w:val="20"/>
    </w:rPr>
  </w:style>
  <w:style w:type="table" w:customStyle="1" w:styleId="CV11">
    <w:name w:val="CV11"/>
    <w:basedOn w:val="TableNormal"/>
    <w:next w:val="TableGrid"/>
    <w:uiPriority w:val="5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6B087E"/>
    <w:pPr>
      <w:tabs>
        <w:tab w:val="right" w:leader="dot" w:pos="8640"/>
      </w:tabs>
      <w:spacing w:before="120" w:after="120" w:line="240" w:lineRule="auto"/>
      <w:ind w:left="482" w:right="720" w:hanging="482"/>
      <w:jc w:val="both"/>
    </w:pPr>
    <w:rPr>
      <w:rFonts w:eastAsia="Times New Roman" w:cs="Times New Roman"/>
      <w:caps/>
      <w:sz w:val="20"/>
      <w:szCs w:val="20"/>
    </w:rPr>
  </w:style>
  <w:style w:type="paragraph" w:styleId="TOC2">
    <w:name w:val="toc 2"/>
    <w:basedOn w:val="Normal"/>
    <w:next w:val="Normal"/>
    <w:uiPriority w:val="39"/>
    <w:rsid w:val="006B087E"/>
    <w:pPr>
      <w:tabs>
        <w:tab w:val="right" w:leader="dot" w:pos="8640"/>
      </w:tabs>
      <w:spacing w:before="60" w:after="60" w:line="240" w:lineRule="auto"/>
      <w:ind w:left="1077" w:right="720" w:hanging="595"/>
      <w:jc w:val="both"/>
    </w:pPr>
    <w:rPr>
      <w:rFonts w:eastAsia="Times New Roman" w:cs="Times New Roman"/>
      <w:sz w:val="24"/>
      <w:szCs w:val="20"/>
    </w:rPr>
  </w:style>
  <w:style w:type="paragraph" w:styleId="TOCHeading">
    <w:name w:val="TOC Heading"/>
    <w:basedOn w:val="Normal"/>
    <w:next w:val="Normal"/>
    <w:qFormat/>
    <w:rsid w:val="006B087E"/>
    <w:pPr>
      <w:keepNext/>
      <w:spacing w:before="240" w:after="240" w:line="240" w:lineRule="auto"/>
      <w:jc w:val="center"/>
    </w:pPr>
    <w:rPr>
      <w:rFonts w:eastAsia="Times New Roman" w:cs="Times New Roman"/>
      <w:b/>
      <w:sz w:val="24"/>
      <w:szCs w:val="20"/>
    </w:rPr>
  </w:style>
  <w:style w:type="character" w:styleId="Hyperlink">
    <w:name w:val="Hyperlink"/>
    <w:basedOn w:val="DefaultParagraphFont"/>
    <w:uiPriority w:val="99"/>
    <w:unhideWhenUsed/>
    <w:rsid w:val="006B087E"/>
    <w:rPr>
      <w:color w:val="0000FF" w:themeColor="hyperlink"/>
      <w:u w:val="single"/>
    </w:rPr>
  </w:style>
  <w:style w:type="paragraph" w:styleId="BalloonText">
    <w:name w:val="Balloon Text"/>
    <w:basedOn w:val="Normal"/>
    <w:link w:val="BalloonTextChar"/>
    <w:uiPriority w:val="99"/>
    <w:semiHidden/>
    <w:unhideWhenUsed/>
    <w:rsid w:val="006B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87E"/>
    <w:rPr>
      <w:rFonts w:ascii="Tahoma" w:hAnsi="Tahoma" w:cs="Tahoma"/>
      <w:sz w:val="16"/>
      <w:szCs w:val="16"/>
    </w:rPr>
  </w:style>
  <w:style w:type="paragraph" w:customStyle="1" w:styleId="Declassification">
    <w:name w:val="Declassification"/>
    <w:basedOn w:val="Normal"/>
    <w:next w:val="Normal"/>
    <w:rsid w:val="006B087E"/>
    <w:pPr>
      <w:spacing w:after="0" w:line="240" w:lineRule="auto"/>
      <w:jc w:val="both"/>
    </w:pPr>
    <w:rPr>
      <w:rFonts w:cs="Times New Roman"/>
      <w:sz w:val="24"/>
    </w:rPr>
  </w:style>
  <w:style w:type="paragraph" w:customStyle="1" w:styleId="HeaderLandscape">
    <w:name w:val="HeaderLandscape"/>
    <w:basedOn w:val="Normal"/>
    <w:rsid w:val="006B087E"/>
    <w:pPr>
      <w:tabs>
        <w:tab w:val="center" w:pos="7285"/>
        <w:tab w:val="right" w:pos="14003"/>
      </w:tabs>
      <w:spacing w:after="120" w:line="240" w:lineRule="auto"/>
      <w:jc w:val="both"/>
    </w:pPr>
    <w:rPr>
      <w:rFonts w:cs="Times New Roman"/>
      <w:sz w:val="24"/>
    </w:rPr>
  </w:style>
  <w:style w:type="paragraph" w:customStyle="1" w:styleId="HeaderSensitivity">
    <w:name w:val="Header Sensitivity"/>
    <w:basedOn w:val="Normal"/>
    <w:rsid w:val="006B087E"/>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rsid w:val="006B087E"/>
    <w:pPr>
      <w:tabs>
        <w:tab w:val="center" w:pos="7285"/>
        <w:tab w:val="center" w:pos="10913"/>
        <w:tab w:val="right" w:pos="15137"/>
      </w:tabs>
      <w:spacing w:before="360" w:after="0" w:line="240" w:lineRule="auto"/>
      <w:ind w:left="-567" w:right="-567"/>
    </w:pPr>
    <w:rPr>
      <w:rFonts w:cs="Times New Roman"/>
      <w:sz w:val="24"/>
    </w:rPr>
  </w:style>
  <w:style w:type="paragraph" w:customStyle="1" w:styleId="FooterSensitivity">
    <w:name w:val="Footer Sensitivity"/>
    <w:basedOn w:val="Normal"/>
    <w:rsid w:val="006B087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HeaderSensitivityRight">
    <w:name w:val="Header Sensitivity Right"/>
    <w:basedOn w:val="Normal"/>
    <w:link w:val="HeaderSensitivityRightChar"/>
    <w:rsid w:val="006B087E"/>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6B087E"/>
    <w:rPr>
      <w:rFonts w:ascii="Times New Roman" w:hAnsi="Times New Roman"/>
      <w:sz w:val="28"/>
    </w:rPr>
  </w:style>
  <w:style w:type="paragraph" w:styleId="FootnoteText">
    <w:name w:val="footnote text"/>
    <w:aliases w:val="Footnote,Footnote text,Footnote Text Char2,Footnote Text Char1 Char,Footnote Text Char2 Char Char,Footnote Text Char1 Char Char Char,Footnote Text Char2 Char Char Char Char,Footnote Text Char Char1 Char Char Char Char,o,f,stile 1,Reference"/>
    <w:basedOn w:val="Normal"/>
    <w:link w:val="FootnoteTextChar"/>
    <w:uiPriority w:val="99"/>
    <w:qFormat/>
    <w:rsid w:val="00490F5D"/>
    <w:pPr>
      <w:spacing w:after="0" w:line="240" w:lineRule="auto"/>
    </w:pPr>
    <w:rPr>
      <w:rFonts w:eastAsia="Times New Roman" w:cs="Times New Roman"/>
      <w:sz w:val="20"/>
      <w:szCs w:val="20"/>
    </w:rPr>
  </w:style>
  <w:style w:type="character" w:customStyle="1" w:styleId="FootnoteTextChar">
    <w:name w:val="Footnote Text Char"/>
    <w:aliases w:val="Footnote Char,Footnote text Char,Footnote Text Char2 Char,Footnote Text Char1 Char Char,Footnote Text Char2 Char Char Char,Footnote Text Char1 Char Char Char Char,Footnote Text Char2 Char Char Char Char Char,o Char,f Char,stile 1 Char"/>
    <w:basedOn w:val="DefaultParagraphFont"/>
    <w:link w:val="FootnoteText"/>
    <w:uiPriority w:val="99"/>
    <w:qFormat/>
    <w:rsid w:val="00490F5D"/>
    <w:rPr>
      <w:rFonts w:ascii="Times New Roman" w:eastAsia="Times New Roman" w:hAnsi="Times New Roman" w:cs="Times New Roman"/>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Footnote reference numbe,number,Ref"/>
    <w:link w:val="SUPERSCharCharCharCharCharCharCharChar"/>
    <w:qFormat/>
    <w:rsid w:val="00A61C6F"/>
    <w:rPr>
      <w:rFonts w:cs="Times New Roman"/>
      <w:vertAlign w:val="superscript"/>
    </w:rPr>
  </w:style>
  <w:style w:type="paragraph" w:styleId="BodyText">
    <w:name w:val="Body Text"/>
    <w:aliases w:val="Body Text template style,Body Text2,Body Text 12,bt,Corpo testo-n,Corpo del testo-n,Body,body text,BodyText,body,text,Body single,RFQ Text,NoticeText-List,B&amp;B Body Text,Body Text2 Char Char Char,Body Text2 Char Char Char Char Char,Ch,Car,Char"/>
    <w:basedOn w:val="Normal"/>
    <w:link w:val="BodyTextChar"/>
    <w:qFormat/>
    <w:rsid w:val="00956580"/>
    <w:pPr>
      <w:spacing w:after="160" w:line="240" w:lineRule="auto"/>
      <w:jc w:val="both"/>
    </w:pPr>
    <w:rPr>
      <w:rFonts w:eastAsia="Times New Roman" w:cs="Times New Roman"/>
      <w:szCs w:val="20"/>
    </w:rPr>
  </w:style>
  <w:style w:type="character" w:customStyle="1" w:styleId="BodyTextChar">
    <w:name w:val="Body Text Char"/>
    <w:aliases w:val="Body Text template style Char,Body Text2 Char,Body Text 12 Char,bt Char,Corpo testo-n Char,Corpo del testo-n Char,Body Char,body text Char,BodyText Char,body Char,text Char,Body single Char,RFQ Text Char,NoticeText-List Char,Ch Char"/>
    <w:basedOn w:val="DefaultParagraphFont"/>
    <w:link w:val="BodyText"/>
    <w:rsid w:val="00956580"/>
    <w:rPr>
      <w:rFonts w:ascii="Times New Roman" w:eastAsia="Times New Roman" w:hAnsi="Times New Roman" w:cs="Times New Roman"/>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qFormat/>
    <w:rsid w:val="00A61C6F"/>
    <w:pPr>
      <w:spacing w:before="60" w:after="160" w:line="240" w:lineRule="exact"/>
      <w:jc w:val="both"/>
    </w:pPr>
    <w:rPr>
      <w:rFonts w:asciiTheme="minorHAnsi" w:hAnsiTheme="minorHAnsi" w:cs="Times New Roman"/>
      <w:vertAlign w:val="superscript"/>
    </w:rPr>
  </w:style>
  <w:style w:type="paragraph" w:styleId="ListParagraph">
    <w:name w:val="List Paragraph"/>
    <w:aliases w:val="Heading 2_sj,List Paragraph1,Lijstalinea,Numbered Para 1,Dot pt,No Spacing1,List Paragraph Char Char Char,Indicator Text,Bullet Points,MAIN CONTENT,List Paragraph12,F5 List Paragraph,Bullet List Paragraph,Table of contents numbered"/>
    <w:basedOn w:val="Normal"/>
    <w:link w:val="ListParagraphChar"/>
    <w:uiPriority w:val="34"/>
    <w:qFormat/>
    <w:rsid w:val="00956580"/>
    <w:pPr>
      <w:spacing w:after="0" w:line="240" w:lineRule="auto"/>
      <w:ind w:left="720"/>
    </w:pPr>
    <w:rPr>
      <w:rFonts w:eastAsia="Times New Roman" w:cs="Times New Roman"/>
      <w:szCs w:val="20"/>
    </w:rPr>
  </w:style>
  <w:style w:type="paragraph" w:customStyle="1" w:styleId="Listalpha">
    <w:name w:val="List alpha"/>
    <w:basedOn w:val="Normal"/>
    <w:uiPriority w:val="2"/>
    <w:qFormat/>
    <w:rsid w:val="00A84DDB"/>
    <w:pPr>
      <w:spacing w:after="120" w:line="240" w:lineRule="auto"/>
      <w:ind w:left="924" w:hanging="357"/>
      <w:jc w:val="both"/>
    </w:pPr>
    <w:rPr>
      <w:rFonts w:asciiTheme="minorHAnsi" w:eastAsia="Times New Roman" w:hAnsiTheme="minorHAnsi" w:cs="Times New Roman"/>
      <w:szCs w:val="20"/>
    </w:rPr>
  </w:style>
  <w:style w:type="paragraph" w:customStyle="1" w:styleId="Listroman">
    <w:name w:val="List roman"/>
    <w:basedOn w:val="Normal"/>
    <w:uiPriority w:val="2"/>
    <w:qFormat/>
    <w:rsid w:val="00A84DDB"/>
    <w:pPr>
      <w:tabs>
        <w:tab w:val="num" w:pos="1797"/>
      </w:tabs>
      <w:spacing w:after="120" w:line="240" w:lineRule="auto"/>
      <w:ind w:left="1281" w:hanging="357"/>
      <w:jc w:val="both"/>
    </w:pPr>
    <w:rPr>
      <w:rFonts w:asciiTheme="minorHAnsi" w:eastAsia="Times New Roman" w:hAnsiTheme="minorHAnsi" w:cs="Times New Roman"/>
      <w:szCs w:val="20"/>
    </w:rPr>
  </w:style>
  <w:style w:type="paragraph" w:customStyle="1" w:styleId="Bullet1">
    <w:name w:val="Bullet 1"/>
    <w:basedOn w:val="Normal"/>
    <w:link w:val="Bullet1Char"/>
    <w:uiPriority w:val="1"/>
    <w:qFormat/>
    <w:rsid w:val="00A84DDB"/>
    <w:pPr>
      <w:numPr>
        <w:numId w:val="5"/>
      </w:numPr>
      <w:spacing w:after="120" w:line="240" w:lineRule="auto"/>
      <w:jc w:val="both"/>
    </w:pPr>
    <w:rPr>
      <w:rFonts w:ascii="Calibri" w:eastAsia="SimSun" w:hAnsi="Calibri" w:cs="Times New Roman"/>
      <w:szCs w:val="20"/>
      <w:lang w:eastAsia="zh-CN"/>
    </w:rPr>
  </w:style>
  <w:style w:type="character" w:customStyle="1" w:styleId="Bullet1Char">
    <w:name w:val="Bullet 1 Char"/>
    <w:aliases w:val="List Char,List1 Char"/>
    <w:link w:val="Bullet1"/>
    <w:uiPriority w:val="1"/>
    <w:qFormat/>
    <w:rsid w:val="00A84DDB"/>
    <w:rPr>
      <w:rFonts w:ascii="Calibri" w:eastAsia="SimSun" w:hAnsi="Calibri" w:cs="Times New Roman"/>
      <w:szCs w:val="20"/>
      <w:lang w:eastAsia="zh-CN"/>
    </w:rPr>
  </w:style>
  <w:style w:type="character" w:customStyle="1" w:styleId="ListParagraphChar">
    <w:name w:val="List Paragraph Char"/>
    <w:aliases w:val="Heading 2_sj Char,List Paragraph1 Char,Lijstalinea Char,Numbered Para 1 Char,Dot pt Char,No Spacing1 Char,List Paragraph Char Char Char Char,Indicator Text Char,Bullet Points Char,MAIN CONTENT Char,List Paragraph12 Char"/>
    <w:basedOn w:val="DefaultParagraphFont"/>
    <w:link w:val="ListParagraph"/>
    <w:uiPriority w:val="34"/>
    <w:qFormat/>
    <w:rsid w:val="00956580"/>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483DF4"/>
    <w:rPr>
      <w:sz w:val="16"/>
      <w:szCs w:val="16"/>
    </w:rPr>
  </w:style>
  <w:style w:type="paragraph" w:styleId="CommentText">
    <w:name w:val="annotation text"/>
    <w:basedOn w:val="Normal"/>
    <w:link w:val="CommentTextChar"/>
    <w:uiPriority w:val="99"/>
    <w:unhideWhenUsed/>
    <w:rsid w:val="00483DF4"/>
    <w:pPr>
      <w:spacing w:line="240" w:lineRule="auto"/>
    </w:pPr>
    <w:rPr>
      <w:sz w:val="20"/>
      <w:szCs w:val="20"/>
    </w:rPr>
  </w:style>
  <w:style w:type="character" w:customStyle="1" w:styleId="CommentTextChar">
    <w:name w:val="Comment Text Char"/>
    <w:basedOn w:val="DefaultParagraphFont"/>
    <w:link w:val="CommentText"/>
    <w:uiPriority w:val="99"/>
    <w:rsid w:val="00483D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3DF4"/>
    <w:rPr>
      <w:b/>
      <w:bCs/>
    </w:rPr>
  </w:style>
  <w:style w:type="character" w:customStyle="1" w:styleId="CommentSubjectChar">
    <w:name w:val="Comment Subject Char"/>
    <w:basedOn w:val="CommentTextChar"/>
    <w:link w:val="CommentSubject"/>
    <w:uiPriority w:val="99"/>
    <w:semiHidden/>
    <w:rsid w:val="00483DF4"/>
    <w:rPr>
      <w:rFonts w:ascii="Times New Roman" w:hAnsi="Times New Roman"/>
      <w:b/>
      <w:bCs/>
      <w:sz w:val="20"/>
      <w:szCs w:val="20"/>
    </w:rPr>
  </w:style>
  <w:style w:type="character" w:styleId="FollowedHyperlink">
    <w:name w:val="FollowedHyperlink"/>
    <w:basedOn w:val="DefaultParagraphFont"/>
    <w:uiPriority w:val="99"/>
    <w:semiHidden/>
    <w:unhideWhenUsed/>
    <w:rsid w:val="00C6033D"/>
    <w:rPr>
      <w:color w:val="800080" w:themeColor="followedHyperlink"/>
      <w:u w:val="single"/>
    </w:rPr>
  </w:style>
  <w:style w:type="paragraph" w:styleId="TOC3">
    <w:name w:val="toc 3"/>
    <w:basedOn w:val="Normal"/>
    <w:next w:val="Normal"/>
    <w:autoRedefine/>
    <w:uiPriority w:val="39"/>
    <w:unhideWhenUsed/>
    <w:rsid w:val="00342351"/>
    <w:pPr>
      <w:spacing w:after="100"/>
      <w:ind w:left="440"/>
    </w:pPr>
  </w:style>
  <w:style w:type="paragraph" w:styleId="Revision">
    <w:name w:val="Revision"/>
    <w:hidden/>
    <w:uiPriority w:val="99"/>
    <w:semiHidden/>
    <w:rsid w:val="003F70CC"/>
    <w:pPr>
      <w:spacing w:after="0" w:line="240" w:lineRule="auto"/>
    </w:pPr>
    <w:rPr>
      <w:rFonts w:ascii="Times New Roman" w:hAnsi="Times New Roman"/>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 Char,Tabelkop,c,Table caption"/>
    <w:basedOn w:val="Normal"/>
    <w:next w:val="Normal"/>
    <w:link w:val="CaptionChar"/>
    <w:uiPriority w:val="35"/>
    <w:unhideWhenUsed/>
    <w:qFormat/>
    <w:rsid w:val="006045F3"/>
    <w:pPr>
      <w:spacing w:line="240" w:lineRule="auto"/>
    </w:pPr>
    <w:rPr>
      <w:i/>
      <w:iCs/>
      <w:color w:val="1F497D" w:themeColor="text2"/>
      <w:sz w:val="18"/>
      <w:szCs w:val="18"/>
    </w:rPr>
  </w:style>
  <w:style w:type="table" w:customStyle="1" w:styleId="CSEStable">
    <w:name w:val="CSES table"/>
    <w:basedOn w:val="TableNormal"/>
    <w:uiPriority w:val="99"/>
    <w:rsid w:val="0009699C"/>
    <w:pPr>
      <w:spacing w:after="0" w:line="240" w:lineRule="auto"/>
    </w:pPr>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rPr>
      <w:cantSplit/>
    </w:trPr>
    <w:tcPr>
      <w:shd w:val="clear" w:color="auto" w:fill="D9D9D9" w:themeFill="background1" w:themeFillShade="D9"/>
    </w:tcPr>
    <w:tblStylePr w:type="firstRow">
      <w:rPr>
        <w:b/>
      </w:rPr>
      <w:tblPr/>
      <w:tcPr>
        <w:shd w:val="clear" w:color="auto" w:fill="4F81BD" w:themeFill="accent1"/>
      </w:tcPr>
    </w:tblStyle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Char1"/>
    <w:basedOn w:val="DefaultParagraphFont"/>
    <w:link w:val="Caption"/>
    <w:uiPriority w:val="35"/>
    <w:locked/>
    <w:rsid w:val="00005A34"/>
    <w:rPr>
      <w:rFonts w:ascii="Times New Roman" w:hAnsi="Times New Roman"/>
      <w:i/>
      <w:iCs/>
      <w:color w:val="1F497D" w:themeColor="text2"/>
      <w:sz w:val="18"/>
      <w:szCs w:val="18"/>
    </w:rPr>
  </w:style>
  <w:style w:type="paragraph" w:customStyle="1" w:styleId="MH2">
    <w:name w:val="M H 2"/>
    <w:basedOn w:val="Heading2"/>
    <w:next w:val="Normal"/>
    <w:uiPriority w:val="99"/>
    <w:rsid w:val="00726247"/>
    <w:pPr>
      <w:numPr>
        <w:ilvl w:val="1"/>
        <w:numId w:val="28"/>
      </w:numPr>
    </w:pPr>
    <w:rPr>
      <w:rFonts w:ascii="Century Gothic" w:hAnsi="Century Gothic" w:cs="Arial"/>
      <w:bCs/>
      <w:iCs/>
      <w:caps/>
      <w:color w:val="4F81BD" w:themeColor="accent1"/>
      <w:sz w:val="22"/>
      <w:szCs w:val="28"/>
      <w:lang w:eastAsia="fr-FR"/>
    </w:rPr>
  </w:style>
  <w:style w:type="paragraph" w:customStyle="1" w:styleId="paragraph">
    <w:name w:val="paragraph"/>
    <w:basedOn w:val="Normal"/>
    <w:rsid w:val="00935379"/>
    <w:pPr>
      <w:spacing w:before="100" w:beforeAutospacing="1" w:after="100" w:afterAutospacing="1" w:line="240" w:lineRule="auto"/>
    </w:pPr>
    <w:rPr>
      <w:rFonts w:eastAsia="Times New Roman" w:cs="Times New Roman"/>
      <w:sz w:val="24"/>
      <w:szCs w:val="24"/>
      <w:lang w:val="en-IE" w:eastAsia="en-IE"/>
    </w:rPr>
  </w:style>
  <w:style w:type="character" w:customStyle="1" w:styleId="normaltextrun">
    <w:name w:val="normaltextrun"/>
    <w:basedOn w:val="DefaultParagraphFont"/>
    <w:rsid w:val="00935379"/>
  </w:style>
  <w:style w:type="character" w:customStyle="1" w:styleId="superscript">
    <w:name w:val="superscript"/>
    <w:basedOn w:val="DefaultParagraphFont"/>
    <w:rsid w:val="00935379"/>
  </w:style>
  <w:style w:type="character" w:customStyle="1" w:styleId="eop">
    <w:name w:val="eop"/>
    <w:basedOn w:val="DefaultParagraphFont"/>
    <w:rsid w:val="00935379"/>
  </w:style>
  <w:style w:type="character" w:customStyle="1" w:styleId="Bodytext1">
    <w:name w:val="Body text|1_"/>
    <w:basedOn w:val="DefaultParagraphFont"/>
    <w:link w:val="Bodytext10"/>
    <w:rsid w:val="00CC740C"/>
    <w:rPr>
      <w:rFonts w:ascii="Arial" w:eastAsia="Arial" w:hAnsi="Arial" w:cs="Arial"/>
    </w:rPr>
  </w:style>
  <w:style w:type="paragraph" w:customStyle="1" w:styleId="Bodytext10">
    <w:name w:val="Body text|1"/>
    <w:basedOn w:val="Normal"/>
    <w:link w:val="Bodytext1"/>
    <w:rsid w:val="00CC740C"/>
    <w:pPr>
      <w:widowControl w:val="0"/>
      <w:spacing w:after="120" w:line="264"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0814">
      <w:bodyDiv w:val="1"/>
      <w:marLeft w:val="0"/>
      <w:marRight w:val="0"/>
      <w:marTop w:val="0"/>
      <w:marBottom w:val="0"/>
      <w:divBdr>
        <w:top w:val="none" w:sz="0" w:space="0" w:color="auto"/>
        <w:left w:val="none" w:sz="0" w:space="0" w:color="auto"/>
        <w:bottom w:val="none" w:sz="0" w:space="0" w:color="auto"/>
        <w:right w:val="none" w:sz="0" w:space="0" w:color="auto"/>
      </w:divBdr>
    </w:div>
    <w:div w:id="269436087">
      <w:bodyDiv w:val="1"/>
      <w:marLeft w:val="0"/>
      <w:marRight w:val="0"/>
      <w:marTop w:val="0"/>
      <w:marBottom w:val="0"/>
      <w:divBdr>
        <w:top w:val="none" w:sz="0" w:space="0" w:color="auto"/>
        <w:left w:val="none" w:sz="0" w:space="0" w:color="auto"/>
        <w:bottom w:val="none" w:sz="0" w:space="0" w:color="auto"/>
        <w:right w:val="none" w:sz="0" w:space="0" w:color="auto"/>
      </w:divBdr>
    </w:div>
    <w:div w:id="364526818">
      <w:bodyDiv w:val="1"/>
      <w:marLeft w:val="0"/>
      <w:marRight w:val="0"/>
      <w:marTop w:val="0"/>
      <w:marBottom w:val="0"/>
      <w:divBdr>
        <w:top w:val="none" w:sz="0" w:space="0" w:color="auto"/>
        <w:left w:val="none" w:sz="0" w:space="0" w:color="auto"/>
        <w:bottom w:val="none" w:sz="0" w:space="0" w:color="auto"/>
        <w:right w:val="none" w:sz="0" w:space="0" w:color="auto"/>
      </w:divBdr>
    </w:div>
    <w:div w:id="369693011">
      <w:bodyDiv w:val="1"/>
      <w:marLeft w:val="0"/>
      <w:marRight w:val="0"/>
      <w:marTop w:val="0"/>
      <w:marBottom w:val="0"/>
      <w:divBdr>
        <w:top w:val="none" w:sz="0" w:space="0" w:color="auto"/>
        <w:left w:val="none" w:sz="0" w:space="0" w:color="auto"/>
        <w:bottom w:val="none" w:sz="0" w:space="0" w:color="auto"/>
        <w:right w:val="none" w:sz="0" w:space="0" w:color="auto"/>
      </w:divBdr>
    </w:div>
    <w:div w:id="514341708">
      <w:bodyDiv w:val="1"/>
      <w:marLeft w:val="0"/>
      <w:marRight w:val="0"/>
      <w:marTop w:val="0"/>
      <w:marBottom w:val="0"/>
      <w:divBdr>
        <w:top w:val="none" w:sz="0" w:space="0" w:color="auto"/>
        <w:left w:val="none" w:sz="0" w:space="0" w:color="auto"/>
        <w:bottom w:val="none" w:sz="0" w:space="0" w:color="auto"/>
        <w:right w:val="none" w:sz="0" w:space="0" w:color="auto"/>
      </w:divBdr>
      <w:divsChild>
        <w:div w:id="533620180">
          <w:marLeft w:val="0"/>
          <w:marRight w:val="0"/>
          <w:marTop w:val="0"/>
          <w:marBottom w:val="0"/>
          <w:divBdr>
            <w:top w:val="none" w:sz="0" w:space="0" w:color="auto"/>
            <w:left w:val="none" w:sz="0" w:space="0" w:color="auto"/>
            <w:bottom w:val="none" w:sz="0" w:space="0" w:color="auto"/>
            <w:right w:val="none" w:sz="0" w:space="0" w:color="auto"/>
          </w:divBdr>
        </w:div>
        <w:div w:id="2024699029">
          <w:marLeft w:val="0"/>
          <w:marRight w:val="0"/>
          <w:marTop w:val="0"/>
          <w:marBottom w:val="0"/>
          <w:divBdr>
            <w:top w:val="none" w:sz="0" w:space="0" w:color="auto"/>
            <w:left w:val="none" w:sz="0" w:space="0" w:color="auto"/>
            <w:bottom w:val="none" w:sz="0" w:space="0" w:color="auto"/>
            <w:right w:val="none" w:sz="0" w:space="0" w:color="auto"/>
          </w:divBdr>
        </w:div>
      </w:divsChild>
    </w:div>
    <w:div w:id="541985931">
      <w:bodyDiv w:val="1"/>
      <w:marLeft w:val="0"/>
      <w:marRight w:val="0"/>
      <w:marTop w:val="0"/>
      <w:marBottom w:val="0"/>
      <w:divBdr>
        <w:top w:val="none" w:sz="0" w:space="0" w:color="auto"/>
        <w:left w:val="none" w:sz="0" w:space="0" w:color="auto"/>
        <w:bottom w:val="none" w:sz="0" w:space="0" w:color="auto"/>
        <w:right w:val="none" w:sz="0" w:space="0" w:color="auto"/>
      </w:divBdr>
    </w:div>
    <w:div w:id="704334127">
      <w:bodyDiv w:val="1"/>
      <w:marLeft w:val="0"/>
      <w:marRight w:val="0"/>
      <w:marTop w:val="0"/>
      <w:marBottom w:val="0"/>
      <w:divBdr>
        <w:top w:val="none" w:sz="0" w:space="0" w:color="auto"/>
        <w:left w:val="none" w:sz="0" w:space="0" w:color="auto"/>
        <w:bottom w:val="none" w:sz="0" w:space="0" w:color="auto"/>
        <w:right w:val="none" w:sz="0" w:space="0" w:color="auto"/>
      </w:divBdr>
    </w:div>
    <w:div w:id="734668941">
      <w:bodyDiv w:val="1"/>
      <w:marLeft w:val="0"/>
      <w:marRight w:val="0"/>
      <w:marTop w:val="0"/>
      <w:marBottom w:val="0"/>
      <w:divBdr>
        <w:top w:val="none" w:sz="0" w:space="0" w:color="auto"/>
        <w:left w:val="none" w:sz="0" w:space="0" w:color="auto"/>
        <w:bottom w:val="none" w:sz="0" w:space="0" w:color="auto"/>
        <w:right w:val="none" w:sz="0" w:space="0" w:color="auto"/>
      </w:divBdr>
    </w:div>
    <w:div w:id="736780630">
      <w:bodyDiv w:val="1"/>
      <w:marLeft w:val="0"/>
      <w:marRight w:val="0"/>
      <w:marTop w:val="0"/>
      <w:marBottom w:val="0"/>
      <w:divBdr>
        <w:top w:val="none" w:sz="0" w:space="0" w:color="auto"/>
        <w:left w:val="none" w:sz="0" w:space="0" w:color="auto"/>
        <w:bottom w:val="none" w:sz="0" w:space="0" w:color="auto"/>
        <w:right w:val="none" w:sz="0" w:space="0" w:color="auto"/>
      </w:divBdr>
    </w:div>
    <w:div w:id="751007790">
      <w:bodyDiv w:val="1"/>
      <w:marLeft w:val="0"/>
      <w:marRight w:val="0"/>
      <w:marTop w:val="0"/>
      <w:marBottom w:val="0"/>
      <w:divBdr>
        <w:top w:val="none" w:sz="0" w:space="0" w:color="auto"/>
        <w:left w:val="none" w:sz="0" w:space="0" w:color="auto"/>
        <w:bottom w:val="none" w:sz="0" w:space="0" w:color="auto"/>
        <w:right w:val="none" w:sz="0" w:space="0" w:color="auto"/>
      </w:divBdr>
    </w:div>
    <w:div w:id="1053384510">
      <w:bodyDiv w:val="1"/>
      <w:marLeft w:val="0"/>
      <w:marRight w:val="0"/>
      <w:marTop w:val="0"/>
      <w:marBottom w:val="0"/>
      <w:divBdr>
        <w:top w:val="none" w:sz="0" w:space="0" w:color="auto"/>
        <w:left w:val="none" w:sz="0" w:space="0" w:color="auto"/>
        <w:bottom w:val="none" w:sz="0" w:space="0" w:color="auto"/>
        <w:right w:val="none" w:sz="0" w:space="0" w:color="auto"/>
      </w:divBdr>
    </w:div>
    <w:div w:id="1116487756">
      <w:bodyDiv w:val="1"/>
      <w:marLeft w:val="0"/>
      <w:marRight w:val="0"/>
      <w:marTop w:val="0"/>
      <w:marBottom w:val="0"/>
      <w:divBdr>
        <w:top w:val="none" w:sz="0" w:space="0" w:color="auto"/>
        <w:left w:val="none" w:sz="0" w:space="0" w:color="auto"/>
        <w:bottom w:val="none" w:sz="0" w:space="0" w:color="auto"/>
        <w:right w:val="none" w:sz="0" w:space="0" w:color="auto"/>
      </w:divBdr>
    </w:div>
    <w:div w:id="1185634945">
      <w:bodyDiv w:val="1"/>
      <w:marLeft w:val="0"/>
      <w:marRight w:val="0"/>
      <w:marTop w:val="0"/>
      <w:marBottom w:val="0"/>
      <w:divBdr>
        <w:top w:val="none" w:sz="0" w:space="0" w:color="auto"/>
        <w:left w:val="none" w:sz="0" w:space="0" w:color="auto"/>
        <w:bottom w:val="none" w:sz="0" w:space="0" w:color="auto"/>
        <w:right w:val="none" w:sz="0" w:space="0" w:color="auto"/>
      </w:divBdr>
    </w:div>
    <w:div w:id="1245647862">
      <w:bodyDiv w:val="1"/>
      <w:marLeft w:val="0"/>
      <w:marRight w:val="0"/>
      <w:marTop w:val="0"/>
      <w:marBottom w:val="0"/>
      <w:divBdr>
        <w:top w:val="none" w:sz="0" w:space="0" w:color="auto"/>
        <w:left w:val="none" w:sz="0" w:space="0" w:color="auto"/>
        <w:bottom w:val="none" w:sz="0" w:space="0" w:color="auto"/>
        <w:right w:val="none" w:sz="0" w:space="0" w:color="auto"/>
      </w:divBdr>
    </w:div>
    <w:div w:id="1247572900">
      <w:bodyDiv w:val="1"/>
      <w:marLeft w:val="0"/>
      <w:marRight w:val="0"/>
      <w:marTop w:val="0"/>
      <w:marBottom w:val="0"/>
      <w:divBdr>
        <w:top w:val="none" w:sz="0" w:space="0" w:color="auto"/>
        <w:left w:val="none" w:sz="0" w:space="0" w:color="auto"/>
        <w:bottom w:val="none" w:sz="0" w:space="0" w:color="auto"/>
        <w:right w:val="none" w:sz="0" w:space="0" w:color="auto"/>
      </w:divBdr>
    </w:div>
    <w:div w:id="1359550486">
      <w:bodyDiv w:val="1"/>
      <w:marLeft w:val="0"/>
      <w:marRight w:val="0"/>
      <w:marTop w:val="0"/>
      <w:marBottom w:val="0"/>
      <w:divBdr>
        <w:top w:val="none" w:sz="0" w:space="0" w:color="auto"/>
        <w:left w:val="none" w:sz="0" w:space="0" w:color="auto"/>
        <w:bottom w:val="none" w:sz="0" w:space="0" w:color="auto"/>
        <w:right w:val="none" w:sz="0" w:space="0" w:color="auto"/>
      </w:divBdr>
    </w:div>
    <w:div w:id="1387681669">
      <w:bodyDiv w:val="1"/>
      <w:marLeft w:val="0"/>
      <w:marRight w:val="0"/>
      <w:marTop w:val="0"/>
      <w:marBottom w:val="0"/>
      <w:divBdr>
        <w:top w:val="none" w:sz="0" w:space="0" w:color="auto"/>
        <w:left w:val="none" w:sz="0" w:space="0" w:color="auto"/>
        <w:bottom w:val="none" w:sz="0" w:space="0" w:color="auto"/>
        <w:right w:val="none" w:sz="0" w:space="0" w:color="auto"/>
      </w:divBdr>
    </w:div>
    <w:div w:id="1426993766">
      <w:bodyDiv w:val="1"/>
      <w:marLeft w:val="0"/>
      <w:marRight w:val="0"/>
      <w:marTop w:val="0"/>
      <w:marBottom w:val="0"/>
      <w:divBdr>
        <w:top w:val="none" w:sz="0" w:space="0" w:color="auto"/>
        <w:left w:val="none" w:sz="0" w:space="0" w:color="auto"/>
        <w:bottom w:val="none" w:sz="0" w:space="0" w:color="auto"/>
        <w:right w:val="none" w:sz="0" w:space="0" w:color="auto"/>
      </w:divBdr>
    </w:div>
    <w:div w:id="1483161268">
      <w:bodyDiv w:val="1"/>
      <w:marLeft w:val="0"/>
      <w:marRight w:val="0"/>
      <w:marTop w:val="0"/>
      <w:marBottom w:val="0"/>
      <w:divBdr>
        <w:top w:val="none" w:sz="0" w:space="0" w:color="auto"/>
        <w:left w:val="none" w:sz="0" w:space="0" w:color="auto"/>
        <w:bottom w:val="none" w:sz="0" w:space="0" w:color="auto"/>
        <w:right w:val="none" w:sz="0" w:space="0" w:color="auto"/>
      </w:divBdr>
    </w:div>
    <w:div w:id="1490631805">
      <w:bodyDiv w:val="1"/>
      <w:marLeft w:val="0"/>
      <w:marRight w:val="0"/>
      <w:marTop w:val="0"/>
      <w:marBottom w:val="0"/>
      <w:divBdr>
        <w:top w:val="none" w:sz="0" w:space="0" w:color="auto"/>
        <w:left w:val="none" w:sz="0" w:space="0" w:color="auto"/>
        <w:bottom w:val="none" w:sz="0" w:space="0" w:color="auto"/>
        <w:right w:val="none" w:sz="0" w:space="0" w:color="auto"/>
      </w:divBdr>
    </w:div>
    <w:div w:id="1511723091">
      <w:bodyDiv w:val="1"/>
      <w:marLeft w:val="0"/>
      <w:marRight w:val="0"/>
      <w:marTop w:val="0"/>
      <w:marBottom w:val="0"/>
      <w:divBdr>
        <w:top w:val="none" w:sz="0" w:space="0" w:color="auto"/>
        <w:left w:val="none" w:sz="0" w:space="0" w:color="auto"/>
        <w:bottom w:val="none" w:sz="0" w:space="0" w:color="auto"/>
        <w:right w:val="none" w:sz="0" w:space="0" w:color="auto"/>
      </w:divBdr>
    </w:div>
    <w:div w:id="1550799255">
      <w:bodyDiv w:val="1"/>
      <w:marLeft w:val="0"/>
      <w:marRight w:val="0"/>
      <w:marTop w:val="0"/>
      <w:marBottom w:val="0"/>
      <w:divBdr>
        <w:top w:val="none" w:sz="0" w:space="0" w:color="auto"/>
        <w:left w:val="none" w:sz="0" w:space="0" w:color="auto"/>
        <w:bottom w:val="none" w:sz="0" w:space="0" w:color="auto"/>
        <w:right w:val="none" w:sz="0" w:space="0" w:color="auto"/>
      </w:divBdr>
    </w:div>
    <w:div w:id="1646423725">
      <w:bodyDiv w:val="1"/>
      <w:marLeft w:val="0"/>
      <w:marRight w:val="0"/>
      <w:marTop w:val="0"/>
      <w:marBottom w:val="0"/>
      <w:divBdr>
        <w:top w:val="none" w:sz="0" w:space="0" w:color="auto"/>
        <w:left w:val="none" w:sz="0" w:space="0" w:color="auto"/>
        <w:bottom w:val="none" w:sz="0" w:space="0" w:color="auto"/>
        <w:right w:val="none" w:sz="0" w:space="0" w:color="auto"/>
      </w:divBdr>
    </w:div>
    <w:div w:id="1688752827">
      <w:bodyDiv w:val="1"/>
      <w:marLeft w:val="0"/>
      <w:marRight w:val="0"/>
      <w:marTop w:val="0"/>
      <w:marBottom w:val="0"/>
      <w:divBdr>
        <w:top w:val="none" w:sz="0" w:space="0" w:color="auto"/>
        <w:left w:val="none" w:sz="0" w:space="0" w:color="auto"/>
        <w:bottom w:val="none" w:sz="0" w:space="0" w:color="auto"/>
        <w:right w:val="none" w:sz="0" w:space="0" w:color="auto"/>
      </w:divBdr>
    </w:div>
    <w:div w:id="1752462374">
      <w:bodyDiv w:val="1"/>
      <w:marLeft w:val="0"/>
      <w:marRight w:val="0"/>
      <w:marTop w:val="0"/>
      <w:marBottom w:val="0"/>
      <w:divBdr>
        <w:top w:val="none" w:sz="0" w:space="0" w:color="auto"/>
        <w:left w:val="none" w:sz="0" w:space="0" w:color="auto"/>
        <w:bottom w:val="none" w:sz="0" w:space="0" w:color="auto"/>
        <w:right w:val="none" w:sz="0" w:space="0" w:color="auto"/>
      </w:divBdr>
    </w:div>
    <w:div w:id="1837187505">
      <w:bodyDiv w:val="1"/>
      <w:marLeft w:val="0"/>
      <w:marRight w:val="0"/>
      <w:marTop w:val="0"/>
      <w:marBottom w:val="0"/>
      <w:divBdr>
        <w:top w:val="none" w:sz="0" w:space="0" w:color="auto"/>
        <w:left w:val="none" w:sz="0" w:space="0" w:color="auto"/>
        <w:bottom w:val="none" w:sz="0" w:space="0" w:color="auto"/>
        <w:right w:val="none" w:sz="0" w:space="0" w:color="auto"/>
      </w:divBdr>
    </w:div>
    <w:div w:id="2088768581">
      <w:bodyDiv w:val="1"/>
      <w:marLeft w:val="0"/>
      <w:marRight w:val="0"/>
      <w:marTop w:val="0"/>
      <w:marBottom w:val="0"/>
      <w:divBdr>
        <w:top w:val="none" w:sz="0" w:space="0" w:color="auto"/>
        <w:left w:val="none" w:sz="0" w:space="0" w:color="auto"/>
        <w:bottom w:val="none" w:sz="0" w:space="0" w:color="auto"/>
        <w:right w:val="none" w:sz="0" w:space="0" w:color="auto"/>
      </w:divBdr>
    </w:div>
    <w:div w:id="21045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chart" Target="charts/chart3.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header" Target="header23.xml"/><Relationship Id="rId68" Type="http://schemas.openxmlformats.org/officeDocument/2006/relationships/header" Target="header25.xml"/><Relationship Id="rId7" Type="http://schemas.openxmlformats.org/officeDocument/2006/relationships/settings" Target="settings.xml"/><Relationship Id="rId71"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1.emf"/><Relationship Id="rId24" Type="http://schemas.openxmlformats.org/officeDocument/2006/relationships/image" Target="media/image2.png"/><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24.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chart" Target="charts/chart5.xml"/><Relationship Id="rId49" Type="http://schemas.openxmlformats.org/officeDocument/2006/relationships/footer" Target="footer15.xml"/><Relationship Id="rId57" Type="http://schemas.openxmlformats.org/officeDocument/2006/relationships/header" Target="header20.xml"/><Relationship Id="rId61"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c.europa.eu/info/law/better-regulation/have-your-say/initiatives/12979-Civil-liability-adapting-liability-rules-to-the-digital-age-and-artificial-intelligence_en" TargetMode="Externa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chart" Target="charts/chart4.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footer" Target="footer22.xml"/><Relationship Id="rId69" Type="http://schemas.openxmlformats.org/officeDocument/2006/relationships/header" Target="header26.xml"/><Relationship Id="Rbe15a07c26104c3a"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17.xml"/><Relationship Id="rId72" Type="http://schemas.openxmlformats.org/officeDocument/2006/relationships/header" Target="header27.xml"/><Relationship Id="rId3" Type="http://schemas.openxmlformats.org/officeDocument/2006/relationships/customXml" Target="../customXml/item3.xml"/><Relationship Id="Rc9ba7fd2950742d8" Type="http://schemas.microsoft.com/office/2018/08/relationships/commentsExtensible" Target="commentsExtensible.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chart" Target="charts/chart2.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footer" Target="footer2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SWD:2018:157:FIN" TargetMode="External"/><Relationship Id="rId18" Type="http://schemas.openxmlformats.org/officeDocument/2006/relationships/hyperlink" Target="https://eur-lex.europa.eu/legal-content/EN/TXT/?uri=SWD:2018:157:FIN" TargetMode="External"/><Relationship Id="rId26" Type="http://schemas.openxmlformats.org/officeDocument/2006/relationships/hyperlink" Target="https://op.europa.eu/en/publication-detail/-/publication/1c5e30be-1197-11ea-8c1f-01aa75ed71a1/language-en" TargetMode="External"/><Relationship Id="rId39" Type="http://schemas.openxmlformats.org/officeDocument/2006/relationships/hyperlink" Target="https://op.europa.eu/en/publication-detail/-/publication/1c5e30be-1197-11ea-8c1f-01aa75ed71a1/language-en" TargetMode="External"/><Relationship Id="rId21" Type="http://schemas.openxmlformats.org/officeDocument/2006/relationships/hyperlink" Target="https://www.europeanlawinstitute.eu/news-events/upcoming-events/events-sync/news/eli-webinar-on-guiding-principles-for-updating-the-product-liability-directive-for-the-digital-age-1/?tx_news_pi1%5Bcontroller%5D=News&amp;tx_news_pi1%5Baction%5D=detail&amp;cHash=243c1d8a36ce804a0f0283931fad7729" TargetMode="External"/><Relationship Id="rId34" Type="http://schemas.openxmlformats.org/officeDocument/2006/relationships/hyperlink" Target="https://ec.europa.eu/info/sites/default/files/proposal_for_a_regulation_on_general_product_safety.pdf" TargetMode="External"/><Relationship Id="rId42" Type="http://schemas.openxmlformats.org/officeDocument/2006/relationships/hyperlink" Target="https://eur-lex.europa.eu/legal-content/EN/TXT/?uri=SWD:2018:157:FIN" TargetMode="External"/><Relationship Id="rId47" Type="http://schemas.openxmlformats.org/officeDocument/2006/relationships/hyperlink" Target="https://eur-lex.europa.eu/legal-content/EN/TXT/?uri=SWD:2018:157:FIN" TargetMode="External"/><Relationship Id="rId50" Type="http://schemas.openxmlformats.org/officeDocument/2006/relationships/hyperlink" Target="https://ec.europa.eu/transparency/expert-groups-register/screen/expert-groups/consult?do=groupDetail.groupDetail&amp;groupID=3592" TargetMode="External"/><Relationship Id="rId55" Type="http://schemas.openxmlformats.org/officeDocument/2006/relationships/hyperlink" Target="https://eur-lex.europa.eu/legal-content/EN/TXT/?uri=SWD:2018:157:FIN" TargetMode="External"/><Relationship Id="rId63" Type="http://schemas.openxmlformats.org/officeDocument/2006/relationships/hyperlink" Target="https://eur-lex.europa.eu/legal-content/EN/TXT/?uri=SWD:2018:157:FIN" TargetMode="External"/><Relationship Id="rId68" Type="http://schemas.openxmlformats.org/officeDocument/2006/relationships/hyperlink" Target="https://ec.europa.eu/info/sites/default/files/proposal_for_a_regulation_on_general_product_safety.pdf" TargetMode="External"/><Relationship Id="rId7" Type="http://schemas.openxmlformats.org/officeDocument/2006/relationships/hyperlink" Target="https://ec.europa.eu/info/publications/white-paper-artificial-intelligence-european-approach-excellence-and-trust_en" TargetMode="External"/><Relationship Id="rId71" Type="http://schemas.openxmlformats.org/officeDocument/2006/relationships/hyperlink" Target="https://ec.europa.eu/health/medicinal-products/pharmaceutical-strategy-europe_en" TargetMode="External"/><Relationship Id="rId2" Type="http://schemas.openxmlformats.org/officeDocument/2006/relationships/hyperlink" Target="https://ec.europa.eu/info/sites/default/files/communication-shaping-europes-digital-future-feb2020_en_4.pdf" TargetMode="External"/><Relationship Id="rId16" Type="http://schemas.openxmlformats.org/officeDocument/2006/relationships/hyperlink" Target="https://ec.europa.eu/eurostat/databrowser/view/isoc_iiot_bx/default/table?lang=en" TargetMode="External"/><Relationship Id="rId29" Type="http://schemas.openxmlformats.org/officeDocument/2006/relationships/hyperlink" Target="https://www.taylorwessing.com/en/insights-and-events/insights/2021/04/product-liability-for-an-iot-data-breach" TargetMode="External"/><Relationship Id="rId1" Type="http://schemas.openxmlformats.org/officeDocument/2006/relationships/hyperlink" Target="https://ec.europa.eu/info/sites/default/files/political-guidelines-next-commission_en_0.pdf" TargetMode="External"/><Relationship Id="rId6" Type="http://schemas.openxmlformats.org/officeDocument/2006/relationships/hyperlink" Target="https://eur-lex.europa.eu/legal-content/EN/TXT/?uri=SWD:2018:157:FIN" TargetMode="External"/><Relationship Id="rId11" Type="http://schemas.openxmlformats.org/officeDocument/2006/relationships/hyperlink" Target="https://ec.europa.eu/commission/commissioners/2019-2024/breton/blog/how-european-cyber-resilience-act-will-help-protect-europe_en" TargetMode="External"/><Relationship Id="rId24" Type="http://schemas.openxmlformats.org/officeDocument/2006/relationships/hyperlink" Target="https://eur-lex.europa.eu/legal-content/EN/TXT/?uri=SWD:2018:157:FIN" TargetMode="External"/><Relationship Id="rId32" Type="http://schemas.openxmlformats.org/officeDocument/2006/relationships/hyperlink" Target="https://ec.europa.eu/info/law/better-regulation/have-your-say/initiatives/12979-Civil-liability-adapting-liability-rules-to-the-digital-age-and-artificial-intelligence/F2663248_en" TargetMode="External"/><Relationship Id="rId37" Type="http://schemas.openxmlformats.org/officeDocument/2006/relationships/hyperlink" Target="https://eur-lex.europa.eu/legal-content/EN/TXT/?uri=SWD:2018:157:FIN" TargetMode="External"/><Relationship Id="rId40" Type="http://schemas.openxmlformats.org/officeDocument/2006/relationships/hyperlink" Target="https://eur-lex.europa.eu/legal-content/EN/TXT/?uri=SWD:2018:157:FIN" TargetMode="External"/><Relationship Id="rId45" Type="http://schemas.openxmlformats.org/officeDocument/2006/relationships/hyperlink" Target="https://eur-lex.europa.eu/legal-content/EN/TXT/?uri=SWD:2018:157:FIN" TargetMode="External"/><Relationship Id="rId53" Type="http://schemas.openxmlformats.org/officeDocument/2006/relationships/hyperlink" Target="https://eur-lex.europa.eu/legal-content/EN/TXT/?uri=SWD:2018:157:FIN" TargetMode="External"/><Relationship Id="rId58" Type="http://schemas.openxmlformats.org/officeDocument/2006/relationships/hyperlink" Target="https://ec.europa.eu/info/law/better-regulation/have-your-say/initiatives/12979-Civil-liability-adapting-liability-rules-to-the-digital-age-and-artificial-intelligence/public-consultation_en" TargetMode="External"/><Relationship Id="rId66" Type="http://schemas.openxmlformats.org/officeDocument/2006/relationships/hyperlink" Target="https://op.europa.eu/en/publication-detail/-/publication/d4e3e1f5-526c-11e8-be1d-01aa75ed71a1/language-en" TargetMode="External"/><Relationship Id="rId5" Type="http://schemas.openxmlformats.org/officeDocument/2006/relationships/hyperlink" Target="https://ec.europa.eu/info/law/better-regulation/have-your-say/initiatives/12963-Revision-of-the-EU-general-pharmaceuticals-legislation_en" TargetMode="External"/><Relationship Id="rId15" Type="http://schemas.openxmlformats.org/officeDocument/2006/relationships/hyperlink" Target="https://eur-lex.europa.eu/legal-content/EN/TXT/?uri=SWD:2018:157:FIN" TargetMode="External"/><Relationship Id="rId23" Type="http://schemas.openxmlformats.org/officeDocument/2006/relationships/hyperlink" Target="https://ec.europa.eu/info/law/better-regulation/have-your-say/initiatives/12979-Civil-liability-adapting-liability-rules-to-the-digital-age-and-artificial-intelligence/public-consultation_en" TargetMode="External"/><Relationship Id="rId28" Type="http://schemas.openxmlformats.org/officeDocument/2006/relationships/hyperlink" Target="https://eur-lex.europa.eu/legal-content/EN/TXT/?uri=SWD:2018:157:FIN" TargetMode="External"/><Relationship Id="rId36" Type="http://schemas.openxmlformats.org/officeDocument/2006/relationships/hyperlink" Target="https://eur-lex.europa.eu/legal-content/EN/TXT/?uri=SWD:2018:157:FIN" TargetMode="External"/><Relationship Id="rId49" Type="http://schemas.openxmlformats.org/officeDocument/2006/relationships/hyperlink" Target="https://www.lawinsider.com/dictionary/latent-injury" TargetMode="External"/><Relationship Id="rId57" Type="http://schemas.openxmlformats.org/officeDocument/2006/relationships/hyperlink" Target="https://bolddata.nl/en/companies/europe/software-companies-europe/" TargetMode="External"/><Relationship Id="rId61" Type="http://schemas.openxmlformats.org/officeDocument/2006/relationships/hyperlink" Target="https://op.europa.eu/en/publication-detail/-/publication/d4e3e1f5-526c-11e8-be1d-01aa75ed71a1/language-en" TargetMode="External"/><Relationship Id="rId10" Type="http://schemas.openxmlformats.org/officeDocument/2006/relationships/hyperlink" Target="https://eur-lex.europa.eu/legal-content/EN/TXT/?uri=SWD:2018:157:FIN" TargetMode="External"/><Relationship Id="rId19" Type="http://schemas.openxmlformats.org/officeDocument/2006/relationships/hyperlink" Target="https://op.europa.eu/en/publication-detail/-/publication/0d1ed8aa-8649-11e8-ac6a-01aa75ed71a1/language-en" TargetMode="External"/><Relationship Id="rId31" Type="http://schemas.openxmlformats.org/officeDocument/2006/relationships/hyperlink" Target="https://ec.europa.eu/info/law/better-regulation/have-your-say/initiatives/12979-Civil-liability-adapting-liability-rules-to-the-digital-age-and-artificial-intelligence/public-consultation_en" TargetMode="External"/><Relationship Id="rId44" Type="http://schemas.openxmlformats.org/officeDocument/2006/relationships/hyperlink" Target="https://eur-lex.europa.eu/legal-content/EN/TXT/?uri=SWD:2018:157:FIN" TargetMode="External"/><Relationship Id="rId52" Type="http://schemas.openxmlformats.org/officeDocument/2006/relationships/hyperlink" Target="https://ec.europa.eu/transparency/expert-groups-register/screen/meetings/consult?lang=en&amp;meetingId=17990&amp;fromExpertGroups=true" TargetMode="External"/><Relationship Id="rId60" Type="http://schemas.openxmlformats.org/officeDocument/2006/relationships/hyperlink" Target="https://eur-lex.europa.eu/legal-content/EN/TXT/?uri=SWD:2018:157:FIN" TargetMode="External"/><Relationship Id="rId65" Type="http://schemas.openxmlformats.org/officeDocument/2006/relationships/hyperlink" Target="https://eur-lex.europa.eu/legal-content/EN/TXT/HTML/?uri=CELEX:52000DC0893&amp;from=GA" TargetMode="External"/><Relationship Id="rId4" Type="http://schemas.openxmlformats.org/officeDocument/2006/relationships/hyperlink" Target="https://ec.europa.eu/info/law/better-regulation/have-your-say/initiatives/12567-Sustainable-products-initiative_en" TargetMode="External"/><Relationship Id="rId9" Type="http://schemas.openxmlformats.org/officeDocument/2006/relationships/hyperlink" Target="https://op.europa.eu/en/publication-detail/-/publication/1c5e30be-1197-11ea-8c1f-01aa75ed71a1/language-en" TargetMode="External"/><Relationship Id="rId14" Type="http://schemas.openxmlformats.org/officeDocument/2006/relationships/hyperlink" Target="https://eur-lex.europa.eu/legal-content/EN/TXT/?uri=SWD:2018:157:FIN" TargetMode="External"/><Relationship Id="rId22" Type="http://schemas.openxmlformats.org/officeDocument/2006/relationships/hyperlink" Target="https://op.europa.eu/en/publication-detail/-/publication/d4e3e1f5-526c-11e8-be1d-01aa75ed71a1/language-en" TargetMode="External"/><Relationship Id="rId27" Type="http://schemas.openxmlformats.org/officeDocument/2006/relationships/hyperlink" Target="https://ec.europa.eu/info/law/better-regulation/have-your-say/initiatives/12979-Civil-liability-adapting-liability-rules-to-the-digital-age-and-artificial-intelligence/public-consultation_en" TargetMode="External"/><Relationship Id="rId30" Type="http://schemas.openxmlformats.org/officeDocument/2006/relationships/hyperlink" Target="https://www.beuc.eu/publications/german-regulator-bans-spying-doll-cayla/html" TargetMode="External"/><Relationship Id="rId35" Type="http://schemas.openxmlformats.org/officeDocument/2006/relationships/hyperlink" Target="https://ec.europa.eu/commission/presscorner/detail/en/MEMO_16_3746" TargetMode="External"/><Relationship Id="rId43" Type="http://schemas.openxmlformats.org/officeDocument/2006/relationships/hyperlink" Target="https://ec.europa.eu/eurostat/en/web/products-eurostat-news/-/ddn-20210622-1" TargetMode="External"/><Relationship Id="rId48" Type="http://schemas.openxmlformats.org/officeDocument/2006/relationships/hyperlink" Target="https://eur-lex.europa.eu/legal-content/EN/TXT/?uri=SWD:2018:157:FIN" TargetMode="External"/><Relationship Id="rId56" Type="http://schemas.openxmlformats.org/officeDocument/2006/relationships/hyperlink" Target="https://ec.europa.eu/info/sites/default/files/impact_assessment.pdf" TargetMode="External"/><Relationship Id="rId64" Type="http://schemas.openxmlformats.org/officeDocument/2006/relationships/hyperlink" Target="https://eur-lex.europa.eu/legal-content/EN/TXT/?uri=SWD:2018:157:FIN" TargetMode="External"/><Relationship Id="rId69" Type="http://schemas.openxmlformats.org/officeDocument/2006/relationships/hyperlink" Target="https://osha.europa.eu/en/safety-and-health-legislation/european-directives" TargetMode="External"/><Relationship Id="rId8" Type="http://schemas.openxmlformats.org/officeDocument/2006/relationships/hyperlink" Target="https://ec.europa.eu/info/sites/info/files/report-safety-liability-artificial-intelligence-feb2020_en_1.pdf" TargetMode="External"/><Relationship Id="rId51" Type="http://schemas.openxmlformats.org/officeDocument/2006/relationships/hyperlink" Target="https://ec.europa.eu/transparency/expert-groups-register/screen/meetings/consult?lang=en&amp;meetingId=15050&amp;fromExpertGroups=true" TargetMode="External"/><Relationship Id="rId72" Type="http://schemas.openxmlformats.org/officeDocument/2006/relationships/hyperlink" Target="https://ec.europa.eu/info/law/better-regulation/have-your-say/initiatives/12963-Revision-of-the-EU-general-pharmaceuticals-legislation_en" TargetMode="External"/><Relationship Id="rId3" Type="http://schemas.openxmlformats.org/officeDocument/2006/relationships/hyperlink" Target="https://www.europarl.europa.eu/doceo/document/TA-9-2020-0276_EN.html" TargetMode="External"/><Relationship Id="rId12" Type="http://schemas.openxmlformats.org/officeDocument/2006/relationships/hyperlink" Target="https://ec.europa.eu/environment/strategy/circular-economy-action-plan_en" TargetMode="External"/><Relationship Id="rId17" Type="http://schemas.openxmlformats.org/officeDocument/2006/relationships/hyperlink" Target="https://eur-lex.europa.eu/legal-content/EN/TXT/?uri=SWD:2018:157:FIN" TargetMode="External"/><Relationship Id="rId25" Type="http://schemas.openxmlformats.org/officeDocument/2006/relationships/hyperlink" Target="https://op.europa.eu/en/publication-detail/-/publication/1c5e30be-1197-11ea-8c1f-01aa75ed71a1/language-en" TargetMode="External"/><Relationship Id="rId33" Type="http://schemas.openxmlformats.org/officeDocument/2006/relationships/hyperlink" Target="https://ec.europa.eu/docsroom/documents/45508" TargetMode="External"/><Relationship Id="rId38" Type="http://schemas.openxmlformats.org/officeDocument/2006/relationships/hyperlink" Target="https://eur-lex.europa.eu/legal-content/EN/TXT/?uri=SWD:2018:157:FIN" TargetMode="External"/><Relationship Id="rId46" Type="http://schemas.openxmlformats.org/officeDocument/2006/relationships/hyperlink" Target="https://eur-lex.europa.eu/legal-content/EN/TXT/?uri=SWD:2018:157:FIN" TargetMode="External"/><Relationship Id="rId59" Type="http://schemas.openxmlformats.org/officeDocument/2006/relationships/hyperlink" Target="https://europeanjusticeforum.org/topics/product-liability/details/" TargetMode="External"/><Relationship Id="rId67" Type="http://schemas.openxmlformats.org/officeDocument/2006/relationships/hyperlink" Target="https://ec.europa.eu/docsroom/documents/45508R" TargetMode="External"/><Relationship Id="rId20" Type="http://schemas.openxmlformats.org/officeDocument/2006/relationships/hyperlink" Target="https://ec.europa.eu/info/law/better-regulation/have-your-say/initiatives/12979-Civil-liability-adapting-liability-rules-to-the-digital-age-and-artificial-intelligence/F2662942_en" TargetMode="External"/><Relationship Id="rId41" Type="http://schemas.openxmlformats.org/officeDocument/2006/relationships/hyperlink" Target="https://www.lawinsider.com/dictionary/latent-injury" TargetMode="External"/><Relationship Id="rId54" Type="http://schemas.openxmlformats.org/officeDocument/2006/relationships/hyperlink" Target="https://op.europa.eu/en/publication-detail/-/publication/1c5e30be-1197-11ea-8c1f-01aa75ed71a1/language-en" TargetMode="External"/><Relationship Id="rId62" Type="http://schemas.openxmlformats.org/officeDocument/2006/relationships/hyperlink" Target="https://eur-lex.europa.eu/legal-content/EN/TXT/?uri=SWD:2018:157:FIN" TargetMode="External"/><Relationship Id="rId70" Type="http://schemas.openxmlformats.org/officeDocument/2006/relationships/hyperlink" Target="https://ec.europa.eu/commission/commissioners/2019-2024/breton/blog/how-european-cyber-resilience-act-will-help-protect-europe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imart\AppData\Local\Microsoft\Windows\INetCache\Content.Outlook\EJEAAO26\PLD%20-%20AI_Public%20consultation_Data%20and%20Charts%2017.01.2022%20(0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truma\AppData\Local\Microsoft\Windows\INetCache\Content.Outlook\SJVPYIDW\PLD%20-%20AI_Public%20consultation_Data%20and%20Charts%2017.01.20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GROW\H\2\Common\12%20Liability%20for%20defective%20products\2021%20Revision\Public%20consultation\Responses%20to%20public%20consultation\PLD%20-%20Public%20consultation_Data%20and%20Charts%2017.01.20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truma\AppData\Local\Microsoft\Windows\INetCache\Content.Outlook\SJVPYIDW\PLD%20-%20AI_Public%20consultation_Data%20and%20Charts%2017.01.202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homes\119\PETRUMA\Desktop\Copy%20of%20PLD%20-%20AI_Public%20consultation_Data%20and%20Charts%2017.01.2022_MP.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homes\119\PETRUMA\Desktop\Copy%20of%20PLD%20-%20AI_Public%20consultation_Data%20and%20Charts%2017.01.2022_M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 am giving my contribution as: (n-291)</a:t>
            </a:r>
          </a:p>
        </c:rich>
      </c:tx>
      <c:overlay val="0"/>
      <c:spPr>
        <a:noFill/>
        <a:ln w="25400">
          <a:noFill/>
        </a:ln>
      </c:spPr>
    </c:title>
    <c:autoTitleDeleted val="0"/>
    <c:plotArea>
      <c:layout>
        <c:manualLayout>
          <c:layoutTarget val="inner"/>
          <c:xMode val="edge"/>
          <c:yMode val="edge"/>
          <c:x val="9.3751501401307891E-2"/>
          <c:y val="0.14826232965420805"/>
          <c:w val="0.53433856784851053"/>
          <c:h val="0.82600809178328705"/>
        </c:manualLayout>
      </c:layout>
      <c:pie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5E-4488-A641-0EED57BFD1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5E-4488-A641-0EED57BFD1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5E-4488-A641-0EED57BFD1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5E-4488-A641-0EED57BFD10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5E-4488-A641-0EED57BFD10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5E-4488-A641-0EED57BFD10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75E-4488-A641-0EED57BFD10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75E-4488-A641-0EED57BFD10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75E-4488-A641-0EED57BFD10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75E-4488-A641-0EED57BFD101}"/>
              </c:ext>
            </c:extLst>
          </c:dPt>
          <c:dLbls>
            <c:dLbl>
              <c:idx val="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D75E-4488-A641-0EED57BFD101}"/>
                </c:ext>
              </c:extLst>
            </c:dLbl>
            <c:dLbl>
              <c:idx val="1"/>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3-D75E-4488-A641-0EED57BFD101}"/>
                </c:ext>
              </c:extLst>
            </c:dLbl>
            <c:dLbl>
              <c:idx val="2"/>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D75E-4488-A641-0EED57BFD101}"/>
                </c:ext>
              </c:extLst>
            </c:dLbl>
            <c:dLbl>
              <c:idx val="3"/>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7-D75E-4488-A641-0EED57BFD101}"/>
                </c:ext>
              </c:extLst>
            </c:dLbl>
            <c:dLbl>
              <c:idx val="4"/>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9-D75E-4488-A641-0EED57BFD101}"/>
                </c:ext>
              </c:extLst>
            </c:dLbl>
            <c:dLbl>
              <c:idx val="5"/>
              <c:delete val="1"/>
              <c:extLst>
                <c:ext xmlns:c15="http://schemas.microsoft.com/office/drawing/2012/chart" uri="{CE6537A1-D6FC-4f65-9D91-7224C49458BB}"/>
                <c:ext xmlns:c16="http://schemas.microsoft.com/office/drawing/2014/chart" uri="{C3380CC4-5D6E-409C-BE32-E72D297353CC}">
                  <c16:uniqueId val="{0000000B-D75E-4488-A641-0EED57BFD101}"/>
                </c:ext>
              </c:extLst>
            </c:dLbl>
            <c:dLbl>
              <c:idx val="6"/>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D-D75E-4488-A641-0EED57BFD101}"/>
                </c:ext>
              </c:extLst>
            </c:dLbl>
            <c:dLbl>
              <c:idx val="7"/>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F-D75E-4488-A641-0EED57BFD101}"/>
                </c:ext>
              </c:extLst>
            </c:dLbl>
            <c:dLbl>
              <c:idx val="8"/>
              <c:layout>
                <c:manualLayout>
                  <c:x val="4.6694257431964207E-3"/>
                  <c:y val="8.4897101316410456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75E-4488-A641-0EED57BFD101}"/>
                </c:ext>
              </c:extLst>
            </c:dLbl>
            <c:dLbl>
              <c:idx val="9"/>
              <c:layout>
                <c:manualLayout>
                  <c:x val="6.4311876269703572E-3"/>
                  <c:y val="6.3615628832422152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D75E-4488-A641-0EED57BFD101}"/>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'Stakeholder type'!$F$19:$F$28</c:f>
              <c:strCache>
                <c:ptCount val="10"/>
                <c:pt idx="0">
                  <c:v>Academic/research institution</c:v>
                </c:pt>
                <c:pt idx="1">
                  <c:v>Business association</c:v>
                </c:pt>
                <c:pt idx="2">
                  <c:v>Company/business organisation</c:v>
                </c:pt>
                <c:pt idx="3">
                  <c:v>Consumer organisation</c:v>
                </c:pt>
                <c:pt idx="4">
                  <c:v>EU citizen</c:v>
                </c:pt>
                <c:pt idx="5">
                  <c:v>Non-EU citizen</c:v>
                </c:pt>
                <c:pt idx="6">
                  <c:v>Non-governmental organisation (NGO)</c:v>
                </c:pt>
                <c:pt idx="7">
                  <c:v>Other</c:v>
                </c:pt>
                <c:pt idx="8">
                  <c:v>Public authority</c:v>
                </c:pt>
                <c:pt idx="9">
                  <c:v>Trade union</c:v>
                </c:pt>
              </c:strCache>
            </c:strRef>
          </c:cat>
          <c:val>
            <c:numRef>
              <c:f>'Stakeholder type'!$G$19:$G$28</c:f>
              <c:numCache>
                <c:formatCode>0.0%</c:formatCode>
                <c:ptCount val="10"/>
                <c:pt idx="0">
                  <c:v>5.1499999999999997E-2</c:v>
                </c:pt>
                <c:pt idx="1">
                  <c:v>0.20619999999999999</c:v>
                </c:pt>
                <c:pt idx="2">
                  <c:v>0.17180000000000001</c:v>
                </c:pt>
                <c:pt idx="3">
                  <c:v>3.44E-2</c:v>
                </c:pt>
                <c:pt idx="4">
                  <c:v>0.41920000000000002</c:v>
                </c:pt>
                <c:pt idx="5">
                  <c:v>3.3999999999999998E-3</c:v>
                </c:pt>
                <c:pt idx="6">
                  <c:v>5.5E-2</c:v>
                </c:pt>
                <c:pt idx="7">
                  <c:v>3.09E-2</c:v>
                </c:pt>
                <c:pt idx="8">
                  <c:v>1.72E-2</c:v>
                </c:pt>
                <c:pt idx="9">
                  <c:v>1.03E-2</c:v>
                </c:pt>
              </c:numCache>
            </c:numRef>
          </c:val>
          <c:extLst>
            <c:ext xmlns:c16="http://schemas.microsoft.com/office/drawing/2014/chart" uri="{C3380CC4-5D6E-409C-BE32-E72D297353CC}">
              <c16:uniqueId val="{00000014-D75E-4488-A641-0EED57BFD101}"/>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2399000169314902"/>
          <c:y val="0.24070482457480655"/>
          <c:w val="0.47395779695128454"/>
          <c:h val="0.4876263526567588"/>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050"/>
              <a:t>Do you agree or disagree that consumers should get compensation under the Directive if the following intangible items are defective and cause physical/property damage? (n-155)</a:t>
            </a:r>
          </a:p>
        </c:rich>
      </c:tx>
      <c:layout>
        <c:manualLayout>
          <c:xMode val="edge"/>
          <c:yMode val="edge"/>
          <c:x val="0.11228758885096606"/>
          <c:y val="6.2412232797628333E-3"/>
        </c:manualLayout>
      </c:layout>
      <c:overlay val="0"/>
      <c:spPr>
        <a:noFill/>
        <a:ln w="25400">
          <a:noFill/>
        </a:ln>
      </c:spPr>
    </c:title>
    <c:autoTitleDeleted val="0"/>
    <c:plotArea>
      <c:layout>
        <c:manualLayout>
          <c:layoutTarget val="inner"/>
          <c:xMode val="edge"/>
          <c:yMode val="edge"/>
          <c:x val="0.48917578372010428"/>
          <c:y val="0.13716410448693911"/>
          <c:w val="0.47549422658801316"/>
          <c:h val="0.73993607941864414"/>
        </c:manualLayout>
      </c:layout>
      <c:barChart>
        <c:barDir val="bar"/>
        <c:grouping val="percentStacked"/>
        <c:varyColors val="0"/>
        <c:ser>
          <c:idx val="0"/>
          <c:order val="0"/>
          <c:tx>
            <c:strRef>
              <c:f>'[PLD - AI_Public consultation_Data and Charts 17.01.2022.xls]Compensation and damaged items'!$E$30</c:f>
              <c:strCache>
                <c:ptCount val="1"/>
                <c:pt idx="0">
                  <c:v>Strongly agree</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17.01.2022.xls]Compensation and damaged items'!$D$31:$D$41</c:f>
              <c:strCache>
                <c:ptCount val="11"/>
                <c:pt idx="0">
                  <c:v>Software that provides immediate decision-triggering information (e.g. blood glucose meter)</c:v>
                </c:pt>
                <c:pt idx="1">
                  <c:v>Data that comprises only information (e.g. a digital map, a menu)</c:v>
                </c:pt>
                <c:pt idx="2">
                  <c:v>Software that is used on a device but does not drive the device (e.g. a gaming app on a computer or other device)</c:v>
                </c:pt>
                <c:pt idx="3">
                  <c:v>Software that provides only guidance or advice to an end user (e.g. software that interprets medical imaging and provides diagnoses)</c:v>
                </c:pt>
                <c:pt idx="4">
                  <c:v>Data capable of influencing how a product operates (e.g. training data for an autonomous vehicle)</c:v>
                </c:pt>
                <c:pt idx="5">
                  <c:v>Bespoke software (e.g. software customised to control the production line in a factory)</c:v>
                </c:pt>
                <c:pt idx="6">
                  <c:v>Software made available separately via download for use on a tangible product (e.g. domestic robot) that has already been placed on the market</c:v>
                </c:pt>
                <c:pt idx="7">
                  <c:v>Digital services that control how a product operates (e.g. cloud-based service for operating smart thermostat)</c:v>
                </c:pt>
                <c:pt idx="8">
                  <c:v>Software upgrades and updates (e.g. to deliver new functionalities or fix a security flaw)</c:v>
                </c:pt>
                <c:pt idx="9">
                  <c:v>Software embedded in a tangible product at the moment the tangible product is placed on the market</c:v>
                </c:pt>
                <c:pt idx="10">
                  <c:v>Software that controls how a product operates (e.g. a car’s engine control system, a robot’s operating system)</c:v>
                </c:pt>
              </c:strCache>
            </c:strRef>
          </c:cat>
          <c:val>
            <c:numRef>
              <c:f>'[PLD - AI_Public consultation_Data and Charts 17.01.2022.xls]Compensation and damaged items'!$E$31:$E$41</c:f>
              <c:numCache>
                <c:formatCode>0%</c:formatCode>
                <c:ptCount val="11"/>
                <c:pt idx="0">
                  <c:v>0.12</c:v>
                </c:pt>
                <c:pt idx="1">
                  <c:v>0.14000000000000001</c:v>
                </c:pt>
                <c:pt idx="2">
                  <c:v>0.2</c:v>
                </c:pt>
                <c:pt idx="3">
                  <c:v>0.22</c:v>
                </c:pt>
                <c:pt idx="4">
                  <c:v>0.27</c:v>
                </c:pt>
                <c:pt idx="5">
                  <c:v>0.31</c:v>
                </c:pt>
                <c:pt idx="6">
                  <c:v>0.32</c:v>
                </c:pt>
                <c:pt idx="7">
                  <c:v>0.33</c:v>
                </c:pt>
                <c:pt idx="8">
                  <c:v>0.36</c:v>
                </c:pt>
                <c:pt idx="9">
                  <c:v>0.42</c:v>
                </c:pt>
                <c:pt idx="10">
                  <c:v>0.43</c:v>
                </c:pt>
              </c:numCache>
            </c:numRef>
          </c:val>
          <c:extLst>
            <c:ext xmlns:c16="http://schemas.microsoft.com/office/drawing/2014/chart" uri="{C3380CC4-5D6E-409C-BE32-E72D297353CC}">
              <c16:uniqueId val="{00000000-933F-4948-AE25-15A8A490D132}"/>
            </c:ext>
          </c:extLst>
        </c:ser>
        <c:ser>
          <c:idx val="1"/>
          <c:order val="1"/>
          <c:tx>
            <c:strRef>
              <c:f>'[PLD - AI_Public consultation_Data and Charts 17.01.2022.xls]Compensation and damaged items'!$F$30</c:f>
              <c:strCache>
                <c:ptCount val="1"/>
                <c:pt idx="0">
                  <c:v>Agree</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17.01.2022.xls]Compensation and damaged items'!$D$31:$D$41</c:f>
              <c:strCache>
                <c:ptCount val="11"/>
                <c:pt idx="0">
                  <c:v>Software that provides immediate decision-triggering information (e.g. blood glucose meter)</c:v>
                </c:pt>
                <c:pt idx="1">
                  <c:v>Data that comprises only information (e.g. a digital map, a menu)</c:v>
                </c:pt>
                <c:pt idx="2">
                  <c:v>Software that is used on a device but does not drive the device (e.g. a gaming app on a computer or other device)</c:v>
                </c:pt>
                <c:pt idx="3">
                  <c:v>Software that provides only guidance or advice to an end user (e.g. software that interprets medical imaging and provides diagnoses)</c:v>
                </c:pt>
                <c:pt idx="4">
                  <c:v>Data capable of influencing how a product operates (e.g. training data for an autonomous vehicle)</c:v>
                </c:pt>
                <c:pt idx="5">
                  <c:v>Bespoke software (e.g. software customised to control the production line in a factory)</c:v>
                </c:pt>
                <c:pt idx="6">
                  <c:v>Software made available separately via download for use on a tangible product (e.g. domestic robot) that has already been placed on the market</c:v>
                </c:pt>
                <c:pt idx="7">
                  <c:v>Digital services that control how a product operates (e.g. cloud-based service for operating smart thermostat)</c:v>
                </c:pt>
                <c:pt idx="8">
                  <c:v>Software upgrades and updates (e.g. to deliver new functionalities or fix a security flaw)</c:v>
                </c:pt>
                <c:pt idx="9">
                  <c:v>Software embedded in a tangible product at the moment the tangible product is placed on the market</c:v>
                </c:pt>
                <c:pt idx="10">
                  <c:v>Software that controls how a product operates (e.g. a car’s engine control system, a robot’s operating system)</c:v>
                </c:pt>
              </c:strCache>
            </c:strRef>
          </c:cat>
          <c:val>
            <c:numRef>
              <c:f>'[PLD - AI_Public consultation_Data and Charts 17.01.2022.xls]Compensation and damaged items'!$F$31:$F$41</c:f>
              <c:numCache>
                <c:formatCode>0%</c:formatCode>
                <c:ptCount val="11"/>
                <c:pt idx="0">
                  <c:v>0.3</c:v>
                </c:pt>
                <c:pt idx="1">
                  <c:v>0.13</c:v>
                </c:pt>
                <c:pt idx="2">
                  <c:v>0.22</c:v>
                </c:pt>
                <c:pt idx="3">
                  <c:v>0.19</c:v>
                </c:pt>
                <c:pt idx="4">
                  <c:v>0.18</c:v>
                </c:pt>
                <c:pt idx="5">
                  <c:v>0.25</c:v>
                </c:pt>
                <c:pt idx="6">
                  <c:v>0.24</c:v>
                </c:pt>
                <c:pt idx="7">
                  <c:v>0.22</c:v>
                </c:pt>
                <c:pt idx="8">
                  <c:v>0.3</c:v>
                </c:pt>
                <c:pt idx="9">
                  <c:v>0.36</c:v>
                </c:pt>
                <c:pt idx="10">
                  <c:v>0.35</c:v>
                </c:pt>
              </c:numCache>
            </c:numRef>
          </c:val>
          <c:extLst>
            <c:ext xmlns:c16="http://schemas.microsoft.com/office/drawing/2014/chart" uri="{C3380CC4-5D6E-409C-BE32-E72D297353CC}">
              <c16:uniqueId val="{00000001-933F-4948-AE25-15A8A490D132}"/>
            </c:ext>
          </c:extLst>
        </c:ser>
        <c:ser>
          <c:idx val="2"/>
          <c:order val="2"/>
          <c:tx>
            <c:strRef>
              <c:f>'[PLD - AI_Public consultation_Data and Charts 17.01.2022.xls]Compensation and damaged items'!$G$30</c:f>
              <c:strCache>
                <c:ptCount val="1"/>
                <c:pt idx="0">
                  <c:v>Neutral</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17.01.2022.xls]Compensation and damaged items'!$D$31:$D$41</c:f>
              <c:strCache>
                <c:ptCount val="11"/>
                <c:pt idx="0">
                  <c:v>Software that provides immediate decision-triggering information (e.g. blood glucose meter)</c:v>
                </c:pt>
                <c:pt idx="1">
                  <c:v>Data that comprises only information (e.g. a digital map, a menu)</c:v>
                </c:pt>
                <c:pt idx="2">
                  <c:v>Software that is used on a device but does not drive the device (e.g. a gaming app on a computer or other device)</c:v>
                </c:pt>
                <c:pt idx="3">
                  <c:v>Software that provides only guidance or advice to an end user (e.g. software that interprets medical imaging and provides diagnoses)</c:v>
                </c:pt>
                <c:pt idx="4">
                  <c:v>Data capable of influencing how a product operates (e.g. training data for an autonomous vehicle)</c:v>
                </c:pt>
                <c:pt idx="5">
                  <c:v>Bespoke software (e.g. software customised to control the production line in a factory)</c:v>
                </c:pt>
                <c:pt idx="6">
                  <c:v>Software made available separately via download for use on a tangible product (e.g. domestic robot) that has already been placed on the market</c:v>
                </c:pt>
                <c:pt idx="7">
                  <c:v>Digital services that control how a product operates (e.g. cloud-based service for operating smart thermostat)</c:v>
                </c:pt>
                <c:pt idx="8">
                  <c:v>Software upgrades and updates (e.g. to deliver new functionalities or fix a security flaw)</c:v>
                </c:pt>
                <c:pt idx="9">
                  <c:v>Software embedded in a tangible product at the moment the tangible product is placed on the market</c:v>
                </c:pt>
                <c:pt idx="10">
                  <c:v>Software that controls how a product operates (e.g. a car’s engine control system, a robot’s operating system)</c:v>
                </c:pt>
              </c:strCache>
            </c:strRef>
          </c:cat>
          <c:val>
            <c:numRef>
              <c:f>'[PLD - AI_Public consultation_Data and Charts 17.01.2022.xls]Compensation and damaged items'!$G$31:$G$41</c:f>
              <c:numCache>
                <c:formatCode>0%</c:formatCode>
                <c:ptCount val="11"/>
                <c:pt idx="0">
                  <c:v>0.11</c:v>
                </c:pt>
                <c:pt idx="1">
                  <c:v>0.09</c:v>
                </c:pt>
                <c:pt idx="2">
                  <c:v>0.1</c:v>
                </c:pt>
                <c:pt idx="3">
                  <c:v>0.1</c:v>
                </c:pt>
                <c:pt idx="4">
                  <c:v>0.1</c:v>
                </c:pt>
                <c:pt idx="5">
                  <c:v>0.05</c:v>
                </c:pt>
                <c:pt idx="6">
                  <c:v>0.1</c:v>
                </c:pt>
                <c:pt idx="7">
                  <c:v>0.11</c:v>
                </c:pt>
                <c:pt idx="8">
                  <c:v>0.08</c:v>
                </c:pt>
                <c:pt idx="9">
                  <c:v>0.05</c:v>
                </c:pt>
                <c:pt idx="10">
                  <c:v>0.04</c:v>
                </c:pt>
              </c:numCache>
            </c:numRef>
          </c:val>
          <c:extLst>
            <c:ext xmlns:c16="http://schemas.microsoft.com/office/drawing/2014/chart" uri="{C3380CC4-5D6E-409C-BE32-E72D297353CC}">
              <c16:uniqueId val="{00000002-933F-4948-AE25-15A8A490D132}"/>
            </c:ext>
          </c:extLst>
        </c:ser>
        <c:ser>
          <c:idx val="3"/>
          <c:order val="3"/>
          <c:tx>
            <c:strRef>
              <c:f>'[PLD - AI_Public consultation_Data and Charts 17.01.2022.xls]Compensation and damaged items'!$H$30</c:f>
              <c:strCache>
                <c:ptCount val="1"/>
                <c:pt idx="0">
                  <c:v>Disagree</c:v>
                </c:pt>
              </c:strCache>
            </c:strRef>
          </c:tx>
          <c:spPr>
            <a:solidFill>
              <a:srgbClr val="FFC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17.01.2022.xls]Compensation and damaged items'!$D$31:$D$41</c:f>
              <c:strCache>
                <c:ptCount val="11"/>
                <c:pt idx="0">
                  <c:v>Software that provides immediate decision-triggering information (e.g. blood glucose meter)</c:v>
                </c:pt>
                <c:pt idx="1">
                  <c:v>Data that comprises only information (e.g. a digital map, a menu)</c:v>
                </c:pt>
                <c:pt idx="2">
                  <c:v>Software that is used on a device but does not drive the device (e.g. a gaming app on a computer or other device)</c:v>
                </c:pt>
                <c:pt idx="3">
                  <c:v>Software that provides only guidance or advice to an end user (e.g. software that interprets medical imaging and provides diagnoses)</c:v>
                </c:pt>
                <c:pt idx="4">
                  <c:v>Data capable of influencing how a product operates (e.g. training data for an autonomous vehicle)</c:v>
                </c:pt>
                <c:pt idx="5">
                  <c:v>Bespoke software (e.g. software customised to control the production line in a factory)</c:v>
                </c:pt>
                <c:pt idx="6">
                  <c:v>Software made available separately via download for use on a tangible product (e.g. domestic robot) that has already been placed on the market</c:v>
                </c:pt>
                <c:pt idx="7">
                  <c:v>Digital services that control how a product operates (e.g. cloud-based service for operating smart thermostat)</c:v>
                </c:pt>
                <c:pt idx="8">
                  <c:v>Software upgrades and updates (e.g. to deliver new functionalities or fix a security flaw)</c:v>
                </c:pt>
                <c:pt idx="9">
                  <c:v>Software embedded in a tangible product at the moment the tangible product is placed on the market</c:v>
                </c:pt>
                <c:pt idx="10">
                  <c:v>Software that controls how a product operates (e.g. a car’s engine control system, a robot’s operating system)</c:v>
                </c:pt>
              </c:strCache>
            </c:strRef>
          </c:cat>
          <c:val>
            <c:numRef>
              <c:f>'[PLD - AI_Public consultation_Data and Charts 17.01.2022.xls]Compensation and damaged items'!$H$31:$H$41</c:f>
              <c:numCache>
                <c:formatCode>0%</c:formatCode>
                <c:ptCount val="11"/>
                <c:pt idx="0">
                  <c:v>0.15</c:v>
                </c:pt>
                <c:pt idx="1">
                  <c:v>0.27</c:v>
                </c:pt>
                <c:pt idx="2">
                  <c:v>0.21</c:v>
                </c:pt>
                <c:pt idx="3">
                  <c:v>0.19</c:v>
                </c:pt>
                <c:pt idx="4">
                  <c:v>0.16</c:v>
                </c:pt>
                <c:pt idx="5">
                  <c:v>0.14000000000000001</c:v>
                </c:pt>
                <c:pt idx="6">
                  <c:v>0.14000000000000001</c:v>
                </c:pt>
                <c:pt idx="7">
                  <c:v>0.11</c:v>
                </c:pt>
                <c:pt idx="8">
                  <c:v>0.12</c:v>
                </c:pt>
                <c:pt idx="9">
                  <c:v>0.04</c:v>
                </c:pt>
                <c:pt idx="10">
                  <c:v>0.05</c:v>
                </c:pt>
              </c:numCache>
            </c:numRef>
          </c:val>
          <c:extLst>
            <c:ext xmlns:c16="http://schemas.microsoft.com/office/drawing/2014/chart" uri="{C3380CC4-5D6E-409C-BE32-E72D297353CC}">
              <c16:uniqueId val="{00000003-933F-4948-AE25-15A8A490D132}"/>
            </c:ext>
          </c:extLst>
        </c:ser>
        <c:ser>
          <c:idx val="4"/>
          <c:order val="4"/>
          <c:tx>
            <c:strRef>
              <c:f>'[PLD - AI_Public consultation_Data and Charts 17.01.2022.xls]Compensation and damaged items'!$I$30</c:f>
              <c:strCache>
                <c:ptCount val="1"/>
                <c:pt idx="0">
                  <c:v>Strongly disagree</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17.01.2022.xls]Compensation and damaged items'!$D$31:$D$41</c:f>
              <c:strCache>
                <c:ptCount val="11"/>
                <c:pt idx="0">
                  <c:v>Software that provides immediate decision-triggering information (e.g. blood glucose meter)</c:v>
                </c:pt>
                <c:pt idx="1">
                  <c:v>Data that comprises only information (e.g. a digital map, a menu)</c:v>
                </c:pt>
                <c:pt idx="2">
                  <c:v>Software that is used on a device but does not drive the device (e.g. a gaming app on a computer or other device)</c:v>
                </c:pt>
                <c:pt idx="3">
                  <c:v>Software that provides only guidance or advice to an end user (e.g. software that interprets medical imaging and provides diagnoses)</c:v>
                </c:pt>
                <c:pt idx="4">
                  <c:v>Data capable of influencing how a product operates (e.g. training data for an autonomous vehicle)</c:v>
                </c:pt>
                <c:pt idx="5">
                  <c:v>Bespoke software (e.g. software customised to control the production line in a factory)</c:v>
                </c:pt>
                <c:pt idx="6">
                  <c:v>Software made available separately via download for use on a tangible product (e.g. domestic robot) that has already been placed on the market</c:v>
                </c:pt>
                <c:pt idx="7">
                  <c:v>Digital services that control how a product operates (e.g. cloud-based service for operating smart thermostat)</c:v>
                </c:pt>
                <c:pt idx="8">
                  <c:v>Software upgrades and updates (e.g. to deliver new functionalities or fix a security flaw)</c:v>
                </c:pt>
                <c:pt idx="9">
                  <c:v>Software embedded in a tangible product at the moment the tangible product is placed on the market</c:v>
                </c:pt>
                <c:pt idx="10">
                  <c:v>Software that controls how a product operates (e.g. a car’s engine control system, a robot’s operating system)</c:v>
                </c:pt>
              </c:strCache>
            </c:strRef>
          </c:cat>
          <c:val>
            <c:numRef>
              <c:f>'[PLD - AI_Public consultation_Data and Charts 17.01.2022.xls]Compensation and damaged items'!$I$31:$I$41</c:f>
              <c:numCache>
                <c:formatCode>0%</c:formatCode>
                <c:ptCount val="11"/>
                <c:pt idx="0">
                  <c:v>0.12</c:v>
                </c:pt>
                <c:pt idx="1">
                  <c:v>0.21</c:v>
                </c:pt>
                <c:pt idx="2">
                  <c:v>0.14000000000000001</c:v>
                </c:pt>
                <c:pt idx="3">
                  <c:v>0.14000000000000001</c:v>
                </c:pt>
                <c:pt idx="4">
                  <c:v>0.17</c:v>
                </c:pt>
                <c:pt idx="5">
                  <c:v>0.1</c:v>
                </c:pt>
                <c:pt idx="6">
                  <c:v>0.08</c:v>
                </c:pt>
                <c:pt idx="7">
                  <c:v>0.12</c:v>
                </c:pt>
                <c:pt idx="8">
                  <c:v>0.05</c:v>
                </c:pt>
                <c:pt idx="9">
                  <c:v>0.01</c:v>
                </c:pt>
                <c:pt idx="10">
                  <c:v>0.03</c:v>
                </c:pt>
              </c:numCache>
            </c:numRef>
          </c:val>
          <c:extLst>
            <c:ext xmlns:c16="http://schemas.microsoft.com/office/drawing/2014/chart" uri="{C3380CC4-5D6E-409C-BE32-E72D297353CC}">
              <c16:uniqueId val="{00000004-933F-4948-AE25-15A8A490D132}"/>
            </c:ext>
          </c:extLst>
        </c:ser>
        <c:ser>
          <c:idx val="5"/>
          <c:order val="5"/>
          <c:tx>
            <c:strRef>
              <c:f>'[PLD - AI_Public consultation_Data and Charts 17.01.2022.xls]Compensation and damaged items'!$J$30</c:f>
              <c:strCache>
                <c:ptCount val="1"/>
                <c:pt idx="0">
                  <c:v>No opinion</c:v>
                </c:pt>
              </c:strCache>
            </c:strRef>
          </c:tx>
          <c:spPr>
            <a:solidFill>
              <a:srgbClr val="70AD47"/>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17.01.2022.xls]Compensation and damaged items'!$D$31:$D$41</c:f>
              <c:strCache>
                <c:ptCount val="11"/>
                <c:pt idx="0">
                  <c:v>Software that provides immediate decision-triggering information (e.g. blood glucose meter)</c:v>
                </c:pt>
                <c:pt idx="1">
                  <c:v>Data that comprises only information (e.g. a digital map, a menu)</c:v>
                </c:pt>
                <c:pt idx="2">
                  <c:v>Software that is used on a device but does not drive the device (e.g. a gaming app on a computer or other device)</c:v>
                </c:pt>
                <c:pt idx="3">
                  <c:v>Software that provides only guidance or advice to an end user (e.g. software that interprets medical imaging and provides diagnoses)</c:v>
                </c:pt>
                <c:pt idx="4">
                  <c:v>Data capable of influencing how a product operates (e.g. training data for an autonomous vehicle)</c:v>
                </c:pt>
                <c:pt idx="5">
                  <c:v>Bespoke software (e.g. software customised to control the production line in a factory)</c:v>
                </c:pt>
                <c:pt idx="6">
                  <c:v>Software made available separately via download for use on a tangible product (e.g. domestic robot) that has already been placed on the market</c:v>
                </c:pt>
                <c:pt idx="7">
                  <c:v>Digital services that control how a product operates (e.g. cloud-based service for operating smart thermostat)</c:v>
                </c:pt>
                <c:pt idx="8">
                  <c:v>Software upgrades and updates (e.g. to deliver new functionalities or fix a security flaw)</c:v>
                </c:pt>
                <c:pt idx="9">
                  <c:v>Software embedded in a tangible product at the moment the tangible product is placed on the market</c:v>
                </c:pt>
                <c:pt idx="10">
                  <c:v>Software that controls how a product operates (e.g. a car’s engine control system, a robot’s operating system)</c:v>
                </c:pt>
              </c:strCache>
            </c:strRef>
          </c:cat>
          <c:val>
            <c:numRef>
              <c:f>'[PLD - AI_Public consultation_Data and Charts 17.01.2022.xls]Compensation and damaged items'!$J$31:$J$41</c:f>
              <c:numCache>
                <c:formatCode>0%</c:formatCode>
                <c:ptCount val="11"/>
                <c:pt idx="0">
                  <c:v>0.2</c:v>
                </c:pt>
                <c:pt idx="1">
                  <c:v>0.16</c:v>
                </c:pt>
                <c:pt idx="2">
                  <c:v>0.13</c:v>
                </c:pt>
                <c:pt idx="3">
                  <c:v>0.16</c:v>
                </c:pt>
                <c:pt idx="4">
                  <c:v>0.12</c:v>
                </c:pt>
                <c:pt idx="5">
                  <c:v>0.15</c:v>
                </c:pt>
                <c:pt idx="6">
                  <c:v>0.11</c:v>
                </c:pt>
                <c:pt idx="7">
                  <c:v>0.1</c:v>
                </c:pt>
                <c:pt idx="8">
                  <c:v>0.09</c:v>
                </c:pt>
                <c:pt idx="9">
                  <c:v>0.12</c:v>
                </c:pt>
                <c:pt idx="10">
                  <c:v>0.1</c:v>
                </c:pt>
              </c:numCache>
            </c:numRef>
          </c:val>
          <c:extLst>
            <c:ext xmlns:c16="http://schemas.microsoft.com/office/drawing/2014/chart" uri="{C3380CC4-5D6E-409C-BE32-E72D297353CC}">
              <c16:uniqueId val="{00000005-933F-4948-AE25-15A8A490D132}"/>
            </c:ext>
          </c:extLst>
        </c:ser>
        <c:dLbls>
          <c:showLegendKey val="0"/>
          <c:showVal val="0"/>
          <c:showCatName val="0"/>
          <c:showSerName val="0"/>
          <c:showPercent val="0"/>
          <c:showBubbleSize val="0"/>
        </c:dLbls>
        <c:gapWidth val="150"/>
        <c:overlap val="100"/>
        <c:axId val="536890264"/>
        <c:axId val="1"/>
      </c:barChart>
      <c:catAx>
        <c:axId val="536890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b"/>
        <c:numFmt formatCode="0%" sourceLinked="1"/>
        <c:majorTickMark val="none"/>
        <c:minorTickMark val="none"/>
        <c:tickLblPos val="nextTo"/>
        <c:crossAx val="536890264"/>
        <c:crosses val="autoZero"/>
        <c:crossBetween val="between"/>
      </c:valAx>
      <c:spPr>
        <a:noFill/>
        <a:ln w="25400">
          <a:noFill/>
        </a:ln>
      </c:spPr>
    </c:plotArea>
    <c:legend>
      <c:legendPos val="b"/>
      <c:layout>
        <c:manualLayout>
          <c:xMode val="edge"/>
          <c:yMode val="edge"/>
          <c:x val="0.11293469504430759"/>
          <c:y val="0.93586944489081703"/>
          <c:w val="0.78293148999939366"/>
          <c:h val="4.098389340676678E-2"/>
        </c:manualLayout>
      </c:layout>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a:t>Do you agree or disagree that consumers should get compensation under the Directive if the following intangible items are defective and cause physical /property damage? (n-122)</a:t>
            </a:r>
          </a:p>
        </c:rich>
      </c:tx>
      <c:overlay val="0"/>
      <c:spPr>
        <a:noFill/>
        <a:ln w="25400">
          <a:noFill/>
        </a:ln>
      </c:spPr>
    </c:title>
    <c:autoTitleDeleted val="0"/>
    <c:plotArea>
      <c:layout/>
      <c:barChart>
        <c:barDir val="bar"/>
        <c:grouping val="percentStacked"/>
        <c:varyColors val="0"/>
        <c:ser>
          <c:idx val="0"/>
          <c:order val="0"/>
          <c:tx>
            <c:strRef>
              <c:f>'Compensation_damaged items_Pt2'!$E$24</c:f>
              <c:strCache>
                <c:ptCount val="1"/>
                <c:pt idx="0">
                  <c:v>Strongly agree</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'Compensation_damaged items_Pt2'!$D$25:$D$30</c:f>
              <c:strCache>
                <c:ptCount val="6"/>
                <c:pt idx="0">
                  <c:v>Software that is used on a device but does not drive the device (e.g. a gaming app on a computer or other device)</c:v>
                </c:pt>
                <c:pt idx="1">
                  <c:v>Software made available separately via download for use on a tangible product (e.g. domestic robot) that has already been placed on the market</c:v>
                </c:pt>
                <c:pt idx="2">
                  <c:v>Software upgrades and updates (e.g. to deliver new functionalities or fix a security flaw)</c:v>
                </c:pt>
                <c:pt idx="3">
                  <c:v>Digital services that control how the product operates (e.g. cloud-based service for operating smart thermostat)</c:v>
                </c:pt>
                <c:pt idx="4">
                  <c:v>Software embedded in a tangible product at the moment the tangible product is placed on the market</c:v>
                </c:pt>
                <c:pt idx="5">
                  <c:v>Software that controls how the product operates (e.g. a car’s engine control system, a robot’s operating system)</c:v>
                </c:pt>
              </c:strCache>
            </c:strRef>
          </c:cat>
          <c:val>
            <c:numRef>
              <c:f>'Compensation_damaged items_Pt2'!$E$25:$E$30</c:f>
              <c:numCache>
                <c:formatCode>0%</c:formatCode>
                <c:ptCount val="6"/>
                <c:pt idx="0">
                  <c:v>0.45829999999999999</c:v>
                </c:pt>
                <c:pt idx="1">
                  <c:v>0.66120000000000001</c:v>
                </c:pt>
                <c:pt idx="2">
                  <c:v>0.75829999999999997</c:v>
                </c:pt>
                <c:pt idx="3">
                  <c:v>0.78690000000000004</c:v>
                </c:pt>
                <c:pt idx="4">
                  <c:v>0.84430000000000005</c:v>
                </c:pt>
                <c:pt idx="5">
                  <c:v>0.876</c:v>
                </c:pt>
              </c:numCache>
            </c:numRef>
          </c:val>
          <c:extLst>
            <c:ext xmlns:c16="http://schemas.microsoft.com/office/drawing/2014/chart" uri="{C3380CC4-5D6E-409C-BE32-E72D297353CC}">
              <c16:uniqueId val="{00000000-8D17-44DB-BC67-7F32AA8D317D}"/>
            </c:ext>
          </c:extLst>
        </c:ser>
        <c:ser>
          <c:idx val="1"/>
          <c:order val="1"/>
          <c:tx>
            <c:strRef>
              <c:f>'Compensation_damaged items_Pt2'!$F$24</c:f>
              <c:strCache>
                <c:ptCount val="1"/>
                <c:pt idx="0">
                  <c:v>Agree</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'Compensation_damaged items_Pt2'!$D$25:$D$30</c:f>
              <c:strCache>
                <c:ptCount val="6"/>
                <c:pt idx="0">
                  <c:v>Software that is used on a device but does not drive the device (e.g. a gaming app on a computer or other device)</c:v>
                </c:pt>
                <c:pt idx="1">
                  <c:v>Software made available separately via download for use on a tangible product (e.g. domestic robot) that has already been placed on the market</c:v>
                </c:pt>
                <c:pt idx="2">
                  <c:v>Software upgrades and updates (e.g. to deliver new functionalities or fix a security flaw)</c:v>
                </c:pt>
                <c:pt idx="3">
                  <c:v>Digital services that control how the product operates (e.g. cloud-based service for operating smart thermostat)</c:v>
                </c:pt>
                <c:pt idx="4">
                  <c:v>Software embedded in a tangible product at the moment the tangible product is placed on the market</c:v>
                </c:pt>
                <c:pt idx="5">
                  <c:v>Software that controls how the product operates (e.g. a car’s engine control system, a robot’s operating system)</c:v>
                </c:pt>
              </c:strCache>
            </c:strRef>
          </c:cat>
          <c:val>
            <c:numRef>
              <c:f>'Compensation_damaged items_Pt2'!$F$25:$F$30</c:f>
              <c:numCache>
                <c:formatCode>0%</c:formatCode>
                <c:ptCount val="6"/>
                <c:pt idx="0">
                  <c:v>0.2417</c:v>
                </c:pt>
                <c:pt idx="1">
                  <c:v>0.22309999999999999</c:v>
                </c:pt>
                <c:pt idx="2">
                  <c:v>0.20830000000000001</c:v>
                </c:pt>
                <c:pt idx="3">
                  <c:v>0.13930000000000001</c:v>
                </c:pt>
                <c:pt idx="4">
                  <c:v>0.123</c:v>
                </c:pt>
                <c:pt idx="5">
                  <c:v>9.0899999999999995E-2</c:v>
                </c:pt>
              </c:numCache>
            </c:numRef>
          </c:val>
          <c:extLst>
            <c:ext xmlns:c16="http://schemas.microsoft.com/office/drawing/2014/chart" uri="{C3380CC4-5D6E-409C-BE32-E72D297353CC}">
              <c16:uniqueId val="{00000001-8D17-44DB-BC67-7F32AA8D317D}"/>
            </c:ext>
          </c:extLst>
        </c:ser>
        <c:ser>
          <c:idx val="2"/>
          <c:order val="2"/>
          <c:tx>
            <c:strRef>
              <c:f>'Compensation_damaged items_Pt2'!$G$24</c:f>
              <c:strCache>
                <c:ptCount val="1"/>
                <c:pt idx="0">
                  <c:v>Neutral</c:v>
                </c:pt>
              </c:strCache>
            </c:strRef>
          </c:tx>
          <c:spPr>
            <a:solidFill>
              <a:srgbClr val="A5A5A5"/>
            </a:solidFill>
            <a:ln w="25400">
              <a:noFill/>
            </a:ln>
          </c:spPr>
          <c:invertIfNegative val="0"/>
          <c:dLbls>
            <c:dLbl>
              <c:idx val="2"/>
              <c:layout>
                <c:manualLayout>
                  <c:x val="0"/>
                  <c:y val="-5.9071729957805907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17-44DB-BC67-7F32AA8D317D}"/>
                </c:ext>
              </c:extLst>
            </c:dLbl>
            <c:dLbl>
              <c:idx val="4"/>
              <c:layout>
                <c:manualLayout>
                  <c:x val="0"/>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17-44DB-BC67-7F32AA8D317D}"/>
                </c:ext>
              </c:extLst>
            </c:dLbl>
            <c:dLbl>
              <c:idx val="5"/>
              <c:layout>
                <c:manualLayout>
                  <c:x val="0"/>
                  <c:y val="5.6258790436005623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17-44DB-BC67-7F32AA8D317D}"/>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'Compensation_damaged items_Pt2'!$D$25:$D$30</c:f>
              <c:strCache>
                <c:ptCount val="6"/>
                <c:pt idx="0">
                  <c:v>Software that is used on a device but does not drive the device (e.g. a gaming app on a computer or other device)</c:v>
                </c:pt>
                <c:pt idx="1">
                  <c:v>Software made available separately via download for use on a tangible product (e.g. domestic robot) that has already been placed on the market</c:v>
                </c:pt>
                <c:pt idx="2">
                  <c:v>Software upgrades and updates (e.g. to deliver new functionalities or fix a security flaw)</c:v>
                </c:pt>
                <c:pt idx="3">
                  <c:v>Digital services that control how the product operates (e.g. cloud-based service for operating smart thermostat)</c:v>
                </c:pt>
                <c:pt idx="4">
                  <c:v>Software embedded in a tangible product at the moment the tangible product is placed on the market</c:v>
                </c:pt>
                <c:pt idx="5">
                  <c:v>Software that controls how the product operates (e.g. a car’s engine control system, a robot’s operating system)</c:v>
                </c:pt>
              </c:strCache>
            </c:strRef>
          </c:cat>
          <c:val>
            <c:numRef>
              <c:f>'Compensation_damaged items_Pt2'!$G$25:$G$30</c:f>
              <c:numCache>
                <c:formatCode>0%</c:formatCode>
                <c:ptCount val="6"/>
                <c:pt idx="0">
                  <c:v>0.14169999999999999</c:v>
                </c:pt>
                <c:pt idx="1">
                  <c:v>5.79E-2</c:v>
                </c:pt>
                <c:pt idx="2">
                  <c:v>8.3000000000000001E-3</c:v>
                </c:pt>
                <c:pt idx="3">
                  <c:v>4.1000000000000002E-2</c:v>
                </c:pt>
                <c:pt idx="4">
                  <c:v>1.6400000000000001E-2</c:v>
                </c:pt>
                <c:pt idx="5">
                  <c:v>8.3000000000000001E-3</c:v>
                </c:pt>
              </c:numCache>
            </c:numRef>
          </c:val>
          <c:extLst>
            <c:ext xmlns:c16="http://schemas.microsoft.com/office/drawing/2014/chart" uri="{C3380CC4-5D6E-409C-BE32-E72D297353CC}">
              <c16:uniqueId val="{00000005-8D17-44DB-BC67-7F32AA8D317D}"/>
            </c:ext>
          </c:extLst>
        </c:ser>
        <c:ser>
          <c:idx val="3"/>
          <c:order val="3"/>
          <c:tx>
            <c:strRef>
              <c:f>'Compensation_damaged items_Pt2'!$H$24</c:f>
              <c:strCache>
                <c:ptCount val="1"/>
                <c:pt idx="0">
                  <c:v>Disagree</c:v>
                </c:pt>
              </c:strCache>
            </c:strRef>
          </c:tx>
          <c:spPr>
            <a:solidFill>
              <a:srgbClr val="FFC000"/>
            </a:solidFill>
            <a:ln w="25400">
              <a:noFill/>
            </a:ln>
          </c:spPr>
          <c:invertIfNegative val="0"/>
          <c:dLbls>
            <c:dLbl>
              <c:idx val="1"/>
              <c:layout>
                <c:manualLayout>
                  <c:x val="6.4278976477246778E-3"/>
                  <c:y val="-1.031399243181366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17-44DB-BC67-7F32AA8D317D}"/>
                </c:ext>
              </c:extLst>
            </c:dLbl>
            <c:dLbl>
              <c:idx val="2"/>
              <c:layout>
                <c:manualLayout>
                  <c:x val="2.9163315493507826E-3"/>
                  <c:y val="5.3445850914205242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17-44DB-BC67-7F32AA8D317D}"/>
                </c:ext>
              </c:extLst>
            </c:dLbl>
            <c:dLbl>
              <c:idx val="3"/>
              <c:layout>
                <c:manualLayout>
                  <c:x val="-1.2329968253921002E-16"/>
                  <c:y val="-5.6258790436005623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17-44DB-BC67-7F32AA8D317D}"/>
                </c:ext>
              </c:extLst>
            </c:dLbl>
            <c:dLbl>
              <c:idx val="4"/>
              <c:delete val="1"/>
              <c:extLst>
                <c:ext xmlns:c15="http://schemas.microsoft.com/office/drawing/2012/chart" uri="{CE6537A1-D6FC-4f65-9D91-7224C49458BB}"/>
                <c:ext xmlns:c16="http://schemas.microsoft.com/office/drawing/2014/chart" uri="{C3380CC4-5D6E-409C-BE32-E72D297353CC}">
                  <c16:uniqueId val="{00000009-8D17-44DB-BC67-7F32AA8D317D}"/>
                </c:ext>
              </c:extLst>
            </c:dLbl>
            <c:dLbl>
              <c:idx val="5"/>
              <c:layout>
                <c:manualLayout>
                  <c:x val="1.6813787305590584E-3"/>
                  <c:y val="-5.3445850914205367E-2"/>
                </c:manualLayout>
              </c:layout>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17-44DB-BC67-7F32AA8D317D}"/>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'Compensation_damaged items_Pt2'!$D$25:$D$30</c:f>
              <c:strCache>
                <c:ptCount val="6"/>
                <c:pt idx="0">
                  <c:v>Software that is used on a device but does not drive the device (e.g. a gaming app on a computer or other device)</c:v>
                </c:pt>
                <c:pt idx="1">
                  <c:v>Software made available separately via download for use on a tangible product (e.g. domestic robot) that has already been placed on the market</c:v>
                </c:pt>
                <c:pt idx="2">
                  <c:v>Software upgrades and updates (e.g. to deliver new functionalities or fix a security flaw)</c:v>
                </c:pt>
                <c:pt idx="3">
                  <c:v>Digital services that control how the product operates (e.g. cloud-based service for operating smart thermostat)</c:v>
                </c:pt>
                <c:pt idx="4">
                  <c:v>Software embedded in a tangible product at the moment the tangible product is placed on the market</c:v>
                </c:pt>
                <c:pt idx="5">
                  <c:v>Software that controls how the product operates (e.g. a car’s engine control system, a robot’s operating system)</c:v>
                </c:pt>
              </c:strCache>
            </c:strRef>
          </c:cat>
          <c:val>
            <c:numRef>
              <c:f>'Compensation_damaged items_Pt2'!$H$25:$H$30</c:f>
              <c:numCache>
                <c:formatCode>0%</c:formatCode>
                <c:ptCount val="6"/>
                <c:pt idx="0">
                  <c:v>8.3299999999999999E-2</c:v>
                </c:pt>
                <c:pt idx="1">
                  <c:v>2.4799999999999999E-2</c:v>
                </c:pt>
                <c:pt idx="2">
                  <c:v>8.3000000000000001E-3</c:v>
                </c:pt>
                <c:pt idx="3">
                  <c:v>1.6400000000000001E-2</c:v>
                </c:pt>
                <c:pt idx="4">
                  <c:v>0</c:v>
                </c:pt>
                <c:pt idx="5">
                  <c:v>8.3000000000000001E-3</c:v>
                </c:pt>
              </c:numCache>
            </c:numRef>
          </c:val>
          <c:extLst>
            <c:ext xmlns:c16="http://schemas.microsoft.com/office/drawing/2014/chart" uri="{C3380CC4-5D6E-409C-BE32-E72D297353CC}">
              <c16:uniqueId val="{0000000B-8D17-44DB-BC67-7F32AA8D317D}"/>
            </c:ext>
          </c:extLst>
        </c:ser>
        <c:ser>
          <c:idx val="4"/>
          <c:order val="4"/>
          <c:tx>
            <c:strRef>
              <c:f>'Compensation_damaged items_Pt2'!$I$24</c:f>
              <c:strCache>
                <c:ptCount val="1"/>
                <c:pt idx="0">
                  <c:v>Strongly disagree</c:v>
                </c:pt>
              </c:strCache>
            </c:strRef>
          </c:tx>
          <c:spPr>
            <a:solidFill>
              <a:srgbClr val="4472C4"/>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C-8D17-44DB-BC67-7F32AA8D317D}"/>
                </c:ext>
              </c:extLst>
            </c:dLbl>
            <c:dLbl>
              <c:idx val="3"/>
              <c:delete val="1"/>
              <c:extLst>
                <c:ext xmlns:c15="http://schemas.microsoft.com/office/drawing/2012/chart" uri="{CE6537A1-D6FC-4f65-9D91-7224C49458BB}"/>
                <c:ext xmlns:c16="http://schemas.microsoft.com/office/drawing/2014/chart" uri="{C3380CC4-5D6E-409C-BE32-E72D297353CC}">
                  <c16:uniqueId val="{0000000D-8D17-44DB-BC67-7F32AA8D317D}"/>
                </c:ext>
              </c:extLst>
            </c:dLbl>
            <c:dLbl>
              <c:idx val="4"/>
              <c:delete val="1"/>
              <c:extLst>
                <c:ext xmlns:c15="http://schemas.microsoft.com/office/drawing/2012/chart" uri="{CE6537A1-D6FC-4f65-9D91-7224C49458BB}"/>
                <c:ext xmlns:c16="http://schemas.microsoft.com/office/drawing/2014/chart" uri="{C3380CC4-5D6E-409C-BE32-E72D297353CC}">
                  <c16:uniqueId val="{0000000E-8D17-44DB-BC67-7F32AA8D317D}"/>
                </c:ext>
              </c:extLst>
            </c:dLbl>
            <c:dLbl>
              <c:idx val="5"/>
              <c:delete val="1"/>
              <c:extLst>
                <c:ext xmlns:c15="http://schemas.microsoft.com/office/drawing/2012/chart" uri="{CE6537A1-D6FC-4f65-9D91-7224C49458BB}"/>
                <c:ext xmlns:c16="http://schemas.microsoft.com/office/drawing/2014/chart" uri="{C3380CC4-5D6E-409C-BE32-E72D297353CC}">
                  <c16:uniqueId val="{0000000F-8D17-44DB-BC67-7F32AA8D317D}"/>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'Compensation_damaged items_Pt2'!$D$25:$D$30</c:f>
              <c:strCache>
                <c:ptCount val="6"/>
                <c:pt idx="0">
                  <c:v>Software that is used on a device but does not drive the device (e.g. a gaming app on a computer or other device)</c:v>
                </c:pt>
                <c:pt idx="1">
                  <c:v>Software made available separately via download for use on a tangible product (e.g. domestic robot) that has already been placed on the market</c:v>
                </c:pt>
                <c:pt idx="2">
                  <c:v>Software upgrades and updates (e.g. to deliver new functionalities or fix a security flaw)</c:v>
                </c:pt>
                <c:pt idx="3">
                  <c:v>Digital services that control how the product operates (e.g. cloud-based service for operating smart thermostat)</c:v>
                </c:pt>
                <c:pt idx="4">
                  <c:v>Software embedded in a tangible product at the moment the tangible product is placed on the market</c:v>
                </c:pt>
                <c:pt idx="5">
                  <c:v>Software that controls how the product operates (e.g. a car’s engine control system, a robot’s operating system)</c:v>
                </c:pt>
              </c:strCache>
            </c:strRef>
          </c:cat>
          <c:val>
            <c:numRef>
              <c:f>'Compensation_damaged items_Pt2'!$I$25:$I$30</c:f>
              <c:numCache>
                <c:formatCode>General</c:formatCode>
                <c:ptCount val="6"/>
                <c:pt idx="0" formatCode="0%">
                  <c:v>4.1700000000000001E-2</c:v>
                </c:pt>
                <c:pt idx="2" formatCode="0%">
                  <c:v>0</c:v>
                </c:pt>
                <c:pt idx="3" formatCode="0%">
                  <c:v>0</c:v>
                </c:pt>
                <c:pt idx="4" formatCode="0%">
                  <c:v>0</c:v>
                </c:pt>
                <c:pt idx="5" formatCode="0%">
                  <c:v>0</c:v>
                </c:pt>
              </c:numCache>
            </c:numRef>
          </c:val>
          <c:extLst>
            <c:ext xmlns:c16="http://schemas.microsoft.com/office/drawing/2014/chart" uri="{C3380CC4-5D6E-409C-BE32-E72D297353CC}">
              <c16:uniqueId val="{00000010-8D17-44DB-BC67-7F32AA8D317D}"/>
            </c:ext>
          </c:extLst>
        </c:ser>
        <c:ser>
          <c:idx val="5"/>
          <c:order val="5"/>
          <c:tx>
            <c:strRef>
              <c:f>'Compensation_damaged items_Pt2'!$J$24</c:f>
              <c:strCache>
                <c:ptCount val="1"/>
                <c:pt idx="0">
                  <c:v>No opinion</c:v>
                </c:pt>
              </c:strCache>
            </c:strRef>
          </c:tx>
          <c:spPr>
            <a:solidFill>
              <a:srgbClr val="70AD47"/>
            </a:solidFill>
            <a:ln w="25400">
              <a:noFill/>
            </a:ln>
          </c:spPr>
          <c:invertIfNegative val="0"/>
          <c:dLbls>
            <c:dLbl>
              <c:idx val="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11-8D17-44DB-BC67-7F32AA8D317D}"/>
                </c:ext>
              </c:extLst>
            </c:dLbl>
            <c:dLbl>
              <c:idx val="1"/>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12-8D17-44DB-BC67-7F32AA8D317D}"/>
                </c:ext>
              </c:extLst>
            </c:dLbl>
            <c:dLbl>
              <c:idx val="2"/>
              <c:layout>
                <c:manualLayout>
                  <c:x val="1.685823754789271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D17-44DB-BC67-7F32AA8D317D}"/>
                </c:ext>
              </c:extLst>
            </c:dLbl>
            <c:dLbl>
              <c:idx val="3"/>
              <c:layout>
                <c:manualLayout>
                  <c:x val="1.3793103448275862E-2"/>
                  <c:y val="-1.0581888339133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D17-44DB-BC67-7F32AA8D317D}"/>
                </c:ext>
              </c:extLst>
            </c:dLbl>
            <c:dLbl>
              <c:idx val="4"/>
              <c:layout>
                <c:manualLayout>
                  <c:x val="1.745350557535919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D17-44DB-BC67-7F32AA8D317D}"/>
                </c:ext>
              </c:extLst>
            </c:dLbl>
            <c:dLbl>
              <c:idx val="5"/>
              <c:layout>
                <c:manualLayout>
                  <c:x val="1.8986075668662478E-2"/>
                  <c:y val="-2.886031651106902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D17-44DB-BC67-7F32AA8D317D}"/>
                </c:ext>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'Compensation_damaged items_Pt2'!$D$25:$D$30</c:f>
              <c:strCache>
                <c:ptCount val="6"/>
                <c:pt idx="0">
                  <c:v>Software that is used on a device but does not drive the device (e.g. a gaming app on a computer or other device)</c:v>
                </c:pt>
                <c:pt idx="1">
                  <c:v>Software made available separately via download for use on a tangible product (e.g. domestic robot) that has already been placed on the market</c:v>
                </c:pt>
                <c:pt idx="2">
                  <c:v>Software upgrades and updates (e.g. to deliver new functionalities or fix a security flaw)</c:v>
                </c:pt>
                <c:pt idx="3">
                  <c:v>Digital services that control how the product operates (e.g. cloud-based service for operating smart thermostat)</c:v>
                </c:pt>
                <c:pt idx="4">
                  <c:v>Software embedded in a tangible product at the moment the tangible product is placed on the market</c:v>
                </c:pt>
                <c:pt idx="5">
                  <c:v>Software that controls how the product operates (e.g. a car’s engine control system, a robot’s operating system)</c:v>
                </c:pt>
              </c:strCache>
            </c:strRef>
          </c:cat>
          <c:val>
            <c:numRef>
              <c:f>'Compensation_damaged items_Pt2'!$J$25:$J$30</c:f>
              <c:numCache>
                <c:formatCode>0%</c:formatCode>
                <c:ptCount val="6"/>
                <c:pt idx="0">
                  <c:v>3.3300000000000003E-2</c:v>
                </c:pt>
                <c:pt idx="1">
                  <c:v>3.3099999999999997E-2</c:v>
                </c:pt>
                <c:pt idx="2">
                  <c:v>1.67E-2</c:v>
                </c:pt>
                <c:pt idx="3">
                  <c:v>1.6400000000000001E-2</c:v>
                </c:pt>
                <c:pt idx="4">
                  <c:v>1.6400000000000001E-2</c:v>
                </c:pt>
                <c:pt idx="5">
                  <c:v>1.6500000000000001E-2</c:v>
                </c:pt>
              </c:numCache>
            </c:numRef>
          </c:val>
          <c:extLst>
            <c:ext xmlns:c16="http://schemas.microsoft.com/office/drawing/2014/chart" uri="{C3380CC4-5D6E-409C-BE32-E72D297353CC}">
              <c16:uniqueId val="{00000017-8D17-44DB-BC67-7F32AA8D317D}"/>
            </c:ext>
          </c:extLst>
        </c:ser>
        <c:dLbls>
          <c:showLegendKey val="0"/>
          <c:showVal val="0"/>
          <c:showCatName val="0"/>
          <c:showSerName val="0"/>
          <c:showPercent val="0"/>
          <c:showBubbleSize val="0"/>
        </c:dLbls>
        <c:gapWidth val="150"/>
        <c:overlap val="100"/>
        <c:axId val="513586416"/>
        <c:axId val="1"/>
      </c:barChart>
      <c:catAx>
        <c:axId val="513586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b"/>
        <c:numFmt formatCode="0%" sourceLinked="1"/>
        <c:majorTickMark val="none"/>
        <c:minorTickMark val="none"/>
        <c:tickLblPos val="nextTo"/>
        <c:crossAx val="51358641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0" i="0" u="none" strike="noStrike" baseline="0"/>
              <a:t>Do you agree or disagree with the following statements? (n-275)</a:t>
            </a:r>
            <a:endParaRPr lang="en-GB" sz="1100"/>
          </a:p>
        </c:rich>
      </c:tx>
      <c:overlay val="0"/>
      <c:spPr>
        <a:noFill/>
        <a:ln w="25400">
          <a:noFill/>
        </a:ln>
      </c:spPr>
    </c:title>
    <c:autoTitleDeleted val="0"/>
    <c:plotArea>
      <c:layout/>
      <c:barChart>
        <c:barDir val="bar"/>
        <c:grouping val="percentStacked"/>
        <c:varyColors val="0"/>
        <c:ser>
          <c:idx val="0"/>
          <c:order val="0"/>
          <c:tx>
            <c:strRef>
              <c:f>'[PLD - AI_Public consultation_Data and Charts 17.01.2022.xls]Agreement_Statements Part 3'!$I$17</c:f>
              <c:strCache>
                <c:ptCount val="1"/>
                <c:pt idx="0">
                  <c:v>Strongly agree</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17.01.2022.xls]Agreement_Statements Part 3'!$H$18:$H$20</c:f>
              <c:strCache>
                <c:ptCount val="3"/>
                <c:pt idx="0">
                  <c:v>Companies that remanufacture a product (e.g. restoring vehicle components to original as-new condition) and place it back on the market should be strictly liable for defects causing damage</c:v>
                </c:pt>
                <c:pt idx="1">
                  <c:v>Companies that refurbish a product (e.g. restoring functionality of a used smartphone) and place it back on the market should be strictly liable for defects causing damage</c:v>
                </c:pt>
                <c:pt idx="2">
                  <c:v>The manufacturer of a defective spare part added to a product (e.g. to a washing machine) during a repair should be strictly liable for damage caused by that spare part</c:v>
                </c:pt>
              </c:strCache>
            </c:strRef>
          </c:cat>
          <c:val>
            <c:numRef>
              <c:f>'[PLD - AI_Public consultation_Data and Charts 17.01.2022.xls]Agreement_Statements Part 3'!$I$18:$I$20</c:f>
              <c:numCache>
                <c:formatCode>0%</c:formatCode>
                <c:ptCount val="3"/>
                <c:pt idx="0">
                  <c:v>0.28799999999999998</c:v>
                </c:pt>
                <c:pt idx="1">
                  <c:v>0.24199999999999999</c:v>
                </c:pt>
                <c:pt idx="2">
                  <c:v>0.436</c:v>
                </c:pt>
              </c:numCache>
            </c:numRef>
          </c:val>
          <c:extLst>
            <c:ext xmlns:c16="http://schemas.microsoft.com/office/drawing/2014/chart" uri="{C3380CC4-5D6E-409C-BE32-E72D297353CC}">
              <c16:uniqueId val="{00000000-BEF0-4764-98CA-7C9DA3D6DE1F}"/>
            </c:ext>
          </c:extLst>
        </c:ser>
        <c:ser>
          <c:idx val="1"/>
          <c:order val="1"/>
          <c:tx>
            <c:strRef>
              <c:f>'[PLD - AI_Public consultation_Data and Charts 17.01.2022.xls]Agreement_Statements Part 3'!$J$17</c:f>
              <c:strCache>
                <c:ptCount val="1"/>
                <c:pt idx="0">
                  <c:v>Agree</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17.01.2022.xls]Agreement_Statements Part 3'!$H$18:$H$20</c:f>
              <c:strCache>
                <c:ptCount val="3"/>
                <c:pt idx="0">
                  <c:v>Companies that remanufacture a product (e.g. restoring vehicle components to original as-new condition) and place it back on the market should be strictly liable for defects causing damage</c:v>
                </c:pt>
                <c:pt idx="1">
                  <c:v>Companies that refurbish a product (e.g. restoring functionality of a used smartphone) and place it back on the market should be strictly liable for defects causing damage</c:v>
                </c:pt>
                <c:pt idx="2">
                  <c:v>The manufacturer of a defective spare part added to a product (e.g. to a washing machine) during a repair should be strictly liable for damage caused by that spare part</c:v>
                </c:pt>
              </c:strCache>
            </c:strRef>
          </c:cat>
          <c:val>
            <c:numRef>
              <c:f>'[PLD - AI_Public consultation_Data and Charts 17.01.2022.xls]Agreement_Statements Part 3'!$J$18:$J$20</c:f>
              <c:numCache>
                <c:formatCode>0%</c:formatCode>
                <c:ptCount val="3"/>
                <c:pt idx="0">
                  <c:v>0.40899999999999997</c:v>
                </c:pt>
                <c:pt idx="1">
                  <c:v>0.36299999999999999</c:v>
                </c:pt>
                <c:pt idx="2">
                  <c:v>0.316</c:v>
                </c:pt>
              </c:numCache>
            </c:numRef>
          </c:val>
          <c:extLst>
            <c:ext xmlns:c16="http://schemas.microsoft.com/office/drawing/2014/chart" uri="{C3380CC4-5D6E-409C-BE32-E72D297353CC}">
              <c16:uniqueId val="{00000001-BEF0-4764-98CA-7C9DA3D6DE1F}"/>
            </c:ext>
          </c:extLst>
        </c:ser>
        <c:ser>
          <c:idx val="2"/>
          <c:order val="2"/>
          <c:tx>
            <c:strRef>
              <c:f>'[PLD - AI_Public consultation_Data and Charts 17.01.2022.xls]Agreement_Statements Part 3'!$K$17</c:f>
              <c:strCache>
                <c:ptCount val="1"/>
                <c:pt idx="0">
                  <c:v>Neutral</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17.01.2022.xls]Agreement_Statements Part 3'!$H$18:$H$20</c:f>
              <c:strCache>
                <c:ptCount val="3"/>
                <c:pt idx="0">
                  <c:v>Companies that remanufacture a product (e.g. restoring vehicle components to original as-new condition) and place it back on the market should be strictly liable for defects causing damage</c:v>
                </c:pt>
                <c:pt idx="1">
                  <c:v>Companies that refurbish a product (e.g. restoring functionality of a used smartphone) and place it back on the market should be strictly liable for defects causing damage</c:v>
                </c:pt>
                <c:pt idx="2">
                  <c:v>The manufacturer of a defective spare part added to a product (e.g. to a washing machine) during a repair should be strictly liable for damage caused by that spare part</c:v>
                </c:pt>
              </c:strCache>
            </c:strRef>
          </c:cat>
          <c:val>
            <c:numRef>
              <c:f>'[PLD - AI_Public consultation_Data and Charts 17.01.2022.xls]Agreement_Statements Part 3'!$K$18:$K$20</c:f>
              <c:numCache>
                <c:formatCode>0%</c:formatCode>
                <c:ptCount val="3"/>
                <c:pt idx="0">
                  <c:v>0.13900000000000001</c:v>
                </c:pt>
                <c:pt idx="1">
                  <c:v>0.17199999999999999</c:v>
                </c:pt>
                <c:pt idx="2">
                  <c:v>0.10199999999999999</c:v>
                </c:pt>
              </c:numCache>
            </c:numRef>
          </c:val>
          <c:extLst>
            <c:ext xmlns:c16="http://schemas.microsoft.com/office/drawing/2014/chart" uri="{C3380CC4-5D6E-409C-BE32-E72D297353CC}">
              <c16:uniqueId val="{00000002-BEF0-4764-98CA-7C9DA3D6DE1F}"/>
            </c:ext>
          </c:extLst>
        </c:ser>
        <c:ser>
          <c:idx val="3"/>
          <c:order val="3"/>
          <c:tx>
            <c:strRef>
              <c:f>'[PLD - AI_Public consultation_Data and Charts 17.01.2022.xls]Agreement_Statements Part 3'!$L$17</c:f>
              <c:strCache>
                <c:ptCount val="1"/>
                <c:pt idx="0">
                  <c:v>Disagree</c:v>
                </c:pt>
              </c:strCache>
            </c:strRef>
          </c:tx>
          <c:spPr>
            <a:solidFill>
              <a:srgbClr val="FFC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17.01.2022.xls]Agreement_Statements Part 3'!$H$18:$H$20</c:f>
              <c:strCache>
                <c:ptCount val="3"/>
                <c:pt idx="0">
                  <c:v>Companies that remanufacture a product (e.g. restoring vehicle components to original as-new condition) and place it back on the market should be strictly liable for defects causing damage</c:v>
                </c:pt>
                <c:pt idx="1">
                  <c:v>Companies that refurbish a product (e.g. restoring functionality of a used smartphone) and place it back on the market should be strictly liable for defects causing damage</c:v>
                </c:pt>
                <c:pt idx="2">
                  <c:v>The manufacturer of a defective spare part added to a product (e.g. to a washing machine) during a repair should be strictly liable for damage caused by that spare part</c:v>
                </c:pt>
              </c:strCache>
            </c:strRef>
          </c:cat>
          <c:val>
            <c:numRef>
              <c:f>'[PLD - AI_Public consultation_Data and Charts 17.01.2022.xls]Agreement_Statements Part 3'!$L$18:$L$20</c:f>
              <c:numCache>
                <c:formatCode>0%</c:formatCode>
                <c:ptCount val="3"/>
                <c:pt idx="0">
                  <c:v>9.5000000000000001E-2</c:v>
                </c:pt>
                <c:pt idx="1">
                  <c:v>0.125</c:v>
                </c:pt>
                <c:pt idx="2">
                  <c:v>6.9000000000000006E-2</c:v>
                </c:pt>
              </c:numCache>
            </c:numRef>
          </c:val>
          <c:extLst>
            <c:ext xmlns:c16="http://schemas.microsoft.com/office/drawing/2014/chart" uri="{C3380CC4-5D6E-409C-BE32-E72D297353CC}">
              <c16:uniqueId val="{00000003-BEF0-4764-98CA-7C9DA3D6DE1F}"/>
            </c:ext>
          </c:extLst>
        </c:ser>
        <c:ser>
          <c:idx val="4"/>
          <c:order val="4"/>
          <c:tx>
            <c:strRef>
              <c:f>'[PLD - AI_Public consultation_Data and Charts 17.01.2022.xls]Agreement_Statements Part 3'!$M$17</c:f>
              <c:strCache>
                <c:ptCount val="1"/>
                <c:pt idx="0">
                  <c:v>Strongly disagree</c:v>
                </c:pt>
              </c:strCache>
            </c:strRef>
          </c:tx>
          <c:spPr>
            <a:solidFill>
              <a:srgbClr val="4472C4"/>
            </a:solidFill>
            <a:ln w="25400">
              <a:noFill/>
            </a:ln>
          </c:spPr>
          <c:invertIfNegative val="0"/>
          <c:dLbls>
            <c:dLbl>
              <c:idx val="2"/>
              <c:layout>
                <c:manualLayout>
                  <c:x val="3.50646480289306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F0-4764-98CA-7C9DA3D6DE1F}"/>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17.01.2022.xls]Agreement_Statements Part 3'!$H$18:$H$20</c:f>
              <c:strCache>
                <c:ptCount val="3"/>
                <c:pt idx="0">
                  <c:v>Companies that remanufacture a product (e.g. restoring vehicle components to original as-new condition) and place it back on the market should be strictly liable for defects causing damage</c:v>
                </c:pt>
                <c:pt idx="1">
                  <c:v>Companies that refurbish a product (e.g. restoring functionality of a used smartphone) and place it back on the market should be strictly liable for defects causing damage</c:v>
                </c:pt>
                <c:pt idx="2">
                  <c:v>The manufacturer of a defective spare part added to a product (e.g. to a washing machine) during a repair should be strictly liable for damage caused by that spare part</c:v>
                </c:pt>
              </c:strCache>
            </c:strRef>
          </c:cat>
          <c:val>
            <c:numRef>
              <c:f>'[PLD - AI_Public consultation_Data and Charts 17.01.2022.xls]Agreement_Statements Part 3'!$M$18:$M$20</c:f>
              <c:numCache>
                <c:formatCode>0%</c:formatCode>
                <c:ptCount val="3"/>
                <c:pt idx="0">
                  <c:v>1.4999999999999999E-2</c:v>
                </c:pt>
                <c:pt idx="1">
                  <c:v>2.9000000000000001E-2</c:v>
                </c:pt>
                <c:pt idx="2">
                  <c:v>1.0999999999999999E-2</c:v>
                </c:pt>
              </c:numCache>
            </c:numRef>
          </c:val>
          <c:extLst>
            <c:ext xmlns:c16="http://schemas.microsoft.com/office/drawing/2014/chart" uri="{C3380CC4-5D6E-409C-BE32-E72D297353CC}">
              <c16:uniqueId val="{00000005-BEF0-4764-98CA-7C9DA3D6DE1F}"/>
            </c:ext>
          </c:extLst>
        </c:ser>
        <c:ser>
          <c:idx val="5"/>
          <c:order val="5"/>
          <c:tx>
            <c:strRef>
              <c:f>'[PLD - AI_Public consultation_Data and Charts 17.01.2022.xls]Agreement_Statements Part 3'!$N$17</c:f>
              <c:strCache>
                <c:ptCount val="1"/>
                <c:pt idx="0">
                  <c:v>No opinion</c:v>
                </c:pt>
              </c:strCache>
            </c:strRef>
          </c:tx>
          <c:spPr>
            <a:solidFill>
              <a:srgbClr val="70AD47"/>
            </a:solidFill>
            <a:ln w="25400">
              <a:noFill/>
            </a:ln>
          </c:spPr>
          <c:invertIfNegative val="0"/>
          <c:dLbls>
            <c:dLbl>
              <c:idx val="0"/>
              <c:layout>
                <c:manualLayout>
                  <c:x val="3.5064648028931924E-3"/>
                  <c:y val="-1.1953138551595013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F0-4764-98CA-7C9DA3D6DE1F}"/>
                </c:ext>
              </c:extLst>
            </c:dLbl>
            <c:dLbl>
              <c:idx val="2"/>
              <c:layout>
                <c:manualLayout>
                  <c:x val="7.012929605786256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F0-4764-98CA-7C9DA3D6DE1F}"/>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'[PLD - AI_Public consultation_Data and Charts 17.01.2022.xls]Agreement_Statements Part 3'!$H$18:$H$20</c:f>
              <c:strCache>
                <c:ptCount val="3"/>
                <c:pt idx="0">
                  <c:v>Companies that remanufacture a product (e.g. restoring vehicle components to original as-new condition) and place it back on the market should be strictly liable for defects causing damage</c:v>
                </c:pt>
                <c:pt idx="1">
                  <c:v>Companies that refurbish a product (e.g. restoring functionality of a used smartphone) and place it back on the market should be strictly liable for defects causing damage</c:v>
                </c:pt>
                <c:pt idx="2">
                  <c:v>The manufacturer of a defective spare part added to a product (e.g. to a washing machine) during a repair should be strictly liable for damage caused by that spare part</c:v>
                </c:pt>
              </c:strCache>
            </c:strRef>
          </c:cat>
          <c:val>
            <c:numRef>
              <c:f>'[PLD - AI_Public consultation_Data and Charts 17.01.2022.xls]Agreement_Statements Part 3'!$N$18:$N$20</c:f>
              <c:numCache>
                <c:formatCode>0%</c:formatCode>
                <c:ptCount val="3"/>
                <c:pt idx="0">
                  <c:v>5.5E-2</c:v>
                </c:pt>
                <c:pt idx="1">
                  <c:v>7.0000000000000007E-2</c:v>
                </c:pt>
                <c:pt idx="2">
                  <c:v>6.5000000000000002E-2</c:v>
                </c:pt>
              </c:numCache>
            </c:numRef>
          </c:val>
          <c:extLst>
            <c:ext xmlns:c16="http://schemas.microsoft.com/office/drawing/2014/chart" uri="{C3380CC4-5D6E-409C-BE32-E72D297353CC}">
              <c16:uniqueId val="{00000008-BEF0-4764-98CA-7C9DA3D6DE1F}"/>
            </c:ext>
          </c:extLst>
        </c:ser>
        <c:dLbls>
          <c:showLegendKey val="0"/>
          <c:showVal val="0"/>
          <c:showCatName val="0"/>
          <c:showSerName val="0"/>
          <c:showPercent val="0"/>
          <c:showBubbleSize val="0"/>
        </c:dLbls>
        <c:gapWidth val="150"/>
        <c:overlap val="100"/>
        <c:axId val="536100224"/>
        <c:axId val="1"/>
      </c:barChart>
      <c:catAx>
        <c:axId val="53610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b"/>
        <c:numFmt formatCode="0%" sourceLinked="1"/>
        <c:majorTickMark val="none"/>
        <c:minorTickMark val="none"/>
        <c:tickLblPos val="nextTo"/>
        <c:crossAx val="53610022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0" i="0" u="none" strike="noStrike" baseline="0"/>
              <a:t>When should producers be able to use the ‘development risk defence’? (n-113)</a:t>
            </a:r>
            <a:endParaRPr lang="en-GB" sz="1100"/>
          </a:p>
        </c:rich>
      </c:tx>
      <c:overlay val="0"/>
      <c:spPr>
        <a:noFill/>
        <a:ln w="25400">
          <a:noFill/>
        </a:ln>
      </c:spPr>
    </c:title>
    <c:autoTitleDeleted val="0"/>
    <c:plotArea>
      <c:layout/>
      <c:barChart>
        <c:barDir val="bar"/>
        <c:grouping val="percentStacked"/>
        <c:varyColors val="0"/>
        <c:ser>
          <c:idx val="0"/>
          <c:order val="0"/>
          <c:tx>
            <c:strRef>
              <c:f>'Development risk defence'!$E$21</c:f>
              <c:strCache>
                <c:ptCount val="1"/>
                <c:pt idx="0">
                  <c:v>Strongly agree</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'Development risk defence'!$D$22:$D$26</c:f>
              <c:strCache>
                <c:ptCount val="5"/>
                <c:pt idx="0">
                  <c:v>The defence should remain available without any change</c:v>
                </c:pt>
                <c:pt idx="1">
                  <c:v>The defence should be removed</c:v>
                </c:pt>
                <c:pt idx="2">
                  <c:v>The defence should not be available for products designed to be influenced by other interconnected products or services (e.g. complex IoT systems)</c:v>
                </c:pt>
                <c:pt idx="3">
                  <c:v>The defence should not be available for AI products that continue to learn and adapt while in operation</c:v>
                </c:pt>
                <c:pt idx="4">
                  <c:v>The defence should not be available for any AI products</c:v>
                </c:pt>
              </c:strCache>
            </c:strRef>
          </c:cat>
          <c:val>
            <c:numRef>
              <c:f>'Development risk defence'!$E$22:$E$26</c:f>
              <c:numCache>
                <c:formatCode>0%</c:formatCode>
                <c:ptCount val="5"/>
                <c:pt idx="0">
                  <c:v>0.46</c:v>
                </c:pt>
                <c:pt idx="1">
                  <c:v>0.107</c:v>
                </c:pt>
                <c:pt idx="2">
                  <c:v>0.14299999999999999</c:v>
                </c:pt>
                <c:pt idx="3">
                  <c:v>0.24099999999999999</c:v>
                </c:pt>
                <c:pt idx="4">
                  <c:v>0.18</c:v>
                </c:pt>
              </c:numCache>
            </c:numRef>
          </c:val>
          <c:extLst>
            <c:ext xmlns:c16="http://schemas.microsoft.com/office/drawing/2014/chart" uri="{C3380CC4-5D6E-409C-BE32-E72D297353CC}">
              <c16:uniqueId val="{00000000-2CD0-4132-9645-405C2C4FA289}"/>
            </c:ext>
          </c:extLst>
        </c:ser>
        <c:ser>
          <c:idx val="1"/>
          <c:order val="1"/>
          <c:tx>
            <c:strRef>
              <c:f>'Development risk defence'!$F$21</c:f>
              <c:strCache>
                <c:ptCount val="1"/>
                <c:pt idx="0">
                  <c:v>Agree</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'Development risk defence'!$D$22:$D$26</c:f>
              <c:strCache>
                <c:ptCount val="5"/>
                <c:pt idx="0">
                  <c:v>The defence should remain available without any change</c:v>
                </c:pt>
                <c:pt idx="1">
                  <c:v>The defence should be removed</c:v>
                </c:pt>
                <c:pt idx="2">
                  <c:v>The defence should not be available for products designed to be influenced by other interconnected products or services (e.g. complex IoT systems)</c:v>
                </c:pt>
                <c:pt idx="3">
                  <c:v>The defence should not be available for AI products that continue to learn and adapt while in operation</c:v>
                </c:pt>
                <c:pt idx="4">
                  <c:v>The defence should not be available for any AI products</c:v>
                </c:pt>
              </c:strCache>
            </c:strRef>
          </c:cat>
          <c:val>
            <c:numRef>
              <c:f>'Development risk defence'!$F$22:$F$26</c:f>
              <c:numCache>
                <c:formatCode>0%</c:formatCode>
                <c:ptCount val="5"/>
                <c:pt idx="0">
                  <c:v>9.7000000000000003E-2</c:v>
                </c:pt>
                <c:pt idx="1">
                  <c:v>0.08</c:v>
                </c:pt>
                <c:pt idx="2">
                  <c:v>0.188</c:v>
                </c:pt>
                <c:pt idx="3">
                  <c:v>0.152</c:v>
                </c:pt>
                <c:pt idx="4">
                  <c:v>9.9000000000000005E-2</c:v>
                </c:pt>
              </c:numCache>
            </c:numRef>
          </c:val>
          <c:extLst>
            <c:ext xmlns:c16="http://schemas.microsoft.com/office/drawing/2014/chart" uri="{C3380CC4-5D6E-409C-BE32-E72D297353CC}">
              <c16:uniqueId val="{00000001-2CD0-4132-9645-405C2C4FA289}"/>
            </c:ext>
          </c:extLst>
        </c:ser>
        <c:ser>
          <c:idx val="2"/>
          <c:order val="2"/>
          <c:tx>
            <c:strRef>
              <c:f>'Development risk defence'!$G$21</c:f>
              <c:strCache>
                <c:ptCount val="1"/>
                <c:pt idx="0">
                  <c:v>Neutral</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'Development risk defence'!$D$22:$D$26</c:f>
              <c:strCache>
                <c:ptCount val="5"/>
                <c:pt idx="0">
                  <c:v>The defence should remain available without any change</c:v>
                </c:pt>
                <c:pt idx="1">
                  <c:v>The defence should be removed</c:v>
                </c:pt>
                <c:pt idx="2">
                  <c:v>The defence should not be available for products designed to be influenced by other interconnected products or services (e.g. complex IoT systems)</c:v>
                </c:pt>
                <c:pt idx="3">
                  <c:v>The defence should not be available for AI products that continue to learn and adapt while in operation</c:v>
                </c:pt>
                <c:pt idx="4">
                  <c:v>The defence should not be available for any AI products</c:v>
                </c:pt>
              </c:strCache>
            </c:strRef>
          </c:cat>
          <c:val>
            <c:numRef>
              <c:f>'Development risk defence'!$G$22:$G$26</c:f>
              <c:numCache>
                <c:formatCode>0%</c:formatCode>
                <c:ptCount val="5"/>
                <c:pt idx="0">
                  <c:v>5.2999999999999999E-2</c:v>
                </c:pt>
                <c:pt idx="1">
                  <c:v>0.08</c:v>
                </c:pt>
                <c:pt idx="2">
                  <c:v>6.3E-2</c:v>
                </c:pt>
                <c:pt idx="3">
                  <c:v>5.3999999999999999E-2</c:v>
                </c:pt>
                <c:pt idx="4">
                  <c:v>0.108</c:v>
                </c:pt>
              </c:numCache>
            </c:numRef>
          </c:val>
          <c:extLst>
            <c:ext xmlns:c16="http://schemas.microsoft.com/office/drawing/2014/chart" uri="{C3380CC4-5D6E-409C-BE32-E72D297353CC}">
              <c16:uniqueId val="{00000002-2CD0-4132-9645-405C2C4FA289}"/>
            </c:ext>
          </c:extLst>
        </c:ser>
        <c:ser>
          <c:idx val="3"/>
          <c:order val="3"/>
          <c:tx>
            <c:strRef>
              <c:f>'Development risk defence'!$H$21</c:f>
              <c:strCache>
                <c:ptCount val="1"/>
                <c:pt idx="0">
                  <c:v>Disagree</c:v>
                </c:pt>
              </c:strCache>
            </c:strRef>
          </c:tx>
          <c:spPr>
            <a:solidFill>
              <a:srgbClr val="FFC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'Development risk defence'!$D$22:$D$26</c:f>
              <c:strCache>
                <c:ptCount val="5"/>
                <c:pt idx="0">
                  <c:v>The defence should remain available without any change</c:v>
                </c:pt>
                <c:pt idx="1">
                  <c:v>The defence should be removed</c:v>
                </c:pt>
                <c:pt idx="2">
                  <c:v>The defence should not be available for products designed to be influenced by other interconnected products or services (e.g. complex IoT systems)</c:v>
                </c:pt>
                <c:pt idx="3">
                  <c:v>The defence should not be available for AI products that continue to learn and adapt while in operation</c:v>
                </c:pt>
                <c:pt idx="4">
                  <c:v>The defence should not be available for any AI products</c:v>
                </c:pt>
              </c:strCache>
            </c:strRef>
          </c:cat>
          <c:val>
            <c:numRef>
              <c:f>'Development risk defence'!$H$22:$H$26</c:f>
              <c:numCache>
                <c:formatCode>0%</c:formatCode>
                <c:ptCount val="5"/>
                <c:pt idx="0">
                  <c:v>0.14199999999999999</c:v>
                </c:pt>
                <c:pt idx="1">
                  <c:v>0.214</c:v>
                </c:pt>
                <c:pt idx="2">
                  <c:v>0.20499999999999999</c:v>
                </c:pt>
                <c:pt idx="3">
                  <c:v>0.17</c:v>
                </c:pt>
                <c:pt idx="4">
                  <c:v>0.153</c:v>
                </c:pt>
              </c:numCache>
            </c:numRef>
          </c:val>
          <c:extLst>
            <c:ext xmlns:c16="http://schemas.microsoft.com/office/drawing/2014/chart" uri="{C3380CC4-5D6E-409C-BE32-E72D297353CC}">
              <c16:uniqueId val="{00000003-2CD0-4132-9645-405C2C4FA289}"/>
            </c:ext>
          </c:extLst>
        </c:ser>
        <c:ser>
          <c:idx val="4"/>
          <c:order val="4"/>
          <c:tx>
            <c:strRef>
              <c:f>'Development risk defence'!$I$21</c:f>
              <c:strCache>
                <c:ptCount val="1"/>
                <c:pt idx="0">
                  <c:v>Strongly disagree</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'Development risk defence'!$D$22:$D$26</c:f>
              <c:strCache>
                <c:ptCount val="5"/>
                <c:pt idx="0">
                  <c:v>The defence should remain available without any change</c:v>
                </c:pt>
                <c:pt idx="1">
                  <c:v>The defence should be removed</c:v>
                </c:pt>
                <c:pt idx="2">
                  <c:v>The defence should not be available for products designed to be influenced by other interconnected products or services (e.g. complex IoT systems)</c:v>
                </c:pt>
                <c:pt idx="3">
                  <c:v>The defence should not be available for AI products that continue to learn and adapt while in operation</c:v>
                </c:pt>
                <c:pt idx="4">
                  <c:v>The defence should not be available for any AI products</c:v>
                </c:pt>
              </c:strCache>
            </c:strRef>
          </c:cat>
          <c:val>
            <c:numRef>
              <c:f>'Development risk defence'!$I$22:$I$26</c:f>
              <c:numCache>
                <c:formatCode>0%</c:formatCode>
                <c:ptCount val="5"/>
                <c:pt idx="0">
                  <c:v>0.221</c:v>
                </c:pt>
                <c:pt idx="1">
                  <c:v>0.47299999999999998</c:v>
                </c:pt>
                <c:pt idx="2">
                  <c:v>0.34799999999999998</c:v>
                </c:pt>
                <c:pt idx="3">
                  <c:v>0.27700000000000002</c:v>
                </c:pt>
                <c:pt idx="4">
                  <c:v>0.39600000000000002</c:v>
                </c:pt>
              </c:numCache>
            </c:numRef>
          </c:val>
          <c:extLst>
            <c:ext xmlns:c16="http://schemas.microsoft.com/office/drawing/2014/chart" uri="{C3380CC4-5D6E-409C-BE32-E72D297353CC}">
              <c16:uniqueId val="{00000004-2CD0-4132-9645-405C2C4FA289}"/>
            </c:ext>
          </c:extLst>
        </c:ser>
        <c:ser>
          <c:idx val="5"/>
          <c:order val="5"/>
          <c:tx>
            <c:strRef>
              <c:f>'Development risk defence'!$J$21</c:f>
              <c:strCache>
                <c:ptCount val="1"/>
                <c:pt idx="0">
                  <c:v>No opinion</c:v>
                </c:pt>
              </c:strCache>
            </c:strRef>
          </c:tx>
          <c:spPr>
            <a:solidFill>
              <a:srgbClr val="70AD47"/>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'Development risk defence'!$D$22:$D$26</c:f>
              <c:strCache>
                <c:ptCount val="5"/>
                <c:pt idx="0">
                  <c:v>The defence should remain available without any change</c:v>
                </c:pt>
                <c:pt idx="1">
                  <c:v>The defence should be removed</c:v>
                </c:pt>
                <c:pt idx="2">
                  <c:v>The defence should not be available for products designed to be influenced by other interconnected products or services (e.g. complex IoT systems)</c:v>
                </c:pt>
                <c:pt idx="3">
                  <c:v>The defence should not be available for AI products that continue to learn and adapt while in operation</c:v>
                </c:pt>
                <c:pt idx="4">
                  <c:v>The defence should not be available for any AI products</c:v>
                </c:pt>
              </c:strCache>
            </c:strRef>
          </c:cat>
          <c:val>
            <c:numRef>
              <c:f>'Development risk defence'!$J$22:$J$26</c:f>
              <c:numCache>
                <c:formatCode>0%</c:formatCode>
                <c:ptCount val="5"/>
                <c:pt idx="0">
                  <c:v>2.7E-2</c:v>
                </c:pt>
                <c:pt idx="1">
                  <c:v>4.4999999999999998E-2</c:v>
                </c:pt>
                <c:pt idx="2">
                  <c:v>5.3999999999999999E-2</c:v>
                </c:pt>
                <c:pt idx="3">
                  <c:v>0.107</c:v>
                </c:pt>
                <c:pt idx="4">
                  <c:v>6.3E-2</c:v>
                </c:pt>
              </c:numCache>
            </c:numRef>
          </c:val>
          <c:extLst>
            <c:ext xmlns:c16="http://schemas.microsoft.com/office/drawing/2014/chart" uri="{C3380CC4-5D6E-409C-BE32-E72D297353CC}">
              <c16:uniqueId val="{00000005-2CD0-4132-9645-405C2C4FA289}"/>
            </c:ext>
          </c:extLst>
        </c:ser>
        <c:dLbls>
          <c:showLegendKey val="0"/>
          <c:showVal val="0"/>
          <c:showCatName val="0"/>
          <c:showSerName val="0"/>
          <c:showPercent val="0"/>
          <c:showBubbleSize val="0"/>
        </c:dLbls>
        <c:gapWidth val="150"/>
        <c:overlap val="100"/>
        <c:axId val="498068664"/>
        <c:axId val="1"/>
      </c:barChart>
      <c:catAx>
        <c:axId val="498068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b"/>
        <c:numFmt formatCode="0%" sourceLinked="1"/>
        <c:majorTickMark val="none"/>
        <c:minorTickMark val="none"/>
        <c:tickLblPos val="nextTo"/>
        <c:crossAx val="49806866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0" i="0" u="none" strike="noStrike" baseline="0"/>
              <a:t>To what extent do the following features of the Directive create obstacles to consumers making compensation claims? (n-274)</a:t>
            </a:r>
            <a:endParaRPr lang="en-GB" sz="1100"/>
          </a:p>
        </c:rich>
      </c:tx>
      <c:overlay val="0"/>
      <c:spPr>
        <a:noFill/>
        <a:ln w="25400">
          <a:noFill/>
        </a:ln>
      </c:spPr>
    </c:title>
    <c:autoTitleDeleted val="0"/>
    <c:plotArea>
      <c:layout/>
      <c:barChart>
        <c:barDir val="bar"/>
        <c:grouping val="percentStacked"/>
        <c:varyColors val="0"/>
        <c:ser>
          <c:idx val="0"/>
          <c:order val="0"/>
          <c:tx>
            <c:strRef>
              <c:f>'Directive feature obstacles'!$K$20</c:f>
              <c:strCache>
                <c:ptCount val="1"/>
                <c:pt idx="0">
                  <c:v>To a very large extent</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'Directive feature obstacles'!$J$21:$J$25</c:f>
              <c:strCache>
                <c:ptCount val="5"/>
                <c:pt idx="0">
                  <c:v>Producers are released from liability for death/personal injury 10 years after placing the product on the market</c:v>
                </c:pt>
                <c:pt idx="1">
                  <c:v>Producers are released from liability for property damage 10 years after placing the product on the market</c:v>
                </c:pt>
                <c:pt idx="2">
                  <c:v>Consumers have to start legal proceedings within 3 years of becoming aware of the damage</c:v>
                </c:pt>
                <c:pt idx="3">
                  <c:v>Consumers can claim compensation only for damage to property worth more than EUR 500</c:v>
                </c:pt>
                <c:pt idx="4">
                  <c:v>Consumers can claim compensation only for damage to property intended and used for private purposes</c:v>
                </c:pt>
              </c:strCache>
            </c:strRef>
          </c:cat>
          <c:val>
            <c:numRef>
              <c:f>'Directive feature obstacles'!$K$21:$K$25</c:f>
              <c:numCache>
                <c:formatCode>0%</c:formatCode>
                <c:ptCount val="5"/>
                <c:pt idx="0">
                  <c:v>0.193</c:v>
                </c:pt>
                <c:pt idx="1">
                  <c:v>9.6000000000000002E-2</c:v>
                </c:pt>
                <c:pt idx="2">
                  <c:v>0.14199999999999999</c:v>
                </c:pt>
                <c:pt idx="3">
                  <c:v>0.19700000000000001</c:v>
                </c:pt>
                <c:pt idx="4">
                  <c:v>0.188</c:v>
                </c:pt>
              </c:numCache>
            </c:numRef>
          </c:val>
          <c:extLst>
            <c:ext xmlns:c16="http://schemas.microsoft.com/office/drawing/2014/chart" uri="{C3380CC4-5D6E-409C-BE32-E72D297353CC}">
              <c16:uniqueId val="{00000000-E3A7-4D0B-84C2-85D40177E551}"/>
            </c:ext>
          </c:extLst>
        </c:ser>
        <c:ser>
          <c:idx val="1"/>
          <c:order val="1"/>
          <c:tx>
            <c:strRef>
              <c:f>'Directive feature obstacles'!$L$20</c:f>
              <c:strCache>
                <c:ptCount val="1"/>
                <c:pt idx="0">
                  <c:v>To a large extent</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'Directive feature obstacles'!$J$21:$J$25</c:f>
              <c:strCache>
                <c:ptCount val="5"/>
                <c:pt idx="0">
                  <c:v>Producers are released from liability for death/personal injury 10 years after placing the product on the market</c:v>
                </c:pt>
                <c:pt idx="1">
                  <c:v>Producers are released from liability for property damage 10 years after placing the product on the market</c:v>
                </c:pt>
                <c:pt idx="2">
                  <c:v>Consumers have to start legal proceedings within 3 years of becoming aware of the damage</c:v>
                </c:pt>
                <c:pt idx="3">
                  <c:v>Consumers can claim compensation only for damage to property worth more than EUR 500</c:v>
                </c:pt>
                <c:pt idx="4">
                  <c:v>Consumers can claim compensation only for damage to property intended and used for private purposes</c:v>
                </c:pt>
              </c:strCache>
            </c:strRef>
          </c:cat>
          <c:val>
            <c:numRef>
              <c:f>'Directive feature obstacles'!$L$21:$L$25</c:f>
              <c:numCache>
                <c:formatCode>0%</c:formatCode>
                <c:ptCount val="5"/>
                <c:pt idx="0">
                  <c:v>0.128</c:v>
                </c:pt>
                <c:pt idx="1">
                  <c:v>0.14000000000000001</c:v>
                </c:pt>
                <c:pt idx="2">
                  <c:v>9.8000000000000004E-2</c:v>
                </c:pt>
                <c:pt idx="3">
                  <c:v>0.16</c:v>
                </c:pt>
                <c:pt idx="4">
                  <c:v>0.113</c:v>
                </c:pt>
              </c:numCache>
            </c:numRef>
          </c:val>
          <c:extLst>
            <c:ext xmlns:c16="http://schemas.microsoft.com/office/drawing/2014/chart" uri="{C3380CC4-5D6E-409C-BE32-E72D297353CC}">
              <c16:uniqueId val="{00000001-E3A7-4D0B-84C2-85D40177E551}"/>
            </c:ext>
          </c:extLst>
        </c:ser>
        <c:ser>
          <c:idx val="2"/>
          <c:order val="2"/>
          <c:tx>
            <c:strRef>
              <c:f>'Directive feature obstacles'!$M$20</c:f>
              <c:strCache>
                <c:ptCount val="1"/>
                <c:pt idx="0">
                  <c:v>To a moderate extent</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'Directive feature obstacles'!$J$21:$J$25</c:f>
              <c:strCache>
                <c:ptCount val="5"/>
                <c:pt idx="0">
                  <c:v>Producers are released from liability for death/personal injury 10 years after placing the product on the market</c:v>
                </c:pt>
                <c:pt idx="1">
                  <c:v>Producers are released from liability for property damage 10 years after placing the product on the market</c:v>
                </c:pt>
                <c:pt idx="2">
                  <c:v>Consumers have to start legal proceedings within 3 years of becoming aware of the damage</c:v>
                </c:pt>
                <c:pt idx="3">
                  <c:v>Consumers can claim compensation only for damage to property worth more than EUR 500</c:v>
                </c:pt>
                <c:pt idx="4">
                  <c:v>Consumers can claim compensation only for damage to property intended and used for private purposes</c:v>
                </c:pt>
              </c:strCache>
            </c:strRef>
          </c:cat>
          <c:val>
            <c:numRef>
              <c:f>'Directive feature obstacles'!$M$21:$M$25</c:f>
              <c:numCache>
                <c:formatCode>0%</c:formatCode>
                <c:ptCount val="5"/>
                <c:pt idx="0">
                  <c:v>0.19</c:v>
                </c:pt>
                <c:pt idx="1">
                  <c:v>0.192</c:v>
                </c:pt>
                <c:pt idx="2">
                  <c:v>0.13100000000000001</c:v>
                </c:pt>
                <c:pt idx="3">
                  <c:v>0.19</c:v>
                </c:pt>
                <c:pt idx="4">
                  <c:v>0.15</c:v>
                </c:pt>
              </c:numCache>
            </c:numRef>
          </c:val>
          <c:extLst>
            <c:ext xmlns:c16="http://schemas.microsoft.com/office/drawing/2014/chart" uri="{C3380CC4-5D6E-409C-BE32-E72D297353CC}">
              <c16:uniqueId val="{00000002-E3A7-4D0B-84C2-85D40177E551}"/>
            </c:ext>
          </c:extLst>
        </c:ser>
        <c:ser>
          <c:idx val="3"/>
          <c:order val="3"/>
          <c:tx>
            <c:strRef>
              <c:f>'Directive feature obstacles'!$N$20</c:f>
              <c:strCache>
                <c:ptCount val="1"/>
                <c:pt idx="0">
                  <c:v>To a small extent</c:v>
                </c:pt>
              </c:strCache>
            </c:strRef>
          </c:tx>
          <c:spPr>
            <a:solidFill>
              <a:srgbClr val="FFC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'Directive feature obstacles'!$J$21:$J$25</c:f>
              <c:strCache>
                <c:ptCount val="5"/>
                <c:pt idx="0">
                  <c:v>Producers are released from liability for death/personal injury 10 years after placing the product on the market</c:v>
                </c:pt>
                <c:pt idx="1">
                  <c:v>Producers are released from liability for property damage 10 years after placing the product on the market</c:v>
                </c:pt>
                <c:pt idx="2">
                  <c:v>Consumers have to start legal proceedings within 3 years of becoming aware of the damage</c:v>
                </c:pt>
                <c:pt idx="3">
                  <c:v>Consumers can claim compensation only for damage to property worth more than EUR 500</c:v>
                </c:pt>
                <c:pt idx="4">
                  <c:v>Consumers can claim compensation only for damage to property intended and used for private purposes</c:v>
                </c:pt>
              </c:strCache>
            </c:strRef>
          </c:cat>
          <c:val>
            <c:numRef>
              <c:f>'Directive feature obstacles'!$N$21:$N$25</c:f>
              <c:numCache>
                <c:formatCode>0%</c:formatCode>
                <c:ptCount val="5"/>
                <c:pt idx="0">
                  <c:v>0.15</c:v>
                </c:pt>
                <c:pt idx="1">
                  <c:v>0.20300000000000001</c:v>
                </c:pt>
                <c:pt idx="2">
                  <c:v>0.2</c:v>
                </c:pt>
                <c:pt idx="3">
                  <c:v>0.126</c:v>
                </c:pt>
                <c:pt idx="4">
                  <c:v>0.14299999999999999</c:v>
                </c:pt>
              </c:numCache>
            </c:numRef>
          </c:val>
          <c:extLst>
            <c:ext xmlns:c16="http://schemas.microsoft.com/office/drawing/2014/chart" uri="{C3380CC4-5D6E-409C-BE32-E72D297353CC}">
              <c16:uniqueId val="{00000003-E3A7-4D0B-84C2-85D40177E551}"/>
            </c:ext>
          </c:extLst>
        </c:ser>
        <c:ser>
          <c:idx val="4"/>
          <c:order val="4"/>
          <c:tx>
            <c:strRef>
              <c:f>'Directive feature obstacles'!$O$20</c:f>
              <c:strCache>
                <c:ptCount val="1"/>
                <c:pt idx="0">
                  <c:v>Not at all</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'Directive feature obstacles'!$J$21:$J$25</c:f>
              <c:strCache>
                <c:ptCount val="5"/>
                <c:pt idx="0">
                  <c:v>Producers are released from liability for death/personal injury 10 years after placing the product on the market</c:v>
                </c:pt>
                <c:pt idx="1">
                  <c:v>Producers are released from liability for property damage 10 years after placing the product on the market</c:v>
                </c:pt>
                <c:pt idx="2">
                  <c:v>Consumers have to start legal proceedings within 3 years of becoming aware of the damage</c:v>
                </c:pt>
                <c:pt idx="3">
                  <c:v>Consumers can claim compensation only for damage to property worth more than EUR 500</c:v>
                </c:pt>
                <c:pt idx="4">
                  <c:v>Consumers can claim compensation only for damage to property intended and used for private purposes</c:v>
                </c:pt>
              </c:strCache>
            </c:strRef>
          </c:cat>
          <c:val>
            <c:numRef>
              <c:f>'Directive feature obstacles'!$O$21:$O$25</c:f>
              <c:numCache>
                <c:formatCode>0%</c:formatCode>
                <c:ptCount val="5"/>
                <c:pt idx="0">
                  <c:v>0.24099999999999999</c:v>
                </c:pt>
                <c:pt idx="1">
                  <c:v>0.26900000000000002</c:v>
                </c:pt>
                <c:pt idx="2">
                  <c:v>0.35299999999999998</c:v>
                </c:pt>
                <c:pt idx="3">
                  <c:v>0.23</c:v>
                </c:pt>
                <c:pt idx="4">
                  <c:v>0.27100000000000002</c:v>
                </c:pt>
              </c:numCache>
            </c:numRef>
          </c:val>
          <c:extLst>
            <c:ext xmlns:c16="http://schemas.microsoft.com/office/drawing/2014/chart" uri="{C3380CC4-5D6E-409C-BE32-E72D297353CC}">
              <c16:uniqueId val="{00000004-E3A7-4D0B-84C2-85D40177E551}"/>
            </c:ext>
          </c:extLst>
        </c:ser>
        <c:ser>
          <c:idx val="5"/>
          <c:order val="5"/>
          <c:tx>
            <c:strRef>
              <c:f>'Directive feature obstacles'!$P$20</c:f>
              <c:strCache>
                <c:ptCount val="1"/>
                <c:pt idx="0">
                  <c:v>Don't know/no answer</c:v>
                </c:pt>
              </c:strCache>
            </c:strRef>
          </c:tx>
          <c:spPr>
            <a:solidFill>
              <a:srgbClr val="70AD47"/>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'Directive feature obstacles'!$J$21:$J$25</c:f>
              <c:strCache>
                <c:ptCount val="5"/>
                <c:pt idx="0">
                  <c:v>Producers are released from liability for death/personal injury 10 years after placing the product on the market</c:v>
                </c:pt>
                <c:pt idx="1">
                  <c:v>Producers are released from liability for property damage 10 years after placing the product on the market</c:v>
                </c:pt>
                <c:pt idx="2">
                  <c:v>Consumers have to start legal proceedings within 3 years of becoming aware of the damage</c:v>
                </c:pt>
                <c:pt idx="3">
                  <c:v>Consumers can claim compensation only for damage to property worth more than EUR 500</c:v>
                </c:pt>
                <c:pt idx="4">
                  <c:v>Consumers can claim compensation only for damage to property intended and used for private purposes</c:v>
                </c:pt>
              </c:strCache>
            </c:strRef>
          </c:cat>
          <c:val>
            <c:numRef>
              <c:f>'Directive feature obstacles'!$P$21:$P$25</c:f>
              <c:numCache>
                <c:formatCode>0%</c:formatCode>
                <c:ptCount val="5"/>
                <c:pt idx="0">
                  <c:v>9.9000000000000005E-2</c:v>
                </c:pt>
                <c:pt idx="1">
                  <c:v>0.1</c:v>
                </c:pt>
                <c:pt idx="2">
                  <c:v>7.5999999999999998E-2</c:v>
                </c:pt>
                <c:pt idx="3">
                  <c:v>9.7000000000000003E-2</c:v>
                </c:pt>
                <c:pt idx="4">
                  <c:v>0.13500000000000001</c:v>
                </c:pt>
              </c:numCache>
            </c:numRef>
          </c:val>
          <c:extLst>
            <c:ext xmlns:c16="http://schemas.microsoft.com/office/drawing/2014/chart" uri="{C3380CC4-5D6E-409C-BE32-E72D297353CC}">
              <c16:uniqueId val="{00000005-E3A7-4D0B-84C2-85D40177E551}"/>
            </c:ext>
          </c:extLst>
        </c:ser>
        <c:dLbls>
          <c:showLegendKey val="0"/>
          <c:showVal val="0"/>
          <c:showCatName val="0"/>
          <c:showSerName val="0"/>
          <c:showPercent val="0"/>
          <c:showBubbleSize val="0"/>
        </c:dLbls>
        <c:gapWidth val="150"/>
        <c:overlap val="100"/>
        <c:axId val="498071944"/>
        <c:axId val="1"/>
      </c:barChart>
      <c:catAx>
        <c:axId val="498071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b"/>
        <c:numFmt formatCode="0%" sourceLinked="1"/>
        <c:majorTickMark val="none"/>
        <c:minorTickMark val="none"/>
        <c:tickLblPos val="nextTo"/>
        <c:crossAx val="498071944"/>
        <c:crosses val="autoZero"/>
        <c:crossBetween val="between"/>
      </c:valAx>
      <c:spPr>
        <a:noFill/>
        <a:ln w="25400">
          <a:noFill/>
        </a:ln>
      </c:spPr>
    </c:plotArea>
    <c:legend>
      <c:legendPos val="b"/>
      <c:layout>
        <c:manualLayout>
          <c:xMode val="edge"/>
          <c:yMode val="edge"/>
          <c:x val="2.9665014744609343E-2"/>
          <c:y val="0.8614121876069839"/>
          <c:w val="0.94512165945867765"/>
          <c:h val="0.11684868195823349"/>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356B-9C6C-42E6-9CDC-A8DE237CBF9F}">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b2332242-72eb-4c56-ab66-572cc47fcb14"/>
    <ds:schemaRef ds:uri="http://www.w3.org/XML/1998/namespace"/>
    <ds:schemaRef ds:uri="http://purl.org/dc/dcmitype/"/>
  </ds:schemaRefs>
</ds:datastoreItem>
</file>

<file path=customXml/itemProps2.xml><?xml version="1.0" encoding="utf-8"?>
<ds:datastoreItem xmlns:ds="http://schemas.openxmlformats.org/officeDocument/2006/customXml" ds:itemID="{5AB35196-265A-4749-9E67-DC351110E6D0}">
  <ds:schemaRefs>
    <ds:schemaRef ds:uri="http://schemas.microsoft.com/sharepoint/v3/contenttype/forms"/>
  </ds:schemaRefs>
</ds:datastoreItem>
</file>

<file path=customXml/itemProps3.xml><?xml version="1.0" encoding="utf-8"?>
<ds:datastoreItem xmlns:ds="http://schemas.openxmlformats.org/officeDocument/2006/customXml" ds:itemID="{D73C74B7-0391-481D-9E0F-4ADFF0CA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304CB-1BDB-4150-8A47-63D3B3C3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41186</Words>
  <Characters>225290</Characters>
  <Application>Microsoft Office Word</Application>
  <DocSecurity>0</DocSecurity>
  <Lines>4597</Lines>
  <Paragraphs>1634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45</cp:revision>
  <cp:lastPrinted>2022-09-20T23:16:00Z</cp:lastPrinted>
  <dcterms:created xsi:type="dcterms:W3CDTF">2022-07-20T12:15:00Z</dcterms:created>
  <dcterms:modified xsi:type="dcterms:W3CDTF">2022-09-27T15:45:00Z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LW 8.0.1, Build 20220429</vt:lpwstr>
  </property>
  <property fmtid="{D5CDD505-2E9C-101B-9397-08002B2CF9AE}" pid="8" name="Created using">
    <vt:lpwstr>LW 7.0.1, Build 20190916</vt:lpwstr>
  </property>
  <property fmtid="{D5CDD505-2E9C-101B-9397-08002B2CF9AE}" pid="9" name="_LW_INVALIDATED__LW_INVALIDATED__LW_INVALIDATED_ContentTypeId">
    <vt:lpwstr>0x010100FF1B87D5ABF651429579392F313233BD</vt:lpwstr>
  </property>
  <property fmtid="{D5CDD505-2E9C-101B-9397-08002B2CF9AE}" pid="10" name="ContentTypeId">
    <vt:lpwstr>0x010100FF1B87D5ABF651429579392F313233BD</vt:lpwstr>
  </property>
</Properties>
</file>