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CA34" w14:textId="414232A3" w:rsidR="004F0BF4" w:rsidRDefault="00095E56" w:rsidP="00095E56">
      <w:pPr>
        <w:pStyle w:val="Pagedecouverture"/>
        <w:rPr>
          <w:noProof/>
        </w:rPr>
      </w:pPr>
      <w:bookmarkStart w:id="0" w:name="LW_BM_COVERPAGE"/>
      <w:r>
        <w:rPr>
          <w:noProof/>
        </w:rPr>
        <w:pict w14:anchorId="7A809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5259D72-99DC-4C55-BB23-13C4615A9D83" style="width:455.25pt;height:440.25pt">
            <v:imagedata r:id="rId11" o:title=""/>
          </v:shape>
        </w:pict>
      </w:r>
    </w:p>
    <w:bookmarkEnd w:id="0"/>
    <w:p w14:paraId="676E0ADF" w14:textId="77777777" w:rsidR="004F0BF4" w:rsidRDefault="004F0BF4" w:rsidP="004F0BF4">
      <w:pPr>
        <w:rPr>
          <w:noProof/>
        </w:rPr>
        <w:sectPr w:rsidR="004F0BF4" w:rsidSect="00095E5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Style w:val="TableGrid"/>
        <w:tblW w:w="10206" w:type="dxa"/>
        <w:tblInd w:w="-459" w:type="dxa"/>
        <w:tblLook w:val="04A0" w:firstRow="1" w:lastRow="0" w:firstColumn="1" w:lastColumn="0" w:noHBand="0" w:noVBand="1"/>
      </w:tblPr>
      <w:tblGrid>
        <w:gridCol w:w="10206"/>
      </w:tblGrid>
      <w:tr w:rsidR="00E351B5" w:rsidRPr="00985FB3" w14:paraId="1C73392B" w14:textId="77777777" w:rsidTr="00985FB3">
        <w:trPr>
          <w:trHeight w:val="416"/>
        </w:trPr>
        <w:tc>
          <w:tcPr>
            <w:tcW w:w="10206" w:type="dxa"/>
            <w:shd w:val="clear" w:color="auto" w:fill="BFBFBF" w:themeFill="background1" w:themeFillShade="BF"/>
          </w:tcPr>
          <w:p w14:paraId="04250D13" w14:textId="5CC0B1B3" w:rsidR="00E351B5" w:rsidRPr="00985FB3" w:rsidRDefault="00E351B5" w:rsidP="00E351B5">
            <w:pPr>
              <w:jc w:val="center"/>
              <w:rPr>
                <w:rFonts w:ascii="Times New Roman" w:hAnsi="Times New Roman" w:cs="Times New Roman"/>
                <w:noProof/>
              </w:rPr>
            </w:pPr>
            <w:bookmarkStart w:id="1" w:name="_GoBack"/>
            <w:bookmarkEnd w:id="1"/>
            <w:r>
              <w:rPr>
                <w:rFonts w:ascii="Times New Roman" w:hAnsi="Times New Roman"/>
                <w:b/>
                <w:noProof/>
              </w:rPr>
              <w:lastRenderedPageBreak/>
              <w:t>Sammanfattning</w:t>
            </w:r>
          </w:p>
        </w:tc>
      </w:tr>
      <w:tr w:rsidR="00E351B5" w:rsidRPr="00985FB3" w14:paraId="381836DB" w14:textId="77777777" w:rsidTr="00985FB3">
        <w:trPr>
          <w:trHeight w:val="422"/>
        </w:trPr>
        <w:tc>
          <w:tcPr>
            <w:tcW w:w="10206" w:type="dxa"/>
            <w:shd w:val="clear" w:color="auto" w:fill="9CC2E5" w:themeFill="accent1" w:themeFillTint="99"/>
          </w:tcPr>
          <w:p w14:paraId="0B64E0FE" w14:textId="77777777" w:rsidR="00E351B5" w:rsidRPr="00985FB3" w:rsidRDefault="00834A92" w:rsidP="00A85164">
            <w:pPr>
              <w:jc w:val="center"/>
              <w:rPr>
                <w:rFonts w:ascii="Times New Roman" w:hAnsi="Times New Roman" w:cs="Times New Roman"/>
                <w:noProof/>
              </w:rPr>
            </w:pPr>
            <w:r>
              <w:rPr>
                <w:rFonts w:ascii="Times New Roman" w:hAnsi="Times New Roman"/>
                <w:b/>
                <w:noProof/>
              </w:rPr>
              <w:t>Lagstiftningsinitiativ om översynen av direktivet om ett kombinerat tillstånd (punkt i kommissionens arbetsprogram för 2021)</w:t>
            </w:r>
          </w:p>
        </w:tc>
      </w:tr>
      <w:tr w:rsidR="00E351B5" w:rsidRPr="00985FB3" w14:paraId="7790D8BD" w14:textId="77777777" w:rsidTr="00985FB3">
        <w:trPr>
          <w:trHeight w:val="271"/>
        </w:trPr>
        <w:tc>
          <w:tcPr>
            <w:tcW w:w="10206" w:type="dxa"/>
            <w:shd w:val="clear" w:color="auto" w:fill="BFBFBF" w:themeFill="background1" w:themeFillShade="BF"/>
          </w:tcPr>
          <w:p w14:paraId="13FD4D72" w14:textId="77777777" w:rsidR="00E351B5" w:rsidRPr="00985FB3" w:rsidRDefault="00E351B5" w:rsidP="00E351B5">
            <w:pPr>
              <w:jc w:val="center"/>
              <w:rPr>
                <w:rFonts w:ascii="Times New Roman" w:hAnsi="Times New Roman" w:cs="Times New Roman"/>
                <w:noProof/>
              </w:rPr>
            </w:pPr>
            <w:r>
              <w:rPr>
                <w:rFonts w:ascii="Times New Roman" w:hAnsi="Times New Roman"/>
                <w:b/>
                <w:noProof/>
              </w:rPr>
              <w:t>A. Behov av åtgärder</w:t>
            </w:r>
          </w:p>
        </w:tc>
      </w:tr>
      <w:tr w:rsidR="00E351B5" w:rsidRPr="00985FB3" w14:paraId="14A2459F" w14:textId="77777777" w:rsidTr="00985FB3">
        <w:trPr>
          <w:trHeight w:val="271"/>
        </w:trPr>
        <w:tc>
          <w:tcPr>
            <w:tcW w:w="10206" w:type="dxa"/>
            <w:shd w:val="clear" w:color="auto" w:fill="D9D9D9" w:themeFill="background1" w:themeFillShade="D9"/>
          </w:tcPr>
          <w:p w14:paraId="0AD7D20F" w14:textId="77777777" w:rsidR="00E351B5" w:rsidRPr="00985FB3" w:rsidRDefault="00E351B5" w:rsidP="00A53501">
            <w:pPr>
              <w:rPr>
                <w:rFonts w:ascii="Times New Roman" w:hAnsi="Times New Roman" w:cs="Times New Roman"/>
                <w:noProof/>
              </w:rPr>
            </w:pPr>
            <w:r>
              <w:rPr>
                <w:rFonts w:ascii="Times New Roman" w:hAnsi="Times New Roman"/>
                <w:b/>
                <w:noProof/>
              </w:rPr>
              <w:t>Varför? Vilket problem behöver åtgärdas?</w:t>
            </w:r>
          </w:p>
        </w:tc>
      </w:tr>
      <w:tr w:rsidR="00E351B5" w:rsidRPr="00985FB3" w14:paraId="6BC23FC2" w14:textId="77777777" w:rsidTr="00DA28A6">
        <w:trPr>
          <w:trHeight w:val="4390"/>
        </w:trPr>
        <w:tc>
          <w:tcPr>
            <w:tcW w:w="10206" w:type="dxa"/>
          </w:tcPr>
          <w:p w14:paraId="305592C5" w14:textId="77777777" w:rsidR="00A53501" w:rsidRPr="004848D0" w:rsidRDefault="00A53501" w:rsidP="00A53501">
            <w:pPr>
              <w:jc w:val="both"/>
              <w:rPr>
                <w:rFonts w:ascii="Times New Roman" w:eastAsia="Times New Roman" w:hAnsi="Times New Roman" w:cs="Times New Roman"/>
                <w:bCs/>
                <w:noProof/>
              </w:rPr>
            </w:pPr>
            <w:r>
              <w:rPr>
                <w:rFonts w:ascii="Times New Roman" w:hAnsi="Times New Roman"/>
                <w:bCs/>
                <w:noProof/>
              </w:rPr>
              <w:t>De främsta målen med direktivet om ett kombinerat tillstånd är att inrätta ett enda ansökningsförfarande för ett kombinerat arbets- och uppehållstillstånd och att garantera en gemensam uppsättning rättigheter för berättigade tredjelandsmedborgare, på grundval av likabehandling med medborgarna i den medlemsstat som beviljar det kombinerade tillståndet. Som poängterades redan i samband med 2019 års</w:t>
            </w:r>
            <w:r>
              <w:rPr>
                <w:noProof/>
              </w:rPr>
              <w:t xml:space="preserve"> </w:t>
            </w:r>
            <w:hyperlink r:id="rId18" w:history="1">
              <w:r>
                <w:rPr>
                  <w:rStyle w:val="Hyperlink"/>
                  <w:rFonts w:ascii="Times New Roman" w:hAnsi="Times New Roman"/>
                  <w:bCs/>
                  <w:noProof/>
                </w:rPr>
                <w:t>kontroll av ändamålsenligheten i lagstiftningen om laglig migration</w:t>
              </w:r>
            </w:hyperlink>
            <w:r>
              <w:rPr>
                <w:noProof/>
              </w:rPr>
              <w:t xml:space="preserve"> </w:t>
            </w:r>
            <w:r>
              <w:rPr>
                <w:rFonts w:ascii="Times New Roman" w:hAnsi="Times New Roman"/>
                <w:bCs/>
                <w:noProof/>
              </w:rPr>
              <w:t xml:space="preserve">och </w:t>
            </w:r>
            <w:hyperlink r:id="rId19" w:history="1">
              <w:r>
                <w:rPr>
                  <w:rStyle w:val="Hyperlink"/>
                  <w:rFonts w:ascii="Times New Roman" w:hAnsi="Times New Roman"/>
                  <w:bCs/>
                  <w:noProof/>
                </w:rPr>
                <w:t>genomföranderapporten</w:t>
              </w:r>
            </w:hyperlink>
            <w:r>
              <w:rPr>
                <w:noProof/>
              </w:rPr>
              <w:t xml:space="preserve"> </w:t>
            </w:r>
            <w:r>
              <w:rPr>
                <w:rFonts w:ascii="Times New Roman" w:hAnsi="Times New Roman"/>
                <w:bCs/>
                <w:noProof/>
              </w:rPr>
              <w:t>förhindrar dock vissa kvarstående problem fortfarande att målen uppnås helt. De huvudproblem som identifierats kan delas in i tre områden:</w:t>
            </w:r>
          </w:p>
          <w:p w14:paraId="5DEC5745" w14:textId="77777777" w:rsidR="004848D0" w:rsidRPr="004848D0" w:rsidRDefault="004848D0" w:rsidP="004848D0">
            <w:pPr>
              <w:pStyle w:val="ListParagraph"/>
              <w:numPr>
                <w:ilvl w:val="0"/>
                <w:numId w:val="6"/>
              </w:numPr>
              <w:spacing w:after="0" w:line="240" w:lineRule="auto"/>
              <w:jc w:val="both"/>
              <w:rPr>
                <w:rFonts w:ascii="Times New Roman" w:eastAsia="Times New Roman" w:hAnsi="Times New Roman" w:cs="Times New Roman"/>
                <w:bCs/>
                <w:noProof/>
              </w:rPr>
            </w:pPr>
            <w:r>
              <w:rPr>
                <w:rFonts w:ascii="Times New Roman" w:hAnsi="Times New Roman"/>
                <w:b/>
                <w:bCs/>
                <w:noProof/>
              </w:rPr>
              <w:t>Komplicerade och ineffektiva ansökningsförfaranden</w:t>
            </w:r>
            <w:r>
              <w:rPr>
                <w:rFonts w:ascii="Times New Roman" w:hAnsi="Times New Roman"/>
                <w:bCs/>
                <w:noProof/>
              </w:rPr>
              <w:t xml:space="preserve"> och </w:t>
            </w:r>
            <w:r>
              <w:rPr>
                <w:rFonts w:ascii="Times New Roman" w:hAnsi="Times New Roman"/>
                <w:b/>
                <w:bCs/>
                <w:noProof/>
              </w:rPr>
              <w:t>oklara rättigheter</w:t>
            </w:r>
            <w:r>
              <w:rPr>
                <w:rFonts w:ascii="Times New Roman" w:hAnsi="Times New Roman"/>
                <w:bCs/>
                <w:noProof/>
              </w:rPr>
              <w:t xml:space="preserve"> som i vissa fall förlänger förfarandena och minskar EU:s attraktionskraft för tredjelandsmedborgare.</w:t>
            </w:r>
          </w:p>
          <w:p w14:paraId="4EDCEBC0" w14:textId="77777777" w:rsidR="004848D0" w:rsidRPr="004848D0" w:rsidRDefault="004848D0" w:rsidP="007C2713">
            <w:pPr>
              <w:pStyle w:val="ListParagraph"/>
              <w:numPr>
                <w:ilvl w:val="0"/>
                <w:numId w:val="6"/>
              </w:numPr>
              <w:spacing w:after="0" w:line="240" w:lineRule="auto"/>
              <w:jc w:val="both"/>
              <w:rPr>
                <w:rFonts w:ascii="Times New Roman" w:eastAsia="Times New Roman" w:hAnsi="Times New Roman" w:cs="Times New Roman"/>
                <w:bCs/>
                <w:noProof/>
              </w:rPr>
            </w:pPr>
            <w:r>
              <w:rPr>
                <w:rFonts w:ascii="Times New Roman" w:hAnsi="Times New Roman"/>
                <w:b/>
                <w:bCs/>
                <w:noProof/>
              </w:rPr>
              <w:t>Vissa kategorier av migranter omfattas inte</w:t>
            </w:r>
            <w:r>
              <w:rPr>
                <w:rFonts w:ascii="Times New Roman" w:hAnsi="Times New Roman"/>
                <w:bCs/>
                <w:noProof/>
              </w:rPr>
              <w:t xml:space="preserve"> av direktivet eller av någon annan EU-rättsakt och det finns olika regler om inresevillkor för personer med låg och medelhög utbildning.</w:t>
            </w:r>
          </w:p>
          <w:p w14:paraId="0C4CFDFE" w14:textId="77777777" w:rsidR="00A53501" w:rsidRPr="004848D0" w:rsidRDefault="004848D0" w:rsidP="004848D0">
            <w:pPr>
              <w:pStyle w:val="ListParagraph"/>
              <w:numPr>
                <w:ilvl w:val="0"/>
                <w:numId w:val="6"/>
              </w:numPr>
              <w:spacing w:after="0" w:line="240" w:lineRule="auto"/>
              <w:jc w:val="both"/>
              <w:rPr>
                <w:rFonts w:ascii="Times New Roman" w:eastAsia="Times New Roman" w:hAnsi="Times New Roman" w:cs="Times New Roman"/>
                <w:bCs/>
                <w:noProof/>
              </w:rPr>
            </w:pPr>
            <w:r>
              <w:rPr>
                <w:rFonts w:ascii="Times New Roman" w:hAnsi="Times New Roman"/>
                <w:b/>
                <w:bCs/>
                <w:noProof/>
              </w:rPr>
              <w:t>Arbetstagarna är inte tillräckligt skyddade mot exploatering</w:t>
            </w:r>
            <w:r>
              <w:rPr>
                <w:rFonts w:ascii="Times New Roman" w:hAnsi="Times New Roman"/>
                <w:bCs/>
                <w:noProof/>
              </w:rPr>
              <w:t>.</w:t>
            </w:r>
          </w:p>
          <w:p w14:paraId="00B8B991" w14:textId="77777777" w:rsidR="00A53501" w:rsidRDefault="00A53501" w:rsidP="00A53501">
            <w:pPr>
              <w:pStyle w:val="ListParagraph"/>
              <w:spacing w:after="0" w:line="240" w:lineRule="auto"/>
              <w:ind w:left="360"/>
              <w:jc w:val="both"/>
              <w:rPr>
                <w:rFonts w:ascii="Times New Roman" w:eastAsia="Times New Roman" w:hAnsi="Times New Roman" w:cs="Times New Roman"/>
                <w:bCs/>
                <w:noProof/>
              </w:rPr>
            </w:pPr>
          </w:p>
          <w:p w14:paraId="0AA6AAEF" w14:textId="6063B770" w:rsidR="00A708A3" w:rsidRDefault="00ED5987" w:rsidP="00DA28A6">
            <w:pPr>
              <w:pStyle w:val="ListParagraph"/>
              <w:spacing w:after="0" w:line="240" w:lineRule="auto"/>
              <w:ind w:left="0"/>
              <w:jc w:val="both"/>
              <w:rPr>
                <w:rFonts w:ascii="Times New Roman" w:eastAsia="Times New Roman" w:hAnsi="Times New Roman" w:cs="Times New Roman"/>
                <w:bCs/>
                <w:noProof/>
              </w:rPr>
            </w:pPr>
            <w:r>
              <w:rPr>
                <w:rFonts w:ascii="Times New Roman" w:hAnsi="Times New Roman"/>
                <w:bCs/>
                <w:noProof/>
              </w:rPr>
              <w:t xml:space="preserve">Arbetsgivare och migranter i EU påverkas negativt av direktivets brister, som leder till administrativa bördor, långa väntetider och osäkerhet om vilka regler som gäller.  </w:t>
            </w:r>
          </w:p>
          <w:p w14:paraId="36F8397D" w14:textId="10665668" w:rsidR="00DD3DE1" w:rsidRPr="00985FB3" w:rsidRDefault="00A53501">
            <w:pPr>
              <w:jc w:val="both"/>
              <w:rPr>
                <w:rFonts w:ascii="Times New Roman" w:eastAsia="Times New Roman" w:hAnsi="Times New Roman" w:cs="Times New Roman"/>
                <w:bCs/>
                <w:noProof/>
              </w:rPr>
            </w:pPr>
            <w:r>
              <w:rPr>
                <w:rFonts w:ascii="Times New Roman" w:hAnsi="Times New Roman"/>
                <w:b/>
                <w:bCs/>
                <w:noProof/>
              </w:rPr>
              <w:t>Den främsta orsaken till dessa problem har att göra med regelverket</w:t>
            </w:r>
            <w:r>
              <w:rPr>
                <w:rFonts w:ascii="Times New Roman" w:hAnsi="Times New Roman"/>
                <w:bCs/>
                <w:noProof/>
              </w:rPr>
              <w:t xml:space="preserve">, dvs. svagheter i EU:s gällande övergripande regelverk. Många bestämmelser i direktivet ger medlemsstaterna ett stort utrymme för skönsmässig bedömning, vilket gör att de kan anta olika regler, vilket i sin tur försvagar harmoniseringen av reglerna på EU-nivå. </w:t>
            </w:r>
          </w:p>
        </w:tc>
      </w:tr>
      <w:tr w:rsidR="00E351B5" w:rsidRPr="00985FB3" w14:paraId="39703095" w14:textId="77777777" w:rsidTr="00985FB3">
        <w:trPr>
          <w:trHeight w:val="347"/>
        </w:trPr>
        <w:tc>
          <w:tcPr>
            <w:tcW w:w="10206" w:type="dxa"/>
            <w:shd w:val="clear" w:color="auto" w:fill="D9D9D9" w:themeFill="background1" w:themeFillShade="D9"/>
          </w:tcPr>
          <w:p w14:paraId="1614DD08" w14:textId="77777777" w:rsidR="00E351B5" w:rsidRPr="00985FB3" w:rsidRDefault="00E351B5" w:rsidP="00E351B5">
            <w:pPr>
              <w:pStyle w:val="TableParagraph"/>
              <w:spacing w:before="59"/>
              <w:ind w:left="0"/>
              <w:rPr>
                <w:rFonts w:ascii="Times New Roman" w:hAnsi="Times New Roman" w:cs="Times New Roman"/>
                <w:noProof/>
              </w:rPr>
            </w:pPr>
            <w:r>
              <w:rPr>
                <w:rFonts w:ascii="Times New Roman" w:hAnsi="Times New Roman"/>
                <w:b/>
                <w:noProof/>
              </w:rPr>
              <w:t xml:space="preserve">Vad förväntas initiativet leda till? </w:t>
            </w:r>
          </w:p>
        </w:tc>
      </w:tr>
      <w:tr w:rsidR="00E351B5" w:rsidRPr="00985FB3" w14:paraId="2BA2DE0D" w14:textId="77777777" w:rsidTr="00047B43">
        <w:trPr>
          <w:trHeight w:val="2912"/>
        </w:trPr>
        <w:tc>
          <w:tcPr>
            <w:tcW w:w="10206" w:type="dxa"/>
          </w:tcPr>
          <w:p w14:paraId="20049235" w14:textId="77777777" w:rsidR="00E55C4F" w:rsidRPr="00E55C4F" w:rsidRDefault="00E55C4F" w:rsidP="00E55C4F">
            <w:pPr>
              <w:jc w:val="both"/>
              <w:rPr>
                <w:rFonts w:ascii="Times New Roman" w:eastAsia="Times New Roman" w:hAnsi="Times New Roman" w:cs="Times New Roman"/>
                <w:bCs/>
                <w:noProof/>
              </w:rPr>
            </w:pPr>
            <w:r>
              <w:rPr>
                <w:rFonts w:ascii="Times New Roman" w:hAnsi="Times New Roman"/>
                <w:bCs/>
                <w:noProof/>
              </w:rPr>
              <w:t xml:space="preserve">De allmänna målen för initiativet är att </w:t>
            </w:r>
          </w:p>
          <w:p w14:paraId="6A69B911" w14:textId="77777777" w:rsidR="00A42BFD" w:rsidRPr="00A42BFD" w:rsidRDefault="00A42BFD" w:rsidP="00A42BFD">
            <w:pPr>
              <w:numPr>
                <w:ilvl w:val="0"/>
                <w:numId w:val="7"/>
              </w:numPr>
              <w:jc w:val="both"/>
              <w:rPr>
                <w:rFonts w:ascii="Times New Roman" w:eastAsia="Times New Roman" w:hAnsi="Times New Roman" w:cs="Times New Roman"/>
                <w:bCs/>
                <w:noProof/>
              </w:rPr>
            </w:pPr>
            <w:r>
              <w:rPr>
                <w:rFonts w:ascii="Times New Roman" w:hAnsi="Times New Roman"/>
                <w:bCs/>
                <w:noProof/>
              </w:rPr>
              <w:t>säkerställa en effektiv migrationshantering,</w:t>
            </w:r>
          </w:p>
          <w:p w14:paraId="74EDBBC1" w14:textId="77777777" w:rsidR="00A42BFD" w:rsidRPr="00A42BFD" w:rsidRDefault="00A42BFD" w:rsidP="00A42BFD">
            <w:pPr>
              <w:numPr>
                <w:ilvl w:val="0"/>
                <w:numId w:val="7"/>
              </w:numPr>
              <w:jc w:val="both"/>
              <w:rPr>
                <w:rFonts w:ascii="Times New Roman" w:eastAsia="Times New Roman" w:hAnsi="Times New Roman" w:cs="Times New Roman"/>
                <w:bCs/>
                <w:noProof/>
              </w:rPr>
            </w:pPr>
            <w:r>
              <w:rPr>
                <w:rFonts w:ascii="Times New Roman" w:hAnsi="Times New Roman"/>
                <w:bCs/>
                <w:noProof/>
              </w:rPr>
              <w:t>främja konkurrenskraft och tillväxt i EU,</w:t>
            </w:r>
          </w:p>
          <w:p w14:paraId="5F48E19C" w14:textId="77777777" w:rsidR="00E55C4F" w:rsidRPr="00E55C4F" w:rsidRDefault="00A42BFD" w:rsidP="00A42BFD">
            <w:pPr>
              <w:numPr>
                <w:ilvl w:val="0"/>
                <w:numId w:val="7"/>
              </w:numPr>
              <w:jc w:val="both"/>
              <w:rPr>
                <w:rFonts w:ascii="Times New Roman" w:eastAsia="Times New Roman" w:hAnsi="Times New Roman" w:cs="Times New Roman"/>
                <w:bCs/>
                <w:noProof/>
              </w:rPr>
            </w:pPr>
            <w:r>
              <w:rPr>
                <w:rFonts w:ascii="Times New Roman" w:hAnsi="Times New Roman"/>
                <w:bCs/>
                <w:noProof/>
              </w:rPr>
              <w:t>säkerställa rättvis behandling och skydd av tredjelandsmedborgare som är lagligen bosatta i EU.</w:t>
            </w:r>
          </w:p>
          <w:p w14:paraId="0A03F950" w14:textId="77777777" w:rsidR="00E55C4F" w:rsidRDefault="00E55C4F" w:rsidP="00E55C4F">
            <w:pPr>
              <w:jc w:val="both"/>
              <w:rPr>
                <w:rFonts w:ascii="Times New Roman" w:eastAsia="Times New Roman" w:hAnsi="Times New Roman" w:cs="Times New Roman"/>
                <w:b/>
                <w:bCs/>
                <w:noProof/>
              </w:rPr>
            </w:pPr>
          </w:p>
          <w:p w14:paraId="55802B28" w14:textId="77777777" w:rsidR="00E55C4F" w:rsidRPr="00E55C4F" w:rsidRDefault="00E55C4F" w:rsidP="00E55C4F">
            <w:pPr>
              <w:jc w:val="both"/>
              <w:rPr>
                <w:rFonts w:ascii="Times New Roman" w:eastAsia="Times New Roman" w:hAnsi="Times New Roman" w:cs="Times New Roman"/>
                <w:bCs/>
                <w:noProof/>
              </w:rPr>
            </w:pPr>
            <w:r>
              <w:rPr>
                <w:rFonts w:ascii="Times New Roman" w:hAnsi="Times New Roman"/>
                <w:bCs/>
                <w:noProof/>
              </w:rPr>
              <w:t xml:space="preserve">De specifika politiska mål som motsvarar de identifierade problemen är att </w:t>
            </w:r>
          </w:p>
          <w:p w14:paraId="3104871B" w14:textId="77777777" w:rsidR="00A42BFD" w:rsidRPr="00A42BFD" w:rsidRDefault="00A42BFD" w:rsidP="00A42BFD">
            <w:pPr>
              <w:tabs>
                <w:tab w:val="left" w:pos="321"/>
              </w:tabs>
              <w:jc w:val="both"/>
              <w:rPr>
                <w:rFonts w:ascii="Times New Roman" w:eastAsia="Times New Roman" w:hAnsi="Times New Roman" w:cs="Times New Roman"/>
                <w:bCs/>
                <w:noProof/>
              </w:rPr>
            </w:pPr>
            <w:r>
              <w:rPr>
                <w:rFonts w:ascii="Times New Roman" w:hAnsi="Times New Roman"/>
                <w:bCs/>
                <w:noProof/>
              </w:rPr>
              <w:t xml:space="preserve">1) </w:t>
            </w:r>
            <w:r>
              <w:rPr>
                <w:noProof/>
              </w:rPr>
              <w:tab/>
            </w:r>
            <w:r>
              <w:rPr>
                <w:rFonts w:ascii="Times New Roman" w:hAnsi="Times New Roman"/>
                <w:bCs/>
                <w:noProof/>
              </w:rPr>
              <w:t>förenkla förfarandena för inresa och vistelse,</w:t>
            </w:r>
          </w:p>
          <w:p w14:paraId="15BFEE07" w14:textId="77777777" w:rsidR="00A42BFD" w:rsidRPr="00A42BFD" w:rsidRDefault="00A42BFD" w:rsidP="00A42BFD">
            <w:pPr>
              <w:tabs>
                <w:tab w:val="left" w:pos="321"/>
              </w:tabs>
              <w:jc w:val="both"/>
              <w:rPr>
                <w:rFonts w:ascii="Times New Roman" w:eastAsia="Times New Roman" w:hAnsi="Times New Roman" w:cs="Times New Roman"/>
                <w:bCs/>
                <w:noProof/>
              </w:rPr>
            </w:pPr>
            <w:r>
              <w:rPr>
                <w:rFonts w:ascii="Times New Roman" w:hAnsi="Times New Roman"/>
                <w:bCs/>
                <w:noProof/>
              </w:rPr>
              <w:t>2)</w:t>
            </w:r>
            <w:r>
              <w:rPr>
                <w:noProof/>
              </w:rPr>
              <w:tab/>
            </w:r>
            <w:r>
              <w:rPr>
                <w:rFonts w:ascii="Times New Roman" w:hAnsi="Times New Roman"/>
                <w:bCs/>
                <w:noProof/>
              </w:rPr>
              <w:t xml:space="preserve">säkerställa att ansökningsförfarandena blir effektivare, </w:t>
            </w:r>
          </w:p>
          <w:p w14:paraId="7F1B4680" w14:textId="77777777" w:rsidR="00A42BFD" w:rsidRPr="00A42BFD" w:rsidRDefault="00A42BFD" w:rsidP="00A42BFD">
            <w:pPr>
              <w:tabs>
                <w:tab w:val="left" w:pos="321"/>
              </w:tabs>
              <w:jc w:val="both"/>
              <w:rPr>
                <w:rFonts w:ascii="Times New Roman" w:eastAsia="Times New Roman" w:hAnsi="Times New Roman" w:cs="Times New Roman"/>
                <w:bCs/>
                <w:noProof/>
              </w:rPr>
            </w:pPr>
            <w:r>
              <w:rPr>
                <w:rFonts w:ascii="Times New Roman" w:hAnsi="Times New Roman"/>
                <w:bCs/>
                <w:noProof/>
              </w:rPr>
              <w:t>3)</w:t>
            </w:r>
            <w:r>
              <w:rPr>
                <w:noProof/>
              </w:rPr>
              <w:tab/>
            </w:r>
            <w:r>
              <w:rPr>
                <w:rFonts w:ascii="Times New Roman" w:hAnsi="Times New Roman"/>
                <w:bCs/>
                <w:noProof/>
              </w:rPr>
              <w:t>åtgärda bristen på arbetskraft i EU,</w:t>
            </w:r>
          </w:p>
          <w:p w14:paraId="546C9309" w14:textId="1C9B6254" w:rsidR="00A42BFD" w:rsidRPr="00A42BFD" w:rsidRDefault="00A42BFD" w:rsidP="00A42BFD">
            <w:pPr>
              <w:tabs>
                <w:tab w:val="left" w:pos="321"/>
              </w:tabs>
              <w:jc w:val="both"/>
              <w:rPr>
                <w:rFonts w:ascii="Times New Roman" w:eastAsia="Times New Roman" w:hAnsi="Times New Roman" w:cs="Times New Roman"/>
                <w:bCs/>
                <w:noProof/>
              </w:rPr>
            </w:pPr>
            <w:r>
              <w:rPr>
                <w:rFonts w:ascii="Times New Roman" w:hAnsi="Times New Roman"/>
                <w:bCs/>
                <w:noProof/>
              </w:rPr>
              <w:t>4)</w:t>
            </w:r>
            <w:r>
              <w:rPr>
                <w:noProof/>
              </w:rPr>
              <w:tab/>
            </w:r>
            <w:r>
              <w:rPr>
                <w:rFonts w:ascii="Times New Roman" w:hAnsi="Times New Roman"/>
                <w:bCs/>
                <w:noProof/>
              </w:rPr>
              <w:t>öka likabehandlingen av tredjelandsmedborgare i förhållande till EU-medborgare,</w:t>
            </w:r>
          </w:p>
          <w:p w14:paraId="6451A7E5" w14:textId="77777777" w:rsidR="00DD3DE1" w:rsidRPr="00985FB3" w:rsidRDefault="00A42BFD" w:rsidP="00047B43">
            <w:pPr>
              <w:tabs>
                <w:tab w:val="left" w:pos="321"/>
              </w:tabs>
              <w:jc w:val="both"/>
              <w:rPr>
                <w:rFonts w:ascii="Times New Roman" w:eastAsia="Times New Roman" w:hAnsi="Times New Roman" w:cs="Times New Roman"/>
                <w:noProof/>
                <w:color w:val="333333"/>
              </w:rPr>
            </w:pPr>
            <w:r>
              <w:rPr>
                <w:rFonts w:ascii="Times New Roman" w:hAnsi="Times New Roman"/>
                <w:bCs/>
                <w:noProof/>
              </w:rPr>
              <w:t>5)</w:t>
            </w:r>
            <w:r>
              <w:rPr>
                <w:noProof/>
              </w:rPr>
              <w:tab/>
            </w:r>
            <w:r>
              <w:rPr>
                <w:rFonts w:ascii="Times New Roman" w:hAnsi="Times New Roman"/>
                <w:bCs/>
                <w:noProof/>
              </w:rPr>
              <w:t>skydda arbetstagare från tredjeland från arbetskraftsexploatering.</w:t>
            </w:r>
          </w:p>
        </w:tc>
      </w:tr>
      <w:tr w:rsidR="00E351B5" w:rsidRPr="00985FB3" w14:paraId="4018C375" w14:textId="77777777" w:rsidTr="00985FB3">
        <w:trPr>
          <w:trHeight w:val="361"/>
        </w:trPr>
        <w:tc>
          <w:tcPr>
            <w:tcW w:w="10206" w:type="dxa"/>
            <w:shd w:val="clear" w:color="auto" w:fill="D9D9D9" w:themeFill="background1" w:themeFillShade="D9"/>
          </w:tcPr>
          <w:p w14:paraId="222D54BE" w14:textId="77777777" w:rsidR="00E351B5" w:rsidRPr="00985FB3" w:rsidRDefault="00E351B5" w:rsidP="00E55C4F">
            <w:pPr>
              <w:rPr>
                <w:rFonts w:ascii="Times New Roman" w:hAnsi="Times New Roman" w:cs="Times New Roman"/>
                <w:noProof/>
              </w:rPr>
            </w:pPr>
            <w:r>
              <w:rPr>
                <w:rFonts w:ascii="Times New Roman" w:hAnsi="Times New Roman"/>
                <w:b/>
                <w:noProof/>
              </w:rPr>
              <w:t xml:space="preserve">Vad är mervärdet med åtgärder på EU-nivå? </w:t>
            </w:r>
          </w:p>
        </w:tc>
      </w:tr>
      <w:tr w:rsidR="00E351B5" w:rsidRPr="00985FB3" w14:paraId="0E9C47B7" w14:textId="77777777" w:rsidTr="00DA28A6">
        <w:trPr>
          <w:trHeight w:val="1008"/>
        </w:trPr>
        <w:tc>
          <w:tcPr>
            <w:tcW w:w="10206" w:type="dxa"/>
          </w:tcPr>
          <w:p w14:paraId="110F2F75" w14:textId="77777777" w:rsidR="00DD3DE1" w:rsidRPr="00985FB3" w:rsidRDefault="00B24DCB" w:rsidP="00A708A3">
            <w:pPr>
              <w:jc w:val="both"/>
              <w:rPr>
                <w:rFonts w:ascii="Times New Roman" w:eastAsia="Times New Roman" w:hAnsi="Times New Roman" w:cs="Times New Roman"/>
                <w:noProof/>
              </w:rPr>
            </w:pPr>
            <w:r>
              <w:rPr>
                <w:rFonts w:ascii="Times New Roman" w:hAnsi="Times New Roman"/>
                <w:bCs/>
                <w:noProof/>
              </w:rPr>
              <w:t>Ytterligare förbättring av det gemensamma förfarande som fastställs i direktivet kräver åtgärder på EU-nivå. De problem som anges ovan kommer sannolikt inte att försvinna inom en nära framtid, eftersom de är direkt kopplade till de nuvarande rättsliga bestämmelserna, som är komplexa, ibland oklara eller ofullständiga och ger medlemsstaterna ett stort utrymme för skönsmässig bedömning när det gäller genomförandet, vilket möjliggör olika regler.</w:t>
            </w:r>
          </w:p>
        </w:tc>
      </w:tr>
      <w:tr w:rsidR="00E351B5" w:rsidRPr="00985FB3" w14:paraId="4074BF8E" w14:textId="77777777" w:rsidTr="00985FB3">
        <w:trPr>
          <w:trHeight w:val="404"/>
        </w:trPr>
        <w:tc>
          <w:tcPr>
            <w:tcW w:w="10206" w:type="dxa"/>
            <w:shd w:val="clear" w:color="auto" w:fill="BFBFBF" w:themeFill="background1" w:themeFillShade="BF"/>
          </w:tcPr>
          <w:p w14:paraId="1C77F167" w14:textId="77777777" w:rsidR="00E351B5" w:rsidRPr="00985FB3" w:rsidRDefault="00E351B5" w:rsidP="00E351B5">
            <w:pPr>
              <w:jc w:val="center"/>
              <w:rPr>
                <w:rFonts w:ascii="Times New Roman" w:hAnsi="Times New Roman" w:cs="Times New Roman"/>
                <w:noProof/>
              </w:rPr>
            </w:pPr>
            <w:r>
              <w:rPr>
                <w:rFonts w:ascii="Times New Roman" w:hAnsi="Times New Roman"/>
                <w:b/>
                <w:noProof/>
              </w:rPr>
              <w:t>B. Lösningar</w:t>
            </w:r>
          </w:p>
        </w:tc>
      </w:tr>
      <w:tr w:rsidR="00E351B5" w:rsidRPr="00985FB3" w14:paraId="53A62BD3" w14:textId="77777777" w:rsidTr="00985FB3">
        <w:trPr>
          <w:trHeight w:val="454"/>
        </w:trPr>
        <w:tc>
          <w:tcPr>
            <w:tcW w:w="10206" w:type="dxa"/>
            <w:shd w:val="clear" w:color="auto" w:fill="D9D9D9" w:themeFill="background1" w:themeFillShade="D9"/>
          </w:tcPr>
          <w:p w14:paraId="59E57AD5" w14:textId="77777777" w:rsidR="00E351B5" w:rsidRPr="00985FB3" w:rsidRDefault="00E351B5" w:rsidP="0048144C">
            <w:pPr>
              <w:rPr>
                <w:rFonts w:ascii="Times New Roman" w:hAnsi="Times New Roman" w:cs="Times New Roman"/>
                <w:noProof/>
              </w:rPr>
            </w:pPr>
            <w:r>
              <w:rPr>
                <w:rFonts w:ascii="Times New Roman" w:hAnsi="Times New Roman"/>
                <w:b/>
                <w:noProof/>
              </w:rPr>
              <w:t xml:space="preserve">Vilka alternativ, både lagstiftning och andra åtgärder, har övervägts? Finns det ett rekommenderat alternativ? Varför? </w:t>
            </w:r>
          </w:p>
        </w:tc>
      </w:tr>
      <w:tr w:rsidR="002B7970" w:rsidRPr="00985FB3" w14:paraId="5E39AA08" w14:textId="77777777" w:rsidTr="00DA28A6">
        <w:trPr>
          <w:trHeight w:val="2400"/>
        </w:trPr>
        <w:tc>
          <w:tcPr>
            <w:tcW w:w="10206" w:type="dxa"/>
            <w:shd w:val="clear" w:color="auto" w:fill="auto"/>
          </w:tcPr>
          <w:p w14:paraId="28EC0D74" w14:textId="77777777" w:rsidR="002B7970" w:rsidRDefault="002B7970" w:rsidP="002B7970">
            <w:pPr>
              <w:jc w:val="both"/>
              <w:rPr>
                <w:rFonts w:ascii="Times New Roman" w:hAnsi="Times New Roman" w:cs="Times New Roman"/>
                <w:noProof/>
              </w:rPr>
            </w:pPr>
            <w:r>
              <w:rPr>
                <w:rFonts w:ascii="Times New Roman" w:hAnsi="Times New Roman"/>
                <w:noProof/>
              </w:rPr>
              <w:t xml:space="preserve">I konsekvensbedömningen utvärderas </w:t>
            </w:r>
            <w:r>
              <w:rPr>
                <w:rFonts w:ascii="Times New Roman" w:hAnsi="Times New Roman"/>
                <w:b/>
                <w:noProof/>
              </w:rPr>
              <w:t>tre alternativ</w:t>
            </w:r>
            <w:r>
              <w:rPr>
                <w:rFonts w:ascii="Times New Roman" w:hAnsi="Times New Roman"/>
                <w:noProof/>
              </w:rPr>
              <w:t>, med olika grad av ingripande från EU:s sida:</w:t>
            </w:r>
          </w:p>
          <w:p w14:paraId="02CCDFC7" w14:textId="494AE130" w:rsidR="002B7970" w:rsidRPr="0056782A" w:rsidRDefault="00180CB8" w:rsidP="003F54B3">
            <w:pPr>
              <w:pStyle w:val="ListParagraph"/>
              <w:numPr>
                <w:ilvl w:val="0"/>
                <w:numId w:val="3"/>
              </w:numPr>
              <w:spacing w:after="0" w:line="240" w:lineRule="auto"/>
              <w:jc w:val="both"/>
              <w:rPr>
                <w:rFonts w:asciiTheme="majorBidi" w:hAnsiTheme="majorBidi" w:cstheme="majorBidi"/>
                <w:noProof/>
              </w:rPr>
            </w:pPr>
            <w:r>
              <w:rPr>
                <w:rFonts w:ascii="Times New Roman" w:hAnsi="Times New Roman"/>
                <w:b/>
                <w:noProof/>
                <w:u w:val="single"/>
              </w:rPr>
              <w:t>Alternativ 1</w:t>
            </w:r>
            <w:r>
              <w:rPr>
                <w:rFonts w:ascii="Times New Roman" w:hAnsi="Times New Roman"/>
                <w:noProof/>
              </w:rPr>
              <w:t xml:space="preserve"> innebär en förbättring av medlemsstaternas genomförande av direktivet genom utbyte av bästa praxis, utveckling av en handbok eller rekommendationer om det kombinerade tillståndet osv.</w:t>
            </w:r>
          </w:p>
          <w:p w14:paraId="08B19775" w14:textId="3BCE7953" w:rsidR="002B7970" w:rsidRPr="00A34D89" w:rsidRDefault="002B7970" w:rsidP="00A34D89">
            <w:pPr>
              <w:pStyle w:val="ListParagraph"/>
              <w:numPr>
                <w:ilvl w:val="0"/>
                <w:numId w:val="3"/>
              </w:numPr>
              <w:spacing w:after="0" w:line="240" w:lineRule="auto"/>
              <w:jc w:val="both"/>
              <w:rPr>
                <w:rFonts w:ascii="Times New Roman" w:hAnsi="Times New Roman" w:cs="Times New Roman"/>
                <w:noProof/>
              </w:rPr>
            </w:pPr>
            <w:r>
              <w:rPr>
                <w:rFonts w:ascii="Times New Roman" w:hAnsi="Times New Roman"/>
                <w:b/>
                <w:noProof/>
                <w:u w:val="single"/>
              </w:rPr>
              <w:t>Alternativ 2</w:t>
            </w:r>
            <w:r>
              <w:rPr>
                <w:rFonts w:ascii="Times New Roman" w:hAnsi="Times New Roman"/>
                <w:noProof/>
              </w:rPr>
              <w:t xml:space="preserve"> innebär en lagstiftningsåtgärd som syftar till att rationalisera ansökningsförfarandet och förbättra rätten till likabehandling genom rekommendationer.</w:t>
            </w:r>
          </w:p>
          <w:p w14:paraId="200C25E5" w14:textId="35635C92" w:rsidR="002B7970" w:rsidRPr="0056782A" w:rsidRDefault="002B7970" w:rsidP="00CD0F3F">
            <w:pPr>
              <w:pStyle w:val="ListParagraph"/>
              <w:numPr>
                <w:ilvl w:val="0"/>
                <w:numId w:val="3"/>
              </w:numPr>
              <w:spacing w:after="0" w:line="240" w:lineRule="auto"/>
              <w:jc w:val="both"/>
              <w:rPr>
                <w:rFonts w:asciiTheme="majorBidi" w:hAnsiTheme="majorBidi" w:cstheme="majorBidi"/>
                <w:noProof/>
              </w:rPr>
            </w:pPr>
            <w:r>
              <w:rPr>
                <w:rFonts w:ascii="Times New Roman" w:hAnsi="Times New Roman"/>
                <w:b/>
                <w:noProof/>
                <w:u w:val="single"/>
              </w:rPr>
              <w:t>Alternativ 3</w:t>
            </w:r>
            <w:r>
              <w:rPr>
                <w:rFonts w:ascii="Times New Roman" w:hAnsi="Times New Roman"/>
                <w:noProof/>
              </w:rPr>
              <w:t xml:space="preserve"> innebär de lagstiftningsändringar som beskrivs i alternativ 2, förbättrar rätten till likabehandling och klargör direktivets personkrets samt förbättrar skyddet mot arbetskraftsexploatering.</w:t>
            </w:r>
          </w:p>
          <w:p w14:paraId="34BD5383" w14:textId="1531A399" w:rsidR="00DD3DE1" w:rsidRPr="00985FB3" w:rsidRDefault="002B7970" w:rsidP="00931FC0">
            <w:pPr>
              <w:rPr>
                <w:rFonts w:ascii="Times New Roman" w:hAnsi="Times New Roman" w:cs="Times New Roman"/>
                <w:b/>
                <w:noProof/>
              </w:rPr>
            </w:pPr>
            <w:r>
              <w:rPr>
                <w:rFonts w:ascii="Times New Roman" w:hAnsi="Times New Roman"/>
                <w:noProof/>
              </w:rPr>
              <w:t xml:space="preserve">Det </w:t>
            </w:r>
            <w:r>
              <w:rPr>
                <w:rFonts w:ascii="Times New Roman" w:hAnsi="Times New Roman"/>
                <w:b/>
                <w:noProof/>
              </w:rPr>
              <w:t>rekommenderade alternativet</w:t>
            </w:r>
            <w:r>
              <w:rPr>
                <w:rFonts w:ascii="Times New Roman" w:hAnsi="Times New Roman"/>
                <w:noProof/>
              </w:rPr>
              <w:t xml:space="preserve"> är </w:t>
            </w:r>
            <w:r>
              <w:rPr>
                <w:rFonts w:ascii="Times New Roman" w:hAnsi="Times New Roman"/>
                <w:b/>
                <w:noProof/>
              </w:rPr>
              <w:t>alternativ 3</w:t>
            </w:r>
            <w:r>
              <w:rPr>
                <w:rFonts w:ascii="Times New Roman" w:hAnsi="Times New Roman"/>
                <w:noProof/>
              </w:rPr>
              <w:t>, eftersom det åtgärdar befintliga brister i direktivet,</w:t>
            </w:r>
            <w:r>
              <w:rPr>
                <w:rFonts w:asciiTheme="majorBidi" w:hAnsiTheme="majorBidi"/>
                <w:noProof/>
              </w:rPr>
              <w:t xml:space="preserve"> rationaliserar förfarandena ytterligare, stärker rätten till likabehandling, klargör tillämpningsområdet och förbättrar skyddet mot utnyttjande.</w:t>
            </w:r>
          </w:p>
        </w:tc>
      </w:tr>
      <w:tr w:rsidR="00E351B5" w:rsidRPr="00985FB3" w14:paraId="6CFD471A" w14:textId="77777777" w:rsidTr="00985FB3">
        <w:trPr>
          <w:trHeight w:val="356"/>
        </w:trPr>
        <w:tc>
          <w:tcPr>
            <w:tcW w:w="10206" w:type="dxa"/>
            <w:shd w:val="clear" w:color="auto" w:fill="D9D9D9" w:themeFill="background1" w:themeFillShade="D9"/>
          </w:tcPr>
          <w:p w14:paraId="653CEA81" w14:textId="77777777" w:rsidR="00E351B5" w:rsidRPr="00985FB3" w:rsidRDefault="00E351B5" w:rsidP="003512FE">
            <w:pPr>
              <w:rPr>
                <w:rFonts w:ascii="Times New Roman" w:hAnsi="Times New Roman" w:cs="Times New Roman"/>
                <w:noProof/>
              </w:rPr>
            </w:pPr>
            <w:r>
              <w:rPr>
                <w:rFonts w:ascii="Times New Roman" w:hAnsi="Times New Roman"/>
                <w:b/>
                <w:noProof/>
              </w:rPr>
              <w:t xml:space="preserve">Vem stöder vilka alternativ? </w:t>
            </w:r>
          </w:p>
        </w:tc>
      </w:tr>
      <w:tr w:rsidR="00E351B5" w:rsidRPr="00985FB3" w14:paraId="7C1E5B95" w14:textId="77777777" w:rsidTr="00DA28A6">
        <w:trPr>
          <w:trHeight w:val="1612"/>
        </w:trPr>
        <w:tc>
          <w:tcPr>
            <w:tcW w:w="10206" w:type="dxa"/>
          </w:tcPr>
          <w:p w14:paraId="4B9DB465" w14:textId="6D3363CB" w:rsidR="00DD3DE1" w:rsidRPr="00FB32B7" w:rsidRDefault="00A65B21">
            <w:pPr>
              <w:jc w:val="both"/>
              <w:rPr>
                <w:rFonts w:ascii="Times New Roman" w:hAnsi="Times New Roman" w:cs="Times New Roman"/>
                <w:bCs/>
                <w:noProof/>
              </w:rPr>
            </w:pPr>
            <w:r>
              <w:rPr>
                <w:rFonts w:ascii="Times New Roman" w:hAnsi="Times New Roman"/>
                <w:b/>
                <w:noProof/>
              </w:rPr>
              <w:t>Europaparlamentet</w:t>
            </w:r>
            <w:r>
              <w:rPr>
                <w:rFonts w:ascii="Times New Roman" w:hAnsi="Times New Roman"/>
                <w:noProof/>
              </w:rPr>
              <w:t xml:space="preserve"> skulle stödja alla delar av alternativ 2 och 3, men förväntar sig en högre ambitionsnivå när det gäller att fastställa EU-regler för arbetstagare med låg eller medelhög utbildning. De allra flesta </w:t>
            </w:r>
            <w:r>
              <w:rPr>
                <w:rFonts w:ascii="Times New Roman" w:hAnsi="Times New Roman"/>
                <w:b/>
                <w:noProof/>
              </w:rPr>
              <w:t>berörda parter</w:t>
            </w:r>
            <w:r>
              <w:rPr>
                <w:rFonts w:ascii="Times New Roman" w:hAnsi="Times New Roman"/>
                <w:noProof/>
              </w:rPr>
              <w:t xml:space="preserve"> som rådfrågats (civilsamhället, näringslivets och arbetsmarknadens parter, experter på laglig migration) är positiva till de åtgärder som ingår i alternativ 2 och 3.</w:t>
            </w:r>
            <w:r>
              <w:rPr>
                <w:rFonts w:ascii="Times New Roman" w:hAnsi="Times New Roman"/>
                <w:bCs/>
                <w:noProof/>
              </w:rPr>
              <w:t xml:space="preserve"> </w:t>
            </w:r>
            <w:r>
              <w:rPr>
                <w:rFonts w:ascii="Times New Roman" w:hAnsi="Times New Roman"/>
                <w:b/>
                <w:noProof/>
              </w:rPr>
              <w:t>Medlemsstaterna</w:t>
            </w:r>
            <w:r>
              <w:rPr>
                <w:rFonts w:ascii="Times New Roman" w:hAnsi="Times New Roman"/>
                <w:noProof/>
              </w:rPr>
              <w:t xml:space="preserve"> föredrar generellt alternativ 1, då flera av dem har uttryckt motstånd mot en översyn av direktivet eller någon ny lagstiftning om laglig migration. Det rekommenderade alternativet erbjuder en möjlighet att nå en politisk överenskommelse eftersom det föreskriver en riktad översyn för att förbättra direktivets övergripande effektivitet och skyddet av tredjelandsmedborgare.</w:t>
            </w:r>
            <w:r>
              <w:rPr>
                <w:rFonts w:ascii="Times New Roman" w:hAnsi="Times New Roman"/>
                <w:bCs/>
                <w:noProof/>
              </w:rPr>
              <w:t xml:space="preserve"> </w:t>
            </w:r>
          </w:p>
        </w:tc>
      </w:tr>
      <w:tr w:rsidR="00E351B5" w:rsidRPr="00985FB3" w14:paraId="764372DE" w14:textId="77777777" w:rsidTr="00985FB3">
        <w:trPr>
          <w:trHeight w:val="258"/>
        </w:trPr>
        <w:tc>
          <w:tcPr>
            <w:tcW w:w="10206" w:type="dxa"/>
            <w:shd w:val="clear" w:color="auto" w:fill="BFBFBF" w:themeFill="background1" w:themeFillShade="BF"/>
          </w:tcPr>
          <w:p w14:paraId="33AC5B9D" w14:textId="77777777" w:rsidR="00E351B5" w:rsidRPr="00985FB3" w:rsidRDefault="00E351B5" w:rsidP="00E351B5">
            <w:pPr>
              <w:jc w:val="center"/>
              <w:rPr>
                <w:rFonts w:ascii="Times New Roman" w:hAnsi="Times New Roman" w:cs="Times New Roman"/>
                <w:noProof/>
              </w:rPr>
            </w:pPr>
            <w:r>
              <w:rPr>
                <w:rFonts w:ascii="Times New Roman" w:hAnsi="Times New Roman"/>
                <w:b/>
                <w:noProof/>
              </w:rPr>
              <w:t>C. Det rekommenderade alternativets konsekvenser</w:t>
            </w:r>
          </w:p>
        </w:tc>
      </w:tr>
      <w:tr w:rsidR="00E351B5" w:rsidRPr="00985FB3" w14:paraId="0D804F87" w14:textId="77777777" w:rsidTr="00985FB3">
        <w:trPr>
          <w:trHeight w:val="277"/>
        </w:trPr>
        <w:tc>
          <w:tcPr>
            <w:tcW w:w="10206" w:type="dxa"/>
            <w:shd w:val="clear" w:color="auto" w:fill="D9D9D9" w:themeFill="background1" w:themeFillShade="D9"/>
          </w:tcPr>
          <w:p w14:paraId="149AB0E0" w14:textId="77777777" w:rsidR="00E351B5" w:rsidRPr="00985FB3" w:rsidRDefault="00E351B5" w:rsidP="002C37F8">
            <w:pPr>
              <w:pStyle w:val="TableParagraph"/>
              <w:spacing w:before="56"/>
              <w:ind w:left="0"/>
              <w:rPr>
                <w:rFonts w:ascii="Times New Roman" w:hAnsi="Times New Roman" w:cs="Times New Roman"/>
                <w:noProof/>
              </w:rPr>
            </w:pPr>
            <w:r>
              <w:rPr>
                <w:rFonts w:ascii="Times New Roman" w:hAnsi="Times New Roman"/>
                <w:b/>
                <w:noProof/>
              </w:rPr>
              <w:t xml:space="preserve">Vad är nyttan med det rekommenderade alternativet? </w:t>
            </w:r>
          </w:p>
        </w:tc>
      </w:tr>
      <w:tr w:rsidR="00E351B5" w:rsidRPr="00985FB3" w14:paraId="21143F1E" w14:textId="77777777" w:rsidTr="00DA28A6">
        <w:trPr>
          <w:trHeight w:val="1797"/>
        </w:trPr>
        <w:tc>
          <w:tcPr>
            <w:tcW w:w="10206" w:type="dxa"/>
          </w:tcPr>
          <w:p w14:paraId="0E77B2D5" w14:textId="63381B9A" w:rsidR="00E351B5" w:rsidRPr="00985FB3" w:rsidRDefault="00CD0F3F">
            <w:pPr>
              <w:jc w:val="both"/>
              <w:rPr>
                <w:rFonts w:asciiTheme="majorBidi" w:hAnsiTheme="majorBidi" w:cstheme="majorBidi"/>
                <w:noProof/>
              </w:rPr>
            </w:pPr>
            <w:r>
              <w:rPr>
                <w:rFonts w:asciiTheme="majorBidi" w:hAnsiTheme="majorBidi"/>
                <w:noProof/>
              </w:rPr>
              <w:t xml:space="preserve">Det rekommenderade alternativet kommer att vara mycket effektivt när det gäller att uppnå målen och kommer att gynnas av god politisk genomförbarhet. Det kommer också att klargöra och något utvidga tillämpningsområdet för det nuvarande kombinerade tillståndet (dvs. till personer som åtnjuter skydd enligt nationell rätt) och stärka tredjelandsmedborgares rättigheter. Att inkludera personer som åtnjuter nationellt skydd i direktivets tillämpningsområde skulle dessutom förbättra rättssäkerheten och utöka rättigheterna för dem som för närvarande inte, eller endast i viss utsträckning, åtnjuter likabehandling. I och med gemensamma bestämmelser om inspektioner, sanktioner och övervakning av arbetsgivare skulle det också bidra till att stärka skyddet av alla arbetstagare från tredjeland som omfattas av direktivet mot arbetskraftsexploatering. </w:t>
            </w:r>
          </w:p>
        </w:tc>
      </w:tr>
      <w:tr w:rsidR="00E351B5" w:rsidRPr="00985FB3" w14:paraId="6B2EAA09" w14:textId="77777777" w:rsidTr="00985FB3">
        <w:trPr>
          <w:trHeight w:val="333"/>
        </w:trPr>
        <w:tc>
          <w:tcPr>
            <w:tcW w:w="10206" w:type="dxa"/>
            <w:shd w:val="clear" w:color="auto" w:fill="D9D9D9" w:themeFill="background1" w:themeFillShade="D9"/>
          </w:tcPr>
          <w:p w14:paraId="20C61C0C" w14:textId="77777777" w:rsidR="00E351B5" w:rsidRPr="00985FB3" w:rsidRDefault="00E351B5" w:rsidP="002C37F8">
            <w:pPr>
              <w:rPr>
                <w:rFonts w:ascii="Times New Roman" w:hAnsi="Times New Roman" w:cs="Times New Roman"/>
                <w:noProof/>
              </w:rPr>
            </w:pPr>
            <w:r>
              <w:rPr>
                <w:rFonts w:ascii="Times New Roman" w:hAnsi="Times New Roman"/>
                <w:b/>
                <w:noProof/>
              </w:rPr>
              <w:t xml:space="preserve">Vilka är kostnaderna för de rekommenderade alternativen? </w:t>
            </w:r>
          </w:p>
        </w:tc>
      </w:tr>
      <w:tr w:rsidR="00E351B5" w:rsidRPr="00985FB3" w14:paraId="5B427572" w14:textId="77777777" w:rsidTr="00F42AAA">
        <w:trPr>
          <w:trHeight w:val="558"/>
        </w:trPr>
        <w:tc>
          <w:tcPr>
            <w:tcW w:w="10206" w:type="dxa"/>
          </w:tcPr>
          <w:p w14:paraId="783E0584" w14:textId="77777777" w:rsidR="00411D81" w:rsidRPr="007E2353" w:rsidRDefault="00411D81" w:rsidP="00411D81">
            <w:pPr>
              <w:rPr>
                <w:rFonts w:ascii="Times New Roman" w:hAnsi="Times New Roman" w:cs="Times New Roman"/>
                <w:noProof/>
              </w:rPr>
            </w:pPr>
            <w:r>
              <w:rPr>
                <w:rFonts w:ascii="Times New Roman" w:hAnsi="Times New Roman"/>
                <w:noProof/>
              </w:rPr>
              <w:t>De beräknade kostnaderna för det rekommenderade omfattar följande:</w:t>
            </w:r>
          </w:p>
          <w:p w14:paraId="7E6688AB" w14:textId="67D20AAC" w:rsidR="00411D81" w:rsidRPr="00411D81" w:rsidRDefault="001C61B4" w:rsidP="001C61B4">
            <w:pPr>
              <w:pStyle w:val="ListParagraph"/>
              <w:numPr>
                <w:ilvl w:val="0"/>
                <w:numId w:val="10"/>
              </w:numPr>
              <w:spacing w:after="0" w:line="240" w:lineRule="auto"/>
              <w:ind w:left="320" w:hanging="294"/>
              <w:jc w:val="both"/>
              <w:rPr>
                <w:rFonts w:asciiTheme="majorBidi" w:eastAsia="Verdana" w:hAnsiTheme="majorBidi" w:cstheme="majorBidi"/>
                <w:noProof/>
              </w:rPr>
            </w:pPr>
            <w:r>
              <w:rPr>
                <w:rFonts w:ascii="Times New Roman" w:hAnsi="Times New Roman"/>
                <w:noProof/>
              </w:rPr>
              <w:t>Engångskostnader för medlemsstaterna på 2,0–7,0 miljoner EUR år 1.</w:t>
            </w:r>
          </w:p>
          <w:p w14:paraId="3E9601BB" w14:textId="4347F82E" w:rsidR="00411D81" w:rsidRPr="00411D81" w:rsidRDefault="00411D81" w:rsidP="00411D81">
            <w:pPr>
              <w:pStyle w:val="ListParagraph"/>
              <w:numPr>
                <w:ilvl w:val="0"/>
                <w:numId w:val="10"/>
              </w:numPr>
              <w:spacing w:after="0" w:line="240" w:lineRule="auto"/>
              <w:ind w:left="321" w:hanging="284"/>
              <w:jc w:val="both"/>
              <w:rPr>
                <w:rFonts w:asciiTheme="majorBidi" w:eastAsia="Verdana" w:hAnsiTheme="majorBidi" w:cstheme="majorBidi"/>
                <w:noProof/>
              </w:rPr>
            </w:pPr>
            <w:r>
              <w:rPr>
                <w:rFonts w:asciiTheme="majorBidi" w:hAnsiTheme="majorBidi"/>
                <w:noProof/>
              </w:rPr>
              <w:t>Återkommande kostnader på mellan 100 000 EUR och 12,0 miljoner EUR per år.</w:t>
            </w:r>
          </w:p>
          <w:p w14:paraId="1BCD3548" w14:textId="77777777" w:rsidR="00DD3DE1" w:rsidRDefault="00411D81" w:rsidP="00411D81">
            <w:pPr>
              <w:jc w:val="both"/>
              <w:rPr>
                <w:rFonts w:ascii="Times New Roman" w:hAnsi="Times New Roman" w:cs="Times New Roman"/>
                <w:noProof/>
              </w:rPr>
            </w:pPr>
            <w:r>
              <w:rPr>
                <w:rFonts w:ascii="Times New Roman" w:hAnsi="Times New Roman"/>
                <w:noProof/>
              </w:rPr>
              <w:t>Alternativet innebär också kostnadsbesparingar:</w:t>
            </w:r>
          </w:p>
          <w:p w14:paraId="2A81D689" w14:textId="055AF732" w:rsidR="00411D81" w:rsidRPr="00411D81" w:rsidRDefault="00411D81" w:rsidP="00411D81">
            <w:pPr>
              <w:pStyle w:val="ListParagraph"/>
              <w:numPr>
                <w:ilvl w:val="0"/>
                <w:numId w:val="10"/>
              </w:numPr>
              <w:spacing w:after="0" w:line="240" w:lineRule="auto"/>
              <w:ind w:left="321" w:hanging="284"/>
              <w:jc w:val="both"/>
              <w:rPr>
                <w:rFonts w:asciiTheme="majorBidi" w:eastAsia="Verdana" w:hAnsiTheme="majorBidi" w:cstheme="majorBidi"/>
                <w:noProof/>
              </w:rPr>
            </w:pPr>
            <w:r>
              <w:rPr>
                <w:rFonts w:asciiTheme="majorBidi" w:hAnsiTheme="majorBidi"/>
                <w:noProof/>
              </w:rPr>
              <w:t>Mellan 200 000 EUR och 4,0 miljoner EUR per år för medlemsstaterna.</w:t>
            </w:r>
          </w:p>
          <w:p w14:paraId="52101545" w14:textId="5B5B3C68" w:rsidR="00411D81" w:rsidRPr="00411D81" w:rsidRDefault="00411D81" w:rsidP="00411D81">
            <w:pPr>
              <w:pStyle w:val="ListParagraph"/>
              <w:numPr>
                <w:ilvl w:val="0"/>
                <w:numId w:val="10"/>
              </w:numPr>
              <w:spacing w:after="0" w:line="240" w:lineRule="auto"/>
              <w:ind w:left="321" w:hanging="284"/>
              <w:jc w:val="both"/>
              <w:rPr>
                <w:rFonts w:asciiTheme="majorBidi" w:eastAsia="Verdana" w:hAnsiTheme="majorBidi" w:cstheme="majorBidi"/>
                <w:noProof/>
              </w:rPr>
            </w:pPr>
            <w:r>
              <w:rPr>
                <w:rFonts w:asciiTheme="majorBidi" w:hAnsiTheme="majorBidi"/>
                <w:noProof/>
              </w:rPr>
              <w:t>Mellan 89,0 miljoner EUR och 546,0 miljoner EUR per år för tredjelandsmedborgare.</w:t>
            </w:r>
          </w:p>
          <w:p w14:paraId="4E0CC731" w14:textId="406070E5" w:rsidR="001C61B4" w:rsidRPr="00411D81" w:rsidRDefault="001C61B4" w:rsidP="00DA28A6">
            <w:pPr>
              <w:pStyle w:val="ListParagraph"/>
              <w:numPr>
                <w:ilvl w:val="0"/>
                <w:numId w:val="10"/>
              </w:numPr>
              <w:spacing w:after="0" w:line="240" w:lineRule="auto"/>
              <w:ind w:left="321" w:hanging="284"/>
              <w:jc w:val="both"/>
              <w:rPr>
                <w:rFonts w:asciiTheme="majorBidi" w:eastAsia="Verdana" w:hAnsiTheme="majorBidi" w:cstheme="majorBidi"/>
                <w:noProof/>
              </w:rPr>
            </w:pPr>
            <w:r>
              <w:rPr>
                <w:rFonts w:asciiTheme="majorBidi" w:hAnsiTheme="majorBidi"/>
                <w:noProof/>
              </w:rPr>
              <w:t>Mellan 22,0 miljoner EUR och 101,0 miljoner EUR per år för arbetsgivare.</w:t>
            </w:r>
          </w:p>
        </w:tc>
      </w:tr>
      <w:tr w:rsidR="00E351B5" w:rsidRPr="00985FB3" w14:paraId="6B01C822" w14:textId="77777777" w:rsidTr="00985FB3">
        <w:trPr>
          <w:trHeight w:val="367"/>
        </w:trPr>
        <w:tc>
          <w:tcPr>
            <w:tcW w:w="10206" w:type="dxa"/>
            <w:shd w:val="clear" w:color="auto" w:fill="D9D9D9" w:themeFill="background1" w:themeFillShade="D9"/>
          </w:tcPr>
          <w:p w14:paraId="1FA07DAB" w14:textId="77777777" w:rsidR="00E351B5" w:rsidRPr="00985FB3" w:rsidRDefault="00E351B5" w:rsidP="00697924">
            <w:pPr>
              <w:rPr>
                <w:rFonts w:ascii="Times New Roman" w:hAnsi="Times New Roman" w:cs="Times New Roman"/>
                <w:noProof/>
              </w:rPr>
            </w:pPr>
            <w:r>
              <w:rPr>
                <w:rFonts w:ascii="Times New Roman" w:hAnsi="Times New Roman"/>
                <w:b/>
                <w:noProof/>
              </w:rPr>
              <w:t xml:space="preserve">Hur påverkas företagen, särskilt små och medelstora företag och mikroföretag? </w:t>
            </w:r>
          </w:p>
        </w:tc>
      </w:tr>
      <w:tr w:rsidR="00E351B5" w:rsidRPr="00985FB3" w14:paraId="6290B1D0" w14:textId="77777777" w:rsidTr="00DA28A6">
        <w:trPr>
          <w:trHeight w:val="1321"/>
        </w:trPr>
        <w:tc>
          <w:tcPr>
            <w:tcW w:w="10206" w:type="dxa"/>
          </w:tcPr>
          <w:p w14:paraId="3E67B757" w14:textId="1E9C6832" w:rsidR="004552AF" w:rsidRPr="004552AF" w:rsidRDefault="004552AF" w:rsidP="004552AF">
            <w:pPr>
              <w:jc w:val="both"/>
              <w:rPr>
                <w:rFonts w:ascii="Times New Roman" w:hAnsi="Times New Roman" w:cs="Times New Roman"/>
                <w:noProof/>
              </w:rPr>
            </w:pPr>
            <w:r>
              <w:rPr>
                <w:rFonts w:ascii="Times New Roman" w:hAnsi="Times New Roman"/>
                <w:noProof/>
              </w:rPr>
              <w:t>Företag/arbetsgivare förväntas dra nytta av snabbare och potentiellt bredare tillgång till arbetskraft från tredjeländer. Rationaliseringen av förfarandet skulle också uppmuntra fler arbetsgivare att anställa arbetstagare från tredjeland när lediga platser inte kan tillsättas lokalt.</w:t>
            </w:r>
          </w:p>
          <w:p w14:paraId="2BF1492B" w14:textId="26DBFEE5" w:rsidR="004552AF" w:rsidRPr="00985FB3" w:rsidRDefault="004552AF">
            <w:pPr>
              <w:jc w:val="both"/>
              <w:rPr>
                <w:rFonts w:ascii="Times New Roman" w:hAnsi="Times New Roman" w:cs="Times New Roman"/>
                <w:noProof/>
              </w:rPr>
            </w:pPr>
            <w:r>
              <w:rPr>
                <w:rFonts w:ascii="Times New Roman" w:hAnsi="Times New Roman"/>
                <w:noProof/>
              </w:rPr>
              <w:t>Samtidigt kan företag och arbetsgivare behöva följa nya regler om förebyggande, inspektioner och sanktioner mot arbetskraftsexploatering.</w:t>
            </w:r>
          </w:p>
        </w:tc>
      </w:tr>
      <w:tr w:rsidR="00E351B5" w:rsidRPr="00985FB3" w14:paraId="4AFA2A3E" w14:textId="77777777" w:rsidTr="00985FB3">
        <w:trPr>
          <w:trHeight w:val="47"/>
        </w:trPr>
        <w:tc>
          <w:tcPr>
            <w:tcW w:w="10206" w:type="dxa"/>
            <w:shd w:val="clear" w:color="auto" w:fill="D9D9D9" w:themeFill="background1" w:themeFillShade="D9"/>
          </w:tcPr>
          <w:p w14:paraId="6402656E" w14:textId="77777777" w:rsidR="00E351B5" w:rsidRPr="00985FB3" w:rsidRDefault="00E351B5" w:rsidP="00697924">
            <w:pPr>
              <w:rPr>
                <w:rFonts w:ascii="Times New Roman" w:hAnsi="Times New Roman" w:cs="Times New Roman"/>
                <w:noProof/>
              </w:rPr>
            </w:pPr>
            <w:r>
              <w:rPr>
                <w:rFonts w:ascii="Times New Roman" w:hAnsi="Times New Roman"/>
                <w:b/>
                <w:noProof/>
              </w:rPr>
              <w:t xml:space="preserve">Påverkas medlemsstaternas budgetar och förvaltningar i betydande grad? </w:t>
            </w:r>
          </w:p>
        </w:tc>
      </w:tr>
      <w:tr w:rsidR="00E351B5" w:rsidRPr="00985FB3" w14:paraId="1F35E31E" w14:textId="77777777" w:rsidTr="00DA28A6">
        <w:trPr>
          <w:trHeight w:val="1004"/>
        </w:trPr>
        <w:tc>
          <w:tcPr>
            <w:tcW w:w="10206" w:type="dxa"/>
          </w:tcPr>
          <w:p w14:paraId="7A335AF8" w14:textId="45BCF2D8" w:rsidR="004552AF" w:rsidRPr="00985FB3" w:rsidRDefault="005554DF">
            <w:pPr>
              <w:ind w:left="37"/>
              <w:jc w:val="both"/>
              <w:rPr>
                <w:rFonts w:ascii="Times New Roman" w:hAnsi="Times New Roman" w:cs="Times New Roman"/>
                <w:noProof/>
              </w:rPr>
            </w:pPr>
            <w:r>
              <w:rPr>
                <w:rFonts w:ascii="Times New Roman" w:hAnsi="Times New Roman"/>
                <w:noProof/>
              </w:rPr>
              <w:t xml:space="preserve">De nationella myndigheterna förväntas kunna effektivisera sina ansökningsförfaranden på grund av ytterligare rationalisering av processerna, även om de kan få vissa initiala kostnader när de nya bestämmelserna införs. Effektivare förfaranden, förbättrad likabehandling och förebyggande av exploatering kan gynna medlemsstaterna när det gäller kompetensmatchning och eventuellt avhjälpa bristen på arbetskraft genom migration. </w:t>
            </w:r>
          </w:p>
        </w:tc>
      </w:tr>
      <w:tr w:rsidR="00E351B5" w:rsidRPr="00985FB3" w14:paraId="26840457" w14:textId="77777777" w:rsidTr="006E526C">
        <w:trPr>
          <w:trHeight w:val="321"/>
        </w:trPr>
        <w:tc>
          <w:tcPr>
            <w:tcW w:w="10206" w:type="dxa"/>
            <w:shd w:val="clear" w:color="auto" w:fill="D9D9D9" w:themeFill="background1" w:themeFillShade="D9"/>
          </w:tcPr>
          <w:p w14:paraId="7156B5A9" w14:textId="77777777" w:rsidR="00E351B5" w:rsidRPr="00985FB3" w:rsidRDefault="00E351B5" w:rsidP="00697924">
            <w:pPr>
              <w:rPr>
                <w:rFonts w:ascii="Times New Roman" w:hAnsi="Times New Roman" w:cs="Times New Roman"/>
                <w:noProof/>
              </w:rPr>
            </w:pPr>
            <w:r>
              <w:rPr>
                <w:rFonts w:ascii="Times New Roman" w:hAnsi="Times New Roman"/>
                <w:b/>
                <w:noProof/>
              </w:rPr>
              <w:t xml:space="preserve">Uppstår andra betydande konsekvenser? </w:t>
            </w:r>
          </w:p>
        </w:tc>
      </w:tr>
      <w:tr w:rsidR="00985FB3" w:rsidRPr="00985FB3" w14:paraId="7DD1025E" w14:textId="77777777" w:rsidTr="00DA28A6">
        <w:trPr>
          <w:trHeight w:val="1788"/>
        </w:trPr>
        <w:tc>
          <w:tcPr>
            <w:tcW w:w="10206" w:type="dxa"/>
            <w:shd w:val="clear" w:color="auto" w:fill="auto"/>
          </w:tcPr>
          <w:p w14:paraId="31A73F78" w14:textId="0F455EE0" w:rsidR="00DD3DE1" w:rsidRPr="00CF6742" w:rsidRDefault="00CF6742" w:rsidP="00AB0154">
            <w:pPr>
              <w:jc w:val="both"/>
              <w:rPr>
                <w:rFonts w:ascii="Times New Roman" w:hAnsi="Times New Roman" w:cs="Times New Roman"/>
                <w:noProof/>
              </w:rPr>
            </w:pPr>
            <w:r>
              <w:rPr>
                <w:rFonts w:ascii="Times New Roman" w:hAnsi="Times New Roman"/>
                <w:b/>
                <w:noProof/>
              </w:rPr>
              <w:t>Tredjelandsmedborgare</w:t>
            </w:r>
            <w:r>
              <w:rPr>
                <w:rFonts w:ascii="Times New Roman" w:hAnsi="Times New Roman"/>
                <w:noProof/>
              </w:rPr>
              <w:t xml:space="preserve"> förväntas dra nytta av en rationalisering av förfarandet, som kommer att leda till potentiella kostnadsminskningar för dem. Genom att förtydliga bestämmelserna om likabehandling, ta bort kopplingen till en specifik arbetsgivare och förbättra skyddet mot arbetskraftsexploatering förväntas det rekommenderade alternativet dessutom minska risken för att arbetsgivare utnyttjar sina anställda. </w:t>
            </w:r>
          </w:p>
          <w:p w14:paraId="783AAB78" w14:textId="77777777" w:rsidR="00CF6742" w:rsidRPr="00CF6742" w:rsidRDefault="00CF6742" w:rsidP="00AB0154">
            <w:pPr>
              <w:jc w:val="both"/>
              <w:rPr>
                <w:rFonts w:ascii="Times New Roman" w:hAnsi="Times New Roman" w:cs="Times New Roman"/>
                <w:b/>
                <w:noProof/>
              </w:rPr>
            </w:pPr>
            <w:r>
              <w:rPr>
                <w:rFonts w:ascii="Times New Roman" w:hAnsi="Times New Roman"/>
                <w:noProof/>
              </w:rPr>
              <w:t xml:space="preserve">Alternativet förväntas bidra till att stärka specifika </w:t>
            </w:r>
            <w:r>
              <w:rPr>
                <w:rFonts w:ascii="Times New Roman" w:hAnsi="Times New Roman"/>
                <w:b/>
                <w:noProof/>
              </w:rPr>
              <w:t>grundläggande rättigheter</w:t>
            </w:r>
            <w:r>
              <w:rPr>
                <w:rFonts w:ascii="Times New Roman" w:hAnsi="Times New Roman"/>
                <w:noProof/>
              </w:rPr>
              <w:t>, såsom förbudet mot slaveri och tvångsarbete, rätten till egendom, icke-diskriminering, rättvisa arbetsförhållanden, familjeliv och yrkesliv samt social trygghet och socialt stöd.</w:t>
            </w:r>
          </w:p>
        </w:tc>
      </w:tr>
      <w:tr w:rsidR="00E351B5" w:rsidRPr="00985FB3" w14:paraId="0C573AA3" w14:textId="77777777" w:rsidTr="00985FB3">
        <w:trPr>
          <w:trHeight w:val="363"/>
        </w:trPr>
        <w:tc>
          <w:tcPr>
            <w:tcW w:w="10206" w:type="dxa"/>
            <w:shd w:val="clear" w:color="auto" w:fill="BFBFBF" w:themeFill="background1" w:themeFillShade="BF"/>
          </w:tcPr>
          <w:p w14:paraId="5654C004" w14:textId="77777777" w:rsidR="00E351B5" w:rsidRPr="00985FB3" w:rsidRDefault="00E351B5" w:rsidP="00E351B5">
            <w:pPr>
              <w:jc w:val="center"/>
              <w:rPr>
                <w:rFonts w:ascii="Times New Roman" w:hAnsi="Times New Roman" w:cs="Times New Roman"/>
                <w:noProof/>
              </w:rPr>
            </w:pPr>
            <w:r>
              <w:rPr>
                <w:rFonts w:ascii="Times New Roman" w:hAnsi="Times New Roman"/>
                <w:b/>
                <w:noProof/>
              </w:rPr>
              <w:t>D. Uppföljning</w:t>
            </w:r>
          </w:p>
        </w:tc>
      </w:tr>
      <w:tr w:rsidR="00E351B5" w:rsidRPr="00985FB3" w14:paraId="5A13BB0B" w14:textId="77777777" w:rsidTr="00985FB3">
        <w:trPr>
          <w:trHeight w:val="269"/>
        </w:trPr>
        <w:tc>
          <w:tcPr>
            <w:tcW w:w="10206" w:type="dxa"/>
            <w:shd w:val="clear" w:color="auto" w:fill="D9D9D9" w:themeFill="background1" w:themeFillShade="D9"/>
          </w:tcPr>
          <w:p w14:paraId="0971493F" w14:textId="77777777" w:rsidR="00E351B5" w:rsidRPr="00985FB3" w:rsidRDefault="00E351B5" w:rsidP="00697924">
            <w:pPr>
              <w:rPr>
                <w:rFonts w:ascii="Times New Roman" w:hAnsi="Times New Roman" w:cs="Times New Roman"/>
                <w:noProof/>
              </w:rPr>
            </w:pPr>
            <w:r>
              <w:rPr>
                <w:rFonts w:ascii="Times New Roman" w:hAnsi="Times New Roman"/>
                <w:b/>
                <w:noProof/>
              </w:rPr>
              <w:t xml:space="preserve">När kommer åtgärderna att ses över? </w:t>
            </w:r>
          </w:p>
        </w:tc>
      </w:tr>
      <w:tr w:rsidR="00E351B5" w:rsidRPr="00985FB3" w14:paraId="699ACE16" w14:textId="77777777" w:rsidTr="00DA28A6">
        <w:trPr>
          <w:trHeight w:val="894"/>
        </w:trPr>
        <w:tc>
          <w:tcPr>
            <w:tcW w:w="10206" w:type="dxa"/>
          </w:tcPr>
          <w:p w14:paraId="41FB87F0" w14:textId="21DEB07C" w:rsidR="00E351B5" w:rsidRPr="00985FB3" w:rsidRDefault="00BB7220" w:rsidP="000D5FE7">
            <w:pPr>
              <w:rPr>
                <w:rFonts w:asciiTheme="majorBidi" w:eastAsia="Verdana" w:hAnsiTheme="majorBidi" w:cstheme="majorBidi"/>
                <w:noProof/>
              </w:rPr>
            </w:pPr>
            <w:r>
              <w:rPr>
                <w:rFonts w:asciiTheme="majorBidi" w:hAnsiTheme="majorBidi"/>
                <w:noProof/>
              </w:rPr>
              <w:t>I artikel 15 i direktivet om ett kombinerat tillstånd föreskrivs redan att kommissionen regelbundet ska rapportera om tillämpningen av direktivet i medlemsstaterna och föreslå ändringar som den anser nödvändiga. Denna princip kommer också att gälla för de ändringar som följer av översynen av direktivet.</w:t>
            </w:r>
          </w:p>
        </w:tc>
      </w:tr>
    </w:tbl>
    <w:p w14:paraId="72E12244" w14:textId="77777777" w:rsidR="009E2F67" w:rsidRPr="00985FB3" w:rsidRDefault="009E2F67">
      <w:pPr>
        <w:rPr>
          <w:rFonts w:ascii="Times New Roman" w:hAnsi="Times New Roman" w:cs="Times New Roman"/>
          <w:noProof/>
        </w:rPr>
      </w:pPr>
    </w:p>
    <w:sectPr w:rsidR="009E2F67" w:rsidRPr="00985FB3" w:rsidSect="004F0BF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9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02286" w14:textId="77777777" w:rsidR="001B0D8D" w:rsidRDefault="001B0D8D" w:rsidP="00C0365F">
      <w:pPr>
        <w:spacing w:after="0" w:line="240" w:lineRule="auto"/>
      </w:pPr>
      <w:r>
        <w:separator/>
      </w:r>
    </w:p>
  </w:endnote>
  <w:endnote w:type="continuationSeparator" w:id="0">
    <w:p w14:paraId="7B464F9D" w14:textId="77777777" w:rsidR="001B0D8D" w:rsidRDefault="001B0D8D" w:rsidP="00C0365F">
      <w:pPr>
        <w:spacing w:after="0" w:line="240" w:lineRule="auto"/>
      </w:pPr>
      <w:r>
        <w:continuationSeparator/>
      </w:r>
    </w:p>
  </w:endnote>
  <w:endnote w:type="continuationNotice" w:id="1">
    <w:p w14:paraId="08CC1263" w14:textId="77777777" w:rsidR="001B0D8D" w:rsidRDefault="001B0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F886" w14:textId="77777777" w:rsidR="00095E56" w:rsidRPr="00095E56" w:rsidRDefault="00095E56" w:rsidP="0009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D20A" w14:textId="3B72A871" w:rsidR="00D96734" w:rsidRPr="00095E56" w:rsidRDefault="00095E56" w:rsidP="00095E56">
    <w:pPr>
      <w:pStyle w:val="FooterCoverPage"/>
      <w:rPr>
        <w:rFonts w:ascii="Arial" w:hAnsi="Arial" w:cs="Arial"/>
        <w:b/>
        <w:sz w:val="48"/>
      </w:rPr>
    </w:pPr>
    <w:r w:rsidRPr="00095E56">
      <w:rPr>
        <w:rFonts w:ascii="Arial" w:hAnsi="Arial" w:cs="Arial"/>
        <w:b/>
        <w:sz w:val="48"/>
      </w:rPr>
      <w:t>SV</w:t>
    </w:r>
    <w:r w:rsidRPr="00095E56">
      <w:rPr>
        <w:rFonts w:ascii="Arial" w:hAnsi="Arial" w:cs="Arial"/>
        <w:b/>
        <w:sz w:val="48"/>
      </w:rPr>
      <w:tab/>
    </w:r>
    <w:r w:rsidRPr="00095E56">
      <w:rPr>
        <w:rFonts w:ascii="Arial" w:hAnsi="Arial" w:cs="Arial"/>
        <w:b/>
        <w:sz w:val="48"/>
      </w:rPr>
      <w:tab/>
    </w:r>
    <w:r w:rsidRPr="00095E56">
      <w:tab/>
    </w:r>
    <w:r w:rsidRPr="00095E56">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7E85" w14:textId="77777777" w:rsidR="00095E56" w:rsidRPr="00095E56" w:rsidRDefault="00095E56" w:rsidP="00095E5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EAAF" w14:textId="77777777" w:rsidR="004F0BF4" w:rsidRDefault="004F0B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818952"/>
      <w:docPartObj>
        <w:docPartGallery w:val="Page Numbers (Bottom of Page)"/>
        <w:docPartUnique/>
      </w:docPartObj>
    </w:sdtPr>
    <w:sdtEndPr>
      <w:rPr>
        <w:noProof/>
      </w:rPr>
    </w:sdtEndPr>
    <w:sdtContent>
      <w:p w14:paraId="4CB3DAAB" w14:textId="5464B316" w:rsidR="00D67F80" w:rsidRDefault="00D67F80">
        <w:pPr>
          <w:pStyle w:val="Footer"/>
          <w:jc w:val="center"/>
        </w:pPr>
        <w:r>
          <w:fldChar w:fldCharType="begin"/>
        </w:r>
        <w:r>
          <w:instrText xml:space="preserve"> PAGE   \* MERGEFORMAT </w:instrText>
        </w:r>
        <w:r>
          <w:fldChar w:fldCharType="separate"/>
        </w:r>
        <w:r w:rsidR="00095E56">
          <w:rPr>
            <w:noProof/>
          </w:rPr>
          <w:t>1</w:t>
        </w:r>
        <w:r>
          <w:fldChar w:fldCharType="end"/>
        </w:r>
      </w:p>
    </w:sdtContent>
  </w:sdt>
  <w:p w14:paraId="474F1519" w14:textId="77777777" w:rsidR="004F0BF4" w:rsidRDefault="004F0B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114C" w14:textId="77777777" w:rsidR="004F0BF4" w:rsidRDefault="004F0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63A27" w14:textId="77777777" w:rsidR="001B0D8D" w:rsidRDefault="001B0D8D" w:rsidP="00C0365F">
      <w:pPr>
        <w:spacing w:after="0" w:line="240" w:lineRule="auto"/>
      </w:pPr>
      <w:r>
        <w:separator/>
      </w:r>
    </w:p>
  </w:footnote>
  <w:footnote w:type="continuationSeparator" w:id="0">
    <w:p w14:paraId="1583FE7C" w14:textId="77777777" w:rsidR="001B0D8D" w:rsidRDefault="001B0D8D" w:rsidP="00C0365F">
      <w:pPr>
        <w:spacing w:after="0" w:line="240" w:lineRule="auto"/>
      </w:pPr>
      <w:r>
        <w:continuationSeparator/>
      </w:r>
    </w:p>
  </w:footnote>
  <w:footnote w:type="continuationNotice" w:id="1">
    <w:p w14:paraId="75E5DEDD" w14:textId="77777777" w:rsidR="001B0D8D" w:rsidRDefault="001B0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9BCAC" w14:textId="77777777" w:rsidR="00095E56" w:rsidRPr="00095E56" w:rsidRDefault="00095E56" w:rsidP="0009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9792B" w14:textId="77777777" w:rsidR="00095E56" w:rsidRPr="00095E56" w:rsidRDefault="00095E56" w:rsidP="00095E5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1A79" w14:textId="77777777" w:rsidR="00095E56" w:rsidRPr="00095E56" w:rsidRDefault="00095E56" w:rsidP="00095E5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D2B9" w14:textId="77777777" w:rsidR="004F0BF4" w:rsidRDefault="004F0B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FACF" w14:textId="77777777" w:rsidR="004F0BF4" w:rsidRDefault="004F0B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AC10" w14:textId="77777777" w:rsidR="004F0BF4" w:rsidRDefault="004F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B8"/>
    <w:multiLevelType w:val="hybridMultilevel"/>
    <w:tmpl w:val="3904D9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E6290F"/>
    <w:multiLevelType w:val="hybridMultilevel"/>
    <w:tmpl w:val="87847B50"/>
    <w:lvl w:ilvl="0" w:tplc="FA2C12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BE72BD"/>
    <w:multiLevelType w:val="hybridMultilevel"/>
    <w:tmpl w:val="1728D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652DE"/>
    <w:multiLevelType w:val="hybridMultilevel"/>
    <w:tmpl w:val="BB6247FE"/>
    <w:lvl w:ilvl="0" w:tplc="5BF2ADE6">
      <w:numFmt w:val="bullet"/>
      <w:lvlText w:val="•"/>
      <w:lvlJc w:val="left"/>
      <w:pPr>
        <w:ind w:left="1080" w:hanging="720"/>
      </w:pPr>
      <w:rPr>
        <w:rFonts w:ascii="Times New Roman" w:eastAsia="Verdan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0317A0"/>
    <w:multiLevelType w:val="hybridMultilevel"/>
    <w:tmpl w:val="FD8EE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45334"/>
    <w:multiLevelType w:val="hybridMultilevel"/>
    <w:tmpl w:val="7B40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275A8"/>
    <w:multiLevelType w:val="hybridMultilevel"/>
    <w:tmpl w:val="F3024A8A"/>
    <w:lvl w:ilvl="0" w:tplc="0BAAEA92">
      <w:start w:val="1"/>
      <w:numFmt w:val="decimal"/>
      <w:lvlText w:val="%1."/>
      <w:lvlJc w:val="left"/>
      <w:pPr>
        <w:ind w:left="720" w:hanging="360"/>
      </w:pPr>
    </w:lvl>
    <w:lvl w:ilvl="1" w:tplc="80A4A028">
      <w:start w:val="1"/>
      <w:numFmt w:val="lowerLetter"/>
      <w:lvlText w:val="%2."/>
      <w:lvlJc w:val="left"/>
      <w:pPr>
        <w:ind w:left="1440" w:hanging="360"/>
      </w:pPr>
    </w:lvl>
    <w:lvl w:ilvl="2" w:tplc="C2781340">
      <w:start w:val="1"/>
      <w:numFmt w:val="lowerRoman"/>
      <w:lvlText w:val="%3."/>
      <w:lvlJc w:val="right"/>
      <w:pPr>
        <w:ind w:left="2160" w:hanging="180"/>
      </w:pPr>
    </w:lvl>
    <w:lvl w:ilvl="3" w:tplc="D2488D1E">
      <w:start w:val="1"/>
      <w:numFmt w:val="decimal"/>
      <w:lvlText w:val="%4."/>
      <w:lvlJc w:val="left"/>
      <w:pPr>
        <w:ind w:left="2880" w:hanging="360"/>
      </w:pPr>
    </w:lvl>
    <w:lvl w:ilvl="4" w:tplc="5CE8A3C0">
      <w:start w:val="1"/>
      <w:numFmt w:val="lowerLetter"/>
      <w:lvlText w:val="%5."/>
      <w:lvlJc w:val="left"/>
      <w:pPr>
        <w:ind w:left="3600" w:hanging="360"/>
      </w:pPr>
    </w:lvl>
    <w:lvl w:ilvl="5" w:tplc="9C8C2CE4">
      <w:start w:val="1"/>
      <w:numFmt w:val="lowerRoman"/>
      <w:lvlText w:val="%6."/>
      <w:lvlJc w:val="right"/>
      <w:pPr>
        <w:ind w:left="4320" w:hanging="180"/>
      </w:pPr>
    </w:lvl>
    <w:lvl w:ilvl="6" w:tplc="A5BCCB9A">
      <w:start w:val="1"/>
      <w:numFmt w:val="decimal"/>
      <w:lvlText w:val="%7."/>
      <w:lvlJc w:val="left"/>
      <w:pPr>
        <w:ind w:left="5040" w:hanging="360"/>
      </w:pPr>
    </w:lvl>
    <w:lvl w:ilvl="7" w:tplc="67AA8026">
      <w:start w:val="1"/>
      <w:numFmt w:val="lowerLetter"/>
      <w:lvlText w:val="%8."/>
      <w:lvlJc w:val="left"/>
      <w:pPr>
        <w:ind w:left="5760" w:hanging="360"/>
      </w:pPr>
    </w:lvl>
    <w:lvl w:ilvl="8" w:tplc="D59A13D4">
      <w:start w:val="1"/>
      <w:numFmt w:val="lowerRoman"/>
      <w:lvlText w:val="%9."/>
      <w:lvlJc w:val="right"/>
      <w:pPr>
        <w:ind w:left="6480" w:hanging="180"/>
      </w:pPr>
    </w:lvl>
  </w:abstractNum>
  <w:abstractNum w:abstractNumId="7" w15:restartNumberingAfterBreak="0">
    <w:nsid w:val="37F203A6"/>
    <w:multiLevelType w:val="hybridMultilevel"/>
    <w:tmpl w:val="6BE00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AC02BA"/>
    <w:multiLevelType w:val="hybridMultilevel"/>
    <w:tmpl w:val="97B2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E7B51"/>
    <w:multiLevelType w:val="hybridMultilevel"/>
    <w:tmpl w:val="67524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9"/>
  </w:num>
  <w:num w:numId="6">
    <w:abstractNumId w:val="0"/>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ocStatus" w:val="Green"/>
    <w:docVar w:name="LW_ACCOMPAGNANT.CP" w:val="Följedokument till"/>
    <w:docVar w:name="LW_CORRIGENDUM" w:val="&lt;UNUSED&gt;"/>
    <w:docVar w:name="LW_COVERPAGE_EXISTS" w:val="True"/>
    <w:docVar w:name="LW_COVERPAGE_GUID" w:val="E5259D72-99DC-4C55-BB23-13C4615A9D83"/>
    <w:docVar w:name="LW_COVERPAGE_TYPE" w:val="1"/>
    <w:docVar w:name="LW_CROSSREFERENCE" w:val="{COM(2022) 655 final} - {SEC(2022) 201 final} - {SWD(2022) 656 final}"/>
    <w:docVar w:name="LW_DocType" w:val="NORMAL"/>
    <w:docVar w:name="LW_EMISSION" w:val="27.4.2022"/>
    <w:docVar w:name="LW_EMISSION_ISODATE" w:val="2022-04-27"/>
    <w:docVar w:name="LW_EMISSION_LOCATION" w:val="BRX"/>
    <w:docVar w:name="LW_EMISSION_PREFIX" w:val="Bryssel den "/>
    <w:docVar w:name="LW_EMISSION_SUFFIX" w:val=" "/>
    <w:docVar w:name="LW_ID_DOCTYPE_NONLW" w:val="CP-027"/>
    <w:docVar w:name="LW_LANGUE" w:val="SV"/>
    <w:docVar w:name="LW_LEVEL_OF_SENSITIVITY" w:val="Standard treatment"/>
    <w:docVar w:name="LW_NOM.INST" w:val="EUROPEISKA KOMMISSIONEN"/>
    <w:docVar w:name="LW_NOM.INST_JOINTDOC" w:val="&lt;EMPTY&gt;"/>
    <w:docVar w:name="LW_OBJETACTEPRINCIPAL.CP" w:val="&lt;FMT:Bold&gt;om ett enda ansökningsförfarande för ett kombinerat tillstånd för tredjelandsmedborgare att vistas och arbeta på en medlemsstats territorium och om en gemensam uppsättning rättigheter för arbetstagare från tredjeland som vistas lagligen i en medlemsstat (omarbetning)&lt;/FMT&gt;_x000d__x000b_"/>
    <w:docVar w:name="LW_PART_NBR" w:val="1"/>
    <w:docVar w:name="LW_PART_NBR_TOTAL" w:val="1"/>
    <w:docVar w:name="LW_REF.INST.NEW" w:val="SWD"/>
    <w:docVar w:name="LW_REF.INST.NEW_ADOPTED" w:val="final"/>
    <w:docVar w:name="LW_REF.INST.NEW_TEXT" w:val="(2022) 6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TSDOKUMENT FRÅN KOMMISSIONENS AVDELNINGAR_x000b__x000b_SAMMANFATTNING AV KONSEKVENSBEDÖMNINGSRAPPORTEN_x000b_"/>
    <w:docVar w:name="LW_TYPEACTEPRINCIPAL.CP" w:val="Förslag till Europaparlamentets och rådets direktiv"/>
    <w:docVar w:name="LwApiVersions" w:val="LW4CoDe 1.23.2.0; LW 8.0, Build 20211117"/>
  </w:docVars>
  <w:rsids>
    <w:rsidRoot w:val="00E351B5"/>
    <w:rsid w:val="00020203"/>
    <w:rsid w:val="00022E80"/>
    <w:rsid w:val="00047B43"/>
    <w:rsid w:val="00085B10"/>
    <w:rsid w:val="00090F56"/>
    <w:rsid w:val="00095E56"/>
    <w:rsid w:val="000A25B9"/>
    <w:rsid w:val="000B4D50"/>
    <w:rsid w:val="000B6E30"/>
    <w:rsid w:val="000D5FE7"/>
    <w:rsid w:val="000F1D8A"/>
    <w:rsid w:val="000F3436"/>
    <w:rsid w:val="0010034B"/>
    <w:rsid w:val="0012390B"/>
    <w:rsid w:val="00133716"/>
    <w:rsid w:val="001501A5"/>
    <w:rsid w:val="00180CB8"/>
    <w:rsid w:val="001B0D8D"/>
    <w:rsid w:val="001C61B4"/>
    <w:rsid w:val="001D6311"/>
    <w:rsid w:val="00205503"/>
    <w:rsid w:val="002378C6"/>
    <w:rsid w:val="00247947"/>
    <w:rsid w:val="00252059"/>
    <w:rsid w:val="002943AE"/>
    <w:rsid w:val="00296E2C"/>
    <w:rsid w:val="002B48DB"/>
    <w:rsid w:val="002B7970"/>
    <w:rsid w:val="002C2652"/>
    <w:rsid w:val="002C37F8"/>
    <w:rsid w:val="002D1FB5"/>
    <w:rsid w:val="002D4937"/>
    <w:rsid w:val="00344E75"/>
    <w:rsid w:val="00345CA9"/>
    <w:rsid w:val="0035059F"/>
    <w:rsid w:val="003512FE"/>
    <w:rsid w:val="0036568D"/>
    <w:rsid w:val="00380D71"/>
    <w:rsid w:val="003A088C"/>
    <w:rsid w:val="003A2295"/>
    <w:rsid w:val="003A33D9"/>
    <w:rsid w:val="003A4885"/>
    <w:rsid w:val="003A57FC"/>
    <w:rsid w:val="003F1B25"/>
    <w:rsid w:val="003F54B3"/>
    <w:rsid w:val="0041118F"/>
    <w:rsid w:val="00411D81"/>
    <w:rsid w:val="00416841"/>
    <w:rsid w:val="004247CF"/>
    <w:rsid w:val="00442FBF"/>
    <w:rsid w:val="004552AF"/>
    <w:rsid w:val="00474585"/>
    <w:rsid w:val="0048144C"/>
    <w:rsid w:val="004848D0"/>
    <w:rsid w:val="0049764E"/>
    <w:rsid w:val="004B0635"/>
    <w:rsid w:val="004C44DC"/>
    <w:rsid w:val="004E4132"/>
    <w:rsid w:val="004E5459"/>
    <w:rsid w:val="004F0BF4"/>
    <w:rsid w:val="00540FF4"/>
    <w:rsid w:val="00553299"/>
    <w:rsid w:val="0055375D"/>
    <w:rsid w:val="005554DF"/>
    <w:rsid w:val="00575702"/>
    <w:rsid w:val="005B55FF"/>
    <w:rsid w:val="005C3893"/>
    <w:rsid w:val="005C538C"/>
    <w:rsid w:val="00600EDF"/>
    <w:rsid w:val="00611D73"/>
    <w:rsid w:val="006258B3"/>
    <w:rsid w:val="0066648B"/>
    <w:rsid w:val="00676D0C"/>
    <w:rsid w:val="006832E0"/>
    <w:rsid w:val="00697924"/>
    <w:rsid w:val="006A0F75"/>
    <w:rsid w:val="006B485E"/>
    <w:rsid w:val="006B7550"/>
    <w:rsid w:val="006C4437"/>
    <w:rsid w:val="006D25D1"/>
    <w:rsid w:val="006E3B07"/>
    <w:rsid w:val="006E526C"/>
    <w:rsid w:val="006F42CB"/>
    <w:rsid w:val="00700005"/>
    <w:rsid w:val="00710A38"/>
    <w:rsid w:val="00724795"/>
    <w:rsid w:val="00724B81"/>
    <w:rsid w:val="00743C65"/>
    <w:rsid w:val="00750412"/>
    <w:rsid w:val="00753419"/>
    <w:rsid w:val="00771C87"/>
    <w:rsid w:val="0077407D"/>
    <w:rsid w:val="00782C32"/>
    <w:rsid w:val="007A037B"/>
    <w:rsid w:val="007C2713"/>
    <w:rsid w:val="007E0BB8"/>
    <w:rsid w:val="007E2353"/>
    <w:rsid w:val="00834A92"/>
    <w:rsid w:val="008703A9"/>
    <w:rsid w:val="008747C1"/>
    <w:rsid w:val="008A06E2"/>
    <w:rsid w:val="008A2BC6"/>
    <w:rsid w:val="008B36CA"/>
    <w:rsid w:val="008C6C26"/>
    <w:rsid w:val="008F13D0"/>
    <w:rsid w:val="00915C15"/>
    <w:rsid w:val="00931F77"/>
    <w:rsid w:val="00931FC0"/>
    <w:rsid w:val="0095285F"/>
    <w:rsid w:val="00966D53"/>
    <w:rsid w:val="0097138B"/>
    <w:rsid w:val="00971AB5"/>
    <w:rsid w:val="009720D5"/>
    <w:rsid w:val="00985FB3"/>
    <w:rsid w:val="009B5441"/>
    <w:rsid w:val="009C2F7B"/>
    <w:rsid w:val="009D4F81"/>
    <w:rsid w:val="009E2F67"/>
    <w:rsid w:val="009F5A21"/>
    <w:rsid w:val="00A34D89"/>
    <w:rsid w:val="00A41D01"/>
    <w:rsid w:val="00A42BFD"/>
    <w:rsid w:val="00A53501"/>
    <w:rsid w:val="00A55056"/>
    <w:rsid w:val="00A56EEB"/>
    <w:rsid w:val="00A65B21"/>
    <w:rsid w:val="00A708A3"/>
    <w:rsid w:val="00A85164"/>
    <w:rsid w:val="00AB0154"/>
    <w:rsid w:val="00AC45A5"/>
    <w:rsid w:val="00AD1275"/>
    <w:rsid w:val="00AE129F"/>
    <w:rsid w:val="00AF76F5"/>
    <w:rsid w:val="00B1278B"/>
    <w:rsid w:val="00B160B8"/>
    <w:rsid w:val="00B24DCB"/>
    <w:rsid w:val="00B302D5"/>
    <w:rsid w:val="00B35D88"/>
    <w:rsid w:val="00B44D20"/>
    <w:rsid w:val="00B509B0"/>
    <w:rsid w:val="00BB7220"/>
    <w:rsid w:val="00BC1118"/>
    <w:rsid w:val="00BC13EE"/>
    <w:rsid w:val="00BD4239"/>
    <w:rsid w:val="00C0365F"/>
    <w:rsid w:val="00C03B35"/>
    <w:rsid w:val="00C10FB5"/>
    <w:rsid w:val="00C51A52"/>
    <w:rsid w:val="00C65E16"/>
    <w:rsid w:val="00C741E1"/>
    <w:rsid w:val="00C80BC1"/>
    <w:rsid w:val="00CB6479"/>
    <w:rsid w:val="00CD0F3F"/>
    <w:rsid w:val="00CF6742"/>
    <w:rsid w:val="00D14F17"/>
    <w:rsid w:val="00D3268D"/>
    <w:rsid w:val="00D3382C"/>
    <w:rsid w:val="00D417E3"/>
    <w:rsid w:val="00D55BEB"/>
    <w:rsid w:val="00D67F80"/>
    <w:rsid w:val="00D96734"/>
    <w:rsid w:val="00DA28A6"/>
    <w:rsid w:val="00DB2FAD"/>
    <w:rsid w:val="00DB3D9A"/>
    <w:rsid w:val="00DC1BF8"/>
    <w:rsid w:val="00DC33B2"/>
    <w:rsid w:val="00DD3A7D"/>
    <w:rsid w:val="00DD3DE1"/>
    <w:rsid w:val="00E04834"/>
    <w:rsid w:val="00E06505"/>
    <w:rsid w:val="00E11D06"/>
    <w:rsid w:val="00E167AD"/>
    <w:rsid w:val="00E351B5"/>
    <w:rsid w:val="00E448C7"/>
    <w:rsid w:val="00E5347A"/>
    <w:rsid w:val="00E55C4F"/>
    <w:rsid w:val="00EA22F5"/>
    <w:rsid w:val="00EB52E2"/>
    <w:rsid w:val="00EC0032"/>
    <w:rsid w:val="00ED5987"/>
    <w:rsid w:val="00EE3524"/>
    <w:rsid w:val="00EE4AFE"/>
    <w:rsid w:val="00F3441C"/>
    <w:rsid w:val="00F4215C"/>
    <w:rsid w:val="00F42500"/>
    <w:rsid w:val="00F42AAA"/>
    <w:rsid w:val="00F53A27"/>
    <w:rsid w:val="00F543F1"/>
    <w:rsid w:val="00F57497"/>
    <w:rsid w:val="00F61802"/>
    <w:rsid w:val="00F752A4"/>
    <w:rsid w:val="00F8052E"/>
    <w:rsid w:val="00FB32B7"/>
    <w:rsid w:val="00FC2FDF"/>
    <w:rsid w:val="00FC5189"/>
    <w:rsid w:val="00FC5E6D"/>
    <w:rsid w:val="7E3B8C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F8FF97"/>
  <w15:chartTrackingRefBased/>
  <w15:docId w15:val="{1B6D47FD-3998-49C1-B376-6B076C87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51B5"/>
    <w:pPr>
      <w:widowControl w:val="0"/>
      <w:autoSpaceDE w:val="0"/>
      <w:autoSpaceDN w:val="0"/>
      <w:spacing w:after="0" w:line="240" w:lineRule="auto"/>
      <w:ind w:left="107"/>
    </w:pPr>
    <w:rPr>
      <w:rFonts w:ascii="Arial MT" w:eastAsia="Arial MT" w:hAnsi="Arial MT" w:cs="Arial MT"/>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No, Exposant 3 Point"/>
    <w:basedOn w:val="DefaultParagraphFont"/>
    <w:link w:val="FootnotesymbolCharCharCharChar"/>
    <w:uiPriority w:val="99"/>
    <w:unhideWhenUsed/>
    <w:qFormat/>
    <w:rsid w:val="005B55FF"/>
    <w:rPr>
      <w:vertAlign w:val="superscript"/>
    </w:rPr>
  </w:style>
  <w:style w:type="character" w:customStyle="1" w:styleId="FootnoteTextChar">
    <w:name w:val="Footnote Text Char"/>
    <w:aliases w:val="Schriftart: 9 pt Char,Schriftart: 10 pt Char,Schriftart: 8 pt Char,WB-Fußnotentext Char,Reference Char,Fußnote Char,fn Char,Footnote Text Char2 Char,Footnote Text Char Char1 Char,Footnote Text Char1 Char Char Char,Ch Char,stile 1 Char"/>
    <w:basedOn w:val="DefaultParagraphFont"/>
    <w:link w:val="FootnoteText"/>
    <w:qFormat/>
    <w:rsid w:val="005B55FF"/>
    <w:rPr>
      <w:sz w:val="20"/>
      <w:szCs w:val="20"/>
    </w:rPr>
  </w:style>
  <w:style w:type="paragraph" w:styleId="FootnoteText">
    <w:name w:val="footnote text"/>
    <w:aliases w:val="Schriftart: 9 pt,Schriftart: 10 pt,Schriftart: 8 pt,WB-Fußnotentext,Reference,Fußnote,fn,Footnote Text Char2,Footnote Text Char Char1,Footnote Text Char1 Char Char,Footnote Text Char Char Char Char,Ch,stile 1,o,footnote"/>
    <w:basedOn w:val="Normal"/>
    <w:link w:val="FootnoteTextChar"/>
    <w:unhideWhenUsed/>
    <w:qFormat/>
    <w:rsid w:val="005B55FF"/>
    <w:pPr>
      <w:spacing w:after="0" w:line="240" w:lineRule="auto"/>
    </w:pPr>
    <w:rPr>
      <w:sz w:val="20"/>
      <w:szCs w:val="20"/>
    </w:rPr>
  </w:style>
  <w:style w:type="character" w:customStyle="1" w:styleId="FootnoteTextChar1">
    <w:name w:val="Footnote Text Char1"/>
    <w:basedOn w:val="DefaultParagraphFont"/>
    <w:uiPriority w:val="99"/>
    <w:semiHidden/>
    <w:rsid w:val="005B55FF"/>
    <w:rPr>
      <w:sz w:val="20"/>
      <w:szCs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qFormat/>
    <w:rsid w:val="005B55FF"/>
    <w:pPr>
      <w:spacing w:line="240" w:lineRule="exact"/>
    </w:pPr>
    <w:rPr>
      <w:vertAlign w:val="superscript"/>
    </w:rPr>
  </w:style>
  <w:style w:type="character" w:styleId="Hyperlink">
    <w:name w:val="Hyperlink"/>
    <w:basedOn w:val="DefaultParagraphFont"/>
    <w:uiPriority w:val="99"/>
    <w:unhideWhenUsed/>
    <w:rsid w:val="00AD1275"/>
    <w:rPr>
      <w:color w:val="0563C1" w:themeColor="hyperlink"/>
      <w:u w:val="single"/>
    </w:rPr>
  </w:style>
  <w:style w:type="paragraph" w:styleId="ListParagraph">
    <w:name w:val="List Paragraph"/>
    <w:aliases w:val="List,List1,List11,List111,1st level - Bullet List Paragraph,List Paragraph1,Lettre d'introduction,Paragrafo elenco,Normal bullet 2,Medium Grid 1 - Accent 21,List Paragraph11,FooterText,Paragraphe de liste1,Bullet list,List1111"/>
    <w:basedOn w:val="Normal"/>
    <w:link w:val="ListParagraphChar"/>
    <w:uiPriority w:val="34"/>
    <w:qFormat/>
    <w:rsid w:val="00AD1275"/>
    <w:pPr>
      <w:spacing w:after="200" w:line="276" w:lineRule="auto"/>
      <w:ind w:left="720"/>
      <w:contextualSpacing/>
    </w:pPr>
  </w:style>
  <w:style w:type="character" w:customStyle="1" w:styleId="ListParagraphChar">
    <w:name w:val="List Paragraph Char"/>
    <w:aliases w:val="List Char,List1 Char,List11 Char,List111 Char,1st level - Bullet List Paragraph Char,List Paragraph1 Char,Lettre d'introduction Char,Paragrafo elenco Char,Normal bullet 2 Char,Medium Grid 1 - Accent 21 Char,List Paragraph11 Char"/>
    <w:basedOn w:val="DefaultParagraphFont"/>
    <w:link w:val="ListParagraph"/>
    <w:uiPriority w:val="34"/>
    <w:qFormat/>
    <w:rsid w:val="00AD1275"/>
  </w:style>
  <w:style w:type="paragraph" w:styleId="Header">
    <w:name w:val="header"/>
    <w:basedOn w:val="Normal"/>
    <w:link w:val="HeaderChar"/>
    <w:uiPriority w:val="99"/>
    <w:unhideWhenUsed/>
    <w:rsid w:val="00985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FB3"/>
  </w:style>
  <w:style w:type="paragraph" w:styleId="Footer">
    <w:name w:val="footer"/>
    <w:basedOn w:val="Normal"/>
    <w:link w:val="FooterChar"/>
    <w:uiPriority w:val="99"/>
    <w:unhideWhenUsed/>
    <w:rsid w:val="00985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FB3"/>
  </w:style>
  <w:style w:type="paragraph" w:styleId="BalloonText">
    <w:name w:val="Balloon Text"/>
    <w:basedOn w:val="Normal"/>
    <w:link w:val="BalloonTextChar"/>
    <w:uiPriority w:val="99"/>
    <w:semiHidden/>
    <w:unhideWhenUsed/>
    <w:rsid w:val="00BC1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118"/>
    <w:rPr>
      <w:rFonts w:ascii="Segoe UI" w:hAnsi="Segoe UI" w:cs="Segoe UI"/>
      <w:sz w:val="18"/>
      <w:szCs w:val="18"/>
    </w:rPr>
  </w:style>
  <w:style w:type="character" w:styleId="FollowedHyperlink">
    <w:name w:val="FollowedHyperlink"/>
    <w:basedOn w:val="DefaultParagraphFont"/>
    <w:uiPriority w:val="99"/>
    <w:semiHidden/>
    <w:unhideWhenUsed/>
    <w:rsid w:val="00A85164"/>
    <w:rPr>
      <w:color w:val="954F72" w:themeColor="followedHyperlink"/>
      <w:u w:val="single"/>
    </w:rPr>
  </w:style>
  <w:style w:type="paragraph" w:customStyle="1" w:styleId="Text2">
    <w:name w:val="Text 2"/>
    <w:basedOn w:val="Normal"/>
    <w:uiPriority w:val="99"/>
    <w:rsid w:val="00CD0F3F"/>
    <w:pPr>
      <w:tabs>
        <w:tab w:val="left" w:pos="2302"/>
      </w:tabs>
      <w:spacing w:after="240" w:line="240" w:lineRule="auto"/>
      <w:ind w:left="120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24B81"/>
    <w:rPr>
      <w:sz w:val="16"/>
      <w:szCs w:val="16"/>
    </w:rPr>
  </w:style>
  <w:style w:type="paragraph" w:styleId="CommentText">
    <w:name w:val="annotation text"/>
    <w:basedOn w:val="Normal"/>
    <w:link w:val="CommentTextChar"/>
    <w:uiPriority w:val="99"/>
    <w:semiHidden/>
    <w:unhideWhenUsed/>
    <w:rsid w:val="00724B81"/>
    <w:pPr>
      <w:spacing w:line="240" w:lineRule="auto"/>
    </w:pPr>
    <w:rPr>
      <w:sz w:val="20"/>
      <w:szCs w:val="20"/>
    </w:rPr>
  </w:style>
  <w:style w:type="character" w:customStyle="1" w:styleId="CommentTextChar">
    <w:name w:val="Comment Text Char"/>
    <w:basedOn w:val="DefaultParagraphFont"/>
    <w:link w:val="CommentText"/>
    <w:uiPriority w:val="99"/>
    <w:semiHidden/>
    <w:rsid w:val="00724B81"/>
    <w:rPr>
      <w:sz w:val="20"/>
      <w:szCs w:val="20"/>
    </w:rPr>
  </w:style>
  <w:style w:type="paragraph" w:styleId="CommentSubject">
    <w:name w:val="annotation subject"/>
    <w:basedOn w:val="CommentText"/>
    <w:next w:val="CommentText"/>
    <w:link w:val="CommentSubjectChar"/>
    <w:uiPriority w:val="99"/>
    <w:semiHidden/>
    <w:unhideWhenUsed/>
    <w:rsid w:val="00724B81"/>
    <w:rPr>
      <w:b/>
      <w:bCs/>
    </w:rPr>
  </w:style>
  <w:style w:type="character" w:customStyle="1" w:styleId="CommentSubjectChar">
    <w:name w:val="Comment Subject Char"/>
    <w:basedOn w:val="CommentTextChar"/>
    <w:link w:val="CommentSubject"/>
    <w:uiPriority w:val="99"/>
    <w:semiHidden/>
    <w:rsid w:val="00724B81"/>
    <w:rPr>
      <w:b/>
      <w:bCs/>
      <w:sz w:val="20"/>
      <w:szCs w:val="20"/>
    </w:rPr>
  </w:style>
  <w:style w:type="character" w:customStyle="1" w:styleId="Marker">
    <w:name w:val="Marker"/>
    <w:basedOn w:val="DefaultParagraphFont"/>
    <w:rsid w:val="004F0BF4"/>
    <w:rPr>
      <w:color w:val="0000FF"/>
      <w:shd w:val="clear" w:color="auto" w:fill="auto"/>
    </w:rPr>
  </w:style>
  <w:style w:type="paragraph" w:customStyle="1" w:styleId="Pagedecouverture">
    <w:name w:val="Page de couverture"/>
    <w:basedOn w:val="Normal"/>
    <w:next w:val="Normal"/>
    <w:rsid w:val="004F0BF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F0BF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F0BF4"/>
    <w:rPr>
      <w:rFonts w:ascii="Times New Roman" w:hAnsi="Times New Roman" w:cs="Times New Roman"/>
      <w:sz w:val="24"/>
    </w:rPr>
  </w:style>
  <w:style w:type="paragraph" w:customStyle="1" w:styleId="FooterSensitivity">
    <w:name w:val="Footer Sensitivity"/>
    <w:basedOn w:val="Normal"/>
    <w:link w:val="FooterSensitivityChar"/>
    <w:rsid w:val="004F0BF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F0BF4"/>
    <w:rPr>
      <w:rFonts w:ascii="Times New Roman" w:hAnsi="Times New Roman" w:cs="Times New Roman"/>
      <w:b/>
      <w:sz w:val="32"/>
    </w:rPr>
  </w:style>
  <w:style w:type="paragraph" w:customStyle="1" w:styleId="HeaderCoverPage">
    <w:name w:val="Header Cover Page"/>
    <w:basedOn w:val="Normal"/>
    <w:link w:val="HeaderCoverPageChar"/>
    <w:rsid w:val="004F0BF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F0BF4"/>
    <w:rPr>
      <w:rFonts w:ascii="Times New Roman" w:hAnsi="Times New Roman" w:cs="Times New Roman"/>
      <w:sz w:val="24"/>
    </w:rPr>
  </w:style>
  <w:style w:type="paragraph" w:customStyle="1" w:styleId="HeaderSensitivity">
    <w:name w:val="Header Sensitivity"/>
    <w:basedOn w:val="Normal"/>
    <w:link w:val="HeaderSensitivityChar"/>
    <w:rsid w:val="004F0BF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F0BF4"/>
    <w:rPr>
      <w:rFonts w:ascii="Times New Roman" w:hAnsi="Times New Roman" w:cs="Times New Roman"/>
      <w:b/>
      <w:sz w:val="32"/>
    </w:rPr>
  </w:style>
  <w:style w:type="paragraph" w:customStyle="1" w:styleId="HeaderSensitivityRight">
    <w:name w:val="Header Sensitivity Right"/>
    <w:basedOn w:val="Normal"/>
    <w:link w:val="HeaderSensitivityRightChar"/>
    <w:rsid w:val="004F0BF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F0BF4"/>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home-affairs/sites/homeaffairs/files/e-library/documents/policies/legal-migration/swd_2019-1055-staff-working-part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eur-lex.europa.eu/legal-content/SV/TXT/PDF/?uri=CELEX:52019DC0160&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fb514971-0099-45a7-9a33-aa93971eadb1">EN</EC_Collab_DocumentLanguage>
    <EC_Collab_Status xmlns="fb514971-0099-45a7-9a33-aa93971eadb1">Not Started</EC_Collab_Status>
    <EC_Collab_Reference xmlns="fb514971-0099-45a7-9a33-aa93971ead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5CC14C9465E774BBBE2601C15F8E1FF" ma:contentTypeVersion="0" ma:contentTypeDescription="Create a new document in this library." ma:contentTypeScope="" ma:versionID="b3f7cbc0d39521306c00fab249288c9d">
  <xsd:schema xmlns:xsd="http://www.w3.org/2001/XMLSchema" xmlns:xs="http://www.w3.org/2001/XMLSchema" xmlns:p="http://schemas.microsoft.com/office/2006/metadata/properties" xmlns:ns2="http://schemas.microsoft.com/sharepoint/v3/fields" xmlns:ns3="fb514971-0099-45a7-9a33-aa93971eadb1" targetNamespace="http://schemas.microsoft.com/office/2006/metadata/properties" ma:root="true" ma:fieldsID="e8b5d49c9993fb5a0043ba12662b2e49" ns2:_="" ns3:_="">
    <xsd:import namespace="http://schemas.microsoft.com/sharepoint/v3/fields"/>
    <xsd:import namespace="fb514971-0099-45a7-9a33-aa93971eadb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514971-0099-45a7-9a33-aa93971ead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84FF-BDF3-49DA-93E1-EFE90C26FA0C}">
  <ds:schemaRefs>
    <ds:schemaRef ds:uri="http://schemas.microsoft.com/sharepoint/v3/contenttype/forms"/>
  </ds:schemaRefs>
</ds:datastoreItem>
</file>

<file path=customXml/itemProps2.xml><?xml version="1.0" encoding="utf-8"?>
<ds:datastoreItem xmlns:ds="http://schemas.openxmlformats.org/officeDocument/2006/customXml" ds:itemID="{9C9783E5-859D-4BF5-8DAD-3632FCA1E9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b514971-0099-45a7-9a33-aa93971eadb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AA4AF58F-A67F-4904-912D-D972BB20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514971-0099-45a7-9a33-aa93971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76070-A276-4F38-B0AB-72A5334E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1117</Words>
  <Characters>7485</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2022-02-15T09:27:00Z</dcterms:created>
  <dcterms:modified xsi:type="dcterms:W3CDTF">2022-06-20T10:49:00Z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0x010100258AA79CEB83498886A3A086811232500095CC14C9465E774BBBE2601C15F8E1FF</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CP-027</vt:lpwstr>
  </property>
  <property fmtid="{D5CDD505-2E9C-101B-9397-08002B2CF9AE}" pid="8" name="Last edited using">
    <vt:lpwstr>LW 8.0, Build 20220128</vt:lpwstr>
  </property>
  <property fmtid="{D5CDD505-2E9C-101B-9397-08002B2CF9AE}" pid="9" name="Created using">
    <vt:lpwstr>LW 8.0, Build 20220128</vt:lpwstr>
  </property>
</Properties>
</file>